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71D1E" w14:textId="77777777" w:rsidR="008456D5" w:rsidRPr="003E4580" w:rsidRDefault="00BD194A" w:rsidP="00EB78CF">
      <w:pPr>
        <w:spacing w:after="960"/>
        <w:ind w:left="-1247"/>
      </w:pPr>
      <w:r w:rsidRPr="003E4580">
        <w:rPr>
          <w:noProof/>
          <w:lang w:eastAsia="en-AU"/>
        </w:rPr>
        <w:drawing>
          <wp:anchor distT="0" distB="0" distL="114300" distR="114300" simplePos="0" relativeHeight="251659264" behindDoc="1" locked="0" layoutInCell="1" allowOverlap="1" wp14:anchorId="282056C8" wp14:editId="2D40B3F4">
            <wp:simplePos x="0" y="0"/>
            <wp:positionH relativeFrom="column">
              <wp:posOffset>-1466215</wp:posOffset>
            </wp:positionH>
            <wp:positionV relativeFrom="paragraph">
              <wp:posOffset>-686435</wp:posOffset>
            </wp:positionV>
            <wp:extent cx="7593965" cy="10742295"/>
            <wp:effectExtent l="0" t="0" r="6985" b="1905"/>
            <wp:wrapNone/>
            <wp:docPr id="1" name="Picture 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corative.">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93965" cy="10742295"/>
                    </a:xfrm>
                    <a:prstGeom prst="rect">
                      <a:avLst/>
                    </a:prstGeom>
                  </pic:spPr>
                </pic:pic>
              </a:graphicData>
            </a:graphic>
            <wp14:sizeRelH relativeFrom="page">
              <wp14:pctWidth>0</wp14:pctWidth>
            </wp14:sizeRelH>
            <wp14:sizeRelV relativeFrom="page">
              <wp14:pctHeight>0</wp14:pctHeight>
            </wp14:sizeRelV>
          </wp:anchor>
        </w:drawing>
      </w:r>
      <w:r w:rsidR="007A05BE" w:rsidRPr="003E4580">
        <w:rPr>
          <w:noProof/>
          <w:lang w:eastAsia="en-AU"/>
        </w:rPr>
        <w:drawing>
          <wp:inline distT="0" distB="0" distL="0" distR="0" wp14:anchorId="5CC4CBF3" wp14:editId="25CEA664">
            <wp:extent cx="3147405" cy="660843"/>
            <wp:effectExtent l="0" t="0" r="2540" b="0"/>
            <wp:docPr id="5" name="Picture 5" descr="Australian Government. Department of Infrastructure, Transport, Regional Development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Infrastructure, Transport, Regional Development and Communications."/>
                    <pic:cNvPicPr/>
                  </pic:nvPicPr>
                  <pic:blipFill>
                    <a:blip r:embed="rId10">
                      <a:extLst>
                        <a:ext uri="{28A0092B-C50C-407E-A947-70E740481C1C}">
                          <a14:useLocalDpi xmlns:a14="http://schemas.microsoft.com/office/drawing/2010/main" val="0"/>
                        </a:ext>
                      </a:extLst>
                    </a:blip>
                    <a:stretch>
                      <a:fillRect/>
                    </a:stretch>
                  </pic:blipFill>
                  <pic:spPr>
                    <a:xfrm>
                      <a:off x="0" y="0"/>
                      <a:ext cx="3147405" cy="660843"/>
                    </a:xfrm>
                    <a:prstGeom prst="rect">
                      <a:avLst/>
                    </a:prstGeom>
                  </pic:spPr>
                </pic:pic>
              </a:graphicData>
            </a:graphic>
          </wp:inline>
        </w:drawing>
      </w:r>
    </w:p>
    <w:p w14:paraId="1B1510DF" w14:textId="022BC299" w:rsidR="003774A7" w:rsidRPr="003E4580" w:rsidRDefault="00717D9C" w:rsidP="00DF2C99">
      <w:pPr>
        <w:pStyle w:val="AreaHeading"/>
        <w:ind w:firstLine="311"/>
        <w:rPr>
          <w:b/>
          <w:color w:val="FFFFFF" w:themeColor="background1"/>
          <w:sz w:val="144"/>
        </w:rPr>
      </w:pPr>
      <w:r w:rsidRPr="003E4580">
        <w:rPr>
          <w:b/>
          <w:color w:val="FFFFFF" w:themeColor="background1"/>
          <w:sz w:val="40"/>
        </w:rPr>
        <w:t>REDUCING HEAVY VEHICLE LANE DEPARTURE CRASHES</w:t>
      </w:r>
    </w:p>
    <w:p w14:paraId="62168145" w14:textId="77777777" w:rsidR="00715ED7" w:rsidRPr="003E4580" w:rsidRDefault="00715ED7" w:rsidP="00715ED7"/>
    <w:p w14:paraId="2C1828D0" w14:textId="2B84FBB8" w:rsidR="00715ED7" w:rsidRPr="003E4580" w:rsidRDefault="00715ED7" w:rsidP="00035B05">
      <w:pPr>
        <w:ind w:left="-567"/>
        <w:jc w:val="center"/>
      </w:pPr>
      <w:r w:rsidRPr="003E4580">
        <w:rPr>
          <w:noProof/>
          <w:lang w:eastAsia="en-AU"/>
        </w:rPr>
        <w:drawing>
          <wp:inline distT="0" distB="0" distL="0" distR="0" wp14:anchorId="26D8F96E" wp14:editId="29EF1C9A">
            <wp:extent cx="5771486" cy="3847879"/>
            <wp:effectExtent l="0" t="0" r="1270" b="635"/>
            <wp:docPr id="24" name="Picture 24" descr="Cover image - overturned prime mover">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ttyImages-1749068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5330" cy="3857109"/>
                    </a:xfrm>
                    <a:prstGeom prst="rect">
                      <a:avLst/>
                    </a:prstGeom>
                    <a:effectLst>
                      <a:softEdge rad="63500"/>
                    </a:effectLst>
                  </pic:spPr>
                </pic:pic>
              </a:graphicData>
            </a:graphic>
          </wp:inline>
        </w:drawing>
      </w:r>
    </w:p>
    <w:p w14:paraId="1234EFFD" w14:textId="17AC03DD" w:rsidR="00DE4FE2" w:rsidRPr="003E4580" w:rsidRDefault="002F651B" w:rsidP="00790338">
      <w:pPr>
        <w:pStyle w:val="Subtitle"/>
        <w:ind w:left="5387" w:hanging="3544"/>
        <w:rPr>
          <w:color w:val="78D1F5"/>
          <w:sz w:val="36"/>
        </w:rPr>
      </w:pPr>
      <w:r w:rsidRPr="003E4580">
        <w:rPr>
          <w:color w:val="78D1F5"/>
          <w:sz w:val="36"/>
        </w:rPr>
        <w:t xml:space="preserve">Impact </w:t>
      </w:r>
      <w:r w:rsidR="00A7024B" w:rsidRPr="003E4580">
        <w:rPr>
          <w:color w:val="78D1F5"/>
          <w:sz w:val="36"/>
        </w:rPr>
        <w:t>Assessment - Final</w:t>
      </w:r>
    </w:p>
    <w:p w14:paraId="13E78080" w14:textId="70CA0923" w:rsidR="00DE4FE2" w:rsidRPr="003E4580" w:rsidRDefault="00823856" w:rsidP="00790338">
      <w:pPr>
        <w:pStyle w:val="CoverDate"/>
        <w:ind w:left="5387" w:hanging="3544"/>
        <w:rPr>
          <w:color w:val="FFFFFF" w:themeColor="background1"/>
        </w:rPr>
      </w:pPr>
      <w:r w:rsidRPr="003E4580">
        <w:rPr>
          <w:color w:val="FFFFFF" w:themeColor="background1"/>
        </w:rPr>
        <w:t>October 2023</w:t>
      </w:r>
    </w:p>
    <w:p w14:paraId="3A84D019" w14:textId="77777777" w:rsidR="00DE4FE2" w:rsidRPr="003E4580" w:rsidRDefault="00DE4FE2"/>
    <w:p w14:paraId="14302122" w14:textId="77777777" w:rsidR="00DE4FE2" w:rsidRPr="003E4580" w:rsidRDefault="00DE4FE2">
      <w:pPr>
        <w:sectPr w:rsidR="00DE4FE2" w:rsidRPr="003E4580" w:rsidSect="00546218">
          <w:headerReference w:type="even" r:id="rId12"/>
          <w:headerReference w:type="default" r:id="rId13"/>
          <w:footerReference w:type="even" r:id="rId14"/>
          <w:footerReference w:type="default" r:id="rId15"/>
          <w:headerReference w:type="first" r:id="rId16"/>
          <w:footerReference w:type="first" r:id="rId17"/>
          <w:pgSz w:w="11906" w:h="16838" w:code="9"/>
          <w:pgMar w:top="1021" w:right="1021" w:bottom="1021" w:left="2268" w:header="510" w:footer="567" w:gutter="0"/>
          <w:cols w:space="708"/>
          <w:titlePg/>
          <w:docGrid w:linePitch="360"/>
        </w:sectPr>
      </w:pPr>
    </w:p>
    <w:p w14:paraId="1573C4DC" w14:textId="3F36C98C" w:rsidR="000E5674" w:rsidRPr="003E4580" w:rsidRDefault="000E5674" w:rsidP="000E5674">
      <w:pPr>
        <w:pStyle w:val="NoSpacing"/>
      </w:pPr>
      <w:r w:rsidRPr="003E4580">
        <w:lastRenderedPageBreak/>
        <w:t>© Commonwealth of Australia 202</w:t>
      </w:r>
      <w:r w:rsidR="00A7024B" w:rsidRPr="003E4580">
        <w:t>3</w:t>
      </w:r>
    </w:p>
    <w:p w14:paraId="1553E58B" w14:textId="7626D32F" w:rsidR="000E5674" w:rsidRPr="003E4580" w:rsidRDefault="00B5648A" w:rsidP="000E5674">
      <w:pPr>
        <w:pStyle w:val="NoSpacing"/>
      </w:pPr>
      <w:r w:rsidRPr="003E4580">
        <w:t>June</w:t>
      </w:r>
      <w:r w:rsidR="004163B6" w:rsidRPr="003E4580">
        <w:t xml:space="preserve"> </w:t>
      </w:r>
      <w:r w:rsidR="000E5674" w:rsidRPr="003E4580">
        <w:t>202</w:t>
      </w:r>
      <w:r w:rsidR="001D105A" w:rsidRPr="003E4580">
        <w:t>3</w:t>
      </w:r>
      <w:r w:rsidR="000E5674" w:rsidRPr="003E4580">
        <w:t xml:space="preserve"> / INFRASTRUCTURE</w:t>
      </w:r>
      <w:r w:rsidR="00DF50AE" w:rsidRPr="003E4580">
        <w:t xml:space="preserve"> ISBN:</w:t>
      </w:r>
      <w:r w:rsidR="000E5674" w:rsidRPr="003E4580">
        <w:t xml:space="preserve"> </w:t>
      </w:r>
      <w:r w:rsidR="00DF50AE" w:rsidRPr="003E4580">
        <w:t>978-1-925843-94-1</w:t>
      </w:r>
    </w:p>
    <w:p w14:paraId="18A96D7C" w14:textId="172CC369" w:rsidR="00F16D21" w:rsidRPr="003E4580" w:rsidRDefault="00F16D21" w:rsidP="000E5674">
      <w:pPr>
        <w:pStyle w:val="NoSpacing"/>
      </w:pPr>
      <w:r w:rsidRPr="003E4580">
        <w:t>OBPR22-01960</w:t>
      </w:r>
    </w:p>
    <w:p w14:paraId="4E99D31F" w14:textId="77777777" w:rsidR="000E5674" w:rsidRPr="003E4580" w:rsidRDefault="000E5674" w:rsidP="000E5674">
      <w:pPr>
        <w:pStyle w:val="ImprintHeading"/>
        <w:rPr>
          <w:lang w:val="en-AU"/>
        </w:rPr>
      </w:pPr>
      <w:r w:rsidRPr="003E4580">
        <w:rPr>
          <w:lang w:val="en-AU"/>
        </w:rPr>
        <w:t>Ownership of intellectual property rights in this publication</w:t>
      </w:r>
    </w:p>
    <w:p w14:paraId="7E452CFE" w14:textId="77777777" w:rsidR="000E5674" w:rsidRPr="003E4580" w:rsidRDefault="000E5674" w:rsidP="000E5674">
      <w:r w:rsidRPr="003E4580">
        <w:t>Unless otherwise noted, copyright (and any other intellectual property rights, if any) in this publication is owned by the Commonwealth of Australia (referred to below as the Commonwealth).</w:t>
      </w:r>
    </w:p>
    <w:p w14:paraId="3EDBF938" w14:textId="77777777" w:rsidR="000E5674" w:rsidRPr="003E4580" w:rsidRDefault="000E5674" w:rsidP="000E5674">
      <w:pPr>
        <w:pStyle w:val="ImprintHeading"/>
        <w:rPr>
          <w:lang w:val="en-AU"/>
        </w:rPr>
      </w:pPr>
      <w:r w:rsidRPr="003E4580">
        <w:rPr>
          <w:lang w:val="en-AU"/>
        </w:rPr>
        <w:t>Disclaimer</w:t>
      </w:r>
    </w:p>
    <w:p w14:paraId="17F4B762" w14:textId="77777777" w:rsidR="000E5674" w:rsidRPr="003E4580" w:rsidRDefault="000E5674" w:rsidP="000E5674">
      <w:r w:rsidRPr="003E4580">
        <w:t>The material contained in this publication is made available on the understanding that the Commonwealth is not providing professional advice, and that users exercise their own skill and care with respect to its use, and seek independent advice if necessary.</w:t>
      </w:r>
    </w:p>
    <w:p w14:paraId="222BDC82" w14:textId="77777777" w:rsidR="000E5674" w:rsidRPr="003E4580" w:rsidRDefault="000E5674" w:rsidP="000E5674">
      <w:r w:rsidRPr="003E4580">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07B719A8" w14:textId="77777777" w:rsidR="000E5674" w:rsidRPr="003E4580" w:rsidRDefault="000E5674" w:rsidP="000E5674">
      <w:pPr>
        <w:pStyle w:val="ImprintHeading"/>
        <w:rPr>
          <w:lang w:val="en-AU"/>
        </w:rPr>
      </w:pPr>
      <w:r w:rsidRPr="003E4580">
        <w:rPr>
          <w:lang w:val="en-AU"/>
        </w:rPr>
        <w:t>Creative Commons licence</w:t>
      </w:r>
    </w:p>
    <w:p w14:paraId="165FFEE0" w14:textId="52875A51" w:rsidR="000E5674" w:rsidRPr="003E4580" w:rsidRDefault="000E5674" w:rsidP="000E5674">
      <w:r w:rsidRPr="003E4580">
        <w:t>With the exception of (a) the Coat of Arms; (b) the Department of Infrastructure, Transport, Regional Development</w:t>
      </w:r>
      <w:r w:rsidR="001D105A" w:rsidRPr="003E4580">
        <w:t xml:space="preserve">, </w:t>
      </w:r>
      <w:r w:rsidRPr="003E4580">
        <w:t>Communications</w:t>
      </w:r>
      <w:r w:rsidR="001D105A" w:rsidRPr="003E4580">
        <w:t xml:space="preserve"> and the Arts</w:t>
      </w:r>
      <w:r w:rsidRPr="003E4580">
        <w:t xml:space="preserve"> photos and graphics; and (c) [OTHER], copyright in this publication is licensed under a Creative Commons Attribution 4.0 Australia Licence.</w:t>
      </w:r>
    </w:p>
    <w:p w14:paraId="7BC19DBB" w14:textId="77777777" w:rsidR="000E5674" w:rsidRPr="003E4580" w:rsidRDefault="000E5674" w:rsidP="000E5674">
      <w:r w:rsidRPr="003E4580">
        <w:t>Creative Commons Attribution 4.0 Australia Licence is a standard form licence agreement that allows you to copy, communicate and adapt this publication provided that you attribute the work to the Commonwealth and abide by the other licence terms.</w:t>
      </w:r>
    </w:p>
    <w:p w14:paraId="4DCCFE47" w14:textId="50055F68" w:rsidR="000E5674" w:rsidRPr="003E4580" w:rsidRDefault="000E5674" w:rsidP="000E5674">
      <w:r w:rsidRPr="003E4580">
        <w:t xml:space="preserve">Further information on the licence terms is available from </w:t>
      </w:r>
      <w:hyperlink r:id="rId18" w:tooltip="Creative Commons website" w:history="1">
        <w:r w:rsidRPr="003E4580">
          <w:rPr>
            <w:rStyle w:val="Hyperlink"/>
          </w:rPr>
          <w:t>https://creativecommons.org/licenses/by/4.0/</w:t>
        </w:r>
      </w:hyperlink>
    </w:p>
    <w:p w14:paraId="4C43C0A2" w14:textId="77777777" w:rsidR="000E5674" w:rsidRPr="003E4580" w:rsidRDefault="000E5674" w:rsidP="000E5674">
      <w:r w:rsidRPr="003E4580">
        <w:t xml:space="preserve">This publication should be attributed in the following way: © Commonwealth of Australia </w:t>
      </w:r>
      <w:r w:rsidR="00D83318" w:rsidRPr="003E4580">
        <w:t>2022</w:t>
      </w:r>
    </w:p>
    <w:p w14:paraId="5E41F4B2" w14:textId="77777777" w:rsidR="000E5674" w:rsidRPr="003E4580" w:rsidRDefault="000E5674" w:rsidP="000E5674">
      <w:pPr>
        <w:pStyle w:val="ImprintHeading"/>
        <w:rPr>
          <w:lang w:val="en-AU"/>
        </w:rPr>
      </w:pPr>
      <w:r w:rsidRPr="003E4580">
        <w:rPr>
          <w:lang w:val="en-AU"/>
        </w:rPr>
        <w:t>Use of the Coat of Arms</w:t>
      </w:r>
    </w:p>
    <w:p w14:paraId="23553572" w14:textId="7929F17E" w:rsidR="000E5674" w:rsidRPr="003E4580" w:rsidRDefault="000E5674" w:rsidP="000E5674">
      <w:r w:rsidRPr="003E4580">
        <w:t xml:space="preserve">The Department of the Prime Minister and Cabinet sets the terms under which the Coat of Arms is used. Please refer to the Commonwealth Coat of Arms - Information and Guidelines publication available at </w:t>
      </w:r>
      <w:hyperlink r:id="rId19" w:tooltip="Department of Prime Minister and Cabinet website" w:history="1">
        <w:r w:rsidRPr="003E4580">
          <w:rPr>
            <w:rStyle w:val="Hyperlink"/>
          </w:rPr>
          <w:t>http://www.pmc.gov.au</w:t>
        </w:r>
      </w:hyperlink>
      <w:r w:rsidRPr="003E4580">
        <w:t>.</w:t>
      </w:r>
    </w:p>
    <w:p w14:paraId="16F015A8" w14:textId="77777777" w:rsidR="000E5674" w:rsidRPr="003E4580" w:rsidRDefault="000E5674" w:rsidP="000E5674">
      <w:pPr>
        <w:pStyle w:val="ImprintHeading"/>
        <w:rPr>
          <w:lang w:val="en-AU"/>
        </w:rPr>
      </w:pPr>
      <w:r w:rsidRPr="003E4580">
        <w:rPr>
          <w:lang w:val="en-AU"/>
        </w:rPr>
        <w:t>Contact us</w:t>
      </w:r>
    </w:p>
    <w:p w14:paraId="137B8D33" w14:textId="77777777" w:rsidR="000E5674" w:rsidRPr="003E4580" w:rsidRDefault="000E5674" w:rsidP="000E5674">
      <w:r w:rsidRPr="003E4580">
        <w:t xml:space="preserve">This publication is available in hard copy or PDF format. All other rights are reserved, including in relation to any </w:t>
      </w:r>
      <w:r w:rsidR="00291050" w:rsidRPr="003E4580">
        <w:t>departmental</w:t>
      </w:r>
      <w:r w:rsidRPr="003E4580">
        <w:t xml:space="preserve"> logos or trade marks which may exist. For enquiries regarding the licence and any use of this publication, please contact:</w:t>
      </w:r>
    </w:p>
    <w:p w14:paraId="05E495BA" w14:textId="77777777" w:rsidR="000E5674" w:rsidRPr="003E4580" w:rsidRDefault="000E5674" w:rsidP="000E5674">
      <w:pPr>
        <w:pStyle w:val="NoSpacing"/>
      </w:pPr>
      <w:r w:rsidRPr="003E4580">
        <w:t xml:space="preserve">Director </w:t>
      </w:r>
      <w:r w:rsidR="00291050" w:rsidRPr="003E4580">
        <w:t>–</w:t>
      </w:r>
      <w:r w:rsidRPr="003E4580">
        <w:t xml:space="preserve"> </w:t>
      </w:r>
      <w:r w:rsidR="00291050" w:rsidRPr="003E4580">
        <w:t>Creative Services</w:t>
      </w:r>
    </w:p>
    <w:p w14:paraId="2D50BCE4" w14:textId="77777777" w:rsidR="000E5674" w:rsidRPr="003E4580" w:rsidRDefault="000E5674" w:rsidP="000E5674">
      <w:pPr>
        <w:pStyle w:val="NoSpacing"/>
      </w:pPr>
      <w:r w:rsidRPr="003E4580">
        <w:t>Communication Branch</w:t>
      </w:r>
    </w:p>
    <w:p w14:paraId="0D6B32C6" w14:textId="676522E7" w:rsidR="000E5674" w:rsidRPr="003E4580" w:rsidRDefault="000E5674" w:rsidP="000E5674">
      <w:pPr>
        <w:pStyle w:val="NoSpacing"/>
      </w:pPr>
      <w:r w:rsidRPr="003E4580">
        <w:t>Department of Infrastructure, Transport, Regional Development</w:t>
      </w:r>
      <w:r w:rsidR="001D105A" w:rsidRPr="003E4580">
        <w:t xml:space="preserve">, </w:t>
      </w:r>
      <w:r w:rsidRPr="003E4580">
        <w:t>Communications</w:t>
      </w:r>
      <w:r w:rsidR="001D105A" w:rsidRPr="003E4580">
        <w:t xml:space="preserve"> and the Arts</w:t>
      </w:r>
    </w:p>
    <w:p w14:paraId="64879564" w14:textId="77777777" w:rsidR="000E5674" w:rsidRPr="003E4580" w:rsidRDefault="000E5674" w:rsidP="000E5674">
      <w:pPr>
        <w:pStyle w:val="NoSpacing"/>
      </w:pPr>
      <w:r w:rsidRPr="003E4580">
        <w:t>GPO Box 594</w:t>
      </w:r>
    </w:p>
    <w:p w14:paraId="407B17C3" w14:textId="77777777" w:rsidR="000E5674" w:rsidRPr="003E4580" w:rsidRDefault="000E5674" w:rsidP="000E5674">
      <w:pPr>
        <w:pStyle w:val="NoSpacing"/>
      </w:pPr>
      <w:r w:rsidRPr="003E4580">
        <w:t>Canberra ACT 2601</w:t>
      </w:r>
    </w:p>
    <w:p w14:paraId="4D4B6609" w14:textId="77777777" w:rsidR="000E5674" w:rsidRPr="003E4580" w:rsidRDefault="000E5674" w:rsidP="000E5674">
      <w:pPr>
        <w:pStyle w:val="NoSpacing"/>
      </w:pPr>
      <w:r w:rsidRPr="003E4580">
        <w:t>Australia</w:t>
      </w:r>
    </w:p>
    <w:p w14:paraId="60964B13" w14:textId="5922715F" w:rsidR="000E5674" w:rsidRPr="003E4580" w:rsidRDefault="000E5674" w:rsidP="000E5674">
      <w:r w:rsidRPr="003E4580">
        <w:t xml:space="preserve">Email: </w:t>
      </w:r>
      <w:hyperlink r:id="rId20" w:tooltip="Email the Publishing team at the Department of Infrastructure, Transport, Regional Development and Communications" w:history="1">
        <w:r w:rsidRPr="003E4580">
          <w:rPr>
            <w:rStyle w:val="Hyperlink"/>
          </w:rPr>
          <w:t>publishing@infrastructure.gov.au</w:t>
        </w:r>
      </w:hyperlink>
    </w:p>
    <w:p w14:paraId="00CAEFA6" w14:textId="19643A6E" w:rsidR="000E5674" w:rsidRPr="003E4580" w:rsidRDefault="000E5674" w:rsidP="000E5674">
      <w:r w:rsidRPr="003E4580">
        <w:lastRenderedPageBreak/>
        <w:t xml:space="preserve">Website: </w:t>
      </w:r>
      <w:hyperlink r:id="rId21" w:tooltip="Department of Infrastructure, Transport, Regional Development and Communications website" w:history="1">
        <w:r w:rsidRPr="003E4580">
          <w:rPr>
            <w:rStyle w:val="Hyperlink"/>
          </w:rPr>
          <w:t>www.infrastructure.gov.au</w:t>
        </w:r>
      </w:hyperlink>
    </w:p>
    <w:p w14:paraId="04585B52" w14:textId="77777777" w:rsidR="00546218" w:rsidRPr="003E4580" w:rsidRDefault="00546218">
      <w:pPr>
        <w:suppressAutoHyphens w:val="0"/>
      </w:pPr>
      <w:r w:rsidRPr="003E4580">
        <w:br w:type="page"/>
      </w:r>
    </w:p>
    <w:p w14:paraId="4CB40C1E" w14:textId="77777777" w:rsidR="00DE4FE2" w:rsidRPr="003E4580" w:rsidRDefault="002B7197" w:rsidP="00CF6CFD">
      <w:pPr>
        <w:pStyle w:val="TOCHeading"/>
      </w:pPr>
      <w:r w:rsidRPr="003E4580">
        <w:lastRenderedPageBreak/>
        <w:t>C</w:t>
      </w:r>
      <w:r w:rsidR="00DE4FE2" w:rsidRPr="003E4580">
        <w:t>ontents</w:t>
      </w:r>
    </w:p>
    <w:p w14:paraId="5F1EEB10" w14:textId="7C5FEC6C" w:rsidR="009226AB" w:rsidRPr="003E4580" w:rsidRDefault="00A95970">
      <w:pPr>
        <w:pStyle w:val="TOC1"/>
        <w:rPr>
          <w:rFonts w:eastAsiaTheme="minorEastAsia"/>
          <w:b w:val="0"/>
          <w:noProof/>
          <w:color w:val="auto"/>
          <w:kern w:val="0"/>
          <w:sz w:val="22"/>
          <w:szCs w:val="22"/>
          <w:u w:val="none"/>
          <w:lang w:eastAsia="en-AU"/>
        </w:rPr>
      </w:pPr>
      <w:r w:rsidRPr="003E4580">
        <w:fldChar w:fldCharType="begin"/>
      </w:r>
      <w:r w:rsidRPr="003E4580">
        <w:instrText xml:space="preserve"> TOC \o "3-3" \h \z \t "Heading 1,1,Heading 2,2,Heading 1 Numbered,1,Heading 2 Numbered,2,Appendix Heading 1,1,Attachment Heading 1,1" </w:instrText>
      </w:r>
      <w:r w:rsidRPr="003E4580">
        <w:fldChar w:fldCharType="separate"/>
      </w:r>
      <w:hyperlink w:anchor="_Toc146894843" w:history="1">
        <w:r w:rsidR="009226AB" w:rsidRPr="003E4580">
          <w:rPr>
            <w:rStyle w:val="Hyperlink"/>
            <w:noProof/>
          </w:rPr>
          <w:t>Executive Summary</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_Toc146894843 \h </w:instrText>
        </w:r>
        <w:r w:rsidR="009226AB" w:rsidRPr="003E4580">
          <w:rPr>
            <w:noProof/>
            <w:webHidden/>
          </w:rPr>
        </w:r>
        <w:r w:rsidR="009226AB" w:rsidRPr="003E4580">
          <w:rPr>
            <w:noProof/>
            <w:webHidden/>
          </w:rPr>
          <w:fldChar w:fldCharType="separate"/>
        </w:r>
        <w:r w:rsidR="009226AB" w:rsidRPr="003E4580">
          <w:rPr>
            <w:noProof/>
            <w:webHidden/>
          </w:rPr>
          <w:t>6</w:t>
        </w:r>
        <w:r w:rsidR="009226AB" w:rsidRPr="003E4580">
          <w:rPr>
            <w:noProof/>
            <w:webHidden/>
          </w:rPr>
          <w:fldChar w:fldCharType="end"/>
        </w:r>
      </w:hyperlink>
    </w:p>
    <w:p w14:paraId="402CA758" w14:textId="53AB62BA" w:rsidR="009226AB" w:rsidRPr="003E4580" w:rsidRDefault="00BF64CF">
      <w:pPr>
        <w:pStyle w:val="TOC2"/>
        <w:tabs>
          <w:tab w:val="right" w:pos="9854"/>
        </w:tabs>
        <w:rPr>
          <w:rFonts w:eastAsiaTheme="minorEastAsia"/>
          <w:noProof/>
          <w:color w:val="auto"/>
          <w:kern w:val="0"/>
          <w:sz w:val="22"/>
          <w:szCs w:val="22"/>
          <w:lang w:eastAsia="en-AU"/>
        </w:rPr>
      </w:pPr>
      <w:hyperlink w:anchor="_Toc146894844" w:history="1">
        <w:r w:rsidR="009226AB" w:rsidRPr="003E4580">
          <w:rPr>
            <w:rStyle w:val="Hyperlink"/>
            <w:noProof/>
          </w:rPr>
          <w:t>Heavy vehicle road trauma</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_Toc146894844 \h </w:instrText>
        </w:r>
        <w:r w:rsidR="009226AB" w:rsidRPr="003E4580">
          <w:rPr>
            <w:noProof/>
            <w:webHidden/>
          </w:rPr>
        </w:r>
        <w:r w:rsidR="009226AB" w:rsidRPr="003E4580">
          <w:rPr>
            <w:noProof/>
            <w:webHidden/>
          </w:rPr>
          <w:fldChar w:fldCharType="separate"/>
        </w:r>
        <w:r w:rsidR="009226AB" w:rsidRPr="003E4580">
          <w:rPr>
            <w:noProof/>
            <w:webHidden/>
          </w:rPr>
          <w:t>6</w:t>
        </w:r>
        <w:r w:rsidR="009226AB" w:rsidRPr="003E4580">
          <w:rPr>
            <w:noProof/>
            <w:webHidden/>
          </w:rPr>
          <w:fldChar w:fldCharType="end"/>
        </w:r>
      </w:hyperlink>
    </w:p>
    <w:p w14:paraId="0C1CAF57" w14:textId="378C4D95" w:rsidR="009226AB" w:rsidRPr="003E4580" w:rsidRDefault="00BF64CF">
      <w:pPr>
        <w:pStyle w:val="TOC2"/>
        <w:tabs>
          <w:tab w:val="right" w:pos="9854"/>
        </w:tabs>
        <w:rPr>
          <w:rFonts w:eastAsiaTheme="minorEastAsia"/>
          <w:noProof/>
          <w:color w:val="auto"/>
          <w:kern w:val="0"/>
          <w:sz w:val="22"/>
          <w:szCs w:val="22"/>
          <w:lang w:eastAsia="en-AU"/>
        </w:rPr>
      </w:pPr>
      <w:hyperlink w:anchor="_Toc146894845" w:history="1">
        <w:r w:rsidR="009226AB" w:rsidRPr="003E4580">
          <w:rPr>
            <w:rStyle w:val="Hyperlink"/>
            <w:noProof/>
          </w:rPr>
          <w:t>Lane Departure Warning Systems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_Toc146894845 \h </w:instrText>
        </w:r>
        <w:r w:rsidR="009226AB" w:rsidRPr="003E4580">
          <w:rPr>
            <w:noProof/>
            <w:webHidden/>
          </w:rPr>
        </w:r>
        <w:r w:rsidR="009226AB" w:rsidRPr="003E4580">
          <w:rPr>
            <w:noProof/>
            <w:webHidden/>
          </w:rPr>
          <w:fldChar w:fldCharType="separate"/>
        </w:r>
        <w:r w:rsidR="009226AB" w:rsidRPr="003E4580">
          <w:rPr>
            <w:noProof/>
            <w:webHidden/>
          </w:rPr>
          <w:t>6</w:t>
        </w:r>
        <w:r w:rsidR="009226AB" w:rsidRPr="003E4580">
          <w:rPr>
            <w:noProof/>
            <w:webHidden/>
          </w:rPr>
          <w:fldChar w:fldCharType="end"/>
        </w:r>
      </w:hyperlink>
    </w:p>
    <w:p w14:paraId="437F6450" w14:textId="18F6BA4D" w:rsidR="009226AB" w:rsidRPr="003E4580" w:rsidRDefault="00BF64CF">
      <w:pPr>
        <w:pStyle w:val="TOC2"/>
        <w:tabs>
          <w:tab w:val="right" w:pos="9854"/>
        </w:tabs>
        <w:rPr>
          <w:rFonts w:eastAsiaTheme="minorEastAsia"/>
          <w:noProof/>
          <w:color w:val="auto"/>
          <w:kern w:val="0"/>
          <w:sz w:val="22"/>
          <w:szCs w:val="22"/>
          <w:lang w:eastAsia="en-AU"/>
        </w:rPr>
      </w:pPr>
      <w:hyperlink w:anchor="_Toc146894846" w:history="1">
        <w:r w:rsidR="009226AB" w:rsidRPr="003E4580">
          <w:rPr>
            <w:rStyle w:val="Hyperlink"/>
            <w:noProof/>
          </w:rPr>
          <w:t>Public Comment</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_Toc146894846 \h </w:instrText>
        </w:r>
        <w:r w:rsidR="009226AB" w:rsidRPr="003E4580">
          <w:rPr>
            <w:noProof/>
            <w:webHidden/>
          </w:rPr>
        </w:r>
        <w:r w:rsidR="009226AB" w:rsidRPr="003E4580">
          <w:rPr>
            <w:noProof/>
            <w:webHidden/>
          </w:rPr>
          <w:fldChar w:fldCharType="separate"/>
        </w:r>
        <w:r w:rsidR="009226AB" w:rsidRPr="003E4580">
          <w:rPr>
            <w:noProof/>
            <w:webHidden/>
          </w:rPr>
          <w:t>8</w:t>
        </w:r>
        <w:r w:rsidR="009226AB" w:rsidRPr="003E4580">
          <w:rPr>
            <w:noProof/>
            <w:webHidden/>
          </w:rPr>
          <w:fldChar w:fldCharType="end"/>
        </w:r>
      </w:hyperlink>
    </w:p>
    <w:p w14:paraId="09382463" w14:textId="24F64354" w:rsidR="009226AB" w:rsidRPr="003E4580" w:rsidRDefault="00BF64CF">
      <w:pPr>
        <w:pStyle w:val="TOC2"/>
        <w:tabs>
          <w:tab w:val="right" w:pos="9854"/>
        </w:tabs>
        <w:rPr>
          <w:rFonts w:eastAsiaTheme="minorEastAsia"/>
          <w:noProof/>
          <w:color w:val="auto"/>
          <w:kern w:val="0"/>
          <w:sz w:val="22"/>
          <w:szCs w:val="22"/>
          <w:lang w:eastAsia="en-AU"/>
        </w:rPr>
      </w:pPr>
      <w:hyperlink w:anchor="_Toc146894847" w:history="1">
        <w:r w:rsidR="009226AB" w:rsidRPr="003E4580">
          <w:rPr>
            <w:rStyle w:val="Hyperlink"/>
            <w:noProof/>
          </w:rPr>
          <w:t>Recommended Option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_Toc146894847 \h </w:instrText>
        </w:r>
        <w:r w:rsidR="009226AB" w:rsidRPr="003E4580">
          <w:rPr>
            <w:noProof/>
            <w:webHidden/>
          </w:rPr>
        </w:r>
        <w:r w:rsidR="009226AB" w:rsidRPr="003E4580">
          <w:rPr>
            <w:noProof/>
            <w:webHidden/>
          </w:rPr>
          <w:fldChar w:fldCharType="separate"/>
        </w:r>
        <w:r w:rsidR="009226AB" w:rsidRPr="003E4580">
          <w:rPr>
            <w:noProof/>
            <w:webHidden/>
          </w:rPr>
          <w:t>8</w:t>
        </w:r>
        <w:r w:rsidR="009226AB" w:rsidRPr="003E4580">
          <w:rPr>
            <w:noProof/>
            <w:webHidden/>
          </w:rPr>
          <w:fldChar w:fldCharType="end"/>
        </w:r>
      </w:hyperlink>
    </w:p>
    <w:p w14:paraId="49D89CD7" w14:textId="2D363AA9" w:rsidR="009226AB" w:rsidRPr="003E4580" w:rsidRDefault="00BF64CF">
      <w:pPr>
        <w:pStyle w:val="TOC2"/>
        <w:tabs>
          <w:tab w:val="right" w:pos="9854"/>
        </w:tabs>
        <w:rPr>
          <w:rFonts w:eastAsiaTheme="minorEastAsia"/>
          <w:noProof/>
          <w:color w:val="auto"/>
          <w:kern w:val="0"/>
          <w:sz w:val="22"/>
          <w:szCs w:val="22"/>
          <w:lang w:eastAsia="en-AU"/>
        </w:rPr>
      </w:pPr>
      <w:hyperlink w:anchor="_Toc146894848" w:history="1">
        <w:r w:rsidR="009226AB" w:rsidRPr="003E4580">
          <w:rPr>
            <w:rStyle w:val="Hyperlink"/>
            <w:noProof/>
          </w:rPr>
          <w:t>The IA Process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_Toc146894848 \h </w:instrText>
        </w:r>
        <w:r w:rsidR="009226AB" w:rsidRPr="003E4580">
          <w:rPr>
            <w:noProof/>
            <w:webHidden/>
          </w:rPr>
        </w:r>
        <w:r w:rsidR="009226AB" w:rsidRPr="003E4580">
          <w:rPr>
            <w:noProof/>
            <w:webHidden/>
          </w:rPr>
          <w:fldChar w:fldCharType="separate"/>
        </w:r>
        <w:r w:rsidR="009226AB" w:rsidRPr="003E4580">
          <w:rPr>
            <w:noProof/>
            <w:webHidden/>
          </w:rPr>
          <w:t>9</w:t>
        </w:r>
        <w:r w:rsidR="009226AB" w:rsidRPr="003E4580">
          <w:rPr>
            <w:noProof/>
            <w:webHidden/>
          </w:rPr>
          <w:fldChar w:fldCharType="end"/>
        </w:r>
      </w:hyperlink>
    </w:p>
    <w:p w14:paraId="1605CAC3" w14:textId="4D2E5E79" w:rsidR="009226AB" w:rsidRPr="003E4580" w:rsidRDefault="00BF64CF">
      <w:pPr>
        <w:pStyle w:val="TOC1"/>
        <w:rPr>
          <w:rFonts w:eastAsiaTheme="minorEastAsia"/>
          <w:b w:val="0"/>
          <w:noProof/>
          <w:color w:val="auto"/>
          <w:kern w:val="0"/>
          <w:sz w:val="22"/>
          <w:szCs w:val="22"/>
          <w:u w:val="none"/>
          <w:lang w:eastAsia="en-AU"/>
        </w:rPr>
      </w:pPr>
      <w:hyperlink w:anchor="_Toc146894849" w:history="1">
        <w:r w:rsidR="009226AB" w:rsidRPr="003E4580">
          <w:rPr>
            <w:rStyle w:val="Hyperlink"/>
            <w:noProof/>
          </w:rPr>
          <w:t>Chapter 1: What is the problem?</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_Toc146894849 \h </w:instrText>
        </w:r>
        <w:r w:rsidR="009226AB" w:rsidRPr="003E4580">
          <w:rPr>
            <w:noProof/>
            <w:webHidden/>
          </w:rPr>
        </w:r>
        <w:r w:rsidR="009226AB" w:rsidRPr="003E4580">
          <w:rPr>
            <w:noProof/>
            <w:webHidden/>
          </w:rPr>
          <w:fldChar w:fldCharType="separate"/>
        </w:r>
        <w:r w:rsidR="009226AB" w:rsidRPr="003E4580">
          <w:rPr>
            <w:noProof/>
            <w:webHidden/>
          </w:rPr>
          <w:t>10</w:t>
        </w:r>
        <w:r w:rsidR="009226AB" w:rsidRPr="003E4580">
          <w:rPr>
            <w:noProof/>
            <w:webHidden/>
          </w:rPr>
          <w:fldChar w:fldCharType="end"/>
        </w:r>
      </w:hyperlink>
    </w:p>
    <w:p w14:paraId="77404878" w14:textId="388A7D5A" w:rsidR="009226AB" w:rsidRPr="003E4580" w:rsidRDefault="00BF64CF">
      <w:pPr>
        <w:pStyle w:val="TOC2"/>
        <w:tabs>
          <w:tab w:val="right" w:pos="9854"/>
        </w:tabs>
        <w:rPr>
          <w:rFonts w:eastAsiaTheme="minorEastAsia"/>
          <w:noProof/>
          <w:color w:val="auto"/>
          <w:kern w:val="0"/>
          <w:sz w:val="22"/>
          <w:szCs w:val="22"/>
          <w:lang w:eastAsia="en-AU"/>
        </w:rPr>
      </w:pPr>
      <w:hyperlink w:anchor="_Toc146894850" w:history="1">
        <w:r w:rsidR="009226AB" w:rsidRPr="003E4580">
          <w:rPr>
            <w:rStyle w:val="Hyperlink"/>
            <w:noProof/>
          </w:rPr>
          <w:t>The impact of road trauma in Australia</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_Toc146894850 \h </w:instrText>
        </w:r>
        <w:r w:rsidR="009226AB" w:rsidRPr="003E4580">
          <w:rPr>
            <w:noProof/>
            <w:webHidden/>
          </w:rPr>
        </w:r>
        <w:r w:rsidR="009226AB" w:rsidRPr="003E4580">
          <w:rPr>
            <w:noProof/>
            <w:webHidden/>
          </w:rPr>
          <w:fldChar w:fldCharType="separate"/>
        </w:r>
        <w:r w:rsidR="009226AB" w:rsidRPr="003E4580">
          <w:rPr>
            <w:noProof/>
            <w:webHidden/>
          </w:rPr>
          <w:t>10</w:t>
        </w:r>
        <w:r w:rsidR="009226AB" w:rsidRPr="003E4580">
          <w:rPr>
            <w:noProof/>
            <w:webHidden/>
          </w:rPr>
          <w:fldChar w:fldCharType="end"/>
        </w:r>
      </w:hyperlink>
    </w:p>
    <w:p w14:paraId="7829152F" w14:textId="4503CF8C" w:rsidR="009226AB" w:rsidRPr="003E4580" w:rsidRDefault="00BF64CF">
      <w:pPr>
        <w:pStyle w:val="TOC2"/>
        <w:tabs>
          <w:tab w:val="right" w:pos="9854"/>
        </w:tabs>
        <w:rPr>
          <w:rFonts w:eastAsiaTheme="minorEastAsia"/>
          <w:noProof/>
          <w:color w:val="auto"/>
          <w:kern w:val="0"/>
          <w:sz w:val="22"/>
          <w:szCs w:val="22"/>
          <w:lang w:eastAsia="en-AU"/>
        </w:rPr>
      </w:pPr>
      <w:hyperlink w:anchor="_Toc146894851" w:history="1">
        <w:r w:rsidR="009226AB" w:rsidRPr="003E4580">
          <w:rPr>
            <w:rStyle w:val="Hyperlink"/>
            <w:noProof/>
          </w:rPr>
          <w:t>Road trauma involving heavy vehicles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_Toc146894851 \h </w:instrText>
        </w:r>
        <w:r w:rsidR="009226AB" w:rsidRPr="003E4580">
          <w:rPr>
            <w:noProof/>
            <w:webHidden/>
          </w:rPr>
        </w:r>
        <w:r w:rsidR="009226AB" w:rsidRPr="003E4580">
          <w:rPr>
            <w:noProof/>
            <w:webHidden/>
          </w:rPr>
          <w:fldChar w:fldCharType="separate"/>
        </w:r>
        <w:r w:rsidR="009226AB" w:rsidRPr="003E4580">
          <w:rPr>
            <w:noProof/>
            <w:webHidden/>
          </w:rPr>
          <w:t>11</w:t>
        </w:r>
        <w:r w:rsidR="009226AB" w:rsidRPr="003E4580">
          <w:rPr>
            <w:noProof/>
            <w:webHidden/>
          </w:rPr>
          <w:fldChar w:fldCharType="end"/>
        </w:r>
      </w:hyperlink>
    </w:p>
    <w:p w14:paraId="5B1E9400" w14:textId="14C89D9C" w:rsidR="009226AB" w:rsidRPr="003E4580" w:rsidRDefault="00BF64CF">
      <w:pPr>
        <w:pStyle w:val="TOC3"/>
        <w:tabs>
          <w:tab w:val="right" w:pos="9854"/>
        </w:tabs>
        <w:rPr>
          <w:rFonts w:eastAsiaTheme="minorEastAsia"/>
          <w:noProof/>
          <w:color w:val="auto"/>
          <w:kern w:val="0"/>
          <w:sz w:val="22"/>
          <w:szCs w:val="22"/>
          <w:lang w:eastAsia="en-AU"/>
        </w:rPr>
      </w:pPr>
      <w:hyperlink w:anchor="_Toc146894852" w:history="1">
        <w:r w:rsidR="009226AB" w:rsidRPr="003E4580">
          <w:rPr>
            <w:rStyle w:val="Hyperlink"/>
            <w:noProof/>
          </w:rPr>
          <w:t>Fatalities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_Toc146894852 \h </w:instrText>
        </w:r>
        <w:r w:rsidR="009226AB" w:rsidRPr="003E4580">
          <w:rPr>
            <w:noProof/>
            <w:webHidden/>
          </w:rPr>
        </w:r>
        <w:r w:rsidR="009226AB" w:rsidRPr="003E4580">
          <w:rPr>
            <w:noProof/>
            <w:webHidden/>
          </w:rPr>
          <w:fldChar w:fldCharType="separate"/>
        </w:r>
        <w:r w:rsidR="009226AB" w:rsidRPr="003E4580">
          <w:rPr>
            <w:noProof/>
            <w:webHidden/>
          </w:rPr>
          <w:t>11</w:t>
        </w:r>
        <w:r w:rsidR="009226AB" w:rsidRPr="003E4580">
          <w:rPr>
            <w:noProof/>
            <w:webHidden/>
          </w:rPr>
          <w:fldChar w:fldCharType="end"/>
        </w:r>
      </w:hyperlink>
    </w:p>
    <w:p w14:paraId="3F209B71" w14:textId="3668D2B5" w:rsidR="009226AB" w:rsidRPr="003E4580" w:rsidRDefault="00BF64CF">
      <w:pPr>
        <w:pStyle w:val="TOC3"/>
        <w:tabs>
          <w:tab w:val="right" w:pos="9854"/>
        </w:tabs>
        <w:rPr>
          <w:rFonts w:eastAsiaTheme="minorEastAsia"/>
          <w:noProof/>
          <w:color w:val="auto"/>
          <w:kern w:val="0"/>
          <w:sz w:val="22"/>
          <w:szCs w:val="22"/>
          <w:lang w:eastAsia="en-AU"/>
        </w:rPr>
      </w:pPr>
      <w:hyperlink w:anchor="_Toc146894853" w:history="1">
        <w:r w:rsidR="009226AB" w:rsidRPr="003E4580">
          <w:rPr>
            <w:rStyle w:val="Hyperlink"/>
            <w:noProof/>
          </w:rPr>
          <w:t>Serious and minor injuries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_Toc146894853 \h </w:instrText>
        </w:r>
        <w:r w:rsidR="009226AB" w:rsidRPr="003E4580">
          <w:rPr>
            <w:noProof/>
            <w:webHidden/>
          </w:rPr>
        </w:r>
        <w:r w:rsidR="009226AB" w:rsidRPr="003E4580">
          <w:rPr>
            <w:noProof/>
            <w:webHidden/>
          </w:rPr>
          <w:fldChar w:fldCharType="separate"/>
        </w:r>
        <w:r w:rsidR="009226AB" w:rsidRPr="003E4580">
          <w:rPr>
            <w:noProof/>
            <w:webHidden/>
          </w:rPr>
          <w:t>13</w:t>
        </w:r>
        <w:r w:rsidR="009226AB" w:rsidRPr="003E4580">
          <w:rPr>
            <w:noProof/>
            <w:webHidden/>
          </w:rPr>
          <w:fldChar w:fldCharType="end"/>
        </w:r>
      </w:hyperlink>
    </w:p>
    <w:p w14:paraId="60F816EA" w14:textId="2858EE0B" w:rsidR="009226AB" w:rsidRPr="003E4580" w:rsidRDefault="00BF64CF">
      <w:pPr>
        <w:pStyle w:val="TOC2"/>
        <w:tabs>
          <w:tab w:val="right" w:pos="9854"/>
        </w:tabs>
        <w:rPr>
          <w:rFonts w:eastAsiaTheme="minorEastAsia"/>
          <w:noProof/>
          <w:color w:val="auto"/>
          <w:kern w:val="0"/>
          <w:sz w:val="22"/>
          <w:szCs w:val="22"/>
          <w:lang w:eastAsia="en-AU"/>
        </w:rPr>
      </w:pPr>
      <w:hyperlink w:anchor="_Toc146894854" w:history="1">
        <w:r w:rsidR="009226AB" w:rsidRPr="003E4580">
          <w:rPr>
            <w:rStyle w:val="Hyperlink"/>
            <w:noProof/>
          </w:rPr>
          <w:t>Attributes of heavy vehicle crashes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_Toc146894854 \h </w:instrText>
        </w:r>
        <w:r w:rsidR="009226AB" w:rsidRPr="003E4580">
          <w:rPr>
            <w:noProof/>
            <w:webHidden/>
          </w:rPr>
        </w:r>
        <w:r w:rsidR="009226AB" w:rsidRPr="003E4580">
          <w:rPr>
            <w:noProof/>
            <w:webHidden/>
          </w:rPr>
          <w:fldChar w:fldCharType="separate"/>
        </w:r>
        <w:r w:rsidR="009226AB" w:rsidRPr="003E4580">
          <w:rPr>
            <w:noProof/>
            <w:webHidden/>
          </w:rPr>
          <w:t>14</w:t>
        </w:r>
        <w:r w:rsidR="009226AB" w:rsidRPr="003E4580">
          <w:rPr>
            <w:noProof/>
            <w:webHidden/>
          </w:rPr>
          <w:fldChar w:fldCharType="end"/>
        </w:r>
      </w:hyperlink>
    </w:p>
    <w:p w14:paraId="2893F92F" w14:textId="2EE8B730" w:rsidR="009226AB" w:rsidRPr="003E4580" w:rsidRDefault="00BF64CF">
      <w:pPr>
        <w:pStyle w:val="TOC3"/>
        <w:tabs>
          <w:tab w:val="right" w:pos="9854"/>
        </w:tabs>
        <w:rPr>
          <w:rFonts w:eastAsiaTheme="minorEastAsia"/>
          <w:noProof/>
          <w:color w:val="auto"/>
          <w:kern w:val="0"/>
          <w:sz w:val="22"/>
          <w:szCs w:val="22"/>
          <w:lang w:eastAsia="en-AU"/>
        </w:rPr>
      </w:pPr>
      <w:hyperlink w:anchor="_Toc146894855" w:history="1">
        <w:r w:rsidR="009226AB" w:rsidRPr="003E4580">
          <w:rPr>
            <w:rStyle w:val="Hyperlink"/>
            <w:noProof/>
          </w:rPr>
          <w:t>Heavy vehicle factors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_Toc146894855 \h </w:instrText>
        </w:r>
        <w:r w:rsidR="009226AB" w:rsidRPr="003E4580">
          <w:rPr>
            <w:noProof/>
            <w:webHidden/>
          </w:rPr>
        </w:r>
        <w:r w:rsidR="009226AB" w:rsidRPr="003E4580">
          <w:rPr>
            <w:noProof/>
            <w:webHidden/>
          </w:rPr>
          <w:fldChar w:fldCharType="separate"/>
        </w:r>
        <w:r w:rsidR="009226AB" w:rsidRPr="003E4580">
          <w:rPr>
            <w:noProof/>
            <w:webHidden/>
          </w:rPr>
          <w:t>14</w:t>
        </w:r>
        <w:r w:rsidR="009226AB" w:rsidRPr="003E4580">
          <w:rPr>
            <w:noProof/>
            <w:webHidden/>
          </w:rPr>
          <w:fldChar w:fldCharType="end"/>
        </w:r>
      </w:hyperlink>
    </w:p>
    <w:p w14:paraId="4FCB424F" w14:textId="7684F057" w:rsidR="009226AB" w:rsidRPr="003E4580" w:rsidRDefault="00BF64CF">
      <w:pPr>
        <w:pStyle w:val="TOC3"/>
        <w:tabs>
          <w:tab w:val="right" w:pos="9854"/>
        </w:tabs>
        <w:rPr>
          <w:rFonts w:eastAsiaTheme="minorEastAsia"/>
          <w:noProof/>
          <w:color w:val="auto"/>
          <w:kern w:val="0"/>
          <w:sz w:val="22"/>
          <w:szCs w:val="22"/>
          <w:lang w:eastAsia="en-AU"/>
        </w:rPr>
      </w:pPr>
      <w:hyperlink w:anchor="_Toc146894856" w:history="1">
        <w:r w:rsidR="009226AB" w:rsidRPr="003E4580">
          <w:rPr>
            <w:rStyle w:val="Hyperlink"/>
            <w:noProof/>
          </w:rPr>
          <w:t>Driver factors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_Toc146894856 \h </w:instrText>
        </w:r>
        <w:r w:rsidR="009226AB" w:rsidRPr="003E4580">
          <w:rPr>
            <w:noProof/>
            <w:webHidden/>
          </w:rPr>
        </w:r>
        <w:r w:rsidR="009226AB" w:rsidRPr="003E4580">
          <w:rPr>
            <w:noProof/>
            <w:webHidden/>
          </w:rPr>
          <w:fldChar w:fldCharType="separate"/>
        </w:r>
        <w:r w:rsidR="009226AB" w:rsidRPr="003E4580">
          <w:rPr>
            <w:noProof/>
            <w:webHidden/>
          </w:rPr>
          <w:t>14</w:t>
        </w:r>
        <w:r w:rsidR="009226AB" w:rsidRPr="003E4580">
          <w:rPr>
            <w:noProof/>
            <w:webHidden/>
          </w:rPr>
          <w:fldChar w:fldCharType="end"/>
        </w:r>
      </w:hyperlink>
    </w:p>
    <w:p w14:paraId="43BBC06B" w14:textId="274008A3" w:rsidR="009226AB" w:rsidRPr="003E4580" w:rsidRDefault="00BF64CF">
      <w:pPr>
        <w:pStyle w:val="TOC2"/>
        <w:tabs>
          <w:tab w:val="right" w:pos="9854"/>
        </w:tabs>
        <w:rPr>
          <w:rFonts w:eastAsiaTheme="minorEastAsia"/>
          <w:noProof/>
          <w:color w:val="auto"/>
          <w:kern w:val="0"/>
          <w:sz w:val="22"/>
          <w:szCs w:val="22"/>
          <w:lang w:eastAsia="en-AU"/>
        </w:rPr>
      </w:pPr>
      <w:hyperlink w:anchor="_Toc146894857" w:history="1">
        <w:r w:rsidR="009226AB" w:rsidRPr="003E4580">
          <w:rPr>
            <w:rStyle w:val="Hyperlink"/>
            <w:noProof/>
          </w:rPr>
          <w:t>Government actions to address heavy vehicle trauma</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_Toc146894857 \h </w:instrText>
        </w:r>
        <w:r w:rsidR="009226AB" w:rsidRPr="003E4580">
          <w:rPr>
            <w:noProof/>
            <w:webHidden/>
          </w:rPr>
        </w:r>
        <w:r w:rsidR="009226AB" w:rsidRPr="003E4580">
          <w:rPr>
            <w:noProof/>
            <w:webHidden/>
          </w:rPr>
          <w:fldChar w:fldCharType="separate"/>
        </w:r>
        <w:r w:rsidR="009226AB" w:rsidRPr="003E4580">
          <w:rPr>
            <w:noProof/>
            <w:webHidden/>
          </w:rPr>
          <w:t>14</w:t>
        </w:r>
        <w:r w:rsidR="009226AB" w:rsidRPr="003E4580">
          <w:rPr>
            <w:noProof/>
            <w:webHidden/>
          </w:rPr>
          <w:fldChar w:fldCharType="end"/>
        </w:r>
      </w:hyperlink>
    </w:p>
    <w:p w14:paraId="14D19C0B" w14:textId="54BE3D7A" w:rsidR="009226AB" w:rsidRPr="003E4580" w:rsidRDefault="00BF64CF">
      <w:pPr>
        <w:pStyle w:val="TOC3"/>
        <w:tabs>
          <w:tab w:val="right" w:pos="9854"/>
        </w:tabs>
        <w:rPr>
          <w:rFonts w:eastAsiaTheme="minorEastAsia"/>
          <w:noProof/>
          <w:color w:val="auto"/>
          <w:kern w:val="0"/>
          <w:sz w:val="22"/>
          <w:szCs w:val="22"/>
          <w:lang w:eastAsia="en-AU"/>
        </w:rPr>
      </w:pPr>
      <w:hyperlink w:anchor="_Toc146894858" w:history="1">
        <w:r w:rsidR="009226AB" w:rsidRPr="003E4580">
          <w:rPr>
            <w:rStyle w:val="Hyperlink"/>
            <w:noProof/>
          </w:rPr>
          <w:t>Road Safety Programs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_Toc146894858 \h </w:instrText>
        </w:r>
        <w:r w:rsidR="009226AB" w:rsidRPr="003E4580">
          <w:rPr>
            <w:noProof/>
            <w:webHidden/>
          </w:rPr>
        </w:r>
        <w:r w:rsidR="009226AB" w:rsidRPr="003E4580">
          <w:rPr>
            <w:noProof/>
            <w:webHidden/>
          </w:rPr>
          <w:fldChar w:fldCharType="separate"/>
        </w:r>
        <w:r w:rsidR="009226AB" w:rsidRPr="003E4580">
          <w:rPr>
            <w:noProof/>
            <w:webHidden/>
          </w:rPr>
          <w:t>15</w:t>
        </w:r>
        <w:r w:rsidR="009226AB" w:rsidRPr="003E4580">
          <w:rPr>
            <w:noProof/>
            <w:webHidden/>
          </w:rPr>
          <w:fldChar w:fldCharType="end"/>
        </w:r>
      </w:hyperlink>
    </w:p>
    <w:p w14:paraId="485C1D4D" w14:textId="04059C17" w:rsidR="009226AB" w:rsidRPr="003E4580" w:rsidRDefault="00BF64CF">
      <w:pPr>
        <w:pStyle w:val="TOC3"/>
        <w:tabs>
          <w:tab w:val="right" w:pos="9854"/>
        </w:tabs>
        <w:rPr>
          <w:rFonts w:eastAsiaTheme="minorEastAsia"/>
          <w:noProof/>
          <w:color w:val="auto"/>
          <w:kern w:val="0"/>
          <w:sz w:val="22"/>
          <w:szCs w:val="22"/>
          <w:lang w:eastAsia="en-AU"/>
        </w:rPr>
      </w:pPr>
      <w:hyperlink w:anchor="_Toc146894859" w:history="1">
        <w:r w:rsidR="009226AB" w:rsidRPr="003E4580">
          <w:rPr>
            <w:rStyle w:val="Hyperlink"/>
            <w:rFonts w:cstheme="minorHAnsi"/>
            <w:noProof/>
          </w:rPr>
          <w:t xml:space="preserve">Heavy </w:t>
        </w:r>
        <w:r w:rsidR="009226AB" w:rsidRPr="003E4580">
          <w:rPr>
            <w:rStyle w:val="Hyperlink"/>
            <w:noProof/>
          </w:rPr>
          <w:t>Vehicle</w:t>
        </w:r>
        <w:r w:rsidR="009226AB" w:rsidRPr="003E4580">
          <w:rPr>
            <w:rStyle w:val="Hyperlink"/>
            <w:rFonts w:cstheme="minorHAnsi"/>
            <w:noProof/>
          </w:rPr>
          <w:t xml:space="preserve"> Safety Initiative (HVSI)</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_Toc146894859 \h </w:instrText>
        </w:r>
        <w:r w:rsidR="009226AB" w:rsidRPr="003E4580">
          <w:rPr>
            <w:noProof/>
            <w:webHidden/>
          </w:rPr>
        </w:r>
        <w:r w:rsidR="009226AB" w:rsidRPr="003E4580">
          <w:rPr>
            <w:noProof/>
            <w:webHidden/>
          </w:rPr>
          <w:fldChar w:fldCharType="separate"/>
        </w:r>
        <w:r w:rsidR="009226AB" w:rsidRPr="003E4580">
          <w:rPr>
            <w:noProof/>
            <w:webHidden/>
          </w:rPr>
          <w:t>15</w:t>
        </w:r>
        <w:r w:rsidR="009226AB" w:rsidRPr="003E4580">
          <w:rPr>
            <w:noProof/>
            <w:webHidden/>
          </w:rPr>
          <w:fldChar w:fldCharType="end"/>
        </w:r>
      </w:hyperlink>
    </w:p>
    <w:p w14:paraId="10DCDB82" w14:textId="15185456" w:rsidR="009226AB" w:rsidRPr="003E4580" w:rsidRDefault="00BF64CF">
      <w:pPr>
        <w:pStyle w:val="TOC3"/>
        <w:tabs>
          <w:tab w:val="right" w:pos="9854"/>
        </w:tabs>
        <w:rPr>
          <w:rFonts w:eastAsiaTheme="minorEastAsia"/>
          <w:noProof/>
          <w:color w:val="auto"/>
          <w:kern w:val="0"/>
          <w:sz w:val="22"/>
          <w:szCs w:val="22"/>
          <w:lang w:eastAsia="en-AU"/>
        </w:rPr>
      </w:pPr>
      <w:hyperlink w:anchor="_Toc146894860" w:history="1">
        <w:r w:rsidR="009226AB" w:rsidRPr="003E4580">
          <w:rPr>
            <w:rStyle w:val="Hyperlink"/>
            <w:noProof/>
          </w:rPr>
          <w:t>Driver Reviver Site Upgrades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_Toc146894860 \h </w:instrText>
        </w:r>
        <w:r w:rsidR="009226AB" w:rsidRPr="003E4580">
          <w:rPr>
            <w:noProof/>
            <w:webHidden/>
          </w:rPr>
        </w:r>
        <w:r w:rsidR="009226AB" w:rsidRPr="003E4580">
          <w:rPr>
            <w:noProof/>
            <w:webHidden/>
          </w:rPr>
          <w:fldChar w:fldCharType="separate"/>
        </w:r>
        <w:r w:rsidR="009226AB" w:rsidRPr="003E4580">
          <w:rPr>
            <w:noProof/>
            <w:webHidden/>
          </w:rPr>
          <w:t>15</w:t>
        </w:r>
        <w:r w:rsidR="009226AB" w:rsidRPr="003E4580">
          <w:rPr>
            <w:noProof/>
            <w:webHidden/>
          </w:rPr>
          <w:fldChar w:fldCharType="end"/>
        </w:r>
      </w:hyperlink>
    </w:p>
    <w:p w14:paraId="03DDB71D" w14:textId="055D8271" w:rsidR="009226AB" w:rsidRPr="003E4580" w:rsidRDefault="00BF64CF">
      <w:pPr>
        <w:pStyle w:val="TOC2"/>
        <w:tabs>
          <w:tab w:val="right" w:pos="9854"/>
        </w:tabs>
        <w:rPr>
          <w:rFonts w:eastAsiaTheme="minorEastAsia"/>
          <w:noProof/>
          <w:color w:val="auto"/>
          <w:kern w:val="0"/>
          <w:sz w:val="22"/>
          <w:szCs w:val="22"/>
          <w:lang w:eastAsia="en-AU"/>
        </w:rPr>
      </w:pPr>
      <w:hyperlink w:anchor="_Toc146894861" w:history="1">
        <w:r w:rsidR="009226AB" w:rsidRPr="003E4580">
          <w:rPr>
            <w:rStyle w:val="Hyperlink"/>
            <w:noProof/>
          </w:rPr>
          <w:t>State and Territory Government actions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_Toc146894861 \h </w:instrText>
        </w:r>
        <w:r w:rsidR="009226AB" w:rsidRPr="003E4580">
          <w:rPr>
            <w:noProof/>
            <w:webHidden/>
          </w:rPr>
        </w:r>
        <w:r w:rsidR="009226AB" w:rsidRPr="003E4580">
          <w:rPr>
            <w:noProof/>
            <w:webHidden/>
          </w:rPr>
          <w:fldChar w:fldCharType="separate"/>
        </w:r>
        <w:r w:rsidR="009226AB" w:rsidRPr="003E4580">
          <w:rPr>
            <w:noProof/>
            <w:webHidden/>
          </w:rPr>
          <w:t>16</w:t>
        </w:r>
        <w:r w:rsidR="009226AB" w:rsidRPr="003E4580">
          <w:rPr>
            <w:noProof/>
            <w:webHidden/>
          </w:rPr>
          <w:fldChar w:fldCharType="end"/>
        </w:r>
      </w:hyperlink>
    </w:p>
    <w:p w14:paraId="6BC67F71" w14:textId="0E87E2C0" w:rsidR="009226AB" w:rsidRPr="003E4580" w:rsidRDefault="00BF64CF">
      <w:pPr>
        <w:pStyle w:val="TOC2"/>
        <w:tabs>
          <w:tab w:val="right" w:pos="9854"/>
        </w:tabs>
        <w:rPr>
          <w:rFonts w:eastAsiaTheme="minorEastAsia"/>
          <w:noProof/>
          <w:color w:val="auto"/>
          <w:kern w:val="0"/>
          <w:sz w:val="22"/>
          <w:szCs w:val="22"/>
          <w:lang w:eastAsia="en-AU"/>
        </w:rPr>
      </w:pPr>
      <w:hyperlink w:anchor="_Toc146894862" w:history="1">
        <w:r w:rsidR="009226AB" w:rsidRPr="003E4580">
          <w:rPr>
            <w:rStyle w:val="Hyperlink"/>
            <w:noProof/>
          </w:rPr>
          <w:t>Austroads - Harmonisation of Pavement Markings and National Pavement Marking Specification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_Toc146894862 \h </w:instrText>
        </w:r>
        <w:r w:rsidR="009226AB" w:rsidRPr="003E4580">
          <w:rPr>
            <w:noProof/>
            <w:webHidden/>
          </w:rPr>
        </w:r>
        <w:r w:rsidR="009226AB" w:rsidRPr="003E4580">
          <w:rPr>
            <w:noProof/>
            <w:webHidden/>
          </w:rPr>
          <w:fldChar w:fldCharType="separate"/>
        </w:r>
        <w:r w:rsidR="009226AB" w:rsidRPr="003E4580">
          <w:rPr>
            <w:noProof/>
            <w:webHidden/>
          </w:rPr>
          <w:t>18</w:t>
        </w:r>
        <w:r w:rsidR="009226AB" w:rsidRPr="003E4580">
          <w:rPr>
            <w:noProof/>
            <w:webHidden/>
          </w:rPr>
          <w:fldChar w:fldCharType="end"/>
        </w:r>
      </w:hyperlink>
    </w:p>
    <w:p w14:paraId="3913FCD3" w14:textId="23E4BBC2" w:rsidR="009226AB" w:rsidRPr="003E4580" w:rsidRDefault="00BF64CF">
      <w:pPr>
        <w:pStyle w:val="TOC2"/>
        <w:tabs>
          <w:tab w:val="right" w:pos="9854"/>
        </w:tabs>
        <w:rPr>
          <w:rFonts w:eastAsiaTheme="minorEastAsia"/>
          <w:noProof/>
          <w:color w:val="auto"/>
          <w:kern w:val="0"/>
          <w:sz w:val="22"/>
          <w:szCs w:val="22"/>
          <w:lang w:eastAsia="en-AU"/>
        </w:rPr>
      </w:pPr>
      <w:hyperlink w:anchor="_Toc146894863" w:history="1">
        <w:r w:rsidR="009226AB" w:rsidRPr="003E4580">
          <w:rPr>
            <w:rStyle w:val="Hyperlink"/>
            <w:noProof/>
          </w:rPr>
          <w:t>National Vehicle Standards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_Toc146894863 \h </w:instrText>
        </w:r>
        <w:r w:rsidR="009226AB" w:rsidRPr="003E4580">
          <w:rPr>
            <w:noProof/>
            <w:webHidden/>
          </w:rPr>
        </w:r>
        <w:r w:rsidR="009226AB" w:rsidRPr="003E4580">
          <w:rPr>
            <w:noProof/>
            <w:webHidden/>
          </w:rPr>
          <w:fldChar w:fldCharType="separate"/>
        </w:r>
        <w:r w:rsidR="009226AB" w:rsidRPr="003E4580">
          <w:rPr>
            <w:noProof/>
            <w:webHidden/>
          </w:rPr>
          <w:t>19</w:t>
        </w:r>
        <w:r w:rsidR="009226AB" w:rsidRPr="003E4580">
          <w:rPr>
            <w:noProof/>
            <w:webHidden/>
          </w:rPr>
          <w:fldChar w:fldCharType="end"/>
        </w:r>
      </w:hyperlink>
    </w:p>
    <w:p w14:paraId="4ED6FE59" w14:textId="54B41DCB" w:rsidR="009226AB" w:rsidRPr="003E4580" w:rsidRDefault="00BF64CF">
      <w:pPr>
        <w:pStyle w:val="TOC3"/>
        <w:tabs>
          <w:tab w:val="right" w:pos="9854"/>
        </w:tabs>
        <w:rPr>
          <w:rFonts w:eastAsiaTheme="minorEastAsia"/>
          <w:noProof/>
          <w:color w:val="auto"/>
          <w:kern w:val="0"/>
          <w:sz w:val="22"/>
          <w:szCs w:val="22"/>
          <w:lang w:eastAsia="en-AU"/>
        </w:rPr>
      </w:pPr>
      <w:hyperlink w:anchor="_Toc146894864" w:history="1">
        <w:r w:rsidR="009226AB" w:rsidRPr="003E4580">
          <w:rPr>
            <w:rStyle w:val="Hyperlink"/>
            <w:noProof/>
          </w:rPr>
          <w:t>Front Underrun Impact Protection Devices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_Toc146894864 \h </w:instrText>
        </w:r>
        <w:r w:rsidR="009226AB" w:rsidRPr="003E4580">
          <w:rPr>
            <w:noProof/>
            <w:webHidden/>
          </w:rPr>
        </w:r>
        <w:r w:rsidR="009226AB" w:rsidRPr="003E4580">
          <w:rPr>
            <w:noProof/>
            <w:webHidden/>
          </w:rPr>
          <w:fldChar w:fldCharType="separate"/>
        </w:r>
        <w:r w:rsidR="009226AB" w:rsidRPr="003E4580">
          <w:rPr>
            <w:noProof/>
            <w:webHidden/>
          </w:rPr>
          <w:t>19</w:t>
        </w:r>
        <w:r w:rsidR="009226AB" w:rsidRPr="003E4580">
          <w:rPr>
            <w:noProof/>
            <w:webHidden/>
          </w:rPr>
          <w:fldChar w:fldCharType="end"/>
        </w:r>
      </w:hyperlink>
    </w:p>
    <w:p w14:paraId="28E8720D" w14:textId="5DAB6656" w:rsidR="009226AB" w:rsidRPr="003E4580" w:rsidRDefault="00BF64CF">
      <w:pPr>
        <w:pStyle w:val="TOC3"/>
        <w:tabs>
          <w:tab w:val="right" w:pos="9854"/>
        </w:tabs>
        <w:rPr>
          <w:rFonts w:eastAsiaTheme="minorEastAsia"/>
          <w:noProof/>
          <w:color w:val="auto"/>
          <w:kern w:val="0"/>
          <w:sz w:val="22"/>
          <w:szCs w:val="22"/>
          <w:lang w:eastAsia="en-AU"/>
        </w:rPr>
      </w:pPr>
      <w:hyperlink w:anchor="_Toc146894865" w:history="1">
        <w:r w:rsidR="009226AB" w:rsidRPr="003E4580">
          <w:rPr>
            <w:rStyle w:val="Hyperlink"/>
            <w:noProof/>
          </w:rPr>
          <w:t>Construction Logistics and Community Safety-Australia (CLOCS – A)</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_Toc146894865 \h </w:instrText>
        </w:r>
        <w:r w:rsidR="009226AB" w:rsidRPr="003E4580">
          <w:rPr>
            <w:noProof/>
            <w:webHidden/>
          </w:rPr>
        </w:r>
        <w:r w:rsidR="009226AB" w:rsidRPr="003E4580">
          <w:rPr>
            <w:noProof/>
            <w:webHidden/>
          </w:rPr>
          <w:fldChar w:fldCharType="separate"/>
        </w:r>
        <w:r w:rsidR="009226AB" w:rsidRPr="003E4580">
          <w:rPr>
            <w:noProof/>
            <w:webHidden/>
          </w:rPr>
          <w:t>19</w:t>
        </w:r>
        <w:r w:rsidR="009226AB" w:rsidRPr="003E4580">
          <w:rPr>
            <w:noProof/>
            <w:webHidden/>
          </w:rPr>
          <w:fldChar w:fldCharType="end"/>
        </w:r>
      </w:hyperlink>
    </w:p>
    <w:p w14:paraId="786C2EC4" w14:textId="75CCFC81" w:rsidR="009226AB" w:rsidRPr="003E4580" w:rsidRDefault="00BF64CF">
      <w:pPr>
        <w:pStyle w:val="TOC1"/>
        <w:rPr>
          <w:rFonts w:eastAsiaTheme="minorEastAsia"/>
          <w:b w:val="0"/>
          <w:noProof/>
          <w:color w:val="auto"/>
          <w:kern w:val="0"/>
          <w:sz w:val="22"/>
          <w:szCs w:val="22"/>
          <w:u w:val="none"/>
          <w:lang w:eastAsia="en-AU"/>
        </w:rPr>
      </w:pPr>
      <w:hyperlink w:anchor="_Toc146894866" w:history="1">
        <w:r w:rsidR="009226AB" w:rsidRPr="003E4580">
          <w:rPr>
            <w:rStyle w:val="Hyperlink"/>
            <w:noProof/>
          </w:rPr>
          <w:t>Chapter 2: Why is government action needed?</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_Toc146894866 \h </w:instrText>
        </w:r>
        <w:r w:rsidR="009226AB" w:rsidRPr="003E4580">
          <w:rPr>
            <w:noProof/>
            <w:webHidden/>
          </w:rPr>
        </w:r>
        <w:r w:rsidR="009226AB" w:rsidRPr="003E4580">
          <w:rPr>
            <w:noProof/>
            <w:webHidden/>
          </w:rPr>
          <w:fldChar w:fldCharType="separate"/>
        </w:r>
        <w:r w:rsidR="009226AB" w:rsidRPr="003E4580">
          <w:rPr>
            <w:noProof/>
            <w:webHidden/>
          </w:rPr>
          <w:t>19</w:t>
        </w:r>
        <w:r w:rsidR="009226AB" w:rsidRPr="003E4580">
          <w:rPr>
            <w:noProof/>
            <w:webHidden/>
          </w:rPr>
          <w:fldChar w:fldCharType="end"/>
        </w:r>
      </w:hyperlink>
    </w:p>
    <w:p w14:paraId="694B116F" w14:textId="08A95DA9" w:rsidR="009226AB" w:rsidRPr="003E4580" w:rsidRDefault="00BF64CF">
      <w:pPr>
        <w:pStyle w:val="TOC2"/>
        <w:tabs>
          <w:tab w:val="right" w:pos="9854"/>
        </w:tabs>
        <w:rPr>
          <w:rFonts w:eastAsiaTheme="minorEastAsia"/>
          <w:noProof/>
          <w:color w:val="auto"/>
          <w:kern w:val="0"/>
          <w:sz w:val="22"/>
          <w:szCs w:val="22"/>
          <w:lang w:eastAsia="en-AU"/>
        </w:rPr>
      </w:pPr>
      <w:hyperlink w:anchor="_Toc146894867" w:history="1">
        <w:r w:rsidR="009226AB" w:rsidRPr="003E4580">
          <w:rPr>
            <w:rStyle w:val="Hyperlink"/>
            <w:noProof/>
          </w:rPr>
          <w:t>The need for government action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_Toc146894867 \h </w:instrText>
        </w:r>
        <w:r w:rsidR="009226AB" w:rsidRPr="003E4580">
          <w:rPr>
            <w:noProof/>
            <w:webHidden/>
          </w:rPr>
        </w:r>
        <w:r w:rsidR="009226AB" w:rsidRPr="003E4580">
          <w:rPr>
            <w:noProof/>
            <w:webHidden/>
          </w:rPr>
          <w:fldChar w:fldCharType="separate"/>
        </w:r>
        <w:r w:rsidR="009226AB" w:rsidRPr="003E4580">
          <w:rPr>
            <w:noProof/>
            <w:webHidden/>
          </w:rPr>
          <w:t>19</w:t>
        </w:r>
        <w:r w:rsidR="009226AB" w:rsidRPr="003E4580">
          <w:rPr>
            <w:noProof/>
            <w:webHidden/>
          </w:rPr>
          <w:fldChar w:fldCharType="end"/>
        </w:r>
      </w:hyperlink>
    </w:p>
    <w:p w14:paraId="7FE8AF74" w14:textId="28C4BD40" w:rsidR="009226AB" w:rsidRPr="003E4580" w:rsidRDefault="00BF64CF">
      <w:pPr>
        <w:pStyle w:val="TOC2"/>
        <w:tabs>
          <w:tab w:val="right" w:pos="9854"/>
        </w:tabs>
        <w:rPr>
          <w:rFonts w:eastAsiaTheme="minorEastAsia"/>
          <w:noProof/>
          <w:color w:val="auto"/>
          <w:kern w:val="0"/>
          <w:sz w:val="22"/>
          <w:szCs w:val="22"/>
          <w:lang w:eastAsia="en-AU"/>
        </w:rPr>
      </w:pPr>
      <w:hyperlink w:anchor="_Toc146894868" w:history="1">
        <w:r w:rsidR="009226AB" w:rsidRPr="003E4580">
          <w:rPr>
            <w:rStyle w:val="Hyperlink"/>
            <w:noProof/>
          </w:rPr>
          <w:t>Availability and uptake of LDWS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_Toc146894868 \h </w:instrText>
        </w:r>
        <w:r w:rsidR="009226AB" w:rsidRPr="003E4580">
          <w:rPr>
            <w:noProof/>
            <w:webHidden/>
          </w:rPr>
        </w:r>
        <w:r w:rsidR="009226AB" w:rsidRPr="003E4580">
          <w:rPr>
            <w:noProof/>
            <w:webHidden/>
          </w:rPr>
          <w:fldChar w:fldCharType="separate"/>
        </w:r>
        <w:r w:rsidR="009226AB" w:rsidRPr="003E4580">
          <w:rPr>
            <w:noProof/>
            <w:webHidden/>
          </w:rPr>
          <w:t>20</w:t>
        </w:r>
        <w:r w:rsidR="009226AB" w:rsidRPr="003E4580">
          <w:rPr>
            <w:noProof/>
            <w:webHidden/>
          </w:rPr>
          <w:fldChar w:fldCharType="end"/>
        </w:r>
      </w:hyperlink>
    </w:p>
    <w:p w14:paraId="1C9FF712" w14:textId="4C85E077" w:rsidR="009226AB" w:rsidRPr="003E4580" w:rsidRDefault="00BF64CF">
      <w:pPr>
        <w:pStyle w:val="TOC2"/>
        <w:tabs>
          <w:tab w:val="right" w:pos="9854"/>
        </w:tabs>
        <w:rPr>
          <w:rFonts w:eastAsiaTheme="minorEastAsia"/>
          <w:noProof/>
          <w:color w:val="auto"/>
          <w:kern w:val="0"/>
          <w:sz w:val="22"/>
          <w:szCs w:val="22"/>
          <w:lang w:eastAsia="en-AU"/>
        </w:rPr>
      </w:pPr>
      <w:hyperlink w:anchor="_Toc146894869" w:history="1">
        <w:r w:rsidR="009226AB" w:rsidRPr="003E4580">
          <w:rPr>
            <w:rStyle w:val="Hyperlink"/>
            <w:noProof/>
          </w:rPr>
          <w:t>Consumer knowledge</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_Toc146894869 \h </w:instrText>
        </w:r>
        <w:r w:rsidR="009226AB" w:rsidRPr="003E4580">
          <w:rPr>
            <w:noProof/>
            <w:webHidden/>
          </w:rPr>
        </w:r>
        <w:r w:rsidR="009226AB" w:rsidRPr="003E4580">
          <w:rPr>
            <w:noProof/>
            <w:webHidden/>
          </w:rPr>
          <w:fldChar w:fldCharType="separate"/>
        </w:r>
        <w:r w:rsidR="009226AB" w:rsidRPr="003E4580">
          <w:rPr>
            <w:noProof/>
            <w:webHidden/>
          </w:rPr>
          <w:t>21</w:t>
        </w:r>
        <w:r w:rsidR="009226AB" w:rsidRPr="003E4580">
          <w:rPr>
            <w:noProof/>
            <w:webHidden/>
          </w:rPr>
          <w:fldChar w:fldCharType="end"/>
        </w:r>
      </w:hyperlink>
    </w:p>
    <w:p w14:paraId="3FD61FD1" w14:textId="02C2BB20" w:rsidR="009226AB" w:rsidRPr="003E4580" w:rsidRDefault="00BF64CF">
      <w:pPr>
        <w:pStyle w:val="TOC2"/>
        <w:tabs>
          <w:tab w:val="right" w:pos="9854"/>
        </w:tabs>
        <w:rPr>
          <w:rFonts w:eastAsiaTheme="minorEastAsia"/>
          <w:noProof/>
          <w:color w:val="auto"/>
          <w:kern w:val="0"/>
          <w:sz w:val="22"/>
          <w:szCs w:val="22"/>
          <w:lang w:eastAsia="en-AU"/>
        </w:rPr>
      </w:pPr>
      <w:hyperlink w:anchor="_Toc146894870" w:history="1">
        <w:r w:rsidR="009226AB" w:rsidRPr="003E4580">
          <w:rPr>
            <w:rStyle w:val="Hyperlink"/>
            <w:noProof/>
          </w:rPr>
          <w:t>Vehicle technology interventions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_Toc146894870 \h </w:instrText>
        </w:r>
        <w:r w:rsidR="009226AB" w:rsidRPr="003E4580">
          <w:rPr>
            <w:noProof/>
            <w:webHidden/>
          </w:rPr>
        </w:r>
        <w:r w:rsidR="009226AB" w:rsidRPr="003E4580">
          <w:rPr>
            <w:noProof/>
            <w:webHidden/>
          </w:rPr>
          <w:fldChar w:fldCharType="separate"/>
        </w:r>
        <w:r w:rsidR="009226AB" w:rsidRPr="003E4580">
          <w:rPr>
            <w:noProof/>
            <w:webHidden/>
          </w:rPr>
          <w:t>22</w:t>
        </w:r>
        <w:r w:rsidR="009226AB" w:rsidRPr="003E4580">
          <w:rPr>
            <w:noProof/>
            <w:webHidden/>
          </w:rPr>
          <w:fldChar w:fldCharType="end"/>
        </w:r>
      </w:hyperlink>
    </w:p>
    <w:p w14:paraId="148F6A32" w14:textId="233FE95B" w:rsidR="009226AB" w:rsidRPr="003E4580" w:rsidRDefault="00BF64CF">
      <w:pPr>
        <w:pStyle w:val="TOC2"/>
        <w:tabs>
          <w:tab w:val="right" w:pos="9854"/>
        </w:tabs>
        <w:rPr>
          <w:rFonts w:eastAsiaTheme="minorEastAsia"/>
          <w:noProof/>
          <w:color w:val="auto"/>
          <w:kern w:val="0"/>
          <w:sz w:val="22"/>
          <w:szCs w:val="22"/>
          <w:lang w:eastAsia="en-AU"/>
        </w:rPr>
      </w:pPr>
      <w:hyperlink w:anchor="_Toc146894871" w:history="1">
        <w:r w:rsidR="009226AB" w:rsidRPr="003E4580">
          <w:rPr>
            <w:rStyle w:val="Hyperlink"/>
            <w:noProof/>
          </w:rPr>
          <w:t>Lane Departure Warning Systems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_Toc146894871 \h </w:instrText>
        </w:r>
        <w:r w:rsidR="009226AB" w:rsidRPr="003E4580">
          <w:rPr>
            <w:noProof/>
            <w:webHidden/>
          </w:rPr>
        </w:r>
        <w:r w:rsidR="009226AB" w:rsidRPr="003E4580">
          <w:rPr>
            <w:noProof/>
            <w:webHidden/>
          </w:rPr>
          <w:fldChar w:fldCharType="separate"/>
        </w:r>
        <w:r w:rsidR="009226AB" w:rsidRPr="003E4580">
          <w:rPr>
            <w:noProof/>
            <w:webHidden/>
          </w:rPr>
          <w:t>23</w:t>
        </w:r>
        <w:r w:rsidR="009226AB" w:rsidRPr="003E4580">
          <w:rPr>
            <w:noProof/>
            <w:webHidden/>
          </w:rPr>
          <w:fldChar w:fldCharType="end"/>
        </w:r>
      </w:hyperlink>
    </w:p>
    <w:p w14:paraId="5CE9CEC3" w14:textId="79B6C909" w:rsidR="009226AB" w:rsidRPr="003E4580" w:rsidRDefault="00BF64CF">
      <w:pPr>
        <w:pStyle w:val="TOC2"/>
        <w:tabs>
          <w:tab w:val="right" w:pos="9854"/>
        </w:tabs>
        <w:rPr>
          <w:rFonts w:eastAsiaTheme="minorEastAsia"/>
          <w:noProof/>
          <w:color w:val="auto"/>
          <w:kern w:val="0"/>
          <w:sz w:val="22"/>
          <w:szCs w:val="22"/>
          <w:lang w:eastAsia="en-AU"/>
        </w:rPr>
      </w:pPr>
      <w:hyperlink w:anchor="_Toc146894872" w:history="1">
        <w:r w:rsidR="009226AB" w:rsidRPr="003E4580">
          <w:rPr>
            <w:rStyle w:val="Hyperlink"/>
            <w:noProof/>
          </w:rPr>
          <w:t>Summary of UN Regulation No. 130</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_Toc146894872 \h </w:instrText>
        </w:r>
        <w:r w:rsidR="009226AB" w:rsidRPr="003E4580">
          <w:rPr>
            <w:noProof/>
            <w:webHidden/>
          </w:rPr>
        </w:r>
        <w:r w:rsidR="009226AB" w:rsidRPr="003E4580">
          <w:rPr>
            <w:noProof/>
            <w:webHidden/>
          </w:rPr>
          <w:fldChar w:fldCharType="separate"/>
        </w:r>
        <w:r w:rsidR="009226AB" w:rsidRPr="003E4580">
          <w:rPr>
            <w:noProof/>
            <w:webHidden/>
          </w:rPr>
          <w:t>23</w:t>
        </w:r>
        <w:r w:rsidR="009226AB" w:rsidRPr="003E4580">
          <w:rPr>
            <w:noProof/>
            <w:webHidden/>
          </w:rPr>
          <w:fldChar w:fldCharType="end"/>
        </w:r>
      </w:hyperlink>
    </w:p>
    <w:p w14:paraId="10ADFD70" w14:textId="42C2B3EF" w:rsidR="009226AB" w:rsidRPr="003E4580" w:rsidRDefault="00BF64CF">
      <w:pPr>
        <w:pStyle w:val="TOC1"/>
        <w:rPr>
          <w:rFonts w:eastAsiaTheme="minorEastAsia"/>
          <w:b w:val="0"/>
          <w:noProof/>
          <w:color w:val="auto"/>
          <w:kern w:val="0"/>
          <w:sz w:val="22"/>
          <w:szCs w:val="22"/>
          <w:u w:val="none"/>
          <w:lang w:eastAsia="en-AU"/>
        </w:rPr>
      </w:pPr>
      <w:hyperlink w:anchor="_Toc146894873" w:history="1">
        <w:r w:rsidR="009226AB" w:rsidRPr="003E4580">
          <w:rPr>
            <w:rStyle w:val="Hyperlink"/>
            <w:noProof/>
          </w:rPr>
          <w:t>Chapter 3: Policy options considered</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_Toc146894873 \h </w:instrText>
        </w:r>
        <w:r w:rsidR="009226AB" w:rsidRPr="003E4580">
          <w:rPr>
            <w:noProof/>
            <w:webHidden/>
          </w:rPr>
        </w:r>
        <w:r w:rsidR="009226AB" w:rsidRPr="003E4580">
          <w:rPr>
            <w:noProof/>
            <w:webHidden/>
          </w:rPr>
          <w:fldChar w:fldCharType="separate"/>
        </w:r>
        <w:r w:rsidR="009226AB" w:rsidRPr="003E4580">
          <w:rPr>
            <w:noProof/>
            <w:webHidden/>
          </w:rPr>
          <w:t>25</w:t>
        </w:r>
        <w:r w:rsidR="009226AB" w:rsidRPr="003E4580">
          <w:rPr>
            <w:noProof/>
            <w:webHidden/>
          </w:rPr>
          <w:fldChar w:fldCharType="end"/>
        </w:r>
      </w:hyperlink>
    </w:p>
    <w:p w14:paraId="7DE0690E" w14:textId="6FEE7FEB" w:rsidR="009226AB" w:rsidRPr="003E4580" w:rsidRDefault="00BF64CF">
      <w:pPr>
        <w:pStyle w:val="TOC2"/>
        <w:tabs>
          <w:tab w:val="right" w:pos="9854"/>
        </w:tabs>
        <w:rPr>
          <w:rFonts w:eastAsiaTheme="minorEastAsia"/>
          <w:noProof/>
          <w:color w:val="auto"/>
          <w:kern w:val="0"/>
          <w:sz w:val="22"/>
          <w:szCs w:val="22"/>
          <w:lang w:eastAsia="en-AU"/>
        </w:rPr>
      </w:pPr>
      <w:hyperlink w:anchor="_Toc146894874" w:history="1">
        <w:r w:rsidR="009226AB" w:rsidRPr="003E4580">
          <w:rPr>
            <w:rStyle w:val="Hyperlink"/>
            <w:noProof/>
          </w:rPr>
          <w:t>Summary of options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_Toc146894874 \h </w:instrText>
        </w:r>
        <w:r w:rsidR="009226AB" w:rsidRPr="003E4580">
          <w:rPr>
            <w:noProof/>
            <w:webHidden/>
          </w:rPr>
        </w:r>
        <w:r w:rsidR="009226AB" w:rsidRPr="003E4580">
          <w:rPr>
            <w:noProof/>
            <w:webHidden/>
          </w:rPr>
          <w:fldChar w:fldCharType="separate"/>
        </w:r>
        <w:r w:rsidR="009226AB" w:rsidRPr="003E4580">
          <w:rPr>
            <w:noProof/>
            <w:webHidden/>
          </w:rPr>
          <w:t>25</w:t>
        </w:r>
        <w:r w:rsidR="009226AB" w:rsidRPr="003E4580">
          <w:rPr>
            <w:noProof/>
            <w:webHidden/>
          </w:rPr>
          <w:fldChar w:fldCharType="end"/>
        </w:r>
      </w:hyperlink>
    </w:p>
    <w:p w14:paraId="252B4735" w14:textId="21D22F90" w:rsidR="009226AB" w:rsidRPr="003E4580" w:rsidRDefault="00BF64CF">
      <w:pPr>
        <w:pStyle w:val="TOC2"/>
        <w:tabs>
          <w:tab w:val="right" w:pos="9854"/>
        </w:tabs>
        <w:rPr>
          <w:rFonts w:eastAsiaTheme="minorEastAsia"/>
          <w:noProof/>
          <w:color w:val="auto"/>
          <w:kern w:val="0"/>
          <w:sz w:val="22"/>
          <w:szCs w:val="22"/>
          <w:lang w:eastAsia="en-AU"/>
        </w:rPr>
      </w:pPr>
      <w:hyperlink w:anchor="_Toc146894875" w:history="1">
        <w:r w:rsidR="009226AB" w:rsidRPr="003E4580">
          <w:rPr>
            <w:rStyle w:val="Hyperlink"/>
            <w:noProof/>
          </w:rPr>
          <w:t>Discussion of options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_Toc146894875 \h </w:instrText>
        </w:r>
        <w:r w:rsidR="009226AB" w:rsidRPr="003E4580">
          <w:rPr>
            <w:noProof/>
            <w:webHidden/>
          </w:rPr>
        </w:r>
        <w:r w:rsidR="009226AB" w:rsidRPr="003E4580">
          <w:rPr>
            <w:noProof/>
            <w:webHidden/>
          </w:rPr>
          <w:fldChar w:fldCharType="separate"/>
        </w:r>
        <w:r w:rsidR="009226AB" w:rsidRPr="003E4580">
          <w:rPr>
            <w:noProof/>
            <w:webHidden/>
          </w:rPr>
          <w:t>25</w:t>
        </w:r>
        <w:r w:rsidR="009226AB" w:rsidRPr="003E4580">
          <w:rPr>
            <w:noProof/>
            <w:webHidden/>
          </w:rPr>
          <w:fldChar w:fldCharType="end"/>
        </w:r>
      </w:hyperlink>
    </w:p>
    <w:p w14:paraId="08577F52" w14:textId="6F4B04DF" w:rsidR="009226AB" w:rsidRPr="003E4580" w:rsidRDefault="00BF64CF">
      <w:pPr>
        <w:pStyle w:val="TOC1"/>
        <w:rPr>
          <w:rFonts w:eastAsiaTheme="minorEastAsia"/>
          <w:b w:val="0"/>
          <w:noProof/>
          <w:color w:val="auto"/>
          <w:kern w:val="0"/>
          <w:sz w:val="22"/>
          <w:szCs w:val="22"/>
          <w:u w:val="none"/>
          <w:lang w:eastAsia="en-AU"/>
        </w:rPr>
      </w:pPr>
      <w:hyperlink w:anchor="_Toc146894876" w:history="1">
        <w:r w:rsidR="009226AB" w:rsidRPr="003E4580">
          <w:rPr>
            <w:rStyle w:val="Hyperlink"/>
            <w:noProof/>
          </w:rPr>
          <w:t>Chapter 4: Likely net benefit of each option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_Toc146894876 \h </w:instrText>
        </w:r>
        <w:r w:rsidR="009226AB" w:rsidRPr="003E4580">
          <w:rPr>
            <w:noProof/>
            <w:webHidden/>
          </w:rPr>
        </w:r>
        <w:r w:rsidR="009226AB" w:rsidRPr="003E4580">
          <w:rPr>
            <w:noProof/>
            <w:webHidden/>
          </w:rPr>
          <w:fldChar w:fldCharType="separate"/>
        </w:r>
        <w:r w:rsidR="009226AB" w:rsidRPr="003E4580">
          <w:rPr>
            <w:noProof/>
            <w:webHidden/>
          </w:rPr>
          <w:t>29</w:t>
        </w:r>
        <w:r w:rsidR="009226AB" w:rsidRPr="003E4580">
          <w:rPr>
            <w:noProof/>
            <w:webHidden/>
          </w:rPr>
          <w:fldChar w:fldCharType="end"/>
        </w:r>
      </w:hyperlink>
    </w:p>
    <w:p w14:paraId="1FBC0FB5" w14:textId="31C4005C" w:rsidR="009226AB" w:rsidRPr="003E4580" w:rsidRDefault="00BF64CF">
      <w:pPr>
        <w:pStyle w:val="TOC2"/>
        <w:tabs>
          <w:tab w:val="right" w:pos="9854"/>
        </w:tabs>
        <w:rPr>
          <w:rFonts w:eastAsiaTheme="minorEastAsia"/>
          <w:noProof/>
          <w:color w:val="auto"/>
          <w:kern w:val="0"/>
          <w:sz w:val="22"/>
          <w:szCs w:val="22"/>
          <w:lang w:eastAsia="en-AU"/>
        </w:rPr>
      </w:pPr>
      <w:hyperlink w:anchor="_Toc146894877" w:history="1">
        <w:r w:rsidR="009226AB" w:rsidRPr="003E4580">
          <w:rPr>
            <w:rStyle w:val="Hyperlink"/>
            <w:noProof/>
          </w:rPr>
          <w:t>Benefit-cost analysis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_Toc146894877 \h </w:instrText>
        </w:r>
        <w:r w:rsidR="009226AB" w:rsidRPr="003E4580">
          <w:rPr>
            <w:noProof/>
            <w:webHidden/>
          </w:rPr>
        </w:r>
        <w:r w:rsidR="009226AB" w:rsidRPr="003E4580">
          <w:rPr>
            <w:noProof/>
            <w:webHidden/>
          </w:rPr>
          <w:fldChar w:fldCharType="separate"/>
        </w:r>
        <w:r w:rsidR="009226AB" w:rsidRPr="003E4580">
          <w:rPr>
            <w:noProof/>
            <w:webHidden/>
          </w:rPr>
          <w:t>29</w:t>
        </w:r>
        <w:r w:rsidR="009226AB" w:rsidRPr="003E4580">
          <w:rPr>
            <w:noProof/>
            <w:webHidden/>
          </w:rPr>
          <w:fldChar w:fldCharType="end"/>
        </w:r>
      </w:hyperlink>
    </w:p>
    <w:p w14:paraId="0CB35EF6" w14:textId="6A6890A5" w:rsidR="009226AB" w:rsidRPr="003E4580" w:rsidRDefault="00BF64CF">
      <w:pPr>
        <w:pStyle w:val="TOC3"/>
        <w:tabs>
          <w:tab w:val="right" w:pos="9854"/>
        </w:tabs>
        <w:rPr>
          <w:rFonts w:eastAsiaTheme="minorEastAsia"/>
          <w:noProof/>
          <w:color w:val="auto"/>
          <w:kern w:val="0"/>
          <w:sz w:val="22"/>
          <w:szCs w:val="22"/>
          <w:lang w:eastAsia="en-AU"/>
        </w:rPr>
      </w:pPr>
      <w:hyperlink w:anchor="_Toc146894878" w:history="1">
        <w:r w:rsidR="009226AB" w:rsidRPr="003E4580">
          <w:rPr>
            <w:rStyle w:val="Hyperlink"/>
            <w:noProof/>
          </w:rPr>
          <w:t>Assumptions used in the benefit-cost analysis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_Toc146894878 \h </w:instrText>
        </w:r>
        <w:r w:rsidR="009226AB" w:rsidRPr="003E4580">
          <w:rPr>
            <w:noProof/>
            <w:webHidden/>
          </w:rPr>
        </w:r>
        <w:r w:rsidR="009226AB" w:rsidRPr="003E4580">
          <w:rPr>
            <w:noProof/>
            <w:webHidden/>
          </w:rPr>
          <w:fldChar w:fldCharType="separate"/>
        </w:r>
        <w:r w:rsidR="009226AB" w:rsidRPr="003E4580">
          <w:rPr>
            <w:noProof/>
            <w:webHidden/>
          </w:rPr>
          <w:t>29</w:t>
        </w:r>
        <w:r w:rsidR="009226AB" w:rsidRPr="003E4580">
          <w:rPr>
            <w:noProof/>
            <w:webHidden/>
          </w:rPr>
          <w:fldChar w:fldCharType="end"/>
        </w:r>
      </w:hyperlink>
    </w:p>
    <w:p w14:paraId="584EAC6D" w14:textId="6EFEB181" w:rsidR="009226AB" w:rsidRPr="003E4580" w:rsidRDefault="00BF64CF">
      <w:pPr>
        <w:pStyle w:val="TOC2"/>
        <w:tabs>
          <w:tab w:val="right" w:pos="9854"/>
        </w:tabs>
        <w:rPr>
          <w:rFonts w:eastAsiaTheme="minorEastAsia"/>
          <w:noProof/>
          <w:color w:val="auto"/>
          <w:kern w:val="0"/>
          <w:sz w:val="22"/>
          <w:szCs w:val="22"/>
          <w:lang w:eastAsia="en-AU"/>
        </w:rPr>
      </w:pPr>
      <w:hyperlink w:anchor="_Toc146894879" w:history="1">
        <w:r w:rsidR="009226AB" w:rsidRPr="003E4580">
          <w:rPr>
            <w:rStyle w:val="Hyperlink"/>
            <w:noProof/>
          </w:rPr>
          <w:t>Economic aspects - impact analysis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_Toc146894879 \h </w:instrText>
        </w:r>
        <w:r w:rsidR="009226AB" w:rsidRPr="003E4580">
          <w:rPr>
            <w:noProof/>
            <w:webHidden/>
          </w:rPr>
        </w:r>
        <w:r w:rsidR="009226AB" w:rsidRPr="003E4580">
          <w:rPr>
            <w:noProof/>
            <w:webHidden/>
          </w:rPr>
          <w:fldChar w:fldCharType="separate"/>
        </w:r>
        <w:r w:rsidR="009226AB" w:rsidRPr="003E4580">
          <w:rPr>
            <w:noProof/>
            <w:webHidden/>
          </w:rPr>
          <w:t>30</w:t>
        </w:r>
        <w:r w:rsidR="009226AB" w:rsidRPr="003E4580">
          <w:rPr>
            <w:noProof/>
            <w:webHidden/>
          </w:rPr>
          <w:fldChar w:fldCharType="end"/>
        </w:r>
      </w:hyperlink>
    </w:p>
    <w:p w14:paraId="5D39C01E" w14:textId="01CCC89D" w:rsidR="009226AB" w:rsidRPr="003E4580" w:rsidRDefault="00BF64CF">
      <w:pPr>
        <w:pStyle w:val="TOC3"/>
        <w:tabs>
          <w:tab w:val="right" w:pos="9854"/>
        </w:tabs>
        <w:rPr>
          <w:rFonts w:eastAsiaTheme="minorEastAsia"/>
          <w:noProof/>
          <w:color w:val="auto"/>
          <w:kern w:val="0"/>
          <w:sz w:val="22"/>
          <w:szCs w:val="22"/>
          <w:lang w:eastAsia="en-AU"/>
        </w:rPr>
      </w:pPr>
      <w:hyperlink w:anchor="_Toc146894880" w:history="1">
        <w:r w:rsidR="009226AB" w:rsidRPr="003E4580">
          <w:rPr>
            <w:rStyle w:val="Hyperlink"/>
            <w:noProof/>
          </w:rPr>
          <w:t>Business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_Toc146894880 \h </w:instrText>
        </w:r>
        <w:r w:rsidR="009226AB" w:rsidRPr="003E4580">
          <w:rPr>
            <w:noProof/>
            <w:webHidden/>
          </w:rPr>
        </w:r>
        <w:r w:rsidR="009226AB" w:rsidRPr="003E4580">
          <w:rPr>
            <w:noProof/>
            <w:webHidden/>
          </w:rPr>
          <w:fldChar w:fldCharType="separate"/>
        </w:r>
        <w:r w:rsidR="009226AB" w:rsidRPr="003E4580">
          <w:rPr>
            <w:noProof/>
            <w:webHidden/>
          </w:rPr>
          <w:t>30</w:t>
        </w:r>
        <w:r w:rsidR="009226AB" w:rsidRPr="003E4580">
          <w:rPr>
            <w:noProof/>
            <w:webHidden/>
          </w:rPr>
          <w:fldChar w:fldCharType="end"/>
        </w:r>
      </w:hyperlink>
    </w:p>
    <w:p w14:paraId="0B8C15AB" w14:textId="13CDED55" w:rsidR="009226AB" w:rsidRPr="003E4580" w:rsidRDefault="00BF64CF">
      <w:pPr>
        <w:pStyle w:val="TOC3"/>
        <w:tabs>
          <w:tab w:val="right" w:pos="9854"/>
        </w:tabs>
        <w:rPr>
          <w:rFonts w:eastAsiaTheme="minorEastAsia"/>
          <w:noProof/>
          <w:color w:val="auto"/>
          <w:kern w:val="0"/>
          <w:sz w:val="22"/>
          <w:szCs w:val="22"/>
          <w:lang w:eastAsia="en-AU"/>
        </w:rPr>
      </w:pPr>
      <w:hyperlink w:anchor="_Toc146894881" w:history="1">
        <w:r w:rsidR="009226AB" w:rsidRPr="003E4580">
          <w:rPr>
            <w:rStyle w:val="Hyperlink"/>
            <w:noProof/>
          </w:rPr>
          <w:t>Governments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_Toc146894881 \h </w:instrText>
        </w:r>
        <w:r w:rsidR="009226AB" w:rsidRPr="003E4580">
          <w:rPr>
            <w:noProof/>
            <w:webHidden/>
          </w:rPr>
        </w:r>
        <w:r w:rsidR="009226AB" w:rsidRPr="003E4580">
          <w:rPr>
            <w:noProof/>
            <w:webHidden/>
          </w:rPr>
          <w:fldChar w:fldCharType="separate"/>
        </w:r>
        <w:r w:rsidR="009226AB" w:rsidRPr="003E4580">
          <w:rPr>
            <w:noProof/>
            <w:webHidden/>
          </w:rPr>
          <w:t>31</w:t>
        </w:r>
        <w:r w:rsidR="009226AB" w:rsidRPr="003E4580">
          <w:rPr>
            <w:noProof/>
            <w:webHidden/>
          </w:rPr>
          <w:fldChar w:fldCharType="end"/>
        </w:r>
      </w:hyperlink>
    </w:p>
    <w:p w14:paraId="182801A3" w14:textId="382767FC" w:rsidR="009226AB" w:rsidRPr="003E4580" w:rsidRDefault="00BF64CF">
      <w:pPr>
        <w:pStyle w:val="TOC3"/>
        <w:tabs>
          <w:tab w:val="right" w:pos="9854"/>
        </w:tabs>
        <w:rPr>
          <w:rFonts w:eastAsiaTheme="minorEastAsia"/>
          <w:noProof/>
          <w:color w:val="auto"/>
          <w:kern w:val="0"/>
          <w:sz w:val="22"/>
          <w:szCs w:val="22"/>
          <w:lang w:eastAsia="en-AU"/>
        </w:rPr>
      </w:pPr>
      <w:hyperlink w:anchor="_Toc146894882" w:history="1">
        <w:r w:rsidR="009226AB" w:rsidRPr="003E4580">
          <w:rPr>
            <w:rStyle w:val="Hyperlink"/>
            <w:noProof/>
          </w:rPr>
          <w:t>Impact of viable options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_Toc146894882 \h </w:instrText>
        </w:r>
        <w:r w:rsidR="009226AB" w:rsidRPr="003E4580">
          <w:rPr>
            <w:noProof/>
            <w:webHidden/>
          </w:rPr>
        </w:r>
        <w:r w:rsidR="009226AB" w:rsidRPr="003E4580">
          <w:rPr>
            <w:noProof/>
            <w:webHidden/>
          </w:rPr>
          <w:fldChar w:fldCharType="separate"/>
        </w:r>
        <w:r w:rsidR="009226AB" w:rsidRPr="003E4580">
          <w:rPr>
            <w:noProof/>
            <w:webHidden/>
          </w:rPr>
          <w:t>31</w:t>
        </w:r>
        <w:r w:rsidR="009226AB" w:rsidRPr="003E4580">
          <w:rPr>
            <w:noProof/>
            <w:webHidden/>
          </w:rPr>
          <w:fldChar w:fldCharType="end"/>
        </w:r>
      </w:hyperlink>
    </w:p>
    <w:p w14:paraId="51D38CC0" w14:textId="41672924" w:rsidR="009226AB" w:rsidRPr="003E4580" w:rsidRDefault="00BF64CF">
      <w:pPr>
        <w:pStyle w:val="TOC3"/>
        <w:tabs>
          <w:tab w:val="right" w:pos="9854"/>
        </w:tabs>
        <w:rPr>
          <w:rFonts w:eastAsiaTheme="minorEastAsia"/>
          <w:noProof/>
          <w:color w:val="auto"/>
          <w:kern w:val="0"/>
          <w:sz w:val="22"/>
          <w:szCs w:val="22"/>
          <w:lang w:eastAsia="en-AU"/>
        </w:rPr>
      </w:pPr>
      <w:hyperlink w:anchor="_Toc146894883" w:history="1">
        <w:r w:rsidR="009226AB" w:rsidRPr="003E4580">
          <w:rPr>
            <w:rStyle w:val="Hyperlink"/>
            <w:noProof/>
          </w:rPr>
          <w:t>Fitment effect of Option 2</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_Toc146894883 \h </w:instrText>
        </w:r>
        <w:r w:rsidR="009226AB" w:rsidRPr="003E4580">
          <w:rPr>
            <w:noProof/>
            <w:webHidden/>
          </w:rPr>
        </w:r>
        <w:r w:rsidR="009226AB" w:rsidRPr="003E4580">
          <w:rPr>
            <w:noProof/>
            <w:webHidden/>
          </w:rPr>
          <w:fldChar w:fldCharType="separate"/>
        </w:r>
        <w:r w:rsidR="009226AB" w:rsidRPr="003E4580">
          <w:rPr>
            <w:noProof/>
            <w:webHidden/>
          </w:rPr>
          <w:t>35</w:t>
        </w:r>
        <w:r w:rsidR="009226AB" w:rsidRPr="003E4580">
          <w:rPr>
            <w:noProof/>
            <w:webHidden/>
          </w:rPr>
          <w:fldChar w:fldCharType="end"/>
        </w:r>
      </w:hyperlink>
    </w:p>
    <w:p w14:paraId="3BCB86FB" w14:textId="258B3B82" w:rsidR="009226AB" w:rsidRPr="003E4580" w:rsidRDefault="00BF64CF">
      <w:pPr>
        <w:pStyle w:val="TOC2"/>
        <w:tabs>
          <w:tab w:val="right" w:pos="9854"/>
        </w:tabs>
        <w:rPr>
          <w:rFonts w:eastAsiaTheme="minorEastAsia"/>
          <w:noProof/>
          <w:color w:val="auto"/>
          <w:kern w:val="0"/>
          <w:sz w:val="22"/>
          <w:szCs w:val="22"/>
          <w:lang w:eastAsia="en-AU"/>
        </w:rPr>
      </w:pPr>
      <w:hyperlink w:anchor="_Toc146894884" w:history="1">
        <w:r w:rsidR="009226AB" w:rsidRPr="003E4580">
          <w:rPr>
            <w:rStyle w:val="Hyperlink"/>
            <w:noProof/>
          </w:rPr>
          <w:t>Regulatory burden and cost offsets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_Toc146894884 \h </w:instrText>
        </w:r>
        <w:r w:rsidR="009226AB" w:rsidRPr="003E4580">
          <w:rPr>
            <w:noProof/>
            <w:webHidden/>
          </w:rPr>
        </w:r>
        <w:r w:rsidR="009226AB" w:rsidRPr="003E4580">
          <w:rPr>
            <w:noProof/>
            <w:webHidden/>
          </w:rPr>
          <w:fldChar w:fldCharType="separate"/>
        </w:r>
        <w:r w:rsidR="009226AB" w:rsidRPr="003E4580">
          <w:rPr>
            <w:noProof/>
            <w:webHidden/>
          </w:rPr>
          <w:t>37</w:t>
        </w:r>
        <w:r w:rsidR="009226AB" w:rsidRPr="003E4580">
          <w:rPr>
            <w:noProof/>
            <w:webHidden/>
          </w:rPr>
          <w:fldChar w:fldCharType="end"/>
        </w:r>
      </w:hyperlink>
    </w:p>
    <w:p w14:paraId="0A060DE0" w14:textId="5A632720" w:rsidR="009226AB" w:rsidRPr="003E4580" w:rsidRDefault="00BF64CF">
      <w:pPr>
        <w:pStyle w:val="TOC1"/>
        <w:rPr>
          <w:rFonts w:eastAsiaTheme="minorEastAsia"/>
          <w:b w:val="0"/>
          <w:noProof/>
          <w:color w:val="auto"/>
          <w:kern w:val="0"/>
          <w:sz w:val="22"/>
          <w:szCs w:val="22"/>
          <w:u w:val="none"/>
          <w:lang w:eastAsia="en-AU"/>
        </w:rPr>
      </w:pPr>
      <w:hyperlink w:anchor="_Toc146894885" w:history="1">
        <w:r w:rsidR="009226AB" w:rsidRPr="003E4580">
          <w:rPr>
            <w:rStyle w:val="Hyperlink"/>
            <w:noProof/>
          </w:rPr>
          <w:t>Chapter 5: Consultation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_Toc146894885 \h </w:instrText>
        </w:r>
        <w:r w:rsidR="009226AB" w:rsidRPr="003E4580">
          <w:rPr>
            <w:noProof/>
            <w:webHidden/>
          </w:rPr>
        </w:r>
        <w:r w:rsidR="009226AB" w:rsidRPr="003E4580">
          <w:rPr>
            <w:noProof/>
            <w:webHidden/>
          </w:rPr>
          <w:fldChar w:fldCharType="separate"/>
        </w:r>
        <w:r w:rsidR="009226AB" w:rsidRPr="003E4580">
          <w:rPr>
            <w:noProof/>
            <w:webHidden/>
          </w:rPr>
          <w:t>39</w:t>
        </w:r>
        <w:r w:rsidR="009226AB" w:rsidRPr="003E4580">
          <w:rPr>
            <w:noProof/>
            <w:webHidden/>
          </w:rPr>
          <w:fldChar w:fldCharType="end"/>
        </w:r>
      </w:hyperlink>
    </w:p>
    <w:p w14:paraId="254EF0D1" w14:textId="79B41092" w:rsidR="009226AB" w:rsidRPr="003E4580" w:rsidRDefault="00BF64CF">
      <w:pPr>
        <w:pStyle w:val="TOC2"/>
        <w:tabs>
          <w:tab w:val="right" w:pos="9854"/>
        </w:tabs>
        <w:rPr>
          <w:rFonts w:eastAsiaTheme="minorEastAsia"/>
          <w:noProof/>
          <w:color w:val="auto"/>
          <w:kern w:val="0"/>
          <w:sz w:val="22"/>
          <w:szCs w:val="22"/>
          <w:lang w:eastAsia="en-AU"/>
        </w:rPr>
      </w:pPr>
      <w:hyperlink w:anchor="_Toc146894886" w:history="1">
        <w:r w:rsidR="009226AB" w:rsidRPr="003E4580">
          <w:rPr>
            <w:rStyle w:val="Hyperlink"/>
            <w:noProof/>
          </w:rPr>
          <w:t>Consultative committees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_Toc146894886 \h </w:instrText>
        </w:r>
        <w:r w:rsidR="009226AB" w:rsidRPr="003E4580">
          <w:rPr>
            <w:noProof/>
            <w:webHidden/>
          </w:rPr>
        </w:r>
        <w:r w:rsidR="009226AB" w:rsidRPr="003E4580">
          <w:rPr>
            <w:noProof/>
            <w:webHidden/>
          </w:rPr>
          <w:fldChar w:fldCharType="separate"/>
        </w:r>
        <w:r w:rsidR="009226AB" w:rsidRPr="003E4580">
          <w:rPr>
            <w:noProof/>
            <w:webHidden/>
          </w:rPr>
          <w:t>39</w:t>
        </w:r>
        <w:r w:rsidR="009226AB" w:rsidRPr="003E4580">
          <w:rPr>
            <w:noProof/>
            <w:webHidden/>
          </w:rPr>
          <w:fldChar w:fldCharType="end"/>
        </w:r>
      </w:hyperlink>
    </w:p>
    <w:p w14:paraId="60793C5E" w14:textId="0B09CF1C" w:rsidR="009226AB" w:rsidRPr="003E4580" w:rsidRDefault="00BF64CF">
      <w:pPr>
        <w:pStyle w:val="TOC2"/>
        <w:tabs>
          <w:tab w:val="right" w:pos="9854"/>
        </w:tabs>
        <w:rPr>
          <w:rFonts w:eastAsiaTheme="minorEastAsia"/>
          <w:noProof/>
          <w:color w:val="auto"/>
          <w:kern w:val="0"/>
          <w:sz w:val="22"/>
          <w:szCs w:val="22"/>
          <w:lang w:eastAsia="en-AU"/>
        </w:rPr>
      </w:pPr>
      <w:hyperlink w:anchor="_Toc146894887" w:history="1">
        <w:r w:rsidR="009226AB" w:rsidRPr="003E4580">
          <w:rPr>
            <w:rStyle w:val="Hyperlink"/>
            <w:noProof/>
          </w:rPr>
          <w:t>Public comment</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_Toc146894887 \h </w:instrText>
        </w:r>
        <w:r w:rsidR="009226AB" w:rsidRPr="003E4580">
          <w:rPr>
            <w:noProof/>
            <w:webHidden/>
          </w:rPr>
        </w:r>
        <w:r w:rsidR="009226AB" w:rsidRPr="003E4580">
          <w:rPr>
            <w:noProof/>
            <w:webHidden/>
          </w:rPr>
          <w:fldChar w:fldCharType="separate"/>
        </w:r>
        <w:r w:rsidR="009226AB" w:rsidRPr="003E4580">
          <w:rPr>
            <w:noProof/>
            <w:webHidden/>
          </w:rPr>
          <w:t>39</w:t>
        </w:r>
        <w:r w:rsidR="009226AB" w:rsidRPr="003E4580">
          <w:rPr>
            <w:noProof/>
            <w:webHidden/>
          </w:rPr>
          <w:fldChar w:fldCharType="end"/>
        </w:r>
      </w:hyperlink>
    </w:p>
    <w:p w14:paraId="260DD610" w14:textId="64E6720A" w:rsidR="009226AB" w:rsidRPr="003E4580" w:rsidRDefault="00BF64CF">
      <w:pPr>
        <w:pStyle w:val="TOC1"/>
        <w:rPr>
          <w:rFonts w:eastAsiaTheme="minorEastAsia"/>
          <w:b w:val="0"/>
          <w:noProof/>
          <w:color w:val="auto"/>
          <w:kern w:val="0"/>
          <w:sz w:val="22"/>
          <w:szCs w:val="22"/>
          <w:u w:val="none"/>
          <w:lang w:eastAsia="en-AU"/>
        </w:rPr>
      </w:pPr>
      <w:hyperlink w:anchor="_Toc146894888" w:history="1">
        <w:r w:rsidR="009226AB" w:rsidRPr="003E4580">
          <w:rPr>
            <w:rStyle w:val="Hyperlink"/>
            <w:noProof/>
          </w:rPr>
          <w:t>Chapter 6: What is the best option?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_Toc146894888 \h </w:instrText>
        </w:r>
        <w:r w:rsidR="009226AB" w:rsidRPr="003E4580">
          <w:rPr>
            <w:noProof/>
            <w:webHidden/>
          </w:rPr>
        </w:r>
        <w:r w:rsidR="009226AB" w:rsidRPr="003E4580">
          <w:rPr>
            <w:noProof/>
            <w:webHidden/>
          </w:rPr>
          <w:fldChar w:fldCharType="separate"/>
        </w:r>
        <w:r w:rsidR="009226AB" w:rsidRPr="003E4580">
          <w:rPr>
            <w:noProof/>
            <w:webHidden/>
          </w:rPr>
          <w:t>41</w:t>
        </w:r>
        <w:r w:rsidR="009226AB" w:rsidRPr="003E4580">
          <w:rPr>
            <w:noProof/>
            <w:webHidden/>
          </w:rPr>
          <w:fldChar w:fldCharType="end"/>
        </w:r>
      </w:hyperlink>
    </w:p>
    <w:p w14:paraId="7BD9FD93" w14:textId="017F50A5" w:rsidR="009226AB" w:rsidRPr="003E4580" w:rsidRDefault="00BF64CF">
      <w:pPr>
        <w:pStyle w:val="TOC2"/>
        <w:tabs>
          <w:tab w:val="right" w:pos="9854"/>
        </w:tabs>
        <w:rPr>
          <w:rFonts w:eastAsiaTheme="minorEastAsia"/>
          <w:noProof/>
          <w:color w:val="auto"/>
          <w:kern w:val="0"/>
          <w:sz w:val="22"/>
          <w:szCs w:val="22"/>
          <w:lang w:eastAsia="en-AU"/>
        </w:rPr>
      </w:pPr>
      <w:hyperlink w:anchor="_Toc146894889" w:history="1">
        <w:r w:rsidR="009226AB" w:rsidRPr="003E4580">
          <w:rPr>
            <w:rStyle w:val="Hyperlink"/>
            <w:noProof/>
          </w:rPr>
          <w:t>Net benefits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_Toc146894889 \h </w:instrText>
        </w:r>
        <w:r w:rsidR="009226AB" w:rsidRPr="003E4580">
          <w:rPr>
            <w:noProof/>
            <w:webHidden/>
          </w:rPr>
        </w:r>
        <w:r w:rsidR="009226AB" w:rsidRPr="003E4580">
          <w:rPr>
            <w:noProof/>
            <w:webHidden/>
          </w:rPr>
          <w:fldChar w:fldCharType="separate"/>
        </w:r>
        <w:r w:rsidR="009226AB" w:rsidRPr="003E4580">
          <w:rPr>
            <w:noProof/>
            <w:webHidden/>
          </w:rPr>
          <w:t>41</w:t>
        </w:r>
        <w:r w:rsidR="009226AB" w:rsidRPr="003E4580">
          <w:rPr>
            <w:noProof/>
            <w:webHidden/>
          </w:rPr>
          <w:fldChar w:fldCharType="end"/>
        </w:r>
      </w:hyperlink>
    </w:p>
    <w:p w14:paraId="74E1E177" w14:textId="5CE4DA55" w:rsidR="009226AB" w:rsidRPr="003E4580" w:rsidRDefault="00BF64CF">
      <w:pPr>
        <w:pStyle w:val="TOC2"/>
        <w:tabs>
          <w:tab w:val="right" w:pos="9854"/>
        </w:tabs>
        <w:rPr>
          <w:rFonts w:eastAsiaTheme="minorEastAsia"/>
          <w:noProof/>
          <w:color w:val="auto"/>
          <w:kern w:val="0"/>
          <w:sz w:val="22"/>
          <w:szCs w:val="22"/>
          <w:lang w:eastAsia="en-AU"/>
        </w:rPr>
      </w:pPr>
      <w:hyperlink w:anchor="_Toc146894890" w:history="1">
        <w:r w:rsidR="009226AB" w:rsidRPr="003E4580">
          <w:rPr>
            <w:rStyle w:val="Hyperlink"/>
            <w:noProof/>
          </w:rPr>
          <w:t>Casualty reductions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_Toc146894890 \h </w:instrText>
        </w:r>
        <w:r w:rsidR="009226AB" w:rsidRPr="003E4580">
          <w:rPr>
            <w:noProof/>
            <w:webHidden/>
          </w:rPr>
        </w:r>
        <w:r w:rsidR="009226AB" w:rsidRPr="003E4580">
          <w:rPr>
            <w:noProof/>
            <w:webHidden/>
          </w:rPr>
          <w:fldChar w:fldCharType="separate"/>
        </w:r>
        <w:r w:rsidR="009226AB" w:rsidRPr="003E4580">
          <w:rPr>
            <w:noProof/>
            <w:webHidden/>
          </w:rPr>
          <w:t>41</w:t>
        </w:r>
        <w:r w:rsidR="009226AB" w:rsidRPr="003E4580">
          <w:rPr>
            <w:noProof/>
            <w:webHidden/>
          </w:rPr>
          <w:fldChar w:fldCharType="end"/>
        </w:r>
      </w:hyperlink>
    </w:p>
    <w:p w14:paraId="1893962F" w14:textId="41730C49" w:rsidR="009226AB" w:rsidRPr="003E4580" w:rsidRDefault="00BF64CF">
      <w:pPr>
        <w:pStyle w:val="TOC2"/>
        <w:tabs>
          <w:tab w:val="right" w:pos="9854"/>
        </w:tabs>
        <w:rPr>
          <w:rFonts w:eastAsiaTheme="minorEastAsia"/>
          <w:noProof/>
          <w:color w:val="auto"/>
          <w:kern w:val="0"/>
          <w:sz w:val="22"/>
          <w:szCs w:val="22"/>
          <w:lang w:eastAsia="en-AU"/>
        </w:rPr>
      </w:pPr>
      <w:hyperlink w:anchor="_Toc146894891" w:history="1">
        <w:r w:rsidR="009226AB" w:rsidRPr="003E4580">
          <w:rPr>
            <w:rStyle w:val="Hyperlink"/>
            <w:noProof/>
          </w:rPr>
          <w:t>Recommendation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_Toc146894891 \h </w:instrText>
        </w:r>
        <w:r w:rsidR="009226AB" w:rsidRPr="003E4580">
          <w:rPr>
            <w:noProof/>
            <w:webHidden/>
          </w:rPr>
        </w:r>
        <w:r w:rsidR="009226AB" w:rsidRPr="003E4580">
          <w:rPr>
            <w:noProof/>
            <w:webHidden/>
          </w:rPr>
          <w:fldChar w:fldCharType="separate"/>
        </w:r>
        <w:r w:rsidR="009226AB" w:rsidRPr="003E4580">
          <w:rPr>
            <w:noProof/>
            <w:webHidden/>
          </w:rPr>
          <w:t>41</w:t>
        </w:r>
        <w:r w:rsidR="009226AB" w:rsidRPr="003E4580">
          <w:rPr>
            <w:noProof/>
            <w:webHidden/>
          </w:rPr>
          <w:fldChar w:fldCharType="end"/>
        </w:r>
      </w:hyperlink>
    </w:p>
    <w:p w14:paraId="70F5379A" w14:textId="5C3636C6" w:rsidR="009226AB" w:rsidRPr="003E4580" w:rsidRDefault="00BF64CF">
      <w:pPr>
        <w:pStyle w:val="TOC2"/>
        <w:tabs>
          <w:tab w:val="right" w:pos="9854"/>
        </w:tabs>
        <w:rPr>
          <w:rFonts w:eastAsiaTheme="minorEastAsia"/>
          <w:noProof/>
          <w:color w:val="auto"/>
          <w:kern w:val="0"/>
          <w:sz w:val="22"/>
          <w:szCs w:val="22"/>
          <w:lang w:eastAsia="en-AU"/>
        </w:rPr>
      </w:pPr>
      <w:hyperlink w:anchor="_Toc146894892" w:history="1">
        <w:r w:rsidR="009226AB" w:rsidRPr="003E4580">
          <w:rPr>
            <w:rStyle w:val="Hyperlink"/>
            <w:noProof/>
          </w:rPr>
          <w:t>Scope of the recommended option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_Toc146894892 \h </w:instrText>
        </w:r>
        <w:r w:rsidR="009226AB" w:rsidRPr="003E4580">
          <w:rPr>
            <w:noProof/>
            <w:webHidden/>
          </w:rPr>
        </w:r>
        <w:r w:rsidR="009226AB" w:rsidRPr="003E4580">
          <w:rPr>
            <w:noProof/>
            <w:webHidden/>
          </w:rPr>
          <w:fldChar w:fldCharType="separate"/>
        </w:r>
        <w:r w:rsidR="009226AB" w:rsidRPr="003E4580">
          <w:rPr>
            <w:noProof/>
            <w:webHidden/>
          </w:rPr>
          <w:t>42</w:t>
        </w:r>
        <w:r w:rsidR="009226AB" w:rsidRPr="003E4580">
          <w:rPr>
            <w:noProof/>
            <w:webHidden/>
          </w:rPr>
          <w:fldChar w:fldCharType="end"/>
        </w:r>
      </w:hyperlink>
    </w:p>
    <w:p w14:paraId="0A63076F" w14:textId="0DD069B0" w:rsidR="009226AB" w:rsidRPr="003E4580" w:rsidRDefault="00BF64CF">
      <w:pPr>
        <w:pStyle w:val="TOC2"/>
        <w:tabs>
          <w:tab w:val="right" w:pos="9854"/>
        </w:tabs>
        <w:rPr>
          <w:rFonts w:eastAsiaTheme="minorEastAsia"/>
          <w:noProof/>
          <w:color w:val="auto"/>
          <w:kern w:val="0"/>
          <w:sz w:val="22"/>
          <w:szCs w:val="22"/>
          <w:lang w:eastAsia="en-AU"/>
        </w:rPr>
      </w:pPr>
      <w:hyperlink w:anchor="_Toc146894893" w:history="1">
        <w:r w:rsidR="009226AB" w:rsidRPr="003E4580">
          <w:rPr>
            <w:rStyle w:val="Hyperlink"/>
            <w:noProof/>
          </w:rPr>
          <w:t>Timing of the recommended option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_Toc146894893 \h </w:instrText>
        </w:r>
        <w:r w:rsidR="009226AB" w:rsidRPr="003E4580">
          <w:rPr>
            <w:noProof/>
            <w:webHidden/>
          </w:rPr>
        </w:r>
        <w:r w:rsidR="009226AB" w:rsidRPr="003E4580">
          <w:rPr>
            <w:noProof/>
            <w:webHidden/>
          </w:rPr>
          <w:fldChar w:fldCharType="separate"/>
        </w:r>
        <w:r w:rsidR="009226AB" w:rsidRPr="003E4580">
          <w:rPr>
            <w:noProof/>
            <w:webHidden/>
          </w:rPr>
          <w:t>42</w:t>
        </w:r>
        <w:r w:rsidR="009226AB" w:rsidRPr="003E4580">
          <w:rPr>
            <w:noProof/>
            <w:webHidden/>
          </w:rPr>
          <w:fldChar w:fldCharType="end"/>
        </w:r>
      </w:hyperlink>
    </w:p>
    <w:p w14:paraId="1420E3CD" w14:textId="6CED037B" w:rsidR="009226AB" w:rsidRPr="003E4580" w:rsidRDefault="00BF64CF">
      <w:pPr>
        <w:pStyle w:val="TOC1"/>
        <w:rPr>
          <w:rFonts w:eastAsiaTheme="minorEastAsia"/>
          <w:b w:val="0"/>
          <w:noProof/>
          <w:color w:val="auto"/>
          <w:kern w:val="0"/>
          <w:sz w:val="22"/>
          <w:szCs w:val="22"/>
          <w:u w:val="none"/>
          <w:lang w:eastAsia="en-AU"/>
        </w:rPr>
      </w:pPr>
      <w:hyperlink w:anchor="_Toc146894894" w:history="1">
        <w:r w:rsidR="009226AB" w:rsidRPr="003E4580">
          <w:rPr>
            <w:rStyle w:val="Hyperlink"/>
            <w:noProof/>
          </w:rPr>
          <w:t>Chapter 7:  Implementation and Evaluation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_Toc146894894 \h </w:instrText>
        </w:r>
        <w:r w:rsidR="009226AB" w:rsidRPr="003E4580">
          <w:rPr>
            <w:noProof/>
            <w:webHidden/>
          </w:rPr>
        </w:r>
        <w:r w:rsidR="009226AB" w:rsidRPr="003E4580">
          <w:rPr>
            <w:noProof/>
            <w:webHidden/>
          </w:rPr>
          <w:fldChar w:fldCharType="separate"/>
        </w:r>
        <w:r w:rsidR="009226AB" w:rsidRPr="003E4580">
          <w:rPr>
            <w:noProof/>
            <w:webHidden/>
          </w:rPr>
          <w:t>43</w:t>
        </w:r>
        <w:r w:rsidR="009226AB" w:rsidRPr="003E4580">
          <w:rPr>
            <w:noProof/>
            <w:webHidden/>
          </w:rPr>
          <w:fldChar w:fldCharType="end"/>
        </w:r>
      </w:hyperlink>
    </w:p>
    <w:p w14:paraId="4CCFE4F9" w14:textId="5C932153" w:rsidR="009226AB" w:rsidRPr="003E4580" w:rsidRDefault="00BF64CF">
      <w:pPr>
        <w:pStyle w:val="TOC2"/>
        <w:tabs>
          <w:tab w:val="right" w:pos="9854"/>
        </w:tabs>
        <w:rPr>
          <w:rFonts w:eastAsiaTheme="minorEastAsia"/>
          <w:noProof/>
          <w:color w:val="auto"/>
          <w:kern w:val="0"/>
          <w:sz w:val="22"/>
          <w:szCs w:val="22"/>
          <w:lang w:eastAsia="en-AU"/>
        </w:rPr>
      </w:pPr>
      <w:hyperlink w:anchor="_Toc146894895" w:history="1">
        <w:r w:rsidR="009226AB" w:rsidRPr="003E4580">
          <w:rPr>
            <w:rStyle w:val="Hyperlink"/>
            <w:noProof/>
          </w:rPr>
          <w:t>Overview of the Regulatory Framework</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_Toc146894895 \h </w:instrText>
        </w:r>
        <w:r w:rsidR="009226AB" w:rsidRPr="003E4580">
          <w:rPr>
            <w:noProof/>
            <w:webHidden/>
          </w:rPr>
        </w:r>
        <w:r w:rsidR="009226AB" w:rsidRPr="003E4580">
          <w:rPr>
            <w:noProof/>
            <w:webHidden/>
          </w:rPr>
          <w:fldChar w:fldCharType="separate"/>
        </w:r>
        <w:r w:rsidR="009226AB" w:rsidRPr="003E4580">
          <w:rPr>
            <w:noProof/>
            <w:webHidden/>
          </w:rPr>
          <w:t>43</w:t>
        </w:r>
        <w:r w:rsidR="009226AB" w:rsidRPr="003E4580">
          <w:rPr>
            <w:noProof/>
            <w:webHidden/>
          </w:rPr>
          <w:fldChar w:fldCharType="end"/>
        </w:r>
      </w:hyperlink>
    </w:p>
    <w:p w14:paraId="5E8FF275" w14:textId="14DF82C7" w:rsidR="009226AB" w:rsidRPr="003E4580" w:rsidRDefault="00BF64CF">
      <w:pPr>
        <w:pStyle w:val="TOC2"/>
        <w:tabs>
          <w:tab w:val="right" w:pos="9854"/>
        </w:tabs>
        <w:rPr>
          <w:rFonts w:eastAsiaTheme="minorEastAsia"/>
          <w:noProof/>
          <w:color w:val="auto"/>
          <w:kern w:val="0"/>
          <w:sz w:val="22"/>
          <w:szCs w:val="22"/>
          <w:lang w:eastAsia="en-AU"/>
        </w:rPr>
      </w:pPr>
      <w:hyperlink w:anchor="_Toc146894896" w:history="1">
        <w:r w:rsidR="009226AB" w:rsidRPr="003E4580">
          <w:rPr>
            <w:rStyle w:val="Hyperlink"/>
            <w:noProof/>
          </w:rPr>
          <w:t>Exemption from Sunsetting</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_Toc146894896 \h </w:instrText>
        </w:r>
        <w:r w:rsidR="009226AB" w:rsidRPr="003E4580">
          <w:rPr>
            <w:noProof/>
            <w:webHidden/>
          </w:rPr>
        </w:r>
        <w:r w:rsidR="009226AB" w:rsidRPr="003E4580">
          <w:rPr>
            <w:noProof/>
            <w:webHidden/>
          </w:rPr>
          <w:fldChar w:fldCharType="separate"/>
        </w:r>
        <w:r w:rsidR="009226AB" w:rsidRPr="003E4580">
          <w:rPr>
            <w:noProof/>
            <w:webHidden/>
          </w:rPr>
          <w:t>43</w:t>
        </w:r>
        <w:r w:rsidR="009226AB" w:rsidRPr="003E4580">
          <w:rPr>
            <w:noProof/>
            <w:webHidden/>
          </w:rPr>
          <w:fldChar w:fldCharType="end"/>
        </w:r>
      </w:hyperlink>
    </w:p>
    <w:p w14:paraId="53554FB7" w14:textId="5DD13D74" w:rsidR="009226AB" w:rsidRPr="003E4580" w:rsidRDefault="00BF64CF">
      <w:pPr>
        <w:pStyle w:val="TOC2"/>
        <w:tabs>
          <w:tab w:val="right" w:pos="9854"/>
        </w:tabs>
        <w:rPr>
          <w:rFonts w:eastAsiaTheme="minorEastAsia"/>
          <w:noProof/>
          <w:color w:val="auto"/>
          <w:kern w:val="0"/>
          <w:sz w:val="22"/>
          <w:szCs w:val="22"/>
          <w:lang w:eastAsia="en-AU"/>
        </w:rPr>
      </w:pPr>
      <w:hyperlink w:anchor="_Toc146894897" w:history="1">
        <w:r w:rsidR="009226AB" w:rsidRPr="003E4580">
          <w:rPr>
            <w:rStyle w:val="Hyperlink"/>
            <w:noProof/>
          </w:rPr>
          <w:t>Review of the National Road Vehicle Standards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_Toc146894897 \h </w:instrText>
        </w:r>
        <w:r w:rsidR="009226AB" w:rsidRPr="003E4580">
          <w:rPr>
            <w:noProof/>
            <w:webHidden/>
          </w:rPr>
        </w:r>
        <w:r w:rsidR="009226AB" w:rsidRPr="003E4580">
          <w:rPr>
            <w:noProof/>
            <w:webHidden/>
          </w:rPr>
          <w:fldChar w:fldCharType="separate"/>
        </w:r>
        <w:r w:rsidR="009226AB" w:rsidRPr="003E4580">
          <w:rPr>
            <w:noProof/>
            <w:webHidden/>
          </w:rPr>
          <w:t>44</w:t>
        </w:r>
        <w:r w:rsidR="009226AB" w:rsidRPr="003E4580">
          <w:rPr>
            <w:noProof/>
            <w:webHidden/>
          </w:rPr>
          <w:fldChar w:fldCharType="end"/>
        </w:r>
      </w:hyperlink>
    </w:p>
    <w:p w14:paraId="0ADFF7D3" w14:textId="6866B4A3" w:rsidR="009226AB" w:rsidRPr="003E4580" w:rsidRDefault="00BF64CF">
      <w:pPr>
        <w:pStyle w:val="TOC1"/>
        <w:rPr>
          <w:rFonts w:eastAsiaTheme="minorEastAsia"/>
          <w:b w:val="0"/>
          <w:noProof/>
          <w:color w:val="auto"/>
          <w:kern w:val="0"/>
          <w:sz w:val="22"/>
          <w:szCs w:val="22"/>
          <w:u w:val="none"/>
          <w:lang w:eastAsia="en-AU"/>
        </w:rPr>
      </w:pPr>
      <w:hyperlink w:anchor="_Toc146894898" w:history="1">
        <w:r w:rsidR="009226AB" w:rsidRPr="003E4580">
          <w:rPr>
            <w:rStyle w:val="Hyperlink"/>
            <w:noProof/>
          </w:rPr>
          <w:t>Chapter 8: Conclusion and recommended option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_Toc146894898 \h </w:instrText>
        </w:r>
        <w:r w:rsidR="009226AB" w:rsidRPr="003E4580">
          <w:rPr>
            <w:noProof/>
            <w:webHidden/>
          </w:rPr>
        </w:r>
        <w:r w:rsidR="009226AB" w:rsidRPr="003E4580">
          <w:rPr>
            <w:noProof/>
            <w:webHidden/>
          </w:rPr>
          <w:fldChar w:fldCharType="separate"/>
        </w:r>
        <w:r w:rsidR="009226AB" w:rsidRPr="003E4580">
          <w:rPr>
            <w:noProof/>
            <w:webHidden/>
          </w:rPr>
          <w:t>45</w:t>
        </w:r>
        <w:r w:rsidR="009226AB" w:rsidRPr="003E4580">
          <w:rPr>
            <w:noProof/>
            <w:webHidden/>
          </w:rPr>
          <w:fldChar w:fldCharType="end"/>
        </w:r>
      </w:hyperlink>
    </w:p>
    <w:p w14:paraId="4D33130C" w14:textId="74E1055F" w:rsidR="009226AB" w:rsidRPr="003E4580" w:rsidRDefault="00BF64CF">
      <w:pPr>
        <w:pStyle w:val="TOC2"/>
        <w:tabs>
          <w:tab w:val="right" w:pos="9854"/>
        </w:tabs>
        <w:rPr>
          <w:rFonts w:eastAsiaTheme="minorEastAsia"/>
          <w:noProof/>
          <w:color w:val="auto"/>
          <w:kern w:val="0"/>
          <w:sz w:val="22"/>
          <w:szCs w:val="22"/>
          <w:lang w:eastAsia="en-AU"/>
        </w:rPr>
      </w:pPr>
      <w:hyperlink w:anchor="_Toc146894899" w:history="1">
        <w:r w:rsidR="009226AB" w:rsidRPr="003E4580">
          <w:rPr>
            <w:rStyle w:val="Hyperlink"/>
            <w:noProof/>
          </w:rPr>
          <w:t>Conclusion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_Toc146894899 \h </w:instrText>
        </w:r>
        <w:r w:rsidR="009226AB" w:rsidRPr="003E4580">
          <w:rPr>
            <w:noProof/>
            <w:webHidden/>
          </w:rPr>
        </w:r>
        <w:r w:rsidR="009226AB" w:rsidRPr="003E4580">
          <w:rPr>
            <w:noProof/>
            <w:webHidden/>
          </w:rPr>
          <w:fldChar w:fldCharType="separate"/>
        </w:r>
        <w:r w:rsidR="009226AB" w:rsidRPr="003E4580">
          <w:rPr>
            <w:noProof/>
            <w:webHidden/>
          </w:rPr>
          <w:t>45</w:t>
        </w:r>
        <w:r w:rsidR="009226AB" w:rsidRPr="003E4580">
          <w:rPr>
            <w:noProof/>
            <w:webHidden/>
          </w:rPr>
          <w:fldChar w:fldCharType="end"/>
        </w:r>
      </w:hyperlink>
    </w:p>
    <w:p w14:paraId="3B6E9272" w14:textId="50B94AEE" w:rsidR="009226AB" w:rsidRPr="003E4580" w:rsidRDefault="00BF64CF">
      <w:pPr>
        <w:pStyle w:val="TOC1"/>
        <w:rPr>
          <w:rFonts w:eastAsiaTheme="minorEastAsia"/>
          <w:b w:val="0"/>
          <w:noProof/>
          <w:color w:val="auto"/>
          <w:kern w:val="0"/>
          <w:sz w:val="22"/>
          <w:szCs w:val="22"/>
          <w:u w:val="none"/>
          <w:lang w:eastAsia="en-AU"/>
        </w:rPr>
      </w:pPr>
      <w:hyperlink w:anchor="_Toc146894900" w:history="1">
        <w:r w:rsidR="009226AB" w:rsidRPr="003E4580">
          <w:rPr>
            <w:rStyle w:val="Hyperlink"/>
            <w:noProof/>
          </w:rPr>
          <w:t>Appendix A – References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_Toc146894900 \h </w:instrText>
        </w:r>
        <w:r w:rsidR="009226AB" w:rsidRPr="003E4580">
          <w:rPr>
            <w:noProof/>
            <w:webHidden/>
          </w:rPr>
        </w:r>
        <w:r w:rsidR="009226AB" w:rsidRPr="003E4580">
          <w:rPr>
            <w:noProof/>
            <w:webHidden/>
          </w:rPr>
          <w:fldChar w:fldCharType="separate"/>
        </w:r>
        <w:r w:rsidR="009226AB" w:rsidRPr="003E4580">
          <w:rPr>
            <w:noProof/>
            <w:webHidden/>
          </w:rPr>
          <w:t>46</w:t>
        </w:r>
        <w:r w:rsidR="009226AB" w:rsidRPr="003E4580">
          <w:rPr>
            <w:noProof/>
            <w:webHidden/>
          </w:rPr>
          <w:fldChar w:fldCharType="end"/>
        </w:r>
      </w:hyperlink>
    </w:p>
    <w:p w14:paraId="1BF4E626" w14:textId="2982FC9E" w:rsidR="009226AB" w:rsidRPr="003E4580" w:rsidRDefault="00BF64CF">
      <w:pPr>
        <w:pStyle w:val="TOC1"/>
        <w:rPr>
          <w:rFonts w:eastAsiaTheme="minorEastAsia"/>
          <w:b w:val="0"/>
          <w:noProof/>
          <w:color w:val="auto"/>
          <w:kern w:val="0"/>
          <w:sz w:val="22"/>
          <w:szCs w:val="22"/>
          <w:u w:val="none"/>
          <w:lang w:eastAsia="en-AU"/>
        </w:rPr>
      </w:pPr>
      <w:hyperlink w:anchor="_Toc146894901" w:history="1">
        <w:r w:rsidR="009226AB" w:rsidRPr="003E4580">
          <w:rPr>
            <w:rStyle w:val="Hyperlink"/>
            <w:noProof/>
          </w:rPr>
          <w:t>Appendix B – Strategic Vehicle Safety and Environment Group</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_Toc146894901 \h </w:instrText>
        </w:r>
        <w:r w:rsidR="009226AB" w:rsidRPr="003E4580">
          <w:rPr>
            <w:noProof/>
            <w:webHidden/>
          </w:rPr>
        </w:r>
        <w:r w:rsidR="009226AB" w:rsidRPr="003E4580">
          <w:rPr>
            <w:noProof/>
            <w:webHidden/>
          </w:rPr>
          <w:fldChar w:fldCharType="separate"/>
        </w:r>
        <w:r w:rsidR="009226AB" w:rsidRPr="003E4580">
          <w:rPr>
            <w:noProof/>
            <w:webHidden/>
          </w:rPr>
          <w:t>49</w:t>
        </w:r>
        <w:r w:rsidR="009226AB" w:rsidRPr="003E4580">
          <w:rPr>
            <w:noProof/>
            <w:webHidden/>
          </w:rPr>
          <w:fldChar w:fldCharType="end"/>
        </w:r>
      </w:hyperlink>
    </w:p>
    <w:p w14:paraId="1D2E0544" w14:textId="756B50B0" w:rsidR="009226AB" w:rsidRPr="003E4580" w:rsidRDefault="00BF64CF">
      <w:pPr>
        <w:pStyle w:val="TOC1"/>
        <w:rPr>
          <w:rFonts w:eastAsiaTheme="minorEastAsia"/>
          <w:b w:val="0"/>
          <w:noProof/>
          <w:color w:val="auto"/>
          <w:kern w:val="0"/>
          <w:sz w:val="22"/>
          <w:szCs w:val="22"/>
          <w:u w:val="none"/>
          <w:lang w:eastAsia="en-AU"/>
        </w:rPr>
      </w:pPr>
      <w:hyperlink w:anchor="_Toc146894902" w:history="1">
        <w:r w:rsidR="009226AB" w:rsidRPr="003E4580">
          <w:rPr>
            <w:rStyle w:val="Hyperlink"/>
            <w:noProof/>
          </w:rPr>
          <w:t>Appendix C – Technical Liaison Group</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_Toc146894902 \h </w:instrText>
        </w:r>
        <w:r w:rsidR="009226AB" w:rsidRPr="003E4580">
          <w:rPr>
            <w:noProof/>
            <w:webHidden/>
          </w:rPr>
        </w:r>
        <w:r w:rsidR="009226AB" w:rsidRPr="003E4580">
          <w:rPr>
            <w:noProof/>
            <w:webHidden/>
          </w:rPr>
          <w:fldChar w:fldCharType="separate"/>
        </w:r>
        <w:r w:rsidR="009226AB" w:rsidRPr="003E4580">
          <w:rPr>
            <w:noProof/>
            <w:webHidden/>
          </w:rPr>
          <w:t>50</w:t>
        </w:r>
        <w:r w:rsidR="009226AB" w:rsidRPr="003E4580">
          <w:rPr>
            <w:noProof/>
            <w:webHidden/>
          </w:rPr>
          <w:fldChar w:fldCharType="end"/>
        </w:r>
      </w:hyperlink>
    </w:p>
    <w:p w14:paraId="098CC3CB" w14:textId="43D1558D" w:rsidR="009226AB" w:rsidRPr="003E4580" w:rsidRDefault="00BF64CF">
      <w:pPr>
        <w:pStyle w:val="TOC1"/>
        <w:rPr>
          <w:rFonts w:eastAsiaTheme="minorEastAsia"/>
          <w:b w:val="0"/>
          <w:noProof/>
          <w:color w:val="auto"/>
          <w:kern w:val="0"/>
          <w:sz w:val="22"/>
          <w:szCs w:val="22"/>
          <w:u w:val="none"/>
          <w:lang w:eastAsia="en-AU"/>
        </w:rPr>
      </w:pPr>
      <w:hyperlink w:anchor="_Toc146894903" w:history="1">
        <w:r w:rsidR="009226AB" w:rsidRPr="003E4580">
          <w:rPr>
            <w:rStyle w:val="Hyperlink"/>
            <w:noProof/>
          </w:rPr>
          <w:t>Appendix D – ADR 99/01 – Lane Departure Warning Systems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_Toc146894903 \h </w:instrText>
        </w:r>
        <w:r w:rsidR="009226AB" w:rsidRPr="003E4580">
          <w:rPr>
            <w:noProof/>
            <w:webHidden/>
          </w:rPr>
        </w:r>
        <w:r w:rsidR="009226AB" w:rsidRPr="003E4580">
          <w:rPr>
            <w:noProof/>
            <w:webHidden/>
          </w:rPr>
          <w:fldChar w:fldCharType="separate"/>
        </w:r>
        <w:r w:rsidR="009226AB" w:rsidRPr="003E4580">
          <w:rPr>
            <w:noProof/>
            <w:webHidden/>
          </w:rPr>
          <w:t>51</w:t>
        </w:r>
        <w:r w:rsidR="009226AB" w:rsidRPr="003E4580">
          <w:rPr>
            <w:noProof/>
            <w:webHidden/>
          </w:rPr>
          <w:fldChar w:fldCharType="end"/>
        </w:r>
      </w:hyperlink>
    </w:p>
    <w:p w14:paraId="783FFE29" w14:textId="0576094D" w:rsidR="009226AB" w:rsidRPr="003E4580" w:rsidRDefault="00BF64CF">
      <w:pPr>
        <w:pStyle w:val="TOC2"/>
        <w:tabs>
          <w:tab w:val="right" w:pos="9854"/>
        </w:tabs>
        <w:rPr>
          <w:rFonts w:eastAsiaTheme="minorEastAsia"/>
          <w:noProof/>
          <w:color w:val="auto"/>
          <w:kern w:val="0"/>
          <w:sz w:val="22"/>
          <w:szCs w:val="22"/>
          <w:lang w:eastAsia="en-AU"/>
        </w:rPr>
      </w:pPr>
      <w:hyperlink w:anchor="_Toc146894904" w:history="1">
        <w:r w:rsidR="009226AB" w:rsidRPr="003E4580">
          <w:rPr>
            <w:rStyle w:val="Hyperlink"/>
            <w:noProof/>
          </w:rPr>
          <w:t>European mandate of UN Regulation No. 130</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_Toc146894904 \h </w:instrText>
        </w:r>
        <w:r w:rsidR="009226AB" w:rsidRPr="003E4580">
          <w:rPr>
            <w:noProof/>
            <w:webHidden/>
          </w:rPr>
        </w:r>
        <w:r w:rsidR="009226AB" w:rsidRPr="003E4580">
          <w:rPr>
            <w:noProof/>
            <w:webHidden/>
          </w:rPr>
          <w:fldChar w:fldCharType="separate"/>
        </w:r>
        <w:r w:rsidR="009226AB" w:rsidRPr="003E4580">
          <w:rPr>
            <w:noProof/>
            <w:webHidden/>
          </w:rPr>
          <w:t>53</w:t>
        </w:r>
        <w:r w:rsidR="009226AB" w:rsidRPr="003E4580">
          <w:rPr>
            <w:noProof/>
            <w:webHidden/>
          </w:rPr>
          <w:fldChar w:fldCharType="end"/>
        </w:r>
      </w:hyperlink>
    </w:p>
    <w:p w14:paraId="4A066CAC" w14:textId="28C38077" w:rsidR="009226AB" w:rsidRPr="003E4580" w:rsidRDefault="00BF64CF">
      <w:pPr>
        <w:pStyle w:val="TOC1"/>
        <w:rPr>
          <w:rFonts w:eastAsiaTheme="minorEastAsia"/>
          <w:b w:val="0"/>
          <w:noProof/>
          <w:color w:val="auto"/>
          <w:kern w:val="0"/>
          <w:sz w:val="22"/>
          <w:szCs w:val="22"/>
          <w:u w:val="none"/>
          <w:lang w:eastAsia="en-AU"/>
        </w:rPr>
      </w:pPr>
      <w:hyperlink w:anchor="_Toc146894905" w:history="1">
        <w:r w:rsidR="009226AB" w:rsidRPr="003E4580">
          <w:rPr>
            <w:rStyle w:val="Hyperlink"/>
            <w:noProof/>
          </w:rPr>
          <w:t>Appendix E – Benefit-cost analysis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_Toc146894905 \h </w:instrText>
        </w:r>
        <w:r w:rsidR="009226AB" w:rsidRPr="003E4580">
          <w:rPr>
            <w:noProof/>
            <w:webHidden/>
          </w:rPr>
        </w:r>
        <w:r w:rsidR="009226AB" w:rsidRPr="003E4580">
          <w:rPr>
            <w:noProof/>
            <w:webHidden/>
          </w:rPr>
          <w:fldChar w:fldCharType="separate"/>
        </w:r>
        <w:r w:rsidR="009226AB" w:rsidRPr="003E4580">
          <w:rPr>
            <w:noProof/>
            <w:webHidden/>
          </w:rPr>
          <w:t>54</w:t>
        </w:r>
        <w:r w:rsidR="009226AB" w:rsidRPr="003E4580">
          <w:rPr>
            <w:noProof/>
            <w:webHidden/>
          </w:rPr>
          <w:fldChar w:fldCharType="end"/>
        </w:r>
      </w:hyperlink>
    </w:p>
    <w:p w14:paraId="7383CD09" w14:textId="43A606AA" w:rsidR="009226AB" w:rsidRPr="003E4580" w:rsidRDefault="00BF64CF">
      <w:pPr>
        <w:pStyle w:val="TOC1"/>
        <w:rPr>
          <w:rFonts w:eastAsiaTheme="minorEastAsia"/>
          <w:b w:val="0"/>
          <w:noProof/>
          <w:color w:val="auto"/>
          <w:kern w:val="0"/>
          <w:sz w:val="22"/>
          <w:szCs w:val="22"/>
          <w:u w:val="none"/>
          <w:lang w:eastAsia="en-AU"/>
        </w:rPr>
      </w:pPr>
      <w:hyperlink w:anchor="_Toc146894906" w:history="1">
        <w:r w:rsidR="009226AB" w:rsidRPr="003E4580">
          <w:rPr>
            <w:rStyle w:val="Hyperlink"/>
            <w:noProof/>
          </w:rPr>
          <w:t>Appendix F – Acronyms and abbreviations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_Toc146894906 \h </w:instrText>
        </w:r>
        <w:r w:rsidR="009226AB" w:rsidRPr="003E4580">
          <w:rPr>
            <w:noProof/>
            <w:webHidden/>
          </w:rPr>
        </w:r>
        <w:r w:rsidR="009226AB" w:rsidRPr="003E4580">
          <w:rPr>
            <w:noProof/>
            <w:webHidden/>
          </w:rPr>
          <w:fldChar w:fldCharType="separate"/>
        </w:r>
        <w:r w:rsidR="009226AB" w:rsidRPr="003E4580">
          <w:rPr>
            <w:noProof/>
            <w:webHidden/>
          </w:rPr>
          <w:t>62</w:t>
        </w:r>
        <w:r w:rsidR="009226AB" w:rsidRPr="003E4580">
          <w:rPr>
            <w:noProof/>
            <w:webHidden/>
          </w:rPr>
          <w:fldChar w:fldCharType="end"/>
        </w:r>
      </w:hyperlink>
    </w:p>
    <w:p w14:paraId="225DC835" w14:textId="4EBA0D91" w:rsidR="009226AB" w:rsidRPr="003E4580" w:rsidRDefault="00BF64CF">
      <w:pPr>
        <w:pStyle w:val="TOC1"/>
        <w:rPr>
          <w:rFonts w:eastAsiaTheme="minorEastAsia"/>
          <w:b w:val="0"/>
          <w:noProof/>
          <w:color w:val="auto"/>
          <w:kern w:val="0"/>
          <w:sz w:val="22"/>
          <w:szCs w:val="22"/>
          <w:u w:val="none"/>
          <w:lang w:eastAsia="en-AU"/>
        </w:rPr>
      </w:pPr>
      <w:hyperlink w:anchor="_Toc146894907" w:history="1">
        <w:r w:rsidR="009226AB" w:rsidRPr="003E4580">
          <w:rPr>
            <w:rStyle w:val="Hyperlink"/>
            <w:noProof/>
          </w:rPr>
          <w:t>Appendix G – Glossary of terms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_Toc146894907 \h </w:instrText>
        </w:r>
        <w:r w:rsidR="009226AB" w:rsidRPr="003E4580">
          <w:rPr>
            <w:noProof/>
            <w:webHidden/>
          </w:rPr>
        </w:r>
        <w:r w:rsidR="009226AB" w:rsidRPr="003E4580">
          <w:rPr>
            <w:noProof/>
            <w:webHidden/>
          </w:rPr>
          <w:fldChar w:fldCharType="separate"/>
        </w:r>
        <w:r w:rsidR="009226AB" w:rsidRPr="003E4580">
          <w:rPr>
            <w:noProof/>
            <w:webHidden/>
          </w:rPr>
          <w:t>64</w:t>
        </w:r>
        <w:r w:rsidR="009226AB" w:rsidRPr="003E4580">
          <w:rPr>
            <w:noProof/>
            <w:webHidden/>
          </w:rPr>
          <w:fldChar w:fldCharType="end"/>
        </w:r>
      </w:hyperlink>
    </w:p>
    <w:p w14:paraId="02D66F80" w14:textId="7FE5FD18" w:rsidR="009226AB" w:rsidRPr="003E4580" w:rsidRDefault="00BF64CF">
      <w:pPr>
        <w:pStyle w:val="TOC1"/>
        <w:rPr>
          <w:rFonts w:eastAsiaTheme="minorEastAsia"/>
          <w:b w:val="0"/>
          <w:noProof/>
          <w:color w:val="auto"/>
          <w:kern w:val="0"/>
          <w:sz w:val="22"/>
          <w:szCs w:val="22"/>
          <w:u w:val="none"/>
          <w:lang w:eastAsia="en-AU"/>
        </w:rPr>
      </w:pPr>
      <w:hyperlink w:anchor="_Toc146894908" w:history="1">
        <w:r w:rsidR="009226AB" w:rsidRPr="003E4580">
          <w:rPr>
            <w:rStyle w:val="Hyperlink"/>
            <w:noProof/>
          </w:rPr>
          <w:t>Appendix H – Heavy vehicle categories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_Toc146894908 \h </w:instrText>
        </w:r>
        <w:r w:rsidR="009226AB" w:rsidRPr="003E4580">
          <w:rPr>
            <w:noProof/>
            <w:webHidden/>
          </w:rPr>
        </w:r>
        <w:r w:rsidR="009226AB" w:rsidRPr="003E4580">
          <w:rPr>
            <w:noProof/>
            <w:webHidden/>
          </w:rPr>
          <w:fldChar w:fldCharType="separate"/>
        </w:r>
        <w:r w:rsidR="009226AB" w:rsidRPr="003E4580">
          <w:rPr>
            <w:noProof/>
            <w:webHidden/>
          </w:rPr>
          <w:t>66</w:t>
        </w:r>
        <w:r w:rsidR="009226AB" w:rsidRPr="003E4580">
          <w:rPr>
            <w:noProof/>
            <w:webHidden/>
          </w:rPr>
          <w:fldChar w:fldCharType="end"/>
        </w:r>
      </w:hyperlink>
    </w:p>
    <w:p w14:paraId="77803798" w14:textId="6C2B2E59" w:rsidR="009226AB" w:rsidRPr="003E4580" w:rsidRDefault="00BF64CF">
      <w:pPr>
        <w:pStyle w:val="TOC1"/>
        <w:rPr>
          <w:rFonts w:eastAsiaTheme="minorEastAsia"/>
          <w:b w:val="0"/>
          <w:noProof/>
          <w:color w:val="auto"/>
          <w:kern w:val="0"/>
          <w:sz w:val="22"/>
          <w:szCs w:val="22"/>
          <w:u w:val="none"/>
          <w:lang w:eastAsia="en-AU"/>
        </w:rPr>
      </w:pPr>
      <w:hyperlink w:anchor="_Toc146894909" w:history="1">
        <w:r w:rsidR="009226AB" w:rsidRPr="003E4580">
          <w:rPr>
            <w:rStyle w:val="Hyperlink"/>
            <w:noProof/>
          </w:rPr>
          <w:t>Appendix I – Public Comment Summary</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_Toc146894909 \h </w:instrText>
        </w:r>
        <w:r w:rsidR="009226AB" w:rsidRPr="003E4580">
          <w:rPr>
            <w:noProof/>
            <w:webHidden/>
          </w:rPr>
        </w:r>
        <w:r w:rsidR="009226AB" w:rsidRPr="003E4580">
          <w:rPr>
            <w:noProof/>
            <w:webHidden/>
          </w:rPr>
          <w:fldChar w:fldCharType="separate"/>
        </w:r>
        <w:r w:rsidR="009226AB" w:rsidRPr="003E4580">
          <w:rPr>
            <w:noProof/>
            <w:webHidden/>
          </w:rPr>
          <w:t>67</w:t>
        </w:r>
        <w:r w:rsidR="009226AB" w:rsidRPr="003E4580">
          <w:rPr>
            <w:noProof/>
            <w:webHidden/>
          </w:rPr>
          <w:fldChar w:fldCharType="end"/>
        </w:r>
      </w:hyperlink>
    </w:p>
    <w:p w14:paraId="1BC5A163" w14:textId="441E7297" w:rsidR="00DE4FE2" w:rsidRPr="003E4580" w:rsidRDefault="00A95970">
      <w:r w:rsidRPr="003E4580">
        <w:fldChar w:fldCharType="end"/>
      </w:r>
    </w:p>
    <w:p w14:paraId="3415ED50" w14:textId="4AF2756A" w:rsidR="009226AB" w:rsidRPr="003E4580" w:rsidRDefault="009226AB"/>
    <w:p w14:paraId="528F4D3B" w14:textId="77777777" w:rsidR="009226AB" w:rsidRPr="003E4580" w:rsidRDefault="009226AB"/>
    <w:p w14:paraId="07CD047F" w14:textId="77777777" w:rsidR="005912BE" w:rsidRPr="003E4580" w:rsidRDefault="002D3DC4" w:rsidP="00C66D0C">
      <w:pPr>
        <w:pStyle w:val="TOCHeading"/>
      </w:pPr>
      <w:r w:rsidRPr="003E4580">
        <w:t xml:space="preserve">List of </w:t>
      </w:r>
      <w:r w:rsidR="0093261E" w:rsidRPr="003E4580">
        <w:t>t</w:t>
      </w:r>
      <w:r w:rsidR="006E1ECA" w:rsidRPr="003E4580">
        <w:t>ables</w:t>
      </w:r>
    </w:p>
    <w:p w14:paraId="0B563AD3" w14:textId="7A3A5935" w:rsidR="00B66A60" w:rsidRPr="003E4580" w:rsidRDefault="00C66D0C">
      <w:pPr>
        <w:pStyle w:val="TableofFigures"/>
        <w:tabs>
          <w:tab w:val="right" w:leader="dot" w:pos="9854"/>
        </w:tabs>
        <w:rPr>
          <w:rFonts w:eastAsiaTheme="minorEastAsia"/>
          <w:noProof/>
          <w:color w:val="auto"/>
          <w:kern w:val="0"/>
          <w:sz w:val="22"/>
          <w:szCs w:val="22"/>
          <w:lang w:eastAsia="en-AU"/>
        </w:rPr>
      </w:pPr>
      <w:r w:rsidRPr="003E4580">
        <w:fldChar w:fldCharType="begin"/>
      </w:r>
      <w:r w:rsidRPr="003E4580">
        <w:instrText xml:space="preserve"> TOC \h \z \c "Table" </w:instrText>
      </w:r>
      <w:r w:rsidRPr="003E4580">
        <w:fldChar w:fldCharType="separate"/>
      </w:r>
      <w:hyperlink w:anchor="_Toc136912394" w:history="1">
        <w:r w:rsidR="00B66A60" w:rsidRPr="003E4580">
          <w:rPr>
            <w:rStyle w:val="Hyperlink"/>
            <w:noProof/>
          </w:rPr>
          <w:t>Table 1: Summary of gross and net benefits for each option</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_Toc136912394 \h </w:instrText>
        </w:r>
        <w:r w:rsidR="00B66A60" w:rsidRPr="003E4580">
          <w:rPr>
            <w:noProof/>
            <w:webHidden/>
          </w:rPr>
        </w:r>
        <w:r w:rsidR="00B66A60" w:rsidRPr="003E4580">
          <w:rPr>
            <w:noProof/>
            <w:webHidden/>
          </w:rPr>
          <w:fldChar w:fldCharType="separate"/>
        </w:r>
        <w:r w:rsidR="009226AB" w:rsidRPr="003E4580">
          <w:rPr>
            <w:noProof/>
            <w:webHidden/>
          </w:rPr>
          <w:t>7</w:t>
        </w:r>
        <w:r w:rsidR="00B66A60" w:rsidRPr="003E4580">
          <w:rPr>
            <w:noProof/>
            <w:webHidden/>
          </w:rPr>
          <w:fldChar w:fldCharType="end"/>
        </w:r>
      </w:hyperlink>
    </w:p>
    <w:p w14:paraId="061B79F0" w14:textId="7EF97459" w:rsidR="00B66A60" w:rsidRPr="003E4580" w:rsidRDefault="00BF64CF">
      <w:pPr>
        <w:pStyle w:val="TableofFigures"/>
        <w:tabs>
          <w:tab w:val="right" w:leader="dot" w:pos="9854"/>
        </w:tabs>
        <w:rPr>
          <w:rFonts w:eastAsiaTheme="minorEastAsia"/>
          <w:noProof/>
          <w:color w:val="auto"/>
          <w:kern w:val="0"/>
          <w:sz w:val="22"/>
          <w:szCs w:val="22"/>
          <w:lang w:eastAsia="en-AU"/>
        </w:rPr>
      </w:pPr>
      <w:hyperlink w:anchor="_Toc136912395" w:history="1">
        <w:r w:rsidR="00B66A60" w:rsidRPr="003E4580">
          <w:rPr>
            <w:rStyle w:val="Hyperlink"/>
            <w:noProof/>
          </w:rPr>
          <w:t>Table 2: Summary of costs and benefits-cost ratios for each option</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_Toc136912395 \h </w:instrText>
        </w:r>
        <w:r w:rsidR="00B66A60" w:rsidRPr="003E4580">
          <w:rPr>
            <w:noProof/>
            <w:webHidden/>
          </w:rPr>
        </w:r>
        <w:r w:rsidR="00B66A60" w:rsidRPr="003E4580">
          <w:rPr>
            <w:noProof/>
            <w:webHidden/>
          </w:rPr>
          <w:fldChar w:fldCharType="separate"/>
        </w:r>
        <w:r w:rsidR="009226AB" w:rsidRPr="003E4580">
          <w:rPr>
            <w:noProof/>
            <w:webHidden/>
          </w:rPr>
          <w:t>7</w:t>
        </w:r>
        <w:r w:rsidR="00B66A60" w:rsidRPr="003E4580">
          <w:rPr>
            <w:noProof/>
            <w:webHidden/>
          </w:rPr>
          <w:fldChar w:fldCharType="end"/>
        </w:r>
      </w:hyperlink>
    </w:p>
    <w:p w14:paraId="67219206" w14:textId="46EDB4F6" w:rsidR="00B66A60" w:rsidRPr="003E4580" w:rsidRDefault="00BF64CF">
      <w:pPr>
        <w:pStyle w:val="TableofFigures"/>
        <w:tabs>
          <w:tab w:val="right" w:leader="dot" w:pos="9854"/>
        </w:tabs>
        <w:rPr>
          <w:rFonts w:eastAsiaTheme="minorEastAsia"/>
          <w:noProof/>
          <w:color w:val="auto"/>
          <w:kern w:val="0"/>
          <w:sz w:val="22"/>
          <w:szCs w:val="22"/>
          <w:lang w:eastAsia="en-AU"/>
        </w:rPr>
      </w:pPr>
      <w:hyperlink w:anchor="_Toc136912396" w:history="1">
        <w:r w:rsidR="00B66A60" w:rsidRPr="003E4580">
          <w:rPr>
            <w:rStyle w:val="Hyperlink"/>
            <w:noProof/>
          </w:rPr>
          <w:t>Table 3: Summary of lives saved and serious injuries (hospital admissions) avoided</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_Toc136912396 \h </w:instrText>
        </w:r>
        <w:r w:rsidR="00B66A60" w:rsidRPr="003E4580">
          <w:rPr>
            <w:noProof/>
            <w:webHidden/>
          </w:rPr>
        </w:r>
        <w:r w:rsidR="00B66A60" w:rsidRPr="003E4580">
          <w:rPr>
            <w:noProof/>
            <w:webHidden/>
          </w:rPr>
          <w:fldChar w:fldCharType="separate"/>
        </w:r>
        <w:r w:rsidR="009226AB" w:rsidRPr="003E4580">
          <w:rPr>
            <w:noProof/>
            <w:webHidden/>
          </w:rPr>
          <w:t>7</w:t>
        </w:r>
        <w:r w:rsidR="00B66A60" w:rsidRPr="003E4580">
          <w:rPr>
            <w:noProof/>
            <w:webHidden/>
          </w:rPr>
          <w:fldChar w:fldCharType="end"/>
        </w:r>
      </w:hyperlink>
    </w:p>
    <w:p w14:paraId="0DEBE5F8" w14:textId="55424F8A" w:rsidR="00B66A60" w:rsidRPr="003E4580" w:rsidRDefault="00BF64CF">
      <w:pPr>
        <w:pStyle w:val="TableofFigures"/>
        <w:tabs>
          <w:tab w:val="right" w:leader="dot" w:pos="9854"/>
        </w:tabs>
        <w:rPr>
          <w:rFonts w:eastAsiaTheme="minorEastAsia"/>
          <w:noProof/>
          <w:color w:val="auto"/>
          <w:kern w:val="0"/>
          <w:sz w:val="22"/>
          <w:szCs w:val="22"/>
          <w:lang w:eastAsia="en-AU"/>
        </w:rPr>
      </w:pPr>
      <w:hyperlink w:anchor="_Toc136912397" w:history="1">
        <w:r w:rsidR="00B66A60" w:rsidRPr="003E4580">
          <w:rPr>
            <w:rStyle w:val="Hyperlink"/>
            <w:noProof/>
          </w:rPr>
          <w:t>Table 4: Industry reported LDWS fitment to heavy vehicles (TIC, 2021)</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_Toc136912397 \h </w:instrText>
        </w:r>
        <w:r w:rsidR="00B66A60" w:rsidRPr="003E4580">
          <w:rPr>
            <w:noProof/>
            <w:webHidden/>
          </w:rPr>
        </w:r>
        <w:r w:rsidR="00B66A60" w:rsidRPr="003E4580">
          <w:rPr>
            <w:noProof/>
            <w:webHidden/>
          </w:rPr>
          <w:fldChar w:fldCharType="separate"/>
        </w:r>
        <w:r w:rsidR="009226AB" w:rsidRPr="003E4580">
          <w:rPr>
            <w:noProof/>
            <w:webHidden/>
          </w:rPr>
          <w:t>21</w:t>
        </w:r>
        <w:r w:rsidR="00B66A60" w:rsidRPr="003E4580">
          <w:rPr>
            <w:noProof/>
            <w:webHidden/>
          </w:rPr>
          <w:fldChar w:fldCharType="end"/>
        </w:r>
      </w:hyperlink>
    </w:p>
    <w:p w14:paraId="2DE22340" w14:textId="4A2E6D34" w:rsidR="00B66A60" w:rsidRPr="003E4580" w:rsidRDefault="00BF64CF">
      <w:pPr>
        <w:pStyle w:val="TableofFigures"/>
        <w:tabs>
          <w:tab w:val="right" w:leader="dot" w:pos="9854"/>
        </w:tabs>
        <w:rPr>
          <w:rFonts w:eastAsiaTheme="minorEastAsia"/>
          <w:noProof/>
          <w:color w:val="auto"/>
          <w:kern w:val="0"/>
          <w:sz w:val="22"/>
          <w:szCs w:val="22"/>
          <w:lang w:eastAsia="en-AU"/>
        </w:rPr>
      </w:pPr>
      <w:hyperlink w:anchor="_Toc136912398" w:history="1">
        <w:r w:rsidR="00B66A60" w:rsidRPr="003E4580">
          <w:rPr>
            <w:rStyle w:val="Hyperlink"/>
            <w:noProof/>
          </w:rPr>
          <w:t>Table 5: Summary of the various costs associated with the implementation of Option 2 in the Consultation IA published in April 2022</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_Toc136912398 \h </w:instrText>
        </w:r>
        <w:r w:rsidR="00B66A60" w:rsidRPr="003E4580">
          <w:rPr>
            <w:noProof/>
            <w:webHidden/>
          </w:rPr>
        </w:r>
        <w:r w:rsidR="00B66A60" w:rsidRPr="003E4580">
          <w:rPr>
            <w:noProof/>
            <w:webHidden/>
          </w:rPr>
          <w:fldChar w:fldCharType="separate"/>
        </w:r>
        <w:r w:rsidR="009226AB" w:rsidRPr="003E4580">
          <w:rPr>
            <w:noProof/>
            <w:webHidden/>
          </w:rPr>
          <w:t>33</w:t>
        </w:r>
        <w:r w:rsidR="00B66A60" w:rsidRPr="003E4580">
          <w:rPr>
            <w:noProof/>
            <w:webHidden/>
          </w:rPr>
          <w:fldChar w:fldCharType="end"/>
        </w:r>
      </w:hyperlink>
    </w:p>
    <w:p w14:paraId="576F2504" w14:textId="57F3175E" w:rsidR="00B66A60" w:rsidRPr="003E4580" w:rsidRDefault="00BF64CF">
      <w:pPr>
        <w:pStyle w:val="TableofFigures"/>
        <w:tabs>
          <w:tab w:val="right" w:leader="dot" w:pos="9854"/>
        </w:tabs>
        <w:rPr>
          <w:rFonts w:eastAsiaTheme="minorEastAsia"/>
          <w:noProof/>
          <w:color w:val="auto"/>
          <w:kern w:val="0"/>
          <w:sz w:val="22"/>
          <w:szCs w:val="22"/>
          <w:lang w:eastAsia="en-AU"/>
        </w:rPr>
      </w:pPr>
      <w:hyperlink w:anchor="_Toc136912399" w:history="1">
        <w:r w:rsidR="00B66A60" w:rsidRPr="003E4580">
          <w:rPr>
            <w:rStyle w:val="Hyperlink"/>
            <w:noProof/>
          </w:rPr>
          <w:t>Table 6: Summary of the various costs associated with the implementation of Option 2 in the Final IA published in 2023. Note development, fitment, testing costs increased based on feedback to Consultation IA</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_Toc136912399 \h </w:instrText>
        </w:r>
        <w:r w:rsidR="00B66A60" w:rsidRPr="003E4580">
          <w:rPr>
            <w:noProof/>
            <w:webHidden/>
          </w:rPr>
        </w:r>
        <w:r w:rsidR="00B66A60" w:rsidRPr="003E4580">
          <w:rPr>
            <w:noProof/>
            <w:webHidden/>
          </w:rPr>
          <w:fldChar w:fldCharType="separate"/>
        </w:r>
        <w:r w:rsidR="009226AB" w:rsidRPr="003E4580">
          <w:rPr>
            <w:noProof/>
            <w:webHidden/>
          </w:rPr>
          <w:t>33</w:t>
        </w:r>
        <w:r w:rsidR="00B66A60" w:rsidRPr="003E4580">
          <w:rPr>
            <w:noProof/>
            <w:webHidden/>
          </w:rPr>
          <w:fldChar w:fldCharType="end"/>
        </w:r>
      </w:hyperlink>
    </w:p>
    <w:p w14:paraId="5DEBF154" w14:textId="21B8244F" w:rsidR="00B66A60" w:rsidRPr="003E4580" w:rsidRDefault="00BF64CF">
      <w:pPr>
        <w:pStyle w:val="TableofFigures"/>
        <w:tabs>
          <w:tab w:val="right" w:leader="dot" w:pos="9854"/>
        </w:tabs>
        <w:rPr>
          <w:rFonts w:eastAsiaTheme="minorEastAsia"/>
          <w:noProof/>
          <w:color w:val="auto"/>
          <w:kern w:val="0"/>
          <w:sz w:val="22"/>
          <w:szCs w:val="22"/>
          <w:lang w:eastAsia="en-AU"/>
        </w:rPr>
      </w:pPr>
      <w:hyperlink w:anchor="_Toc136912400" w:history="1">
        <w:r w:rsidR="00B66A60" w:rsidRPr="003E4580">
          <w:rPr>
            <w:rStyle w:val="Hyperlink"/>
            <w:noProof/>
          </w:rPr>
          <w:t>Table 7: Summary of Consultation IA Benefit-Cost Analysis Results April 2022</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_Toc136912400 \h </w:instrText>
        </w:r>
        <w:r w:rsidR="00B66A60" w:rsidRPr="003E4580">
          <w:rPr>
            <w:noProof/>
            <w:webHidden/>
          </w:rPr>
        </w:r>
        <w:r w:rsidR="00B66A60" w:rsidRPr="003E4580">
          <w:rPr>
            <w:noProof/>
            <w:webHidden/>
          </w:rPr>
          <w:fldChar w:fldCharType="separate"/>
        </w:r>
        <w:r w:rsidR="009226AB" w:rsidRPr="003E4580">
          <w:rPr>
            <w:noProof/>
            <w:webHidden/>
          </w:rPr>
          <w:t>34</w:t>
        </w:r>
        <w:r w:rsidR="00B66A60" w:rsidRPr="003E4580">
          <w:rPr>
            <w:noProof/>
            <w:webHidden/>
          </w:rPr>
          <w:fldChar w:fldCharType="end"/>
        </w:r>
      </w:hyperlink>
    </w:p>
    <w:p w14:paraId="3F960C6A" w14:textId="62EF0FFF" w:rsidR="00B66A60" w:rsidRPr="003E4580" w:rsidRDefault="00BF64CF">
      <w:pPr>
        <w:pStyle w:val="TableofFigures"/>
        <w:tabs>
          <w:tab w:val="right" w:leader="dot" w:pos="9854"/>
        </w:tabs>
        <w:rPr>
          <w:rFonts w:eastAsiaTheme="minorEastAsia"/>
          <w:noProof/>
          <w:color w:val="auto"/>
          <w:kern w:val="0"/>
          <w:sz w:val="22"/>
          <w:szCs w:val="22"/>
          <w:lang w:eastAsia="en-AU"/>
        </w:rPr>
      </w:pPr>
      <w:hyperlink w:anchor="_Toc136912401" w:history="1">
        <w:r w:rsidR="00B66A60" w:rsidRPr="003E4580">
          <w:rPr>
            <w:rStyle w:val="Hyperlink"/>
            <w:noProof/>
          </w:rPr>
          <w:t>Table 8: Summary of Final IA Benefit-Cost Analysis Results June 2023</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_Toc136912401 \h </w:instrText>
        </w:r>
        <w:r w:rsidR="00B66A60" w:rsidRPr="003E4580">
          <w:rPr>
            <w:noProof/>
            <w:webHidden/>
          </w:rPr>
        </w:r>
        <w:r w:rsidR="00B66A60" w:rsidRPr="003E4580">
          <w:rPr>
            <w:noProof/>
            <w:webHidden/>
          </w:rPr>
          <w:fldChar w:fldCharType="separate"/>
        </w:r>
        <w:r w:rsidR="009226AB" w:rsidRPr="003E4580">
          <w:rPr>
            <w:noProof/>
            <w:webHidden/>
          </w:rPr>
          <w:t>34</w:t>
        </w:r>
        <w:r w:rsidR="00B66A60" w:rsidRPr="003E4580">
          <w:rPr>
            <w:noProof/>
            <w:webHidden/>
          </w:rPr>
          <w:fldChar w:fldCharType="end"/>
        </w:r>
      </w:hyperlink>
    </w:p>
    <w:p w14:paraId="7A6723BC" w14:textId="70279617" w:rsidR="00B66A60" w:rsidRPr="003E4580" w:rsidRDefault="00BF64CF">
      <w:pPr>
        <w:pStyle w:val="TableofFigures"/>
        <w:tabs>
          <w:tab w:val="right" w:leader="dot" w:pos="9854"/>
        </w:tabs>
        <w:rPr>
          <w:rFonts w:eastAsiaTheme="minorEastAsia"/>
          <w:noProof/>
          <w:color w:val="auto"/>
          <w:kern w:val="0"/>
          <w:sz w:val="22"/>
          <w:szCs w:val="22"/>
          <w:lang w:eastAsia="en-AU"/>
        </w:rPr>
      </w:pPr>
      <w:hyperlink w:anchor="_Toc136912402" w:history="1">
        <w:r w:rsidR="00B66A60" w:rsidRPr="003E4580">
          <w:rPr>
            <w:rStyle w:val="Hyperlink"/>
            <w:noProof/>
          </w:rPr>
          <w:t>Table 9: Impact on Net Benefits and BCR of changes to the real discount rate of the likely case</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_Toc136912402 \h </w:instrText>
        </w:r>
        <w:r w:rsidR="00B66A60" w:rsidRPr="003E4580">
          <w:rPr>
            <w:noProof/>
            <w:webHidden/>
          </w:rPr>
        </w:r>
        <w:r w:rsidR="00B66A60" w:rsidRPr="003E4580">
          <w:rPr>
            <w:noProof/>
            <w:webHidden/>
          </w:rPr>
          <w:fldChar w:fldCharType="separate"/>
        </w:r>
        <w:r w:rsidR="009226AB" w:rsidRPr="003E4580">
          <w:rPr>
            <w:noProof/>
            <w:webHidden/>
          </w:rPr>
          <w:t>34</w:t>
        </w:r>
        <w:r w:rsidR="00B66A60" w:rsidRPr="003E4580">
          <w:rPr>
            <w:noProof/>
            <w:webHidden/>
          </w:rPr>
          <w:fldChar w:fldCharType="end"/>
        </w:r>
      </w:hyperlink>
    </w:p>
    <w:p w14:paraId="61D2CC58" w14:textId="11CF473D" w:rsidR="00B66A60" w:rsidRPr="003E4580" w:rsidRDefault="00BF64CF">
      <w:pPr>
        <w:pStyle w:val="TableofFigures"/>
        <w:tabs>
          <w:tab w:val="right" w:leader="dot" w:pos="9854"/>
        </w:tabs>
        <w:rPr>
          <w:rFonts w:eastAsiaTheme="minorEastAsia"/>
          <w:noProof/>
          <w:color w:val="auto"/>
          <w:kern w:val="0"/>
          <w:sz w:val="22"/>
          <w:szCs w:val="22"/>
          <w:lang w:eastAsia="en-AU"/>
        </w:rPr>
      </w:pPr>
      <w:hyperlink w:anchor="_Toc136912403" w:history="1">
        <w:r w:rsidR="00B66A60" w:rsidRPr="003E4580">
          <w:rPr>
            <w:rStyle w:val="Hyperlink"/>
            <w:noProof/>
          </w:rPr>
          <w:t>Table 10: Impact on the BCR due to changes to effectiveness of LDWS for heavy vehicles</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_Toc136912403 \h </w:instrText>
        </w:r>
        <w:r w:rsidR="00B66A60" w:rsidRPr="003E4580">
          <w:rPr>
            <w:noProof/>
            <w:webHidden/>
          </w:rPr>
        </w:r>
        <w:r w:rsidR="00B66A60" w:rsidRPr="003E4580">
          <w:rPr>
            <w:noProof/>
            <w:webHidden/>
          </w:rPr>
          <w:fldChar w:fldCharType="separate"/>
        </w:r>
        <w:r w:rsidR="009226AB" w:rsidRPr="003E4580">
          <w:rPr>
            <w:noProof/>
            <w:webHidden/>
          </w:rPr>
          <w:t>35</w:t>
        </w:r>
        <w:r w:rsidR="00B66A60" w:rsidRPr="003E4580">
          <w:rPr>
            <w:noProof/>
            <w:webHidden/>
          </w:rPr>
          <w:fldChar w:fldCharType="end"/>
        </w:r>
      </w:hyperlink>
    </w:p>
    <w:p w14:paraId="6EF63F48" w14:textId="2A8D0B62" w:rsidR="00B66A60" w:rsidRPr="003E4580" w:rsidRDefault="00BF64CF">
      <w:pPr>
        <w:pStyle w:val="TableofFigures"/>
        <w:tabs>
          <w:tab w:val="right" w:leader="dot" w:pos="9854"/>
        </w:tabs>
        <w:rPr>
          <w:rFonts w:eastAsiaTheme="minorEastAsia"/>
          <w:noProof/>
          <w:color w:val="auto"/>
          <w:kern w:val="0"/>
          <w:sz w:val="22"/>
          <w:szCs w:val="22"/>
          <w:lang w:eastAsia="en-AU"/>
        </w:rPr>
      </w:pPr>
      <w:hyperlink w:anchor="_Toc136912404" w:history="1">
        <w:r w:rsidR="00B66A60" w:rsidRPr="003E4580">
          <w:rPr>
            <w:rStyle w:val="Hyperlink"/>
            <w:noProof/>
          </w:rPr>
          <w:t>Table 11: Impact on Net Benefits and BCR of changes to unit fitment cost of LDWS for heavy vehicles</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_Toc136912404 \h </w:instrText>
        </w:r>
        <w:r w:rsidR="00B66A60" w:rsidRPr="003E4580">
          <w:rPr>
            <w:noProof/>
            <w:webHidden/>
          </w:rPr>
        </w:r>
        <w:r w:rsidR="00B66A60" w:rsidRPr="003E4580">
          <w:rPr>
            <w:noProof/>
            <w:webHidden/>
          </w:rPr>
          <w:fldChar w:fldCharType="separate"/>
        </w:r>
        <w:r w:rsidR="009226AB" w:rsidRPr="003E4580">
          <w:rPr>
            <w:noProof/>
            <w:webHidden/>
          </w:rPr>
          <w:t>35</w:t>
        </w:r>
        <w:r w:rsidR="00B66A60" w:rsidRPr="003E4580">
          <w:rPr>
            <w:noProof/>
            <w:webHidden/>
          </w:rPr>
          <w:fldChar w:fldCharType="end"/>
        </w:r>
      </w:hyperlink>
    </w:p>
    <w:p w14:paraId="77E69BE6" w14:textId="4593F3CA" w:rsidR="00B66A60" w:rsidRPr="003E4580" w:rsidRDefault="00BF64CF">
      <w:pPr>
        <w:pStyle w:val="TableofFigures"/>
        <w:tabs>
          <w:tab w:val="right" w:leader="dot" w:pos="9854"/>
        </w:tabs>
        <w:rPr>
          <w:rFonts w:eastAsiaTheme="minorEastAsia"/>
          <w:noProof/>
          <w:color w:val="auto"/>
          <w:kern w:val="0"/>
          <w:sz w:val="22"/>
          <w:szCs w:val="22"/>
          <w:lang w:eastAsia="en-AU"/>
        </w:rPr>
      </w:pPr>
      <w:hyperlink w:anchor="_Toc136912405" w:history="1">
        <w:r w:rsidR="00B66A60" w:rsidRPr="003E4580">
          <w:rPr>
            <w:rStyle w:val="Hyperlink"/>
            <w:noProof/>
          </w:rPr>
          <w:t>Table 12: Impact on BCR with increases in LDWS validation test/certification/system fitment/design costs</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_Toc136912405 \h </w:instrText>
        </w:r>
        <w:r w:rsidR="00B66A60" w:rsidRPr="003E4580">
          <w:rPr>
            <w:noProof/>
            <w:webHidden/>
          </w:rPr>
        </w:r>
        <w:r w:rsidR="00B66A60" w:rsidRPr="003E4580">
          <w:rPr>
            <w:noProof/>
            <w:webHidden/>
          </w:rPr>
          <w:fldChar w:fldCharType="separate"/>
        </w:r>
        <w:r w:rsidR="009226AB" w:rsidRPr="003E4580">
          <w:rPr>
            <w:noProof/>
            <w:webHidden/>
          </w:rPr>
          <w:t>37</w:t>
        </w:r>
        <w:r w:rsidR="00B66A60" w:rsidRPr="003E4580">
          <w:rPr>
            <w:noProof/>
            <w:webHidden/>
          </w:rPr>
          <w:fldChar w:fldCharType="end"/>
        </w:r>
      </w:hyperlink>
    </w:p>
    <w:p w14:paraId="64F7B260" w14:textId="078BBA29" w:rsidR="00B66A60" w:rsidRPr="003E4580" w:rsidRDefault="00BF64CF">
      <w:pPr>
        <w:pStyle w:val="TableofFigures"/>
        <w:tabs>
          <w:tab w:val="right" w:leader="dot" w:pos="9854"/>
        </w:tabs>
        <w:rPr>
          <w:rFonts w:eastAsiaTheme="minorEastAsia"/>
          <w:noProof/>
          <w:color w:val="auto"/>
          <w:kern w:val="0"/>
          <w:sz w:val="22"/>
          <w:szCs w:val="22"/>
          <w:lang w:eastAsia="en-AU"/>
        </w:rPr>
      </w:pPr>
      <w:hyperlink w:anchor="_Toc136912406" w:history="1">
        <w:r w:rsidR="00B66A60" w:rsidRPr="003E4580">
          <w:rPr>
            <w:rStyle w:val="Hyperlink"/>
            <w:noProof/>
          </w:rPr>
          <w:t>Table 13: Impact on BCR with delayed implementation date of November 2027 for all vehicles</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_Toc136912406 \h </w:instrText>
        </w:r>
        <w:r w:rsidR="00B66A60" w:rsidRPr="003E4580">
          <w:rPr>
            <w:noProof/>
            <w:webHidden/>
          </w:rPr>
        </w:r>
        <w:r w:rsidR="00B66A60" w:rsidRPr="003E4580">
          <w:rPr>
            <w:noProof/>
            <w:webHidden/>
          </w:rPr>
          <w:fldChar w:fldCharType="separate"/>
        </w:r>
        <w:r w:rsidR="009226AB" w:rsidRPr="003E4580">
          <w:rPr>
            <w:noProof/>
            <w:webHidden/>
          </w:rPr>
          <w:t>37</w:t>
        </w:r>
        <w:r w:rsidR="00B66A60" w:rsidRPr="003E4580">
          <w:rPr>
            <w:noProof/>
            <w:webHidden/>
          </w:rPr>
          <w:fldChar w:fldCharType="end"/>
        </w:r>
      </w:hyperlink>
    </w:p>
    <w:p w14:paraId="0D82F567" w14:textId="189489FB" w:rsidR="00B66A60" w:rsidRPr="003E4580" w:rsidRDefault="00BF64CF">
      <w:pPr>
        <w:pStyle w:val="TableofFigures"/>
        <w:tabs>
          <w:tab w:val="right" w:leader="dot" w:pos="9854"/>
        </w:tabs>
        <w:rPr>
          <w:rFonts w:eastAsiaTheme="minorEastAsia"/>
          <w:noProof/>
          <w:color w:val="auto"/>
          <w:kern w:val="0"/>
          <w:sz w:val="22"/>
          <w:szCs w:val="22"/>
          <w:lang w:eastAsia="en-AU"/>
        </w:rPr>
      </w:pPr>
      <w:hyperlink w:anchor="_Toc136912407" w:history="1">
        <w:r w:rsidR="00B66A60" w:rsidRPr="003E4580">
          <w:rPr>
            <w:rStyle w:val="Hyperlink"/>
            <w:noProof/>
          </w:rPr>
          <w:t>Table 14: Regulatory burden and cost offset estimates - Options 1 and 2</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_Toc136912407 \h </w:instrText>
        </w:r>
        <w:r w:rsidR="00B66A60" w:rsidRPr="003E4580">
          <w:rPr>
            <w:noProof/>
            <w:webHidden/>
          </w:rPr>
        </w:r>
        <w:r w:rsidR="00B66A60" w:rsidRPr="003E4580">
          <w:rPr>
            <w:noProof/>
            <w:webHidden/>
          </w:rPr>
          <w:fldChar w:fldCharType="separate"/>
        </w:r>
        <w:r w:rsidR="009226AB" w:rsidRPr="003E4580">
          <w:rPr>
            <w:noProof/>
            <w:webHidden/>
          </w:rPr>
          <w:t>38</w:t>
        </w:r>
        <w:r w:rsidR="00B66A60" w:rsidRPr="003E4580">
          <w:rPr>
            <w:noProof/>
            <w:webHidden/>
          </w:rPr>
          <w:fldChar w:fldCharType="end"/>
        </w:r>
      </w:hyperlink>
    </w:p>
    <w:p w14:paraId="68B0D535" w14:textId="5E15F49E" w:rsidR="00C66D0C" w:rsidRPr="003E4580" w:rsidRDefault="00C66D0C" w:rsidP="00C66D0C">
      <w:pPr>
        <w:sectPr w:rsidR="00C66D0C" w:rsidRPr="003E4580" w:rsidSect="00DC0C3E">
          <w:headerReference w:type="default" r:id="rId22"/>
          <w:footerReference w:type="default" r:id="rId23"/>
          <w:headerReference w:type="first" r:id="rId24"/>
          <w:footerReference w:type="first" r:id="rId25"/>
          <w:pgSz w:w="11906" w:h="16838" w:code="9"/>
          <w:pgMar w:top="1021" w:right="1021" w:bottom="1021" w:left="1021" w:header="510" w:footer="567" w:gutter="0"/>
          <w:cols w:space="708"/>
          <w:docGrid w:linePitch="360"/>
        </w:sectPr>
      </w:pPr>
      <w:r w:rsidRPr="003E4580">
        <w:fldChar w:fldCharType="end"/>
      </w:r>
    </w:p>
    <w:p w14:paraId="62F04D6F" w14:textId="77777777" w:rsidR="005F794B" w:rsidRPr="003E4580" w:rsidRDefault="002D7327" w:rsidP="00DE4362">
      <w:pPr>
        <w:pStyle w:val="Heading1"/>
        <w:spacing w:before="0"/>
      </w:pPr>
      <w:bookmarkStart w:id="0" w:name="_Toc146894843"/>
      <w:r w:rsidRPr="003E4580">
        <w:lastRenderedPageBreak/>
        <w:t>Executive Summary</w:t>
      </w:r>
      <w:bookmarkEnd w:id="0"/>
    </w:p>
    <w:p w14:paraId="37D78CD7" w14:textId="77777777" w:rsidR="005F5B06" w:rsidRPr="003E4580" w:rsidRDefault="005F5B06" w:rsidP="004725A9">
      <w:pPr>
        <w:pStyle w:val="Heading2"/>
      </w:pPr>
      <w:bookmarkStart w:id="1" w:name="_Toc146894844"/>
      <w:r w:rsidRPr="003E4580">
        <w:t>Heavy vehicle road trauma</w:t>
      </w:r>
      <w:bookmarkEnd w:id="1"/>
    </w:p>
    <w:p w14:paraId="6342F510" w14:textId="0B5F96DE" w:rsidR="003435D5" w:rsidRPr="003E4580" w:rsidRDefault="002D7327" w:rsidP="006F6683">
      <w:r w:rsidRPr="003E4580">
        <w:t xml:space="preserve">Improvements to heavy vehicle design and safety </w:t>
      </w:r>
      <w:r w:rsidR="009B63A9" w:rsidRPr="003E4580">
        <w:t xml:space="preserve">technologies </w:t>
      </w:r>
      <w:r w:rsidRPr="003E4580">
        <w:t>have reduc</w:t>
      </w:r>
      <w:r w:rsidR="000A0EB7" w:rsidRPr="003E4580">
        <w:t>ed</w:t>
      </w:r>
      <w:r w:rsidRPr="003E4580">
        <w:t xml:space="preserve"> the number and severity of crashes on Australian roads.</w:t>
      </w:r>
      <w:r w:rsidR="005F5B06" w:rsidRPr="003E4580">
        <w:t xml:space="preserve"> </w:t>
      </w:r>
      <w:r w:rsidR="003435D5" w:rsidRPr="003E4580">
        <w:t>However,</w:t>
      </w:r>
      <w:r w:rsidR="005F5B06" w:rsidRPr="003E4580">
        <w:t xml:space="preserve"> the impact of road </w:t>
      </w:r>
      <w:r w:rsidR="00134ED8" w:rsidRPr="003E4580">
        <w:t>trauma</w:t>
      </w:r>
      <w:r w:rsidR="005F5B06" w:rsidRPr="003E4580">
        <w:t xml:space="preserve"> on individuals as well as society as a whole is significant, costing the Australian economy </w:t>
      </w:r>
      <w:r w:rsidR="00134ED8" w:rsidRPr="003E4580">
        <w:t>approximately</w:t>
      </w:r>
      <w:r w:rsidR="005F5B06" w:rsidRPr="003E4580">
        <w:t xml:space="preserve"> $</w:t>
      </w:r>
      <w:r w:rsidR="00134ED8" w:rsidRPr="003E4580">
        <w:t>30</w:t>
      </w:r>
      <w:r w:rsidR="005F5B06" w:rsidRPr="003E4580">
        <w:t xml:space="preserve"> billion per </w:t>
      </w:r>
      <w:r w:rsidR="004D63B7" w:rsidRPr="003E4580">
        <w:t>year</w:t>
      </w:r>
      <w:r w:rsidR="005F5B06" w:rsidRPr="003E4580">
        <w:t xml:space="preserve"> (</w:t>
      </w:r>
      <w:r w:rsidR="004B1FA1" w:rsidRPr="003E4580">
        <w:t>DITRDC</w:t>
      </w:r>
      <w:r w:rsidR="005F5B06" w:rsidRPr="003E4580">
        <w:t>, 20</w:t>
      </w:r>
      <w:r w:rsidR="00134ED8" w:rsidRPr="003E4580">
        <w:t>21</w:t>
      </w:r>
      <w:r w:rsidR="005F5B06" w:rsidRPr="003E4580">
        <w:t>)</w:t>
      </w:r>
      <w:r w:rsidR="00B961F5" w:rsidRPr="003E4580">
        <w:t xml:space="preserve"> up from $27 billion per annum in 2014 (BITRE, 2014)</w:t>
      </w:r>
      <w:r w:rsidR="008A4C96" w:rsidRPr="003E4580">
        <w:t>. This equates to around 1,200 fatalities each year on our roads, and almost 40,000 serious injuries</w:t>
      </w:r>
      <w:r w:rsidR="004345C7" w:rsidRPr="003E4580">
        <w:t xml:space="preserve"> (</w:t>
      </w:r>
      <w:r w:rsidR="004B1FA1" w:rsidRPr="003E4580">
        <w:t>DITRCD</w:t>
      </w:r>
      <w:r w:rsidR="004345C7" w:rsidRPr="003E4580">
        <w:t>, 2021)</w:t>
      </w:r>
      <w:r w:rsidR="007B3670" w:rsidRPr="003E4580">
        <w:t xml:space="preserve"> with an approximate cost of $</w:t>
      </w:r>
      <w:r w:rsidR="00036D76" w:rsidRPr="003E4580">
        <w:t xml:space="preserve">80 million per day </w:t>
      </w:r>
      <w:r w:rsidR="00C37011" w:rsidRPr="003E4580">
        <w:t>to</w:t>
      </w:r>
      <w:r w:rsidR="00036D76" w:rsidRPr="003E4580">
        <w:t xml:space="preserve"> the Australian economy.</w:t>
      </w:r>
    </w:p>
    <w:p w14:paraId="1AC0424D" w14:textId="3E513FD5" w:rsidR="005F5B06" w:rsidRPr="003E4580" w:rsidRDefault="005F5B06" w:rsidP="006F6683">
      <w:r w:rsidRPr="003E4580">
        <w:t>Heavy vehicle crashes constitute around $1.5 billion of this, including around $</w:t>
      </w:r>
      <w:r w:rsidR="007B3670" w:rsidRPr="003E4580">
        <w:t xml:space="preserve">63 </w:t>
      </w:r>
      <w:r w:rsidR="000A0EB7" w:rsidRPr="003E4580">
        <w:t xml:space="preserve">million </w:t>
      </w:r>
      <w:r w:rsidR="007B3670" w:rsidRPr="003E4580">
        <w:t>(</w:t>
      </w:r>
      <w:r w:rsidR="00A70107" w:rsidRPr="003E4580">
        <w:t>Budd &amp; Newstead</w:t>
      </w:r>
      <w:r w:rsidR="007B3670" w:rsidRPr="003E4580">
        <w:t>, 2014)</w:t>
      </w:r>
      <w:r w:rsidRPr="003E4580">
        <w:t xml:space="preserve"> </w:t>
      </w:r>
      <w:r w:rsidR="005B52F7" w:rsidRPr="003E4580">
        <w:t>from crashes involving h</w:t>
      </w:r>
      <w:r w:rsidRPr="003E4580">
        <w:t>eavy vehicle</w:t>
      </w:r>
      <w:r w:rsidR="005B52F7" w:rsidRPr="003E4580">
        <w:t>s</w:t>
      </w:r>
      <w:r w:rsidRPr="003E4580">
        <w:t xml:space="preserve"> </w:t>
      </w:r>
      <w:r w:rsidR="00CB2B98" w:rsidRPr="003E4580">
        <w:t>drifting outside their lane</w:t>
      </w:r>
      <w:r w:rsidR="007B3670" w:rsidRPr="003E4580">
        <w:t>. T</w:t>
      </w:r>
      <w:r w:rsidRPr="003E4580">
        <w:t>his is the specific road safety problem that has been considered in this</w:t>
      </w:r>
      <w:r w:rsidR="006F2400" w:rsidRPr="003E4580">
        <w:t xml:space="preserve"> </w:t>
      </w:r>
      <w:r w:rsidR="00A7024B" w:rsidRPr="003E4580">
        <w:t>Impact Assessment</w:t>
      </w:r>
      <w:r w:rsidRPr="003E4580">
        <w:t xml:space="preserve"> (</w:t>
      </w:r>
      <w:r w:rsidR="00A7024B" w:rsidRPr="003E4580">
        <w:t>IA</w:t>
      </w:r>
      <w:r w:rsidRPr="003E4580">
        <w:t>).</w:t>
      </w:r>
      <w:r w:rsidR="00274C1D" w:rsidRPr="003E4580">
        <w:t xml:space="preserve"> </w:t>
      </w:r>
    </w:p>
    <w:p w14:paraId="5CBC557E" w14:textId="280CC5FC" w:rsidR="0069165A" w:rsidRPr="003E4580" w:rsidRDefault="00BC2949" w:rsidP="002A496E">
      <w:r w:rsidRPr="003E4580">
        <w:t>H</w:t>
      </w:r>
      <w:r w:rsidR="00F27032" w:rsidRPr="003E4580">
        <w:t>eavy vehicle drivers, other road users and the community in general</w:t>
      </w:r>
      <w:r w:rsidR="002D50A6" w:rsidRPr="003E4580">
        <w:t xml:space="preserve"> </w:t>
      </w:r>
      <w:r w:rsidR="008A0DBB" w:rsidRPr="003E4580">
        <w:t>will benefit from the fitment of a L</w:t>
      </w:r>
      <w:r w:rsidR="004A0E84" w:rsidRPr="003E4580">
        <w:t xml:space="preserve">ane </w:t>
      </w:r>
      <w:r w:rsidR="008A0DBB" w:rsidRPr="003E4580">
        <w:t>D</w:t>
      </w:r>
      <w:r w:rsidR="004A0E84" w:rsidRPr="003E4580">
        <w:t xml:space="preserve">eparture </w:t>
      </w:r>
      <w:r w:rsidR="008A0DBB" w:rsidRPr="003E4580">
        <w:t>W</w:t>
      </w:r>
      <w:r w:rsidR="004A0E84" w:rsidRPr="003E4580">
        <w:t xml:space="preserve">arning </w:t>
      </w:r>
      <w:r w:rsidR="008A0DBB" w:rsidRPr="003E4580">
        <w:t>S</w:t>
      </w:r>
      <w:r w:rsidR="004A0E84" w:rsidRPr="003E4580">
        <w:t>ystem (LDWS</w:t>
      </w:r>
      <w:r w:rsidR="00F27032" w:rsidRPr="003E4580">
        <w:t>) that warns the driver of an unintentional lane departure</w:t>
      </w:r>
      <w:r w:rsidR="008A0DBB" w:rsidRPr="003E4580">
        <w:t xml:space="preserve"> especially </w:t>
      </w:r>
      <w:r w:rsidR="00CE3541" w:rsidRPr="003E4580">
        <w:t>as a result</w:t>
      </w:r>
      <w:r w:rsidR="008A0DBB" w:rsidRPr="003E4580">
        <w:t xml:space="preserve"> of monotonous driving situations</w:t>
      </w:r>
      <w:r w:rsidR="004A0E84" w:rsidRPr="003E4580">
        <w:t xml:space="preserve"> such as on national or state highways and arterial roads</w:t>
      </w:r>
      <w:r w:rsidR="008A0DBB" w:rsidRPr="003E4580">
        <w:t>.</w:t>
      </w:r>
      <w:r w:rsidR="002D50A6" w:rsidRPr="003E4580">
        <w:t xml:space="preserve"> </w:t>
      </w:r>
      <w:r w:rsidR="006F6683" w:rsidRPr="003E4580">
        <w:t xml:space="preserve">The </w:t>
      </w:r>
      <w:r w:rsidR="008A0DBB" w:rsidRPr="003E4580">
        <w:t xml:space="preserve">crashes prevented by LDWS include </w:t>
      </w:r>
      <w:r w:rsidR="00CE3541" w:rsidRPr="003E4580">
        <w:t>multiple vehicle crashes due to lane departures by vehicles travelling in the same and opposite direction, as well as single-vehicle crashes to lane departures</w:t>
      </w:r>
      <w:r w:rsidR="0069165A" w:rsidRPr="003E4580">
        <w:t>.</w:t>
      </w:r>
    </w:p>
    <w:p w14:paraId="4028B497" w14:textId="0D140F38" w:rsidR="0088319F" w:rsidRPr="003E4580" w:rsidRDefault="000C601C" w:rsidP="006F6683">
      <w:r w:rsidRPr="003E4580">
        <w:t xml:space="preserve">LDWS </w:t>
      </w:r>
      <w:r w:rsidR="00125A8E" w:rsidRPr="003E4580">
        <w:t>in combination</w:t>
      </w:r>
      <w:r w:rsidRPr="003E4580">
        <w:t xml:space="preserve"> with </w:t>
      </w:r>
      <w:r w:rsidR="00E940FA" w:rsidRPr="003E4580">
        <w:t xml:space="preserve">Advanced </w:t>
      </w:r>
      <w:r w:rsidRPr="003E4580">
        <w:t xml:space="preserve">Emergency Braking Systems (AEBS) help prevent fatigue related crashes. </w:t>
      </w:r>
      <w:r w:rsidR="00F311DF" w:rsidRPr="003E4580">
        <w:t xml:space="preserve">Research shows it can also be effective in distraction monitoring by alerting a driver at the early stages of a loss of concentration. </w:t>
      </w:r>
      <w:r w:rsidR="008A0DBB" w:rsidRPr="003E4580">
        <w:t>The crash types</w:t>
      </w:r>
      <w:r w:rsidR="00CE3541" w:rsidRPr="003E4580">
        <w:t xml:space="preserve"> targeted by this technology</w:t>
      </w:r>
      <w:r w:rsidR="008A0DBB" w:rsidRPr="003E4580">
        <w:t xml:space="preserve"> include </w:t>
      </w:r>
      <w:r w:rsidR="002D50A6" w:rsidRPr="003E4580">
        <w:t>sideswipes, opposite sideswipes, run off road</w:t>
      </w:r>
      <w:r w:rsidR="008A0DBB" w:rsidRPr="003E4580">
        <w:t>,</w:t>
      </w:r>
      <w:r w:rsidR="002D50A6" w:rsidRPr="003E4580">
        <w:t xml:space="preserve"> </w:t>
      </w:r>
      <w:r w:rsidR="008A0DBB" w:rsidRPr="003E4580">
        <w:t xml:space="preserve">rollover and </w:t>
      </w:r>
      <w:r w:rsidR="002D50A6" w:rsidRPr="003E4580">
        <w:t>head-on</w:t>
      </w:r>
      <w:r w:rsidR="008A0DBB" w:rsidRPr="003E4580">
        <w:t xml:space="preserve"> </w:t>
      </w:r>
      <w:r w:rsidR="002D50A6" w:rsidRPr="003E4580">
        <w:t xml:space="preserve">crash outcomes. Australian research notes that </w:t>
      </w:r>
      <w:r w:rsidR="0088319F" w:rsidRPr="003E4580">
        <w:t xml:space="preserve">LDWS will be most effective in higher friction situations on edge marked roads in fine </w:t>
      </w:r>
      <w:r w:rsidR="00CA317D" w:rsidRPr="003E4580">
        <w:t>conditions and at higher speeds</w:t>
      </w:r>
      <w:r w:rsidR="0088319F" w:rsidRPr="003E4580">
        <w:t xml:space="preserve"> (</w:t>
      </w:r>
      <w:r w:rsidR="00CA317D" w:rsidRPr="003E4580">
        <w:t>Budd &amp; Newstead</w:t>
      </w:r>
      <w:r w:rsidR="0088319F" w:rsidRPr="003E4580">
        <w:t>, 2014)</w:t>
      </w:r>
      <w:r w:rsidR="00CA317D" w:rsidRPr="003E4580">
        <w:t>.</w:t>
      </w:r>
    </w:p>
    <w:p w14:paraId="74A4DB52" w14:textId="77777777" w:rsidR="005F5B06" w:rsidRPr="003E4580" w:rsidRDefault="005F5B06" w:rsidP="004725A9">
      <w:pPr>
        <w:pStyle w:val="Heading2"/>
      </w:pPr>
      <w:bookmarkStart w:id="2" w:name="_Toc146894845"/>
      <w:bookmarkStart w:id="3" w:name="_Hlk129786049"/>
      <w:r w:rsidRPr="003E4580">
        <w:t>Lane Departure Warning S</w:t>
      </w:r>
      <w:r w:rsidR="006B708B" w:rsidRPr="003E4580">
        <w:t>ystems</w:t>
      </w:r>
      <w:bookmarkEnd w:id="2"/>
    </w:p>
    <w:p w14:paraId="737ECA27" w14:textId="4FC37405" w:rsidR="001144EE" w:rsidRPr="003E4580" w:rsidRDefault="001144EE" w:rsidP="006F6683">
      <w:r w:rsidRPr="003E4580">
        <w:t xml:space="preserve">Heavy vehicles with advanced safety technologies are rapidly entering the marketplace and the impact of new features are transforming </w:t>
      </w:r>
      <w:bookmarkEnd w:id="3"/>
      <w:r w:rsidRPr="003E4580">
        <w:t xml:space="preserve">safety on roadways. Among the </w:t>
      </w:r>
      <w:r w:rsidR="00A7024B" w:rsidRPr="003E4580">
        <w:t>numerous</w:t>
      </w:r>
      <w:r w:rsidRPr="003E4580">
        <w:t xml:space="preserve"> safety related technologies currently available in the market, this </w:t>
      </w:r>
      <w:r w:rsidR="00A7024B" w:rsidRPr="003E4580">
        <w:t>IA</w:t>
      </w:r>
      <w:r w:rsidRPr="003E4580">
        <w:t xml:space="preserve"> </w:t>
      </w:r>
      <w:r w:rsidR="0079519A" w:rsidRPr="003E4580">
        <w:t>examine</w:t>
      </w:r>
      <w:r w:rsidR="00564A8B" w:rsidRPr="003E4580">
        <w:t>s</w:t>
      </w:r>
      <w:r w:rsidR="0079519A" w:rsidRPr="003E4580">
        <w:t xml:space="preserve"> the case for mandating LDWS in heavy vehicles</w:t>
      </w:r>
      <w:r w:rsidR="00A81EA1" w:rsidRPr="003E4580">
        <w:t>.</w:t>
      </w:r>
    </w:p>
    <w:p w14:paraId="621E33A0" w14:textId="68AFDD84" w:rsidR="00717A6A" w:rsidRPr="003E4580" w:rsidRDefault="00B86743" w:rsidP="006F6683">
      <w:r w:rsidRPr="003E4580">
        <w:t>LDWS</w:t>
      </w:r>
      <w:r w:rsidR="00717A6A" w:rsidRPr="003E4580">
        <w:t xml:space="preserve"> </w:t>
      </w:r>
      <w:r w:rsidR="00DF1FA0" w:rsidRPr="003E4580">
        <w:t xml:space="preserve">is a </w:t>
      </w:r>
      <w:r w:rsidR="0079519A" w:rsidRPr="003E4580">
        <w:t xml:space="preserve">passive safety system and </w:t>
      </w:r>
      <w:r w:rsidR="00717A6A" w:rsidRPr="003E4580">
        <w:t>fit under the broad definition of A</w:t>
      </w:r>
      <w:r w:rsidR="00DA29A0" w:rsidRPr="003E4580">
        <w:t xml:space="preserve">dvanced </w:t>
      </w:r>
      <w:r w:rsidR="00717A6A" w:rsidRPr="003E4580">
        <w:t>D</w:t>
      </w:r>
      <w:r w:rsidR="00DA29A0" w:rsidRPr="003E4580">
        <w:t xml:space="preserve">river </w:t>
      </w:r>
      <w:r w:rsidR="00717A6A" w:rsidRPr="003E4580">
        <w:t>A</w:t>
      </w:r>
      <w:r w:rsidR="00DA29A0" w:rsidRPr="003E4580">
        <w:t xml:space="preserve">ssistance </w:t>
      </w:r>
      <w:r w:rsidR="00717A6A" w:rsidRPr="003E4580">
        <w:t>S</w:t>
      </w:r>
      <w:r w:rsidR="00DA29A0" w:rsidRPr="003E4580">
        <w:t>ystems (ADAS)</w:t>
      </w:r>
      <w:r w:rsidR="006F6683" w:rsidRPr="003E4580">
        <w:t xml:space="preserve">. </w:t>
      </w:r>
      <w:r w:rsidR="0079519A" w:rsidRPr="003E4580">
        <w:t xml:space="preserve">This means that the system </w:t>
      </w:r>
      <w:r w:rsidR="00717A6A" w:rsidRPr="003E4580">
        <w:t>alert</w:t>
      </w:r>
      <w:r w:rsidR="00DF1FA0" w:rsidRPr="003E4580">
        <w:t>s</w:t>
      </w:r>
      <w:r w:rsidR="00717A6A" w:rsidRPr="003E4580">
        <w:t xml:space="preserve"> the driver to a potential threat </w:t>
      </w:r>
      <w:r w:rsidR="0079519A" w:rsidRPr="003E4580">
        <w:t xml:space="preserve">but </w:t>
      </w:r>
      <w:r w:rsidR="00717A6A" w:rsidRPr="003E4580">
        <w:t>do</w:t>
      </w:r>
      <w:r w:rsidR="00DF1FA0" w:rsidRPr="003E4580">
        <w:t>es</w:t>
      </w:r>
      <w:r w:rsidR="00717A6A" w:rsidRPr="003E4580">
        <w:t xml:space="preserve"> not assume control over any aspect of the vehicle. </w:t>
      </w:r>
      <w:r w:rsidR="005C18CA" w:rsidRPr="003E4580">
        <w:t>LDWS is particularly effective in situations where the road is continuously straight and drivers have a tendency</w:t>
      </w:r>
      <w:r w:rsidR="00DF1FA0" w:rsidRPr="003E4580">
        <w:t xml:space="preserve"> not</w:t>
      </w:r>
      <w:r w:rsidR="005C18CA" w:rsidRPr="003E4580">
        <w:t xml:space="preserve"> </w:t>
      </w:r>
      <w:r w:rsidR="007740F3" w:rsidRPr="003E4580">
        <w:t xml:space="preserve">to </w:t>
      </w:r>
      <w:r w:rsidR="005C18CA" w:rsidRPr="003E4580">
        <w:t>pay sufficient attention.</w:t>
      </w:r>
    </w:p>
    <w:p w14:paraId="3BAF6BE6" w14:textId="64107C81" w:rsidR="006B708B" w:rsidRPr="003E4580" w:rsidRDefault="00717A6A" w:rsidP="006F6683">
      <w:r w:rsidRPr="003E4580">
        <w:t xml:space="preserve">LDWS </w:t>
      </w:r>
      <w:r w:rsidR="006B708B" w:rsidRPr="003E4580">
        <w:t>are vision-based, in-vehicle electronic systems that monitor the heavy vehic</w:t>
      </w:r>
      <w:r w:rsidR="006F6683" w:rsidRPr="003E4580">
        <w:t xml:space="preserve">le’s position within a roadway. </w:t>
      </w:r>
      <w:r w:rsidR="006B708B" w:rsidRPr="003E4580">
        <w:t xml:space="preserve">Based on lane markings, LDWS warns a driver if the vehicle deviates outside </w:t>
      </w:r>
      <w:r w:rsidR="008742A6" w:rsidRPr="003E4580">
        <w:t xml:space="preserve">of its </w:t>
      </w:r>
      <w:r w:rsidR="006B708B" w:rsidRPr="003E4580">
        <w:t xml:space="preserve">lane. </w:t>
      </w:r>
    </w:p>
    <w:p w14:paraId="53CB2A2C" w14:textId="2F1564A1" w:rsidR="00CD2331" w:rsidRPr="003E4580" w:rsidRDefault="00472BC4" w:rsidP="006F6683">
      <w:r w:rsidRPr="003E4580">
        <w:t>In addition to its lane departure warning function, o</w:t>
      </w:r>
      <w:r w:rsidR="00CD2331" w:rsidRPr="003E4580">
        <w:t xml:space="preserve">ne of the applications for LDWS is as a fatigue monitor </w:t>
      </w:r>
      <w:r w:rsidRPr="003E4580">
        <w:t>since</w:t>
      </w:r>
      <w:r w:rsidR="00CD2331" w:rsidRPr="003E4580">
        <w:t xml:space="preserve"> </w:t>
      </w:r>
      <w:r w:rsidR="00DF1FA0" w:rsidRPr="003E4580">
        <w:t>tired drivers often drift on the road</w:t>
      </w:r>
      <w:r w:rsidR="00CD2331" w:rsidRPr="003E4580">
        <w:t>. Another application of LDWS is as a distraction</w:t>
      </w:r>
      <w:r w:rsidR="002327CB" w:rsidRPr="003E4580">
        <w:t xml:space="preserve"> prevention</w:t>
      </w:r>
      <w:r w:rsidR="00CD2331" w:rsidRPr="003E4580">
        <w:t xml:space="preserve"> device. In either case, if the driver is distracted or tired and the heavy vehicle drifts</w:t>
      </w:r>
      <w:r w:rsidR="00DF1FA0" w:rsidRPr="003E4580">
        <w:t>,</w:t>
      </w:r>
      <w:r w:rsidR="00CD2331" w:rsidRPr="003E4580">
        <w:t xml:space="preserve"> the LDWS will give a warning in some form to the driver that the </w:t>
      </w:r>
      <w:r w:rsidR="008742A6" w:rsidRPr="003E4580">
        <w:t xml:space="preserve">vehicle </w:t>
      </w:r>
      <w:r w:rsidR="00383937" w:rsidRPr="003E4580">
        <w:t>is deviating out of</w:t>
      </w:r>
      <w:r w:rsidR="00CD2331" w:rsidRPr="003E4580">
        <w:t xml:space="preserve"> </w:t>
      </w:r>
      <w:r w:rsidR="008742A6" w:rsidRPr="003E4580">
        <w:t xml:space="preserve">its </w:t>
      </w:r>
      <w:r w:rsidR="00CD2331" w:rsidRPr="003E4580">
        <w:t>lane.</w:t>
      </w:r>
    </w:p>
    <w:p w14:paraId="341DCF19" w14:textId="5598936F" w:rsidR="006A0067" w:rsidRPr="003E4580" w:rsidRDefault="006A0067" w:rsidP="006F6683">
      <w:r w:rsidRPr="003E4580">
        <w:t xml:space="preserve">This </w:t>
      </w:r>
      <w:r w:rsidR="00A7024B" w:rsidRPr="003E4580">
        <w:t>IA</w:t>
      </w:r>
      <w:r w:rsidRPr="003E4580">
        <w:t xml:space="preserve"> presents the first estimations of the number of Australian crashes that could be reduced using LDWS and therefore could </w:t>
      </w:r>
      <w:r w:rsidR="00FE6024" w:rsidRPr="003E4580">
        <w:t>improve road safety outcomes</w:t>
      </w:r>
      <w:r w:rsidRPr="003E4580">
        <w:t xml:space="preserve">. </w:t>
      </w:r>
      <w:r w:rsidR="008742A6" w:rsidRPr="003E4580">
        <w:t xml:space="preserve">Its </w:t>
      </w:r>
      <w:r w:rsidR="00FE6024" w:rsidRPr="003E4580">
        <w:t xml:space="preserve">intention </w:t>
      </w:r>
      <w:r w:rsidRPr="003E4580">
        <w:t>is to inform policy making and regulatory approaches to improving motor vehicle safety in Australia and</w:t>
      </w:r>
      <w:r w:rsidR="008742A6" w:rsidRPr="003E4580">
        <w:t xml:space="preserve"> to</w:t>
      </w:r>
      <w:r w:rsidRPr="003E4580">
        <w:t xml:space="preserve"> further recommend education and outreach activities to increase awareness o</w:t>
      </w:r>
      <w:r w:rsidR="00CE3541" w:rsidRPr="003E4580">
        <w:t>f</w:t>
      </w:r>
      <w:r w:rsidRPr="003E4580">
        <w:t xml:space="preserve"> the benefits of LDWS.</w:t>
      </w:r>
    </w:p>
    <w:p w14:paraId="769EC83F" w14:textId="168D8AB0" w:rsidR="00DF39A4" w:rsidRPr="003E4580" w:rsidRDefault="00DF39A4" w:rsidP="006F6683">
      <w:r w:rsidRPr="003E4580">
        <w:t xml:space="preserve">This </w:t>
      </w:r>
      <w:r w:rsidR="00E65CFD" w:rsidRPr="003E4580">
        <w:t xml:space="preserve">Final </w:t>
      </w:r>
      <w:r w:rsidR="00A7024B" w:rsidRPr="003E4580">
        <w:t>IA</w:t>
      </w:r>
      <w:r w:rsidRPr="003E4580">
        <w:t xml:space="preserve"> considers two options to increase the fitment of LDWS </w:t>
      </w:r>
      <w:r w:rsidR="00FE6024" w:rsidRPr="003E4580">
        <w:t xml:space="preserve">in </w:t>
      </w:r>
      <w:r w:rsidRPr="003E4580">
        <w:t xml:space="preserve">new heavy vehicles supplied to the Australian market; a non-regulatory option of no intervention and a regulatory option. The exclusion of other alternative options for this regulatory impact assessment considering the introduction of a new vehicle standard was agreed with the Office of </w:t>
      </w:r>
      <w:r w:rsidR="00A7024B" w:rsidRPr="003E4580">
        <w:t xml:space="preserve">Impact Analysis (OIA) formerly known as the Office of </w:t>
      </w:r>
      <w:r w:rsidRPr="003E4580">
        <w:t xml:space="preserve">Best Practice </w:t>
      </w:r>
      <w:r w:rsidRPr="003E4580">
        <w:rPr>
          <w:rFonts w:ascii="Calibri" w:eastAsia="Times New Roman" w:hAnsi="Calibri" w:cs="Calibri"/>
          <w:color w:val="000000"/>
          <w:kern w:val="0"/>
          <w:szCs w:val="24"/>
        </w:rPr>
        <w:t>Regulation (OBPR) in early 2020.</w:t>
      </w:r>
    </w:p>
    <w:p w14:paraId="447514BE" w14:textId="0D666891" w:rsidR="000D64DD" w:rsidRPr="003E4580" w:rsidRDefault="00E07EFE" w:rsidP="006F6683">
      <w:r w:rsidRPr="003E4580">
        <w:lastRenderedPageBreak/>
        <w:t xml:space="preserve">Option 1 considers the Business As Usual (BAU) case where no intervention is made. </w:t>
      </w:r>
      <w:r w:rsidR="000D64DD" w:rsidRPr="003E4580">
        <w:t xml:space="preserve">For </w:t>
      </w:r>
      <w:r w:rsidR="00C12912" w:rsidRPr="003E4580">
        <w:t>Option 2</w:t>
      </w:r>
      <w:r w:rsidR="000D64DD" w:rsidRPr="003E4580">
        <w:t xml:space="preserve"> the benefit-cost analysis assumes a start date (</w:t>
      </w:r>
      <w:r w:rsidR="005803C1" w:rsidRPr="003E4580">
        <w:t xml:space="preserve">new models </w:t>
      </w:r>
      <w:r w:rsidR="000D64DD" w:rsidRPr="003E4580">
        <w:t>202</w:t>
      </w:r>
      <w:r w:rsidR="005803C1" w:rsidRPr="003E4580">
        <w:t>4 and all vehicles 2027</w:t>
      </w:r>
      <w:r w:rsidR="000D64DD" w:rsidRPr="003E4580">
        <w:t>), followed by 15 years of regulation (after which it is assumed the Australian Design Rule</w:t>
      </w:r>
      <w:r w:rsidR="008742A6" w:rsidRPr="003E4580">
        <w:t xml:space="preserve"> (ADR)</w:t>
      </w:r>
      <w:r w:rsidR="00106450" w:rsidRPr="003E4580">
        <w:t xml:space="preserve"> would be reviewed). The analysis includes another 2</w:t>
      </w:r>
      <w:r w:rsidR="000D64DD" w:rsidRPr="003E4580">
        <w:t>0 years past</w:t>
      </w:r>
      <w:r w:rsidR="00106450" w:rsidRPr="003E4580">
        <w:t xml:space="preserve"> the period of regulation to capture</w:t>
      </w:r>
      <w:r w:rsidR="000D64DD" w:rsidRPr="003E4580">
        <w:t xml:space="preserve"> </w:t>
      </w:r>
      <w:r w:rsidR="00106450" w:rsidRPr="003E4580">
        <w:t>the benefits from the 2</w:t>
      </w:r>
      <w:r w:rsidR="000D64DD" w:rsidRPr="003E4580">
        <w:t xml:space="preserve">0 years of the crash </w:t>
      </w:r>
      <w:r w:rsidR="00106450" w:rsidRPr="003E4580">
        <w:t>profile of the last lot</w:t>
      </w:r>
      <w:r w:rsidR="000D64DD" w:rsidRPr="003E4580">
        <w:t xml:space="preserve"> o</w:t>
      </w:r>
      <w:r w:rsidR="00106450" w:rsidRPr="003E4580">
        <w:t>f heavy vehicles to be fitted with LDWS</w:t>
      </w:r>
      <w:r w:rsidR="000D64DD" w:rsidRPr="003E4580">
        <w:t xml:space="preserve"> when the regulation stops</w:t>
      </w:r>
      <w:r w:rsidR="00106450" w:rsidRPr="003E4580">
        <w:t>.</w:t>
      </w:r>
    </w:p>
    <w:p w14:paraId="5AA9A09A" w14:textId="624218EF" w:rsidR="00326FD2" w:rsidRPr="003E4580" w:rsidRDefault="00326FD2" w:rsidP="006F6683">
      <w:r w:rsidRPr="003E4580">
        <w:t>The results of the</w:t>
      </w:r>
      <w:r w:rsidR="00106450" w:rsidRPr="003E4580">
        <w:t xml:space="preserve"> benefit-cost analysis over a 37</w:t>
      </w:r>
      <w:r w:rsidRPr="003E4580">
        <w:t xml:space="preserve"> year period for each of these options (assuming an intervention policy period of 15 years) are summarised in Table 1 to Table 3 below.</w:t>
      </w:r>
      <w:r w:rsidR="00602D3D" w:rsidRPr="003E4580">
        <w:t xml:space="preserve"> </w:t>
      </w:r>
      <w:r w:rsidR="00C12912" w:rsidRPr="003E4580">
        <w:t>Option 2</w:t>
      </w:r>
      <w:r w:rsidR="00602D3D" w:rsidRPr="003E4580">
        <w:t>: regulation generated the h</w:t>
      </w:r>
      <w:r w:rsidR="00B86743" w:rsidRPr="003E4580">
        <w:t>ighest number of lives saved (6</w:t>
      </w:r>
      <w:r w:rsidR="00895FA4" w:rsidRPr="003E4580">
        <w:t>2</w:t>
      </w:r>
      <w:r w:rsidR="00B86743" w:rsidRPr="003E4580">
        <w:t>) and serious (1,7</w:t>
      </w:r>
      <w:r w:rsidR="005803C1" w:rsidRPr="003E4580">
        <w:t>25</w:t>
      </w:r>
      <w:r w:rsidR="00B86743" w:rsidRPr="003E4580">
        <w:t>) and minor (5,3</w:t>
      </w:r>
      <w:r w:rsidR="005803C1" w:rsidRPr="003E4580">
        <w:t>70</w:t>
      </w:r>
      <w:r w:rsidR="00602D3D" w:rsidRPr="003E4580">
        <w:t>) injuries avoided, as well as the</w:t>
      </w:r>
      <w:r w:rsidR="00B86743" w:rsidRPr="003E4580">
        <w:t xml:space="preserve"> highest likely net benefit ($</w:t>
      </w:r>
      <w:r w:rsidR="005803C1" w:rsidRPr="003E4580">
        <w:t>4</w:t>
      </w:r>
      <w:r w:rsidR="00B86743" w:rsidRPr="003E4580">
        <w:t>.</w:t>
      </w:r>
      <w:r w:rsidR="005803C1" w:rsidRPr="003E4580">
        <w:t>7</w:t>
      </w:r>
      <w:r w:rsidR="00B86743" w:rsidRPr="003E4580">
        <w:t xml:space="preserve"> </w:t>
      </w:r>
      <w:r w:rsidR="00602D3D" w:rsidRPr="003E4580">
        <w:t xml:space="preserve">million), while retaining </w:t>
      </w:r>
      <w:r w:rsidR="00B86743" w:rsidRPr="003E4580">
        <w:t>a likely benefit-cost ratio (1.</w:t>
      </w:r>
      <w:r w:rsidR="005803C1" w:rsidRPr="003E4580">
        <w:t>0</w:t>
      </w:r>
      <w:r w:rsidR="00602D3D" w:rsidRPr="003E4580">
        <w:t>).</w:t>
      </w:r>
    </w:p>
    <w:p w14:paraId="38831D25" w14:textId="27A6AAA1" w:rsidR="00041A6D" w:rsidRPr="003E4580" w:rsidRDefault="00041A6D" w:rsidP="00041A6D">
      <w:pPr>
        <w:pStyle w:val="Caption"/>
        <w:keepNext/>
      </w:pPr>
      <w:bookmarkStart w:id="4" w:name="_Toc136912394"/>
      <w:r w:rsidRPr="003E4580">
        <w:t xml:space="preserve">Table </w:t>
      </w:r>
      <w:r w:rsidR="00BF64CF">
        <w:fldChar w:fldCharType="begin"/>
      </w:r>
      <w:r w:rsidR="00BF64CF">
        <w:instrText xml:space="preserve"> SEQ Table \* ARABIC </w:instrText>
      </w:r>
      <w:r w:rsidR="00BF64CF">
        <w:fldChar w:fldCharType="separate"/>
      </w:r>
      <w:r w:rsidR="002E4782" w:rsidRPr="003E4580">
        <w:rPr>
          <w:noProof/>
        </w:rPr>
        <w:t>1</w:t>
      </w:r>
      <w:r w:rsidR="00BF64CF">
        <w:rPr>
          <w:noProof/>
        </w:rPr>
        <w:fldChar w:fldCharType="end"/>
      </w:r>
      <w:r w:rsidRPr="003E4580">
        <w:t>: Summary of gross and net benefits for each option</w:t>
      </w:r>
      <w:bookmarkEnd w:id="4"/>
    </w:p>
    <w:tbl>
      <w:tblPr>
        <w:tblStyle w:val="DefaultTable1"/>
        <w:tblW w:w="5000" w:type="pct"/>
        <w:tblLook w:val="04E0" w:firstRow="1" w:lastRow="1" w:firstColumn="1" w:lastColumn="0" w:noHBand="0" w:noVBand="1"/>
        <w:tblCaption w:val="Sample table"/>
        <w:tblDescription w:val="Sample table"/>
      </w:tblPr>
      <w:tblGrid>
        <w:gridCol w:w="3289"/>
        <w:gridCol w:w="3289"/>
        <w:gridCol w:w="1643"/>
        <w:gridCol w:w="1643"/>
      </w:tblGrid>
      <w:tr w:rsidR="00662D1A" w:rsidRPr="003E4580" w14:paraId="424AE584" w14:textId="77777777" w:rsidTr="00F606E3">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67" w:type="pct"/>
            <w:vMerge w:val="restart"/>
          </w:tcPr>
          <w:p w14:paraId="1901EF2F" w14:textId="77777777" w:rsidR="00662D1A" w:rsidRPr="003E4580" w:rsidRDefault="00662D1A" w:rsidP="00041A6D"/>
        </w:tc>
        <w:tc>
          <w:tcPr>
            <w:tcW w:w="1667" w:type="pct"/>
            <w:vMerge w:val="restart"/>
          </w:tcPr>
          <w:p w14:paraId="7A419046" w14:textId="77777777" w:rsidR="00662D1A" w:rsidRPr="003E4580" w:rsidRDefault="00662D1A" w:rsidP="00F606E3">
            <w:pPr>
              <w:jc w:val="center"/>
              <w:cnfStyle w:val="100000000000" w:firstRow="1" w:lastRow="0" w:firstColumn="0" w:lastColumn="0" w:oddVBand="0" w:evenVBand="0" w:oddHBand="0" w:evenHBand="0" w:firstRowFirstColumn="0" w:firstRowLastColumn="0" w:lastRowFirstColumn="0" w:lastRowLastColumn="0"/>
            </w:pPr>
            <w:r w:rsidRPr="003E4580">
              <w:t>Gross Benefits ($m)</w:t>
            </w:r>
          </w:p>
        </w:tc>
        <w:tc>
          <w:tcPr>
            <w:tcW w:w="1666" w:type="pct"/>
            <w:gridSpan w:val="2"/>
          </w:tcPr>
          <w:p w14:paraId="4048C218" w14:textId="77777777" w:rsidR="00662D1A" w:rsidRPr="003E4580" w:rsidRDefault="00662D1A" w:rsidP="00F606E3">
            <w:pPr>
              <w:jc w:val="center"/>
              <w:cnfStyle w:val="100000000000" w:firstRow="1" w:lastRow="0" w:firstColumn="0" w:lastColumn="0" w:oddVBand="0" w:evenVBand="0" w:oddHBand="0" w:evenHBand="0" w:firstRowFirstColumn="0" w:firstRowLastColumn="0" w:lastRowFirstColumn="0" w:lastRowLastColumn="0"/>
            </w:pPr>
            <w:r w:rsidRPr="003E4580">
              <w:t>Net Benefits ($m)</w:t>
            </w:r>
          </w:p>
        </w:tc>
      </w:tr>
      <w:tr w:rsidR="00662D1A" w:rsidRPr="003E4580" w14:paraId="451D27ED" w14:textId="77777777" w:rsidTr="005E7A9F">
        <w:trPr>
          <w:trHeight w:val="221"/>
        </w:trPr>
        <w:tc>
          <w:tcPr>
            <w:cnfStyle w:val="001000000000" w:firstRow="0" w:lastRow="0" w:firstColumn="1" w:lastColumn="0" w:oddVBand="0" w:evenVBand="0" w:oddHBand="0" w:evenHBand="0" w:firstRowFirstColumn="0" w:firstRowLastColumn="0" w:lastRowFirstColumn="0" w:lastRowLastColumn="0"/>
            <w:tcW w:w="1667" w:type="pct"/>
            <w:vMerge/>
          </w:tcPr>
          <w:p w14:paraId="4E53C7C7" w14:textId="77777777" w:rsidR="00662D1A" w:rsidRPr="003E4580" w:rsidRDefault="00662D1A" w:rsidP="00041A6D"/>
        </w:tc>
        <w:tc>
          <w:tcPr>
            <w:tcW w:w="1667" w:type="pct"/>
            <w:vMerge/>
          </w:tcPr>
          <w:p w14:paraId="7F23FA6D" w14:textId="77777777" w:rsidR="00662D1A" w:rsidRPr="003E4580" w:rsidRDefault="00662D1A" w:rsidP="00F606E3">
            <w:pPr>
              <w:jc w:val="center"/>
              <w:cnfStyle w:val="000000000000" w:firstRow="0" w:lastRow="0" w:firstColumn="0" w:lastColumn="0" w:oddVBand="0" w:evenVBand="0" w:oddHBand="0" w:evenHBand="0" w:firstRowFirstColumn="0" w:firstRowLastColumn="0" w:lastRowFirstColumn="0" w:lastRowLastColumn="0"/>
            </w:pPr>
          </w:p>
        </w:tc>
        <w:tc>
          <w:tcPr>
            <w:tcW w:w="833" w:type="pct"/>
            <w:tcBorders>
              <w:top w:val="nil"/>
            </w:tcBorders>
            <w:shd w:val="clear" w:color="auto" w:fill="F2F2F2" w:themeFill="background1" w:themeFillShade="F2"/>
          </w:tcPr>
          <w:p w14:paraId="224B1F56" w14:textId="77777777" w:rsidR="00662D1A" w:rsidRPr="003E4580" w:rsidRDefault="00662D1A" w:rsidP="00F606E3">
            <w:pPr>
              <w:jc w:val="center"/>
              <w:cnfStyle w:val="000000000000" w:firstRow="0" w:lastRow="0" w:firstColumn="0" w:lastColumn="0" w:oddVBand="0" w:evenVBand="0" w:oddHBand="0" w:evenHBand="0" w:firstRowFirstColumn="0" w:firstRowLastColumn="0" w:lastRowFirstColumn="0" w:lastRowLastColumn="0"/>
            </w:pPr>
            <w:r w:rsidRPr="003E4580">
              <w:t>Best case</w:t>
            </w:r>
          </w:p>
        </w:tc>
        <w:tc>
          <w:tcPr>
            <w:tcW w:w="833" w:type="pct"/>
            <w:tcBorders>
              <w:top w:val="nil"/>
            </w:tcBorders>
            <w:shd w:val="clear" w:color="auto" w:fill="F2F2F2" w:themeFill="background1" w:themeFillShade="F2"/>
          </w:tcPr>
          <w:p w14:paraId="36FDE3E9" w14:textId="77777777" w:rsidR="00662D1A" w:rsidRPr="003E4580" w:rsidRDefault="00662D1A" w:rsidP="00F606E3">
            <w:pPr>
              <w:jc w:val="center"/>
              <w:cnfStyle w:val="000000000000" w:firstRow="0" w:lastRow="0" w:firstColumn="0" w:lastColumn="0" w:oddVBand="0" w:evenVBand="0" w:oddHBand="0" w:evenHBand="0" w:firstRowFirstColumn="0" w:firstRowLastColumn="0" w:lastRowFirstColumn="0" w:lastRowLastColumn="0"/>
            </w:pPr>
            <w:r w:rsidRPr="003E4580">
              <w:t>Likely case</w:t>
            </w:r>
          </w:p>
        </w:tc>
      </w:tr>
      <w:tr w:rsidR="00F606E3" w:rsidRPr="003E4580" w14:paraId="6B20E038" w14:textId="77777777" w:rsidTr="00F606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A91977A" w14:textId="77777777" w:rsidR="00F606E3" w:rsidRPr="003E4580" w:rsidRDefault="00F606E3" w:rsidP="00041A6D">
            <w:r w:rsidRPr="003E4580">
              <w:t>Option 1: no intervention</w:t>
            </w:r>
          </w:p>
        </w:tc>
        <w:tc>
          <w:tcPr>
            <w:tcW w:w="1667" w:type="pct"/>
          </w:tcPr>
          <w:p w14:paraId="0E6CD7C6" w14:textId="77777777" w:rsidR="00F606E3" w:rsidRPr="003E4580" w:rsidRDefault="00F606E3" w:rsidP="00F606E3">
            <w:pPr>
              <w:jc w:val="center"/>
              <w:cnfStyle w:val="000000010000" w:firstRow="0" w:lastRow="0" w:firstColumn="0" w:lastColumn="0" w:oddVBand="0" w:evenVBand="0" w:oddHBand="0" w:evenHBand="1" w:firstRowFirstColumn="0" w:firstRowLastColumn="0" w:lastRowFirstColumn="0" w:lastRowLastColumn="0"/>
            </w:pPr>
            <w:r w:rsidRPr="003E4580">
              <w:t>-</w:t>
            </w:r>
          </w:p>
        </w:tc>
        <w:tc>
          <w:tcPr>
            <w:tcW w:w="833" w:type="pct"/>
          </w:tcPr>
          <w:p w14:paraId="009E801B" w14:textId="77777777" w:rsidR="00F606E3" w:rsidRPr="003E4580" w:rsidRDefault="00F606E3" w:rsidP="00F606E3">
            <w:pPr>
              <w:jc w:val="center"/>
              <w:cnfStyle w:val="000000010000" w:firstRow="0" w:lastRow="0" w:firstColumn="0" w:lastColumn="0" w:oddVBand="0" w:evenVBand="0" w:oddHBand="0" w:evenHBand="1" w:firstRowFirstColumn="0" w:firstRowLastColumn="0" w:lastRowFirstColumn="0" w:lastRowLastColumn="0"/>
            </w:pPr>
            <w:r w:rsidRPr="003E4580">
              <w:t>-</w:t>
            </w:r>
          </w:p>
        </w:tc>
        <w:tc>
          <w:tcPr>
            <w:tcW w:w="833" w:type="pct"/>
          </w:tcPr>
          <w:p w14:paraId="5BA52F9F" w14:textId="77777777" w:rsidR="00F606E3" w:rsidRPr="003E4580" w:rsidRDefault="00F606E3" w:rsidP="00F606E3">
            <w:pPr>
              <w:jc w:val="center"/>
              <w:cnfStyle w:val="000000010000" w:firstRow="0" w:lastRow="0" w:firstColumn="0" w:lastColumn="0" w:oddVBand="0" w:evenVBand="0" w:oddHBand="0" w:evenHBand="1" w:firstRowFirstColumn="0" w:firstRowLastColumn="0" w:lastRowFirstColumn="0" w:lastRowLastColumn="0"/>
            </w:pPr>
            <w:r w:rsidRPr="003E4580">
              <w:t>-</w:t>
            </w:r>
          </w:p>
        </w:tc>
      </w:tr>
      <w:tr w:rsidR="00F606E3" w:rsidRPr="003E4580" w14:paraId="6CCAADC0" w14:textId="77777777" w:rsidTr="00F606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746BA81" w14:textId="77777777" w:rsidR="00F606E3" w:rsidRPr="003E4580" w:rsidRDefault="00C12912" w:rsidP="00041A6D">
            <w:r w:rsidRPr="003E4580">
              <w:t>Option 2</w:t>
            </w:r>
            <w:r w:rsidR="00F606E3" w:rsidRPr="003E4580">
              <w:t>: regulation</w:t>
            </w:r>
          </w:p>
        </w:tc>
        <w:tc>
          <w:tcPr>
            <w:tcW w:w="1667" w:type="pct"/>
          </w:tcPr>
          <w:p w14:paraId="1F6DD1F0" w14:textId="77777777" w:rsidR="00F606E3" w:rsidRPr="003E4580" w:rsidRDefault="00F331F2" w:rsidP="00F606E3">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221</w:t>
            </w:r>
          </w:p>
        </w:tc>
        <w:tc>
          <w:tcPr>
            <w:tcW w:w="833" w:type="pct"/>
          </w:tcPr>
          <w:p w14:paraId="531BAD51" w14:textId="3EE7A0E6" w:rsidR="00F606E3" w:rsidRPr="003E4580" w:rsidRDefault="005803C1" w:rsidP="00F606E3">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82</w:t>
            </w:r>
          </w:p>
        </w:tc>
        <w:tc>
          <w:tcPr>
            <w:tcW w:w="833" w:type="pct"/>
          </w:tcPr>
          <w:p w14:paraId="67D4E10D" w14:textId="0F0CB131" w:rsidR="00F606E3" w:rsidRPr="003E4580" w:rsidRDefault="005803C1" w:rsidP="00F606E3">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4.7</w:t>
            </w:r>
          </w:p>
        </w:tc>
      </w:tr>
    </w:tbl>
    <w:p w14:paraId="36788C85" w14:textId="206C8890" w:rsidR="00A36337" w:rsidRPr="003E4580" w:rsidRDefault="00A36337" w:rsidP="00A36337">
      <w:pPr>
        <w:pStyle w:val="Caption"/>
        <w:keepNext/>
      </w:pPr>
      <w:bookmarkStart w:id="5" w:name="_Toc136912395"/>
      <w:r w:rsidRPr="003E4580">
        <w:t xml:space="preserve">Table </w:t>
      </w:r>
      <w:r w:rsidR="00BF64CF">
        <w:fldChar w:fldCharType="begin"/>
      </w:r>
      <w:r w:rsidR="00BF64CF">
        <w:instrText xml:space="preserve"> SEQ Table \* ARABIC </w:instrText>
      </w:r>
      <w:r w:rsidR="00BF64CF">
        <w:fldChar w:fldCharType="separate"/>
      </w:r>
      <w:r w:rsidR="002E4782" w:rsidRPr="003E4580">
        <w:rPr>
          <w:noProof/>
        </w:rPr>
        <w:t>2</w:t>
      </w:r>
      <w:r w:rsidR="00BF64CF">
        <w:rPr>
          <w:noProof/>
        </w:rPr>
        <w:fldChar w:fldCharType="end"/>
      </w:r>
      <w:r w:rsidRPr="003E4580">
        <w:t>: Summary of costs and benefits-cost ratios for each option</w:t>
      </w:r>
      <w:bookmarkEnd w:id="5"/>
    </w:p>
    <w:tbl>
      <w:tblPr>
        <w:tblStyle w:val="DefaultTable1"/>
        <w:tblW w:w="5000" w:type="pct"/>
        <w:tblLook w:val="04E0" w:firstRow="1" w:lastRow="1" w:firstColumn="1" w:lastColumn="0" w:noHBand="0" w:noVBand="1"/>
        <w:tblCaption w:val="Sample table"/>
        <w:tblDescription w:val="Sample table"/>
      </w:tblPr>
      <w:tblGrid>
        <w:gridCol w:w="3289"/>
        <w:gridCol w:w="3289"/>
        <w:gridCol w:w="1643"/>
        <w:gridCol w:w="1643"/>
      </w:tblGrid>
      <w:tr w:rsidR="00A36337" w:rsidRPr="003E4580" w14:paraId="7DFF9B54" w14:textId="77777777" w:rsidTr="00E74785">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67" w:type="pct"/>
            <w:vMerge w:val="restart"/>
          </w:tcPr>
          <w:p w14:paraId="49B3A834" w14:textId="77777777" w:rsidR="00A36337" w:rsidRPr="003E4580" w:rsidRDefault="00A36337" w:rsidP="00E74785"/>
        </w:tc>
        <w:tc>
          <w:tcPr>
            <w:tcW w:w="1667" w:type="pct"/>
            <w:vMerge w:val="restart"/>
          </w:tcPr>
          <w:p w14:paraId="0C489D39" w14:textId="77777777" w:rsidR="00A36337" w:rsidRPr="003E4580" w:rsidRDefault="00D12A45" w:rsidP="00E74785">
            <w:pPr>
              <w:jc w:val="center"/>
              <w:cnfStyle w:val="100000000000" w:firstRow="1" w:lastRow="0" w:firstColumn="0" w:lastColumn="0" w:oddVBand="0" w:evenVBand="0" w:oddHBand="0" w:evenHBand="0" w:firstRowFirstColumn="0" w:firstRowLastColumn="0" w:lastRowFirstColumn="0" w:lastRowLastColumn="0"/>
            </w:pPr>
            <w:r w:rsidRPr="003E4580">
              <w:t>Costs</w:t>
            </w:r>
            <w:r w:rsidR="00A36337" w:rsidRPr="003E4580">
              <w:t xml:space="preserve"> ($m)</w:t>
            </w:r>
          </w:p>
        </w:tc>
        <w:tc>
          <w:tcPr>
            <w:tcW w:w="1666" w:type="pct"/>
            <w:gridSpan w:val="2"/>
          </w:tcPr>
          <w:p w14:paraId="58C44E60" w14:textId="77777777" w:rsidR="00A36337" w:rsidRPr="003E4580" w:rsidRDefault="00D12A45" w:rsidP="00E74785">
            <w:pPr>
              <w:jc w:val="center"/>
              <w:cnfStyle w:val="100000000000" w:firstRow="1" w:lastRow="0" w:firstColumn="0" w:lastColumn="0" w:oddVBand="0" w:evenVBand="0" w:oddHBand="0" w:evenHBand="0" w:firstRowFirstColumn="0" w:firstRowLastColumn="0" w:lastRowFirstColumn="0" w:lastRowLastColumn="0"/>
            </w:pPr>
            <w:r w:rsidRPr="003E4580">
              <w:t>Benefit-cost ratios</w:t>
            </w:r>
          </w:p>
        </w:tc>
      </w:tr>
      <w:tr w:rsidR="00A36337" w:rsidRPr="003E4580" w14:paraId="6B538AF0" w14:textId="77777777" w:rsidTr="005E7A9F">
        <w:trPr>
          <w:trHeight w:val="221"/>
        </w:trPr>
        <w:tc>
          <w:tcPr>
            <w:cnfStyle w:val="001000000000" w:firstRow="0" w:lastRow="0" w:firstColumn="1" w:lastColumn="0" w:oddVBand="0" w:evenVBand="0" w:oddHBand="0" w:evenHBand="0" w:firstRowFirstColumn="0" w:firstRowLastColumn="0" w:lastRowFirstColumn="0" w:lastRowLastColumn="0"/>
            <w:tcW w:w="1667" w:type="pct"/>
            <w:vMerge/>
          </w:tcPr>
          <w:p w14:paraId="51F6D947" w14:textId="77777777" w:rsidR="00A36337" w:rsidRPr="003E4580" w:rsidRDefault="00A36337" w:rsidP="00E74785"/>
        </w:tc>
        <w:tc>
          <w:tcPr>
            <w:tcW w:w="1667" w:type="pct"/>
            <w:vMerge/>
          </w:tcPr>
          <w:p w14:paraId="05FA6B10" w14:textId="77777777" w:rsidR="00A36337" w:rsidRPr="003E4580" w:rsidRDefault="00A36337" w:rsidP="00E74785">
            <w:pPr>
              <w:jc w:val="center"/>
              <w:cnfStyle w:val="000000000000" w:firstRow="0" w:lastRow="0" w:firstColumn="0" w:lastColumn="0" w:oddVBand="0" w:evenVBand="0" w:oddHBand="0" w:evenHBand="0" w:firstRowFirstColumn="0" w:firstRowLastColumn="0" w:lastRowFirstColumn="0" w:lastRowLastColumn="0"/>
            </w:pPr>
          </w:p>
        </w:tc>
        <w:tc>
          <w:tcPr>
            <w:tcW w:w="833" w:type="pct"/>
            <w:tcBorders>
              <w:top w:val="nil"/>
            </w:tcBorders>
            <w:shd w:val="clear" w:color="auto" w:fill="F2F2F2" w:themeFill="background1" w:themeFillShade="F2"/>
          </w:tcPr>
          <w:p w14:paraId="72E9F85C" w14:textId="77777777" w:rsidR="00A36337" w:rsidRPr="003E4580" w:rsidRDefault="00A36337" w:rsidP="00E74785">
            <w:pPr>
              <w:jc w:val="center"/>
              <w:cnfStyle w:val="000000000000" w:firstRow="0" w:lastRow="0" w:firstColumn="0" w:lastColumn="0" w:oddVBand="0" w:evenVBand="0" w:oddHBand="0" w:evenHBand="0" w:firstRowFirstColumn="0" w:firstRowLastColumn="0" w:lastRowFirstColumn="0" w:lastRowLastColumn="0"/>
            </w:pPr>
            <w:r w:rsidRPr="003E4580">
              <w:t>Best case</w:t>
            </w:r>
          </w:p>
        </w:tc>
        <w:tc>
          <w:tcPr>
            <w:tcW w:w="833" w:type="pct"/>
            <w:tcBorders>
              <w:top w:val="nil"/>
            </w:tcBorders>
            <w:shd w:val="clear" w:color="auto" w:fill="F2F2F2" w:themeFill="background1" w:themeFillShade="F2"/>
          </w:tcPr>
          <w:p w14:paraId="14E9E06E" w14:textId="77777777" w:rsidR="00A36337" w:rsidRPr="003E4580" w:rsidRDefault="00A36337" w:rsidP="00E74785">
            <w:pPr>
              <w:jc w:val="center"/>
              <w:cnfStyle w:val="000000000000" w:firstRow="0" w:lastRow="0" w:firstColumn="0" w:lastColumn="0" w:oddVBand="0" w:evenVBand="0" w:oddHBand="0" w:evenHBand="0" w:firstRowFirstColumn="0" w:firstRowLastColumn="0" w:lastRowFirstColumn="0" w:lastRowLastColumn="0"/>
            </w:pPr>
            <w:r w:rsidRPr="003E4580">
              <w:t>Likely case</w:t>
            </w:r>
          </w:p>
        </w:tc>
      </w:tr>
      <w:tr w:rsidR="00A36337" w:rsidRPr="003E4580" w14:paraId="02155B9B" w14:textId="77777777" w:rsidTr="00E74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F06151E" w14:textId="77777777" w:rsidR="00A36337" w:rsidRPr="003E4580" w:rsidRDefault="00A36337" w:rsidP="00E74785">
            <w:r w:rsidRPr="003E4580">
              <w:t>Option 1: no intervention</w:t>
            </w:r>
          </w:p>
        </w:tc>
        <w:tc>
          <w:tcPr>
            <w:tcW w:w="1667" w:type="pct"/>
          </w:tcPr>
          <w:p w14:paraId="27650A86" w14:textId="77777777" w:rsidR="00A36337" w:rsidRPr="003E4580" w:rsidRDefault="00A36337" w:rsidP="00E74785">
            <w:pPr>
              <w:jc w:val="center"/>
              <w:cnfStyle w:val="000000010000" w:firstRow="0" w:lastRow="0" w:firstColumn="0" w:lastColumn="0" w:oddVBand="0" w:evenVBand="0" w:oddHBand="0" w:evenHBand="1" w:firstRowFirstColumn="0" w:firstRowLastColumn="0" w:lastRowFirstColumn="0" w:lastRowLastColumn="0"/>
            </w:pPr>
            <w:r w:rsidRPr="003E4580">
              <w:t>-</w:t>
            </w:r>
          </w:p>
        </w:tc>
        <w:tc>
          <w:tcPr>
            <w:tcW w:w="833" w:type="pct"/>
          </w:tcPr>
          <w:p w14:paraId="6A517C70" w14:textId="77777777" w:rsidR="00A36337" w:rsidRPr="003E4580" w:rsidRDefault="00A36337" w:rsidP="00E74785">
            <w:pPr>
              <w:jc w:val="center"/>
              <w:cnfStyle w:val="000000010000" w:firstRow="0" w:lastRow="0" w:firstColumn="0" w:lastColumn="0" w:oddVBand="0" w:evenVBand="0" w:oddHBand="0" w:evenHBand="1" w:firstRowFirstColumn="0" w:firstRowLastColumn="0" w:lastRowFirstColumn="0" w:lastRowLastColumn="0"/>
            </w:pPr>
            <w:r w:rsidRPr="003E4580">
              <w:t>-</w:t>
            </w:r>
          </w:p>
        </w:tc>
        <w:tc>
          <w:tcPr>
            <w:tcW w:w="833" w:type="pct"/>
          </w:tcPr>
          <w:p w14:paraId="531FB2A6" w14:textId="77777777" w:rsidR="00A36337" w:rsidRPr="003E4580" w:rsidRDefault="00A36337" w:rsidP="00E74785">
            <w:pPr>
              <w:jc w:val="center"/>
              <w:cnfStyle w:val="000000010000" w:firstRow="0" w:lastRow="0" w:firstColumn="0" w:lastColumn="0" w:oddVBand="0" w:evenVBand="0" w:oddHBand="0" w:evenHBand="1" w:firstRowFirstColumn="0" w:firstRowLastColumn="0" w:lastRowFirstColumn="0" w:lastRowLastColumn="0"/>
            </w:pPr>
            <w:r w:rsidRPr="003E4580">
              <w:t>-</w:t>
            </w:r>
          </w:p>
        </w:tc>
      </w:tr>
      <w:tr w:rsidR="00A36337" w:rsidRPr="003E4580" w14:paraId="69F99724" w14:textId="77777777" w:rsidTr="00E7478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867FFDC" w14:textId="77777777" w:rsidR="00A36337" w:rsidRPr="003E4580" w:rsidRDefault="00C12912" w:rsidP="00E74785">
            <w:r w:rsidRPr="003E4580">
              <w:t>Option 2</w:t>
            </w:r>
            <w:r w:rsidR="00A36337" w:rsidRPr="003E4580">
              <w:t>: regulation</w:t>
            </w:r>
          </w:p>
        </w:tc>
        <w:tc>
          <w:tcPr>
            <w:tcW w:w="1667" w:type="pct"/>
          </w:tcPr>
          <w:p w14:paraId="18CF5765" w14:textId="0B1D6E17" w:rsidR="00A36337" w:rsidRPr="003E4580" w:rsidRDefault="00D8384F" w:rsidP="00E74785">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w:t>
            </w:r>
            <w:r w:rsidR="005803C1" w:rsidRPr="003E4580">
              <w:rPr>
                <w:b w:val="0"/>
              </w:rPr>
              <w:t>16</w:t>
            </w:r>
          </w:p>
        </w:tc>
        <w:tc>
          <w:tcPr>
            <w:tcW w:w="833" w:type="pct"/>
          </w:tcPr>
          <w:p w14:paraId="65587833" w14:textId="2D2C04DC" w:rsidR="00A36337" w:rsidRPr="003E4580" w:rsidRDefault="0081105A" w:rsidP="00E74785">
            <w:pPr>
              <w:jc w:val="center"/>
              <w:cnfStyle w:val="010000000000" w:firstRow="0" w:lastRow="1" w:firstColumn="0" w:lastColumn="0" w:oddVBand="0" w:evenVBand="0" w:oddHBand="0" w:evenHBand="0" w:firstRowFirstColumn="0" w:firstRowLastColumn="0" w:lastRowFirstColumn="0" w:lastRowLastColumn="0"/>
            </w:pPr>
            <w:r w:rsidRPr="003E4580">
              <w:rPr>
                <w:b w:val="0"/>
              </w:rPr>
              <w:t>1.</w:t>
            </w:r>
            <w:r w:rsidR="005803C1" w:rsidRPr="003E4580">
              <w:rPr>
                <w:b w:val="0"/>
              </w:rPr>
              <w:t>6</w:t>
            </w:r>
          </w:p>
        </w:tc>
        <w:tc>
          <w:tcPr>
            <w:tcW w:w="833" w:type="pct"/>
          </w:tcPr>
          <w:p w14:paraId="0E08282A" w14:textId="3613CCA8" w:rsidR="00A36337" w:rsidRPr="003E4580" w:rsidRDefault="0081105A" w:rsidP="00E74785">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1.</w:t>
            </w:r>
            <w:r w:rsidR="005803C1" w:rsidRPr="003E4580">
              <w:rPr>
                <w:b w:val="0"/>
              </w:rPr>
              <w:t>0</w:t>
            </w:r>
          </w:p>
        </w:tc>
      </w:tr>
    </w:tbl>
    <w:p w14:paraId="27282FA6" w14:textId="7BA90A49" w:rsidR="00D12A45" w:rsidRPr="003E4580" w:rsidRDefault="00D12A45" w:rsidP="00D12A45">
      <w:pPr>
        <w:pStyle w:val="Caption"/>
        <w:keepNext/>
      </w:pPr>
      <w:bookmarkStart w:id="6" w:name="_Toc136912396"/>
      <w:r w:rsidRPr="003E4580">
        <w:t xml:space="preserve">Table </w:t>
      </w:r>
      <w:r w:rsidR="00BF64CF">
        <w:fldChar w:fldCharType="begin"/>
      </w:r>
      <w:r w:rsidR="00BF64CF">
        <w:instrText xml:space="preserve"> SEQ Table \* ARABIC </w:instrText>
      </w:r>
      <w:r w:rsidR="00BF64CF">
        <w:fldChar w:fldCharType="separate"/>
      </w:r>
      <w:r w:rsidR="002E4782" w:rsidRPr="003E4580">
        <w:rPr>
          <w:noProof/>
        </w:rPr>
        <w:t>3</w:t>
      </w:r>
      <w:r w:rsidR="00BF64CF">
        <w:rPr>
          <w:noProof/>
        </w:rPr>
        <w:fldChar w:fldCharType="end"/>
      </w:r>
      <w:r w:rsidRPr="003E4580">
        <w:t>: Summary of lives saved and serious injuries (hospital admissions) avoided</w:t>
      </w:r>
      <w:bookmarkEnd w:id="6"/>
    </w:p>
    <w:tbl>
      <w:tblPr>
        <w:tblStyle w:val="DefaultTable1"/>
        <w:tblW w:w="5000" w:type="pct"/>
        <w:tblLook w:val="04E0" w:firstRow="1" w:lastRow="1" w:firstColumn="1" w:lastColumn="0" w:noHBand="0" w:noVBand="1"/>
        <w:tblCaption w:val="Sample table"/>
        <w:tblDescription w:val="Sample table"/>
      </w:tblPr>
      <w:tblGrid>
        <w:gridCol w:w="3289"/>
        <w:gridCol w:w="3289"/>
        <w:gridCol w:w="1643"/>
        <w:gridCol w:w="1643"/>
      </w:tblGrid>
      <w:tr w:rsidR="00D12A45" w:rsidRPr="003E4580" w14:paraId="5D16526E" w14:textId="77777777" w:rsidTr="00D12A45">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67" w:type="pct"/>
          </w:tcPr>
          <w:p w14:paraId="4BB8B88A" w14:textId="77777777" w:rsidR="00D12A45" w:rsidRPr="003E4580" w:rsidRDefault="00D12A45" w:rsidP="00E74785"/>
        </w:tc>
        <w:tc>
          <w:tcPr>
            <w:tcW w:w="1667" w:type="pct"/>
          </w:tcPr>
          <w:p w14:paraId="088C59AE" w14:textId="77777777" w:rsidR="00D12A45" w:rsidRPr="003E4580" w:rsidRDefault="00D12A45" w:rsidP="00E74785">
            <w:pPr>
              <w:jc w:val="center"/>
              <w:cnfStyle w:val="100000000000" w:firstRow="1" w:lastRow="0" w:firstColumn="0" w:lastColumn="0" w:oddVBand="0" w:evenVBand="0" w:oddHBand="0" w:evenHBand="0" w:firstRowFirstColumn="0" w:firstRowLastColumn="0" w:lastRowFirstColumn="0" w:lastRowLastColumn="0"/>
            </w:pPr>
            <w:r w:rsidRPr="003E4580">
              <w:t>Lives saved</w:t>
            </w:r>
          </w:p>
        </w:tc>
        <w:tc>
          <w:tcPr>
            <w:tcW w:w="833" w:type="pct"/>
          </w:tcPr>
          <w:p w14:paraId="0B592FFF" w14:textId="77777777" w:rsidR="00D12A45" w:rsidRPr="003E4580" w:rsidRDefault="00D12A45" w:rsidP="00E74785">
            <w:pPr>
              <w:jc w:val="center"/>
              <w:cnfStyle w:val="100000000000" w:firstRow="1" w:lastRow="0" w:firstColumn="0" w:lastColumn="0" w:oddVBand="0" w:evenVBand="0" w:oddHBand="0" w:evenHBand="0" w:firstRowFirstColumn="0" w:firstRowLastColumn="0" w:lastRowFirstColumn="0" w:lastRowLastColumn="0"/>
              <w:rPr>
                <w:b w:val="0"/>
              </w:rPr>
            </w:pPr>
            <w:r w:rsidRPr="003E4580">
              <w:t>Serious injuries avoided</w:t>
            </w:r>
          </w:p>
        </w:tc>
        <w:tc>
          <w:tcPr>
            <w:tcW w:w="833" w:type="pct"/>
          </w:tcPr>
          <w:p w14:paraId="7792FD8F" w14:textId="77777777" w:rsidR="00D12A45" w:rsidRPr="003E4580" w:rsidRDefault="00D12A45" w:rsidP="00E74785">
            <w:pPr>
              <w:jc w:val="center"/>
              <w:cnfStyle w:val="100000000000" w:firstRow="1" w:lastRow="0" w:firstColumn="0" w:lastColumn="0" w:oddVBand="0" w:evenVBand="0" w:oddHBand="0" w:evenHBand="0" w:firstRowFirstColumn="0" w:firstRowLastColumn="0" w:lastRowFirstColumn="0" w:lastRowLastColumn="0"/>
            </w:pPr>
            <w:r w:rsidRPr="003E4580">
              <w:t>Minor injuries avoided</w:t>
            </w:r>
          </w:p>
        </w:tc>
      </w:tr>
      <w:tr w:rsidR="00D12A45" w:rsidRPr="003E4580" w14:paraId="4562D101" w14:textId="77777777" w:rsidTr="00E74785">
        <w:tc>
          <w:tcPr>
            <w:cnfStyle w:val="001000000000" w:firstRow="0" w:lastRow="0" w:firstColumn="1" w:lastColumn="0" w:oddVBand="0" w:evenVBand="0" w:oddHBand="0" w:evenHBand="0" w:firstRowFirstColumn="0" w:firstRowLastColumn="0" w:lastRowFirstColumn="0" w:lastRowLastColumn="0"/>
            <w:tcW w:w="1667" w:type="pct"/>
          </w:tcPr>
          <w:p w14:paraId="3C652CFD" w14:textId="77777777" w:rsidR="00D12A45" w:rsidRPr="003E4580" w:rsidRDefault="00D12A45" w:rsidP="00E74785">
            <w:r w:rsidRPr="003E4580">
              <w:t>Option 1: no intervention</w:t>
            </w:r>
          </w:p>
        </w:tc>
        <w:tc>
          <w:tcPr>
            <w:tcW w:w="1667" w:type="pct"/>
          </w:tcPr>
          <w:p w14:paraId="107BB663" w14:textId="77777777" w:rsidR="00D12A45" w:rsidRPr="003E4580" w:rsidRDefault="00D12A45" w:rsidP="00E74785">
            <w:pPr>
              <w:jc w:val="center"/>
              <w:cnfStyle w:val="000000000000" w:firstRow="0" w:lastRow="0" w:firstColumn="0" w:lastColumn="0" w:oddVBand="0" w:evenVBand="0" w:oddHBand="0" w:evenHBand="0" w:firstRowFirstColumn="0" w:firstRowLastColumn="0" w:lastRowFirstColumn="0" w:lastRowLastColumn="0"/>
            </w:pPr>
            <w:r w:rsidRPr="003E4580">
              <w:t>-</w:t>
            </w:r>
          </w:p>
        </w:tc>
        <w:tc>
          <w:tcPr>
            <w:tcW w:w="833" w:type="pct"/>
          </w:tcPr>
          <w:p w14:paraId="7510AA96" w14:textId="77777777" w:rsidR="00D12A45" w:rsidRPr="003E4580" w:rsidRDefault="00D12A45" w:rsidP="00E74785">
            <w:pPr>
              <w:jc w:val="center"/>
              <w:cnfStyle w:val="000000000000" w:firstRow="0" w:lastRow="0" w:firstColumn="0" w:lastColumn="0" w:oddVBand="0" w:evenVBand="0" w:oddHBand="0" w:evenHBand="0" w:firstRowFirstColumn="0" w:firstRowLastColumn="0" w:lastRowFirstColumn="0" w:lastRowLastColumn="0"/>
            </w:pPr>
            <w:r w:rsidRPr="003E4580">
              <w:t>-</w:t>
            </w:r>
          </w:p>
        </w:tc>
        <w:tc>
          <w:tcPr>
            <w:tcW w:w="833" w:type="pct"/>
          </w:tcPr>
          <w:p w14:paraId="1B6D264B" w14:textId="77777777" w:rsidR="00D12A45" w:rsidRPr="003E4580" w:rsidRDefault="00D12A45" w:rsidP="00E74785">
            <w:pPr>
              <w:jc w:val="center"/>
              <w:cnfStyle w:val="000000000000" w:firstRow="0" w:lastRow="0" w:firstColumn="0" w:lastColumn="0" w:oddVBand="0" w:evenVBand="0" w:oddHBand="0" w:evenHBand="0" w:firstRowFirstColumn="0" w:firstRowLastColumn="0" w:lastRowFirstColumn="0" w:lastRowLastColumn="0"/>
            </w:pPr>
            <w:r w:rsidRPr="003E4580">
              <w:t>-</w:t>
            </w:r>
          </w:p>
        </w:tc>
      </w:tr>
      <w:tr w:rsidR="00D12A45" w:rsidRPr="003E4580" w14:paraId="28529157" w14:textId="77777777" w:rsidTr="00E7478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AF8F152" w14:textId="77777777" w:rsidR="00D12A45" w:rsidRPr="003E4580" w:rsidRDefault="00C12912" w:rsidP="00E74785">
            <w:r w:rsidRPr="003E4580">
              <w:t>Option 2</w:t>
            </w:r>
            <w:r w:rsidR="00D12A45" w:rsidRPr="003E4580">
              <w:t>: regulation</w:t>
            </w:r>
          </w:p>
        </w:tc>
        <w:tc>
          <w:tcPr>
            <w:tcW w:w="1667" w:type="pct"/>
          </w:tcPr>
          <w:p w14:paraId="3B4ECE73" w14:textId="59B7649F" w:rsidR="00D12A45" w:rsidRPr="003E4580" w:rsidRDefault="00415204" w:rsidP="00E74785">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6</w:t>
            </w:r>
            <w:r w:rsidR="005803C1" w:rsidRPr="003E4580">
              <w:rPr>
                <w:b w:val="0"/>
              </w:rPr>
              <w:t>2</w:t>
            </w:r>
          </w:p>
        </w:tc>
        <w:tc>
          <w:tcPr>
            <w:tcW w:w="833" w:type="pct"/>
          </w:tcPr>
          <w:p w14:paraId="5952EEC3" w14:textId="3AAB5947" w:rsidR="00D12A45" w:rsidRPr="003E4580" w:rsidRDefault="00415204" w:rsidP="00E74785">
            <w:pPr>
              <w:jc w:val="center"/>
              <w:cnfStyle w:val="010000000000" w:firstRow="0" w:lastRow="1" w:firstColumn="0" w:lastColumn="0" w:oddVBand="0" w:evenVBand="0" w:oddHBand="0" w:evenHBand="0" w:firstRowFirstColumn="0" w:firstRowLastColumn="0" w:lastRowFirstColumn="0" w:lastRowLastColumn="0"/>
            </w:pPr>
            <w:r w:rsidRPr="003E4580">
              <w:rPr>
                <w:b w:val="0"/>
              </w:rPr>
              <w:t>1,7</w:t>
            </w:r>
            <w:r w:rsidR="005803C1" w:rsidRPr="003E4580">
              <w:rPr>
                <w:b w:val="0"/>
              </w:rPr>
              <w:t>25</w:t>
            </w:r>
          </w:p>
        </w:tc>
        <w:tc>
          <w:tcPr>
            <w:tcW w:w="833" w:type="pct"/>
          </w:tcPr>
          <w:p w14:paraId="5D9E98A3" w14:textId="7C0153AC" w:rsidR="00D12A45" w:rsidRPr="003E4580" w:rsidRDefault="00415204" w:rsidP="00E74785">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5,3</w:t>
            </w:r>
            <w:r w:rsidR="005803C1" w:rsidRPr="003E4580">
              <w:rPr>
                <w:b w:val="0"/>
              </w:rPr>
              <w:t>70</w:t>
            </w:r>
          </w:p>
        </w:tc>
      </w:tr>
    </w:tbl>
    <w:p w14:paraId="1778AB48" w14:textId="77777777" w:rsidR="002B490F" w:rsidRPr="003E4580" w:rsidRDefault="002B490F" w:rsidP="001D105A">
      <w:pPr>
        <w:pStyle w:val="Heading2"/>
        <w:sectPr w:rsidR="002B490F" w:rsidRPr="003E4580" w:rsidSect="002B490F">
          <w:headerReference w:type="default" r:id="rId26"/>
          <w:headerReference w:type="first" r:id="rId27"/>
          <w:pgSz w:w="11906" w:h="16838" w:code="9"/>
          <w:pgMar w:top="1021" w:right="1021" w:bottom="1021" w:left="1021" w:header="510" w:footer="567" w:gutter="0"/>
          <w:cols w:space="708"/>
          <w:docGrid w:linePitch="360"/>
        </w:sectPr>
      </w:pPr>
    </w:p>
    <w:p w14:paraId="5F4F9CA1" w14:textId="036010FF" w:rsidR="001D105A" w:rsidRPr="003E4580" w:rsidRDefault="001D105A" w:rsidP="001D105A">
      <w:pPr>
        <w:pStyle w:val="Heading2"/>
      </w:pPr>
      <w:bookmarkStart w:id="7" w:name="_Toc146894846"/>
      <w:r w:rsidRPr="003E4580">
        <w:lastRenderedPageBreak/>
        <w:t>Public Comment</w:t>
      </w:r>
      <w:bookmarkEnd w:id="7"/>
    </w:p>
    <w:p w14:paraId="4D009F7F" w14:textId="66B7052B" w:rsidR="001E3A02" w:rsidRPr="003E4580" w:rsidRDefault="001D105A" w:rsidP="001D105A">
      <w:r w:rsidRPr="003E4580">
        <w:t xml:space="preserve">A consultation version of this </w:t>
      </w:r>
      <w:r w:rsidR="00C372F0" w:rsidRPr="003E4580">
        <w:t>IA</w:t>
      </w:r>
      <w:r w:rsidRPr="003E4580">
        <w:t xml:space="preserve"> was circulated for an eight week public comment period, which closed on 3 June 2022. A summary of the feedback and department responses is included at Appendix </w:t>
      </w:r>
      <w:r w:rsidR="00D91575" w:rsidRPr="003E4580">
        <w:t>I</w:t>
      </w:r>
      <w:r w:rsidRPr="003E4580">
        <w:t xml:space="preserve">. </w:t>
      </w:r>
    </w:p>
    <w:p w14:paraId="5E0C7CDC" w14:textId="77777777" w:rsidR="00C176D0" w:rsidRPr="003E4580" w:rsidRDefault="001D105A" w:rsidP="001D105A">
      <w:r w:rsidRPr="003E4580">
        <w:t xml:space="preserve">The implementation timeframe proposed for consultative purposes was 1 </w:t>
      </w:r>
      <w:r w:rsidR="00C176D0" w:rsidRPr="003E4580">
        <w:t>November</w:t>
      </w:r>
      <w:r w:rsidRPr="003E4580">
        <w:t xml:space="preserve"> 202</w:t>
      </w:r>
      <w:r w:rsidR="00C176D0" w:rsidRPr="003E4580">
        <w:t>4</w:t>
      </w:r>
      <w:r w:rsidRPr="003E4580">
        <w:t xml:space="preserve"> for new vehicle models and 1 </w:t>
      </w:r>
      <w:r w:rsidR="00C176D0" w:rsidRPr="003E4580">
        <w:t>November</w:t>
      </w:r>
      <w:r w:rsidRPr="003E4580">
        <w:t xml:space="preserve"> 202</w:t>
      </w:r>
      <w:r w:rsidR="00C176D0" w:rsidRPr="003E4580">
        <w:t>6</w:t>
      </w:r>
      <w:r w:rsidRPr="003E4580">
        <w:t xml:space="preserve"> for all new vehicles (for both heavy vehicles of ADR category M and N). </w:t>
      </w:r>
    </w:p>
    <w:p w14:paraId="019E25F7" w14:textId="5AA7682D" w:rsidR="001D105A" w:rsidRPr="003E4580" w:rsidRDefault="001D105A" w:rsidP="001D105A">
      <w:r w:rsidRPr="003E4580">
        <w:t xml:space="preserve">During the consultation period, feedback was received from members of the public, state government agencies, industry, </w:t>
      </w:r>
      <w:r w:rsidR="00C176D0" w:rsidRPr="003E4580">
        <w:t xml:space="preserve">road user organisations </w:t>
      </w:r>
      <w:r w:rsidRPr="003E4580">
        <w:t xml:space="preserve">and technology development companies. </w:t>
      </w:r>
      <w:r w:rsidR="007D26E5" w:rsidRPr="003E4580">
        <w:t xml:space="preserve">Eight submissions were received for the </w:t>
      </w:r>
      <w:r w:rsidR="00C372F0" w:rsidRPr="003E4580">
        <w:t>IA released for consultative purposes</w:t>
      </w:r>
      <w:r w:rsidR="007D26E5" w:rsidRPr="003E4580">
        <w:t xml:space="preserve"> with seven submissions supporting Option 2 to mandate LDWS for heavy vehicles. One confidential submission </w:t>
      </w:r>
      <w:r w:rsidR="00C372F0" w:rsidRPr="003E4580">
        <w:t>preferred</w:t>
      </w:r>
      <w:r w:rsidR="007D26E5" w:rsidRPr="003E4580">
        <w:t xml:space="preserve"> Option 1 however in their detailed submission requested for two years lead time if an ADR is mandated.</w:t>
      </w:r>
    </w:p>
    <w:p w14:paraId="6523947A" w14:textId="25EF102C" w:rsidR="001464DC" w:rsidRPr="003E4580" w:rsidRDefault="00680F0E" w:rsidP="001D105A">
      <w:r w:rsidRPr="003E4580">
        <w:t>In their written submission, t</w:t>
      </w:r>
      <w:r w:rsidR="004E0886" w:rsidRPr="003E4580">
        <w:t xml:space="preserve">he Truck Industry Council (TIC) </w:t>
      </w:r>
      <w:r w:rsidR="00D02318" w:rsidRPr="003E4580">
        <w:t>recommended</w:t>
      </w:r>
      <w:r w:rsidR="0062796E" w:rsidRPr="003E4580">
        <w:t xml:space="preserve"> extended</w:t>
      </w:r>
      <w:r w:rsidR="004E0886" w:rsidRPr="003E4580">
        <w:t xml:space="preserve"> </w:t>
      </w:r>
      <w:r w:rsidR="00106732" w:rsidRPr="003E4580">
        <w:t xml:space="preserve">implementation </w:t>
      </w:r>
      <w:r w:rsidR="004E0886" w:rsidRPr="003E4580">
        <w:t xml:space="preserve">dates </w:t>
      </w:r>
      <w:r w:rsidR="00EB2A37" w:rsidRPr="003E4580">
        <w:t>as follows:</w:t>
      </w:r>
    </w:p>
    <w:p w14:paraId="1A595B24" w14:textId="77777777" w:rsidR="001464DC" w:rsidRPr="003E4580" w:rsidRDefault="001464DC" w:rsidP="001464DC">
      <w:r w:rsidRPr="003E4580">
        <w:t>•</w:t>
      </w:r>
      <w:r w:rsidRPr="003E4580">
        <w:tab/>
        <w:t>1 November 2024 for new model vehicles; and</w:t>
      </w:r>
    </w:p>
    <w:p w14:paraId="2F3FC00A" w14:textId="355C06D9" w:rsidR="00A472E1" w:rsidRPr="003E4580" w:rsidRDefault="001464DC" w:rsidP="001D105A">
      <w:r w:rsidRPr="003E4580">
        <w:t>•</w:t>
      </w:r>
      <w:r w:rsidRPr="003E4580">
        <w:tab/>
        <w:t>1 February 2027 for all vehicles.</w:t>
      </w:r>
    </w:p>
    <w:p w14:paraId="631F4D3C" w14:textId="7AAFF2C2" w:rsidR="00C176D0" w:rsidRPr="003E4580" w:rsidRDefault="004E0886" w:rsidP="001D105A">
      <w:r w:rsidRPr="003E4580">
        <w:t>Road user group</w:t>
      </w:r>
      <w:r w:rsidR="00B80724" w:rsidRPr="003E4580">
        <w:t>s</w:t>
      </w:r>
      <w:r w:rsidRPr="003E4580">
        <w:t xml:space="preserve"> and </w:t>
      </w:r>
      <w:r w:rsidR="00B80724" w:rsidRPr="003E4580">
        <w:t>state and territory</w:t>
      </w:r>
      <w:r w:rsidRPr="003E4580">
        <w:t xml:space="preserve"> government submissions supported earlier implementation dates than what was proposed during the consultation period.</w:t>
      </w:r>
      <w:r w:rsidR="00D02318" w:rsidRPr="003E4580">
        <w:t xml:space="preserve"> In a post-consultation meeting with TIC to discuss their detailed submission the Department was informed the benefits derived in the </w:t>
      </w:r>
      <w:r w:rsidR="00C372F0" w:rsidRPr="003E4580">
        <w:t xml:space="preserve">IA released for consultative purposes was marginally </w:t>
      </w:r>
      <w:r w:rsidR="00D02318" w:rsidRPr="003E4580">
        <w:t>overstated.</w:t>
      </w:r>
      <w:r w:rsidR="00E1558F" w:rsidRPr="003E4580">
        <w:t xml:space="preserve"> TIC recommended adjusting the effectiveness of LDWS due to the lack of compliant road markings in</w:t>
      </w:r>
      <w:r w:rsidR="00C372F0" w:rsidRPr="003E4580">
        <w:t xml:space="preserve"> road</w:t>
      </w:r>
      <w:r w:rsidR="00E1558F" w:rsidRPr="003E4580">
        <w:t>s</w:t>
      </w:r>
      <w:r w:rsidR="00C372F0" w:rsidRPr="003E4580">
        <w:t xml:space="preserve"> in regional Australia</w:t>
      </w:r>
      <w:r w:rsidR="00E1558F" w:rsidRPr="003E4580">
        <w:t xml:space="preserve">. </w:t>
      </w:r>
      <w:r w:rsidR="00D02318" w:rsidRPr="003E4580">
        <w:t>The effect of TIC’s recommend</w:t>
      </w:r>
      <w:r w:rsidR="006170E6" w:rsidRPr="003E4580">
        <w:t>ations (</w:t>
      </w:r>
      <w:r w:rsidR="00D02318" w:rsidRPr="003E4580">
        <w:t>implementation timing</w:t>
      </w:r>
      <w:r w:rsidR="00E1558F" w:rsidRPr="003E4580">
        <w:t xml:space="preserve"> and varying</w:t>
      </w:r>
      <w:r w:rsidR="00B80724" w:rsidRPr="003E4580">
        <w:t xml:space="preserve"> the</w:t>
      </w:r>
      <w:r w:rsidR="00E1558F" w:rsidRPr="003E4580">
        <w:t xml:space="preserve"> effectiveness</w:t>
      </w:r>
      <w:r w:rsidR="006170E6" w:rsidRPr="003E4580">
        <w:t>)</w:t>
      </w:r>
      <w:r w:rsidR="00D02318" w:rsidRPr="003E4580">
        <w:t xml:space="preserve"> </w:t>
      </w:r>
      <w:r w:rsidR="00C372F0" w:rsidRPr="003E4580">
        <w:t>o</w:t>
      </w:r>
      <w:r w:rsidR="006170E6" w:rsidRPr="003E4580">
        <w:t>n</w:t>
      </w:r>
      <w:r w:rsidR="00D02318" w:rsidRPr="003E4580">
        <w:t xml:space="preserve"> </w:t>
      </w:r>
      <w:r w:rsidR="006170E6" w:rsidRPr="003E4580">
        <w:t xml:space="preserve">the </w:t>
      </w:r>
      <w:r w:rsidR="00D02318" w:rsidRPr="003E4580">
        <w:t xml:space="preserve">benefits and costs was examined in </w:t>
      </w:r>
      <w:r w:rsidR="00B80724" w:rsidRPr="003E4580">
        <w:t xml:space="preserve">a </w:t>
      </w:r>
      <w:r w:rsidR="00D02318" w:rsidRPr="003E4580">
        <w:t xml:space="preserve">post consultation sensitivity analysis, which also showed substantial benefits. </w:t>
      </w:r>
      <w:r w:rsidR="0062796E" w:rsidRPr="003E4580">
        <w:t xml:space="preserve">TIC </w:t>
      </w:r>
      <w:r w:rsidR="00D02318" w:rsidRPr="003E4580">
        <w:t>recommended</w:t>
      </w:r>
      <w:r w:rsidR="0062796E" w:rsidRPr="003E4580">
        <w:t xml:space="preserve"> including Australian specific road markings in the Appendix to ADR 99/0</w:t>
      </w:r>
      <w:r w:rsidR="00AC46AD" w:rsidRPr="003E4580">
        <w:t>1</w:t>
      </w:r>
      <w:r w:rsidR="0062796E" w:rsidRPr="003E4580">
        <w:t xml:space="preserve"> – Lane Departure Warning Systems</w:t>
      </w:r>
      <w:r w:rsidR="00D02318" w:rsidRPr="003E4580">
        <w:t>. T</w:t>
      </w:r>
      <w:r w:rsidR="006170E6" w:rsidRPr="003E4580">
        <w:t>hey stated t</w:t>
      </w:r>
      <w:r w:rsidR="00D02318" w:rsidRPr="003E4580">
        <w:t>his would</w:t>
      </w:r>
      <w:r w:rsidR="0062796E" w:rsidRPr="003E4580">
        <w:t xml:space="preserve"> facilitate local testing of heavy vehicles manufactured in Australia</w:t>
      </w:r>
      <w:r w:rsidR="00D02318" w:rsidRPr="003E4580">
        <w:t xml:space="preserve"> as well as encourage state and territory governments to adhere to uniform requirement</w:t>
      </w:r>
      <w:r w:rsidR="006170E6" w:rsidRPr="003E4580">
        <w:t>s</w:t>
      </w:r>
      <w:r w:rsidR="00D02318" w:rsidRPr="003E4580">
        <w:t xml:space="preserve"> </w:t>
      </w:r>
      <w:r w:rsidR="006170E6" w:rsidRPr="003E4580">
        <w:t>for</w:t>
      </w:r>
      <w:r w:rsidR="00D02318" w:rsidRPr="003E4580">
        <w:t xml:space="preserve"> lane </w:t>
      </w:r>
      <w:r w:rsidR="00576BCB" w:rsidRPr="003E4580">
        <w:t>markings</w:t>
      </w:r>
      <w:r w:rsidR="0062796E" w:rsidRPr="003E4580">
        <w:t xml:space="preserve">. </w:t>
      </w:r>
    </w:p>
    <w:p w14:paraId="59AB4A0F" w14:textId="595CFD16" w:rsidR="00D91575" w:rsidRPr="003E4580" w:rsidRDefault="00D91575" w:rsidP="00D91575">
      <w:r w:rsidRPr="003E4580">
        <w:t>The effect of this suggested</w:t>
      </w:r>
      <w:r w:rsidR="00F56A4A" w:rsidRPr="003E4580">
        <w:t xml:space="preserve"> delayed</w:t>
      </w:r>
      <w:r w:rsidRPr="003E4580">
        <w:t xml:space="preserve"> timing </w:t>
      </w:r>
      <w:r w:rsidR="00F56A4A" w:rsidRPr="003E4580">
        <w:t xml:space="preserve">and varied effectiveness </w:t>
      </w:r>
      <w:r w:rsidRPr="003E4580">
        <w:t xml:space="preserve">by industry </w:t>
      </w:r>
      <w:r w:rsidR="006170E6" w:rsidRPr="003E4580">
        <w:t xml:space="preserve">on the derived </w:t>
      </w:r>
      <w:r w:rsidRPr="003E4580">
        <w:t xml:space="preserve">benefits, costs and lives saved was examined in a post consultation analysis, which also showed substantial positive benefits in comparison with the </w:t>
      </w:r>
      <w:r w:rsidR="006170E6" w:rsidRPr="003E4580">
        <w:t xml:space="preserve">IA released for consultative purposes </w:t>
      </w:r>
      <w:r w:rsidRPr="003E4580">
        <w:t xml:space="preserve">in </w:t>
      </w:r>
      <w:r w:rsidR="005803C1" w:rsidRPr="003E4580">
        <w:t>April</w:t>
      </w:r>
      <w:r w:rsidRPr="003E4580">
        <w:t xml:space="preserve"> 202</w:t>
      </w:r>
      <w:r w:rsidR="00F56A4A" w:rsidRPr="003E4580">
        <w:t>2</w:t>
      </w:r>
      <w:r w:rsidRPr="003E4580">
        <w:t xml:space="preserve">. </w:t>
      </w:r>
      <w:r w:rsidR="005803C1" w:rsidRPr="003E4580">
        <w:t>LDWS f</w:t>
      </w:r>
      <w:r w:rsidRPr="003E4580">
        <w:t>itment</w:t>
      </w:r>
      <w:r w:rsidR="005803C1" w:rsidRPr="003E4580">
        <w:t xml:space="preserve"> </w:t>
      </w:r>
      <w:r w:rsidRPr="003E4580">
        <w:t>costs</w:t>
      </w:r>
      <w:r w:rsidR="005803C1" w:rsidRPr="003E4580">
        <w:t>, testing and development costs</w:t>
      </w:r>
      <w:r w:rsidRPr="003E4580">
        <w:t xml:space="preserve"> for </w:t>
      </w:r>
      <w:r w:rsidR="00F56A4A" w:rsidRPr="003E4580">
        <w:t>LDWS</w:t>
      </w:r>
      <w:r w:rsidRPr="003E4580">
        <w:t xml:space="preserve"> systems were </w:t>
      </w:r>
      <w:r w:rsidR="005803C1" w:rsidRPr="003E4580">
        <w:t>increased</w:t>
      </w:r>
      <w:r w:rsidRPr="003E4580">
        <w:t xml:space="preserve"> in the benefit-cost analyses to accommodate </w:t>
      </w:r>
      <w:r w:rsidR="00F56A4A" w:rsidRPr="003E4580">
        <w:t>LDWS</w:t>
      </w:r>
      <w:r w:rsidRPr="003E4580">
        <w:t xml:space="preserve"> system</w:t>
      </w:r>
      <w:r w:rsidR="00F56A4A" w:rsidRPr="003E4580">
        <w:t xml:space="preserve"> development and testing for models destined </w:t>
      </w:r>
      <w:r w:rsidR="00CE3541" w:rsidRPr="003E4580">
        <w:t xml:space="preserve">for </w:t>
      </w:r>
      <w:r w:rsidR="00F56A4A" w:rsidRPr="003E4580">
        <w:t>the Australian market</w:t>
      </w:r>
      <w:r w:rsidRPr="003E4580">
        <w:t xml:space="preserve">. There was a reduction in the trauma savings (7 less major injuries prevented and </w:t>
      </w:r>
      <w:r w:rsidR="005803C1" w:rsidRPr="003E4580">
        <w:t>18</w:t>
      </w:r>
      <w:r w:rsidRPr="003E4580">
        <w:t xml:space="preserve"> less minor injuries prevented)</w:t>
      </w:r>
      <w:r w:rsidR="005803C1" w:rsidRPr="003E4580">
        <w:t>.</w:t>
      </w:r>
      <w:r w:rsidRPr="003E4580">
        <w:t xml:space="preserve"> The new timing provides for continuity of supply to the Australian market and certainty for business</w:t>
      </w:r>
      <w:r w:rsidR="002B490F" w:rsidRPr="003E4580">
        <w:t>es</w:t>
      </w:r>
      <w:r w:rsidRPr="003E4580">
        <w:t>.</w:t>
      </w:r>
    </w:p>
    <w:p w14:paraId="3EADBDA6" w14:textId="00BCA412" w:rsidR="00D91575" w:rsidRPr="003E4580" w:rsidRDefault="00D91575" w:rsidP="00D91575">
      <w:pPr>
        <w:pStyle w:val="Heading2"/>
      </w:pPr>
      <w:bookmarkStart w:id="8" w:name="_Toc146894847"/>
      <w:r w:rsidRPr="003E4580">
        <w:t>Recommended Option</w:t>
      </w:r>
      <w:bookmarkEnd w:id="8"/>
    </w:p>
    <w:p w14:paraId="66881FAA" w14:textId="6ACF7594" w:rsidR="00D91575" w:rsidRPr="003E4580" w:rsidRDefault="00D91575" w:rsidP="001464DC">
      <w:r w:rsidRPr="003E4580">
        <w:t xml:space="preserve">In line with the </w:t>
      </w:r>
      <w:r w:rsidRPr="003E4580">
        <w:rPr>
          <w:i/>
        </w:rPr>
        <w:t>Australian Government Guide to Regulatory Impact Analysis (</w:t>
      </w:r>
      <w:r w:rsidR="002E1A82" w:rsidRPr="003E4580">
        <w:rPr>
          <w:i/>
        </w:rPr>
        <w:t>S</w:t>
      </w:r>
      <w:r w:rsidRPr="003E4580">
        <w:rPr>
          <w:i/>
        </w:rPr>
        <w:t>econd edition</w:t>
      </w:r>
      <w:r w:rsidR="002E1A82" w:rsidRPr="003E4580">
        <w:rPr>
          <w:i/>
        </w:rPr>
        <w:t xml:space="preserve"> </w:t>
      </w:r>
      <w:r w:rsidRPr="003E4580">
        <w:rPr>
          <w:i/>
        </w:rPr>
        <w:t>2020)</w:t>
      </w:r>
      <w:r w:rsidRPr="003E4580">
        <w:t xml:space="preserve">, the policy option offering the greatest net benefit should always be the recommended option. Therefore, Option 2: regulation is the recommended option. Under this option, fitment of LDWS would be mandated for all new heavy goods vehicles greater than 3.5 tonnes Gross Vehicle Mass (GVM) and all omnibuses. The proposed Australian vehicle categories are those covered by UN Regulation No.130 – equivalent ADR subcategories NB1, NB2, NC, MD and ME (Goods Vehicles and Omnibuses). </w:t>
      </w:r>
      <w:r w:rsidR="001464DC" w:rsidRPr="003E4580">
        <w:t>The final implementation dates will be determined as part of the ADR by the Government</w:t>
      </w:r>
      <w:r w:rsidR="002E1A82" w:rsidRPr="003E4580">
        <w:t xml:space="preserve"> in consultation with industry</w:t>
      </w:r>
      <w:r w:rsidR="001464DC" w:rsidRPr="003E4580">
        <w:t>.</w:t>
      </w:r>
    </w:p>
    <w:p w14:paraId="12F0B330" w14:textId="5F4C25F3" w:rsidR="002B490F" w:rsidRPr="003E4580" w:rsidRDefault="002B490F" w:rsidP="001464DC"/>
    <w:p w14:paraId="0758BD70" w14:textId="77777777" w:rsidR="00680F0E" w:rsidRPr="003E4580" w:rsidRDefault="00680F0E" w:rsidP="001464DC"/>
    <w:p w14:paraId="029E6E35" w14:textId="5F7B903A" w:rsidR="00CD56AB" w:rsidRPr="003E4580" w:rsidRDefault="00CD56AB" w:rsidP="004725A9">
      <w:pPr>
        <w:pStyle w:val="Heading2"/>
      </w:pPr>
      <w:bookmarkStart w:id="9" w:name="_Toc146894848"/>
      <w:r w:rsidRPr="003E4580">
        <w:lastRenderedPageBreak/>
        <w:t xml:space="preserve">The </w:t>
      </w:r>
      <w:r w:rsidR="0036117E" w:rsidRPr="003E4580">
        <w:t>IA</w:t>
      </w:r>
      <w:r w:rsidRPr="003E4580">
        <w:t xml:space="preserve"> Process</w:t>
      </w:r>
      <w:bookmarkEnd w:id="9"/>
    </w:p>
    <w:p w14:paraId="12F69231" w14:textId="4D7AFDE2" w:rsidR="00CD56AB" w:rsidRPr="003E4580" w:rsidRDefault="00CD56AB" w:rsidP="006F6683">
      <w:r w:rsidRPr="003E4580">
        <w:t xml:space="preserve">This </w:t>
      </w:r>
      <w:r w:rsidR="002E1A82" w:rsidRPr="003E4580">
        <w:t>IA</w:t>
      </w:r>
      <w:r w:rsidRPr="003E4580">
        <w:t xml:space="preserve"> has been written in accordance with Australian Government requirements, addressing the seven assessment questions set out in the</w:t>
      </w:r>
      <w:r w:rsidR="007B310D" w:rsidRPr="003E4580">
        <w:t xml:space="preserve"> </w:t>
      </w:r>
      <w:r w:rsidR="007B310D" w:rsidRPr="003E4580">
        <w:rPr>
          <w:i/>
        </w:rPr>
        <w:t>Australian Government Guide to Regulatory Impact Analysis</w:t>
      </w:r>
      <w:r w:rsidR="001B7E3F" w:rsidRPr="003E4580">
        <w:rPr>
          <w:i/>
        </w:rPr>
        <w:t xml:space="preserve"> </w:t>
      </w:r>
      <w:r w:rsidR="004B1FA1" w:rsidRPr="003E4580">
        <w:rPr>
          <w:i/>
        </w:rPr>
        <w:t>(</w:t>
      </w:r>
      <w:r w:rsidR="001B7E3F" w:rsidRPr="003E4580">
        <w:rPr>
          <w:i/>
        </w:rPr>
        <w:t>Second edition 2020)</w:t>
      </w:r>
      <w:r w:rsidRPr="003E4580">
        <w:t>:</w:t>
      </w:r>
    </w:p>
    <w:p w14:paraId="1853185B" w14:textId="77777777" w:rsidR="00CD56AB" w:rsidRPr="003E4580" w:rsidRDefault="00CD56AB" w:rsidP="006F6683">
      <w:r w:rsidRPr="003E4580">
        <w:t>1. What is the problem you are trying to solve?</w:t>
      </w:r>
    </w:p>
    <w:p w14:paraId="46DA082A" w14:textId="77777777" w:rsidR="00CD56AB" w:rsidRPr="003E4580" w:rsidRDefault="00CD56AB" w:rsidP="006F6683">
      <w:r w:rsidRPr="003E4580">
        <w:t>2. Why is government action needed?</w:t>
      </w:r>
    </w:p>
    <w:p w14:paraId="35781A6F" w14:textId="77777777" w:rsidR="00CD56AB" w:rsidRPr="003E4580" w:rsidRDefault="00CD56AB" w:rsidP="006F6683">
      <w:r w:rsidRPr="003E4580">
        <w:t>3. What policy options are you considering?</w:t>
      </w:r>
    </w:p>
    <w:p w14:paraId="5B9AF2BC" w14:textId="77777777" w:rsidR="00CD56AB" w:rsidRPr="003E4580" w:rsidRDefault="00CD56AB" w:rsidP="006F6683">
      <w:r w:rsidRPr="003E4580">
        <w:t>4. What is the likely net benefit of each option?</w:t>
      </w:r>
    </w:p>
    <w:p w14:paraId="625EEB0A" w14:textId="77777777" w:rsidR="00CD56AB" w:rsidRPr="003E4580" w:rsidRDefault="00CD56AB" w:rsidP="006F6683">
      <w:r w:rsidRPr="003E4580">
        <w:t>5. Who will you consult about these options and how will you consult them?</w:t>
      </w:r>
    </w:p>
    <w:p w14:paraId="6E6BC92E" w14:textId="77777777" w:rsidR="00CD56AB" w:rsidRPr="003E4580" w:rsidRDefault="00CD56AB" w:rsidP="006F6683">
      <w:r w:rsidRPr="003E4580">
        <w:t>6. What is the best option from those you have considered?</w:t>
      </w:r>
    </w:p>
    <w:p w14:paraId="3811CECA" w14:textId="77777777" w:rsidR="00CD56AB" w:rsidRPr="003E4580" w:rsidRDefault="00CD56AB" w:rsidP="006F6683">
      <w:r w:rsidRPr="003E4580">
        <w:t>7. How will you implement and evaluate your chosen option?</w:t>
      </w:r>
    </w:p>
    <w:p w14:paraId="1E36F693" w14:textId="77777777" w:rsidR="00821111" w:rsidRPr="003E4580" w:rsidRDefault="00CD56AB" w:rsidP="006F6683">
      <w:pPr>
        <w:sectPr w:rsidR="00821111" w:rsidRPr="003E4580" w:rsidSect="002B490F">
          <w:pgSz w:w="11906" w:h="16838" w:code="9"/>
          <w:pgMar w:top="1021" w:right="1021" w:bottom="1021" w:left="1021" w:header="510" w:footer="567" w:gutter="0"/>
          <w:cols w:space="708"/>
          <w:docGrid w:linePitch="360"/>
        </w:sectPr>
      </w:pPr>
      <w:r w:rsidRPr="003E4580">
        <w:t>In line with the principles for Australian Government policy makers, the regulatory costs imposed on business, the community and individuals associated with each viable option were quantified and it is anticipated that regulatory savings from further alignment of the ADRs with international standards will offset the additional costs of implementing the recommended option.</w:t>
      </w:r>
    </w:p>
    <w:p w14:paraId="3D9E1B0D" w14:textId="77777777" w:rsidR="00821111" w:rsidRPr="003E4580" w:rsidRDefault="00562B18" w:rsidP="00562B18">
      <w:pPr>
        <w:pStyle w:val="Heading1"/>
      </w:pPr>
      <w:bookmarkStart w:id="10" w:name="_Toc146894849"/>
      <w:r w:rsidRPr="003E4580">
        <w:lastRenderedPageBreak/>
        <w:t xml:space="preserve">Chapter 1: </w:t>
      </w:r>
      <w:r w:rsidR="00821111" w:rsidRPr="003E4580">
        <w:t>Wha</w:t>
      </w:r>
      <w:r w:rsidRPr="003E4580">
        <w:t>t is the problem?</w:t>
      </w:r>
      <w:bookmarkEnd w:id="10"/>
    </w:p>
    <w:p w14:paraId="75809DA8" w14:textId="77777777" w:rsidR="00AF3413" w:rsidRPr="003E4580" w:rsidRDefault="00AF3413" w:rsidP="005F794B">
      <w:pPr>
        <w:pStyle w:val="Heading2"/>
      </w:pPr>
      <w:bookmarkStart w:id="11" w:name="_Toc146894850"/>
      <w:r w:rsidRPr="003E4580">
        <w:t xml:space="preserve">The </w:t>
      </w:r>
      <w:r w:rsidR="00E63590" w:rsidRPr="003E4580">
        <w:t>impact</w:t>
      </w:r>
      <w:r w:rsidRPr="003E4580">
        <w:t xml:space="preserve"> of road trauma in Australia</w:t>
      </w:r>
      <w:bookmarkEnd w:id="11"/>
    </w:p>
    <w:p w14:paraId="622D315D" w14:textId="3A001D09" w:rsidR="00257E8E" w:rsidRPr="003E4580" w:rsidRDefault="00257E8E" w:rsidP="00AF3413">
      <w:r w:rsidRPr="003E4580">
        <w:t>The impact of road crashes on society is significant. Individuals injured in crashes must deal with pain and suffering, medical costs, lost income, higher insurance premium rates and vehicle repair costs. For society as a whole, road crashes result in enormous costs in terms of lost productivity and property damage. The</w:t>
      </w:r>
      <w:r w:rsidR="001148D3" w:rsidRPr="003E4580">
        <w:t xml:space="preserve"> cost to the Australian economy is approximately $30 billion per year (</w:t>
      </w:r>
      <w:r w:rsidR="00C5678B" w:rsidRPr="003E4580">
        <w:t>DITRDC</w:t>
      </w:r>
      <w:r w:rsidR="001148D3" w:rsidRPr="003E4580">
        <w:t>, 2021). This equates to around 1,200 people fatalities each year on our roads, and almost 40,000 serious injuries (</w:t>
      </w:r>
      <w:r w:rsidR="00C5678B" w:rsidRPr="003E4580">
        <w:t>DITRD</w:t>
      </w:r>
      <w:r w:rsidR="007B46DF" w:rsidRPr="003E4580">
        <w:t>C</w:t>
      </w:r>
      <w:r w:rsidR="001148D3" w:rsidRPr="003E4580">
        <w:t xml:space="preserve">, 2021) with an approximate cost of $80 million per day to the Australian economy. </w:t>
      </w:r>
      <w:r w:rsidRPr="003E4580">
        <w:t>There is also a personal cost for those affected that is not possible to measure. Road trauma from heavy vehicle crashes costs Australia approximately $1.5 billion each year. This cost is broadly borne by the general public, businesses and government.</w:t>
      </w:r>
    </w:p>
    <w:p w14:paraId="7ACB9606" w14:textId="3166B66A" w:rsidR="00E940FA" w:rsidRPr="003E4580" w:rsidRDefault="00E940FA" w:rsidP="00E940FA">
      <w:r w:rsidRPr="003E4580">
        <w:t>Heavy vehicles represent almost four per cent of all registered vehicles in Australia (ABS, 2020a) and account for just under nine per cent of total vehicle kilometres travelled (VKT) on public roads (ABS, 2020b).  However, they are involved in almost 16 per cent of all fatal crashes (BITRE, 2021a). While heavy vehicle crashes are lower relative to other road users, these crashes are more likely to result in a death or serious injury and contribute to disproportionate harm to other road users. Over the three years ending March 2021, an average of 186 people were killed annually in 166 crashes involving heavy trucks or buses (BITRE, 2021b). The most recent available data (2018) shows that 1,877 people were hospitalised from road crashes involving heavy trucks or buses (BITRE, 2020). Approximately 500 heavy vehicle occupants are hospitalised from road crashes annually. Of these, approximately 30 per cent are categorised with high-threat-to-life injuries (</w:t>
      </w:r>
      <w:r w:rsidR="007B46DF" w:rsidRPr="003E4580">
        <w:t>DITRDC</w:t>
      </w:r>
      <w:r w:rsidRPr="003E4580">
        <w:t>, 2021). For these reasons, heavy vehicle crashes continue to draw attention from policy makers, road safety advocates, the general</w:t>
      </w:r>
      <w:r w:rsidR="008742A6" w:rsidRPr="003E4580">
        <w:t xml:space="preserve"> </w:t>
      </w:r>
      <w:r w:rsidRPr="003E4580">
        <w:t>public and the heavy vehicle industry itself. Alongside this, our road freight task is increasing across major cities to support the demands of continuous economic and population growth. The most recent data indicates articulated trucks and rigid trucks travelled 78,300km and 21,200km on average in the last year in comparison with 11,000km travelled on average by passenger vehicles (ABS, 2020b). This increase in economic activity however, should not result in greater trauma if the elements of our road transport system are inherently safe.</w:t>
      </w:r>
    </w:p>
    <w:p w14:paraId="6F474AD4" w14:textId="035C42C5" w:rsidR="00152595" w:rsidRPr="003E4580" w:rsidRDefault="00922FBF" w:rsidP="00AF3413">
      <w:r w:rsidRPr="003E4580">
        <w:t xml:space="preserve">The Australian </w:t>
      </w:r>
      <w:r w:rsidR="00F24B8E" w:rsidRPr="003E4580">
        <w:t xml:space="preserve">total </w:t>
      </w:r>
      <w:r w:rsidRPr="003E4580">
        <w:t xml:space="preserve">freight task (road, rail, sea and air) has grown more than four-fold over the four-and-a-half decades to 2016, from around 127 billion tonne kilometres in 1971 to over 725 billion tonne kilometres in 2015–16—an average rate of growth of over 3.9 per cent per annum. </w:t>
      </w:r>
      <w:r w:rsidR="00D83318" w:rsidRPr="003E4580">
        <w:t>Figure 1 shows that o</w:t>
      </w:r>
      <w:r w:rsidRPr="003E4580">
        <w:t>ver that period road freight has increased eight-fold, from around 26 billion tonne kilometres in 1970–71 to around 203 billion tonne kilometres in 2015–16</w:t>
      </w:r>
      <w:r w:rsidR="00152595" w:rsidRPr="003E4580">
        <w:t>.</w:t>
      </w:r>
      <w:r w:rsidRPr="003E4580">
        <w:t xml:space="preserve"> </w:t>
      </w:r>
      <w:r w:rsidR="00152595" w:rsidRPr="003E4580">
        <w:t>Road freight volumes are projected to grow by around 56 per cent between 2018 and 2040 (central estimate) to around 337 billion tonne kilometres by 2040—average annual growth of 2 per cent per annum (BITRE, 2019</w:t>
      </w:r>
      <w:r w:rsidR="00BB4565" w:rsidRPr="003E4580">
        <w:t>a</w:t>
      </w:r>
      <w:r w:rsidR="00152595" w:rsidRPr="003E4580">
        <w:t>).</w:t>
      </w:r>
      <w:r w:rsidR="00496BF4" w:rsidRPr="003E4580">
        <w:t xml:space="preserve"> At the same time, the higher rates of crashes involving heavy vehicles has drawn increasing attention from policy makers, road safety advocates and the general</w:t>
      </w:r>
      <w:r w:rsidR="008742A6" w:rsidRPr="003E4580">
        <w:t xml:space="preserve"> </w:t>
      </w:r>
      <w:r w:rsidR="00496BF4" w:rsidRPr="003E4580">
        <w:t>public, as well as from the heavy vehicle industry itself.</w:t>
      </w:r>
    </w:p>
    <w:p w14:paraId="1D0EA187" w14:textId="636AC324" w:rsidR="00AF74B6" w:rsidRPr="003E4580" w:rsidRDefault="005F1F37" w:rsidP="00AF74B6">
      <w:pPr>
        <w:keepNext/>
        <w:jc w:val="center"/>
      </w:pPr>
      <w:r>
        <w:rPr>
          <w:noProof/>
          <w:lang w:eastAsia="en-AU"/>
        </w:rPr>
        <w:drawing>
          <wp:inline distT="0" distB="0" distL="0" distR="0" wp14:anchorId="17F5B5FA" wp14:editId="665B6CD8">
            <wp:extent cx="5499100" cy="2011680"/>
            <wp:effectExtent l="0" t="0" r="635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9100" cy="2011680"/>
                    </a:xfrm>
                    <a:prstGeom prst="rect">
                      <a:avLst/>
                    </a:prstGeom>
                    <a:noFill/>
                  </pic:spPr>
                </pic:pic>
              </a:graphicData>
            </a:graphic>
          </wp:inline>
        </w:drawing>
      </w:r>
    </w:p>
    <w:p w14:paraId="55576AEB" w14:textId="16EA0AF6" w:rsidR="00657808" w:rsidRPr="003E4580" w:rsidRDefault="00AF74B6" w:rsidP="00AF74B6">
      <w:pPr>
        <w:pStyle w:val="Caption"/>
        <w:jc w:val="center"/>
      </w:pPr>
      <w:r w:rsidRPr="003E4580">
        <w:t xml:space="preserve">Figure </w:t>
      </w:r>
      <w:r w:rsidR="00BF64CF">
        <w:fldChar w:fldCharType="begin"/>
      </w:r>
      <w:r w:rsidR="00BF64CF">
        <w:instrText xml:space="preserve"> SEQ Figure \* ARABIC </w:instrText>
      </w:r>
      <w:r w:rsidR="00BF64CF">
        <w:fldChar w:fldCharType="separate"/>
      </w:r>
      <w:r w:rsidR="008E07C6" w:rsidRPr="003E4580">
        <w:rPr>
          <w:noProof/>
        </w:rPr>
        <w:t>1</w:t>
      </w:r>
      <w:r w:rsidR="00BF64CF">
        <w:rPr>
          <w:noProof/>
        </w:rPr>
        <w:fldChar w:fldCharType="end"/>
      </w:r>
      <w:r w:rsidRPr="003E4580">
        <w:t>: Australian road freight task growth (historical and predicted)</w:t>
      </w:r>
    </w:p>
    <w:p w14:paraId="15ADA007" w14:textId="77777777" w:rsidR="00E63590" w:rsidRPr="003E4580" w:rsidRDefault="00E63590" w:rsidP="00AF3413">
      <w:r w:rsidRPr="003E4580">
        <w:lastRenderedPageBreak/>
        <w:t xml:space="preserve">Road freight services, in particular, touch nearly every sector of the economy to varying degrees. Road transport is the predominant mode of transport for urban, inter-urban and regional freight, and part of the supply chain for most imports to Australia. Even the </w:t>
      </w:r>
      <w:r w:rsidR="0056113C" w:rsidRPr="003E4580">
        <w:t>large mineral resource industries</w:t>
      </w:r>
      <w:r w:rsidRPr="003E4580">
        <w:t xml:space="preserve"> that rely on rail or coastal shipping for transport of their outputs, are dependent on road freight to transport machinery, capital equipment and other supplies to mine sites</w:t>
      </w:r>
      <w:r w:rsidR="00496BF4" w:rsidRPr="003E4580">
        <w:t xml:space="preserve">. </w:t>
      </w:r>
    </w:p>
    <w:p w14:paraId="40E0DA2D" w14:textId="5432BFCF" w:rsidR="00F2274C" w:rsidRPr="003E4580" w:rsidRDefault="00C86BC6" w:rsidP="00AF3413">
      <w:r w:rsidRPr="003E4580">
        <w:t xml:space="preserve">Heavy vehicle crashes </w:t>
      </w:r>
      <w:r w:rsidR="004B6EE8" w:rsidRPr="003E4580">
        <w:t>costs the Australian economy</w:t>
      </w:r>
      <w:r w:rsidRPr="003E4580">
        <w:t xml:space="preserve"> around $1.5 billion</w:t>
      </w:r>
      <w:r w:rsidR="004B6EE8" w:rsidRPr="003E4580">
        <w:t xml:space="preserve"> each year</w:t>
      </w:r>
      <w:r w:rsidRPr="003E4580">
        <w:t xml:space="preserve">, including around $63 </w:t>
      </w:r>
      <w:r w:rsidR="004B6EE8" w:rsidRPr="003E4580">
        <w:t>million</w:t>
      </w:r>
      <w:r w:rsidR="00B76846" w:rsidRPr="003E4580">
        <w:t xml:space="preserve"> (Budd &amp; Newstead, 2014)</w:t>
      </w:r>
      <w:r w:rsidRPr="003E4580">
        <w:t xml:space="preserve"> from crashes involving </w:t>
      </w:r>
      <w:r w:rsidR="00CE3541" w:rsidRPr="003E4580">
        <w:t>multiple vehicle crashes due to lane departures by vehicles travelling in the same and opposite direction, as well as single-vehicle crashes to lane departures</w:t>
      </w:r>
      <w:r w:rsidRPr="003E4580">
        <w:t>.</w:t>
      </w:r>
    </w:p>
    <w:p w14:paraId="0D1EBB94" w14:textId="238372FD" w:rsidR="00720743" w:rsidRPr="003E4580" w:rsidRDefault="00720743" w:rsidP="00AF3413">
      <w:r w:rsidRPr="003E4580">
        <w:t xml:space="preserve">Heavy vehicles drifting outside their lane is the specific road safety problem that </w:t>
      </w:r>
      <w:r w:rsidR="00FE6024" w:rsidRPr="003E4580">
        <w:t>is</w:t>
      </w:r>
      <w:r w:rsidRPr="003E4580">
        <w:t xml:space="preserve"> considered in this </w:t>
      </w:r>
      <w:r w:rsidR="007B382D" w:rsidRPr="003E4580">
        <w:t>IA</w:t>
      </w:r>
      <w:r w:rsidRPr="003E4580">
        <w:t xml:space="preserve">. Approximately half of all Australian road deaths result from head-on crashes or single vehicle runoff-road </w:t>
      </w:r>
      <w:r w:rsidR="00994934" w:rsidRPr="003E4580">
        <w:t>crashes -</w:t>
      </w:r>
      <w:r w:rsidRPr="003E4580">
        <w:t xml:space="preserve"> where a vehicle has run off the road into the path of another vehicle - or a collision with a fixed object such as a tree or pole (ANCAP, 2020). </w:t>
      </w:r>
      <w:r w:rsidR="00AE7364" w:rsidRPr="003E4580">
        <w:t>These may occur because a</w:t>
      </w:r>
      <w:r w:rsidRPr="003E4580">
        <w:t xml:space="preserve"> driver </w:t>
      </w:r>
      <w:r w:rsidR="00AE7364" w:rsidRPr="003E4580">
        <w:t>has</w:t>
      </w:r>
      <w:r w:rsidRPr="003E4580">
        <w:t xml:space="preserve"> be</w:t>
      </w:r>
      <w:r w:rsidR="00AE7364" w:rsidRPr="003E4580">
        <w:t>en</w:t>
      </w:r>
      <w:r w:rsidRPr="003E4580">
        <w:t xml:space="preserve"> distracted or </w:t>
      </w:r>
      <w:r w:rsidR="00AE7364" w:rsidRPr="003E4580">
        <w:t xml:space="preserve">is </w:t>
      </w:r>
      <w:r w:rsidRPr="003E4580">
        <w:t xml:space="preserve">inattentive, tired or fatigued, or simply stray too far beyond the marked lane, resulting in a serious crash or fatality. </w:t>
      </w:r>
    </w:p>
    <w:p w14:paraId="287413E2" w14:textId="18B7533A" w:rsidR="00720743" w:rsidRPr="003E4580" w:rsidRDefault="007B382D" w:rsidP="00136719">
      <w:r w:rsidRPr="003E4580">
        <w:t xml:space="preserve">Furthermore, heavy vehicles have characteristics that increase both the risk and severity of </w:t>
      </w:r>
      <w:r w:rsidR="00523AE6" w:rsidRPr="003E4580">
        <w:t xml:space="preserve">both no-fault and at-fault crashes </w:t>
      </w:r>
      <w:r w:rsidRPr="003E4580">
        <w:t>with other road users</w:t>
      </w:r>
      <w:r w:rsidR="00523AE6" w:rsidRPr="003E4580">
        <w:t xml:space="preserve"> (NTARC, 2019). These include a high gross mass, larger dimensions, reduced opportunity to manoeuvre, and longer stopping distances. </w:t>
      </w:r>
      <w:r w:rsidR="005F1096" w:rsidRPr="003E4580">
        <w:t>A reduction in these types of crashes is particularly important in regional and remote areas of Australia, where the majority of roads are un-divided, single carriageways. 62 per cent of fatalities occur as a result of lane departure crashes (ANCAP, 2020).</w:t>
      </w:r>
      <w:r w:rsidR="00136719" w:rsidRPr="003E4580">
        <w:t xml:space="preserve"> </w:t>
      </w:r>
    </w:p>
    <w:p w14:paraId="082B9727" w14:textId="77777777" w:rsidR="005F794B" w:rsidRPr="003E4580" w:rsidRDefault="006C4A3D" w:rsidP="005F794B">
      <w:pPr>
        <w:pStyle w:val="Heading2"/>
      </w:pPr>
      <w:bookmarkStart w:id="12" w:name="_Toc146894851"/>
      <w:r w:rsidRPr="003E4580">
        <w:t>Road trauma involving heavy vehicles</w:t>
      </w:r>
      <w:bookmarkEnd w:id="12"/>
    </w:p>
    <w:p w14:paraId="0B5262AD" w14:textId="77777777" w:rsidR="00D937D1" w:rsidRPr="003E4580" w:rsidRDefault="00D937D1" w:rsidP="00D937D1">
      <w:pPr>
        <w:pStyle w:val="Heading3"/>
      </w:pPr>
      <w:bookmarkStart w:id="13" w:name="_Toc146894852"/>
      <w:r w:rsidRPr="003E4580">
        <w:t>Fatalities</w:t>
      </w:r>
      <w:bookmarkEnd w:id="13"/>
    </w:p>
    <w:p w14:paraId="72A04077" w14:textId="77777777" w:rsidR="00BC138B" w:rsidRPr="003E4580" w:rsidRDefault="00720743" w:rsidP="00136719">
      <w:r w:rsidRPr="003E4580">
        <w:t xml:space="preserve">The Australian Road Deaths Database, maintained by the Bureau of Infrastructure, Transport and Regional Economics, provides basic details of road crash fatalities in Australia as reported by the police each month to the state and territory road authorities. This includes details on the number of fatal crashes and fatalities in crashes involving heavy articulated trucks (prime movers), rigid trucks and buses. </w:t>
      </w:r>
    </w:p>
    <w:p w14:paraId="08D60939" w14:textId="70382091" w:rsidR="00136719" w:rsidRPr="003E4580" w:rsidRDefault="00720743" w:rsidP="00136719">
      <w:r w:rsidRPr="003E4580">
        <w:t xml:space="preserve">During the 12 months to the end of </w:t>
      </w:r>
      <w:r w:rsidR="00BC138B" w:rsidRPr="003E4580">
        <w:t>June 2021, 182 people died from 168</w:t>
      </w:r>
      <w:r w:rsidRPr="003E4580">
        <w:t xml:space="preserve"> fatal crashes involving heavy trucks and buses. Over the </w:t>
      </w:r>
      <w:r w:rsidR="005657DD" w:rsidRPr="003E4580">
        <w:t xml:space="preserve">period </w:t>
      </w:r>
      <w:r w:rsidR="00BC138B" w:rsidRPr="003E4580">
        <w:t>2018-2021, an average of 170 people have died in 152</w:t>
      </w:r>
      <w:r w:rsidRPr="003E4580">
        <w:t xml:space="preserve"> fatal crashes involving heavy trucks a</w:t>
      </w:r>
      <w:r w:rsidR="00785A42" w:rsidRPr="003E4580">
        <w:t>nd buses each year (BITRE, 2021</w:t>
      </w:r>
      <w:r w:rsidR="00257112" w:rsidRPr="003E4580">
        <w:t>a</w:t>
      </w:r>
      <w:r w:rsidRPr="003E4580">
        <w:t>).</w:t>
      </w:r>
    </w:p>
    <w:p w14:paraId="162C8A14" w14:textId="77777777" w:rsidR="00D937D1" w:rsidRPr="003E4580" w:rsidRDefault="00D937D1" w:rsidP="00136719">
      <w:r w:rsidRPr="003E4580">
        <w:t xml:space="preserve">Figure </w:t>
      </w:r>
      <w:r w:rsidR="00212E16" w:rsidRPr="003E4580">
        <w:t>2</w:t>
      </w:r>
      <w:r w:rsidRPr="003E4580">
        <w:t xml:space="preserve"> shows the annual number of fatal crashes involving </w:t>
      </w:r>
      <w:r w:rsidR="009062B0" w:rsidRPr="003E4580">
        <w:t xml:space="preserve">prime movers (articulated trucks), heavy rigid trucks, </w:t>
      </w:r>
      <w:r w:rsidRPr="003E4580">
        <w:t>heavy trucks and buses in Australia for each year in the per</w:t>
      </w:r>
      <w:r w:rsidR="006F42D3" w:rsidRPr="003E4580">
        <w:t>iod 2012 to 2021</w:t>
      </w:r>
      <w:r w:rsidRPr="003E4580">
        <w:t xml:space="preserve">, while Figure </w:t>
      </w:r>
      <w:r w:rsidR="00212E16" w:rsidRPr="003E4580">
        <w:t>3</w:t>
      </w:r>
      <w:r w:rsidRPr="003E4580">
        <w:t xml:space="preserve"> shows the corresponding number of fatalities.</w:t>
      </w:r>
    </w:p>
    <w:p w14:paraId="45B9E7D9" w14:textId="642F4014" w:rsidR="002B7593" w:rsidRPr="003E4580" w:rsidRDefault="005F1F37" w:rsidP="002B7593">
      <w:pPr>
        <w:keepNext/>
        <w:jc w:val="center"/>
      </w:pPr>
      <w:r>
        <w:rPr>
          <w:noProof/>
          <w:lang w:eastAsia="en-AU"/>
        </w:rPr>
        <w:lastRenderedPageBreak/>
        <w:drawing>
          <wp:inline distT="0" distB="0" distL="0" distR="0" wp14:anchorId="6731DF07" wp14:editId="03BA38CE">
            <wp:extent cx="5499100" cy="2664460"/>
            <wp:effectExtent l="0" t="0" r="635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9100" cy="2664460"/>
                    </a:xfrm>
                    <a:prstGeom prst="rect">
                      <a:avLst/>
                    </a:prstGeom>
                    <a:noFill/>
                  </pic:spPr>
                </pic:pic>
              </a:graphicData>
            </a:graphic>
          </wp:inline>
        </w:drawing>
      </w:r>
    </w:p>
    <w:p w14:paraId="08004DB9" w14:textId="575D3B75" w:rsidR="00752AEA" w:rsidRPr="003E4580" w:rsidRDefault="002B7593" w:rsidP="002B7593">
      <w:pPr>
        <w:pStyle w:val="Caption"/>
        <w:jc w:val="center"/>
      </w:pPr>
      <w:r w:rsidRPr="003E4580">
        <w:t xml:space="preserve">Figure </w:t>
      </w:r>
      <w:r w:rsidR="00BF64CF">
        <w:fldChar w:fldCharType="begin"/>
      </w:r>
      <w:r w:rsidR="00BF64CF">
        <w:instrText xml:space="preserve"> SEQ Figure \* ARABIC </w:instrText>
      </w:r>
      <w:r w:rsidR="00BF64CF">
        <w:fldChar w:fldCharType="separate"/>
      </w:r>
      <w:r w:rsidR="008E07C6" w:rsidRPr="003E4580">
        <w:rPr>
          <w:noProof/>
        </w:rPr>
        <w:t>2</w:t>
      </w:r>
      <w:r w:rsidR="00BF64CF">
        <w:rPr>
          <w:noProof/>
        </w:rPr>
        <w:fldChar w:fldCharType="end"/>
      </w:r>
      <w:r w:rsidRPr="003E4580">
        <w:t>: Fatal crashes involving heavy trucks and buses in Australia, annual totals 2012-2021</w:t>
      </w:r>
    </w:p>
    <w:p w14:paraId="0EB2562D" w14:textId="6AF554FE" w:rsidR="006F42D3" w:rsidRPr="003E4580" w:rsidRDefault="005F1F37" w:rsidP="0094071C">
      <w:pPr>
        <w:keepNext/>
        <w:jc w:val="center"/>
      </w:pPr>
      <w:r>
        <w:rPr>
          <w:noProof/>
          <w:lang w:eastAsia="en-AU"/>
        </w:rPr>
        <w:drawing>
          <wp:inline distT="0" distB="0" distL="0" distR="0" wp14:anchorId="3650C031" wp14:editId="60CA9573">
            <wp:extent cx="5499100" cy="2432685"/>
            <wp:effectExtent l="0" t="0" r="635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9100" cy="2432685"/>
                    </a:xfrm>
                    <a:prstGeom prst="rect">
                      <a:avLst/>
                    </a:prstGeom>
                    <a:noFill/>
                  </pic:spPr>
                </pic:pic>
              </a:graphicData>
            </a:graphic>
          </wp:inline>
        </w:drawing>
      </w:r>
    </w:p>
    <w:p w14:paraId="6AA0B704" w14:textId="42A7C56F" w:rsidR="002B7593" w:rsidRPr="003E4580" w:rsidRDefault="006F42D3" w:rsidP="0094071C">
      <w:pPr>
        <w:pStyle w:val="Caption"/>
        <w:jc w:val="center"/>
      </w:pPr>
      <w:r w:rsidRPr="003E4580">
        <w:t xml:space="preserve">Figure </w:t>
      </w:r>
      <w:r w:rsidR="00BF64CF">
        <w:fldChar w:fldCharType="begin"/>
      </w:r>
      <w:r w:rsidR="00BF64CF">
        <w:instrText xml:space="preserve"> SEQ Figure \* ARABIC </w:instrText>
      </w:r>
      <w:r w:rsidR="00BF64CF">
        <w:fldChar w:fldCharType="separate"/>
      </w:r>
      <w:r w:rsidR="008E07C6" w:rsidRPr="003E4580">
        <w:rPr>
          <w:noProof/>
        </w:rPr>
        <w:t>3</w:t>
      </w:r>
      <w:r w:rsidR="00BF64CF">
        <w:rPr>
          <w:noProof/>
        </w:rPr>
        <w:fldChar w:fldCharType="end"/>
      </w:r>
      <w:r w:rsidRPr="003E4580">
        <w:t>: Fatalities in crashes involving heavy trucks and buses in Australia, annual totals 2012-2021</w:t>
      </w:r>
    </w:p>
    <w:p w14:paraId="3299F6E9" w14:textId="77777777" w:rsidR="003702DF" w:rsidRPr="003E4580" w:rsidRDefault="0067057A" w:rsidP="00136719">
      <w:r w:rsidRPr="003E4580">
        <w:t xml:space="preserve">Historic data shows that </w:t>
      </w:r>
      <w:r w:rsidR="00D937D1" w:rsidRPr="003E4580">
        <w:t xml:space="preserve">fatalities in crashes involving prime movers </w:t>
      </w:r>
      <w:r w:rsidR="008471BE" w:rsidRPr="003E4580">
        <w:t xml:space="preserve">(articulated trucks) </w:t>
      </w:r>
      <w:r w:rsidR="00D937D1" w:rsidRPr="003E4580">
        <w:t>decreased by nearly 40 per cent between 2007 and 2013</w:t>
      </w:r>
      <w:r w:rsidR="008471BE" w:rsidRPr="003E4580">
        <w:t xml:space="preserve"> (DITCRD, 2019)</w:t>
      </w:r>
      <w:r w:rsidR="00D937D1" w:rsidRPr="003E4580">
        <w:t xml:space="preserve">, </w:t>
      </w:r>
      <w:r w:rsidRPr="003E4580">
        <w:t xml:space="preserve">and </w:t>
      </w:r>
      <w:r w:rsidR="00D937D1" w:rsidRPr="003E4580">
        <w:t xml:space="preserve">have been relatively constant </w:t>
      </w:r>
      <w:r w:rsidRPr="003E4580">
        <w:t>since then up to the year 2020</w:t>
      </w:r>
      <w:r w:rsidR="008471BE" w:rsidRPr="003E4580">
        <w:t xml:space="preserve"> (Figure </w:t>
      </w:r>
      <w:r w:rsidR="004B3092" w:rsidRPr="003E4580">
        <w:t>3</w:t>
      </w:r>
      <w:r w:rsidR="008471BE" w:rsidRPr="003E4580">
        <w:t>)</w:t>
      </w:r>
      <w:r w:rsidR="00D937D1" w:rsidRPr="003E4580">
        <w:t xml:space="preserve">. Fatalities in crashes involving rigid trucks and buses have been relatively constant over the </w:t>
      </w:r>
      <w:r w:rsidR="003702DF" w:rsidRPr="003E4580">
        <w:t xml:space="preserve">last </w:t>
      </w:r>
      <w:r w:rsidR="00D937D1" w:rsidRPr="003E4580">
        <w:t>10 years</w:t>
      </w:r>
      <w:r w:rsidR="003702DF" w:rsidRPr="003E4580">
        <w:t xml:space="preserve"> with a </w:t>
      </w:r>
      <w:r w:rsidRPr="003E4580">
        <w:t>noticeable</w:t>
      </w:r>
      <w:r w:rsidR="003702DF" w:rsidRPr="003E4580">
        <w:t xml:space="preserve"> reduction in the last two years</w:t>
      </w:r>
      <w:r w:rsidRPr="003E4580">
        <w:t xml:space="preserve"> for the heavy rigid truck group</w:t>
      </w:r>
      <w:r w:rsidR="00D937D1" w:rsidRPr="003E4580">
        <w:t>.</w:t>
      </w:r>
      <w:r w:rsidR="003702DF" w:rsidRPr="003E4580">
        <w:t xml:space="preserve"> </w:t>
      </w:r>
    </w:p>
    <w:p w14:paraId="57A2160B" w14:textId="77777777" w:rsidR="00FD76C3" w:rsidRPr="003E4580" w:rsidRDefault="00AE7364" w:rsidP="00136719">
      <w:r w:rsidRPr="003E4580">
        <w:t>T</w:t>
      </w:r>
      <w:r w:rsidR="00FD76C3" w:rsidRPr="003E4580">
        <w:t xml:space="preserve">he data supporting Figures </w:t>
      </w:r>
      <w:r w:rsidR="004B3092" w:rsidRPr="003E4580">
        <w:t xml:space="preserve">2 </w:t>
      </w:r>
      <w:r w:rsidR="00FD76C3" w:rsidRPr="003E4580">
        <w:t xml:space="preserve">and </w:t>
      </w:r>
      <w:r w:rsidR="004B3092" w:rsidRPr="003E4580">
        <w:t xml:space="preserve">3 </w:t>
      </w:r>
      <w:r w:rsidRPr="003E4580">
        <w:t>also shows that</w:t>
      </w:r>
      <w:r w:rsidR="00FD76C3" w:rsidRPr="003E4580">
        <w:t>:</w:t>
      </w:r>
    </w:p>
    <w:p w14:paraId="00349631" w14:textId="77777777" w:rsidR="00FD76C3" w:rsidRPr="003E4580" w:rsidRDefault="003702DF" w:rsidP="00CB0804">
      <w:pPr>
        <w:pStyle w:val="ListParagraph"/>
        <w:numPr>
          <w:ilvl w:val="0"/>
          <w:numId w:val="15"/>
        </w:numPr>
        <w:rPr>
          <w:rFonts w:asciiTheme="minorHAnsi" w:hAnsiTheme="minorHAnsi" w:cstheme="minorHAnsi"/>
          <w:sz w:val="20"/>
        </w:rPr>
      </w:pPr>
      <w:r w:rsidRPr="003E4580">
        <w:rPr>
          <w:rFonts w:asciiTheme="minorHAnsi" w:hAnsiTheme="minorHAnsi" w:cstheme="minorHAnsi"/>
          <w:sz w:val="20"/>
        </w:rPr>
        <w:t xml:space="preserve">Fatalities in crashes involving articulated trucks increased </w:t>
      </w:r>
      <w:r w:rsidR="007C6341" w:rsidRPr="003E4580">
        <w:rPr>
          <w:rFonts w:asciiTheme="minorHAnsi" w:hAnsiTheme="minorHAnsi" w:cstheme="minorHAnsi"/>
          <w:sz w:val="20"/>
        </w:rPr>
        <w:t xml:space="preserve">by 7.5 per cent by June 2021 when compared with the corresponding period one year earlier. </w:t>
      </w:r>
    </w:p>
    <w:p w14:paraId="7C728261" w14:textId="77777777" w:rsidR="00FD76C3" w:rsidRPr="003E4580" w:rsidRDefault="007C6341" w:rsidP="00CB0804">
      <w:pPr>
        <w:pStyle w:val="ListParagraph"/>
        <w:numPr>
          <w:ilvl w:val="0"/>
          <w:numId w:val="15"/>
        </w:numPr>
        <w:rPr>
          <w:rFonts w:asciiTheme="minorHAnsi" w:hAnsiTheme="minorHAnsi" w:cstheme="minorHAnsi"/>
          <w:sz w:val="20"/>
        </w:rPr>
      </w:pPr>
      <w:r w:rsidRPr="003E4580">
        <w:rPr>
          <w:rFonts w:asciiTheme="minorHAnsi" w:hAnsiTheme="minorHAnsi" w:cstheme="minorHAnsi"/>
          <w:sz w:val="20"/>
        </w:rPr>
        <w:t xml:space="preserve">Data trends reveal the fatalities in crashes involving articulated trucks increased </w:t>
      </w:r>
      <w:r w:rsidR="003702DF" w:rsidRPr="003E4580">
        <w:rPr>
          <w:rFonts w:asciiTheme="minorHAnsi" w:hAnsiTheme="minorHAnsi" w:cstheme="minorHAnsi"/>
          <w:sz w:val="20"/>
        </w:rPr>
        <w:t>by an average of 0.2 per cent per year over the</w:t>
      </w:r>
      <w:r w:rsidRPr="003E4580">
        <w:rPr>
          <w:rFonts w:asciiTheme="minorHAnsi" w:hAnsiTheme="minorHAnsi" w:cstheme="minorHAnsi"/>
          <w:sz w:val="20"/>
        </w:rPr>
        <w:t xml:space="preserve"> last </w:t>
      </w:r>
      <w:r w:rsidR="003702DF" w:rsidRPr="003E4580">
        <w:rPr>
          <w:rFonts w:asciiTheme="minorHAnsi" w:hAnsiTheme="minorHAnsi" w:cstheme="minorHAnsi"/>
          <w:sz w:val="20"/>
        </w:rPr>
        <w:t>three years to June 2021.</w:t>
      </w:r>
    </w:p>
    <w:p w14:paraId="5000C65D" w14:textId="77777777" w:rsidR="003702DF" w:rsidRPr="003E4580" w:rsidRDefault="003702DF" w:rsidP="00CB0804">
      <w:pPr>
        <w:pStyle w:val="ListParagraph"/>
        <w:numPr>
          <w:ilvl w:val="0"/>
          <w:numId w:val="15"/>
        </w:numPr>
        <w:rPr>
          <w:rFonts w:asciiTheme="minorHAnsi" w:hAnsiTheme="minorHAnsi" w:cstheme="minorHAnsi"/>
          <w:sz w:val="20"/>
        </w:rPr>
      </w:pPr>
      <w:r w:rsidRPr="003E4580">
        <w:rPr>
          <w:rFonts w:asciiTheme="minorHAnsi" w:hAnsiTheme="minorHAnsi" w:cstheme="minorHAnsi"/>
          <w:sz w:val="20"/>
        </w:rPr>
        <w:t>Fatalities in crashes involving heavy trucks</w:t>
      </w:r>
      <w:r w:rsidR="00BD18F7" w:rsidRPr="003E4580">
        <w:rPr>
          <w:rFonts w:asciiTheme="minorHAnsi" w:hAnsiTheme="minorHAnsi" w:cstheme="minorHAnsi"/>
          <w:sz w:val="20"/>
        </w:rPr>
        <w:t xml:space="preserve"> also</w:t>
      </w:r>
      <w:r w:rsidRPr="003E4580">
        <w:rPr>
          <w:rFonts w:asciiTheme="minorHAnsi" w:hAnsiTheme="minorHAnsi" w:cstheme="minorHAnsi"/>
          <w:sz w:val="20"/>
        </w:rPr>
        <w:t xml:space="preserve"> increased by 2.6 per cent </w:t>
      </w:r>
      <w:r w:rsidR="007C6341" w:rsidRPr="003E4580">
        <w:rPr>
          <w:rFonts w:asciiTheme="minorHAnsi" w:hAnsiTheme="minorHAnsi" w:cstheme="minorHAnsi"/>
          <w:sz w:val="20"/>
        </w:rPr>
        <w:t xml:space="preserve">by June 2021 </w:t>
      </w:r>
      <w:r w:rsidRPr="003E4580">
        <w:rPr>
          <w:rFonts w:asciiTheme="minorHAnsi" w:hAnsiTheme="minorHAnsi" w:cstheme="minorHAnsi"/>
          <w:sz w:val="20"/>
        </w:rPr>
        <w:t xml:space="preserve">when compared with the </w:t>
      </w:r>
      <w:r w:rsidR="00BD18F7" w:rsidRPr="003E4580">
        <w:rPr>
          <w:rFonts w:asciiTheme="minorHAnsi" w:hAnsiTheme="minorHAnsi" w:cstheme="minorHAnsi"/>
          <w:sz w:val="20"/>
        </w:rPr>
        <w:t>correspon</w:t>
      </w:r>
      <w:r w:rsidRPr="003E4580">
        <w:rPr>
          <w:rFonts w:asciiTheme="minorHAnsi" w:hAnsiTheme="minorHAnsi" w:cstheme="minorHAnsi"/>
          <w:sz w:val="20"/>
        </w:rPr>
        <w:t>ding 12-month period one year earlier</w:t>
      </w:r>
      <w:r w:rsidR="007C6341" w:rsidRPr="003E4580">
        <w:rPr>
          <w:rFonts w:asciiTheme="minorHAnsi" w:hAnsiTheme="minorHAnsi" w:cstheme="minorHAnsi"/>
          <w:sz w:val="20"/>
        </w:rPr>
        <w:t>.</w:t>
      </w:r>
    </w:p>
    <w:p w14:paraId="2BC4DA29" w14:textId="77777777" w:rsidR="009D0BCC" w:rsidRPr="003E4580" w:rsidRDefault="009D0BCC" w:rsidP="00136719"/>
    <w:p w14:paraId="48C6C111" w14:textId="462C47A2" w:rsidR="00C7560A" w:rsidRPr="003E4580" w:rsidRDefault="00FD76C3" w:rsidP="00136719">
      <w:r w:rsidRPr="003E4580">
        <w:lastRenderedPageBreak/>
        <w:t>This increasing rate of trauma for the heavy vehicle sector is alarming considering the impact of the COVID pandemic on the Australian</w:t>
      </w:r>
      <w:r w:rsidR="00BD18F7" w:rsidRPr="003E4580">
        <w:t xml:space="preserve"> economy</w:t>
      </w:r>
      <w:r w:rsidRPr="003E4580">
        <w:t xml:space="preserve"> by reducing</w:t>
      </w:r>
      <w:r w:rsidR="00BD18F7" w:rsidRPr="003E4580">
        <w:t xml:space="preserve"> </w:t>
      </w:r>
      <w:r w:rsidRPr="003E4580">
        <w:t xml:space="preserve">the </w:t>
      </w:r>
      <w:r w:rsidR="00BD18F7" w:rsidRPr="003E4580">
        <w:t>road freight</w:t>
      </w:r>
      <w:r w:rsidRPr="003E4580">
        <w:t xml:space="preserve"> task and road use in general.</w:t>
      </w:r>
      <w:r w:rsidR="008A7F0D" w:rsidRPr="003E4580">
        <w:t xml:space="preserve"> </w:t>
      </w:r>
      <w:r w:rsidR="0024107D" w:rsidRPr="003E4580">
        <w:t xml:space="preserve">However, </w:t>
      </w:r>
      <w:r w:rsidR="00FE5563" w:rsidRPr="003E4580">
        <w:t xml:space="preserve">it must be noted that the urban and metro road freight task increased as consumers were limited in their ability to purchase goods in a typical retail shopping environment. Instead goods were purchased online and delivered to </w:t>
      </w:r>
      <w:r w:rsidR="00A9495D" w:rsidRPr="003E4580">
        <w:t xml:space="preserve">a </w:t>
      </w:r>
      <w:r w:rsidR="00FE5563" w:rsidRPr="003E4580">
        <w:t xml:space="preserve">consumer’s residence by truck or van. </w:t>
      </w:r>
      <w:r w:rsidR="008A7F0D" w:rsidRPr="003E4580">
        <w:t>During the second quarter of calendar 2020, estimated vehicle kilometres travelle</w:t>
      </w:r>
      <w:r w:rsidR="00C7560A" w:rsidRPr="003E4580">
        <w:t>d (VKT) declined by 22 per cent (BITRE, 2021</w:t>
      </w:r>
      <w:r w:rsidR="00257112" w:rsidRPr="003E4580">
        <w:t>a</w:t>
      </w:r>
      <w:r w:rsidR="00C7560A" w:rsidRPr="003E4580">
        <w:t xml:space="preserve">). </w:t>
      </w:r>
      <w:r w:rsidR="008A7F0D" w:rsidRPr="003E4580">
        <w:t>In the 3rd and 4th quarters of 2020, both VKT and deaths increa</w:t>
      </w:r>
      <w:r w:rsidR="00C7560A" w:rsidRPr="003E4580">
        <w:t xml:space="preserve">sed to historical trend levels. </w:t>
      </w:r>
    </w:p>
    <w:p w14:paraId="0BE97681" w14:textId="6936D8DA" w:rsidR="00D937D1" w:rsidRPr="003E4580" w:rsidRDefault="00D937D1" w:rsidP="00136719">
      <w:r w:rsidRPr="003E4580">
        <w:t xml:space="preserve">Taking into account fatality rates and crash data, fatal crashes involving heavy trucks and buses cost the economy approximately $980 million annually (MUARC, </w:t>
      </w:r>
      <w:r w:rsidR="002648F6" w:rsidRPr="003E4580">
        <w:t>2020</w:t>
      </w:r>
      <w:r w:rsidRPr="003E4580">
        <w:t>).</w:t>
      </w:r>
    </w:p>
    <w:p w14:paraId="1673F7BA" w14:textId="77777777" w:rsidR="00D937D1" w:rsidRPr="003E4580" w:rsidRDefault="00D937D1" w:rsidP="00D937D1">
      <w:pPr>
        <w:pStyle w:val="Heading3"/>
      </w:pPr>
      <w:bookmarkStart w:id="14" w:name="_Toc146894853"/>
      <w:r w:rsidRPr="003E4580">
        <w:t>Serious and minor injuries</w:t>
      </w:r>
      <w:bookmarkEnd w:id="14"/>
    </w:p>
    <w:p w14:paraId="79F34B45" w14:textId="04DF16C0" w:rsidR="00D937D1" w:rsidRPr="003E4580" w:rsidRDefault="00C14C74" w:rsidP="00D937D1">
      <w:r w:rsidRPr="003E4580">
        <w:t>T</w:t>
      </w:r>
      <w:r w:rsidR="00D937D1" w:rsidRPr="003E4580">
        <w:t xml:space="preserve">he National Injury Surveillance Unit at Flinders University, using the Australian Institute of Health and Welfare National Hospital Morbidity Database </w:t>
      </w:r>
      <w:r w:rsidRPr="003E4580">
        <w:t>compiles data</w:t>
      </w:r>
      <w:r w:rsidR="00D937D1" w:rsidRPr="003E4580">
        <w:t xml:space="preserve"> on hospitalisation due to road crashes, including those involving heavy vehicles. </w:t>
      </w:r>
      <w:r w:rsidRPr="003E4580">
        <w:t>This shows that r</w:t>
      </w:r>
      <w:r w:rsidR="00D937D1" w:rsidRPr="003E4580">
        <w:t xml:space="preserve">oad injury while driving a heavy vehicle accounted for </w:t>
      </w:r>
      <w:r w:rsidR="00CC6E82" w:rsidRPr="003E4580">
        <w:t>(</w:t>
      </w:r>
      <w:r w:rsidR="00D937D1" w:rsidRPr="003E4580">
        <w:t>age-standardised rates</w:t>
      </w:r>
      <w:r w:rsidR="00CC6E82" w:rsidRPr="003E4580">
        <w:rPr>
          <w:rStyle w:val="CommentReference"/>
        </w:rPr>
        <w:t>)</w:t>
      </w:r>
      <w:r w:rsidR="00D937D1" w:rsidRPr="003E4580">
        <w:t xml:space="preserve"> 4 cases per 100,000 population (AIHW, 2018). </w:t>
      </w:r>
      <w:r w:rsidRPr="003E4580">
        <w:t>2017-2018 is t</w:t>
      </w:r>
      <w:r w:rsidR="00D937D1" w:rsidRPr="003E4580">
        <w:t xml:space="preserve">he most </w:t>
      </w:r>
      <w:r w:rsidR="00EC6AEA" w:rsidRPr="003E4580">
        <w:t>recent data</w:t>
      </w:r>
      <w:r w:rsidR="00D937D1" w:rsidRPr="003E4580">
        <w:t xml:space="preserve"> available </w:t>
      </w:r>
      <w:r w:rsidRPr="003E4580">
        <w:t>and</w:t>
      </w:r>
      <w:r w:rsidR="00A13F97" w:rsidRPr="003E4580">
        <w:t xml:space="preserve"> </w:t>
      </w:r>
      <w:r w:rsidR="00D937D1" w:rsidRPr="003E4580">
        <w:t>shows that</w:t>
      </w:r>
      <w:r w:rsidR="00A13F97" w:rsidRPr="003E4580">
        <w:t xml:space="preserve"> 1,824</w:t>
      </w:r>
      <w:r w:rsidR="00D937D1" w:rsidRPr="003E4580">
        <w:t xml:space="preserve"> people were hospitalised from road crashes</w:t>
      </w:r>
      <w:r w:rsidR="00A13F97" w:rsidRPr="003E4580">
        <w:t xml:space="preserve"> involving heavy vehicles (BITRE</w:t>
      </w:r>
      <w:r w:rsidR="00F560FB" w:rsidRPr="003E4580">
        <w:t xml:space="preserve">, 2019b). Prior to these two years, </w:t>
      </w:r>
      <w:r w:rsidR="00D937D1" w:rsidRPr="003E4580">
        <w:t xml:space="preserve">the </w:t>
      </w:r>
      <w:r w:rsidR="00F560FB" w:rsidRPr="003E4580">
        <w:t>previous five years of available data (2013 to 2016</w:t>
      </w:r>
      <w:r w:rsidR="00D937D1" w:rsidRPr="003E4580">
        <w:t xml:space="preserve">) </w:t>
      </w:r>
      <w:r w:rsidR="008D47AD" w:rsidRPr="003E4580">
        <w:t xml:space="preserve">in </w:t>
      </w:r>
      <w:r w:rsidR="003C1D09" w:rsidRPr="003E4580">
        <w:t xml:space="preserve">Figure </w:t>
      </w:r>
      <w:r w:rsidR="008D49D8" w:rsidRPr="003E4580">
        <w:t>4</w:t>
      </w:r>
      <w:r w:rsidR="003C1D09" w:rsidRPr="003E4580">
        <w:t xml:space="preserve"> </w:t>
      </w:r>
      <w:r w:rsidR="00D937D1" w:rsidRPr="003E4580">
        <w:t>show that close to</w:t>
      </w:r>
      <w:r w:rsidR="00F560FB" w:rsidRPr="003E4580">
        <w:t xml:space="preserve"> 1,773</w:t>
      </w:r>
      <w:r w:rsidR="00D937D1" w:rsidRPr="003E4580">
        <w:t xml:space="preserve"> people </w:t>
      </w:r>
      <w:r w:rsidR="00A9495D" w:rsidRPr="003E4580">
        <w:t>were</w:t>
      </w:r>
      <w:r w:rsidR="00D937D1" w:rsidRPr="003E4580">
        <w:t xml:space="preserve"> hospitalised each year</w:t>
      </w:r>
      <w:r w:rsidR="003C1D09" w:rsidRPr="003E4580">
        <w:t xml:space="preserve"> on average</w:t>
      </w:r>
      <w:r w:rsidR="00D937D1" w:rsidRPr="003E4580">
        <w:t xml:space="preserve"> from road cr</w:t>
      </w:r>
      <w:r w:rsidR="008D47AD" w:rsidRPr="003E4580">
        <w:t xml:space="preserve">ashes involving heavy vehicles. </w:t>
      </w:r>
      <w:r w:rsidR="00D937D1" w:rsidRPr="003E4580">
        <w:t xml:space="preserve">This indicates an increasing trend in hospitalised injuries as a result of heavy </w:t>
      </w:r>
      <w:r w:rsidR="006A1A13" w:rsidRPr="003E4580">
        <w:t>vehicles on</w:t>
      </w:r>
      <w:r w:rsidR="003C1D09" w:rsidRPr="003E4580">
        <w:t xml:space="preserve"> Australian roads</w:t>
      </w:r>
      <w:r w:rsidRPr="003E4580">
        <w:t>, partly</w:t>
      </w:r>
      <w:r w:rsidR="003C1D09" w:rsidRPr="003E4580">
        <w:t xml:space="preserve"> due to the growth in the road freight task</w:t>
      </w:r>
      <w:r w:rsidR="00270B0C" w:rsidRPr="003E4580">
        <w:t xml:space="preserve"> over the last decade.</w:t>
      </w:r>
    </w:p>
    <w:p w14:paraId="059B98D2" w14:textId="3ABAA8C3" w:rsidR="00F560FB" w:rsidRPr="003E4580" w:rsidRDefault="005F1F37" w:rsidP="003C1D09">
      <w:pPr>
        <w:keepNext/>
        <w:jc w:val="center"/>
      </w:pPr>
      <w:r>
        <w:rPr>
          <w:noProof/>
          <w:lang w:eastAsia="en-AU"/>
        </w:rPr>
        <w:drawing>
          <wp:inline distT="0" distB="0" distL="0" distR="0" wp14:anchorId="5768EA31" wp14:editId="25E918F5">
            <wp:extent cx="5499100" cy="315214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9100" cy="3152140"/>
                    </a:xfrm>
                    <a:prstGeom prst="rect">
                      <a:avLst/>
                    </a:prstGeom>
                    <a:noFill/>
                  </pic:spPr>
                </pic:pic>
              </a:graphicData>
            </a:graphic>
          </wp:inline>
        </w:drawing>
      </w:r>
    </w:p>
    <w:p w14:paraId="3D42626B" w14:textId="6376172C" w:rsidR="00F560FB" w:rsidRPr="003E4580" w:rsidRDefault="00F560FB" w:rsidP="003C1D09">
      <w:pPr>
        <w:pStyle w:val="Caption"/>
        <w:jc w:val="center"/>
      </w:pPr>
      <w:r w:rsidRPr="003E4580">
        <w:t xml:space="preserve">Figure </w:t>
      </w:r>
      <w:r w:rsidR="00BF64CF">
        <w:fldChar w:fldCharType="begin"/>
      </w:r>
      <w:r w:rsidR="00BF64CF">
        <w:instrText xml:space="preserve"> SEQ Figure \* ARABIC </w:instrText>
      </w:r>
      <w:r w:rsidR="00BF64CF">
        <w:fldChar w:fldCharType="separate"/>
      </w:r>
      <w:r w:rsidR="008E07C6" w:rsidRPr="003E4580">
        <w:rPr>
          <w:noProof/>
        </w:rPr>
        <w:t>4</w:t>
      </w:r>
      <w:r w:rsidR="00BF64CF">
        <w:rPr>
          <w:noProof/>
        </w:rPr>
        <w:fldChar w:fldCharType="end"/>
      </w:r>
      <w:r w:rsidRPr="003E4580">
        <w:t>: Hospitalised injuries involving heavy trucks or buses by Gender</w:t>
      </w:r>
    </w:p>
    <w:p w14:paraId="36C66A34" w14:textId="77777777" w:rsidR="00B775C9" w:rsidRPr="003E4580" w:rsidRDefault="00B775C9" w:rsidP="00D937D1">
      <w:r w:rsidRPr="003E4580">
        <w:t>Approximately 500 heavy truck occupants are hospitalised from road crashes each year. Of these, approximately 30 per cent are categorised with High-threat-to-life injuries</w:t>
      </w:r>
      <w:r w:rsidR="00C17E9E" w:rsidRPr="003E4580">
        <w:t xml:space="preserve"> (ORS, 2021)</w:t>
      </w:r>
      <w:r w:rsidRPr="003E4580">
        <w:t>.</w:t>
      </w:r>
    </w:p>
    <w:p w14:paraId="74E523BB" w14:textId="72F2A62F" w:rsidR="00C57631" w:rsidRPr="003E4580" w:rsidRDefault="00D937D1" w:rsidP="00D937D1">
      <w:pPr>
        <w:sectPr w:rsidR="00C57631" w:rsidRPr="003E4580" w:rsidSect="00D87AD8">
          <w:pgSz w:w="11906" w:h="16838" w:code="9"/>
          <w:pgMar w:top="1021" w:right="1021" w:bottom="1021" w:left="1021" w:header="510" w:footer="567" w:gutter="0"/>
          <w:cols w:space="708"/>
          <w:docGrid w:linePitch="360"/>
        </w:sectPr>
      </w:pPr>
      <w:r w:rsidRPr="003E4580">
        <w:t xml:space="preserve">While not a perfect measure, hospital admission provides the best available indication of serious injury crashes in Australia. With current annual serious injury rates and crash data available, serious injury crashes involving heavy trucks and buses in Australia cost approximately $520 million each year (MUARC, </w:t>
      </w:r>
      <w:r w:rsidR="007469A6" w:rsidRPr="003E4580">
        <w:t>2020</w:t>
      </w:r>
      <w:r w:rsidRPr="003E4580">
        <w:t>).</w:t>
      </w:r>
    </w:p>
    <w:p w14:paraId="1598AAC8" w14:textId="77777777" w:rsidR="00AF3413" w:rsidRPr="003E4580" w:rsidRDefault="0097692D" w:rsidP="00AF3413">
      <w:pPr>
        <w:pStyle w:val="Heading2"/>
      </w:pPr>
      <w:bookmarkStart w:id="15" w:name="_Toc146894854"/>
      <w:r w:rsidRPr="003E4580">
        <w:lastRenderedPageBreak/>
        <w:t xml:space="preserve">Attributes </w:t>
      </w:r>
      <w:r w:rsidR="00AF3413" w:rsidRPr="003E4580">
        <w:t>of heavy vehicle crashes</w:t>
      </w:r>
      <w:bookmarkEnd w:id="15"/>
    </w:p>
    <w:p w14:paraId="1CDC7939" w14:textId="77777777" w:rsidR="0097692D" w:rsidRPr="003E4580" w:rsidRDefault="0097692D" w:rsidP="0097692D">
      <w:pPr>
        <w:pStyle w:val="Heading3"/>
      </w:pPr>
      <w:bookmarkStart w:id="16" w:name="_Toc146894855"/>
      <w:r w:rsidRPr="003E4580">
        <w:t>Heavy vehicle factors</w:t>
      </w:r>
      <w:bookmarkEnd w:id="16"/>
    </w:p>
    <w:p w14:paraId="51234CE2" w14:textId="0B02F241" w:rsidR="00B50E95" w:rsidRPr="003E4580" w:rsidRDefault="00806A90" w:rsidP="005F794B">
      <w:r w:rsidRPr="003E4580">
        <w:t xml:space="preserve">Heavy vehicles are defined as </w:t>
      </w:r>
      <w:r w:rsidR="00B50E95" w:rsidRPr="003E4580">
        <w:t xml:space="preserve">goods vehicles over 3.5 tonnes Gross Vehicle Mass </w:t>
      </w:r>
      <w:r w:rsidRPr="003E4580">
        <w:t>(vehicle and load)</w:t>
      </w:r>
      <w:r w:rsidR="00B50E95" w:rsidRPr="003E4580">
        <w:t>. Heavy</w:t>
      </w:r>
      <w:r w:rsidRPr="003E4580">
        <w:t xml:space="preserve"> vehicles are over-involved in severe road </w:t>
      </w:r>
      <w:r w:rsidR="00B50E95" w:rsidRPr="003E4580">
        <w:t>crashes</w:t>
      </w:r>
      <w:r w:rsidRPr="003E4580">
        <w:t xml:space="preserve">, since their high mass leads to severe consequences for </w:t>
      </w:r>
      <w:r w:rsidR="00B50E95" w:rsidRPr="003E4580">
        <w:t>other road users involved in the event</w:t>
      </w:r>
      <w:r w:rsidRPr="003E4580">
        <w:t>. In view of this and the growth in heavy good</w:t>
      </w:r>
      <w:r w:rsidR="00FE6024" w:rsidRPr="003E4580">
        <w:t>s</w:t>
      </w:r>
      <w:r w:rsidRPr="003E4580">
        <w:t xml:space="preserve"> vehicle traffic internationally </w:t>
      </w:r>
      <w:r w:rsidR="00B50E95" w:rsidRPr="003E4580">
        <w:t xml:space="preserve">and locally </w:t>
      </w:r>
      <w:r w:rsidRPr="003E4580">
        <w:t xml:space="preserve">over the last </w:t>
      </w:r>
      <w:r w:rsidR="001100FF" w:rsidRPr="003E4580">
        <w:t>twenty-</w:t>
      </w:r>
      <w:r w:rsidRPr="003E4580">
        <w:t xml:space="preserve">five years, the safety </w:t>
      </w:r>
      <w:r w:rsidR="00B50E95" w:rsidRPr="003E4580">
        <w:t xml:space="preserve">performance </w:t>
      </w:r>
      <w:r w:rsidRPr="003E4580">
        <w:t xml:space="preserve">of heavy goods vehicles continues to be strictly regulated in the best performing countries in road safety. </w:t>
      </w:r>
    </w:p>
    <w:p w14:paraId="52495763" w14:textId="0CD2D2C7" w:rsidR="00B50E95" w:rsidRPr="003E4580" w:rsidRDefault="00A9495D" w:rsidP="005F794B">
      <w:r w:rsidRPr="003E4580">
        <w:t xml:space="preserve">While busses are a sub-group of heavy vehicles, they do not figure as prominently in the road safety statistics. In fact, transport by bus and coach is considered the safest mode of road transport. Nevertheless, </w:t>
      </w:r>
      <w:r w:rsidR="001100FF" w:rsidRPr="003E4580">
        <w:t xml:space="preserve">a total of 20 people </w:t>
      </w:r>
      <w:r w:rsidRPr="003E4580">
        <w:t xml:space="preserve">were </w:t>
      </w:r>
      <w:r w:rsidR="001100FF" w:rsidRPr="003E4580">
        <w:t>killed in crashes involving buses in 2019</w:t>
      </w:r>
      <w:r w:rsidRPr="003E4580">
        <w:t xml:space="preserve"> and the trend over the last 10 years was a slight annual increase in deaths of 0.6 per cent</w:t>
      </w:r>
      <w:r w:rsidR="00B50E95" w:rsidRPr="003E4580">
        <w:t xml:space="preserve"> (BITRE,</w:t>
      </w:r>
      <w:r w:rsidR="000A3A4D" w:rsidRPr="003E4580">
        <w:t xml:space="preserve"> </w:t>
      </w:r>
      <w:r w:rsidR="00B50E95" w:rsidRPr="003E4580">
        <w:t>2021a).</w:t>
      </w:r>
    </w:p>
    <w:p w14:paraId="62AA5046" w14:textId="77777777" w:rsidR="00C6727B" w:rsidRPr="003E4580" w:rsidRDefault="00173328" w:rsidP="00173328">
      <w:r w:rsidRPr="003E4580">
        <w:t>The particular characteristics of these vehicles strongly influence – in a positive or negative way – the occurrence of road crashes and these characteristics relate to</w:t>
      </w:r>
      <w:r w:rsidR="00AE4D58" w:rsidRPr="003E4580">
        <w:t xml:space="preserve"> the:</w:t>
      </w:r>
    </w:p>
    <w:p w14:paraId="3AD66911" w14:textId="77777777" w:rsidR="00AE4D58" w:rsidRPr="003E4580" w:rsidRDefault="00AE4D58" w:rsidP="00CB0804">
      <w:pPr>
        <w:pStyle w:val="ListParagraph"/>
        <w:numPr>
          <w:ilvl w:val="0"/>
          <w:numId w:val="16"/>
        </w:numPr>
        <w:rPr>
          <w:rFonts w:asciiTheme="minorHAnsi" w:hAnsiTheme="minorHAnsi" w:cstheme="minorHAnsi"/>
          <w:sz w:val="20"/>
        </w:rPr>
      </w:pPr>
      <w:r w:rsidRPr="003E4580">
        <w:rPr>
          <w:rFonts w:asciiTheme="minorHAnsi" w:hAnsiTheme="minorHAnsi" w:cstheme="minorHAnsi"/>
          <w:sz w:val="20"/>
        </w:rPr>
        <w:t xml:space="preserve">vehicle </w:t>
      </w:r>
      <w:r w:rsidRPr="003E4580">
        <w:rPr>
          <w:rFonts w:asciiTheme="minorHAnsi" w:hAnsiTheme="minorHAnsi" w:cstheme="minorHAnsi"/>
          <w:sz w:val="20"/>
        </w:rPr>
        <w:tab/>
      </w:r>
      <w:r w:rsidR="00C96A81" w:rsidRPr="003E4580">
        <w:rPr>
          <w:rFonts w:asciiTheme="minorHAnsi" w:hAnsiTheme="minorHAnsi" w:cstheme="minorHAnsi"/>
          <w:sz w:val="20"/>
        </w:rPr>
        <w:tab/>
      </w:r>
      <w:r w:rsidR="00173328" w:rsidRPr="003E4580">
        <w:rPr>
          <w:rFonts w:asciiTheme="minorHAnsi" w:hAnsiTheme="minorHAnsi" w:cstheme="minorHAnsi"/>
          <w:sz w:val="20"/>
        </w:rPr>
        <w:t xml:space="preserve">different traction characteristics, </w:t>
      </w:r>
      <w:r w:rsidRPr="003E4580">
        <w:rPr>
          <w:rFonts w:asciiTheme="minorHAnsi" w:hAnsiTheme="minorHAnsi" w:cstheme="minorHAnsi"/>
          <w:sz w:val="20"/>
        </w:rPr>
        <w:t>increased dimensions and weight</w:t>
      </w:r>
    </w:p>
    <w:p w14:paraId="4E8990A2" w14:textId="77777777" w:rsidR="00AE4D58" w:rsidRPr="003E4580" w:rsidRDefault="00AE4D58" w:rsidP="00CB0804">
      <w:pPr>
        <w:pStyle w:val="ListParagraph"/>
        <w:numPr>
          <w:ilvl w:val="0"/>
          <w:numId w:val="16"/>
        </w:numPr>
        <w:rPr>
          <w:rFonts w:asciiTheme="minorHAnsi" w:hAnsiTheme="minorHAnsi" w:cstheme="minorHAnsi"/>
          <w:sz w:val="20"/>
        </w:rPr>
      </w:pPr>
      <w:r w:rsidRPr="003E4580">
        <w:rPr>
          <w:rFonts w:asciiTheme="minorHAnsi" w:hAnsiTheme="minorHAnsi" w:cstheme="minorHAnsi"/>
          <w:sz w:val="20"/>
        </w:rPr>
        <w:t>driver</w:t>
      </w:r>
      <w:r w:rsidRPr="003E4580">
        <w:rPr>
          <w:rFonts w:asciiTheme="minorHAnsi" w:hAnsiTheme="minorHAnsi" w:cstheme="minorHAnsi"/>
          <w:sz w:val="20"/>
        </w:rPr>
        <w:tab/>
      </w:r>
      <w:r w:rsidRPr="003E4580">
        <w:rPr>
          <w:rFonts w:asciiTheme="minorHAnsi" w:hAnsiTheme="minorHAnsi" w:cstheme="minorHAnsi"/>
          <w:sz w:val="20"/>
        </w:rPr>
        <w:tab/>
        <w:t>professional heavy vehicle</w:t>
      </w:r>
      <w:r w:rsidR="00173328" w:rsidRPr="003E4580">
        <w:rPr>
          <w:rFonts w:asciiTheme="minorHAnsi" w:hAnsiTheme="minorHAnsi" w:cstheme="minorHAnsi"/>
          <w:sz w:val="20"/>
        </w:rPr>
        <w:t xml:space="preserve"> d</w:t>
      </w:r>
      <w:r w:rsidRPr="003E4580">
        <w:rPr>
          <w:rFonts w:asciiTheme="minorHAnsi" w:hAnsiTheme="minorHAnsi" w:cstheme="minorHAnsi"/>
          <w:sz w:val="20"/>
        </w:rPr>
        <w:t>rivers spend more time driving</w:t>
      </w:r>
    </w:p>
    <w:p w14:paraId="0E7E806E" w14:textId="77777777" w:rsidR="00C73875" w:rsidRPr="003E4580" w:rsidRDefault="00173328" w:rsidP="00CB0804">
      <w:pPr>
        <w:pStyle w:val="ListParagraph"/>
        <w:numPr>
          <w:ilvl w:val="0"/>
          <w:numId w:val="16"/>
        </w:numPr>
        <w:rPr>
          <w:rFonts w:asciiTheme="minorHAnsi" w:hAnsiTheme="minorHAnsi" w:cstheme="minorHAnsi"/>
          <w:sz w:val="20"/>
        </w:rPr>
      </w:pPr>
      <w:r w:rsidRPr="003E4580">
        <w:rPr>
          <w:rFonts w:asciiTheme="minorHAnsi" w:hAnsiTheme="minorHAnsi" w:cstheme="minorHAnsi"/>
          <w:sz w:val="20"/>
        </w:rPr>
        <w:t>vehi</w:t>
      </w:r>
      <w:r w:rsidR="00AE4D58" w:rsidRPr="003E4580">
        <w:rPr>
          <w:rFonts w:asciiTheme="minorHAnsi" w:hAnsiTheme="minorHAnsi" w:cstheme="minorHAnsi"/>
          <w:sz w:val="20"/>
        </w:rPr>
        <w:t xml:space="preserve">cle use </w:t>
      </w:r>
      <w:r w:rsidR="00AE4D58" w:rsidRPr="003E4580">
        <w:rPr>
          <w:rFonts w:asciiTheme="minorHAnsi" w:hAnsiTheme="minorHAnsi" w:cstheme="minorHAnsi"/>
          <w:sz w:val="20"/>
        </w:rPr>
        <w:tab/>
      </w:r>
      <w:r w:rsidRPr="003E4580">
        <w:rPr>
          <w:rFonts w:asciiTheme="minorHAnsi" w:hAnsiTheme="minorHAnsi" w:cstheme="minorHAnsi"/>
          <w:sz w:val="20"/>
        </w:rPr>
        <w:t xml:space="preserve">commercial use must meet several efficiency </w:t>
      </w:r>
      <w:r w:rsidR="00C6727B" w:rsidRPr="003E4580">
        <w:rPr>
          <w:rFonts w:asciiTheme="minorHAnsi" w:hAnsiTheme="minorHAnsi" w:cstheme="minorHAnsi"/>
          <w:sz w:val="20"/>
        </w:rPr>
        <w:t xml:space="preserve">and performance </w:t>
      </w:r>
      <w:r w:rsidRPr="003E4580">
        <w:rPr>
          <w:rFonts w:asciiTheme="minorHAnsi" w:hAnsiTheme="minorHAnsi" w:cstheme="minorHAnsi"/>
          <w:sz w:val="20"/>
        </w:rPr>
        <w:t>criteria</w:t>
      </w:r>
    </w:p>
    <w:p w14:paraId="2611ACD1" w14:textId="77777777" w:rsidR="00605533" w:rsidRPr="003E4580" w:rsidRDefault="00605533" w:rsidP="00605533">
      <w:r w:rsidRPr="003E4580">
        <w:t xml:space="preserve">Due to the mass of heavy goods vehicles and buses/coaches, people involved in collisions with these types of vehicles suffer the most severe consequences regardless </w:t>
      </w:r>
      <w:r w:rsidR="001100FF" w:rsidRPr="003E4580">
        <w:t xml:space="preserve">of them being </w:t>
      </w:r>
      <w:r w:rsidRPr="003E4580">
        <w:t>occupants or outside the vehicles.</w:t>
      </w:r>
    </w:p>
    <w:p w14:paraId="0F1F91E4" w14:textId="78D4E6A5" w:rsidR="0097692D" w:rsidRPr="003E4580" w:rsidRDefault="0097692D" w:rsidP="0097692D">
      <w:pPr>
        <w:pStyle w:val="Heading3"/>
      </w:pPr>
      <w:bookmarkStart w:id="17" w:name="_Toc146894856"/>
      <w:r w:rsidRPr="003E4580">
        <w:t>Driver factors</w:t>
      </w:r>
      <w:bookmarkEnd w:id="17"/>
    </w:p>
    <w:p w14:paraId="492C81A3" w14:textId="3E2C1A51" w:rsidR="005E6AA4" w:rsidRPr="003E4580" w:rsidRDefault="005E6AA4" w:rsidP="00605533">
      <w:r w:rsidRPr="003E4580">
        <w:t>Distraction, fatigue, driver inexperience and error can be causal factors in heavy vehicle crashes. Risky driving behaviours and errors include excessive speed, violations of speed limits, excessive lateral acceleration on curves, unplanned lane departures, frequent hard braking, close following distances, lateral encroachment, failure to yield at intersections, distracted driving, and general disobedience of the rules of the road. Actions to reduce the extent of these factors have generally focused on heavy vehicle drivers and fleet managers. However, in fatal multi-vehicle crashes involving a heavy vehicle, another vehicle is at fault in up to 78 per cent of incidents (NTARC, 2021). This trend has been consistent with previous years of NTARC crash data.</w:t>
      </w:r>
    </w:p>
    <w:p w14:paraId="4B7631B1" w14:textId="5C85FEF8" w:rsidR="001A68C5" w:rsidRPr="003E4580" w:rsidRDefault="001A68C5" w:rsidP="00605533">
      <w:r w:rsidRPr="003E4580">
        <w:t>The work environment for the heavy vehicle driver poses many challenges</w:t>
      </w:r>
      <w:r w:rsidR="00E721DE" w:rsidRPr="003E4580">
        <w:t xml:space="preserve"> -</w:t>
      </w:r>
      <w:r w:rsidRPr="003E4580">
        <w:t xml:space="preserve"> long distances, scheduling shifts, poor road and infrastructure quality, driver fatigue and inattention and vehicle or load-related issues (NHVR, 2021). </w:t>
      </w:r>
      <w:r w:rsidR="000B3CD7" w:rsidRPr="003E4580">
        <w:t>In addition, personal sleep disorders for heavy vehicle drivers</w:t>
      </w:r>
      <w:r w:rsidR="002B2EF8" w:rsidRPr="003E4580">
        <w:t>,</w:t>
      </w:r>
      <w:r w:rsidR="000B3CD7" w:rsidRPr="003E4580">
        <w:t xml:space="preserve"> such as sleep apnea</w:t>
      </w:r>
      <w:r w:rsidR="002B2EF8" w:rsidRPr="003E4580">
        <w:t>,</w:t>
      </w:r>
      <w:r w:rsidR="000B3CD7" w:rsidRPr="003E4580">
        <w:t xml:space="preserve"> can increase the risk of a heavy vehicle crash occurring (Meuleners</w:t>
      </w:r>
      <w:r w:rsidR="001A7411" w:rsidRPr="003E4580">
        <w:t xml:space="preserve"> </w:t>
      </w:r>
      <w:r w:rsidR="000B3CD7" w:rsidRPr="003E4580">
        <w:t xml:space="preserve"> et al., 2015). </w:t>
      </w:r>
      <w:r w:rsidRPr="003E4580">
        <w:t>In recent years, there has been increased research and development activity focussed on producing fatigue and/or distraction detection technologies for the transport industry. In the last five years, advances in computer technology, video software analyses and automation have resulted in wide-spread availability of low-cost detection technologies with a relatively high level of accuracy in detecting unsafe and high risk in-cab behaviours. Compared with the current prescriptive hours of work laws and regulations administered by the National Heavy Vehicle Regulator (NHVR), these technologies hold considerable promise in detecting unsafe and high-risk driving behaviours with a high degree of specificity and sensitivity.</w:t>
      </w:r>
    </w:p>
    <w:p w14:paraId="105D2739" w14:textId="77777777" w:rsidR="00AF3413" w:rsidRPr="003E4580" w:rsidRDefault="00AF3413" w:rsidP="00AF3413">
      <w:pPr>
        <w:pStyle w:val="Heading2"/>
      </w:pPr>
      <w:bookmarkStart w:id="18" w:name="_Toc146894857"/>
      <w:r w:rsidRPr="003E4580">
        <w:t>Government actions to address heavy vehicle trauma</w:t>
      </w:r>
      <w:bookmarkEnd w:id="18"/>
    </w:p>
    <w:p w14:paraId="60B679F7" w14:textId="36A1507D" w:rsidR="00AF3413" w:rsidRPr="003E4580" w:rsidRDefault="00A70107" w:rsidP="00AF3413">
      <w:r w:rsidRPr="003E4580">
        <w:t>A collective effort by the federal and state governments to increase</w:t>
      </w:r>
      <w:r w:rsidR="00720743" w:rsidRPr="003E4580">
        <w:t xml:space="preserve"> the proportion of heavy vehicles on the road network with high quality primary safety </w:t>
      </w:r>
      <w:r w:rsidR="00DA6EC0" w:rsidRPr="003E4580">
        <w:t xml:space="preserve">technologies </w:t>
      </w:r>
      <w:r w:rsidR="00720743" w:rsidRPr="003E4580">
        <w:t>such as ABS, ESC, AEB</w:t>
      </w:r>
      <w:r w:rsidR="00D8505C" w:rsidRPr="003E4580">
        <w:t xml:space="preserve"> </w:t>
      </w:r>
      <w:r w:rsidR="00720743" w:rsidRPr="003E4580">
        <w:t xml:space="preserve">and LDWS and secondary </w:t>
      </w:r>
      <w:r w:rsidR="003E5305" w:rsidRPr="003E4580">
        <w:t xml:space="preserve">safety </w:t>
      </w:r>
      <w:r w:rsidR="00720743" w:rsidRPr="003E4580">
        <w:t xml:space="preserve">features, can achieve a progressive and significant reduction in Australia’s road trauma levels. Early adoption of existing vehicle safety technology </w:t>
      </w:r>
      <w:r w:rsidR="00C766D1" w:rsidRPr="003E4580">
        <w:t xml:space="preserve">has </w:t>
      </w:r>
      <w:r w:rsidR="00720743" w:rsidRPr="003E4580">
        <w:t>provide</w:t>
      </w:r>
      <w:r w:rsidR="00C766D1" w:rsidRPr="003E4580">
        <w:t>d</w:t>
      </w:r>
      <w:r w:rsidR="00720743" w:rsidRPr="003E4580">
        <w:t xml:space="preserve"> important safety gains.</w:t>
      </w:r>
      <w:r w:rsidR="0025431D" w:rsidRPr="003E4580">
        <w:t xml:space="preserve"> Through the Office of Road Safety</w:t>
      </w:r>
      <w:r w:rsidR="00C766D1" w:rsidRPr="003E4580">
        <w:t xml:space="preserve"> (ORS)</w:t>
      </w:r>
      <w:r w:rsidR="0025431D" w:rsidRPr="003E4580">
        <w:t xml:space="preserve">, the Australian Government </w:t>
      </w:r>
      <w:r w:rsidR="0025431D" w:rsidRPr="003E4580">
        <w:lastRenderedPageBreak/>
        <w:t>allocates dedicated funding for a number of road safety programs.</w:t>
      </w:r>
      <w:r w:rsidR="003E5305" w:rsidRPr="003E4580">
        <w:t xml:space="preserve"> The Australian Government also funds the Heavy Vehicle Safety Initiative (HVSI) administered by the National Heavy Vehicle Regulator (NHVR).</w:t>
      </w:r>
    </w:p>
    <w:p w14:paraId="5371E4C7" w14:textId="77777777" w:rsidR="005A5FA1" w:rsidRPr="003E4580" w:rsidRDefault="005A5FA1" w:rsidP="005A5FA1">
      <w:pPr>
        <w:pStyle w:val="Heading3"/>
      </w:pPr>
      <w:bookmarkStart w:id="19" w:name="_Toc146894858"/>
      <w:r w:rsidRPr="003E4580">
        <w:t>Road Safety Programs</w:t>
      </w:r>
      <w:bookmarkEnd w:id="19"/>
    </w:p>
    <w:p w14:paraId="53627D49" w14:textId="77777777" w:rsidR="005A5FA1" w:rsidRPr="003E4580" w:rsidRDefault="005A5FA1" w:rsidP="005A5FA1">
      <w:r w:rsidRPr="003E4580">
        <w:t>The Australian Government manages infrastructure and non-infrastructure programs that facilitate the work towards Vision Zero by federal, state, territory and local governments and the road safety sector. This includes:</w:t>
      </w:r>
    </w:p>
    <w:p w14:paraId="046D2EF1" w14:textId="77777777" w:rsidR="005A5FA1" w:rsidRPr="003E4580" w:rsidRDefault="005A5FA1" w:rsidP="00CB0804">
      <w:pPr>
        <w:pStyle w:val="ListParagraph"/>
        <w:numPr>
          <w:ilvl w:val="0"/>
          <w:numId w:val="18"/>
        </w:numPr>
        <w:rPr>
          <w:rFonts w:asciiTheme="minorHAnsi" w:hAnsiTheme="minorHAnsi" w:cstheme="minorHAnsi"/>
          <w:sz w:val="20"/>
        </w:rPr>
      </w:pPr>
      <w:r w:rsidRPr="003E4580">
        <w:rPr>
          <w:rFonts w:asciiTheme="minorHAnsi" w:hAnsiTheme="minorHAnsi" w:cstheme="minorHAnsi"/>
          <w:sz w:val="20"/>
        </w:rPr>
        <w:t>administering the Australian Government’s $25 billion, four-year road safety investment</w:t>
      </w:r>
    </w:p>
    <w:p w14:paraId="6BAE89B9" w14:textId="77777777" w:rsidR="005A5FA1" w:rsidRPr="003E4580" w:rsidRDefault="005A5FA1" w:rsidP="00CB0804">
      <w:pPr>
        <w:pStyle w:val="ListParagraph"/>
        <w:numPr>
          <w:ilvl w:val="0"/>
          <w:numId w:val="18"/>
        </w:numPr>
        <w:rPr>
          <w:rFonts w:asciiTheme="minorHAnsi" w:hAnsiTheme="minorHAnsi" w:cstheme="minorHAnsi"/>
          <w:sz w:val="20"/>
        </w:rPr>
      </w:pPr>
      <w:r w:rsidRPr="003E4580">
        <w:rPr>
          <w:rFonts w:asciiTheme="minorHAnsi" w:hAnsiTheme="minorHAnsi" w:cstheme="minorHAnsi"/>
          <w:sz w:val="20"/>
        </w:rPr>
        <w:t>administering grants for sector-led road safety initiatives</w:t>
      </w:r>
    </w:p>
    <w:p w14:paraId="21E66490" w14:textId="77777777" w:rsidR="005A5FA1" w:rsidRPr="003E4580" w:rsidRDefault="005A5FA1" w:rsidP="00CB0804">
      <w:pPr>
        <w:pStyle w:val="ListParagraph"/>
        <w:numPr>
          <w:ilvl w:val="0"/>
          <w:numId w:val="18"/>
        </w:numPr>
        <w:rPr>
          <w:rFonts w:asciiTheme="minorHAnsi" w:hAnsiTheme="minorHAnsi" w:cstheme="minorHAnsi"/>
          <w:sz w:val="20"/>
        </w:rPr>
      </w:pPr>
      <w:r w:rsidRPr="003E4580">
        <w:rPr>
          <w:rFonts w:asciiTheme="minorHAnsi" w:hAnsiTheme="minorHAnsi" w:cstheme="minorHAnsi"/>
          <w:sz w:val="20"/>
        </w:rPr>
        <w:t>developing new programs and initiatives to support the goal of Vision Zero by 2050 and interim targets set through the National Road Safety Strategy</w:t>
      </w:r>
    </w:p>
    <w:p w14:paraId="1EACA096" w14:textId="77777777" w:rsidR="005A5FA1" w:rsidRPr="003E4580" w:rsidRDefault="005A5FA1" w:rsidP="005A5FA1">
      <w:pPr>
        <w:pStyle w:val="Heading3"/>
        <w:rPr>
          <w:rFonts w:cstheme="minorHAnsi"/>
        </w:rPr>
      </w:pPr>
      <w:bookmarkStart w:id="20" w:name="_Toc146894859"/>
      <w:r w:rsidRPr="003E4580">
        <w:rPr>
          <w:rFonts w:cstheme="minorHAnsi"/>
        </w:rPr>
        <w:t xml:space="preserve">Heavy </w:t>
      </w:r>
      <w:r w:rsidRPr="003E4580">
        <w:t>Vehicle</w:t>
      </w:r>
      <w:r w:rsidRPr="003E4580">
        <w:rPr>
          <w:rFonts w:cstheme="minorHAnsi"/>
        </w:rPr>
        <w:t xml:space="preserve"> Safety Initiative (HVSI)</w:t>
      </w:r>
      <w:bookmarkEnd w:id="20"/>
    </w:p>
    <w:p w14:paraId="19AF797B" w14:textId="0450162C" w:rsidR="005A5FA1" w:rsidRPr="003E4580" w:rsidRDefault="005A5FA1" w:rsidP="005A5FA1">
      <w:r w:rsidRPr="003E4580">
        <w:t>The Heavy Vehicle Safety Initiative (HVSI) program supports implementable, value-for-money projects that deliver tangible improvements to heavy vehicle safety.</w:t>
      </w:r>
      <w:r w:rsidR="003E5305" w:rsidRPr="003E4580">
        <w:t xml:space="preserve"> </w:t>
      </w:r>
      <w:r w:rsidRPr="003E4580">
        <w:t xml:space="preserve">The grants program </w:t>
      </w:r>
      <w:r w:rsidR="003E5305" w:rsidRPr="003E4580">
        <w:t xml:space="preserve">has allocated </w:t>
      </w:r>
      <w:r w:rsidRPr="003E4580">
        <w:t xml:space="preserve">over $28 million </w:t>
      </w:r>
      <w:r w:rsidR="003E5305" w:rsidRPr="003E4580">
        <w:t>to</w:t>
      </w:r>
      <w:r w:rsidRPr="003E4580">
        <w:t xml:space="preserve"> 117 projects. </w:t>
      </w:r>
      <w:r w:rsidR="00097DB5" w:rsidRPr="003E4580">
        <w:t xml:space="preserve">Of </w:t>
      </w:r>
      <w:r w:rsidRPr="003E4580">
        <w:t>the 6 rounds funded to date, successful projects are delivering outcomes aimed at making Australia’s roads safer for all users.</w:t>
      </w:r>
      <w:r w:rsidR="003E5305" w:rsidRPr="003E4580">
        <w:t xml:space="preserve"> Some examples include: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9"/>
        <w:gridCol w:w="3289"/>
      </w:tblGrid>
      <w:tr w:rsidR="00C766D1" w:rsidRPr="003E4580" w14:paraId="166748BB" w14:textId="77777777" w:rsidTr="00C86CCB">
        <w:tc>
          <w:tcPr>
            <w:tcW w:w="1666" w:type="pct"/>
          </w:tcPr>
          <w:p w14:paraId="7BD42385" w14:textId="77777777" w:rsidR="00C766D1" w:rsidRPr="003E4580" w:rsidRDefault="00C86CCB" w:rsidP="005A5FA1">
            <w:pPr>
              <w:rPr>
                <w:b/>
              </w:rPr>
            </w:pPr>
            <w:r w:rsidRPr="003E4580">
              <w:rPr>
                <w:b/>
              </w:rPr>
              <w:t>Organisation</w:t>
            </w:r>
          </w:p>
        </w:tc>
        <w:tc>
          <w:tcPr>
            <w:tcW w:w="1667" w:type="pct"/>
          </w:tcPr>
          <w:p w14:paraId="14639C3B" w14:textId="77777777" w:rsidR="00C766D1" w:rsidRPr="003E4580" w:rsidRDefault="00C86CCB" w:rsidP="005A5FA1">
            <w:pPr>
              <w:rPr>
                <w:b/>
              </w:rPr>
            </w:pPr>
            <w:r w:rsidRPr="003E4580">
              <w:rPr>
                <w:b/>
              </w:rPr>
              <w:t>Project Name</w:t>
            </w:r>
          </w:p>
        </w:tc>
        <w:tc>
          <w:tcPr>
            <w:tcW w:w="1667" w:type="pct"/>
          </w:tcPr>
          <w:p w14:paraId="4C6D4119" w14:textId="77777777" w:rsidR="00C766D1" w:rsidRPr="003E4580" w:rsidRDefault="00C86CCB" w:rsidP="005A5FA1">
            <w:pPr>
              <w:rPr>
                <w:b/>
              </w:rPr>
            </w:pPr>
            <w:r w:rsidRPr="003E4580">
              <w:rPr>
                <w:b/>
              </w:rPr>
              <w:t>Project Description</w:t>
            </w:r>
          </w:p>
        </w:tc>
      </w:tr>
      <w:tr w:rsidR="00C766D1" w:rsidRPr="003E4580" w14:paraId="752DCA01" w14:textId="77777777" w:rsidTr="00C86CCB">
        <w:tc>
          <w:tcPr>
            <w:tcW w:w="1666" w:type="pct"/>
          </w:tcPr>
          <w:p w14:paraId="135DEFF3" w14:textId="77777777" w:rsidR="00C766D1" w:rsidRPr="003E4580" w:rsidRDefault="00C766D1" w:rsidP="00C766D1">
            <w:r w:rsidRPr="003E4580">
              <w:t>Metro Tasmania</w:t>
            </w:r>
          </w:p>
          <w:p w14:paraId="15CAF1BB" w14:textId="77777777" w:rsidR="00C766D1" w:rsidRPr="003E4580" w:rsidRDefault="00C766D1" w:rsidP="005A5FA1"/>
        </w:tc>
        <w:tc>
          <w:tcPr>
            <w:tcW w:w="1667" w:type="pct"/>
          </w:tcPr>
          <w:p w14:paraId="25A84C1B" w14:textId="77777777" w:rsidR="00C766D1" w:rsidRPr="003E4580" w:rsidRDefault="00C766D1" w:rsidP="005A5FA1">
            <w:r w:rsidRPr="003E4580">
              <w:t>Intelligent Transport Advanced Driver Assistance Systems</w:t>
            </w:r>
          </w:p>
        </w:tc>
        <w:tc>
          <w:tcPr>
            <w:tcW w:w="1667" w:type="pct"/>
          </w:tcPr>
          <w:p w14:paraId="447C71FD" w14:textId="77777777" w:rsidR="00C766D1" w:rsidRPr="003E4580" w:rsidRDefault="00C766D1" w:rsidP="005A5FA1">
            <w:r w:rsidRPr="003E4580">
              <w:t>Improve the safety of Tasmanian roads by reducing pedestrian fatalities, at fault collisions and enhancing driver performance through the installation of Mobileye advanced driver assistance technologies.</w:t>
            </w:r>
          </w:p>
        </w:tc>
      </w:tr>
      <w:tr w:rsidR="00C86CCB" w:rsidRPr="003E4580" w14:paraId="5D30241C" w14:textId="77777777" w:rsidTr="00C86CCB">
        <w:tc>
          <w:tcPr>
            <w:tcW w:w="1666" w:type="pct"/>
          </w:tcPr>
          <w:p w14:paraId="78AB730F" w14:textId="77777777" w:rsidR="00C86CCB" w:rsidRPr="003E4580" w:rsidRDefault="00C86CCB" w:rsidP="00C766D1">
            <w:r w:rsidRPr="003E4580">
              <w:t>Orange City Council and Cabonne Shire Council</w:t>
            </w:r>
          </w:p>
        </w:tc>
        <w:tc>
          <w:tcPr>
            <w:tcW w:w="1667" w:type="pct"/>
          </w:tcPr>
          <w:p w14:paraId="6469F976" w14:textId="77777777" w:rsidR="00C86CCB" w:rsidRPr="003E4580" w:rsidRDefault="00C86CCB" w:rsidP="005A5FA1">
            <w:r w:rsidRPr="003E4580">
              <w:t>Power Nap - Don't Ignore the Early Warning Signs of Driver Fatigue</w:t>
            </w:r>
          </w:p>
        </w:tc>
        <w:tc>
          <w:tcPr>
            <w:tcW w:w="1667" w:type="pct"/>
          </w:tcPr>
          <w:p w14:paraId="50941D2D" w14:textId="77777777" w:rsidR="00C86CCB" w:rsidRPr="003E4580" w:rsidRDefault="00C86CCB" w:rsidP="005A5FA1">
            <w:r w:rsidRPr="003E4580">
              <w:t>Intervention strategy delivering Power nap and Driver Fatigue Awareness Day, a behavioural change campaign. To improve safety and reduce stress and anxiety in Heavy Vehicle drivers.</w:t>
            </w:r>
          </w:p>
        </w:tc>
      </w:tr>
      <w:tr w:rsidR="00C86CCB" w:rsidRPr="003E4580" w14:paraId="527A8646" w14:textId="77777777" w:rsidTr="00C86CCB">
        <w:tc>
          <w:tcPr>
            <w:tcW w:w="1666" w:type="pct"/>
          </w:tcPr>
          <w:p w14:paraId="1AE61B11" w14:textId="77777777" w:rsidR="00C86CCB" w:rsidRPr="003E4580" w:rsidRDefault="00C86CCB" w:rsidP="00C766D1">
            <w:r w:rsidRPr="003E4580">
              <w:t>South Australian Road Transport</w:t>
            </w:r>
          </w:p>
        </w:tc>
        <w:tc>
          <w:tcPr>
            <w:tcW w:w="1667" w:type="pct"/>
          </w:tcPr>
          <w:p w14:paraId="08A92D4D" w14:textId="77777777" w:rsidR="00C86CCB" w:rsidRPr="003E4580" w:rsidRDefault="00C86CCB" w:rsidP="005A5FA1">
            <w:r w:rsidRPr="003E4580">
              <w:t>Heavy Vehicle Simulator</w:t>
            </w:r>
          </w:p>
        </w:tc>
        <w:tc>
          <w:tcPr>
            <w:tcW w:w="1667" w:type="pct"/>
          </w:tcPr>
          <w:p w14:paraId="5D3B9972" w14:textId="0B1461E9" w:rsidR="00C86CCB" w:rsidRPr="003E4580" w:rsidRDefault="00C86CCB" w:rsidP="005A5FA1">
            <w:r w:rsidRPr="003E4580">
              <w:t>Purchase an HVS to provide general heavy vehicle skills training, including driving on high risk routes in South Australia, fatigue management and research.</w:t>
            </w:r>
          </w:p>
        </w:tc>
      </w:tr>
      <w:tr w:rsidR="00C86CCB" w:rsidRPr="003E4580" w14:paraId="352725BA" w14:textId="77777777" w:rsidTr="00C86CCB">
        <w:tc>
          <w:tcPr>
            <w:tcW w:w="1666" w:type="pct"/>
          </w:tcPr>
          <w:p w14:paraId="417E1FCB" w14:textId="77777777" w:rsidR="00C86CCB" w:rsidRPr="003E4580" w:rsidRDefault="00C86CCB" w:rsidP="00C766D1">
            <w:r w:rsidRPr="003E4580">
              <w:t>Wodonga Institute of TAFE</w:t>
            </w:r>
          </w:p>
        </w:tc>
        <w:tc>
          <w:tcPr>
            <w:tcW w:w="1667" w:type="pct"/>
          </w:tcPr>
          <w:p w14:paraId="1E968BF6" w14:textId="77777777" w:rsidR="00C86CCB" w:rsidRPr="003E4580" w:rsidRDefault="00C86CCB" w:rsidP="005A5FA1">
            <w:r w:rsidRPr="003E4580">
              <w:t>Multi-media Advanced Emergency Braking (AEB) Project</w:t>
            </w:r>
          </w:p>
        </w:tc>
        <w:tc>
          <w:tcPr>
            <w:tcW w:w="1667" w:type="pct"/>
          </w:tcPr>
          <w:p w14:paraId="10840E59" w14:textId="77777777" w:rsidR="00C86CCB" w:rsidRPr="003E4580" w:rsidRDefault="00C86CCB" w:rsidP="005A5FA1">
            <w:r w:rsidRPr="003E4580">
              <w:t>Educate transport operators and drivers about the benefits of voluntary early adoption and limitations of Electronic Stability Control and Advanced Emergency Braking safety technologies.</w:t>
            </w:r>
          </w:p>
        </w:tc>
      </w:tr>
    </w:tbl>
    <w:p w14:paraId="60F452A9" w14:textId="77777777" w:rsidR="005A5FA1" w:rsidRPr="003E4580" w:rsidRDefault="005A5FA1" w:rsidP="0025431D">
      <w:pPr>
        <w:pStyle w:val="Heading3"/>
      </w:pPr>
      <w:bookmarkStart w:id="21" w:name="_Toc146894860"/>
      <w:r w:rsidRPr="003E4580">
        <w:t>Driver Reviver Site Upgrades</w:t>
      </w:r>
      <w:bookmarkEnd w:id="21"/>
    </w:p>
    <w:p w14:paraId="181405D9" w14:textId="4E8DA047" w:rsidR="005A5FA1" w:rsidRPr="003E4580" w:rsidRDefault="005A5FA1" w:rsidP="005A5FA1">
      <w:r w:rsidRPr="003E4580">
        <w:t xml:space="preserve">The </w:t>
      </w:r>
      <w:r w:rsidR="003E5305" w:rsidRPr="003E4580">
        <w:t>Australian Government</w:t>
      </w:r>
      <w:r w:rsidRPr="003E4580">
        <w:t xml:space="preserve"> is investing $8 million over two years to improve amenities at driver reviver locations nation-wide and to support the establishment of new sites.</w:t>
      </w:r>
    </w:p>
    <w:p w14:paraId="53311140" w14:textId="77777777" w:rsidR="00C766D1" w:rsidRPr="003E4580" w:rsidRDefault="00C766D1" w:rsidP="00C766D1">
      <w:pPr>
        <w:rPr>
          <w:b/>
        </w:rPr>
      </w:pPr>
      <w:r w:rsidRPr="003E4580">
        <w:rPr>
          <w:b/>
        </w:rPr>
        <w:t>Round one</w:t>
      </w:r>
    </w:p>
    <w:p w14:paraId="1C6F9FAA" w14:textId="77777777" w:rsidR="00C766D1" w:rsidRPr="003E4580" w:rsidRDefault="00C766D1" w:rsidP="00C766D1">
      <w:r w:rsidRPr="003E4580">
        <w:t>Nearly $700,000 was shared by 22 organisations to purchase portable electronic variable message signs for 34 Driver Reviver sites around Australia under round one of the program.</w:t>
      </w:r>
    </w:p>
    <w:p w14:paraId="014D0751" w14:textId="77777777" w:rsidR="00C766D1" w:rsidRPr="003E4580" w:rsidRDefault="00C766D1" w:rsidP="00C766D1">
      <w:r w:rsidRPr="003E4580">
        <w:lastRenderedPageBreak/>
        <w:t>These signs promote awareness for operational Driver Reviver sites and are available for other road safety messaging when not required at the Driver Reviver sites.</w:t>
      </w:r>
    </w:p>
    <w:p w14:paraId="031E57A4" w14:textId="77777777" w:rsidR="00C766D1" w:rsidRPr="003E4580" w:rsidRDefault="00C766D1" w:rsidP="00C766D1">
      <w:r w:rsidRPr="003E4580">
        <w:rPr>
          <w:b/>
        </w:rPr>
        <w:t>Round two</w:t>
      </w:r>
    </w:p>
    <w:p w14:paraId="3E14DE4F" w14:textId="7FDA0A3F" w:rsidR="00C766D1" w:rsidRPr="003E4580" w:rsidRDefault="00C766D1" w:rsidP="00C766D1">
      <w:r w:rsidRPr="003E4580">
        <w:t>$7.2 million was committed under round two of the Driver Reviver program to upgra</w:t>
      </w:r>
      <w:r w:rsidR="003E5305" w:rsidRPr="003E4580">
        <w:t>de</w:t>
      </w:r>
      <w:r w:rsidRPr="003E4580">
        <w:t xml:space="preserve"> 71 roadside rest areas across the country.</w:t>
      </w:r>
    </w:p>
    <w:p w14:paraId="41A156B9" w14:textId="77777777" w:rsidR="00C766D1" w:rsidRPr="003E4580" w:rsidRDefault="00C766D1" w:rsidP="00C766D1">
      <w:r w:rsidRPr="003E4580">
        <w:t>Activities to be completed under round two, announced in September 2021 will include improvements to shelters, picnic tables, power and water facilities, barbeques, parking, lighting and kitchen facilities.</w:t>
      </w:r>
    </w:p>
    <w:p w14:paraId="6588D684" w14:textId="77777777" w:rsidR="00C766D1" w:rsidRPr="003E4580" w:rsidRDefault="00C766D1" w:rsidP="00C766D1">
      <w:r w:rsidRPr="003E4580">
        <w:t>The upgrades will assist volunteers to better support motorists manage their fatigue on long journeys, reducing the risk of crashes causing deaths and serious injuries.</w:t>
      </w:r>
    </w:p>
    <w:p w14:paraId="4D9A6197" w14:textId="77777777" w:rsidR="002F23D2" w:rsidRPr="003E4580" w:rsidRDefault="0025431D" w:rsidP="002F23D2">
      <w:pPr>
        <w:pStyle w:val="Heading2"/>
      </w:pPr>
      <w:bookmarkStart w:id="22" w:name="_Hlk130888383"/>
      <w:bookmarkStart w:id="23" w:name="_Toc146894861"/>
      <w:r w:rsidRPr="003E4580">
        <w:t>State a</w:t>
      </w:r>
      <w:bookmarkEnd w:id="22"/>
      <w:r w:rsidRPr="003E4580">
        <w:t>nd Territory Government actions</w:t>
      </w:r>
      <w:bookmarkEnd w:id="23"/>
    </w:p>
    <w:p w14:paraId="369EBD51" w14:textId="77777777" w:rsidR="0025431D" w:rsidRPr="003E4580" w:rsidRDefault="0025431D" w:rsidP="0025431D">
      <w:r w:rsidRPr="003E4580">
        <w:t>State and territory governments target identified heavy vehicle safety concerns through investment in research projects, education campaigns and strategic partnerships. Most jurisdictions have committed to ‘Towards Zero’ through their road safety strategies. The guiding vision is that no person should be killed or seriously injured on Australia’s roads: Safe road use, safe people, safe speeds and safe vehicles are the four cornerstones of this vision. Recognising that road safety is a complex issue, the strategies cover a range of actions, including campaigns that target:</w:t>
      </w:r>
    </w:p>
    <w:p w14:paraId="02D18FA4" w14:textId="77777777" w:rsidR="0025431D" w:rsidRPr="003E4580" w:rsidRDefault="0025431D" w:rsidP="00CB0804">
      <w:pPr>
        <w:pStyle w:val="ListParagraph"/>
        <w:numPr>
          <w:ilvl w:val="0"/>
          <w:numId w:val="19"/>
        </w:numPr>
        <w:autoSpaceDE/>
        <w:autoSpaceDN/>
        <w:adjustRightInd/>
        <w:spacing w:before="160" w:after="80" w:line="240" w:lineRule="auto"/>
        <w:textAlignment w:val="auto"/>
        <w:rPr>
          <w:rFonts w:asciiTheme="minorHAnsi" w:hAnsiTheme="minorHAnsi" w:cstheme="minorHAnsi"/>
          <w:sz w:val="20"/>
        </w:rPr>
      </w:pPr>
      <w:r w:rsidRPr="003E4580">
        <w:rPr>
          <w:rFonts w:asciiTheme="minorHAnsi" w:hAnsiTheme="minorHAnsi" w:cstheme="minorHAnsi"/>
          <w:sz w:val="20"/>
        </w:rPr>
        <w:t>Driver distraction awareness</w:t>
      </w:r>
    </w:p>
    <w:p w14:paraId="3C80376F" w14:textId="77777777" w:rsidR="0025431D" w:rsidRPr="003E4580" w:rsidRDefault="0025431D" w:rsidP="00CB0804">
      <w:pPr>
        <w:pStyle w:val="ListParagraph"/>
        <w:numPr>
          <w:ilvl w:val="0"/>
          <w:numId w:val="19"/>
        </w:numPr>
        <w:autoSpaceDE/>
        <w:autoSpaceDN/>
        <w:adjustRightInd/>
        <w:spacing w:before="160" w:after="80" w:line="240" w:lineRule="auto"/>
        <w:textAlignment w:val="auto"/>
        <w:rPr>
          <w:rFonts w:asciiTheme="minorHAnsi" w:hAnsiTheme="minorHAnsi" w:cstheme="minorHAnsi"/>
          <w:sz w:val="20"/>
        </w:rPr>
      </w:pPr>
      <w:r w:rsidRPr="003E4580">
        <w:rPr>
          <w:rFonts w:asciiTheme="minorHAnsi" w:hAnsiTheme="minorHAnsi" w:cstheme="minorHAnsi"/>
          <w:sz w:val="20"/>
        </w:rPr>
        <w:t>Safe driving</w:t>
      </w:r>
    </w:p>
    <w:p w14:paraId="1DDB614A" w14:textId="77777777" w:rsidR="0025431D" w:rsidRPr="003E4580" w:rsidRDefault="0025431D" w:rsidP="00CB0804">
      <w:pPr>
        <w:pStyle w:val="ListParagraph"/>
        <w:numPr>
          <w:ilvl w:val="0"/>
          <w:numId w:val="19"/>
        </w:numPr>
        <w:autoSpaceDE/>
        <w:autoSpaceDN/>
        <w:adjustRightInd/>
        <w:spacing w:before="160" w:after="80" w:line="240" w:lineRule="auto"/>
        <w:textAlignment w:val="auto"/>
        <w:rPr>
          <w:rFonts w:asciiTheme="minorHAnsi" w:hAnsiTheme="minorHAnsi" w:cstheme="minorHAnsi"/>
          <w:sz w:val="20"/>
        </w:rPr>
      </w:pPr>
      <w:r w:rsidRPr="003E4580">
        <w:rPr>
          <w:rFonts w:asciiTheme="minorHAnsi" w:hAnsiTheme="minorHAnsi" w:cstheme="minorHAnsi"/>
          <w:sz w:val="20"/>
        </w:rPr>
        <w:t>Road safety education and</w:t>
      </w:r>
    </w:p>
    <w:p w14:paraId="043014B3" w14:textId="77777777" w:rsidR="0025431D" w:rsidRPr="003E4580" w:rsidRDefault="0025431D" w:rsidP="00CB0804">
      <w:pPr>
        <w:pStyle w:val="ListParagraph"/>
        <w:numPr>
          <w:ilvl w:val="0"/>
          <w:numId w:val="19"/>
        </w:numPr>
        <w:autoSpaceDE/>
        <w:autoSpaceDN/>
        <w:adjustRightInd/>
        <w:spacing w:before="160" w:after="80" w:line="240" w:lineRule="auto"/>
        <w:textAlignment w:val="auto"/>
        <w:rPr>
          <w:rFonts w:asciiTheme="minorHAnsi" w:hAnsiTheme="minorHAnsi" w:cstheme="minorHAnsi"/>
          <w:sz w:val="20"/>
        </w:rPr>
      </w:pPr>
      <w:r w:rsidRPr="003E4580">
        <w:rPr>
          <w:rFonts w:asciiTheme="minorHAnsi" w:hAnsiTheme="minorHAnsi" w:cstheme="minorHAnsi"/>
          <w:sz w:val="20"/>
        </w:rPr>
        <w:t>Drivers to consider new and proven vehicle technology when purchasing a new vehicle.</w:t>
      </w:r>
    </w:p>
    <w:p w14:paraId="4396CF13" w14:textId="77777777" w:rsidR="00243707" w:rsidRPr="003E4580" w:rsidRDefault="00243707" w:rsidP="00243707">
      <w:r w:rsidRPr="003E4580">
        <w:t>Actions taken by state and territory governments to address heavy vehicle lane departure crashes include:</w:t>
      </w:r>
    </w:p>
    <w:p w14:paraId="0B92E0A6" w14:textId="77777777" w:rsidR="001A28F9" w:rsidRPr="003E4580" w:rsidRDefault="001A28F9" w:rsidP="002F23D2">
      <w:pPr>
        <w:rPr>
          <w:b/>
        </w:rPr>
      </w:pPr>
      <w:r w:rsidRPr="003E4580">
        <w:rPr>
          <w:b/>
        </w:rPr>
        <w:t>Australian Capital Territory</w:t>
      </w:r>
      <w:r w:rsidR="00243707" w:rsidRPr="003E4580">
        <w:rPr>
          <w:b/>
        </w:rPr>
        <w:t xml:space="preserve"> (ACT)</w:t>
      </w:r>
    </w:p>
    <w:p w14:paraId="1CC1047E" w14:textId="77777777" w:rsidR="001A28F9" w:rsidRPr="003E4580" w:rsidRDefault="00243707" w:rsidP="002F23D2">
      <w:r w:rsidRPr="003E4580">
        <w:t>The ACT is currently undertaking an assessment of ACT road infrastructure for compatibility with ADAS. By digitally mapping the ACT road network using the Mobileye system, information about the suitability of the ACT road network for ADAS technologies will be gathered. This will contribute to the effectiveness of LDWS.</w:t>
      </w:r>
    </w:p>
    <w:p w14:paraId="33D6147D" w14:textId="77777777" w:rsidR="00741BCE" w:rsidRPr="003E4580" w:rsidRDefault="00741BCE" w:rsidP="00741BCE">
      <w:pPr>
        <w:rPr>
          <w:b/>
        </w:rPr>
      </w:pPr>
      <w:r w:rsidRPr="003E4580">
        <w:rPr>
          <w:b/>
        </w:rPr>
        <w:t>Victoria</w:t>
      </w:r>
    </w:p>
    <w:p w14:paraId="36DCDA86" w14:textId="77777777" w:rsidR="00243707" w:rsidRPr="003E4580" w:rsidRDefault="00243707" w:rsidP="00243707">
      <w:r w:rsidRPr="003E4580">
        <w:t>As there are a number of major road and rail projects underway across Victoria, there is an increasing presence of trucks on roads as they transport material, equipment and machinery. This means more potential interactions between VRUs and trucks. In partnership with state government departments, non-government organisations and industry, the Construction Truck and Community Safety Project provides new tools and ways of working to improve safety for VRUs.</w:t>
      </w:r>
    </w:p>
    <w:p w14:paraId="51B81BB9" w14:textId="7594FBC2" w:rsidR="00243707" w:rsidRPr="003E4580" w:rsidRDefault="00243707" w:rsidP="00243707">
      <w:r w:rsidRPr="003E4580">
        <w:t xml:space="preserve">The Victorian </w:t>
      </w:r>
      <w:r w:rsidR="0079032E" w:rsidRPr="003E4580">
        <w:t>g</w:t>
      </w:r>
      <w:r w:rsidRPr="003E4580">
        <w:t>overnment is working to reduce the risks to vulnerable road users through a range of approaches including:</w:t>
      </w:r>
    </w:p>
    <w:p w14:paraId="1F0C6844" w14:textId="77777777" w:rsidR="00243707" w:rsidRPr="003E4580" w:rsidRDefault="00243707" w:rsidP="00CB0804">
      <w:pPr>
        <w:pStyle w:val="ListParagraph"/>
        <w:numPr>
          <w:ilvl w:val="0"/>
          <w:numId w:val="20"/>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fitting additional safety equipment to some heavy vehicles,</w:t>
      </w:r>
    </w:p>
    <w:p w14:paraId="3A08CD4C" w14:textId="77777777" w:rsidR="00243707" w:rsidRPr="003E4580" w:rsidRDefault="00243707" w:rsidP="00CB0804">
      <w:pPr>
        <w:pStyle w:val="ListParagraph"/>
        <w:numPr>
          <w:ilvl w:val="0"/>
          <w:numId w:val="20"/>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raising awareness with truck drivers on sharing the road with VRUs,</w:t>
      </w:r>
    </w:p>
    <w:p w14:paraId="7EB8B938" w14:textId="77777777" w:rsidR="00243707" w:rsidRPr="003E4580" w:rsidRDefault="00243707" w:rsidP="00CB0804">
      <w:pPr>
        <w:pStyle w:val="ListParagraph"/>
        <w:numPr>
          <w:ilvl w:val="0"/>
          <w:numId w:val="20"/>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improving the design of temporary road and footpath diversions around worksites, and</w:t>
      </w:r>
    </w:p>
    <w:p w14:paraId="0FA686AB" w14:textId="77777777" w:rsidR="00243707" w:rsidRPr="003E4580" w:rsidRDefault="00243707" w:rsidP="00CB0804">
      <w:pPr>
        <w:pStyle w:val="ListParagraph"/>
        <w:numPr>
          <w:ilvl w:val="0"/>
          <w:numId w:val="20"/>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providing information to VRUs about the safest behaviours around trucks.</w:t>
      </w:r>
    </w:p>
    <w:p w14:paraId="02890233" w14:textId="130E2D03" w:rsidR="00243707" w:rsidRPr="003E4580" w:rsidRDefault="00F73F6F" w:rsidP="00243707">
      <w:r w:rsidRPr="003E4580">
        <w:t>To improve the safety of</w:t>
      </w:r>
      <w:r w:rsidR="00243707" w:rsidRPr="003E4580">
        <w:t xml:space="preserve"> older vehicles, the Department of Transport (DoT) is monitoring the development and effectiveness of technology which can be retro-fitted in both light and heavy vehicles.</w:t>
      </w:r>
    </w:p>
    <w:p w14:paraId="21E17E85" w14:textId="62BF7128" w:rsidR="00C17141" w:rsidRPr="003E4580" w:rsidRDefault="00C17141" w:rsidP="00243707"/>
    <w:p w14:paraId="6564F840" w14:textId="77777777" w:rsidR="00C17141" w:rsidRPr="003E4580" w:rsidRDefault="00C17141" w:rsidP="00243707"/>
    <w:p w14:paraId="5D261B38" w14:textId="77777777" w:rsidR="00243707" w:rsidRPr="003E4580" w:rsidRDefault="00243707" w:rsidP="00243707">
      <w:r w:rsidRPr="003E4580">
        <w:lastRenderedPageBreak/>
        <w:t xml:space="preserve">The Victorian </w:t>
      </w:r>
      <w:r w:rsidR="0079032E" w:rsidRPr="003E4580">
        <w:t>g</w:t>
      </w:r>
      <w:r w:rsidRPr="003E4580">
        <w:t>overnment is working collaboratively with contractors to progressively fit safety equipment to some of the heavy vehicles servicing the higher risk worksites to enhance safety conditions for VRUs. This equipment includes:</w:t>
      </w:r>
    </w:p>
    <w:p w14:paraId="19EF1222" w14:textId="77777777" w:rsidR="00243707" w:rsidRPr="003E4580" w:rsidRDefault="00243707" w:rsidP="00D762EA">
      <w:pPr>
        <w:pStyle w:val="ListParagraph"/>
        <w:numPr>
          <w:ilvl w:val="0"/>
          <w:numId w:val="20"/>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side under-run protection,</w:t>
      </w:r>
    </w:p>
    <w:p w14:paraId="03976438" w14:textId="77777777" w:rsidR="00243707" w:rsidRPr="003E4580" w:rsidRDefault="00243707" w:rsidP="00D762EA">
      <w:pPr>
        <w:pStyle w:val="ListParagraph"/>
        <w:numPr>
          <w:ilvl w:val="0"/>
          <w:numId w:val="20"/>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cameras, mirrors and sensors to eliminate blind spots,</w:t>
      </w:r>
    </w:p>
    <w:p w14:paraId="61EC5EDB" w14:textId="77777777" w:rsidR="00243707" w:rsidRPr="003E4580" w:rsidRDefault="00243707" w:rsidP="00D762EA">
      <w:pPr>
        <w:pStyle w:val="ListParagraph"/>
        <w:numPr>
          <w:ilvl w:val="0"/>
          <w:numId w:val="20"/>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 xml:space="preserve">signage warning </w:t>
      </w:r>
      <w:r w:rsidR="0079032E" w:rsidRPr="003E4580">
        <w:rPr>
          <w:rFonts w:asciiTheme="minorHAnsi" w:hAnsiTheme="minorHAnsi" w:cstheme="minorBidi"/>
          <w:color w:val="000000" w:themeColor="text1"/>
          <w:kern w:val="12"/>
          <w:sz w:val="20"/>
          <w:szCs w:val="20"/>
        </w:rPr>
        <w:t>VRUs</w:t>
      </w:r>
      <w:r w:rsidRPr="003E4580">
        <w:rPr>
          <w:rFonts w:asciiTheme="minorHAnsi" w:hAnsiTheme="minorHAnsi" w:cstheme="minorBidi"/>
          <w:color w:val="000000" w:themeColor="text1"/>
          <w:kern w:val="12"/>
          <w:sz w:val="20"/>
          <w:szCs w:val="20"/>
        </w:rPr>
        <w:t xml:space="preserve"> about blind spots, and</w:t>
      </w:r>
    </w:p>
    <w:p w14:paraId="43FFDF56" w14:textId="77777777" w:rsidR="00243707" w:rsidRPr="003E4580" w:rsidRDefault="00243707" w:rsidP="00D762EA">
      <w:pPr>
        <w:pStyle w:val="ListParagraph"/>
        <w:numPr>
          <w:ilvl w:val="0"/>
          <w:numId w:val="20"/>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devices to sound a warning when the vehicle is about to turn left.</w:t>
      </w:r>
    </w:p>
    <w:p w14:paraId="4A27AFAC" w14:textId="12B30B81" w:rsidR="00243707" w:rsidRPr="003E4580" w:rsidRDefault="0079032E" w:rsidP="00243707">
      <w:r w:rsidRPr="003E4580">
        <w:t>The Victorian government notes that g</w:t>
      </w:r>
      <w:r w:rsidR="00243707" w:rsidRPr="003E4580">
        <w:t xml:space="preserve">enerally, </w:t>
      </w:r>
      <w:r w:rsidRPr="003E4580">
        <w:t xml:space="preserve">ADAS </w:t>
      </w:r>
      <w:r w:rsidR="00243707" w:rsidRPr="003E4580">
        <w:t xml:space="preserve">such as </w:t>
      </w:r>
      <w:r w:rsidRPr="003E4580">
        <w:t>AEB</w:t>
      </w:r>
      <w:r w:rsidR="003E5305" w:rsidRPr="003E4580">
        <w:t xml:space="preserve"> </w:t>
      </w:r>
      <w:r w:rsidR="00243707" w:rsidRPr="003E4580">
        <w:t xml:space="preserve">and fatigue detection can only be fitted by the vehicle manufacturer.  These technologies require extensive development and complex calibration for them to operate safely and reliably with other systems in the vehicle.  Accordingly, it is expensive and often not possible for these systems to be retro-fitted.  </w:t>
      </w:r>
    </w:p>
    <w:p w14:paraId="6F8B339F" w14:textId="77777777" w:rsidR="00243707" w:rsidRPr="003E4580" w:rsidRDefault="00243707" w:rsidP="00243707">
      <w:r w:rsidRPr="003E4580">
        <w:t>Considerations have been made to include these advanced safety systems that cannot be easily nor readily retrofitted onto in-service heavy vehicles for future contracts. On a contract-by-contract basis where new vehicles are required to be purchased, they will require safety technologies such as</w:t>
      </w:r>
      <w:r w:rsidR="0079032E" w:rsidRPr="003E4580">
        <w:t xml:space="preserve"> LDWS</w:t>
      </w:r>
      <w:r w:rsidRPr="003E4580">
        <w:t>. After-market products which provide audible, visual and haptic warnings to drivers continue to be monitored to assess the effectiveness and feasibility for retro-fitting.</w:t>
      </w:r>
    </w:p>
    <w:p w14:paraId="520AC7C1" w14:textId="70D0658C" w:rsidR="00741BCE" w:rsidRPr="003E4580" w:rsidRDefault="0079032E" w:rsidP="00243707">
      <w:r w:rsidRPr="003E4580">
        <w:t>The DoT</w:t>
      </w:r>
      <w:r w:rsidR="00243707" w:rsidRPr="003E4580">
        <w:t xml:space="preserve"> has designed and developed two e-Learning online courses to help educate fleet owners on the importance of ADAS in reducing road trauma. The courses help participants to make informed decisions and to only purchase the safest vehicle for their needs. DoT is exploring ways to roll these courses out to the wider community including heavy vehicle fleet operators.</w:t>
      </w:r>
    </w:p>
    <w:p w14:paraId="029E14C7" w14:textId="77777777" w:rsidR="00741BCE" w:rsidRPr="003E4580" w:rsidRDefault="00741BCE" w:rsidP="00741BCE">
      <w:pPr>
        <w:rPr>
          <w:b/>
        </w:rPr>
      </w:pPr>
      <w:r w:rsidRPr="003E4580">
        <w:rPr>
          <w:b/>
        </w:rPr>
        <w:t>New South Wales</w:t>
      </w:r>
    </w:p>
    <w:p w14:paraId="058FCBB9" w14:textId="14E3EDFC" w:rsidR="00A51A48" w:rsidRPr="003E4580" w:rsidRDefault="00A51A48" w:rsidP="00A51A48">
      <w:r w:rsidRPr="003E4580">
        <w:t>The NSW Government fleet operational guidelines (</w:t>
      </w:r>
      <w:r w:rsidRPr="003E4580">
        <w:rPr>
          <w:i/>
        </w:rPr>
        <w:t>Motor Vehicle Operational Guidelines</w:t>
      </w:r>
      <w:r w:rsidR="00582E2B" w:rsidRPr="003E4580">
        <w:t xml:space="preserve"> (</w:t>
      </w:r>
      <w:r w:rsidR="00DF4399" w:rsidRPr="003E4580">
        <w:t xml:space="preserve">NSW Government, </w:t>
      </w:r>
      <w:r w:rsidR="00582E2B" w:rsidRPr="003E4580">
        <w:t xml:space="preserve">2021)) </w:t>
      </w:r>
      <w:r w:rsidRPr="003E4580">
        <w:t>requires</w:t>
      </w:r>
      <w:r w:rsidR="00582E2B" w:rsidRPr="003E4580">
        <w:t>,</w:t>
      </w:r>
      <w:r w:rsidRPr="003E4580">
        <w:t xml:space="preserve"> where practicable and available</w:t>
      </w:r>
      <w:r w:rsidR="00582E2B" w:rsidRPr="003E4580">
        <w:t>,</w:t>
      </w:r>
      <w:r w:rsidRPr="003E4580">
        <w:t xml:space="preserve"> LDWS for heavy vehicles. These guidelines inform the Motor Vehicle Scheme, which covers the supply of motor vehicles to the NSW </w:t>
      </w:r>
      <w:r w:rsidR="006A24C4" w:rsidRPr="003E4580">
        <w:t>G</w:t>
      </w:r>
      <w:r w:rsidRPr="003E4580">
        <w:t>overnment fleet.</w:t>
      </w:r>
    </w:p>
    <w:p w14:paraId="788718E0" w14:textId="5C83502B" w:rsidR="00741BCE" w:rsidRPr="003E4580" w:rsidRDefault="00A51A48" w:rsidP="00A51A48">
      <w:r w:rsidRPr="003E4580">
        <w:t>Also since 2012, T</w:t>
      </w:r>
      <w:r w:rsidR="005D10D7" w:rsidRPr="003E4580">
        <w:t xml:space="preserve">ransport </w:t>
      </w:r>
      <w:r w:rsidRPr="003E4580">
        <w:t>f</w:t>
      </w:r>
      <w:r w:rsidR="005D10D7" w:rsidRPr="003E4580">
        <w:t xml:space="preserve">or </w:t>
      </w:r>
      <w:r w:rsidRPr="003E4580">
        <w:t xml:space="preserve">NSW has been promoting safety technologies such as LDWS through the </w:t>
      </w:r>
      <w:r w:rsidR="006A24C4" w:rsidRPr="003E4580">
        <w:rPr>
          <w:i/>
        </w:rPr>
        <w:t>Safety Technologies for Heavy Vehicle and Combinations</w:t>
      </w:r>
      <w:r w:rsidR="006A24C4" w:rsidRPr="003E4580">
        <w:t xml:space="preserve"> </w:t>
      </w:r>
      <w:r w:rsidRPr="003E4580">
        <w:t>publication.</w:t>
      </w:r>
      <w:r w:rsidR="006A24C4" w:rsidRPr="003E4580">
        <w:t xml:space="preserve"> The latest edition </w:t>
      </w:r>
      <w:r w:rsidR="00DF4399" w:rsidRPr="003E4580">
        <w:t>was</w:t>
      </w:r>
      <w:r w:rsidR="006A24C4" w:rsidRPr="003E4580">
        <w:t xml:space="preserve"> published in 2020 (TfNSW, 2020).</w:t>
      </w:r>
    </w:p>
    <w:p w14:paraId="71D241B3" w14:textId="77777777" w:rsidR="00741BCE" w:rsidRPr="003E4580" w:rsidRDefault="00741BCE" w:rsidP="00741BCE">
      <w:pPr>
        <w:rPr>
          <w:b/>
        </w:rPr>
      </w:pPr>
      <w:r w:rsidRPr="003E4580">
        <w:rPr>
          <w:b/>
        </w:rPr>
        <w:t>Tasmania</w:t>
      </w:r>
    </w:p>
    <w:p w14:paraId="2A2F5628" w14:textId="77777777" w:rsidR="003371E9" w:rsidRPr="003E4580" w:rsidRDefault="003371E9" w:rsidP="003371E9">
      <w:r w:rsidRPr="003E4580">
        <w:t xml:space="preserve">‘Lane departure’ crashes (run-off-road and head-on crashes) account for over two thirds of serious casualties on Tasmanian roads. Strategies to reduce lane departure crashes have the greatest potential to improve road safety in Tasmania. </w:t>
      </w:r>
    </w:p>
    <w:p w14:paraId="7509062F" w14:textId="77777777" w:rsidR="003371E9" w:rsidRPr="003E4580" w:rsidRDefault="003371E9" w:rsidP="003371E9">
      <w:r w:rsidRPr="003E4580">
        <w:t>The most common ‘lane departure’ crash type resulting in serious casualties is run-off-road crashes. Runoff-road crashes occur when a vehicle veers off the roadway or across the opposing traffic lane. Run-off-road crashes account for almost one in two serious casualties. The severity of this type of crash can be reduced by protecting roadside hazards with safety barriers or removing hazards where practicable. Improved line marking (delineation), including audible edge lines and road edge widening, can help in preventing this type of crash from occurring.</w:t>
      </w:r>
    </w:p>
    <w:p w14:paraId="763F281D" w14:textId="159B8CF0" w:rsidR="00741BCE" w:rsidRPr="003E4580" w:rsidRDefault="003371E9" w:rsidP="003371E9">
      <w:r w:rsidRPr="003E4580">
        <w:t xml:space="preserve">The other form of ‘lane departure’ crash is head-on crashes, which occur when vehicles travelling in opposing directions impact one another head/front on. Head-on crashes have increased and represent around one fifth of serious casualties. Physically separating opposing traffic with median or </w:t>
      </w:r>
      <w:r w:rsidR="003E4580" w:rsidRPr="003E4580">
        <w:t>centreline</w:t>
      </w:r>
      <w:r w:rsidRPr="003E4580">
        <w:t xml:space="preserve"> barrier is an effective method to prevent this crash type. Improved delineation can also help in reducing head-on crashes. Active vehicle technologies such as </w:t>
      </w:r>
      <w:r w:rsidR="00D17801" w:rsidRPr="003E4580">
        <w:t>ESC</w:t>
      </w:r>
      <w:r w:rsidRPr="003E4580">
        <w:t xml:space="preserve">, </w:t>
      </w:r>
      <w:r w:rsidR="00D17801" w:rsidRPr="003E4580">
        <w:t>LDWS</w:t>
      </w:r>
      <w:r w:rsidRPr="003E4580">
        <w:t xml:space="preserve">, and </w:t>
      </w:r>
      <w:r w:rsidR="00D17801" w:rsidRPr="003E4580">
        <w:t>AEB</w:t>
      </w:r>
      <w:r w:rsidRPr="003E4580">
        <w:t xml:space="preserve"> will increasingly play an important role in preventing lane departure crashes or reducing the severity when a crash of this type occurs</w:t>
      </w:r>
    </w:p>
    <w:p w14:paraId="6FF2E83A" w14:textId="77777777" w:rsidR="00D17801" w:rsidRPr="003E4580" w:rsidRDefault="00D17801" w:rsidP="00D17801">
      <w:pPr>
        <w:keepNext/>
        <w:jc w:val="center"/>
      </w:pPr>
      <w:r w:rsidRPr="003E4580">
        <w:rPr>
          <w:noProof/>
          <w:lang w:eastAsia="en-AU"/>
        </w:rPr>
        <w:lastRenderedPageBreak/>
        <w:drawing>
          <wp:inline distT="0" distB="0" distL="0" distR="0" wp14:anchorId="6DA2D9C9" wp14:editId="3A839D9C">
            <wp:extent cx="6263640" cy="2390140"/>
            <wp:effectExtent l="0" t="0" r="3810" b="0"/>
            <wp:docPr id="22" name="Picture 22" descr="Left image shows typical occurrence of lane departure crashes with run off road and head on crashes being the majority. The right hand growth shows typical speed zones where lane departure crashes occur, with the majority occurring in 80 km/h or over speed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3640" cy="2390140"/>
                    </a:xfrm>
                    <a:prstGeom prst="rect">
                      <a:avLst/>
                    </a:prstGeom>
                  </pic:spPr>
                </pic:pic>
              </a:graphicData>
            </a:graphic>
          </wp:inline>
        </w:drawing>
      </w:r>
    </w:p>
    <w:p w14:paraId="54C3F779" w14:textId="30058C3F" w:rsidR="003371E9" w:rsidRPr="003E4580" w:rsidRDefault="00D17801" w:rsidP="00D17801">
      <w:pPr>
        <w:pStyle w:val="Caption"/>
        <w:jc w:val="center"/>
      </w:pPr>
      <w:r w:rsidRPr="003E4580">
        <w:t xml:space="preserve">Figure </w:t>
      </w:r>
      <w:r w:rsidR="00BF64CF">
        <w:fldChar w:fldCharType="begin"/>
      </w:r>
      <w:r w:rsidR="00BF64CF">
        <w:instrText xml:space="preserve"> SEQ Figure \* ARABIC </w:instrText>
      </w:r>
      <w:r w:rsidR="00BF64CF">
        <w:fldChar w:fldCharType="separate"/>
      </w:r>
      <w:r w:rsidR="008E07C6" w:rsidRPr="003E4580">
        <w:rPr>
          <w:noProof/>
        </w:rPr>
        <w:t>5</w:t>
      </w:r>
      <w:r w:rsidR="00BF64CF">
        <w:rPr>
          <w:noProof/>
        </w:rPr>
        <w:fldChar w:fldCharType="end"/>
      </w:r>
      <w:r w:rsidRPr="003E4580">
        <w:t>: Towards Zero Tasmanian Road Safety Strategy 2017-2026 (</w:t>
      </w:r>
      <w:r w:rsidR="006A24C4" w:rsidRPr="003E4580">
        <w:t>DSG</w:t>
      </w:r>
      <w:r w:rsidRPr="003E4580">
        <w:t>, 20</w:t>
      </w:r>
      <w:r w:rsidR="006312A6" w:rsidRPr="003E4580">
        <w:t>16</w:t>
      </w:r>
      <w:r w:rsidRPr="003E4580">
        <w:t>)</w:t>
      </w:r>
      <w:r w:rsidR="00900B39">
        <w:br/>
      </w:r>
      <w:r w:rsidR="00694EFE" w:rsidRPr="003E4580">
        <w:rPr>
          <w:i/>
          <w:sz w:val="18"/>
        </w:rPr>
        <w:t>Typical occurrence of lane departure crashes (left) Typical speed zones where lane departure crashes occur (right)</w:t>
      </w:r>
    </w:p>
    <w:p w14:paraId="7CF9C747" w14:textId="77777777" w:rsidR="006B3284" w:rsidRPr="003E4580" w:rsidRDefault="006B3284" w:rsidP="006B3284">
      <w:pPr>
        <w:rPr>
          <w:rFonts w:cstheme="minorHAnsi"/>
        </w:rPr>
      </w:pPr>
      <w:r w:rsidRPr="003E4580">
        <w:rPr>
          <w:rFonts w:cstheme="minorHAnsi"/>
        </w:rPr>
        <w:t>The Tasmanian government’s key directions for safe roads and roadsides are:</w:t>
      </w:r>
    </w:p>
    <w:p w14:paraId="155EE555" w14:textId="77777777" w:rsidR="006B3284" w:rsidRPr="003E4580" w:rsidRDefault="006B3284" w:rsidP="00CB0804">
      <w:pPr>
        <w:pStyle w:val="ListParagraph"/>
        <w:numPr>
          <w:ilvl w:val="0"/>
          <w:numId w:val="20"/>
        </w:numPr>
        <w:rPr>
          <w:rFonts w:asciiTheme="minorHAnsi" w:hAnsiTheme="minorHAnsi" w:cstheme="minorHAnsi"/>
          <w:sz w:val="20"/>
          <w:szCs w:val="20"/>
        </w:rPr>
      </w:pPr>
      <w:r w:rsidRPr="003E4580">
        <w:rPr>
          <w:rFonts w:asciiTheme="minorHAnsi" w:hAnsiTheme="minorHAnsi" w:cstheme="minorHAnsi"/>
          <w:sz w:val="20"/>
          <w:szCs w:val="20"/>
        </w:rPr>
        <w:t>reduce run-off-road and head-on crashes through improved infrastructure</w:t>
      </w:r>
    </w:p>
    <w:p w14:paraId="7490AF23" w14:textId="77777777" w:rsidR="006B3284" w:rsidRPr="003E4580" w:rsidRDefault="006B3284" w:rsidP="00CB0804">
      <w:pPr>
        <w:pStyle w:val="ListParagraph"/>
        <w:numPr>
          <w:ilvl w:val="0"/>
          <w:numId w:val="20"/>
        </w:numPr>
        <w:rPr>
          <w:rFonts w:asciiTheme="minorHAnsi" w:hAnsiTheme="minorHAnsi" w:cstheme="minorHAnsi"/>
          <w:sz w:val="20"/>
          <w:szCs w:val="20"/>
        </w:rPr>
      </w:pPr>
      <w:r w:rsidRPr="003E4580">
        <w:rPr>
          <w:rFonts w:asciiTheme="minorHAnsi" w:hAnsiTheme="minorHAnsi" w:cstheme="minorHAnsi"/>
          <w:sz w:val="20"/>
          <w:szCs w:val="20"/>
        </w:rPr>
        <w:t>reduce the severity of intersection crashes through improved infrastructure treatments</w:t>
      </w:r>
    </w:p>
    <w:p w14:paraId="6D9BD9EF" w14:textId="77777777" w:rsidR="006B3284" w:rsidRPr="003E4580" w:rsidRDefault="006B3284" w:rsidP="00CB0804">
      <w:pPr>
        <w:pStyle w:val="ListParagraph"/>
        <w:numPr>
          <w:ilvl w:val="0"/>
          <w:numId w:val="20"/>
        </w:numPr>
        <w:rPr>
          <w:rFonts w:asciiTheme="minorHAnsi" w:hAnsiTheme="minorHAnsi" w:cstheme="minorHAnsi"/>
          <w:sz w:val="20"/>
          <w:szCs w:val="20"/>
        </w:rPr>
      </w:pPr>
      <w:r w:rsidRPr="003E4580">
        <w:rPr>
          <w:rFonts w:asciiTheme="minorHAnsi" w:hAnsiTheme="minorHAnsi" w:cstheme="minorHAnsi"/>
          <w:sz w:val="20"/>
          <w:szCs w:val="20"/>
        </w:rPr>
        <w:t>encourage the latest thinking in safe road design (the Safe System approach)</w:t>
      </w:r>
    </w:p>
    <w:p w14:paraId="0F04885C" w14:textId="77777777" w:rsidR="006B3284" w:rsidRPr="003E4580" w:rsidRDefault="006B3284" w:rsidP="00CB0804">
      <w:pPr>
        <w:pStyle w:val="ListParagraph"/>
        <w:numPr>
          <w:ilvl w:val="0"/>
          <w:numId w:val="20"/>
        </w:numPr>
        <w:rPr>
          <w:rFonts w:asciiTheme="minorHAnsi" w:hAnsiTheme="minorHAnsi" w:cstheme="minorHAnsi"/>
          <w:sz w:val="20"/>
          <w:szCs w:val="20"/>
        </w:rPr>
      </w:pPr>
      <w:r w:rsidRPr="003E4580">
        <w:rPr>
          <w:rFonts w:asciiTheme="minorHAnsi" w:hAnsiTheme="minorHAnsi" w:cstheme="minorHAnsi"/>
          <w:sz w:val="20"/>
          <w:szCs w:val="20"/>
        </w:rPr>
        <w:t>monitor the latest innovations in Safe System infrastructure treatments and trial in Tasmania</w:t>
      </w:r>
    </w:p>
    <w:p w14:paraId="3BEFDF81" w14:textId="7D5A068D" w:rsidR="006B3284" w:rsidRPr="003E4580" w:rsidRDefault="006B3284" w:rsidP="00CB0804">
      <w:pPr>
        <w:pStyle w:val="ListParagraph"/>
        <w:numPr>
          <w:ilvl w:val="0"/>
          <w:numId w:val="20"/>
        </w:numPr>
        <w:rPr>
          <w:rFonts w:asciiTheme="minorHAnsi" w:hAnsiTheme="minorHAnsi" w:cstheme="minorHAnsi"/>
          <w:sz w:val="20"/>
          <w:szCs w:val="20"/>
        </w:rPr>
      </w:pPr>
      <w:r w:rsidRPr="003E4580">
        <w:rPr>
          <w:rFonts w:asciiTheme="minorHAnsi" w:hAnsiTheme="minorHAnsi" w:cstheme="minorHAnsi"/>
          <w:sz w:val="20"/>
          <w:szCs w:val="20"/>
        </w:rPr>
        <w:t>reduce serious casualties through improved delineation (e.g. line marking)</w:t>
      </w:r>
    </w:p>
    <w:p w14:paraId="01BA42EB" w14:textId="6D6FCA1E" w:rsidR="00435DCB" w:rsidRPr="003E4580" w:rsidRDefault="00435DCB" w:rsidP="00C4625C">
      <w:pPr>
        <w:pStyle w:val="Heading2"/>
      </w:pPr>
      <w:bookmarkStart w:id="24" w:name="_Toc146894862"/>
      <w:r w:rsidRPr="003E4580">
        <w:t>Austroads - Harmonisation of Pavement Markings and National Pavement Marking Specification</w:t>
      </w:r>
      <w:bookmarkEnd w:id="24"/>
    </w:p>
    <w:p w14:paraId="14E567E4" w14:textId="4188E76C" w:rsidR="00694EFE" w:rsidRPr="003E4580" w:rsidRDefault="00435DCB" w:rsidP="00435DCB">
      <w:r w:rsidRPr="003E4580">
        <w:t xml:space="preserve">Pavement markings constitute a key element of safe system infrastructure to all road users. </w:t>
      </w:r>
      <w:r w:rsidR="00694EFE" w:rsidRPr="003E4580">
        <w:t>Consistent line markings will assist the implementation of new vehicle control technologies, such as other Advanced Driver Assistance Systems (ADAS) including LDWS. These systems operate by ‘reading’ the road and rely on high quality line markings to function effectively and as intended by the vehicle manufacturer. Current levels of sophistication in vehicle technology require infrastructure to support their effectiveness. It is possible that future developments in these systems will be less dependent on fully harmonized and high quality line markings.</w:t>
      </w:r>
    </w:p>
    <w:p w14:paraId="61692ECB" w14:textId="272B49AA" w:rsidR="00694EFE" w:rsidRPr="003E4580" w:rsidRDefault="00694EFE" w:rsidP="00435DCB">
      <w:r w:rsidRPr="003E4580">
        <w:t>To enable ADAS, Austroads recently investigated the longitudinal and transverse line marking types and width</w:t>
      </w:r>
      <w:r w:rsidR="00403F11" w:rsidRPr="003E4580">
        <w:t>s and other pavement markings (Austroads, 2018).</w:t>
      </w:r>
      <w:r w:rsidR="000C5EC3" w:rsidRPr="003E4580">
        <w:t xml:space="preserve"> The study resulted in an update to Australian Standard AS 1742.2:2009. The new version is AS 1742.</w:t>
      </w:r>
      <w:r w:rsidR="00CE3541" w:rsidRPr="003E4580">
        <w:t>2:2022</w:t>
      </w:r>
      <w:r w:rsidR="000C5EC3" w:rsidRPr="003E4580">
        <w:t xml:space="preserve"> and recommends that edge lines need to be 150 mm wide with a minimum retroreflectivity of 150 millicandela (mmcd/lux/m</w:t>
      </w:r>
      <w:r w:rsidR="000C5EC3" w:rsidRPr="003E4580">
        <w:rPr>
          <w:vertAlign w:val="superscript"/>
        </w:rPr>
        <w:t>2</w:t>
      </w:r>
      <w:r w:rsidR="000C5EC3" w:rsidRPr="003E4580">
        <w:t>; mcd).</w:t>
      </w:r>
    </w:p>
    <w:p w14:paraId="64E4E6B4" w14:textId="443969B8" w:rsidR="00435DCB" w:rsidRPr="003E4580" w:rsidRDefault="00435DCB" w:rsidP="00435DCB">
      <w:r w:rsidRPr="003E4580">
        <w:t>However, specifications for pavement markings and materials differ between road agencies and the intervention levels for the replacement</w:t>
      </w:r>
      <w:r w:rsidR="00C4625C" w:rsidRPr="003E4580">
        <w:t xml:space="preserve"> or </w:t>
      </w:r>
      <w:r w:rsidRPr="003E4580">
        <w:t>remarking of pavement markings also differ; as a result, many do not comply with Australian Standard AS 1742.2:2009. There is a strong need for harmonised performance-based specifications</w:t>
      </w:r>
      <w:r w:rsidR="00C4625C" w:rsidRPr="003E4580">
        <w:t xml:space="preserve"> and </w:t>
      </w:r>
      <w:r w:rsidRPr="003E4580">
        <w:t xml:space="preserve">design criteria for pavement markings. The development of a harmonised performance-based specification for </w:t>
      </w:r>
      <w:r w:rsidR="003E4580" w:rsidRPr="003E4580">
        <w:t>line markings</w:t>
      </w:r>
      <w:r w:rsidRPr="003E4580">
        <w:t xml:space="preserve"> has been on the Austroads Road Authority Pavement Markings Group (RAPMG) agenda for several years. </w:t>
      </w:r>
    </w:p>
    <w:p w14:paraId="799503E8" w14:textId="77777777" w:rsidR="00C17141" w:rsidRPr="003E4580" w:rsidRDefault="00C17141" w:rsidP="00435DCB"/>
    <w:p w14:paraId="7C5E2689" w14:textId="77777777" w:rsidR="00741BCE" w:rsidRPr="003E4580" w:rsidRDefault="00741BCE" w:rsidP="00035E18">
      <w:pPr>
        <w:pStyle w:val="Heading2"/>
      </w:pPr>
      <w:bookmarkStart w:id="25" w:name="_Toc146894863"/>
      <w:r w:rsidRPr="003E4580">
        <w:lastRenderedPageBreak/>
        <w:t>National Vehicle Standards</w:t>
      </w:r>
      <w:bookmarkEnd w:id="25"/>
    </w:p>
    <w:p w14:paraId="42F94B55" w14:textId="3166E7A1" w:rsidR="00741BCE" w:rsidRPr="003E4580" w:rsidRDefault="00741BCE" w:rsidP="00741BCE">
      <w:r w:rsidRPr="003E4580">
        <w:t xml:space="preserve">The Australian Government administers the </w:t>
      </w:r>
      <w:r w:rsidRPr="003E4580">
        <w:rPr>
          <w:i/>
        </w:rPr>
        <w:t>Road Vehicle Standards Act 2018</w:t>
      </w:r>
      <w:r w:rsidRPr="003E4580">
        <w:t xml:space="preserve"> (RVSA), which requires that all new road vehicles, whether they are manufactured in Australia or are imported, comply with national vehicle standards known as the ADRs, before they can be offered to the market for use in transport in Australia. The ADRs set minimum national standards for vehicle safety</w:t>
      </w:r>
      <w:r w:rsidR="00DA04D9" w:rsidRPr="003E4580">
        <w:t>,</w:t>
      </w:r>
      <w:r w:rsidRPr="003E4580">
        <w:t xml:space="preserve"> emission and anti-theft performance</w:t>
      </w:r>
      <w:r w:rsidR="00F73F6F" w:rsidRPr="003E4580">
        <w:t>, which includes</w:t>
      </w:r>
      <w:r w:rsidRPr="003E4580">
        <w:t xml:space="preserve"> the use of technological measures to reduce </w:t>
      </w:r>
      <w:r w:rsidR="008D1081" w:rsidRPr="003E4580">
        <w:t>crashes</w:t>
      </w:r>
      <w:r w:rsidRPr="003E4580">
        <w:t xml:space="preserve"> from heavy vehicles leaving their lane</w:t>
      </w:r>
      <w:r w:rsidR="00FE6024" w:rsidRPr="003E4580">
        <w:t xml:space="preserve"> unintentionally</w:t>
      </w:r>
      <w:r w:rsidRPr="003E4580">
        <w:t>.</w:t>
      </w:r>
    </w:p>
    <w:p w14:paraId="6F162463" w14:textId="2995CF50" w:rsidR="00D561DD" w:rsidRPr="003E4580" w:rsidRDefault="00D561DD" w:rsidP="00D561DD">
      <w:r w:rsidRPr="003E4580">
        <w:t xml:space="preserve">Once a vehicle is supplied to the market in Australia, regulation passes to the state and territory governments, which are responsible for in-service requirements such as registration, road-worthiness and vehicle modifications. This is principally done through legislation based on the Australian Light Vehicle Standards Rules (ALVSRs), which is managed by the National Transport Commission (NTC), and the Heavy Vehicle National Law (HVNL), which is administered by the National Heavy Vehicle Regulator (NHVR). </w:t>
      </w:r>
      <w:r w:rsidR="005F3BA9" w:rsidRPr="003E4580">
        <w:t>WA and NT</w:t>
      </w:r>
      <w:r w:rsidR="00936268" w:rsidRPr="003E4580">
        <w:t xml:space="preserve"> have their own arrangements for administering heavy vehicles within their jurisdictions. </w:t>
      </w:r>
      <w:r w:rsidRPr="003E4580">
        <w:t>Both the ALVSRs and the HVNL have as a general principle that vehicles will continue to comply with relevant ADRs even when fitted with replacement parts or modifications. The ALVSRs cover areas such as light vehicle emissions and car safety standards.</w:t>
      </w:r>
    </w:p>
    <w:p w14:paraId="70CBD591" w14:textId="77777777" w:rsidR="008D1081" w:rsidRPr="003E4580" w:rsidRDefault="008D1081" w:rsidP="008D1081">
      <w:pPr>
        <w:pStyle w:val="Heading3"/>
      </w:pPr>
      <w:bookmarkStart w:id="26" w:name="_Toc146894864"/>
      <w:r w:rsidRPr="003E4580">
        <w:t>Front Underrun Impact Protection Devices</w:t>
      </w:r>
      <w:bookmarkEnd w:id="26"/>
    </w:p>
    <w:p w14:paraId="12635E90" w14:textId="182C9F5B" w:rsidR="006C1340" w:rsidRPr="003E4580" w:rsidRDefault="008D1081" w:rsidP="002F23D2">
      <w:r w:rsidRPr="003E4580">
        <w:t xml:space="preserve">When a heavy vehicle unintentionally </w:t>
      </w:r>
      <w:r w:rsidR="00383937" w:rsidRPr="003E4580">
        <w:t>deviates</w:t>
      </w:r>
      <w:r w:rsidRPr="003E4580">
        <w:t xml:space="preserve"> from its lane and enters oncoming traffic, a head-on collision can occur between the heavy vehicle and a light vehicle causing vehicle underrun, thereby increasing the severity of the outcome. This has been mitigated as much as possible by the introduction of ADR 84 - Front Underrun Impact Protection in 2009.  Front underrun protection systems reduce the severity of trauma when a head-on collision occurs between a heavy and a light vehicle, but cannot reduce the frequency of those collisions. </w:t>
      </w:r>
      <w:r w:rsidR="00FE6024" w:rsidRPr="003E4580">
        <w:t xml:space="preserve">Whereas </w:t>
      </w:r>
      <w:r w:rsidRPr="003E4580">
        <w:t>actions targeting heavy vehicle driver</w:t>
      </w:r>
      <w:r w:rsidR="00FE6024" w:rsidRPr="003E4580">
        <w:t>s</w:t>
      </w:r>
      <w:r w:rsidRPr="003E4580">
        <w:t xml:space="preserve"> and fleet managers can help reduce the frequency of heavy vehicle at-fault crashes, technology such as LDWS can also help prevent such crashes occurring.</w:t>
      </w:r>
    </w:p>
    <w:p w14:paraId="155BECF1" w14:textId="3D836C58" w:rsidR="00EC73F3" w:rsidRPr="003E4580" w:rsidRDefault="00334C33" w:rsidP="00EC73F3">
      <w:pPr>
        <w:pStyle w:val="Heading3"/>
      </w:pPr>
      <w:bookmarkStart w:id="27" w:name="_Toc146894865"/>
      <w:r w:rsidRPr="003E4580">
        <w:t>Construction Logistics and Community Safety-Australia (</w:t>
      </w:r>
      <w:r w:rsidR="00EC73F3" w:rsidRPr="003E4580">
        <w:t>CLOCS – A</w:t>
      </w:r>
      <w:r w:rsidRPr="003E4580">
        <w:t>)</w:t>
      </w:r>
      <w:bookmarkEnd w:id="27"/>
    </w:p>
    <w:p w14:paraId="5658E3CE" w14:textId="77777777" w:rsidR="00334C33" w:rsidRPr="003E4580" w:rsidRDefault="00334C33" w:rsidP="00334C33">
      <w:r w:rsidRPr="003E4580">
        <w:t xml:space="preserve">CLOCS-A is a national approach for managing the risks and impacts associated with a construction project’s on-road transport and logistics activities to community road safety. It was developed to provide a consistent framework for industry to achieve and has been inspired by the success of the Construction Logistics and Community Safety (CLOCS) program established in the United Kingdom in reducing road trauma associated with construction logistics. </w:t>
      </w:r>
    </w:p>
    <w:p w14:paraId="2B2831D9" w14:textId="77777777" w:rsidR="00334C33" w:rsidRPr="003E4580" w:rsidRDefault="00334C33" w:rsidP="00334C33">
      <w:r w:rsidRPr="003E4580">
        <w:t xml:space="preserve">The CLOCS-A program has established a safer vehicles technical group to develop supporting standards, policies and tools required in construction and transport vehicles supporting construction projects to reduce harm (CLOCS-A, 2021). Recognising the movement of construction vehicles in populated areas can present hazards for the public, particularly vulnerable road users, CLOCS-A seeks to prioritise and promote the use of safer heavy vehicles through awarding accreditation on a 3-tiered approach – that is Bronze, Silver and Gold (CLOCS-A, 2022). </w:t>
      </w:r>
    </w:p>
    <w:p w14:paraId="400D2DC5" w14:textId="6555965E" w:rsidR="00334C33" w:rsidRPr="003E4580" w:rsidRDefault="00334C33" w:rsidP="00334C33">
      <w:r w:rsidRPr="003E4580">
        <w:t>Lane Departure Warning has been identified under the Gold tier as encouraging leading safety technologies and to future proof vehicles. This forms the highest mandatory standard for heavy vehicles complying with the CLOCS-A technical requirements (CLOCS-A, 2022).</w:t>
      </w:r>
    </w:p>
    <w:p w14:paraId="7F79232D" w14:textId="77777777" w:rsidR="00044540" w:rsidRPr="003E4580" w:rsidRDefault="00044540" w:rsidP="00044540">
      <w:pPr>
        <w:pStyle w:val="Heading1"/>
      </w:pPr>
      <w:bookmarkStart w:id="28" w:name="_Toc146894866"/>
      <w:r w:rsidRPr="003E4580">
        <w:t>Chapter 2: Why is government action needed?</w:t>
      </w:r>
      <w:bookmarkEnd w:id="28"/>
    </w:p>
    <w:p w14:paraId="65476A89" w14:textId="77777777" w:rsidR="00AF3413" w:rsidRPr="003E4580" w:rsidRDefault="00AF3413" w:rsidP="00AF3413">
      <w:pPr>
        <w:pStyle w:val="Heading2"/>
      </w:pPr>
      <w:bookmarkStart w:id="29" w:name="_Toc146894867"/>
      <w:r w:rsidRPr="003E4580">
        <w:t>The need for government action</w:t>
      </w:r>
      <w:bookmarkEnd w:id="29"/>
    </w:p>
    <w:p w14:paraId="7FCEE6E7" w14:textId="77777777" w:rsidR="006C1340" w:rsidRPr="003E4580" w:rsidRDefault="006C1340" w:rsidP="006C1340">
      <w:r w:rsidRPr="003E4580">
        <w:t xml:space="preserve">Government action may be needed where the market fails to provide the most efficient and effective solution to a problem. In this case the problem is that crashes involving a heavy vehicle drifting outside </w:t>
      </w:r>
      <w:r w:rsidR="00A004E9" w:rsidRPr="003E4580">
        <w:t>its</w:t>
      </w:r>
      <w:r w:rsidRPr="003E4580">
        <w:t xml:space="preserve"> lane are estimated to cost </w:t>
      </w:r>
      <w:r w:rsidRPr="003E4580">
        <w:lastRenderedPageBreak/>
        <w:t>the Australian community around $</w:t>
      </w:r>
      <w:r w:rsidR="00E14A0B" w:rsidRPr="003E4580">
        <w:t xml:space="preserve">63 </w:t>
      </w:r>
      <w:r w:rsidRPr="003E4580">
        <w:t>million every year</w:t>
      </w:r>
      <w:r w:rsidR="00E14A0B" w:rsidRPr="003E4580">
        <w:t xml:space="preserve"> (</w:t>
      </w:r>
      <w:r w:rsidR="00A004E9" w:rsidRPr="003E4580">
        <w:t>Budd &amp; Newstead</w:t>
      </w:r>
      <w:r w:rsidR="00E14A0B" w:rsidRPr="003E4580">
        <w:t>, 2014)</w:t>
      </w:r>
      <w:r w:rsidRPr="003E4580">
        <w:t>. These crashes are not reducing as much as they could, given the availability of effective safety technologies.</w:t>
      </w:r>
    </w:p>
    <w:p w14:paraId="3F7D23A7" w14:textId="77777777" w:rsidR="006C1340" w:rsidRPr="003E4580" w:rsidRDefault="006C1340" w:rsidP="006C1340">
      <w:r w:rsidRPr="003E4580">
        <w:t>In Australia, the introduction of safety technologies through market action alone is significantly slower for heavy vehicles than it is for light vehicles. A major reason for this is the nature of construction of heavy vehicles. In comparison to light vehicles (for example cars and Sports Utility Vehicles), heavy vehicles are more likely to be built to order, with engines, drivetrains, suspensions, brakes, axles and safety systems individually specified by the purchasing business. Heavy vehicles constitute a substantial financial investment and are generally configured for business use. Purchasers may in some instances focus primarily on maximising economic productivity rather than on the safety of other road users.</w:t>
      </w:r>
    </w:p>
    <w:p w14:paraId="3ECDA1B3" w14:textId="5371E35C" w:rsidR="008130B1" w:rsidRPr="003E4580" w:rsidRDefault="008130B1" w:rsidP="006C1340">
      <w:r w:rsidRPr="003E4580">
        <w:t>A significant number of heavy vehicles are built in Australia specifically for the Australian market</w:t>
      </w:r>
      <w:r w:rsidR="003A01CA" w:rsidRPr="003E4580">
        <w:t xml:space="preserve"> - </w:t>
      </w:r>
      <w:r w:rsidR="005B3E11" w:rsidRPr="003E4580">
        <w:t>more than 35</w:t>
      </w:r>
      <w:r w:rsidRPr="003E4580">
        <w:t xml:space="preserve"> per cent of heavy duty trucks (see Figure </w:t>
      </w:r>
      <w:r w:rsidR="00CC6F65" w:rsidRPr="003E4580">
        <w:t>6</w:t>
      </w:r>
      <w:r w:rsidR="00DA6EC0" w:rsidRPr="003E4580">
        <w:t xml:space="preserve"> </w:t>
      </w:r>
      <w:r w:rsidRPr="003E4580">
        <w:t>below), more than 80 per cent of the heavy haulage vehicles used in the mining industry and around</w:t>
      </w:r>
      <w:r w:rsidR="005B3E11" w:rsidRPr="003E4580">
        <w:t xml:space="preserve"> </w:t>
      </w:r>
      <w:r w:rsidRPr="003E4580">
        <w:t xml:space="preserve">95 per cent of heavy trailers. </w:t>
      </w:r>
      <w:r w:rsidR="005B3E11" w:rsidRPr="003E4580">
        <w:t xml:space="preserve">Around two thirds of heavy trucks are imported, mostly from Japan or Europe. </w:t>
      </w:r>
      <w:r w:rsidRPr="003E4580">
        <w:t xml:space="preserve">This means that the designs and regulations effective in other markets will have a lesser influence on the makeup of the Australian heavy duty truck fleet. </w:t>
      </w:r>
      <w:r w:rsidR="00A42C6E" w:rsidRPr="003E4580">
        <w:t>Consequently,</w:t>
      </w:r>
      <w:r w:rsidR="00DA6EC0" w:rsidRPr="003E4580">
        <w:t xml:space="preserve"> </w:t>
      </w:r>
      <w:r w:rsidR="00A42C6E" w:rsidRPr="003E4580">
        <w:t>the</w:t>
      </w:r>
      <w:r w:rsidRPr="003E4580">
        <w:t xml:space="preserve"> rate of fitment of </w:t>
      </w:r>
      <w:r w:rsidR="00A70107" w:rsidRPr="003E4580">
        <w:t xml:space="preserve">primary and secondary </w:t>
      </w:r>
      <w:r w:rsidRPr="003E4580">
        <w:t xml:space="preserve">safety systems in the Australian </w:t>
      </w:r>
      <w:r w:rsidR="00A70107" w:rsidRPr="003E4580">
        <w:t xml:space="preserve">heavy vehicle </w:t>
      </w:r>
      <w:r w:rsidRPr="003E4580">
        <w:t>market is likely to remain relatively independent of fitment rates in other markets, in the absence of market intervention.</w:t>
      </w:r>
      <w:r w:rsidR="00B64FBE" w:rsidRPr="003E4580">
        <w:t xml:space="preserve"> </w:t>
      </w:r>
    </w:p>
    <w:p w14:paraId="71C1164F" w14:textId="1F769241" w:rsidR="008D71A3" w:rsidRPr="003E4580" w:rsidRDefault="008D71A3" w:rsidP="008D71A3">
      <w:pPr>
        <w:pStyle w:val="Caption"/>
        <w:keepNext/>
      </w:pPr>
      <w:r w:rsidRPr="003E4580">
        <w:t xml:space="preserve">Figure </w:t>
      </w:r>
      <w:r w:rsidR="00BF64CF">
        <w:fldChar w:fldCharType="begin"/>
      </w:r>
      <w:r w:rsidR="00BF64CF">
        <w:instrText xml:space="preserve"> SEQ Figure \* ARABIC </w:instrText>
      </w:r>
      <w:r w:rsidR="00BF64CF">
        <w:fldChar w:fldCharType="separate"/>
      </w:r>
      <w:r w:rsidR="008E07C6" w:rsidRPr="003E4580">
        <w:rPr>
          <w:noProof/>
        </w:rPr>
        <w:t>6</w:t>
      </w:r>
      <w:r w:rsidR="00BF64CF">
        <w:rPr>
          <w:noProof/>
        </w:rPr>
        <w:fldChar w:fldCharType="end"/>
      </w:r>
      <w:r w:rsidRPr="003E4580">
        <w:t>: Truck sales in Australia by country/region of manufacture (T</w:t>
      </w:r>
      <w:r w:rsidR="00A20144" w:rsidRPr="003E4580">
        <w:t xml:space="preserve">ruck </w:t>
      </w:r>
      <w:r w:rsidRPr="003E4580">
        <w:t>I</w:t>
      </w:r>
      <w:r w:rsidR="00A20144" w:rsidRPr="003E4580">
        <w:t xml:space="preserve">ndustry </w:t>
      </w:r>
      <w:r w:rsidRPr="003E4580">
        <w:t>C</w:t>
      </w:r>
      <w:r w:rsidR="00A20144" w:rsidRPr="003E4580">
        <w:t>ouncil</w:t>
      </w:r>
      <w:r w:rsidRPr="003E4580">
        <w:t>,</w:t>
      </w:r>
      <w:r w:rsidR="00334C33" w:rsidRPr="003E4580">
        <w:t xml:space="preserve"> </w:t>
      </w:r>
      <w:r w:rsidRPr="003E4580">
        <w:t>2021).</w:t>
      </w:r>
    </w:p>
    <w:p w14:paraId="1781BD14" w14:textId="77777777" w:rsidR="00330B51" w:rsidRPr="003E4580" w:rsidRDefault="00330B51" w:rsidP="006C1340">
      <w:r w:rsidRPr="003E4580">
        <w:rPr>
          <w:noProof/>
          <w:lang w:eastAsia="en-AU"/>
        </w:rPr>
        <w:drawing>
          <wp:inline distT="0" distB="0" distL="0" distR="0" wp14:anchorId="1600A551" wp14:editId="795CC9AD">
            <wp:extent cx="6263640" cy="2369290"/>
            <wp:effectExtent l="0" t="0" r="3810" b="0"/>
            <wp:docPr id="14" name="Picture 14" descr="Left chart shows proportion of medium truck sales by country of origin with the vast majority coming from Japan. Right chart shows proportion of heavy truck sales by country of origin with a near even split for the majority of vehicles coming from Japan or Australian made, with the reminder provided by Europe and United Stat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3640" cy="2369290"/>
                    </a:xfrm>
                    <a:prstGeom prst="rect">
                      <a:avLst/>
                    </a:prstGeom>
                    <a:noFill/>
                    <a:ln>
                      <a:noFill/>
                    </a:ln>
                  </pic:spPr>
                </pic:pic>
              </a:graphicData>
            </a:graphic>
          </wp:inline>
        </w:drawing>
      </w:r>
    </w:p>
    <w:p w14:paraId="673F5CCA" w14:textId="767D0EF5" w:rsidR="008130B1" w:rsidRPr="003E4580" w:rsidRDefault="008130B1" w:rsidP="006C1340">
      <w:r w:rsidRPr="003E4580">
        <w:t xml:space="preserve">Businesses profit from the manufacture of heavy vehicles and from their operation on Australia’s public road network. However, heavy vehicle trauma and associated financial costs are borne by all road network users and the broader Australian community more generally. Though actions </w:t>
      </w:r>
      <w:r w:rsidR="00FE6024" w:rsidRPr="003E4580">
        <w:t xml:space="preserve">targeting </w:t>
      </w:r>
      <w:r w:rsidRPr="003E4580">
        <w:t>driver</w:t>
      </w:r>
      <w:r w:rsidR="00FE6024" w:rsidRPr="003E4580">
        <w:t>s</w:t>
      </w:r>
      <w:r w:rsidRPr="003E4580">
        <w:t xml:space="preserve"> and fleet managers can reduce the frequency of heavy vehicle at-fault crashes, technology such as ABS, ESC, AEB</w:t>
      </w:r>
      <w:r w:rsidR="00787321" w:rsidRPr="003E4580">
        <w:t xml:space="preserve"> </w:t>
      </w:r>
      <w:r w:rsidRPr="003E4580">
        <w:t xml:space="preserve">and LDWS can also </w:t>
      </w:r>
      <w:r w:rsidR="00FE6024" w:rsidRPr="003E4580">
        <w:t xml:space="preserve">prevent </w:t>
      </w:r>
      <w:r w:rsidRPr="003E4580">
        <w:t>crashes and/or mitigate crash severity.</w:t>
      </w:r>
    </w:p>
    <w:p w14:paraId="04D797E3" w14:textId="0D50C34C" w:rsidR="0066500C" w:rsidRPr="003E4580" w:rsidRDefault="00A20144" w:rsidP="00B34190">
      <w:r w:rsidRPr="003E4580">
        <w:t>Australian r</w:t>
      </w:r>
      <w:r w:rsidR="00E14A0B" w:rsidRPr="003E4580">
        <w:t xml:space="preserve">esearch </w:t>
      </w:r>
      <w:r w:rsidRPr="003E4580">
        <w:t xml:space="preserve">(Budd &amp; Newstead, 2014) </w:t>
      </w:r>
      <w:r w:rsidR="00E14A0B" w:rsidRPr="003E4580">
        <w:t>showed that although only four per</w:t>
      </w:r>
      <w:r w:rsidRPr="003E4580">
        <w:t xml:space="preserve"> </w:t>
      </w:r>
      <w:r w:rsidR="00E14A0B" w:rsidRPr="003E4580">
        <w:t>cent of Australian heavy vehicle crashed vehicles were identified as sensitive to LDWS, the protection offered was greater for higher sev</w:t>
      </w:r>
      <w:r w:rsidR="005F2921" w:rsidRPr="003E4580">
        <w:t>erity crashes with 11 per cent</w:t>
      </w:r>
      <w:r w:rsidR="00E14A0B" w:rsidRPr="003E4580">
        <w:t xml:space="preserve"> of fatal </w:t>
      </w:r>
      <w:r w:rsidR="005F2921" w:rsidRPr="003E4580">
        <w:t xml:space="preserve">crashes sensitive to LDWS. </w:t>
      </w:r>
    </w:p>
    <w:p w14:paraId="5DEAA585" w14:textId="77777777" w:rsidR="00042060" w:rsidRPr="003E4580" w:rsidRDefault="00AF3413" w:rsidP="006202AC">
      <w:pPr>
        <w:pStyle w:val="Heading2"/>
      </w:pPr>
      <w:bookmarkStart w:id="30" w:name="_Toc146894868"/>
      <w:r w:rsidRPr="003E4580">
        <w:t>Availability and uptake of LDWS</w:t>
      </w:r>
      <w:bookmarkEnd w:id="30"/>
    </w:p>
    <w:p w14:paraId="0DDCD927" w14:textId="7C6B7B5D" w:rsidR="00B34190" w:rsidRPr="003E4580" w:rsidRDefault="00B34190" w:rsidP="00B34190">
      <w:r w:rsidRPr="003E4580">
        <w:t xml:space="preserve">LDWS was </w:t>
      </w:r>
      <w:r w:rsidR="00213F67" w:rsidRPr="003E4580">
        <w:t xml:space="preserve">generally </w:t>
      </w:r>
      <w:r w:rsidRPr="003E4580">
        <w:t xml:space="preserve">not </w:t>
      </w:r>
      <w:r w:rsidR="00213F67" w:rsidRPr="003E4580">
        <w:t>fitted</w:t>
      </w:r>
      <w:r w:rsidRPr="003E4580">
        <w:t xml:space="preserve"> </w:t>
      </w:r>
      <w:r w:rsidR="00213F67" w:rsidRPr="003E4580">
        <w:t>to</w:t>
      </w:r>
      <w:r w:rsidRPr="003E4580">
        <w:t xml:space="preserve"> </w:t>
      </w:r>
      <w:r w:rsidR="00213F67" w:rsidRPr="003E4580">
        <w:t>heavy vehicles</w:t>
      </w:r>
      <w:r w:rsidRPr="003E4580">
        <w:t xml:space="preserve"> delivered to the Australian market prior to the middle of 2016, as reported by the Truck Industry Council (TIC).</w:t>
      </w:r>
      <w:r w:rsidR="0042093B" w:rsidRPr="003E4580">
        <w:t xml:space="preserve"> Since </w:t>
      </w:r>
      <w:r w:rsidR="00213F67" w:rsidRPr="003E4580">
        <w:t>then</w:t>
      </w:r>
      <w:r w:rsidR="00FE6024" w:rsidRPr="003E4580">
        <w:t>,</w:t>
      </w:r>
      <w:r w:rsidR="00213F67" w:rsidRPr="003E4580">
        <w:t xml:space="preserve"> LDWS has typically been offered as </w:t>
      </w:r>
      <w:r w:rsidR="00E74BD1" w:rsidRPr="003E4580">
        <w:t>part of a more expensive package of optional safety upgrades</w:t>
      </w:r>
      <w:r w:rsidR="00213F67" w:rsidRPr="003E4580">
        <w:t xml:space="preserve"> to purchasers of ne</w:t>
      </w:r>
      <w:r w:rsidR="008359BF" w:rsidRPr="003E4580">
        <w:t>w heavy vehicles</w:t>
      </w:r>
      <w:r w:rsidR="00FE6024" w:rsidRPr="003E4580">
        <w:t>. This kind of</w:t>
      </w:r>
      <w:r w:rsidR="008359BF" w:rsidRPr="003E4580">
        <w:t xml:space="preserve"> advanced safety package</w:t>
      </w:r>
      <w:r w:rsidR="00213F67" w:rsidRPr="003E4580">
        <w:t xml:space="preserve"> also included AEB in most cases.</w:t>
      </w:r>
      <w:r w:rsidR="008359BF" w:rsidRPr="003E4580">
        <w:t xml:space="preserve"> </w:t>
      </w:r>
      <w:r w:rsidR="00383596" w:rsidRPr="003E4580">
        <w:t xml:space="preserve">Figure </w:t>
      </w:r>
      <w:r w:rsidR="00CC6F65" w:rsidRPr="003E4580">
        <w:t>7</w:t>
      </w:r>
      <w:r w:rsidR="00383596" w:rsidRPr="003E4580">
        <w:t xml:space="preserve"> shows a significant increase in the fitment rate for prime movers and NB1 category rigid vehicles with no market intervention, however the data shows a stagnat</w:t>
      </w:r>
      <w:r w:rsidR="005619F7" w:rsidRPr="003E4580">
        <w:t>ion in the</w:t>
      </w:r>
      <w:r w:rsidR="00632E03" w:rsidRPr="003E4580">
        <w:t xml:space="preserve"> growth of the</w:t>
      </w:r>
      <w:r w:rsidR="005619F7" w:rsidRPr="003E4580">
        <w:t xml:space="preserve"> fitment rate in the last three years.</w:t>
      </w:r>
      <w:r w:rsidR="00E74BD1" w:rsidRPr="003E4580">
        <w:t xml:space="preserve"> </w:t>
      </w:r>
    </w:p>
    <w:p w14:paraId="6C836DFB" w14:textId="4314049C" w:rsidR="008359BF" w:rsidRPr="003E4580" w:rsidRDefault="005F1F37" w:rsidP="008359BF">
      <w:pPr>
        <w:keepNext/>
        <w:jc w:val="center"/>
      </w:pPr>
      <w:r>
        <w:rPr>
          <w:noProof/>
          <w:lang w:eastAsia="en-AU"/>
        </w:rPr>
        <w:lastRenderedPageBreak/>
        <w:drawing>
          <wp:inline distT="0" distB="0" distL="0" distR="0" wp14:anchorId="3D4CEAC7" wp14:editId="7201BF5E">
            <wp:extent cx="5499100" cy="312737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00" cy="3127375"/>
                    </a:xfrm>
                    <a:prstGeom prst="rect">
                      <a:avLst/>
                    </a:prstGeom>
                    <a:noFill/>
                  </pic:spPr>
                </pic:pic>
              </a:graphicData>
            </a:graphic>
          </wp:inline>
        </w:drawing>
      </w:r>
    </w:p>
    <w:p w14:paraId="091F1499" w14:textId="52C385B9" w:rsidR="008359BF" w:rsidRPr="003E4580" w:rsidRDefault="008359BF" w:rsidP="008359BF">
      <w:pPr>
        <w:pStyle w:val="Caption"/>
        <w:jc w:val="center"/>
      </w:pPr>
      <w:r w:rsidRPr="003E4580">
        <w:t xml:space="preserve">Figure </w:t>
      </w:r>
      <w:r w:rsidR="00BF64CF">
        <w:fldChar w:fldCharType="begin"/>
      </w:r>
      <w:r w:rsidR="00BF64CF">
        <w:instrText xml:space="preserve"> SEQ Figure \* ARABIC </w:instrText>
      </w:r>
      <w:r w:rsidR="00BF64CF">
        <w:fldChar w:fldCharType="separate"/>
      </w:r>
      <w:r w:rsidR="008E07C6" w:rsidRPr="003E4580">
        <w:rPr>
          <w:noProof/>
        </w:rPr>
        <w:t>7</w:t>
      </w:r>
      <w:r w:rsidR="00BF64CF">
        <w:rPr>
          <w:noProof/>
        </w:rPr>
        <w:fldChar w:fldCharType="end"/>
      </w:r>
      <w:r w:rsidRPr="003E4580">
        <w:t>: Australian Truck LDWS Fitment Rates 2015 – 2021 (TIC, 2021)</w:t>
      </w:r>
    </w:p>
    <w:p w14:paraId="0865DFF7" w14:textId="77777777" w:rsidR="00B34190" w:rsidRPr="003E4580" w:rsidRDefault="0041183D" w:rsidP="00B34190">
      <w:r w:rsidRPr="003E4580">
        <w:t>H</w:t>
      </w:r>
      <w:r w:rsidR="00B34190" w:rsidRPr="003E4580">
        <w:t>eavy vehicle LDWS</w:t>
      </w:r>
      <w:r w:rsidRPr="003E4580">
        <w:t xml:space="preserve"> fitment rates have remained</w:t>
      </w:r>
      <w:r w:rsidR="00B34190" w:rsidRPr="003E4580">
        <w:t xml:space="preserve"> low with only around </w:t>
      </w:r>
      <w:r w:rsidR="00E57EC7" w:rsidRPr="003E4580">
        <w:t>36</w:t>
      </w:r>
      <w:r w:rsidR="00B34190" w:rsidRPr="003E4580">
        <w:t xml:space="preserve"> per cent of all new heavy vehicles sold</w:t>
      </w:r>
      <w:r w:rsidR="00E57EC7" w:rsidRPr="003E4580">
        <w:t xml:space="preserve"> in 2021</w:t>
      </w:r>
      <w:r w:rsidR="00B34190" w:rsidRPr="003E4580">
        <w:t xml:space="preserve"> being fitted with LDWS complying with internationally adopted standards. Table 4 below shows that most of these are in the heavy duty prime mover segment at </w:t>
      </w:r>
      <w:r w:rsidR="007655F3" w:rsidRPr="003E4580">
        <w:t>51.7</w:t>
      </w:r>
      <w:r w:rsidR="00B34190" w:rsidRPr="003E4580">
        <w:t xml:space="preserve"> per cent </w:t>
      </w:r>
      <w:r w:rsidR="007655F3" w:rsidRPr="003E4580">
        <w:t>(NC category prime mover</w:t>
      </w:r>
      <w:r w:rsidR="00B34190" w:rsidRPr="003E4580">
        <w:t>). The remaining fitment of LDWS</w:t>
      </w:r>
      <w:r w:rsidR="007655F3" w:rsidRPr="003E4580">
        <w:t xml:space="preserve"> in new heavy vehicles sold in 2021 occurs in close to 41.8 per cent of NB1 </w:t>
      </w:r>
      <w:r w:rsidR="00B34190" w:rsidRPr="003E4580">
        <w:t>category rigid</w:t>
      </w:r>
      <w:r w:rsidR="007655F3" w:rsidRPr="003E4580">
        <w:t xml:space="preserve"> vehicles, 24.6</w:t>
      </w:r>
      <w:r w:rsidR="00B34190" w:rsidRPr="003E4580">
        <w:t xml:space="preserve"> per cent of NB</w:t>
      </w:r>
      <w:r w:rsidR="007655F3" w:rsidRPr="003E4580">
        <w:t>2</w:t>
      </w:r>
      <w:r w:rsidR="00B34190" w:rsidRPr="003E4580">
        <w:t xml:space="preserve"> category vehicles</w:t>
      </w:r>
      <w:r w:rsidR="007655F3" w:rsidRPr="003E4580">
        <w:t xml:space="preserve"> and 24.3 per cent in NC category rigid vehicles</w:t>
      </w:r>
      <w:r w:rsidR="00B34190" w:rsidRPr="003E4580">
        <w:t>.</w:t>
      </w:r>
    </w:p>
    <w:p w14:paraId="474DCAEA" w14:textId="38DF628D" w:rsidR="00B34190" w:rsidRPr="003E4580" w:rsidRDefault="00B34190" w:rsidP="00B34190">
      <w:pPr>
        <w:pStyle w:val="Caption"/>
        <w:keepNext/>
      </w:pPr>
      <w:bookmarkStart w:id="31" w:name="_Toc136912397"/>
      <w:r w:rsidRPr="003E4580">
        <w:t xml:space="preserve">Table </w:t>
      </w:r>
      <w:r w:rsidR="00BF64CF">
        <w:fldChar w:fldCharType="begin"/>
      </w:r>
      <w:r w:rsidR="00BF64CF">
        <w:instrText xml:space="preserve"> SEQ Table \* ARABIC </w:instrText>
      </w:r>
      <w:r w:rsidR="00BF64CF">
        <w:fldChar w:fldCharType="separate"/>
      </w:r>
      <w:r w:rsidR="002E4782" w:rsidRPr="003E4580">
        <w:rPr>
          <w:noProof/>
        </w:rPr>
        <w:t>4</w:t>
      </w:r>
      <w:r w:rsidR="00BF64CF">
        <w:rPr>
          <w:noProof/>
        </w:rPr>
        <w:fldChar w:fldCharType="end"/>
      </w:r>
      <w:r w:rsidRPr="003E4580">
        <w:t>: Industry reported LDWS fitment to heavy vehicles (TIC, 2021)</w:t>
      </w:r>
      <w:bookmarkEnd w:id="31"/>
    </w:p>
    <w:tbl>
      <w:tblPr>
        <w:tblStyle w:val="DefaultTable1"/>
        <w:tblW w:w="0" w:type="auto"/>
        <w:tblLook w:val="04E0" w:firstRow="1" w:lastRow="1" w:firstColumn="1" w:lastColumn="0" w:noHBand="0" w:noVBand="1"/>
        <w:tblCaption w:val="Sample table"/>
        <w:tblDescription w:val="Sample table"/>
      </w:tblPr>
      <w:tblGrid>
        <w:gridCol w:w="1054"/>
        <w:gridCol w:w="738"/>
        <w:gridCol w:w="622"/>
        <w:gridCol w:w="705"/>
        <w:gridCol w:w="624"/>
        <w:gridCol w:w="663"/>
        <w:gridCol w:w="675"/>
        <w:gridCol w:w="698"/>
        <w:gridCol w:w="674"/>
        <w:gridCol w:w="777"/>
        <w:gridCol w:w="1090"/>
        <w:gridCol w:w="771"/>
        <w:gridCol w:w="773"/>
      </w:tblGrid>
      <w:tr w:rsidR="00B34190" w:rsidRPr="003E4580" w14:paraId="0B2A8C36" w14:textId="77777777" w:rsidTr="00900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0E6E5817" w14:textId="77777777" w:rsidR="00B34190" w:rsidRPr="003E4580" w:rsidRDefault="00B34190" w:rsidP="0042093B"/>
        </w:tc>
        <w:tc>
          <w:tcPr>
            <w:tcW w:w="2689" w:type="dxa"/>
            <w:gridSpan w:val="4"/>
          </w:tcPr>
          <w:p w14:paraId="3A361F1B" w14:textId="77777777" w:rsidR="00B34190" w:rsidRPr="003E4580" w:rsidRDefault="00B34190" w:rsidP="0042093B">
            <w:pPr>
              <w:cnfStyle w:val="100000000000" w:firstRow="1" w:lastRow="0" w:firstColumn="0" w:lastColumn="0" w:oddVBand="0" w:evenVBand="0" w:oddHBand="0" w:evenHBand="0" w:firstRowFirstColumn="0" w:firstRowLastColumn="0" w:lastRowFirstColumn="0" w:lastRowLastColumn="0"/>
            </w:pPr>
            <w:r w:rsidRPr="003E4580">
              <w:t>Total new heavy vehicle sales (as reported)</w:t>
            </w:r>
          </w:p>
        </w:tc>
        <w:tc>
          <w:tcPr>
            <w:tcW w:w="2710" w:type="dxa"/>
            <w:gridSpan w:val="4"/>
          </w:tcPr>
          <w:p w14:paraId="495423DA" w14:textId="77777777" w:rsidR="00B34190" w:rsidRPr="003E4580" w:rsidRDefault="00B34190" w:rsidP="0042093B">
            <w:pPr>
              <w:cnfStyle w:val="100000000000" w:firstRow="1" w:lastRow="0" w:firstColumn="0" w:lastColumn="0" w:oddVBand="0" w:evenVBand="0" w:oddHBand="0" w:evenHBand="0" w:firstRowFirstColumn="0" w:firstRowLastColumn="0" w:lastRowFirstColumn="0" w:lastRowLastColumn="0"/>
            </w:pPr>
            <w:r w:rsidRPr="003E4580">
              <w:t>Estimated number of new vehicles fitted with LDWS (as reported)</w:t>
            </w:r>
          </w:p>
        </w:tc>
        <w:tc>
          <w:tcPr>
            <w:tcW w:w="3411" w:type="dxa"/>
            <w:gridSpan w:val="4"/>
          </w:tcPr>
          <w:p w14:paraId="3BF04241" w14:textId="77777777" w:rsidR="00B34190" w:rsidRPr="003E4580" w:rsidRDefault="00B34190" w:rsidP="0042093B">
            <w:pPr>
              <w:cnfStyle w:val="100000000000" w:firstRow="1" w:lastRow="0" w:firstColumn="0" w:lastColumn="0" w:oddVBand="0" w:evenVBand="0" w:oddHBand="0" w:evenHBand="0" w:firstRowFirstColumn="0" w:firstRowLastColumn="0" w:lastRowFirstColumn="0" w:lastRowLastColumn="0"/>
            </w:pPr>
            <w:r w:rsidRPr="003E4580">
              <w:t>Estimated fitment of LDWS per category (%)</w:t>
            </w:r>
          </w:p>
        </w:tc>
      </w:tr>
      <w:tr w:rsidR="00B34190" w:rsidRPr="003E4580" w14:paraId="2A662975" w14:textId="77777777" w:rsidTr="00900B39">
        <w:tc>
          <w:tcPr>
            <w:cnfStyle w:val="001000000000" w:firstRow="0" w:lastRow="0" w:firstColumn="1" w:lastColumn="0" w:oddVBand="0" w:evenVBand="0" w:oddHBand="0" w:evenHBand="0" w:firstRowFirstColumn="0" w:firstRowLastColumn="0" w:lastRowFirstColumn="0" w:lastRowLastColumn="0"/>
            <w:tcW w:w="1054" w:type="dxa"/>
          </w:tcPr>
          <w:p w14:paraId="7A51A9DD" w14:textId="77777777" w:rsidR="00B34190" w:rsidRPr="003E4580" w:rsidRDefault="00B34190" w:rsidP="0042093B">
            <w:r w:rsidRPr="003E4580">
              <w:t>ADR Category</w:t>
            </w:r>
          </w:p>
        </w:tc>
        <w:tc>
          <w:tcPr>
            <w:tcW w:w="738" w:type="dxa"/>
          </w:tcPr>
          <w:p w14:paraId="29EE709B"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NB1</w:t>
            </w:r>
          </w:p>
        </w:tc>
        <w:tc>
          <w:tcPr>
            <w:tcW w:w="622" w:type="dxa"/>
          </w:tcPr>
          <w:p w14:paraId="3B62C4BF"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NB2</w:t>
            </w:r>
          </w:p>
        </w:tc>
        <w:tc>
          <w:tcPr>
            <w:tcW w:w="705" w:type="dxa"/>
          </w:tcPr>
          <w:p w14:paraId="5722B671" w14:textId="77777777" w:rsidR="00B34190" w:rsidRPr="003E4580" w:rsidRDefault="00442C30" w:rsidP="00442C30">
            <w:pPr>
              <w:cnfStyle w:val="000000000000" w:firstRow="0" w:lastRow="0" w:firstColumn="0" w:lastColumn="0" w:oddVBand="0" w:evenVBand="0" w:oddHBand="0" w:evenHBand="0" w:firstRowFirstColumn="0" w:firstRowLastColumn="0" w:lastRowFirstColumn="0" w:lastRowLastColumn="0"/>
            </w:pPr>
            <w:r w:rsidRPr="003E4580">
              <w:t>NC P</w:t>
            </w:r>
            <w:r w:rsidR="00B34190" w:rsidRPr="003E4580">
              <w:t>rime</w:t>
            </w:r>
          </w:p>
        </w:tc>
        <w:tc>
          <w:tcPr>
            <w:tcW w:w="624" w:type="dxa"/>
          </w:tcPr>
          <w:p w14:paraId="69BDEBD5"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NC Rigid</w:t>
            </w:r>
          </w:p>
        </w:tc>
        <w:tc>
          <w:tcPr>
            <w:tcW w:w="663" w:type="dxa"/>
          </w:tcPr>
          <w:p w14:paraId="360D41F7"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NB1</w:t>
            </w:r>
          </w:p>
        </w:tc>
        <w:tc>
          <w:tcPr>
            <w:tcW w:w="675" w:type="dxa"/>
          </w:tcPr>
          <w:p w14:paraId="35A876AD"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NB2</w:t>
            </w:r>
          </w:p>
        </w:tc>
        <w:tc>
          <w:tcPr>
            <w:tcW w:w="698" w:type="dxa"/>
          </w:tcPr>
          <w:p w14:paraId="1ADD8B70"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NC Prime</w:t>
            </w:r>
          </w:p>
        </w:tc>
        <w:tc>
          <w:tcPr>
            <w:tcW w:w="674" w:type="dxa"/>
          </w:tcPr>
          <w:p w14:paraId="403B1131"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NC Rigid</w:t>
            </w:r>
          </w:p>
        </w:tc>
        <w:tc>
          <w:tcPr>
            <w:tcW w:w="777" w:type="dxa"/>
          </w:tcPr>
          <w:p w14:paraId="350F65E9"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NB1</w:t>
            </w:r>
          </w:p>
        </w:tc>
        <w:tc>
          <w:tcPr>
            <w:tcW w:w="1090" w:type="dxa"/>
          </w:tcPr>
          <w:p w14:paraId="2AC55EB5"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NB2</w:t>
            </w:r>
          </w:p>
        </w:tc>
        <w:tc>
          <w:tcPr>
            <w:tcW w:w="771" w:type="dxa"/>
          </w:tcPr>
          <w:p w14:paraId="70CF0F08"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NC Prime</w:t>
            </w:r>
          </w:p>
        </w:tc>
        <w:tc>
          <w:tcPr>
            <w:tcW w:w="773" w:type="dxa"/>
          </w:tcPr>
          <w:p w14:paraId="52809879"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NC Rigid</w:t>
            </w:r>
          </w:p>
        </w:tc>
      </w:tr>
      <w:tr w:rsidR="00900B39" w:rsidRPr="003E4580" w14:paraId="29F86160" w14:textId="77777777" w:rsidTr="00900B3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2C513CA1" w14:textId="77777777" w:rsidR="00900B39" w:rsidRPr="003E4580" w:rsidRDefault="00900B39" w:rsidP="003009EC">
            <w:pPr>
              <w:rPr>
                <w:b w:val="0"/>
              </w:rPr>
            </w:pPr>
          </w:p>
        </w:tc>
        <w:tc>
          <w:tcPr>
            <w:tcW w:w="738" w:type="dxa"/>
          </w:tcPr>
          <w:p w14:paraId="438FBF22" w14:textId="77777777"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t>16225</w:t>
            </w:r>
          </w:p>
        </w:tc>
        <w:tc>
          <w:tcPr>
            <w:tcW w:w="622" w:type="dxa"/>
          </w:tcPr>
          <w:p w14:paraId="7CA46299" w14:textId="12330619"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t>8135</w:t>
            </w:r>
          </w:p>
        </w:tc>
        <w:tc>
          <w:tcPr>
            <w:tcW w:w="705" w:type="dxa"/>
          </w:tcPr>
          <w:p w14:paraId="49679353" w14:textId="77777777"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t>6000</w:t>
            </w:r>
          </w:p>
        </w:tc>
        <w:tc>
          <w:tcPr>
            <w:tcW w:w="624" w:type="dxa"/>
          </w:tcPr>
          <w:p w14:paraId="258BA7DA" w14:textId="5C5C7A53"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t>9000</w:t>
            </w:r>
          </w:p>
        </w:tc>
        <w:tc>
          <w:tcPr>
            <w:tcW w:w="663" w:type="dxa"/>
          </w:tcPr>
          <w:p w14:paraId="79B321B8" w14:textId="37390C0F"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rPr>
                <w:rFonts w:ascii="Calibri" w:hAnsi="Calibri" w:cs="Calibri"/>
                <w:color w:val="000000"/>
                <w:sz w:val="22"/>
                <w:szCs w:val="22"/>
              </w:rPr>
              <w:t>6781</w:t>
            </w:r>
          </w:p>
        </w:tc>
        <w:tc>
          <w:tcPr>
            <w:tcW w:w="675" w:type="dxa"/>
          </w:tcPr>
          <w:p w14:paraId="682193A4" w14:textId="792CCFE9"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rPr>
                <w:rFonts w:ascii="Calibri" w:hAnsi="Calibri" w:cs="Calibri"/>
                <w:color w:val="000000"/>
                <w:sz w:val="22"/>
                <w:szCs w:val="22"/>
              </w:rPr>
              <w:t>1997</w:t>
            </w:r>
          </w:p>
        </w:tc>
        <w:tc>
          <w:tcPr>
            <w:tcW w:w="698" w:type="dxa"/>
            <w:vAlign w:val="bottom"/>
          </w:tcPr>
          <w:p w14:paraId="6B29E7E5" w14:textId="77777777"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rPr>
                <w:rFonts w:ascii="Calibri" w:hAnsi="Calibri" w:cs="Calibri"/>
                <w:color w:val="000000"/>
                <w:sz w:val="22"/>
                <w:szCs w:val="22"/>
              </w:rPr>
              <w:t>3102</w:t>
            </w:r>
          </w:p>
        </w:tc>
        <w:tc>
          <w:tcPr>
            <w:tcW w:w="674" w:type="dxa"/>
            <w:vAlign w:val="bottom"/>
          </w:tcPr>
          <w:p w14:paraId="41B23CEB" w14:textId="77777777"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rPr>
                <w:rFonts w:ascii="Calibri" w:hAnsi="Calibri" w:cs="Calibri"/>
                <w:color w:val="000000"/>
                <w:sz w:val="22"/>
                <w:szCs w:val="22"/>
              </w:rPr>
              <w:t>2188</w:t>
            </w:r>
          </w:p>
        </w:tc>
        <w:tc>
          <w:tcPr>
            <w:tcW w:w="777" w:type="dxa"/>
            <w:vAlign w:val="bottom"/>
          </w:tcPr>
          <w:p w14:paraId="6DD7DF9B" w14:textId="77777777"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rPr>
                <w:rFonts w:ascii="Calibri" w:hAnsi="Calibri" w:cs="Calibri"/>
                <w:color w:val="000000"/>
                <w:sz w:val="22"/>
                <w:szCs w:val="22"/>
              </w:rPr>
              <w:t>41.8%</w:t>
            </w:r>
          </w:p>
        </w:tc>
        <w:tc>
          <w:tcPr>
            <w:tcW w:w="1090" w:type="dxa"/>
            <w:vAlign w:val="bottom"/>
          </w:tcPr>
          <w:p w14:paraId="0DAA2E27" w14:textId="77777777"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rPr>
                <w:rFonts w:ascii="Calibri" w:hAnsi="Calibri" w:cs="Calibri"/>
                <w:color w:val="000000"/>
                <w:sz w:val="22"/>
                <w:szCs w:val="22"/>
              </w:rPr>
              <w:t>24.6%</w:t>
            </w:r>
          </w:p>
        </w:tc>
        <w:tc>
          <w:tcPr>
            <w:tcW w:w="771" w:type="dxa"/>
            <w:vAlign w:val="bottom"/>
          </w:tcPr>
          <w:p w14:paraId="54B956EC" w14:textId="77777777"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rPr>
                <w:rFonts w:ascii="Calibri" w:hAnsi="Calibri" w:cs="Calibri"/>
                <w:color w:val="000000"/>
                <w:sz w:val="22"/>
                <w:szCs w:val="22"/>
              </w:rPr>
              <w:t>51.7%</w:t>
            </w:r>
          </w:p>
        </w:tc>
        <w:tc>
          <w:tcPr>
            <w:tcW w:w="773" w:type="dxa"/>
            <w:vAlign w:val="bottom"/>
          </w:tcPr>
          <w:p w14:paraId="654883E2" w14:textId="77777777"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rPr>
                <w:rFonts w:ascii="Calibri" w:hAnsi="Calibri" w:cs="Calibri"/>
                <w:color w:val="000000"/>
                <w:sz w:val="22"/>
                <w:szCs w:val="22"/>
              </w:rPr>
              <w:t>24.3%</w:t>
            </w:r>
          </w:p>
        </w:tc>
      </w:tr>
    </w:tbl>
    <w:p w14:paraId="38BC6569" w14:textId="1FFD5BE1" w:rsidR="00B34190" w:rsidRPr="003E4580" w:rsidRDefault="00B34190" w:rsidP="00B34190">
      <w:r w:rsidRPr="003E4580">
        <w:t xml:space="preserve">In Australia, the fitment of LDWS is significantly higher for NC category heavy duty prime movers than for other </w:t>
      </w:r>
      <w:r w:rsidR="00E37CA8" w:rsidRPr="003E4580">
        <w:t xml:space="preserve">heavy </w:t>
      </w:r>
      <w:r w:rsidRPr="003E4580">
        <w:t xml:space="preserve">vehicle categories. The reason for this is not clear, but it may relate to the higher value of these </w:t>
      </w:r>
      <w:r w:rsidR="00E37CA8" w:rsidRPr="003E4580">
        <w:t xml:space="preserve">prime movers </w:t>
      </w:r>
      <w:r w:rsidRPr="003E4580">
        <w:t>a</w:t>
      </w:r>
      <w:r w:rsidR="00E37CA8" w:rsidRPr="003E4580">
        <w:t xml:space="preserve">nd the loads that they carry. A heavy vehicle </w:t>
      </w:r>
      <w:r w:rsidRPr="003E4580">
        <w:t xml:space="preserve">owner is more likely to order the technology if its cost is less relative to the overall cost of the </w:t>
      </w:r>
      <w:r w:rsidR="00E37CA8" w:rsidRPr="003E4580">
        <w:t>heavy vehicle</w:t>
      </w:r>
      <w:r w:rsidRPr="003E4580">
        <w:t xml:space="preserve">. Another factor may be the awareness of owners </w:t>
      </w:r>
      <w:r w:rsidR="00FB4019" w:rsidRPr="003E4580">
        <w:t>of</w:t>
      </w:r>
      <w:r w:rsidRPr="003E4580">
        <w:t xml:space="preserve"> heavy duty prime movers </w:t>
      </w:r>
      <w:r w:rsidR="00FB4019" w:rsidRPr="003E4580">
        <w:t xml:space="preserve">to </w:t>
      </w:r>
      <w:r w:rsidRPr="003E4580">
        <w:t>a greater exposure to high loads, long distances and highway speeds</w:t>
      </w:r>
      <w:r w:rsidR="00FB4019" w:rsidRPr="003E4580">
        <w:t xml:space="preserve">. This means that </w:t>
      </w:r>
      <w:r w:rsidRPr="003E4580">
        <w:t>there are greater co</w:t>
      </w:r>
      <w:r w:rsidR="00E37CA8" w:rsidRPr="003E4580">
        <w:t>nsequences should a crash occur.</w:t>
      </w:r>
    </w:p>
    <w:p w14:paraId="2E8B3633" w14:textId="77777777" w:rsidR="00432DF7" w:rsidRPr="003E4580" w:rsidRDefault="00C60D57" w:rsidP="00445D5D">
      <w:pPr>
        <w:pStyle w:val="Heading2"/>
      </w:pPr>
      <w:bookmarkStart w:id="32" w:name="_Toc146894869"/>
      <w:r w:rsidRPr="003E4580">
        <w:t>Consumer knowledge</w:t>
      </w:r>
      <w:bookmarkEnd w:id="32"/>
    </w:p>
    <w:p w14:paraId="2DAB2030" w14:textId="4AE5CB4B" w:rsidR="00C60D57" w:rsidRPr="003E4580" w:rsidRDefault="00C60D57" w:rsidP="00B34190">
      <w:r w:rsidRPr="003E4580">
        <w:t xml:space="preserve">Road vehicles today are complex machines which operate in a high risk environment, leading to deaths and injuries each year. Vehicles are made of multiple, complex and sophisticated mechanical, electrical and electronic components and the average consumer is often unaware of the function of each component and its contribution to the functioning of the vehicle as a whole. For example, a consumer is unlikely to be able to assess the crashworthiness of the vehicle because the structural design determines the degree of occupant protection, with many important components, e.g. side </w:t>
      </w:r>
      <w:r w:rsidRPr="003E4580">
        <w:lastRenderedPageBreak/>
        <w:t xml:space="preserve">intrusion bars, concealed and overall structural integrity influenced by the mechanical properties, e.g. yield strength, stiffness etc., of materials used, as well as the design geometry, e.g. thickness, width etc., and weld properties. </w:t>
      </w:r>
    </w:p>
    <w:p w14:paraId="18FEAD3A" w14:textId="08713BFD" w:rsidR="00C60D57" w:rsidRPr="003E4580" w:rsidRDefault="00C60D57" w:rsidP="00C60D57">
      <w:r w:rsidRPr="003E4580">
        <w:t xml:space="preserve">It is difficult for consumers to obtain the information and understanding required to evaluate a vehicle’s safety performance and make an informed decision about the appropriate vehicle to purchase. Without any intervention, the consumer would need to inform themselves of all those components to make the best choice. Moreover, some vehicle safety technologies emphasise externalities and might not be prioritised or seen as necessary by consumers, who are likely to focus on their own safety over </w:t>
      </w:r>
      <w:r w:rsidR="00334C33" w:rsidRPr="003E4580">
        <w:t>that of other road users</w:t>
      </w:r>
      <w:r w:rsidRPr="003E4580">
        <w:t>.</w:t>
      </w:r>
    </w:p>
    <w:p w14:paraId="7D485119" w14:textId="6FD283D8" w:rsidR="00B34190" w:rsidRPr="003E4580" w:rsidRDefault="00C60D57" w:rsidP="00B34190">
      <w:r w:rsidRPr="003E4580">
        <w:t>There is some help available for the consumer to assist with the choice of purchasing a new vehicle in the light vehicle segment. The Australian New Car Assessment Program (</w:t>
      </w:r>
      <w:r w:rsidR="00B34190" w:rsidRPr="003E4580">
        <w:t>ANCAP</w:t>
      </w:r>
      <w:r w:rsidRPr="003E4580">
        <w:t>)</w:t>
      </w:r>
      <w:r w:rsidR="00B34190" w:rsidRPr="003E4580">
        <w:t xml:space="preserve"> publishes safety ratings for a range of new passenger, sports utility (SUV) and light commercial vehicles (LCV) entering the Australian and New Zealand markets, using a rating system of 0 to 5 stars. ANCAP has reported that the number of top 100 selling light vehicle models offered with</w:t>
      </w:r>
      <w:r w:rsidR="002E371B" w:rsidRPr="003E4580">
        <w:t xml:space="preserve"> a</w:t>
      </w:r>
      <w:r w:rsidR="00B34190" w:rsidRPr="003E4580">
        <w:t xml:space="preserve"> LDWS as</w:t>
      </w:r>
      <w:r w:rsidR="004C2077" w:rsidRPr="003E4580">
        <w:t xml:space="preserve"> </w:t>
      </w:r>
      <w:r w:rsidR="00B34190" w:rsidRPr="003E4580">
        <w:t>standard</w:t>
      </w:r>
      <w:r w:rsidR="004C2077" w:rsidRPr="003E4580">
        <w:t xml:space="preserve"> fitment has</w:t>
      </w:r>
      <w:r w:rsidR="00B34190" w:rsidRPr="003E4580">
        <w:t xml:space="preserve"> increased from 35 per cent of the market in June 2019, to 53 per cent of the market in June 2020</w:t>
      </w:r>
      <w:r w:rsidR="004C2077" w:rsidRPr="003E4580">
        <w:t xml:space="preserve"> (ANCAP, 2021)</w:t>
      </w:r>
      <w:r w:rsidR="00B34190" w:rsidRPr="003E4580">
        <w:t>.</w:t>
      </w:r>
    </w:p>
    <w:p w14:paraId="1E3B3156" w14:textId="4C0ACA01" w:rsidR="006B7C78" w:rsidRPr="003E4580" w:rsidRDefault="00B34190" w:rsidP="006B7C78">
      <w:r w:rsidRPr="003E4580">
        <w:t>Unlike the light vehicle fleet, there are no national consumer safety ratings schemes for new heavy vehicles. Despite LDWS being a</w:t>
      </w:r>
      <w:r w:rsidR="00FB4019" w:rsidRPr="003E4580">
        <w:t xml:space="preserve"> demonstrated safety technology</w:t>
      </w:r>
      <w:r w:rsidRPr="003E4580">
        <w:t>, new heavy vehicles are generally configured with an emphasis on productivity, with a lower level of passive and active safety features than is typical of light vehicles.</w:t>
      </w:r>
      <w:r w:rsidR="009D0BCC" w:rsidRPr="003E4580">
        <w:t xml:space="preserve"> </w:t>
      </w:r>
      <w:r w:rsidR="006B7C78" w:rsidRPr="003E4580">
        <w:t xml:space="preserve">To provide a suitable and sufficient risk assessment of vehicles, governments around the world have over the past 20-30 years collectively leaned towards the use of a combination of regulatory, i.e. mandatory standards, and non-regulatory, e.g. New Car Assessment Programs (NCAPs), performance based tests, as the primary policy to improve safety for vehicle occupants and other road users. </w:t>
      </w:r>
    </w:p>
    <w:p w14:paraId="5FE07420" w14:textId="77777777" w:rsidR="00AF3413" w:rsidRPr="003E4580" w:rsidRDefault="00AF3413" w:rsidP="00AF3413">
      <w:pPr>
        <w:pStyle w:val="Heading2"/>
      </w:pPr>
      <w:bookmarkStart w:id="33" w:name="_Toc146894870"/>
      <w:r w:rsidRPr="003E4580">
        <w:t>Vehicle technology interventions</w:t>
      </w:r>
      <w:bookmarkEnd w:id="33"/>
    </w:p>
    <w:p w14:paraId="40D3DF32" w14:textId="2D1267A7" w:rsidR="00657808" w:rsidRPr="003E4580" w:rsidRDefault="00657808" w:rsidP="00FC2EB9">
      <w:r w:rsidRPr="003E4580">
        <w:t>As early as 2004 (MUARC, 2004), Australian experts identified the potential of several heavy truck and bus advanced safety technologies as promising countermeasures to reduce crashes</w:t>
      </w:r>
      <w:r w:rsidR="00FB4019" w:rsidRPr="003E4580">
        <w:t xml:space="preserve"> involving heavy vehicles and buses</w:t>
      </w:r>
      <w:r w:rsidRPr="003E4580">
        <w:t>. These safety technologies are commonly referred to as Advanced Driver Assist Systems (ADAS). They may use sensors or alerts to warn a driver of a possible collision, actively assume control of a vehicle in situations where a driver does not react to the threat of an imminent crash, or improve driver and fleet management (e.g., monitoring vehicle safety systems and drivers’ hours-of-service status). Although some ADAS may be effective at preventing crashes, it is also important to know whether they are cost-effective, as this information may assist consumers in purchasing advanced safety technologies and/or government regulators in mandating their use.</w:t>
      </w:r>
      <w:r w:rsidR="008C21AE" w:rsidRPr="003E4580">
        <w:t xml:space="preserve"> Research suggests that LDWS fitted to heavy vehicles may reduce up to six per cent of fatal heavy vehicle crashes (TfNSW, 2020).</w:t>
      </w:r>
    </w:p>
    <w:p w14:paraId="1B264666" w14:textId="7B1702DE" w:rsidR="002B5004" w:rsidRPr="003E4580" w:rsidRDefault="002B5004" w:rsidP="00FC2EB9">
      <w:r w:rsidRPr="003E4580">
        <w:t xml:space="preserve">On-board safety systems for heavy commercial vehicles have been developed and implemented over a considerable period of time, ranging from anti-lock braking systems (ABS) and speed control, through stability control (ESC, RSC), forward collision warning (FCW), adaptive cruise control (ACC) and driver drowsiness monitoring, to crash-imminent braking (AEB). </w:t>
      </w:r>
      <w:r w:rsidR="00A34E5E" w:rsidRPr="003E4580">
        <w:t xml:space="preserve">Improvements to heavy vehicle design and safety features </w:t>
      </w:r>
      <w:r w:rsidRPr="003E4580">
        <w:t xml:space="preserve">therefore </w:t>
      </w:r>
      <w:r w:rsidR="00A34E5E" w:rsidRPr="003E4580">
        <w:t>have contribut</w:t>
      </w:r>
      <w:r w:rsidR="00A42C6E" w:rsidRPr="003E4580">
        <w:t>ed</w:t>
      </w:r>
      <w:r w:rsidR="00A34E5E" w:rsidRPr="003E4580">
        <w:t xml:space="preserve"> to reducing the number and severity of </w:t>
      </w:r>
      <w:r w:rsidRPr="003E4580">
        <w:t xml:space="preserve">heavy vehicle </w:t>
      </w:r>
      <w:r w:rsidR="00A34E5E" w:rsidRPr="003E4580">
        <w:t>crashes.</w:t>
      </w:r>
      <w:r w:rsidR="00FC2EB9" w:rsidRPr="003E4580">
        <w:t xml:space="preserve"> Some technologies have additional benefits such as improving driver and passenger comfort. Some of the more advanced technologies come at a cost but many are inexpensive</w:t>
      </w:r>
      <w:r w:rsidRPr="003E4580">
        <w:t xml:space="preserve"> over the longer term</w:t>
      </w:r>
      <w:r w:rsidR="00334C33" w:rsidRPr="003E4580">
        <w:t>, and insignificant compared to the overall cost of the vehicle,</w:t>
      </w:r>
      <w:r w:rsidR="00FC2EB9" w:rsidRPr="003E4580">
        <w:t xml:space="preserve"> </w:t>
      </w:r>
      <w:r w:rsidR="00334C33" w:rsidRPr="003E4580">
        <w:t xml:space="preserve">as well as </w:t>
      </w:r>
      <w:r w:rsidR="00FC2EB9" w:rsidRPr="003E4580">
        <w:t xml:space="preserve">practical to integrate into the heavy vehicle architecture at the design and production phase of a new heavy vehicle. </w:t>
      </w:r>
    </w:p>
    <w:p w14:paraId="26678A9A" w14:textId="0B1D443B" w:rsidR="00A47A43" w:rsidRPr="003E4580" w:rsidRDefault="00FC2EB9" w:rsidP="00FC2EB9">
      <w:r w:rsidRPr="003E4580">
        <w:t xml:space="preserve">Crash avoidance features are safety technologies that assist the driver to reduce the </w:t>
      </w:r>
      <w:r w:rsidR="00323FF6" w:rsidRPr="003E4580">
        <w:t xml:space="preserve">likelihood of a crash. Other crash avoidance features actively intervene </w:t>
      </w:r>
      <w:r w:rsidR="00FB4019" w:rsidRPr="003E4580">
        <w:t>i</w:t>
      </w:r>
      <w:r w:rsidR="00323FF6" w:rsidRPr="003E4580">
        <w:t xml:space="preserve">n the driving </w:t>
      </w:r>
      <w:r w:rsidR="002B5004" w:rsidRPr="003E4580">
        <w:t>task</w:t>
      </w:r>
      <w:r w:rsidR="00323FF6" w:rsidRPr="003E4580">
        <w:t xml:space="preserve"> to prevent or mitigate a crash.</w:t>
      </w:r>
      <w:r w:rsidR="00A70107" w:rsidRPr="003E4580">
        <w:t xml:space="preserve"> </w:t>
      </w:r>
      <w:r w:rsidR="00A47A43" w:rsidRPr="003E4580">
        <w:t>Research</w:t>
      </w:r>
      <w:r w:rsidR="00583843" w:rsidRPr="003E4580">
        <w:t xml:space="preserve"> (Budd et al., 2015)</w:t>
      </w:r>
      <w:r w:rsidR="00A47A43" w:rsidRPr="003E4580">
        <w:t xml:space="preserve"> has shown these systems to be effective in reducing crashes – in some cases, highly effective – and implementation has taken place through the voluntary action of manufacturers and fleets, and in </w:t>
      </w:r>
      <w:r w:rsidR="00CE208B" w:rsidRPr="003E4580">
        <w:t>other</w:t>
      </w:r>
      <w:r w:rsidR="00A47A43" w:rsidRPr="003E4580">
        <w:t xml:space="preserve"> cases through government-mandated requirements for new vehicles.</w:t>
      </w:r>
    </w:p>
    <w:p w14:paraId="6D3CFDB9" w14:textId="77777777" w:rsidR="00E618E6" w:rsidRPr="003E4580" w:rsidRDefault="00E618E6" w:rsidP="00E618E6">
      <w:pPr>
        <w:pStyle w:val="Heading2"/>
      </w:pPr>
      <w:bookmarkStart w:id="34" w:name="_Toc146894871"/>
      <w:r w:rsidRPr="003E4580">
        <w:lastRenderedPageBreak/>
        <w:t>Lane Departure Warning Systems</w:t>
      </w:r>
      <w:bookmarkEnd w:id="34"/>
    </w:p>
    <w:p w14:paraId="57DEA2DC" w14:textId="441D12DF" w:rsidR="00AF3413" w:rsidRPr="003E4580" w:rsidRDefault="00B410E5" w:rsidP="00B410E5">
      <w:r w:rsidRPr="003E4580">
        <w:t xml:space="preserve">Lane departure warning systems </w:t>
      </w:r>
      <w:r w:rsidR="00323FF6" w:rsidRPr="003E4580">
        <w:t xml:space="preserve">(LDWS) </w:t>
      </w:r>
      <w:r w:rsidRPr="003E4580">
        <w:t>have been in development by industry for over 20 years. LDWS are generally visual devices that look at the lane line markers to compute a predicted moment of lane departure and alert the driver when unintended lane departures are about to occur without causing undue false warnings due to subtle lateral lane position changes. Beginning with simple line scan video, LDW</w:t>
      </w:r>
      <w:r w:rsidR="001A0096" w:rsidRPr="003E4580">
        <w:t>S</w:t>
      </w:r>
      <w:r w:rsidRPr="003E4580">
        <w:t xml:space="preserve"> ha</w:t>
      </w:r>
      <w:r w:rsidR="001A0096" w:rsidRPr="003E4580">
        <w:t>ve</w:t>
      </w:r>
      <w:r w:rsidRPr="003E4580">
        <w:t xml:space="preserve"> developed into sophisticated lane marker identification and lane boundary projection systems that provide the driver with a warning if the vehicle </w:t>
      </w:r>
      <w:r w:rsidR="00383937" w:rsidRPr="003E4580">
        <w:t>deviates</w:t>
      </w:r>
      <w:r w:rsidRPr="003E4580">
        <w:t xml:space="preserve"> out of</w:t>
      </w:r>
      <w:r w:rsidR="00A42C6E" w:rsidRPr="003E4580">
        <w:t xml:space="preserve"> its</w:t>
      </w:r>
      <w:r w:rsidRPr="003E4580">
        <w:t xml:space="preserve"> lane. While most LDWS apply video </w:t>
      </w:r>
      <w:r w:rsidR="00A42C6E" w:rsidRPr="003E4580">
        <w:t>technology</w:t>
      </w:r>
      <w:r w:rsidRPr="003E4580">
        <w:t xml:space="preserve">, other </w:t>
      </w:r>
      <w:r w:rsidR="00A42C6E" w:rsidRPr="003E4580">
        <w:t>methods</w:t>
      </w:r>
      <w:r w:rsidRPr="003E4580">
        <w:t xml:space="preserve"> include infrared, Lidar, magnetic, and electronic mapping technologies.</w:t>
      </w:r>
    </w:p>
    <w:p w14:paraId="131AA71E" w14:textId="718B34DB" w:rsidR="00B410E5" w:rsidRPr="003E4580" w:rsidRDefault="00B410E5" w:rsidP="00B410E5">
      <w:r w:rsidRPr="003E4580">
        <w:t>Initial LDWS development was for standalone systems, but with the mandate for ESC</w:t>
      </w:r>
      <w:r w:rsidR="00323FF6" w:rsidRPr="003E4580">
        <w:t xml:space="preserve"> (ADR 35/06 – Commercial Vehicle Brake Systems)</w:t>
      </w:r>
      <w:r w:rsidRPr="003E4580">
        <w:t xml:space="preserve"> systems on heavy vehicles in Australia, OEMs are looking toward future sensor fusion, or combining LDWS, F</w:t>
      </w:r>
      <w:r w:rsidR="0059526E" w:rsidRPr="003E4580">
        <w:t xml:space="preserve">orward </w:t>
      </w:r>
      <w:r w:rsidRPr="003E4580">
        <w:t>C</w:t>
      </w:r>
      <w:r w:rsidR="0059526E" w:rsidRPr="003E4580">
        <w:t xml:space="preserve">ollision </w:t>
      </w:r>
      <w:r w:rsidRPr="003E4580">
        <w:t>W</w:t>
      </w:r>
      <w:r w:rsidR="0059526E" w:rsidRPr="003E4580">
        <w:t>arning (FCW)</w:t>
      </w:r>
      <w:r w:rsidR="003608DD" w:rsidRPr="003E4580">
        <w:t xml:space="preserve"> </w:t>
      </w:r>
      <w:r w:rsidRPr="003E4580">
        <w:t>and B</w:t>
      </w:r>
      <w:r w:rsidR="0059526E" w:rsidRPr="003E4580">
        <w:t xml:space="preserve">lind </w:t>
      </w:r>
      <w:r w:rsidRPr="003E4580">
        <w:t>S</w:t>
      </w:r>
      <w:r w:rsidR="0059526E" w:rsidRPr="003E4580">
        <w:t xml:space="preserve">pot </w:t>
      </w:r>
      <w:r w:rsidRPr="003E4580">
        <w:t>W</w:t>
      </w:r>
      <w:r w:rsidR="0059526E" w:rsidRPr="003E4580">
        <w:t>arning</w:t>
      </w:r>
      <w:r w:rsidRPr="003E4580">
        <w:t xml:space="preserve"> </w:t>
      </w:r>
      <w:r w:rsidR="00347BC2" w:rsidRPr="003E4580">
        <w:t>(BSW)</w:t>
      </w:r>
      <w:r w:rsidR="003608DD" w:rsidRPr="003E4580">
        <w:t xml:space="preserve"> </w:t>
      </w:r>
      <w:r w:rsidRPr="003E4580">
        <w:t xml:space="preserve">with stability controls. These integrated perimeter sensing systems would then provide the driver with warnings from 360-degrees of roadway observations, rather than just a narrow look ahead. Once integrated, the sensor array </w:t>
      </w:r>
      <w:r w:rsidR="0076686E" w:rsidRPr="003E4580">
        <w:t>may</w:t>
      </w:r>
      <w:r w:rsidRPr="003E4580">
        <w:t xml:space="preserve"> be further infused into the stability control systems (E</w:t>
      </w:r>
      <w:r w:rsidR="00C6254C" w:rsidRPr="003E4580">
        <w:t>SC</w:t>
      </w:r>
      <w:r w:rsidRPr="003E4580">
        <w:t>, RSC, ABS) and future vehicle-to-vehicle and vehicle-to</w:t>
      </w:r>
      <w:r w:rsidRPr="003E4580">
        <w:softHyphen/>
        <w:t>-infrastructure intermodal communications. These combined systems would enhance crash avoidance mitigation solutions, and play important roles in setting pre-crash conditions that would reduce crash related trauma</w:t>
      </w:r>
      <w:r w:rsidR="00643D47" w:rsidRPr="003E4580">
        <w:t xml:space="preserve"> (NHTSA, 2014)</w:t>
      </w:r>
      <w:r w:rsidRPr="003E4580">
        <w:t>.</w:t>
      </w:r>
    </w:p>
    <w:p w14:paraId="0089F189" w14:textId="0F2E894A" w:rsidR="00FC2EB9" w:rsidRPr="003E4580" w:rsidRDefault="00FC2EB9" w:rsidP="00B410E5">
      <w:r w:rsidRPr="003E4580">
        <w:t xml:space="preserve">LDWS offer significant safety benefits as a large number of heavy vehicle crashes involve </w:t>
      </w:r>
      <w:r w:rsidR="00FB4019" w:rsidRPr="003E4580">
        <w:t xml:space="preserve">a </w:t>
      </w:r>
      <w:r w:rsidRPr="003E4580">
        <w:t xml:space="preserve">single vehicle running off the road. A LDWS warns a driver when the vehicle unintentionally crosses a distinguishable lane boundary. The system uses optical signal processing techniques to determine the position of the vehicle within the lane as well as monitoring the driver’s input through their steering and indicator use. If the driver takes no action when the vehicle </w:t>
      </w:r>
      <w:r w:rsidR="001A0096" w:rsidRPr="003E4580">
        <w:t xml:space="preserve">deviates </w:t>
      </w:r>
      <w:r w:rsidRPr="003E4580">
        <w:t xml:space="preserve">from the lane, the system will </w:t>
      </w:r>
      <w:r w:rsidR="0076686E" w:rsidRPr="003E4580">
        <w:t>warn the driver</w:t>
      </w:r>
      <w:r w:rsidRPr="003E4580">
        <w:t xml:space="preserve">. This system combines very </w:t>
      </w:r>
      <w:r w:rsidR="007673D3" w:rsidRPr="003E4580">
        <w:t>effectively with an AEB system</w:t>
      </w:r>
      <w:r w:rsidRPr="003E4580">
        <w:t>. A LDWS cannot function on roads where lane deli</w:t>
      </w:r>
      <w:r w:rsidR="0076686E" w:rsidRPr="003E4580">
        <w:t xml:space="preserve">neation is poor or non-existent. </w:t>
      </w:r>
      <w:r w:rsidRPr="003E4580">
        <w:t>LDWS can assist in fatigue and distraction monitoring by alerting a driver at the early stages of a loss of concentration. A LDWS can be retrofitted.</w:t>
      </w:r>
    </w:p>
    <w:p w14:paraId="4703BAC2" w14:textId="77777777" w:rsidR="00AF3413" w:rsidRPr="003E4580" w:rsidRDefault="00AF3413" w:rsidP="00AF3413">
      <w:pPr>
        <w:pStyle w:val="Heading2"/>
      </w:pPr>
      <w:bookmarkStart w:id="35" w:name="_Toc146894872"/>
      <w:r w:rsidRPr="003E4580">
        <w:t>Summary of UN Regulation No. 130</w:t>
      </w:r>
      <w:bookmarkEnd w:id="35"/>
    </w:p>
    <w:p w14:paraId="752081D6" w14:textId="745A0CFF" w:rsidR="001168FB" w:rsidRPr="003E4580" w:rsidRDefault="006B7C78" w:rsidP="001168FB">
      <w:r w:rsidRPr="003E4580">
        <w:t xml:space="preserve">Since attaining WP.29 endorsement in 2013, </w:t>
      </w:r>
      <w:r w:rsidR="00D96A35" w:rsidRPr="003E4580">
        <w:t>the</w:t>
      </w:r>
      <w:r w:rsidR="001168FB" w:rsidRPr="003E4580">
        <w:t xml:space="preserve"> recognised international standard for LDWS for heavy vehicles is </w:t>
      </w:r>
      <w:r w:rsidR="001168FB" w:rsidRPr="003E4580">
        <w:rPr>
          <w:i/>
        </w:rPr>
        <w:t>UN Regulation No. 130 (R130) – Uniform provisions concerning the approval of motor vehicles with regard to the Lane Departure Warning System (LDWS)</w:t>
      </w:r>
      <w:r w:rsidR="001168FB" w:rsidRPr="003E4580">
        <w:t xml:space="preserve">. It is applicable </w:t>
      </w:r>
      <w:r w:rsidR="001A0096" w:rsidRPr="003E4580">
        <w:t>to</w:t>
      </w:r>
      <w:r w:rsidR="001168FB" w:rsidRPr="003E4580">
        <w:t xml:space="preserve"> omnibuses (UN category M</w:t>
      </w:r>
      <w:r w:rsidR="001168FB" w:rsidRPr="003E4580">
        <w:rPr>
          <w:vertAlign w:val="subscript"/>
        </w:rPr>
        <w:t>2</w:t>
      </w:r>
      <w:r w:rsidR="001168FB" w:rsidRPr="003E4580">
        <w:t xml:space="preserve"> and M</w:t>
      </w:r>
      <w:r w:rsidR="001168FB" w:rsidRPr="003E4580">
        <w:rPr>
          <w:vertAlign w:val="subscript"/>
        </w:rPr>
        <w:t>3</w:t>
      </w:r>
      <w:r w:rsidR="001168FB" w:rsidRPr="003E4580">
        <w:t xml:space="preserve"> vehicles), and goods vehicles with a maximum mass over 3.5 tonnes (UN category N</w:t>
      </w:r>
      <w:r w:rsidR="001168FB" w:rsidRPr="003E4580">
        <w:rPr>
          <w:vertAlign w:val="subscript"/>
        </w:rPr>
        <w:t>2</w:t>
      </w:r>
      <w:r w:rsidR="001168FB" w:rsidRPr="003E4580">
        <w:t xml:space="preserve"> and N</w:t>
      </w:r>
      <w:r w:rsidR="001168FB" w:rsidRPr="003E4580">
        <w:rPr>
          <w:vertAlign w:val="subscript"/>
        </w:rPr>
        <w:t>3</w:t>
      </w:r>
      <w:r w:rsidR="001168FB" w:rsidRPr="003E4580">
        <w:t xml:space="preserve"> vehicles).</w:t>
      </w:r>
    </w:p>
    <w:p w14:paraId="49B3AB30" w14:textId="77777777" w:rsidR="00C17141" w:rsidRPr="003E4580" w:rsidRDefault="006B7C78" w:rsidP="001168FB">
      <w:pPr>
        <w:sectPr w:rsidR="00C17141" w:rsidRPr="003E4580" w:rsidSect="00D87AD8">
          <w:pgSz w:w="11906" w:h="16838" w:code="9"/>
          <w:pgMar w:top="1021" w:right="1021" w:bottom="1021" w:left="1021" w:header="510" w:footer="567" w:gutter="0"/>
          <w:cols w:space="708"/>
          <w:docGrid w:linePitch="360"/>
        </w:sectPr>
      </w:pPr>
      <w:r w:rsidRPr="003E4580">
        <w:t xml:space="preserve">To meet UN R130, a LDWS must be active at vehicle speeds above 60 km/h (unless manually deactivated). </w:t>
      </w:r>
      <w:r w:rsidR="003608DD" w:rsidRPr="003E4580">
        <w:t>The LDWS is required,</w:t>
      </w:r>
      <w:r w:rsidR="00334C33" w:rsidRPr="003E4580">
        <w:t xml:space="preserve"> </w:t>
      </w:r>
      <w:r w:rsidR="003608DD" w:rsidRPr="003E4580">
        <w:t xml:space="preserve">when active, to warn the driver if the vehicle crosses over a visible lane marking, when there has been no purposeful demand to do so. </w:t>
      </w:r>
      <w:r w:rsidRPr="003E4580">
        <w:t xml:space="preserve">If </w:t>
      </w:r>
      <w:r w:rsidR="001A0096" w:rsidRPr="003E4580">
        <w:t>the</w:t>
      </w:r>
      <w:r w:rsidRPr="003E4580">
        <w:t xml:space="preserve"> means (e.g. </w:t>
      </w:r>
      <w:r w:rsidR="001A0096" w:rsidRPr="003E4580">
        <w:t xml:space="preserve">a </w:t>
      </w:r>
      <w:r w:rsidRPr="003E4580">
        <w:t xml:space="preserve">switch) is provided to manually deactivate the LDWS, the LDWS function must be automatically </w:t>
      </w:r>
      <w:r w:rsidR="001A0096" w:rsidRPr="003E4580">
        <w:t>reactivated</w:t>
      </w:r>
      <w:r w:rsidRPr="003E4580">
        <w:t xml:space="preserve"> at the start of each new ignition on (run) cycle, and a constant optical warning must be provided to inform the driver when the LDWS is deactivated.</w:t>
      </w:r>
      <w:r w:rsidR="00CA5103" w:rsidRPr="003E4580">
        <w:t xml:space="preserve"> See Appendix D for a more detailed discussion of the performance requirements of UN R130.</w:t>
      </w:r>
    </w:p>
    <w:p w14:paraId="08590BD0" w14:textId="37C37BFD" w:rsidR="00D561DD" w:rsidRPr="003E4580" w:rsidRDefault="00D561DD" w:rsidP="001168FB">
      <w:r w:rsidRPr="003E4580">
        <w:rPr>
          <w:rFonts w:asciiTheme="majorHAnsi" w:eastAsiaTheme="majorEastAsia" w:hAnsiTheme="majorHAnsi" w:cstheme="majorBidi"/>
          <w:color w:val="081E3E" w:themeColor="text2"/>
          <w:sz w:val="36"/>
          <w:szCs w:val="26"/>
        </w:rPr>
        <w:lastRenderedPageBreak/>
        <w:t>Key objectives of government action</w:t>
      </w:r>
    </w:p>
    <w:p w14:paraId="0238D47C" w14:textId="2828BF3C" w:rsidR="00D561DD" w:rsidRPr="003E4580" w:rsidRDefault="00400C38" w:rsidP="00D96A35">
      <w:r w:rsidRPr="003E4580">
        <w:t>The reasons why government should intervene in the market and introduce a new regulation to mandate the fitment of LDWS for new heavy vehicles have been demonstrated in this and the previous chapter.</w:t>
      </w:r>
      <w:r w:rsidR="00D561DD" w:rsidRPr="003E4580">
        <w:t xml:space="preserve"> This includes increased road safety for all vehicle occupants and road user</w:t>
      </w:r>
      <w:r w:rsidR="00D57081" w:rsidRPr="003E4580">
        <w:t>s</w:t>
      </w:r>
      <w:r w:rsidR="00D561DD" w:rsidRPr="003E4580">
        <w:t>, preventing heavy vehicle driver fatigue attributed crashes and</w:t>
      </w:r>
      <w:r w:rsidR="00D57081" w:rsidRPr="003E4580">
        <w:t xml:space="preserve"> ensuring the Australian heavy vehicle fleet is fitted with the latest safety technology by</w:t>
      </w:r>
      <w:r w:rsidR="00D561DD" w:rsidRPr="003E4580">
        <w:t xml:space="preserve"> maintaining alignment with internationally agreed standards for heavy vehicles.</w:t>
      </w:r>
      <w:r w:rsidR="00D57081" w:rsidRPr="003E4580">
        <w:t xml:space="preserve"> </w:t>
      </w:r>
    </w:p>
    <w:p w14:paraId="6E5FBDCC" w14:textId="03FA529C" w:rsidR="00400C38" w:rsidRPr="003E4580" w:rsidRDefault="00400C38" w:rsidP="00D96A35">
      <w:r w:rsidRPr="003E4580">
        <w:t xml:space="preserve">In the first chapter it was </w:t>
      </w:r>
      <w:r w:rsidR="001A0096" w:rsidRPr="003E4580">
        <w:t xml:space="preserve">shown </w:t>
      </w:r>
      <w:r w:rsidRPr="003E4580">
        <w:t>that there are still an unacceptably high rate of people getting killed and serious</w:t>
      </w:r>
      <w:r w:rsidR="001A0096" w:rsidRPr="003E4580">
        <w:t>ly</w:t>
      </w:r>
      <w:r w:rsidRPr="003E4580">
        <w:t xml:space="preserve"> injured from unintentional lane departures. Such crashes include sideswipes, opposite sideswipes, run off road, rollover and head-on collisions.</w:t>
      </w:r>
    </w:p>
    <w:p w14:paraId="6A0132D8" w14:textId="3F9A05D5" w:rsidR="00400C38" w:rsidRPr="003E4580" w:rsidRDefault="00936268" w:rsidP="00D96A35">
      <w:pPr>
        <w:sectPr w:rsidR="00400C38" w:rsidRPr="003E4580" w:rsidSect="00D87AD8">
          <w:pgSz w:w="11906" w:h="16838" w:code="9"/>
          <w:pgMar w:top="1021" w:right="1021" w:bottom="1021" w:left="1021" w:header="510" w:footer="567" w:gutter="0"/>
          <w:cols w:space="708"/>
          <w:docGrid w:linePitch="360"/>
        </w:sectPr>
      </w:pPr>
      <w:r w:rsidRPr="003E4580">
        <w:t>A significant reason for government action is that voluntary fitment of LDWS is still low, despite a range of information campaigns and quasi-regulation through government contracts.</w:t>
      </w:r>
      <w:r w:rsidR="00A573B0" w:rsidRPr="003E4580">
        <w:t xml:space="preserve"> </w:t>
      </w:r>
      <w:r w:rsidR="00400C38" w:rsidRPr="003E4580">
        <w:t>The availability of an international standard for LDWS and the introduction of ESC for heavy vehicles in Australia makes it viable to examine the introduction</w:t>
      </w:r>
      <w:r w:rsidR="00112418" w:rsidRPr="003E4580">
        <w:t xml:space="preserve"> of</w:t>
      </w:r>
      <w:r w:rsidR="00400C38" w:rsidRPr="003E4580">
        <w:t xml:space="preserve"> a regulation to mitigate and prevent such crashes.</w:t>
      </w:r>
    </w:p>
    <w:p w14:paraId="4B086C7F" w14:textId="77777777" w:rsidR="00044540" w:rsidRPr="003E4580" w:rsidRDefault="00044540" w:rsidP="00044540">
      <w:pPr>
        <w:pStyle w:val="Heading1"/>
      </w:pPr>
      <w:bookmarkStart w:id="36" w:name="_Toc146894873"/>
      <w:r w:rsidRPr="003E4580">
        <w:lastRenderedPageBreak/>
        <w:t xml:space="preserve">Chapter 3: </w:t>
      </w:r>
      <w:r w:rsidR="002218D5" w:rsidRPr="003E4580">
        <w:t>P</w:t>
      </w:r>
      <w:r w:rsidRPr="003E4580">
        <w:t>olicy options considered</w:t>
      </w:r>
      <w:bookmarkEnd w:id="36"/>
    </w:p>
    <w:p w14:paraId="1D3730C9" w14:textId="01B13326" w:rsidR="00550A4F" w:rsidRPr="003E4580" w:rsidRDefault="0083212C" w:rsidP="00550A4F">
      <w:pPr>
        <w:suppressAutoHyphens w:val="0"/>
        <w:autoSpaceDE w:val="0"/>
        <w:autoSpaceDN w:val="0"/>
        <w:adjustRightInd w:val="0"/>
        <w:snapToGrid w:val="0"/>
        <w:spacing w:before="0" w:after="0"/>
        <w:rPr>
          <w:rFonts w:ascii="Calibri" w:eastAsia="Times New Roman" w:hAnsi="Calibri" w:cs="Calibri"/>
          <w:color w:val="000000"/>
          <w:kern w:val="0"/>
          <w:szCs w:val="24"/>
        </w:rPr>
      </w:pPr>
      <w:r w:rsidRPr="003E4580">
        <w:t>Two</w:t>
      </w:r>
      <w:r w:rsidR="000910B7" w:rsidRPr="003E4580">
        <w:t xml:space="preserve"> options to increase the fitment of LDWS to new heavy vehicles supplied to the Australian market</w:t>
      </w:r>
      <w:r w:rsidR="002218D5" w:rsidRPr="003E4580">
        <w:t xml:space="preserve"> were considered</w:t>
      </w:r>
      <w:r w:rsidR="00550A4F" w:rsidRPr="003E4580">
        <w:t>; a non-regulatory option of no intervention and a regulatory option</w:t>
      </w:r>
      <w:r w:rsidR="000910B7" w:rsidRPr="003E4580">
        <w:t xml:space="preserve">. </w:t>
      </w:r>
      <w:r w:rsidR="00550A4F" w:rsidRPr="003E4580">
        <w:t xml:space="preserve">The exclusion of other alternative options for this regulatory impact assessment considering the introduction of a new vehicle standard was agreed </w:t>
      </w:r>
      <w:r w:rsidR="00CA5103" w:rsidRPr="003E4580">
        <w:rPr>
          <w:rFonts w:ascii="Calibri" w:eastAsia="Times New Roman" w:hAnsi="Calibri" w:cs="Calibri"/>
          <w:color w:val="000000"/>
          <w:kern w:val="0"/>
          <w:szCs w:val="24"/>
        </w:rPr>
        <w:t xml:space="preserve">in early 2020 </w:t>
      </w:r>
      <w:r w:rsidR="00550A4F" w:rsidRPr="003E4580">
        <w:t xml:space="preserve">with the </w:t>
      </w:r>
      <w:r w:rsidR="00CA5103" w:rsidRPr="003E4580">
        <w:t xml:space="preserve">Office of Impact Analysis (OIA) formerly known as the </w:t>
      </w:r>
      <w:r w:rsidR="00550A4F" w:rsidRPr="003E4580">
        <w:t xml:space="preserve">Office of Best Practice </w:t>
      </w:r>
      <w:r w:rsidR="00550A4F" w:rsidRPr="003E4580">
        <w:rPr>
          <w:rFonts w:ascii="Calibri" w:eastAsia="Times New Roman" w:hAnsi="Calibri" w:cs="Calibri"/>
          <w:color w:val="000000"/>
          <w:kern w:val="0"/>
          <w:szCs w:val="24"/>
        </w:rPr>
        <w:t xml:space="preserve">Regulation </w:t>
      </w:r>
      <w:r w:rsidR="005E3848" w:rsidRPr="003E4580">
        <w:rPr>
          <w:rFonts w:ascii="Calibri" w:eastAsia="Times New Roman" w:hAnsi="Calibri" w:cs="Calibri"/>
          <w:color w:val="000000"/>
          <w:kern w:val="0"/>
          <w:szCs w:val="24"/>
        </w:rPr>
        <w:t>(OBPR)</w:t>
      </w:r>
      <w:r w:rsidR="00550A4F" w:rsidRPr="003E4580">
        <w:rPr>
          <w:rFonts w:ascii="Calibri" w:eastAsia="Times New Roman" w:hAnsi="Calibri" w:cs="Calibri"/>
          <w:color w:val="000000"/>
          <w:kern w:val="0"/>
          <w:szCs w:val="24"/>
        </w:rPr>
        <w:t>.</w:t>
      </w:r>
    </w:p>
    <w:p w14:paraId="4BECE62A" w14:textId="77777777" w:rsidR="00760138" w:rsidRPr="003E4580" w:rsidRDefault="00760138" w:rsidP="00550A4F">
      <w:pPr>
        <w:suppressAutoHyphens w:val="0"/>
        <w:autoSpaceDE w:val="0"/>
        <w:autoSpaceDN w:val="0"/>
        <w:adjustRightInd w:val="0"/>
        <w:snapToGrid w:val="0"/>
        <w:spacing w:before="0" w:after="0"/>
        <w:rPr>
          <w:rFonts w:ascii="Calibri" w:eastAsia="Times New Roman" w:hAnsi="Calibri" w:cs="Calibri"/>
          <w:color w:val="000000"/>
          <w:kern w:val="0"/>
          <w:szCs w:val="24"/>
        </w:rPr>
      </w:pPr>
    </w:p>
    <w:p w14:paraId="32E3372E" w14:textId="7A7661C5" w:rsidR="00936268" w:rsidRPr="003E4580" w:rsidRDefault="00936268" w:rsidP="00550A4F">
      <w:pPr>
        <w:suppressAutoHyphens w:val="0"/>
        <w:autoSpaceDE w:val="0"/>
        <w:autoSpaceDN w:val="0"/>
        <w:adjustRightInd w:val="0"/>
        <w:snapToGrid w:val="0"/>
        <w:spacing w:before="0" w:after="0"/>
        <w:rPr>
          <w:rFonts w:ascii="Calibri" w:eastAsia="Times New Roman" w:hAnsi="Calibri" w:cs="Calibri"/>
          <w:color w:val="000000"/>
          <w:kern w:val="0"/>
          <w:szCs w:val="24"/>
        </w:rPr>
      </w:pPr>
      <w:r w:rsidRPr="003E4580">
        <w:rPr>
          <w:rFonts w:ascii="Calibri" w:eastAsia="Times New Roman" w:hAnsi="Calibri" w:cs="Calibri"/>
          <w:color w:val="000000"/>
          <w:kern w:val="0"/>
          <w:szCs w:val="24"/>
        </w:rPr>
        <w:t>Reducing road trauma is a complex problem. The National Road Safety Strategy advocates the Safe System approach which focuses on safe road use, safe people, safe speeds and safe vehicles. Implementing a new road vehicle standard through the ADRs targets the pillar of safe vehicles, whereas a range of other initiatives are taken by other actors in the road safety space. It is recognized within this framework that mandating new safety technologies to address specific road safety problem is the most effective. The low fitment rate of LDWS</w:t>
      </w:r>
      <w:r w:rsidR="00A573B0" w:rsidRPr="003E4580">
        <w:rPr>
          <w:rFonts w:ascii="Calibri" w:eastAsia="Times New Roman" w:hAnsi="Calibri" w:cs="Calibri"/>
          <w:color w:val="000000"/>
          <w:kern w:val="0"/>
          <w:szCs w:val="24"/>
        </w:rPr>
        <w:t>s</w:t>
      </w:r>
      <w:r w:rsidRPr="003E4580">
        <w:rPr>
          <w:rFonts w:ascii="Calibri" w:eastAsia="Times New Roman" w:hAnsi="Calibri" w:cs="Calibri"/>
          <w:color w:val="000000"/>
          <w:kern w:val="0"/>
          <w:szCs w:val="24"/>
        </w:rPr>
        <w:t xml:space="preserve"> in heavy vehicles supports this conclusion, despite the technology being available for well over a decade.</w:t>
      </w:r>
    </w:p>
    <w:p w14:paraId="69575107" w14:textId="77777777" w:rsidR="00AF3413" w:rsidRPr="003E4580" w:rsidRDefault="00AF3413" w:rsidP="00AF3413">
      <w:pPr>
        <w:pStyle w:val="Heading2"/>
      </w:pPr>
      <w:bookmarkStart w:id="37" w:name="_Toc146894874"/>
      <w:r w:rsidRPr="003E4580">
        <w:t>Summary of options</w:t>
      </w:r>
      <w:bookmarkEnd w:id="37"/>
    </w:p>
    <w:p w14:paraId="55CC7AB8" w14:textId="77777777" w:rsidR="00AF3413" w:rsidRPr="003E4580" w:rsidRDefault="000910B7" w:rsidP="00AF3413">
      <w:pPr>
        <w:rPr>
          <w:b/>
        </w:rPr>
      </w:pPr>
      <w:r w:rsidRPr="003E4580">
        <w:rPr>
          <w:b/>
        </w:rPr>
        <w:t>Non-regulatory Options</w:t>
      </w:r>
    </w:p>
    <w:p w14:paraId="208CC461" w14:textId="77777777" w:rsidR="000910B7" w:rsidRPr="003E4580" w:rsidRDefault="000910B7" w:rsidP="00B3083D">
      <w:pPr>
        <w:ind w:left="5040" w:hanging="5040"/>
      </w:pPr>
      <w:r w:rsidRPr="003E4580">
        <w:t>Option 1: no intervention</w:t>
      </w:r>
      <w:r w:rsidRPr="003E4580">
        <w:tab/>
        <w:t>Allow market forces to provide a solution (Business As Usual).</w:t>
      </w:r>
    </w:p>
    <w:p w14:paraId="5356876B" w14:textId="77777777" w:rsidR="006A7209" w:rsidRPr="003E4580" w:rsidRDefault="00812B5E" w:rsidP="00812B5E">
      <w:pPr>
        <w:tabs>
          <w:tab w:val="left" w:pos="2314"/>
        </w:tabs>
        <w:rPr>
          <w:b/>
        </w:rPr>
      </w:pPr>
      <w:r w:rsidRPr="003E4580">
        <w:rPr>
          <w:b/>
        </w:rPr>
        <w:t>Regulatory Options</w:t>
      </w:r>
    </w:p>
    <w:p w14:paraId="3995E6F8" w14:textId="77777777" w:rsidR="00337B6B" w:rsidRPr="003E4580" w:rsidRDefault="00337B6B" w:rsidP="004363D2">
      <w:pPr>
        <w:ind w:left="5040" w:hanging="5040"/>
      </w:pPr>
      <w:r w:rsidRPr="003E4580">
        <w:t xml:space="preserve">Option </w:t>
      </w:r>
      <w:r w:rsidR="0083212C" w:rsidRPr="003E4580">
        <w:t>2</w:t>
      </w:r>
      <w:r w:rsidRPr="003E4580">
        <w:t xml:space="preserve">: </w:t>
      </w:r>
      <w:r w:rsidR="00A45BEA" w:rsidRPr="003E4580">
        <w:rPr>
          <w:i/>
        </w:rPr>
        <w:t>Road Vehicle Standards Act 2018</w:t>
      </w:r>
      <w:r w:rsidRPr="003E4580">
        <w:t xml:space="preserve"> </w:t>
      </w:r>
      <w:r w:rsidR="00A45BEA" w:rsidRPr="003E4580">
        <w:t>(</w:t>
      </w:r>
      <w:r w:rsidRPr="003E4580">
        <w:t>regulation)</w:t>
      </w:r>
      <w:r w:rsidRPr="003E4580">
        <w:tab/>
      </w:r>
      <w:r w:rsidR="004363D2" w:rsidRPr="003E4580">
        <w:t xml:space="preserve">Mandate </w:t>
      </w:r>
      <w:r w:rsidR="00CD712B" w:rsidRPr="003E4580">
        <w:t>a standard</w:t>
      </w:r>
      <w:r w:rsidRPr="003E4580">
        <w:t xml:space="preserve"> requ</w:t>
      </w:r>
      <w:r w:rsidR="004363D2" w:rsidRPr="003E4580">
        <w:t>iring the fitment of LDWS</w:t>
      </w:r>
      <w:r w:rsidRPr="003E4580">
        <w:t xml:space="preserve"> to new heavy vehicles under the RVS</w:t>
      </w:r>
      <w:r w:rsidR="004363D2" w:rsidRPr="003E4580">
        <w:t xml:space="preserve">A based on </w:t>
      </w:r>
      <w:r w:rsidR="00CD712B" w:rsidRPr="003E4580">
        <w:t xml:space="preserve">the </w:t>
      </w:r>
      <w:r w:rsidR="004363D2" w:rsidRPr="003E4580">
        <w:t>UN Regulation No. 130 (regulatory—mandatory).</w:t>
      </w:r>
    </w:p>
    <w:p w14:paraId="46CA7C6E" w14:textId="77777777" w:rsidR="00AF3413" w:rsidRPr="003E4580" w:rsidRDefault="00AF3413" w:rsidP="00AF3413">
      <w:pPr>
        <w:pStyle w:val="Heading2"/>
      </w:pPr>
      <w:bookmarkStart w:id="38" w:name="_Toc146894875"/>
      <w:r w:rsidRPr="003E4580">
        <w:t>Discussion of options</w:t>
      </w:r>
      <w:bookmarkEnd w:id="38"/>
    </w:p>
    <w:p w14:paraId="6114549C" w14:textId="77777777" w:rsidR="00CC25F1" w:rsidRPr="003E4580" w:rsidRDefault="00CC25F1" w:rsidP="00AF3413">
      <w:pPr>
        <w:rPr>
          <w:b/>
        </w:rPr>
      </w:pPr>
      <w:r w:rsidRPr="003E4580">
        <w:rPr>
          <w:b/>
        </w:rPr>
        <w:t>Option 1: No Intervention (Business As Usual)</w:t>
      </w:r>
    </w:p>
    <w:p w14:paraId="63FEDDE7" w14:textId="77777777" w:rsidR="0093636A" w:rsidRPr="003E4580" w:rsidRDefault="00B3083D" w:rsidP="00AF3413">
      <w:r w:rsidRPr="003E4580">
        <w:t xml:space="preserve">The Business As Usual (BAU) case relies on the market fixing the problem, the community accepting the problem, or some combination of the two. The state of current voluntary fitment of </w:t>
      </w:r>
      <w:r w:rsidR="0093636A" w:rsidRPr="003E4580">
        <w:t>LDWS</w:t>
      </w:r>
      <w:r w:rsidRPr="003E4580">
        <w:t xml:space="preserve"> to</w:t>
      </w:r>
      <w:r w:rsidR="0049404F" w:rsidRPr="003E4580">
        <w:t xml:space="preserve"> all new</w:t>
      </w:r>
      <w:r w:rsidRPr="003E4580">
        <w:t xml:space="preserve"> heavy vehicles is around </w:t>
      </w:r>
      <w:r w:rsidR="0049404F" w:rsidRPr="003E4580">
        <w:t>36</w:t>
      </w:r>
      <w:r w:rsidRPr="003E4580">
        <w:t xml:space="preserve"> per</w:t>
      </w:r>
      <w:r w:rsidR="0049404F" w:rsidRPr="003E4580">
        <w:t xml:space="preserve"> cent</w:t>
      </w:r>
      <w:r w:rsidRPr="003E4580">
        <w:t xml:space="preserve"> with heavy duty prime movers h</w:t>
      </w:r>
      <w:r w:rsidR="0093636A" w:rsidRPr="003E4580">
        <w:t xml:space="preserve">aving </w:t>
      </w:r>
      <w:r w:rsidR="0049404F" w:rsidRPr="003E4580">
        <w:t>the highest</w:t>
      </w:r>
      <w:r w:rsidR="0093636A" w:rsidRPr="003E4580">
        <w:t xml:space="preserve"> fitment rate of around </w:t>
      </w:r>
      <w:r w:rsidR="0049404F" w:rsidRPr="003E4580">
        <w:t>51.7 per cent.</w:t>
      </w:r>
    </w:p>
    <w:p w14:paraId="4393E313" w14:textId="2068F43E" w:rsidR="0093636A" w:rsidRPr="003E4580" w:rsidRDefault="00B3083D" w:rsidP="00AF3413">
      <w:r w:rsidRPr="003E4580">
        <w:t xml:space="preserve">These fitment rates have arisen without regulation in Australia, including due to many heavy vehicle manufacturers and operators recognising the benefits of the technology to their businesses and/or the broader community. However, it is also important to note that fitment of these technologies is significantly higher in some other markets, most notably Europe were fitment </w:t>
      </w:r>
      <w:r w:rsidR="0093636A" w:rsidRPr="003E4580">
        <w:t>has been</w:t>
      </w:r>
      <w:r w:rsidRPr="003E4580">
        <w:t xml:space="preserve"> mandatory (subject to some limited exemptions) for all new </w:t>
      </w:r>
      <w:r w:rsidR="0093636A" w:rsidRPr="003E4580">
        <w:t xml:space="preserve">heavy </w:t>
      </w:r>
      <w:r w:rsidRPr="003E4580">
        <w:t>vehicles</w:t>
      </w:r>
      <w:r w:rsidR="0093636A" w:rsidRPr="003E4580">
        <w:t xml:space="preserve"> since 2015</w:t>
      </w:r>
      <w:r w:rsidRPr="003E4580">
        <w:t xml:space="preserve">. </w:t>
      </w:r>
    </w:p>
    <w:p w14:paraId="1B7B28EB" w14:textId="77777777" w:rsidR="00AF3413" w:rsidRPr="003E4580" w:rsidRDefault="00B3083D" w:rsidP="00AF3413">
      <w:r w:rsidRPr="003E4580">
        <w:t xml:space="preserve">In examining this case, European Commission requirements on the fitment of heavy vehicle </w:t>
      </w:r>
      <w:r w:rsidR="00FE5705" w:rsidRPr="003E4580">
        <w:t>LDWS</w:t>
      </w:r>
      <w:r w:rsidRPr="003E4580">
        <w:t xml:space="preserve"> in the EU and its flow on effect to the Australian market was considered. This included decreasing production costs of </w:t>
      </w:r>
      <w:r w:rsidR="00FE5705" w:rsidRPr="003E4580">
        <w:t>LDWS components</w:t>
      </w:r>
      <w:r w:rsidRPr="003E4580">
        <w:t xml:space="preserve"> as well as reduced development and testing costs over the years as the technology</w:t>
      </w:r>
      <w:r w:rsidR="00FE5705" w:rsidRPr="003E4580">
        <w:t xml:space="preserve"> (as a warning system) has fully matured</w:t>
      </w:r>
      <w:r w:rsidRPr="003E4580">
        <w:t xml:space="preserve"> and best practice methods of application, development and implementation become widespread</w:t>
      </w:r>
      <w:r w:rsidR="00FE5705" w:rsidRPr="003E4580">
        <w:t>.</w:t>
      </w:r>
    </w:p>
    <w:p w14:paraId="5EDD911E" w14:textId="187E72C6" w:rsidR="00723284" w:rsidRPr="003E4580" w:rsidRDefault="00321FEB" w:rsidP="00AF3413">
      <w:r w:rsidRPr="003E4580">
        <w:t>Actions undertaken by state and territory governments towards improving heavy vehicle safety include investment in research projects, education campaigns, and strategic partnerships. They also include increased stringency in safety requirements and access arrangements, particularly for access to government work contracts. These actions mostly address road user behaviour and infrastructure countermeasures, and only include some localised influences on the fitting of technology through contracts or by trading for road access. Thus</w:t>
      </w:r>
      <w:r w:rsidR="002218D5" w:rsidRPr="003E4580">
        <w:t>,</w:t>
      </w:r>
      <w:r w:rsidRPr="003E4580">
        <w:t xml:space="preserve"> these measures are expected to have limited national impact on reducing heavy vehicle crashes</w:t>
      </w:r>
      <w:r w:rsidR="00723284" w:rsidRPr="003E4580">
        <w:t xml:space="preserve"> as a result of drifting unintentionally outside their lane</w:t>
      </w:r>
      <w:r w:rsidRPr="003E4580">
        <w:t xml:space="preserve">. Nationally, </w:t>
      </w:r>
      <w:r w:rsidR="00723284" w:rsidRPr="003E4580">
        <w:t xml:space="preserve">ADR 35/05 – Commercial Vehicle Brake Systems and ADR 38/05 – Trailer Brake Systems are two standards that mandate </w:t>
      </w:r>
      <w:r w:rsidR="00723284" w:rsidRPr="003E4580">
        <w:lastRenderedPageBreak/>
        <w:t>ESC, ABS and RSC on heavy vehicles and trailers to ensure safe braking under normal and emergency conditions</w:t>
      </w:r>
      <w:r w:rsidR="00AB7B71" w:rsidRPr="003E4580">
        <w:t xml:space="preserve">. These technologies help </w:t>
      </w:r>
      <w:r w:rsidRPr="003E4580">
        <w:t>r</w:t>
      </w:r>
      <w:r w:rsidR="00AB7B71" w:rsidRPr="003E4580">
        <w:t>educe the severity of heavy vehicle related trauma due to loss of control. O</w:t>
      </w:r>
      <w:r w:rsidRPr="003E4580">
        <w:t>ther prove</w:t>
      </w:r>
      <w:r w:rsidR="00AB7B71" w:rsidRPr="003E4580">
        <w:t>n technologies to date include</w:t>
      </w:r>
      <w:r w:rsidRPr="003E4580">
        <w:t xml:space="preserve"> AEB</w:t>
      </w:r>
      <w:r w:rsidR="00AB7B71" w:rsidRPr="003E4580">
        <w:t xml:space="preserve"> </w:t>
      </w:r>
      <w:r w:rsidR="00F7314B" w:rsidRPr="003E4580">
        <w:t xml:space="preserve">(ADR 97/00 – Advanced Emergency Braking (AEB) for Omnibuses, and Medium and Heavy Goods Vehicles) </w:t>
      </w:r>
      <w:r w:rsidR="00AB7B71" w:rsidRPr="003E4580">
        <w:t>and LDWS</w:t>
      </w:r>
      <w:r w:rsidRPr="003E4580">
        <w:t xml:space="preserve">. The broad introduction of technology such as </w:t>
      </w:r>
      <w:r w:rsidR="00723284" w:rsidRPr="003E4580">
        <w:t>LDWS</w:t>
      </w:r>
      <w:r w:rsidRPr="003E4580">
        <w:t xml:space="preserve"> is not </w:t>
      </w:r>
      <w:r w:rsidR="00CA5103" w:rsidRPr="003E4580">
        <w:t>effective</w:t>
      </w:r>
      <w:r w:rsidRPr="003E4580">
        <w:t xml:space="preserve"> through state and territory government efforts as there is no national consumer safety ratings scheme for new heavy vehicles (unlike ANCAP for light vehicles). </w:t>
      </w:r>
    </w:p>
    <w:p w14:paraId="75150C41" w14:textId="77777777" w:rsidR="005E1FA1" w:rsidRPr="003E4580" w:rsidRDefault="00321FEB" w:rsidP="00DC0862">
      <w:r w:rsidRPr="003E4580">
        <w:t xml:space="preserve">Under Option 1, voluntary fitment by industry of </w:t>
      </w:r>
      <w:r w:rsidR="00723284" w:rsidRPr="003E4580">
        <w:t>LDWS</w:t>
      </w:r>
      <w:r w:rsidRPr="003E4580">
        <w:t xml:space="preserve"> to new heavy vehicles is projected (based on recent trends and regulation in other markets) to increase year on year to some degree, with marked initial increases. The BAU option was analysed in detail in order to establish the baseline for comparison with other options</w:t>
      </w:r>
      <w:r w:rsidR="00BC09AE" w:rsidRPr="003E4580">
        <w:t>.</w:t>
      </w:r>
    </w:p>
    <w:p w14:paraId="43840A15" w14:textId="77777777" w:rsidR="005E1FA1" w:rsidRPr="003E4580" w:rsidRDefault="005E1FA1" w:rsidP="00561999">
      <w:pPr>
        <w:tabs>
          <w:tab w:val="left" w:pos="1290"/>
        </w:tabs>
        <w:rPr>
          <w:b/>
        </w:rPr>
      </w:pPr>
      <w:r w:rsidRPr="003E4580">
        <w:rPr>
          <w:b/>
        </w:rPr>
        <w:t xml:space="preserve">Option </w:t>
      </w:r>
      <w:r w:rsidR="00DC0862" w:rsidRPr="003E4580">
        <w:rPr>
          <w:b/>
        </w:rPr>
        <w:t>2</w:t>
      </w:r>
      <w:r w:rsidRPr="003E4580">
        <w:rPr>
          <w:b/>
        </w:rPr>
        <w:t xml:space="preserve">: Mandatory Standards under the RVSA—Regulation </w:t>
      </w:r>
    </w:p>
    <w:p w14:paraId="3B8393D5" w14:textId="77777777" w:rsidR="005E1FA1" w:rsidRPr="003E4580" w:rsidRDefault="005E1FA1" w:rsidP="00561999">
      <w:pPr>
        <w:tabs>
          <w:tab w:val="left" w:pos="1290"/>
        </w:tabs>
      </w:pPr>
      <w:r w:rsidRPr="003E4580">
        <w:t xml:space="preserve">Under Option </w:t>
      </w:r>
      <w:r w:rsidR="00DC0862" w:rsidRPr="003E4580">
        <w:t>2</w:t>
      </w:r>
      <w:r w:rsidRPr="003E4580">
        <w:t xml:space="preserve">, the Australian Government would mandate the fitment of LDWS to new heavy vehicles supplied to the market via a new national standard (ADR) under the RVSA. This new ADR would adopt the technical requirements of UN Regulation No. 130, incorporating up to the latest series of amendments. The ADR would also include a requirement that the LDWS be fitted as prescribed. As new ADRs only apply under the RVSA to new vehicles, implementation of this option would not affect vehicles already in service. </w:t>
      </w:r>
    </w:p>
    <w:p w14:paraId="41CB21CE" w14:textId="1C5793FE" w:rsidR="005E1FA1" w:rsidRPr="003E4580" w:rsidRDefault="005E1FA1" w:rsidP="00561999">
      <w:pPr>
        <w:tabs>
          <w:tab w:val="left" w:pos="1290"/>
        </w:tabs>
      </w:pPr>
      <w:r w:rsidRPr="003E4580">
        <w:t>LDWS</w:t>
      </w:r>
      <w:r w:rsidR="00BA5AF3" w:rsidRPr="003E4580">
        <w:t>s</w:t>
      </w:r>
      <w:r w:rsidRPr="003E4580">
        <w:t xml:space="preserve"> from various manufacturers use a variety of techniques and sub-systems to detect </w:t>
      </w:r>
      <w:r w:rsidR="004C4CDC" w:rsidRPr="003E4580">
        <w:t xml:space="preserve">heavy vehicle </w:t>
      </w:r>
      <w:r w:rsidRPr="003E4580">
        <w:t>lane departures. As such</w:t>
      </w:r>
      <w:r w:rsidR="002218D5" w:rsidRPr="003E4580">
        <w:t>,</w:t>
      </w:r>
      <w:r w:rsidRPr="003E4580">
        <w:t xml:space="preserve"> </w:t>
      </w:r>
      <w:r w:rsidR="00473D2A" w:rsidRPr="003E4580">
        <w:t>an agreed</w:t>
      </w:r>
      <w:r w:rsidRPr="003E4580">
        <w:t xml:space="preserve"> international standard would further simplify system design and enhance quality. It is therefore important to adopt an effective standard, otherwise the benefits of </w:t>
      </w:r>
      <w:r w:rsidR="004C4CDC" w:rsidRPr="003E4580">
        <w:t>LDWS</w:t>
      </w:r>
      <w:r w:rsidRPr="003E4580">
        <w:t xml:space="preserve"> </w:t>
      </w:r>
      <w:r w:rsidR="00BA5AF3" w:rsidRPr="003E4580">
        <w:t xml:space="preserve">will </w:t>
      </w:r>
      <w:r w:rsidRPr="003E4580">
        <w:t>be uncertain. Research</w:t>
      </w:r>
      <w:r w:rsidR="004C4CDC" w:rsidRPr="003E4580">
        <w:t xml:space="preserve"> has shown UN Regulation No. 130</w:t>
      </w:r>
      <w:r w:rsidRPr="003E4580">
        <w:t xml:space="preserve"> is effective in an</w:t>
      </w:r>
      <w:r w:rsidR="004C4CDC" w:rsidRPr="003E4580">
        <w:t xml:space="preserve"> Australian context (</w:t>
      </w:r>
      <w:r w:rsidR="00F7314B" w:rsidRPr="003E4580">
        <w:t>Budd &amp; Newstead</w:t>
      </w:r>
      <w:r w:rsidR="004C4CDC" w:rsidRPr="003E4580">
        <w:t>, 2014</w:t>
      </w:r>
      <w:r w:rsidR="00F7314B" w:rsidRPr="003E4580">
        <w:t xml:space="preserve"> and Budd et al., 2015)</w:t>
      </w:r>
      <w:r w:rsidRPr="003E4580">
        <w:t>. As this option is considered viable, and has been pursued internationally, the introduction of a mandatory standard was analysed further in terms of expe</w:t>
      </w:r>
      <w:r w:rsidR="004C4CDC" w:rsidRPr="003E4580">
        <w:t>cted benefits to the community.</w:t>
      </w:r>
    </w:p>
    <w:p w14:paraId="66D5274D" w14:textId="0454588A" w:rsidR="00760138" w:rsidRPr="003E4580" w:rsidRDefault="00760138" w:rsidP="00561999">
      <w:pPr>
        <w:tabs>
          <w:tab w:val="left" w:pos="1290"/>
        </w:tabs>
      </w:pPr>
      <w:r w:rsidRPr="003E4580">
        <w:t>Chapter 2 details past, present and projected fitment rates of LDWS for HVs</w:t>
      </w:r>
      <w:r w:rsidR="00D863CD" w:rsidRPr="003E4580">
        <w:t xml:space="preserve"> as supplied by TIC</w:t>
      </w:r>
      <w:r w:rsidRPr="003E4580">
        <w:t xml:space="preserve">. </w:t>
      </w:r>
      <w:r w:rsidR="00D863CD" w:rsidRPr="003E4580">
        <w:t>Australia has a very old truck fleet: 14.0 years average age (vehicles above 3.5t GVM – ABS Motor Vehicle Census Jan 2018); 14.8 years average age (vehicles above 4.5t GVM – ABS Motor Vehicle Census Jan 2018).</w:t>
      </w:r>
      <w:r w:rsidR="00D863CD" w:rsidRPr="003E4580">
        <w:rPr>
          <w:rFonts w:ascii="Arial" w:hAnsi="Arial" w:cs="Arial"/>
          <w:color w:val="61605F"/>
        </w:rPr>
        <w:t xml:space="preserve"> </w:t>
      </w:r>
      <w:r w:rsidR="00D863CD" w:rsidRPr="003E4580">
        <w:t>Trucks in Australia and New Zealand are older than in many other countries. This is due to low barriers to entry, exacerbated by having no secondary disposal market, and few restrictions on how and where they operate (Austroads, 2019). Based on these existing market characteristics and unique market supply of American, European, Japanese and locally manufactured HVs, the Department marginally over-estimated voluntary fitment rates in the BCA based on the data supplied by TIC. Chapter 4 also adjusts various parameters in the BCA to account for changes in market conditions (fitment, costs, testing, etc).</w:t>
      </w:r>
    </w:p>
    <w:p w14:paraId="28DCA3FE" w14:textId="77777777" w:rsidR="00CD2D84" w:rsidRPr="003E4580" w:rsidRDefault="00CD2D84" w:rsidP="00561999">
      <w:pPr>
        <w:tabs>
          <w:tab w:val="left" w:pos="1290"/>
        </w:tabs>
        <w:rPr>
          <w:i/>
        </w:rPr>
      </w:pPr>
      <w:r w:rsidRPr="003E4580">
        <w:rPr>
          <w:i/>
        </w:rPr>
        <w:t xml:space="preserve">Background </w:t>
      </w:r>
    </w:p>
    <w:p w14:paraId="338C1E0B" w14:textId="30D7881D" w:rsidR="002218D5" w:rsidRPr="003E4580" w:rsidRDefault="002218D5" w:rsidP="002218D5">
      <w:r w:rsidRPr="003E4580">
        <w:t>The UN World Forum for the Harmonization of Vehicle Regulations (WP. 29) is a worldwide regulatory forum that provides the framework to establish regulatory instruments concerning motor vehicles</w:t>
      </w:r>
      <w:r w:rsidR="004C5497" w:rsidRPr="003E4580">
        <w:t>, that</w:t>
      </w:r>
      <w:r w:rsidRPr="003E4580">
        <w:t xml:space="preserve"> allows for the introduction of innovative vehicle technologies to the market while continuously improving global vehicle safety. </w:t>
      </w:r>
    </w:p>
    <w:p w14:paraId="21694C83" w14:textId="69A22F0B" w:rsidR="002218D5" w:rsidRPr="003E4580" w:rsidRDefault="002218D5" w:rsidP="002218D5">
      <w:r w:rsidRPr="003E4580">
        <w:t xml:space="preserve">Australia is one of the Contracting Parties (member countries of the United Nations) to the UN Regulations annexed to </w:t>
      </w:r>
      <w:r w:rsidRPr="003E4580">
        <w:rPr>
          <w:i/>
        </w:rPr>
        <w:t>the</w:t>
      </w:r>
      <w:r w:rsidR="004C5497" w:rsidRPr="003E4580">
        <w:rPr>
          <w:i/>
        </w:rPr>
        <w:t xml:space="preserve">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4C5497" w:rsidRPr="003E4580">
        <w:t xml:space="preserve"> (the 1958 Agreement) and is </w:t>
      </w:r>
      <w:r w:rsidRPr="003E4580">
        <w:t>obliged to accept vehicles that comply with the requirements of the international standard UN Regulation No. 1</w:t>
      </w:r>
      <w:r w:rsidR="000F5030" w:rsidRPr="003E4580">
        <w:t>30</w:t>
      </w:r>
      <w:r w:rsidRPr="003E4580">
        <w:t xml:space="preserve"> (UN R</w:t>
      </w:r>
      <w:r w:rsidR="000F5030" w:rsidRPr="003E4580">
        <w:t>130</w:t>
      </w:r>
      <w:r w:rsidRPr="003E4580">
        <w:t>) titled ‘</w:t>
      </w:r>
      <w:r w:rsidR="000F5030" w:rsidRPr="003E4580">
        <w:rPr>
          <w:i/>
        </w:rPr>
        <w:t>Uniform provisions concerning the approval of motor vehicles with regard to the Lane Departure Warning System (LDWS)</w:t>
      </w:r>
      <w:r w:rsidRPr="003E4580">
        <w:t>’. The UN Regulations are recognised as the peak international standards available for vehicle safety performance requirements. Most Contracting Parties applying type approval certification systems, such as Australia, would consider UN Regulation under any examination of the case to mandate domestically. This allows for conformity in vehicle production and the mutual recognition of type approvals by the Contracting Parties.</w:t>
      </w:r>
    </w:p>
    <w:p w14:paraId="5FA90020" w14:textId="77777777" w:rsidR="002218D5" w:rsidRPr="003E4580" w:rsidRDefault="002218D5" w:rsidP="002218D5">
      <w:r w:rsidRPr="003E4580">
        <w:t xml:space="preserve">A program of harmonising the ADRs with international standards, as developed through the UN, began in the mid-1980s and has recently been accelerated. Harmonising with UN requirements provides consumers with access to vehicles meeting the latest levels of safety and innovation, at the lowest possible cost. The Australian Government has the capability and experience to adopt, whether by acceptance as alternative standards or by mandating, both UN Global Technical Regulations (GTR) and UN Regulations into the ADRs. </w:t>
      </w:r>
    </w:p>
    <w:p w14:paraId="7176B0DA" w14:textId="6669319D" w:rsidR="002218D5" w:rsidRPr="003E4580" w:rsidRDefault="002218D5" w:rsidP="002218D5">
      <w:r w:rsidRPr="003E4580">
        <w:lastRenderedPageBreak/>
        <w:t xml:space="preserve">Harmonised Australian requirements </w:t>
      </w:r>
      <w:r w:rsidR="004C5497" w:rsidRPr="003E4580">
        <w:t xml:space="preserve">will </w:t>
      </w:r>
      <w:r w:rsidRPr="003E4580">
        <w:t xml:space="preserve">minimise costs associated with </w:t>
      </w:r>
      <w:r w:rsidR="00473D2A" w:rsidRPr="003E4580">
        <w:t>technological development</w:t>
      </w:r>
      <w:r w:rsidRPr="003E4580">
        <w:t>, provide manufacturers</w:t>
      </w:r>
      <w:r w:rsidR="004C5497" w:rsidRPr="003E4580">
        <w:t xml:space="preserve"> with</w:t>
      </w:r>
      <w:r w:rsidRPr="003E4580">
        <w:t xml:space="preserve"> the flexibility to incorporate or adapt systems that have already been developed and tested for markets with the same requirements. It also enable</w:t>
      </w:r>
      <w:r w:rsidR="008D632A" w:rsidRPr="003E4580">
        <w:t>s</w:t>
      </w:r>
      <w:r w:rsidRPr="003E4580">
        <w:t xml:space="preserve"> leveraging of testing and certification frameworks conducted in other markets.</w:t>
      </w:r>
    </w:p>
    <w:p w14:paraId="716B843E" w14:textId="2C3992F7" w:rsidR="00CD2D84" w:rsidRPr="003E4580" w:rsidRDefault="00CD2D84" w:rsidP="00561999">
      <w:pPr>
        <w:tabs>
          <w:tab w:val="left" w:pos="1290"/>
        </w:tabs>
      </w:pPr>
      <w:r w:rsidRPr="003E4580">
        <w:t>Australia mandates approximately sixty active ADRs under the RVSA. Vehicles are approved on a model</w:t>
      </w:r>
      <w:r w:rsidR="008D632A" w:rsidRPr="003E4580">
        <w:t xml:space="preserve">, </w:t>
      </w:r>
      <w:r w:rsidRPr="003E4580">
        <w:t>or vehicle type</w:t>
      </w:r>
      <w:r w:rsidR="008D632A" w:rsidRPr="003E4580">
        <w:t>,</w:t>
      </w:r>
      <w:r w:rsidRPr="003E4580">
        <w:t xml:space="preserve"> basis known as type approval, whereby the Australian Government approves a vehicle type based on test and other information supplied by the manufacturer. Compliance of vehicles built under that approval is ensured by the regular audit of the manufacturer’s production, design and test facilities. This includes audit</w:t>
      </w:r>
      <w:r w:rsidR="008D632A" w:rsidRPr="003E4580">
        <w:t>ing</w:t>
      </w:r>
      <w:r w:rsidRPr="003E4580">
        <w:t xml:space="preserve"> the manufacturers’ quality systems and processes. </w:t>
      </w:r>
    </w:p>
    <w:p w14:paraId="44BD31D7" w14:textId="54F477B5" w:rsidR="00CD2D84" w:rsidRPr="003E4580" w:rsidRDefault="00CD2D84" w:rsidP="00561999">
      <w:pPr>
        <w:tabs>
          <w:tab w:val="left" w:pos="1290"/>
        </w:tabs>
      </w:pPr>
      <w:r w:rsidRPr="003E4580">
        <w:t xml:space="preserve">The ADRs apply equally to new imported vehicles and new vehicles manufactured in Australia. No distinction is made on the basis of country of origin/manufacture and this has been the case since the introduction of the MVSA and </w:t>
      </w:r>
      <w:r w:rsidR="008D632A" w:rsidRPr="003E4580">
        <w:t>is</w:t>
      </w:r>
      <w:r w:rsidRPr="003E4580">
        <w:t xml:space="preserve"> the case with the replacement of MVSA with the RVSA. </w:t>
      </w:r>
    </w:p>
    <w:p w14:paraId="292DCD90" w14:textId="2970B2DD" w:rsidR="00CD2D84" w:rsidRPr="003E4580" w:rsidRDefault="00CD2D84" w:rsidP="00561999">
      <w:pPr>
        <w:tabs>
          <w:tab w:val="left" w:pos="1290"/>
        </w:tabs>
      </w:pPr>
      <w:r w:rsidRPr="003E4580">
        <w:t xml:space="preserve">If this option were implemented, the requirements </w:t>
      </w:r>
      <w:r w:rsidR="00CA5103" w:rsidRPr="003E4580">
        <w:t xml:space="preserve">of </w:t>
      </w:r>
      <w:r w:rsidRPr="003E4580">
        <w:t>L</w:t>
      </w:r>
      <w:r w:rsidR="00580D0F" w:rsidRPr="003E4580">
        <w:t>DW</w:t>
      </w:r>
      <w:r w:rsidR="008D632A" w:rsidRPr="003E4580">
        <w:t>S</w:t>
      </w:r>
      <w:r w:rsidR="00580D0F" w:rsidRPr="003E4580">
        <w:t>s</w:t>
      </w:r>
      <w:r w:rsidRPr="003E4580">
        <w:t xml:space="preserve"> would adopt the requirements of UN Regulation No. 130.</w:t>
      </w:r>
    </w:p>
    <w:p w14:paraId="5D33D997" w14:textId="65ABFF8E" w:rsidR="00580D0F" w:rsidRPr="003E4580" w:rsidRDefault="00580D0F" w:rsidP="001128A8">
      <w:pPr>
        <w:tabs>
          <w:tab w:val="left" w:pos="1290"/>
        </w:tabs>
      </w:pPr>
      <w:r w:rsidRPr="003E4580">
        <w:t>Aust</w:t>
      </w:r>
      <w:r w:rsidR="00064530" w:rsidRPr="003E4580">
        <w:t>ralian research has found that LDW</w:t>
      </w:r>
      <w:r w:rsidR="008D632A" w:rsidRPr="003E4580">
        <w:t>S</w:t>
      </w:r>
      <w:r w:rsidRPr="003E4580">
        <w:t xml:space="preserve">s could alleviate or </w:t>
      </w:r>
      <w:r w:rsidR="00064530" w:rsidRPr="003E4580">
        <w:t xml:space="preserve">reduce the severity of almost </w:t>
      </w:r>
      <w:r w:rsidR="00A803B0" w:rsidRPr="003E4580">
        <w:t>five</w:t>
      </w:r>
      <w:r w:rsidRPr="003E4580">
        <w:t xml:space="preserve"> per cent of all Australian heavy vehicle crashes, predominantly those involving a heavy vehicle </w:t>
      </w:r>
      <w:r w:rsidR="00064530" w:rsidRPr="003E4580">
        <w:t>drifting outside its lane, same direction and opposite direction lane departure multiple-vehicle crashes and single-vehicle roadway departures</w:t>
      </w:r>
      <w:r w:rsidR="00A803B0" w:rsidRPr="003E4580">
        <w:t xml:space="preserve">. The research </w:t>
      </w:r>
      <w:r w:rsidR="00CA5103" w:rsidRPr="003E4580">
        <w:t xml:space="preserve">also </w:t>
      </w:r>
      <w:r w:rsidR="00A803B0" w:rsidRPr="003E4580">
        <w:t xml:space="preserve">highlighted </w:t>
      </w:r>
      <w:r w:rsidR="00CA5103" w:rsidRPr="003E4580">
        <w:t>that t</w:t>
      </w:r>
      <w:r w:rsidR="00A803B0" w:rsidRPr="003E4580">
        <w:t>he protection offered was greater for higher severity crashes with 11 per cent of fatal crashes sensitive to LDWS. Sensitivity to injury crashes w</w:t>
      </w:r>
      <w:r w:rsidR="008D632A" w:rsidRPr="003E4580">
        <w:t>ere</w:t>
      </w:r>
      <w:r w:rsidR="00A803B0" w:rsidRPr="003E4580">
        <w:t xml:space="preserve"> almost double that of property damage only crashes</w:t>
      </w:r>
      <w:r w:rsidR="00064530" w:rsidRPr="003E4580">
        <w:t xml:space="preserve"> (</w:t>
      </w:r>
      <w:r w:rsidR="00FC2E86" w:rsidRPr="003E4580">
        <w:t>Budd &amp; Newstead</w:t>
      </w:r>
      <w:r w:rsidR="00064530" w:rsidRPr="003E4580">
        <w:t>, 2014).</w:t>
      </w:r>
      <w:r w:rsidR="001128A8" w:rsidRPr="003E4580">
        <w:t xml:space="preserve"> Furthermore, LDWS technology was found to be more sensitive to the crashes of articulated trucks and road trains than to those of rigid trucks and buses.</w:t>
      </w:r>
    </w:p>
    <w:p w14:paraId="292F4C40" w14:textId="77777777" w:rsidR="008E7D81" w:rsidRPr="003E4580" w:rsidRDefault="008E7D81" w:rsidP="001128A8">
      <w:pPr>
        <w:tabs>
          <w:tab w:val="left" w:pos="1290"/>
        </w:tabs>
        <w:rPr>
          <w:b/>
        </w:rPr>
      </w:pPr>
      <w:r w:rsidRPr="003E4580">
        <w:rPr>
          <w:b/>
        </w:rPr>
        <w:t xml:space="preserve">Scope/Applicability </w:t>
      </w:r>
    </w:p>
    <w:p w14:paraId="168CF74A" w14:textId="140DDFD4" w:rsidR="00321C88" w:rsidRPr="003E4580" w:rsidRDefault="00321C88" w:rsidP="00321C88">
      <w:pPr>
        <w:tabs>
          <w:tab w:val="left" w:pos="1290"/>
        </w:tabs>
      </w:pPr>
      <w:r w:rsidRPr="003E4580">
        <w:t>This option was considered in relation to the scope of vehicles for which mandatory requirements for LDWS could be applied under the ADRs. This option directly aligned with the requirements of UN Regulation No. 130</w:t>
      </w:r>
      <w:r w:rsidR="008D632A" w:rsidRPr="003E4580">
        <w:t>,</w:t>
      </w:r>
      <w:r w:rsidRPr="003E4580">
        <w:t xml:space="preserve"> which would require a new ADR to be implemented to require fitment of LDWS for new heavy </w:t>
      </w:r>
      <w:r w:rsidR="005A5805" w:rsidRPr="003E4580">
        <w:t xml:space="preserve">vehicles of ADR categories NB1, </w:t>
      </w:r>
      <w:r w:rsidRPr="003E4580">
        <w:t>NB2, NC, MD and ME (Goods Vehicles and Omnibuses)</w:t>
      </w:r>
      <w:r w:rsidR="009E7FD5" w:rsidRPr="003E4580">
        <w:t>.</w:t>
      </w:r>
    </w:p>
    <w:p w14:paraId="38F782A9" w14:textId="77777777" w:rsidR="009E7FD5" w:rsidRPr="003E4580" w:rsidRDefault="009E7FD5" w:rsidP="009E7FD5">
      <w:pPr>
        <w:tabs>
          <w:tab w:val="left" w:pos="1290"/>
        </w:tabs>
        <w:rPr>
          <w:b/>
        </w:rPr>
      </w:pPr>
      <w:r w:rsidRPr="003E4580">
        <w:rPr>
          <w:b/>
        </w:rPr>
        <w:t xml:space="preserve">Implementation Timing </w:t>
      </w:r>
    </w:p>
    <w:p w14:paraId="0A5C70C1" w14:textId="77777777" w:rsidR="009E7FD5" w:rsidRPr="003E4580" w:rsidRDefault="009E7FD5" w:rsidP="009E7FD5">
      <w:pPr>
        <w:tabs>
          <w:tab w:val="left" w:pos="1290"/>
        </w:tabs>
      </w:pPr>
      <w:r w:rsidRPr="003E4580">
        <w:t xml:space="preserve">The ADRs only apply to new vehicles and typically use a phase-in period to give models that are already established in the market, time to change their design. The implementation lead-time of an ADR is generally no less than 18 months for models that are new to the market (new model vehicles) and 24 months for models that are already established in the market (all new vehicles), but this varies depending on the complexity of the change and the requirements of the ADR. The proposed applicability dates under this option are: </w:t>
      </w:r>
    </w:p>
    <w:p w14:paraId="175E4A0C" w14:textId="573AADB1" w:rsidR="009E7FD5" w:rsidRPr="003E4580" w:rsidRDefault="009E7FD5" w:rsidP="00CB0804">
      <w:pPr>
        <w:numPr>
          <w:ilvl w:val="0"/>
          <w:numId w:val="12"/>
        </w:numPr>
        <w:tabs>
          <w:tab w:val="left" w:pos="1290"/>
        </w:tabs>
        <w:autoSpaceDE w:val="0"/>
        <w:autoSpaceDN w:val="0"/>
        <w:adjustRightInd w:val="0"/>
        <w:spacing w:before="0" w:after="113" w:line="280" w:lineRule="atLeast"/>
        <w:contextualSpacing/>
        <w:textAlignment w:val="center"/>
        <w:rPr>
          <w:rFonts w:cstheme="minorHAnsi"/>
          <w:color w:val="000000"/>
          <w:kern w:val="0"/>
          <w:szCs w:val="22"/>
        </w:rPr>
      </w:pPr>
      <w:r w:rsidRPr="003E4580">
        <w:rPr>
          <w:rFonts w:cstheme="minorHAnsi"/>
          <w:color w:val="000000"/>
          <w:kern w:val="0"/>
          <w:szCs w:val="22"/>
        </w:rPr>
        <w:t>1 November 202</w:t>
      </w:r>
      <w:r w:rsidR="00C5622F" w:rsidRPr="003E4580">
        <w:rPr>
          <w:rFonts w:cstheme="minorHAnsi"/>
          <w:color w:val="000000"/>
          <w:kern w:val="0"/>
          <w:szCs w:val="22"/>
        </w:rPr>
        <w:t>4</w:t>
      </w:r>
      <w:r w:rsidRPr="003E4580">
        <w:rPr>
          <w:rFonts w:cstheme="minorHAnsi"/>
          <w:color w:val="000000"/>
          <w:kern w:val="0"/>
          <w:szCs w:val="22"/>
        </w:rPr>
        <w:t xml:space="preserve"> for new model vehicles; and</w:t>
      </w:r>
    </w:p>
    <w:p w14:paraId="174B6F1A" w14:textId="357BB3E9" w:rsidR="009E7FD5" w:rsidRPr="003E4580" w:rsidRDefault="009E7FD5" w:rsidP="00CB0804">
      <w:pPr>
        <w:numPr>
          <w:ilvl w:val="0"/>
          <w:numId w:val="12"/>
        </w:numPr>
        <w:tabs>
          <w:tab w:val="left" w:pos="1290"/>
        </w:tabs>
        <w:autoSpaceDE w:val="0"/>
        <w:autoSpaceDN w:val="0"/>
        <w:adjustRightInd w:val="0"/>
        <w:spacing w:before="0" w:after="113" w:line="280" w:lineRule="atLeast"/>
        <w:contextualSpacing/>
        <w:textAlignment w:val="center"/>
        <w:rPr>
          <w:rFonts w:cstheme="minorHAnsi"/>
          <w:color w:val="000000"/>
          <w:kern w:val="0"/>
          <w:szCs w:val="22"/>
        </w:rPr>
      </w:pPr>
      <w:r w:rsidRPr="003E4580">
        <w:rPr>
          <w:rFonts w:cstheme="minorHAnsi"/>
          <w:color w:val="000000"/>
          <w:kern w:val="0"/>
          <w:szCs w:val="22"/>
        </w:rPr>
        <w:t>1 November 202</w:t>
      </w:r>
      <w:r w:rsidR="00C5622F" w:rsidRPr="003E4580">
        <w:rPr>
          <w:rFonts w:cstheme="minorHAnsi"/>
          <w:color w:val="000000"/>
          <w:kern w:val="0"/>
          <w:szCs w:val="22"/>
        </w:rPr>
        <w:t>7</w:t>
      </w:r>
      <w:r w:rsidRPr="003E4580">
        <w:rPr>
          <w:rFonts w:cstheme="minorHAnsi"/>
          <w:color w:val="000000"/>
          <w:kern w:val="0"/>
          <w:szCs w:val="22"/>
        </w:rPr>
        <w:t xml:space="preserve"> for all new vehicles. </w:t>
      </w:r>
    </w:p>
    <w:p w14:paraId="4A98CCF4" w14:textId="1A939BEA" w:rsidR="008A7FE6" w:rsidRPr="003E4580" w:rsidRDefault="008A7FE6" w:rsidP="00321C88">
      <w:pPr>
        <w:tabs>
          <w:tab w:val="left" w:pos="1290"/>
        </w:tabs>
      </w:pPr>
      <w:r w:rsidRPr="003E4580">
        <w:t>A November 2024 new model timing would mean that any new model that has not been introduced to the Australian market prior to November 2024 would have to fit a LDWS. Any existing models already being supplied to the Australian market prior to November 2024 would not have to fit a LDWS until November 2027 when all models are required to fit LDWSs.</w:t>
      </w:r>
    </w:p>
    <w:p w14:paraId="4AC2AFBC" w14:textId="237C1E10" w:rsidR="00B7435E" w:rsidRPr="003E4580" w:rsidRDefault="008A7FE6" w:rsidP="00321C88">
      <w:pPr>
        <w:tabs>
          <w:tab w:val="left" w:pos="1290"/>
        </w:tabs>
      </w:pPr>
      <w:r w:rsidRPr="003E4580">
        <w:t>Mandating the fitment of LDWSs to models already being supplied to the Australian market by November 2024 would impose a significant cost to vehicle manufacturers who would have to revisit the design and production stage of vehicle manufacture to safely and cost-effectively fit LDWSs to existing models. Furthermore</w:t>
      </w:r>
      <w:r w:rsidR="00936268" w:rsidRPr="003E4580">
        <w:t>,</w:t>
      </w:r>
      <w:r w:rsidRPr="003E4580">
        <w:t xml:space="preserve"> all vehicle models have a design and production life cycle that would not allow for introduction of new technology at short notice. Staging implementation timing in this way provides sufficient time for vehicle manufacturers to test, develop and fit LDWSs for all models by November 2027</w:t>
      </w:r>
      <w:r w:rsidR="009D4933" w:rsidRPr="003E4580">
        <w:t xml:space="preserve"> and ensures no interruption to supply</w:t>
      </w:r>
      <w:r w:rsidRPr="003E4580">
        <w:t>.</w:t>
      </w:r>
    </w:p>
    <w:p w14:paraId="0AF4D576" w14:textId="73942B42" w:rsidR="00994934" w:rsidRPr="003E4580" w:rsidRDefault="009E7FD5" w:rsidP="00321C88">
      <w:pPr>
        <w:tabs>
          <w:tab w:val="left" w:pos="1290"/>
        </w:tabs>
      </w:pPr>
      <w:r w:rsidRPr="003E4580">
        <w:t>These lead-times are considered suitable to allow for the scope of design change and testing needed for a heavy vehicle supplier/manufacturer to incorporate a LDW</w:t>
      </w:r>
      <w:r w:rsidR="006C1EA5" w:rsidRPr="003E4580">
        <w:t>S</w:t>
      </w:r>
      <w:r w:rsidRPr="003E4580">
        <w:t xml:space="preserve"> considering </w:t>
      </w:r>
      <w:r w:rsidR="00024CD9" w:rsidRPr="003E4580">
        <w:t xml:space="preserve">the </w:t>
      </w:r>
      <w:r w:rsidRPr="003E4580">
        <w:t>technology has matured significantly with regard to lane detection.</w:t>
      </w:r>
    </w:p>
    <w:p w14:paraId="5ED98EC0" w14:textId="00BD74D2" w:rsidR="008B32CC" w:rsidRPr="003E4580" w:rsidRDefault="008B32CC" w:rsidP="00321C88">
      <w:pPr>
        <w:tabs>
          <w:tab w:val="left" w:pos="1290"/>
        </w:tabs>
      </w:pPr>
      <w:r w:rsidRPr="003E4580">
        <w:lastRenderedPageBreak/>
        <w:t>The final implementation date will be determined by the Australian Government as part of the relevant ADR, following consultation by the department with industry.</w:t>
      </w:r>
    </w:p>
    <w:p w14:paraId="7BA9226C" w14:textId="110699A1" w:rsidR="00EF3CCA" w:rsidRPr="003E4580" w:rsidRDefault="00EF3CCA" w:rsidP="00407DBD">
      <w:r w:rsidRPr="003E4580">
        <w:t xml:space="preserve">As </w:t>
      </w:r>
      <w:r w:rsidR="009D4933" w:rsidRPr="003E4580">
        <w:t xml:space="preserve">ADRs only apply to new vehicles </w:t>
      </w:r>
      <w:r w:rsidRPr="003E4580">
        <w:t>the option proposed in the Final IA has ‘nil’ impact on the existing HV fleet.</w:t>
      </w:r>
    </w:p>
    <w:p w14:paraId="1D848A61" w14:textId="77777777" w:rsidR="005C2A12" w:rsidRPr="003E4580" w:rsidRDefault="005C2A12" w:rsidP="00321C88">
      <w:pPr>
        <w:tabs>
          <w:tab w:val="left" w:pos="1290"/>
        </w:tabs>
      </w:pPr>
    </w:p>
    <w:p w14:paraId="3298928C" w14:textId="1F1BF494" w:rsidR="00994934" w:rsidRPr="003E4580" w:rsidRDefault="00994934" w:rsidP="00FA14F3">
      <w:pPr>
        <w:tabs>
          <w:tab w:val="left" w:pos="1290"/>
        </w:tabs>
        <w:sectPr w:rsidR="00994934" w:rsidRPr="003E4580" w:rsidSect="00D87AD8">
          <w:pgSz w:w="11906" w:h="16838" w:code="9"/>
          <w:pgMar w:top="1021" w:right="1021" w:bottom="1021" w:left="1021" w:header="510" w:footer="567" w:gutter="0"/>
          <w:cols w:space="708"/>
          <w:docGrid w:linePitch="360"/>
        </w:sectPr>
      </w:pPr>
    </w:p>
    <w:p w14:paraId="223AC8AC" w14:textId="77777777" w:rsidR="00044540" w:rsidRPr="003E4580" w:rsidRDefault="00044540" w:rsidP="00044540">
      <w:pPr>
        <w:pStyle w:val="Heading1"/>
      </w:pPr>
      <w:bookmarkStart w:id="39" w:name="_Toc146894876"/>
      <w:r w:rsidRPr="003E4580">
        <w:lastRenderedPageBreak/>
        <w:t xml:space="preserve">Chapter 4: </w:t>
      </w:r>
      <w:r w:rsidR="008A2546" w:rsidRPr="003E4580">
        <w:t>L</w:t>
      </w:r>
      <w:r w:rsidRPr="003E4580">
        <w:t>ikely net benefit of each option</w:t>
      </w:r>
      <w:bookmarkEnd w:id="39"/>
    </w:p>
    <w:p w14:paraId="443130B9" w14:textId="77777777" w:rsidR="00E74785" w:rsidRPr="003E4580" w:rsidRDefault="00E74785" w:rsidP="00E74785">
      <w:pPr>
        <w:pStyle w:val="Heading2"/>
      </w:pPr>
      <w:bookmarkStart w:id="40" w:name="_Toc146894877"/>
      <w:r w:rsidRPr="003E4580">
        <w:t>Benefit-cost analysis</w:t>
      </w:r>
      <w:bookmarkEnd w:id="40"/>
    </w:p>
    <w:p w14:paraId="2E26F290" w14:textId="77777777" w:rsidR="00470CEB" w:rsidRPr="003E4580" w:rsidRDefault="00470CEB" w:rsidP="00E74785">
      <w:r w:rsidRPr="003E4580">
        <w:t xml:space="preserve">The Benefit-cost methodology used in this analysis is a Net Present Value (NPV) model. Using this model, the flow of benefits and costs are reduced to one specific moment in time. The time period for which benefits are assumed to be generated is over the life of the vehicle(s). Net benefits indicate whether the returns (benefits) on a project outweigh the resources outlaid (costs) and indicate what, if any, this difference is. Benefit-cost ratios (BCRs) are a measure of efficiency of the project. For net benefits to be positive, this ratio must be greater than one. A higher BCR in turn means that for a given cost, the benefits are paid back many times over (the cost is multiplied by the BCR). For example, if a project costs $1 million but results in benefits of $3 million, the net benefit would be 3-1 = $2 million while the BCR would be 3/1 = 3. </w:t>
      </w:r>
    </w:p>
    <w:p w14:paraId="2734517C" w14:textId="77777777" w:rsidR="00470CEB" w:rsidRPr="003E4580" w:rsidRDefault="00470CEB" w:rsidP="00E74785">
      <w:r w:rsidRPr="003E4580">
        <w:t xml:space="preserve">In the case of adding particular safety features to vehicles, there will be an upfront cost (by the vehicle manufacturers) at the start, followed by a series of benefits spread throughout the life of the vehicles. This is then repeated in subsequent years as additional new vehicles are registered. There may also be other ongoing business and government costs through the years, depending on the option being considered. </w:t>
      </w:r>
    </w:p>
    <w:p w14:paraId="1D26CD5A" w14:textId="77777777" w:rsidR="00C77555" w:rsidRPr="003E4580" w:rsidRDefault="00470CEB" w:rsidP="00E74785">
      <w:r w:rsidRPr="003E4580">
        <w:t>The result</w:t>
      </w:r>
      <w:r w:rsidR="00C77555" w:rsidRPr="003E4580">
        <w:t>s</w:t>
      </w:r>
      <w:r w:rsidRPr="003E4580">
        <w:t xml:space="preserve"> of </w:t>
      </w:r>
      <w:r w:rsidR="00C77555" w:rsidRPr="003E4580">
        <w:t>O</w:t>
      </w:r>
      <w:r w:rsidRPr="003E4580">
        <w:t xml:space="preserve">ption </w:t>
      </w:r>
      <w:r w:rsidR="00C77555" w:rsidRPr="003E4580">
        <w:t xml:space="preserve">2 </w:t>
      </w:r>
      <w:r w:rsidRPr="003E4580">
        <w:t xml:space="preserve">were compared with what would happen if there was no government intervention, that is, Option 1: no intervention (BAU). The period of analysis covers the expected life of the policy option (15 years of intervention) plus the time it takes for benefits to work their way through the fleet (around 30 years, the approximate maximum lifespan of a heavy vehicle). </w:t>
      </w:r>
    </w:p>
    <w:p w14:paraId="74A0BE39" w14:textId="09D0D544" w:rsidR="00044540" w:rsidRPr="003E4580" w:rsidRDefault="00470CEB" w:rsidP="00E74785">
      <w:r w:rsidRPr="003E4580">
        <w:t>Given that the function of UN Regulation No. 130 is to enhance heavy vehicle safety, includ</w:t>
      </w:r>
      <w:r w:rsidR="001C73E1" w:rsidRPr="003E4580">
        <w:t>ing a</w:t>
      </w:r>
      <w:r w:rsidRPr="003E4580">
        <w:t xml:space="preserve"> focus on the safety benefit from expected reductions in trauma. It should be noted</w:t>
      </w:r>
      <w:r w:rsidR="001C73E1" w:rsidRPr="003E4580">
        <w:t xml:space="preserve"> </w:t>
      </w:r>
      <w:r w:rsidRPr="003E4580">
        <w:t xml:space="preserve">that many operators would be likely to obtain other benefits (for example, alleviation of property damage and reductions in trauma as a result of the LDWS partially acting as a fatigue monitor) that have not been included in this </w:t>
      </w:r>
      <w:r w:rsidR="0036117E" w:rsidRPr="003E4580">
        <w:t>IA</w:t>
      </w:r>
      <w:r w:rsidR="00C3531E" w:rsidRPr="003E4580">
        <w:t xml:space="preserve">. </w:t>
      </w:r>
      <w:r w:rsidRPr="003E4580">
        <w:t>The net benefit and the benefit-cost ratio for each option are therefore likely to be conservative estimates.</w:t>
      </w:r>
      <w:r w:rsidR="00F42BCC" w:rsidRPr="003E4580">
        <w:t xml:space="preserve"> </w:t>
      </w:r>
      <w:r w:rsidR="005819BD" w:rsidRPr="003E4580">
        <w:t>L</w:t>
      </w:r>
      <w:r w:rsidR="00F42BCC" w:rsidRPr="003E4580">
        <w:t xml:space="preserve">imitations exist </w:t>
      </w:r>
      <w:r w:rsidR="005819BD" w:rsidRPr="003E4580">
        <w:t xml:space="preserve">with regard to collecting the data required to </w:t>
      </w:r>
      <w:r w:rsidR="00F42BCC" w:rsidRPr="003E4580">
        <w:t xml:space="preserve">account for and tracking the VKT of heavy vehicles and road trains </w:t>
      </w:r>
      <w:r w:rsidR="00CA5103" w:rsidRPr="003E4580">
        <w:t>relevant to</w:t>
      </w:r>
      <w:r w:rsidR="00F42BCC" w:rsidRPr="003E4580">
        <w:t xml:space="preserve"> this B</w:t>
      </w:r>
      <w:r w:rsidR="005819BD" w:rsidRPr="003E4580">
        <w:t xml:space="preserve">enefit </w:t>
      </w:r>
      <w:r w:rsidR="00F42BCC" w:rsidRPr="003E4580">
        <w:t>C</w:t>
      </w:r>
      <w:r w:rsidR="005819BD" w:rsidRPr="003E4580">
        <w:t>ost Analysis</w:t>
      </w:r>
      <w:r w:rsidR="00CA5103" w:rsidRPr="003E4580">
        <w:t xml:space="preserve"> (BCA)</w:t>
      </w:r>
      <w:r w:rsidR="00F42BCC" w:rsidRPr="003E4580">
        <w:t>;</w:t>
      </w:r>
      <w:r w:rsidR="00F515D4" w:rsidRPr="003E4580">
        <w:t xml:space="preserve"> </w:t>
      </w:r>
      <w:r w:rsidR="005819BD" w:rsidRPr="003E4580">
        <w:t xml:space="preserve">this </w:t>
      </w:r>
      <w:r w:rsidR="00F42BCC" w:rsidRPr="003E4580">
        <w:t>is another benefit that is unaccounted for</w:t>
      </w:r>
      <w:r w:rsidR="005819BD" w:rsidRPr="003E4580">
        <w:t xml:space="preserve"> in this analysis.</w:t>
      </w:r>
    </w:p>
    <w:p w14:paraId="0E1CD7D1" w14:textId="45407F98" w:rsidR="004F2A58" w:rsidRPr="003E4580" w:rsidRDefault="004F2A58" w:rsidP="004F2A58">
      <w:pPr>
        <w:pStyle w:val="Heading3"/>
      </w:pPr>
      <w:bookmarkStart w:id="41" w:name="_Toc146894878"/>
      <w:r w:rsidRPr="003E4580">
        <w:t xml:space="preserve">Assumptions </w:t>
      </w:r>
      <w:r w:rsidR="009D4933" w:rsidRPr="003E4580">
        <w:t>used in the benefit-cost analysis</w:t>
      </w:r>
      <w:bookmarkEnd w:id="41"/>
    </w:p>
    <w:p w14:paraId="42A9952B" w14:textId="61394DFB" w:rsidR="00D726EC" w:rsidRPr="003E4580" w:rsidRDefault="00D726EC" w:rsidP="00D726EC">
      <w:pPr>
        <w:rPr>
          <w:b/>
        </w:rPr>
      </w:pPr>
      <w:r w:rsidRPr="003E4580">
        <w:rPr>
          <w:b/>
        </w:rPr>
        <w:t xml:space="preserve">Consultation IA </w:t>
      </w:r>
    </w:p>
    <w:p w14:paraId="711A6D2B" w14:textId="09910164" w:rsidR="004C329A" w:rsidRPr="003E4580" w:rsidRDefault="007C79CE" w:rsidP="00D726EC">
      <w:r w:rsidRPr="003E4580">
        <w:t xml:space="preserve">Aside from the </w:t>
      </w:r>
      <w:r w:rsidR="00FE3EA0" w:rsidRPr="003E4580">
        <w:t xml:space="preserve">assumed </w:t>
      </w:r>
      <w:r w:rsidRPr="003E4580">
        <w:t>costs and system effectiveness detailed further in this chapter t</w:t>
      </w:r>
      <w:r w:rsidR="00D726EC" w:rsidRPr="003E4580">
        <w:t>he following assumptions were made</w:t>
      </w:r>
      <w:r w:rsidR="004C329A" w:rsidRPr="003E4580">
        <w:t xml:space="preserve"> when developing the BCA for the consultation IA</w:t>
      </w:r>
      <w:r w:rsidR="00D726EC" w:rsidRPr="003E4580">
        <w:t xml:space="preserve">: </w:t>
      </w:r>
    </w:p>
    <w:p w14:paraId="72F6C38A" w14:textId="30CD737C" w:rsidR="004C329A" w:rsidRPr="003E4580" w:rsidRDefault="007C79CE" w:rsidP="007C79CE">
      <w:pPr>
        <w:numPr>
          <w:ilvl w:val="0"/>
          <w:numId w:val="12"/>
        </w:numPr>
        <w:tabs>
          <w:tab w:val="left" w:pos="1290"/>
        </w:tabs>
        <w:autoSpaceDE w:val="0"/>
        <w:autoSpaceDN w:val="0"/>
        <w:adjustRightInd w:val="0"/>
        <w:spacing w:before="0" w:after="113" w:line="280" w:lineRule="atLeast"/>
        <w:contextualSpacing/>
        <w:textAlignment w:val="center"/>
        <w:rPr>
          <w:rFonts w:cstheme="minorHAnsi"/>
          <w:color w:val="000000"/>
          <w:kern w:val="0"/>
          <w:szCs w:val="22"/>
        </w:rPr>
      </w:pPr>
      <w:r w:rsidRPr="003E4580">
        <w:rPr>
          <w:rFonts w:cstheme="minorHAnsi"/>
          <w:color w:val="000000"/>
          <w:kern w:val="0"/>
          <w:szCs w:val="22"/>
        </w:rPr>
        <w:t>T</w:t>
      </w:r>
      <w:r w:rsidR="00D726EC" w:rsidRPr="003E4580">
        <w:rPr>
          <w:rFonts w:cstheme="minorHAnsi"/>
          <w:color w:val="000000"/>
          <w:kern w:val="0"/>
          <w:szCs w:val="22"/>
        </w:rPr>
        <w:t xml:space="preserve">he fitment rate of </w:t>
      </w:r>
      <w:r w:rsidR="004C329A" w:rsidRPr="003E4580">
        <w:rPr>
          <w:rFonts w:cstheme="minorHAnsi"/>
          <w:color w:val="000000"/>
          <w:kern w:val="0"/>
          <w:szCs w:val="22"/>
        </w:rPr>
        <w:t>rigid and articulated heavy duty trucks</w:t>
      </w:r>
      <w:r w:rsidR="00D726EC" w:rsidRPr="003E4580">
        <w:rPr>
          <w:rFonts w:cstheme="minorHAnsi"/>
          <w:color w:val="000000"/>
          <w:kern w:val="0"/>
          <w:szCs w:val="22"/>
        </w:rPr>
        <w:t xml:space="preserve"> would be identical.</w:t>
      </w:r>
      <w:r w:rsidR="004C329A" w:rsidRPr="003E4580">
        <w:rPr>
          <w:rFonts w:cstheme="minorHAnsi"/>
          <w:color w:val="000000"/>
          <w:kern w:val="0"/>
          <w:szCs w:val="22"/>
        </w:rPr>
        <w:t xml:space="preserve"> These types of trucks are ADR sub-category NC.</w:t>
      </w:r>
      <w:r w:rsidR="00D726EC" w:rsidRPr="003E4580">
        <w:rPr>
          <w:rFonts w:cstheme="minorHAnsi"/>
          <w:color w:val="000000"/>
          <w:kern w:val="0"/>
          <w:szCs w:val="22"/>
        </w:rPr>
        <w:t xml:space="preserve"> This assumption was based on industry </w:t>
      </w:r>
      <w:r w:rsidR="004C329A" w:rsidRPr="003E4580">
        <w:rPr>
          <w:rFonts w:cstheme="minorHAnsi"/>
          <w:color w:val="000000"/>
          <w:kern w:val="0"/>
          <w:szCs w:val="22"/>
        </w:rPr>
        <w:t>supplied data on existing and projected fitment rates.</w:t>
      </w:r>
    </w:p>
    <w:p w14:paraId="79729C5C" w14:textId="78CC3AE0" w:rsidR="00D726EC" w:rsidRPr="003E4580" w:rsidRDefault="004C329A" w:rsidP="007C79CE">
      <w:pPr>
        <w:numPr>
          <w:ilvl w:val="0"/>
          <w:numId w:val="12"/>
        </w:numPr>
        <w:tabs>
          <w:tab w:val="left" w:pos="1290"/>
        </w:tabs>
        <w:autoSpaceDE w:val="0"/>
        <w:autoSpaceDN w:val="0"/>
        <w:adjustRightInd w:val="0"/>
        <w:spacing w:before="0" w:after="113" w:line="280" w:lineRule="atLeast"/>
        <w:contextualSpacing/>
        <w:textAlignment w:val="center"/>
        <w:rPr>
          <w:rFonts w:cstheme="minorHAnsi"/>
          <w:color w:val="000000"/>
          <w:kern w:val="0"/>
          <w:szCs w:val="22"/>
        </w:rPr>
      </w:pPr>
      <w:r w:rsidRPr="003E4580">
        <w:rPr>
          <w:rFonts w:cstheme="minorHAnsi"/>
          <w:color w:val="000000"/>
          <w:kern w:val="0"/>
          <w:szCs w:val="22"/>
        </w:rPr>
        <w:t xml:space="preserve">The majority of </w:t>
      </w:r>
      <w:r w:rsidR="007C79CE" w:rsidRPr="003E4580">
        <w:rPr>
          <w:rFonts w:cstheme="minorHAnsi"/>
          <w:color w:val="000000"/>
          <w:kern w:val="0"/>
          <w:szCs w:val="22"/>
        </w:rPr>
        <w:t>Australia’s road freight task</w:t>
      </w:r>
      <w:r w:rsidRPr="003E4580">
        <w:rPr>
          <w:rFonts w:cstheme="minorHAnsi"/>
          <w:color w:val="000000"/>
          <w:kern w:val="0"/>
          <w:szCs w:val="22"/>
        </w:rPr>
        <w:t xml:space="preserve"> is carried on freeways and arterial roads</w:t>
      </w:r>
      <w:r w:rsidR="007C79CE" w:rsidRPr="003E4580">
        <w:rPr>
          <w:rFonts w:cstheme="minorHAnsi"/>
          <w:color w:val="000000"/>
          <w:kern w:val="0"/>
          <w:szCs w:val="22"/>
        </w:rPr>
        <w:t xml:space="preserve"> with existing lane markings of good quality</w:t>
      </w:r>
      <w:r w:rsidRPr="003E4580">
        <w:rPr>
          <w:rFonts w:cstheme="minorHAnsi"/>
          <w:color w:val="000000"/>
          <w:kern w:val="0"/>
          <w:szCs w:val="22"/>
        </w:rPr>
        <w:t xml:space="preserve">. </w:t>
      </w:r>
      <w:r w:rsidR="007C79CE" w:rsidRPr="003E4580">
        <w:rPr>
          <w:rFonts w:cstheme="minorHAnsi"/>
          <w:color w:val="000000"/>
          <w:kern w:val="0"/>
          <w:szCs w:val="22"/>
        </w:rPr>
        <w:t>This assumption is made as t</w:t>
      </w:r>
      <w:r w:rsidRPr="003E4580">
        <w:rPr>
          <w:rFonts w:cstheme="minorHAnsi"/>
          <w:color w:val="000000"/>
          <w:kern w:val="0"/>
          <w:szCs w:val="22"/>
        </w:rPr>
        <w:t xml:space="preserve">hese roads provide the principal routes for the movement of people and goods between major regions and population centres of the </w:t>
      </w:r>
      <w:r w:rsidR="007C79CE" w:rsidRPr="003E4580">
        <w:rPr>
          <w:rFonts w:cstheme="minorHAnsi"/>
          <w:color w:val="000000"/>
          <w:kern w:val="0"/>
          <w:szCs w:val="22"/>
        </w:rPr>
        <w:t>jurisdictions</w:t>
      </w:r>
      <w:r w:rsidRPr="003E4580">
        <w:rPr>
          <w:rFonts w:cstheme="minorHAnsi"/>
          <w:color w:val="000000"/>
          <w:kern w:val="0"/>
          <w:szCs w:val="22"/>
        </w:rPr>
        <w:t xml:space="preserve">, and between major metropolitan activity centres, together with links to major freight terminals and tourist areas in both rural and metropolitan areas. These routes provide a safe, efficient and integrated road transport system for the economic and social benefit of the community. </w:t>
      </w:r>
      <w:r w:rsidR="007C79CE" w:rsidRPr="003E4580">
        <w:rPr>
          <w:rFonts w:cstheme="minorHAnsi"/>
          <w:color w:val="000000"/>
          <w:kern w:val="0"/>
          <w:szCs w:val="22"/>
        </w:rPr>
        <w:t>State and Territory governments</w:t>
      </w:r>
      <w:r w:rsidRPr="003E4580">
        <w:rPr>
          <w:rFonts w:cstheme="minorHAnsi"/>
          <w:color w:val="000000"/>
          <w:kern w:val="0"/>
          <w:szCs w:val="22"/>
        </w:rPr>
        <w:t xml:space="preserve"> arrange for freeways (excluding privately operated freeways) and arterial roads to be upgraded and constructed as necessary</w:t>
      </w:r>
      <w:r w:rsidR="007C79CE" w:rsidRPr="003E4580">
        <w:rPr>
          <w:rFonts w:cstheme="minorHAnsi"/>
          <w:color w:val="000000"/>
          <w:kern w:val="0"/>
          <w:szCs w:val="22"/>
        </w:rPr>
        <w:t xml:space="preserve"> with appropriate lane markings</w:t>
      </w:r>
      <w:r w:rsidRPr="003E4580">
        <w:rPr>
          <w:rFonts w:cstheme="minorHAnsi"/>
          <w:color w:val="000000"/>
          <w:kern w:val="0"/>
          <w:szCs w:val="22"/>
        </w:rPr>
        <w:t xml:space="preserve">. </w:t>
      </w:r>
    </w:p>
    <w:p w14:paraId="5C6CE544" w14:textId="6773FCC7" w:rsidR="007C79CE" w:rsidRPr="003E4580" w:rsidRDefault="00860675" w:rsidP="00FD0C1C">
      <w:pPr>
        <w:numPr>
          <w:ilvl w:val="0"/>
          <w:numId w:val="12"/>
        </w:numPr>
        <w:tabs>
          <w:tab w:val="left" w:pos="1290"/>
        </w:tabs>
        <w:autoSpaceDE w:val="0"/>
        <w:autoSpaceDN w:val="0"/>
        <w:adjustRightInd w:val="0"/>
        <w:spacing w:before="0" w:after="113" w:line="280" w:lineRule="atLeast"/>
        <w:contextualSpacing/>
        <w:textAlignment w:val="center"/>
        <w:rPr>
          <w:rFonts w:cstheme="minorHAnsi"/>
          <w:color w:val="000000"/>
          <w:kern w:val="0"/>
          <w:szCs w:val="22"/>
        </w:rPr>
      </w:pPr>
      <w:r w:rsidRPr="003E4580">
        <w:rPr>
          <w:rFonts w:cstheme="minorHAnsi"/>
          <w:color w:val="000000"/>
          <w:kern w:val="0"/>
          <w:szCs w:val="22"/>
        </w:rPr>
        <w:t xml:space="preserve">The </w:t>
      </w:r>
      <w:r w:rsidR="00B767EE" w:rsidRPr="003E4580">
        <w:rPr>
          <w:rFonts w:cstheme="minorHAnsi"/>
          <w:color w:val="000000"/>
          <w:kern w:val="0"/>
          <w:szCs w:val="22"/>
        </w:rPr>
        <w:t xml:space="preserve">alleviation of property damage from these types of crashes and the emotional and consequential cost impacts on family and friends of those close to someone affected in a crash. The quantification of these impacts </w:t>
      </w:r>
      <w:r w:rsidR="00B767EE" w:rsidRPr="003E4580">
        <w:rPr>
          <w:rFonts w:cstheme="minorHAnsi"/>
          <w:color w:val="000000"/>
          <w:kern w:val="0"/>
          <w:szCs w:val="22"/>
        </w:rPr>
        <w:lastRenderedPageBreak/>
        <w:t>would further increase the cost of a typical fatal crash in the BCA. The Department predicts that the effect of including these factors would further increase the benefit cost ration above 1.</w:t>
      </w:r>
    </w:p>
    <w:p w14:paraId="2B92396B" w14:textId="2CEB8B4C" w:rsidR="00EB17AA" w:rsidRPr="003E4580" w:rsidRDefault="00D726EC" w:rsidP="00E74785">
      <w:pPr>
        <w:rPr>
          <w:b/>
        </w:rPr>
      </w:pPr>
      <w:r w:rsidRPr="003E4580">
        <w:rPr>
          <w:b/>
        </w:rPr>
        <w:t>Final IA</w:t>
      </w:r>
    </w:p>
    <w:p w14:paraId="17E36A41" w14:textId="493FB84F" w:rsidR="007C79CE" w:rsidRPr="003E4580" w:rsidRDefault="007372B4" w:rsidP="007C79CE">
      <w:r w:rsidRPr="003E4580">
        <w:t>Information received in submissions relating to benefits, costs</w:t>
      </w:r>
      <w:r w:rsidR="00CD227B" w:rsidRPr="003E4580">
        <w:t xml:space="preserve">, assumptions </w:t>
      </w:r>
      <w:r w:rsidRPr="003E4580">
        <w:t xml:space="preserve">and implementation timing was examined in a post-consultation analysis. The main changes in assumptions are discussed below, </w:t>
      </w:r>
      <w:r w:rsidR="00EB5632" w:rsidRPr="003E4580">
        <w:t xml:space="preserve">highlighted </w:t>
      </w:r>
      <w:r w:rsidRPr="003E4580">
        <w:t xml:space="preserve">in Tables 6, 8, 9, 10 and 11 and </w:t>
      </w:r>
      <w:r w:rsidR="00EB5632" w:rsidRPr="003E4580">
        <w:t xml:space="preserve">summarised </w:t>
      </w:r>
      <w:r w:rsidRPr="003E4580">
        <w:t>in the sub-section ‘</w:t>
      </w:r>
      <w:r w:rsidRPr="003E4580">
        <w:rPr>
          <w:i/>
        </w:rPr>
        <w:t>Summary of Benefit-Cost Analysis Post-Consultation Variations</w:t>
      </w:r>
      <w:r w:rsidRPr="003E4580">
        <w:t>’ to this Chapter.</w:t>
      </w:r>
    </w:p>
    <w:p w14:paraId="421DAD4E" w14:textId="2F75658E" w:rsidR="00CD227B" w:rsidRPr="003E4580" w:rsidRDefault="00CD227B" w:rsidP="00CD227B">
      <w:r w:rsidRPr="003E4580">
        <w:t xml:space="preserve">Some submissions mentioned that several cost variables (i.e. fitment cost, cost to test a system to regulation and governmental costs) were underestimated. To address these concerns the estimated costs for development, fitment, </w:t>
      </w:r>
      <w:r w:rsidR="00A573B0" w:rsidRPr="003E4580">
        <w:t xml:space="preserve">and </w:t>
      </w:r>
      <w:r w:rsidRPr="003E4580">
        <w:t>testing was increased (see Table 6). The</w:t>
      </w:r>
      <w:r w:rsidR="00D92880" w:rsidRPr="003E4580">
        <w:t xml:space="preserve"> testing and</w:t>
      </w:r>
      <w:r w:rsidRPr="003E4580">
        <w:t xml:space="preserve"> fitment cost for </w:t>
      </w:r>
      <w:r w:rsidR="00FE3EA0" w:rsidRPr="003E4580">
        <w:t xml:space="preserve">LDWSs for </w:t>
      </w:r>
      <w:r w:rsidRPr="003E4580">
        <w:t xml:space="preserve">HVs was obtained from TIC’s submission </w:t>
      </w:r>
      <w:r w:rsidR="00D92880" w:rsidRPr="003E4580">
        <w:t xml:space="preserve">and validated against TIC’s HV AEB RIS submission </w:t>
      </w:r>
      <w:r w:rsidRPr="003E4580">
        <w:t xml:space="preserve">and </w:t>
      </w:r>
      <w:r w:rsidR="00A573B0" w:rsidRPr="003E4580">
        <w:t>accounted for</w:t>
      </w:r>
      <w:r w:rsidRPr="003E4580">
        <w:t xml:space="preserve"> increased labour cost</w:t>
      </w:r>
      <w:r w:rsidR="00A573B0" w:rsidRPr="003E4580">
        <w:t>s</w:t>
      </w:r>
      <w:r w:rsidRPr="003E4580">
        <w:t xml:space="preserve"> attributed to installation, noting that certain aspects of HV assembly do not occur on a production line. Furthermore, the estimate for the cost of testing a system to the UN regulation was increased (Table 6). </w:t>
      </w:r>
    </w:p>
    <w:p w14:paraId="078E594A" w14:textId="1EC198F3" w:rsidR="00CD227B" w:rsidRPr="003E4580" w:rsidRDefault="00CD227B" w:rsidP="00CD227B">
      <w:r w:rsidRPr="003E4580">
        <w:t>To account for the variation and quality of lane markings, the effectiveness was varied in the post-consultation benefit-cost analysis. As shown in the Table 10 below despite analysing an unrealistically low effectiveness (equivalent to the lowest rate reported by MUARC for the worst performing systems in the fleet), the BCR remained positive.  It was noted that varying the effectiveness was less significant than varying the discount rate. However, as expected varying the effectiveness of the LDWS did have an impact on the projected trauma figures. This assumption anticipates that effective regulation increases the performance of LDWSs due to standardised performance requirements.</w:t>
      </w:r>
    </w:p>
    <w:p w14:paraId="55AE8A51" w14:textId="77777777" w:rsidR="007809EA" w:rsidRPr="003E4580" w:rsidRDefault="00E74785" w:rsidP="007809EA">
      <w:pPr>
        <w:pStyle w:val="Heading2"/>
      </w:pPr>
      <w:bookmarkStart w:id="42" w:name="_Toc146894879"/>
      <w:r w:rsidRPr="003E4580">
        <w:t>Economic aspects - impact analysis</w:t>
      </w:r>
      <w:bookmarkEnd w:id="42"/>
    </w:p>
    <w:p w14:paraId="23FD17C6" w14:textId="64D8F823" w:rsidR="00E74785" w:rsidRPr="003E4580" w:rsidRDefault="00973040" w:rsidP="00E74785">
      <w:r w:rsidRPr="003E4580">
        <w:t xml:space="preserve">Impact analysis considers the magnitude and distribution of the benefits and costs among the affected parties. In the case of </w:t>
      </w:r>
      <w:r w:rsidR="007809EA" w:rsidRPr="003E4580">
        <w:t>LDW</w:t>
      </w:r>
      <w:r w:rsidR="001C73E1" w:rsidRPr="003E4580">
        <w:t>S</w:t>
      </w:r>
      <w:r w:rsidRPr="003E4580">
        <w:t xml:space="preserve">s for </w:t>
      </w:r>
      <w:r w:rsidR="007809EA" w:rsidRPr="003E4580">
        <w:t>heavy</w:t>
      </w:r>
      <w:r w:rsidRPr="003E4580">
        <w:t xml:space="preserve"> vehicles, the parties affected by the options are:</w:t>
      </w:r>
    </w:p>
    <w:p w14:paraId="3F85D24F" w14:textId="77777777" w:rsidR="00973040" w:rsidRPr="003E4580" w:rsidRDefault="00973040" w:rsidP="004725A9">
      <w:pPr>
        <w:pStyle w:val="Heading3"/>
      </w:pPr>
      <w:bookmarkStart w:id="43" w:name="_Toc146894880"/>
      <w:r w:rsidRPr="003E4580">
        <w:t>Business</w:t>
      </w:r>
      <w:bookmarkEnd w:id="43"/>
    </w:p>
    <w:p w14:paraId="0BE1F034" w14:textId="77777777"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Vehicle manufacturers and importers;</w:t>
      </w:r>
    </w:p>
    <w:p w14:paraId="75C8A3A6" w14:textId="77777777"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Component manufacturers and suppliers</w:t>
      </w:r>
    </w:p>
    <w:p w14:paraId="2D3B1051" w14:textId="77777777"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Vehicle owners; and</w:t>
      </w:r>
    </w:p>
    <w:p w14:paraId="4DEDB463" w14:textId="77777777"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Vehicle operators.</w:t>
      </w:r>
    </w:p>
    <w:p w14:paraId="332E2650" w14:textId="77777777" w:rsidR="00973040" w:rsidRPr="003E4580" w:rsidRDefault="00973040" w:rsidP="00973040">
      <w:r w:rsidRPr="003E4580">
        <w:t>There is an overlap between businesses and consumers when considering heavy vehicles. Unlike light vehicles, heavy vehicle owners and operators, in general, are purchasing and operating these vehicles as part of a business. This is distinct to businesses that manufacture the vehicles or supply the components. The affected businesses are represented by a number of peak bodies, including:</w:t>
      </w:r>
    </w:p>
    <w:p w14:paraId="0C809791" w14:textId="101A48A7"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Australian Livestock and Rural Transporters Association (ALRTA), that represents road transport companies based in rural and regional Australia;</w:t>
      </w:r>
    </w:p>
    <w:p w14:paraId="3C435A9C" w14:textId="5B61EA16"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Australian Road Transport Suppliers Association (ARTSA), that represents suppliers of hardware and services to the Australian road transport industry;</w:t>
      </w:r>
    </w:p>
    <w:p w14:paraId="7EF7F0B4" w14:textId="565E2967"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Australian Trucking Association (ATA), that represents trucking operators, including major logistics companies and transport industry associations;</w:t>
      </w:r>
    </w:p>
    <w:p w14:paraId="08DA2806" w14:textId="75674555"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Bus Industry Confederation (BIC), that represents the bus and coach industry;</w:t>
      </w:r>
    </w:p>
    <w:p w14:paraId="343E20C2" w14:textId="0F71F1A6"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Commercial Vehicle Industry Association Australia (CVIAA)</w:t>
      </w:r>
      <w:r w:rsidR="008A2546" w:rsidRPr="003E4580">
        <w:rPr>
          <w:rFonts w:asciiTheme="minorHAnsi" w:hAnsiTheme="minorHAnsi"/>
          <w:sz w:val="20"/>
        </w:rPr>
        <w:t>,</w:t>
      </w:r>
      <w:r w:rsidRPr="003E4580">
        <w:rPr>
          <w:rFonts w:asciiTheme="minorHAnsi" w:hAnsiTheme="minorHAnsi"/>
          <w:sz w:val="20"/>
        </w:rPr>
        <w:t xml:space="preserve"> that represents members in the commercial vehicle industry;</w:t>
      </w:r>
    </w:p>
    <w:p w14:paraId="4E7B7D41" w14:textId="77777777"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Heavy Vehicle Industry Australia (HVIA), that represents manufacturers and suppliers of heavy vehicles and their components, equipment and technology;</w:t>
      </w:r>
    </w:p>
    <w:p w14:paraId="72810B17" w14:textId="15DBC3D2"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Truck Industry Council (TIC), that represents truck manufacturers and importers, diesel engine companies and major truck component suppliers</w:t>
      </w:r>
      <w:r w:rsidR="008A2546" w:rsidRPr="003E4580">
        <w:rPr>
          <w:rFonts w:asciiTheme="minorHAnsi" w:hAnsiTheme="minorHAnsi"/>
          <w:sz w:val="20"/>
        </w:rPr>
        <w:t>;</w:t>
      </w:r>
    </w:p>
    <w:p w14:paraId="5B936172" w14:textId="2AF3FF2B"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lastRenderedPageBreak/>
        <w:t xml:space="preserve"> Federal Chamber of Automotive Industries (FCAI) which represents the automotive sector and includes vehicle manufacturers, vehicle importers and component manufacturers/importers; and</w:t>
      </w:r>
    </w:p>
    <w:p w14:paraId="400E486D" w14:textId="6D90F115"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Federation of Automotive Products Manufacturers (FAPM) which represents the automotive component manufacturers/importers.</w:t>
      </w:r>
    </w:p>
    <w:p w14:paraId="7EFD5AA8" w14:textId="77777777" w:rsidR="00973040" w:rsidRPr="003E4580" w:rsidRDefault="004725A9" w:rsidP="004725A9">
      <w:pPr>
        <w:pStyle w:val="Heading3"/>
      </w:pPr>
      <w:bookmarkStart w:id="44" w:name="_Toc146894881"/>
      <w:r w:rsidRPr="003E4580">
        <w:t>Governments</w:t>
      </w:r>
      <w:bookmarkEnd w:id="44"/>
    </w:p>
    <w:p w14:paraId="588BCFCC" w14:textId="0C7E1AEE" w:rsidR="004725A9" w:rsidRPr="003E4580" w:rsidRDefault="004725A9" w:rsidP="00973040">
      <w:r w:rsidRPr="003E4580">
        <w:t>Australian</w:t>
      </w:r>
      <w:r w:rsidR="00CA5103" w:rsidRPr="003E4580">
        <w:t xml:space="preserve"> and</w:t>
      </w:r>
      <w:r w:rsidRPr="003E4580">
        <w:t xml:space="preserve"> state and territory governments and their represented communities.</w:t>
      </w:r>
    </w:p>
    <w:p w14:paraId="06AFAD30" w14:textId="77777777" w:rsidR="00BE6F5C" w:rsidRPr="003E4580" w:rsidRDefault="00BE6F5C" w:rsidP="00BE6F5C">
      <w:pPr>
        <w:pStyle w:val="Heading3"/>
      </w:pPr>
      <w:bookmarkStart w:id="45" w:name="_Toc146894882"/>
      <w:r w:rsidRPr="003E4580">
        <w:t>Impact of viable options</w:t>
      </w:r>
      <w:bookmarkEnd w:id="45"/>
    </w:p>
    <w:p w14:paraId="1C93C961" w14:textId="63F4937B" w:rsidR="00BE6F5C" w:rsidRPr="003E4580" w:rsidRDefault="00BE6F5C" w:rsidP="00BE6F5C">
      <w:r w:rsidRPr="003E4580">
        <w:t>T</w:t>
      </w:r>
      <w:r w:rsidR="00C77555" w:rsidRPr="003E4580">
        <w:t xml:space="preserve">wo </w:t>
      </w:r>
      <w:r w:rsidRPr="003E4580">
        <w:t xml:space="preserve">options were considered viable for further examination: Option 1: no intervention and Option </w:t>
      </w:r>
      <w:r w:rsidR="00BD5D4F" w:rsidRPr="003E4580">
        <w:t>2</w:t>
      </w:r>
      <w:r w:rsidRPr="003E4580">
        <w:t xml:space="preserve">: regulation. This section looks at the impact of these options in terms of quantifying expected benefits and costs, and identifies how these would be distributed among affected parties. These </w:t>
      </w:r>
      <w:r w:rsidR="000D5324" w:rsidRPr="003E4580">
        <w:t xml:space="preserve">were </w:t>
      </w:r>
      <w:r w:rsidRPr="003E4580">
        <w:t>summarised previously and are discussed in more detail below.</w:t>
      </w:r>
    </w:p>
    <w:p w14:paraId="6CA157E4" w14:textId="77777777" w:rsidR="000D5324" w:rsidRPr="003E4580" w:rsidRDefault="000D5324" w:rsidP="00BE6F5C">
      <w:pPr>
        <w:rPr>
          <w:b/>
        </w:rPr>
      </w:pPr>
      <w:r w:rsidRPr="003E4580">
        <w:rPr>
          <w:b/>
        </w:rPr>
        <w:t>Option 1</w:t>
      </w:r>
      <w:r w:rsidR="004042CD" w:rsidRPr="003E4580">
        <w:rPr>
          <w:b/>
        </w:rPr>
        <w:t xml:space="preserve"> - No intervention </w:t>
      </w:r>
    </w:p>
    <w:p w14:paraId="04B5B4E0" w14:textId="2914ADCF" w:rsidR="000D5324" w:rsidRPr="003E4580" w:rsidRDefault="000D5324" w:rsidP="00BE6F5C">
      <w:r w:rsidRPr="003E4580">
        <w:t xml:space="preserve">Under this option, the </w:t>
      </w:r>
      <w:r w:rsidR="001C73E1" w:rsidRPr="003E4580">
        <w:t>Australian G</w:t>
      </w:r>
      <w:r w:rsidRPr="003E4580">
        <w:t>overnment would not intervene, with market forces instead providing a solution to the problem. As this option is the BAU case, there are no new benefits or costs allocated. Any remaining option(s) are calculated relative to this BAU option, so that what would have happened anyway in the marketplace is not attributed to any proposed intervention.</w:t>
      </w:r>
    </w:p>
    <w:p w14:paraId="49E8B058" w14:textId="77777777" w:rsidR="004042CD" w:rsidRPr="003E4580" w:rsidRDefault="00C12912" w:rsidP="004042CD">
      <w:pPr>
        <w:rPr>
          <w:b/>
        </w:rPr>
      </w:pPr>
      <w:r w:rsidRPr="003E4580">
        <w:rPr>
          <w:b/>
        </w:rPr>
        <w:t>Option 2</w:t>
      </w:r>
      <w:r w:rsidR="00BD5D4F" w:rsidRPr="003E4580">
        <w:rPr>
          <w:b/>
        </w:rPr>
        <w:t xml:space="preserve"> </w:t>
      </w:r>
      <w:r w:rsidR="004042CD" w:rsidRPr="003E4580">
        <w:rPr>
          <w:b/>
        </w:rPr>
        <w:t>- Regulation</w:t>
      </w:r>
    </w:p>
    <w:p w14:paraId="7EC1F7EE" w14:textId="09787615" w:rsidR="004042CD" w:rsidRPr="003E4580" w:rsidRDefault="00C12912" w:rsidP="004042CD">
      <w:r w:rsidRPr="003E4580">
        <w:t>Option 2</w:t>
      </w:r>
      <w:r w:rsidR="004042CD" w:rsidRPr="003E4580">
        <w:t xml:space="preserve"> involves direct intervention </w:t>
      </w:r>
      <w:r w:rsidR="001C73E1" w:rsidRPr="003E4580">
        <w:t xml:space="preserve">by the Australian Government </w:t>
      </w:r>
      <w:r w:rsidR="004042CD" w:rsidRPr="003E4580">
        <w:t xml:space="preserve">to compel a change in the safety performance of heavy vehicles supplied to the marketplace, </w:t>
      </w:r>
      <w:r w:rsidR="001C73E1" w:rsidRPr="003E4580">
        <w:t xml:space="preserve">and </w:t>
      </w:r>
      <w:r w:rsidR="004042CD" w:rsidRPr="003E4580">
        <w:t>the benefits and costs are those that would occur over and above those of Option 1. The fitment of LDWS would no longer be a commercial decision within this environment.</w:t>
      </w:r>
    </w:p>
    <w:p w14:paraId="72516F1A" w14:textId="77777777" w:rsidR="008A2546" w:rsidRPr="003E4580" w:rsidRDefault="008A2546" w:rsidP="004042CD">
      <w:pPr>
        <w:rPr>
          <w:i/>
        </w:rPr>
      </w:pPr>
      <w:r w:rsidRPr="003E4580">
        <w:rPr>
          <w:i/>
        </w:rPr>
        <w:t>Overall benefits</w:t>
      </w:r>
    </w:p>
    <w:p w14:paraId="39202C36" w14:textId="77777777" w:rsidR="008A2546" w:rsidRPr="003E4580" w:rsidRDefault="008A2546" w:rsidP="008A2546">
      <w:r w:rsidRPr="003E4580">
        <w:t>The indirect and direct benefits are estimated at $221.2 million under Option 2 (over and above Option 1). These benefits would be shared among the community and as cost savings to governments.</w:t>
      </w:r>
    </w:p>
    <w:p w14:paraId="224CDF86" w14:textId="307C6BBD" w:rsidR="008A2546" w:rsidRPr="003E4580" w:rsidRDefault="008A2546" w:rsidP="004042CD">
      <w:r w:rsidRPr="003E4580">
        <w:t>The measure is estimated to save 6</w:t>
      </w:r>
      <w:r w:rsidR="00C5622F" w:rsidRPr="003E4580">
        <w:t>2</w:t>
      </w:r>
      <w:r w:rsidRPr="003E4580">
        <w:t xml:space="preserve"> lives and 1,7</w:t>
      </w:r>
      <w:r w:rsidR="00C5622F" w:rsidRPr="003E4580">
        <w:t>25</w:t>
      </w:r>
      <w:r w:rsidRPr="003E4580">
        <w:t xml:space="preserve"> serious and 5,3</w:t>
      </w:r>
      <w:r w:rsidR="00C5622F" w:rsidRPr="003E4580">
        <w:t xml:space="preserve">70 </w:t>
      </w:r>
      <w:r w:rsidRPr="003E4580">
        <w:t>minor injuries.</w:t>
      </w:r>
    </w:p>
    <w:p w14:paraId="7A27CB3A" w14:textId="77777777" w:rsidR="00776492" w:rsidRPr="003E4580" w:rsidRDefault="00776492" w:rsidP="00776492">
      <w:pPr>
        <w:rPr>
          <w:i/>
        </w:rPr>
      </w:pPr>
      <w:r w:rsidRPr="003E4580">
        <w:rPr>
          <w:i/>
        </w:rPr>
        <w:t>Benefits - Business - Heavy vehicle owners and operators</w:t>
      </w:r>
    </w:p>
    <w:p w14:paraId="335C513D" w14:textId="0313C99A" w:rsidR="00CA5103" w:rsidRPr="003E4580" w:rsidRDefault="00776492" w:rsidP="004042CD">
      <w:r w:rsidRPr="003E4580">
        <w:t xml:space="preserve">There would be a direct benefit through a reduction in road crashes (over and above that of Option 1) for the heavy vehicle owners/operators who purchase and/or operate new heavy vehicles equipped with LDWS due to a mandated standard. </w:t>
      </w:r>
      <w:r w:rsidR="008A2546" w:rsidRPr="003E4580">
        <w:t>A significant proportion of the</w:t>
      </w:r>
      <w:r w:rsidRPr="003E4580">
        <w:t xml:space="preserve"> estimated </w:t>
      </w:r>
      <w:r w:rsidR="00D60DF7" w:rsidRPr="003E4580">
        <w:t>6</w:t>
      </w:r>
      <w:r w:rsidR="00C5622F" w:rsidRPr="003E4580">
        <w:t>2</w:t>
      </w:r>
      <w:r w:rsidRPr="003E4580">
        <w:t xml:space="preserve"> lives and </w:t>
      </w:r>
      <w:r w:rsidR="00D60DF7" w:rsidRPr="003E4580">
        <w:t>1,7</w:t>
      </w:r>
      <w:r w:rsidR="00C5622F" w:rsidRPr="003E4580">
        <w:t>25</w:t>
      </w:r>
      <w:r w:rsidRPr="003E4580">
        <w:t xml:space="preserve"> serious and </w:t>
      </w:r>
      <w:r w:rsidR="00D60DF7" w:rsidRPr="003E4580">
        <w:t>5,3</w:t>
      </w:r>
      <w:r w:rsidR="00C5622F" w:rsidRPr="003E4580">
        <w:t>70</w:t>
      </w:r>
      <w:r w:rsidRPr="003E4580">
        <w:t xml:space="preserve"> minor injuries under </w:t>
      </w:r>
      <w:r w:rsidR="00C12912" w:rsidRPr="003E4580">
        <w:t>Option 2</w:t>
      </w:r>
      <w:r w:rsidRPr="003E4580">
        <w:t xml:space="preserve"> would be occupants of heavy vehicles</w:t>
      </w:r>
      <w:r w:rsidR="00116C09" w:rsidRPr="003E4580">
        <w:t xml:space="preserve"> in highway conditions</w:t>
      </w:r>
      <w:r w:rsidRPr="003E4580">
        <w:t>.</w:t>
      </w:r>
      <w:r w:rsidR="00E54F28" w:rsidRPr="003E4580">
        <w:t xml:space="preserve"> </w:t>
      </w:r>
      <w:r w:rsidRPr="003E4580">
        <w:t>There would also be direct benefits to business (including owners/operators and/or insurance companies) through reductions in compensation, legal costs, driver hiring and training, vehicle repair and replacement costs, loss of goods, and in some cases, fines relating to spills that lead to environmental contamination.</w:t>
      </w:r>
    </w:p>
    <w:p w14:paraId="0B75839E" w14:textId="67B540D2" w:rsidR="00776492" w:rsidRPr="003E4580" w:rsidRDefault="00BD5D4F" w:rsidP="00776492">
      <w:r w:rsidRPr="003E4580">
        <w:t xml:space="preserve"> </w:t>
      </w:r>
      <w:r w:rsidR="00776492" w:rsidRPr="003E4580">
        <w:rPr>
          <w:i/>
        </w:rPr>
        <w:t>Benefits - Business - Heavy vehicle manufacturers and component manufacturers/suppliers</w:t>
      </w:r>
    </w:p>
    <w:p w14:paraId="1FE4323A" w14:textId="2A65E9AB" w:rsidR="00CA5103" w:rsidRPr="003E4580" w:rsidRDefault="00CA5103" w:rsidP="00776492">
      <w:r w:rsidRPr="003E4580">
        <w:t>There may be some indirect benefits in that the heavy vehicle industry would be considered in a more positive li</w:t>
      </w:r>
      <w:r w:rsidR="00F50604" w:rsidRPr="003E4580">
        <w:t>ght by the general public as a result of fitting additional safety technology.</w:t>
      </w:r>
    </w:p>
    <w:p w14:paraId="3646FC25" w14:textId="77A56A19" w:rsidR="00450ADD" w:rsidRPr="003E4580" w:rsidRDefault="00450ADD" w:rsidP="00776492">
      <w:r w:rsidRPr="003E4580">
        <w:t>There would be no direct benefit to heavy vehicle manufacturers (over and above that of Option 1). Component suppliers and component manufacturers benefit directly in terms of increased income/revenue from supplying additional equipment to heavy vehicle manufacturers.</w:t>
      </w:r>
    </w:p>
    <w:p w14:paraId="5C43F6AD" w14:textId="77777777" w:rsidR="004B0F18" w:rsidRPr="003E4580" w:rsidRDefault="004B0F18" w:rsidP="004B0F18">
      <w:pPr>
        <w:rPr>
          <w:i/>
        </w:rPr>
      </w:pPr>
      <w:r w:rsidRPr="003E4580">
        <w:rPr>
          <w:i/>
        </w:rPr>
        <w:t xml:space="preserve">Benefits </w:t>
      </w:r>
      <w:r w:rsidR="007311C0" w:rsidRPr="003E4580">
        <w:rPr>
          <w:i/>
        </w:rPr>
        <w:t>–</w:t>
      </w:r>
      <w:r w:rsidRPr="003E4580">
        <w:rPr>
          <w:i/>
        </w:rPr>
        <w:t xml:space="preserve"> </w:t>
      </w:r>
      <w:r w:rsidR="007311C0" w:rsidRPr="003E4580">
        <w:rPr>
          <w:i/>
        </w:rPr>
        <w:t>Governments and Community</w:t>
      </w:r>
    </w:p>
    <w:p w14:paraId="365B1F84" w14:textId="478FB1ED" w:rsidR="00070381" w:rsidRPr="003E4580" w:rsidRDefault="00070381" w:rsidP="004B0F18">
      <w:r w:rsidRPr="003E4580">
        <w:lastRenderedPageBreak/>
        <w:t xml:space="preserve">There would be </w:t>
      </w:r>
      <w:r w:rsidR="008B32CC" w:rsidRPr="003E4580">
        <w:t xml:space="preserve">both direct </w:t>
      </w:r>
      <w:r w:rsidRPr="003E4580">
        <w:t>an</w:t>
      </w:r>
      <w:r w:rsidR="008B32CC" w:rsidRPr="003E4580">
        <w:t>d</w:t>
      </w:r>
      <w:r w:rsidRPr="003E4580">
        <w:t xml:space="preserve"> indirect benefit</w:t>
      </w:r>
      <w:r w:rsidR="008B32CC" w:rsidRPr="003E4580">
        <w:t>s</w:t>
      </w:r>
      <w:r w:rsidRPr="003E4580">
        <w:t xml:space="preserve"> to governments (over and above that of Option 1) from the reduction in road crashes that would follow the increase in the number and percentage of new heavy vehicles equipped with LDWS</w:t>
      </w:r>
      <w:r w:rsidR="007311C0" w:rsidRPr="003E4580">
        <w:t xml:space="preserve"> due to a mandated standard.</w:t>
      </w:r>
    </w:p>
    <w:p w14:paraId="63CFC09B" w14:textId="77777777" w:rsidR="004B0F18" w:rsidRPr="003E4580" w:rsidRDefault="004B0F18" w:rsidP="004B0F18">
      <w:r w:rsidRPr="003E4580">
        <w:rPr>
          <w:i/>
        </w:rPr>
        <w:t>Costs - Business - Heavy vehicle owners and operators</w:t>
      </w:r>
    </w:p>
    <w:p w14:paraId="2E58B7D8" w14:textId="1C91A885" w:rsidR="0009551F" w:rsidRPr="003E4580" w:rsidRDefault="00070381" w:rsidP="004B0F18">
      <w:r w:rsidRPr="003E4580">
        <w:t xml:space="preserve">There would be a direct cost to heavy vehicle manufacturers (over and above that of Option 1) as a result of design/development, fitment and testing costs for the additional heavy vehicles sold fitted with LDWS due to a mandated standard. </w:t>
      </w:r>
    </w:p>
    <w:p w14:paraId="1AFAC1FF" w14:textId="3A0453D5" w:rsidR="0009551F" w:rsidRPr="003E4580" w:rsidRDefault="0009551F" w:rsidP="004B0F18">
      <w:r w:rsidRPr="003E4580">
        <w:t xml:space="preserve">The approximate </w:t>
      </w:r>
      <w:r w:rsidR="00C5622F" w:rsidRPr="003E4580">
        <w:t xml:space="preserve">LDWS fitment </w:t>
      </w:r>
      <w:r w:rsidRPr="003E4580">
        <w:t>cost to business is between $</w:t>
      </w:r>
      <w:r w:rsidR="00E772ED" w:rsidRPr="003E4580">
        <w:t>10</w:t>
      </w:r>
      <w:r w:rsidRPr="003E4580">
        <w:t>00 and $</w:t>
      </w:r>
      <w:r w:rsidR="00E772ED" w:rsidRPr="003E4580">
        <w:t>1</w:t>
      </w:r>
      <w:r w:rsidRPr="003E4580">
        <w:t xml:space="preserve">800 per vehicle which is expected to be passed onto consumers. There may be further development costs, however, most brands have developed or are developing </w:t>
      </w:r>
      <w:r w:rsidR="00E772ED" w:rsidRPr="003E4580">
        <w:t>LDWS</w:t>
      </w:r>
      <w:r w:rsidRPr="003E4580">
        <w:t xml:space="preserve"> meeting the requirements of the UN Regulation.</w:t>
      </w:r>
    </w:p>
    <w:p w14:paraId="341CD50C" w14:textId="60D610BD" w:rsidR="004B0F18" w:rsidRPr="003E4580" w:rsidRDefault="00070381" w:rsidP="004B0F18">
      <w:r w:rsidRPr="003E4580">
        <w:t>This would likely cost $</w:t>
      </w:r>
      <w:r w:rsidR="00D60DF7" w:rsidRPr="003E4580">
        <w:t>2</w:t>
      </w:r>
      <w:r w:rsidR="00C5622F" w:rsidRPr="003E4580">
        <w:t>16</w:t>
      </w:r>
      <w:r w:rsidRPr="003E4580">
        <w:t xml:space="preserve"> million under </w:t>
      </w:r>
      <w:r w:rsidR="00C12912" w:rsidRPr="003E4580">
        <w:t>Option 2</w:t>
      </w:r>
      <w:r w:rsidRPr="003E4580">
        <w:t xml:space="preserve"> (over and above Option 1). It is likely that manufacturers would pass this increase in costs on at the point of sale to heavy vehicle owners/operators who would then absorb </w:t>
      </w:r>
      <w:r w:rsidR="008A2546" w:rsidRPr="003E4580">
        <w:t xml:space="preserve">some </w:t>
      </w:r>
      <w:r w:rsidRPr="003E4580">
        <w:t>of it (but, as noted above, would also receive a portion of the benefits)</w:t>
      </w:r>
      <w:r w:rsidR="008A2546" w:rsidRPr="003E4580">
        <w:t xml:space="preserve"> and pass on some through increased supply chain costs</w:t>
      </w:r>
      <w:r w:rsidRPr="003E4580">
        <w:t>.</w:t>
      </w:r>
    </w:p>
    <w:p w14:paraId="512605ED" w14:textId="77777777" w:rsidR="00070381" w:rsidRPr="003E4580" w:rsidRDefault="00070381" w:rsidP="00070381">
      <w:r w:rsidRPr="003E4580">
        <w:rPr>
          <w:i/>
        </w:rPr>
        <w:t>Costs - Governments</w:t>
      </w:r>
    </w:p>
    <w:p w14:paraId="3ABE2366" w14:textId="59EFC774" w:rsidR="00070381" w:rsidRPr="003E4580" w:rsidRDefault="00070381" w:rsidP="00070381">
      <w:r w:rsidRPr="003E4580">
        <w:t>There would be a cost to federal, state and territory governments for developing, implementing and administering regulations (standards) that mandate the fitment of LDWS. This is estimated to be</w:t>
      </w:r>
      <w:r w:rsidR="0017627C" w:rsidRPr="003E4580">
        <w:t xml:space="preserve"> at approximately</w:t>
      </w:r>
      <w:r w:rsidRPr="003E4580">
        <w:t xml:space="preserve"> $0.5 million.</w:t>
      </w:r>
    </w:p>
    <w:p w14:paraId="29B72854" w14:textId="49E3D030" w:rsidR="00BD42DF" w:rsidRPr="003E4580" w:rsidRDefault="00B67ED9" w:rsidP="00BD42DF">
      <w:pPr>
        <w:pStyle w:val="Heading4"/>
      </w:pPr>
      <w:r w:rsidRPr="003E4580">
        <w:t>Benefit-Cost Analysis Detail</w:t>
      </w:r>
    </w:p>
    <w:p w14:paraId="41D0C467" w14:textId="75971A96" w:rsidR="00BD42DF" w:rsidRPr="003E4580" w:rsidRDefault="00B375B5" w:rsidP="00BD42DF">
      <w:pPr>
        <w:rPr>
          <w:i/>
        </w:rPr>
      </w:pPr>
      <w:r w:rsidRPr="003E4580">
        <w:rPr>
          <w:i/>
        </w:rPr>
        <w:t>System development costs</w:t>
      </w:r>
    </w:p>
    <w:p w14:paraId="1ED026AA" w14:textId="5FF2C252" w:rsidR="00BD42DF" w:rsidRPr="003E4580" w:rsidRDefault="00574C0E" w:rsidP="00BD42DF">
      <w:r w:rsidRPr="003E4580">
        <w:t xml:space="preserve">A development cost of $50,000 to $100,000 was added for each additional vehicle model for which </w:t>
      </w:r>
      <w:r w:rsidR="00B375B5" w:rsidRPr="003E4580">
        <w:t>LDWS</w:t>
      </w:r>
      <w:r w:rsidRPr="003E4580">
        <w:t xml:space="preserve"> would be developed due to government intervention under Option </w:t>
      </w:r>
      <w:r w:rsidR="00B375B5" w:rsidRPr="003E4580">
        <w:t>2</w:t>
      </w:r>
      <w:r w:rsidRPr="003E4580">
        <w:t xml:space="preserve">.  Preliminary industry consultation indicated that the incremental </w:t>
      </w:r>
      <w:r w:rsidR="00B375B5" w:rsidRPr="003E4580">
        <w:t>LDWS</w:t>
      </w:r>
      <w:r w:rsidRPr="003E4580">
        <w:t xml:space="preserve"> development cost is reduced substantially due to prior fitment of </w:t>
      </w:r>
      <w:r w:rsidR="00B375B5" w:rsidRPr="003E4580">
        <w:t>AEB</w:t>
      </w:r>
      <w:r w:rsidRPr="003E4580">
        <w:t xml:space="preserve">, a </w:t>
      </w:r>
      <w:r w:rsidR="006C7721" w:rsidRPr="003E4580">
        <w:t xml:space="preserve">system </w:t>
      </w:r>
      <w:r w:rsidRPr="003E4580">
        <w:t>typical</w:t>
      </w:r>
      <w:r w:rsidR="006C7721" w:rsidRPr="003E4580">
        <w:t>ly</w:t>
      </w:r>
      <w:r w:rsidRPr="003E4580">
        <w:t xml:space="preserve"> </w:t>
      </w:r>
      <w:r w:rsidR="00B375B5" w:rsidRPr="003E4580">
        <w:t>shared with</w:t>
      </w:r>
      <w:r w:rsidRPr="003E4580">
        <w:t xml:space="preserve"> </w:t>
      </w:r>
      <w:r w:rsidR="00B375B5" w:rsidRPr="003E4580">
        <w:t>LDWS</w:t>
      </w:r>
      <w:r w:rsidRPr="003E4580">
        <w:t xml:space="preserve"> which is required to be fitted by separate legislation</w:t>
      </w:r>
      <w:r w:rsidR="009D5774" w:rsidRPr="003E4580">
        <w:t xml:space="preserve"> (ADR 97/00 – Advanced Emergency Braking for Omnibuses, and Medium and Heavy Goods Vehicles)</w:t>
      </w:r>
      <w:r w:rsidRPr="003E4580">
        <w:t xml:space="preserve">. The estimated development cost included design, logistics, production line floor area allocation, and other overheads, for those models where </w:t>
      </w:r>
      <w:r w:rsidR="00B375B5" w:rsidRPr="003E4580">
        <w:t>LDWS</w:t>
      </w:r>
      <w:r w:rsidRPr="003E4580">
        <w:t xml:space="preserve"> is not an existing optional fitment.  An additional $10,000 per model was initially examined to cover validation and testing for certification, as well as a further $10,000 per model for additional/other regulatory expenses as an extension of a manufacturer’s regulatory and certification administration process. During the consultation, the TIC suggested that the </w:t>
      </w:r>
      <w:r w:rsidR="00B375B5" w:rsidRPr="003E4580">
        <w:t>LDWS</w:t>
      </w:r>
      <w:r w:rsidRPr="003E4580">
        <w:t xml:space="preserve"> validation test cost should be increased to $30,000 to $50,000 per model.  The Department accepted this industry feedback, and raised the base testing and certification cost from $10,000 to $50,000 per model.  Additional/other regulatory expenses of $10,000 per model were retained, as per the analysis in the </w:t>
      </w:r>
      <w:r w:rsidR="00B375B5" w:rsidRPr="003E4580">
        <w:t>C</w:t>
      </w:r>
      <w:r w:rsidRPr="003E4580">
        <w:t xml:space="preserve">onsultation </w:t>
      </w:r>
      <w:r w:rsidR="00BA479C" w:rsidRPr="003E4580">
        <w:t>IA</w:t>
      </w:r>
      <w:r w:rsidRPr="003E4580">
        <w:t>.</w:t>
      </w:r>
    </w:p>
    <w:p w14:paraId="7F19A727" w14:textId="65D63D33" w:rsidR="00B375B5" w:rsidRPr="003E4580" w:rsidRDefault="00B375B5" w:rsidP="00BD42DF">
      <w:pPr>
        <w:rPr>
          <w:i/>
        </w:rPr>
      </w:pPr>
      <w:r w:rsidRPr="003E4580">
        <w:rPr>
          <w:i/>
        </w:rPr>
        <w:t>System fitment cost</w:t>
      </w:r>
    </w:p>
    <w:p w14:paraId="7E1D211B" w14:textId="0629170C" w:rsidR="00F321BA" w:rsidRPr="003E4580" w:rsidRDefault="00B375B5" w:rsidP="00F321BA">
      <w:r w:rsidRPr="003E4580">
        <w:t>A wholesale LDWS system fitment cost range from $1,000 (low/best case) to $</w:t>
      </w:r>
      <w:r w:rsidR="00C5622F" w:rsidRPr="003E4580">
        <w:t>1</w:t>
      </w:r>
      <w:r w:rsidRPr="003E4580">
        <w:t>,</w:t>
      </w:r>
      <w:r w:rsidR="00C5622F" w:rsidRPr="003E4580">
        <w:t>8</w:t>
      </w:r>
      <w:r w:rsidRPr="003E4580">
        <w:t>00 (high/worst case) was adopted, with $1,</w:t>
      </w:r>
      <w:r w:rsidR="00C5622F" w:rsidRPr="003E4580">
        <w:t>4</w:t>
      </w:r>
      <w:r w:rsidRPr="003E4580">
        <w:t>00 used as the likely fitment cost.  This range represents the average incremental cost of fitting a LDWS relative to existing systems otherwise required to be fitted, such as AEB and ESC.  </w:t>
      </w:r>
      <w:r w:rsidR="00F321BA" w:rsidRPr="003E4580">
        <w:t>Estimate includes wholesale parts + fitment. As seen by data provided by the TIC approximately half of the heavy vehicles will already be required to have AEB to comply with ADR 97/00, which reduces LDWS fitment cost to well below the "Likely" $1</w:t>
      </w:r>
      <w:r w:rsidR="00994934" w:rsidRPr="003E4580">
        <w:t>4</w:t>
      </w:r>
      <w:r w:rsidR="00F321BA" w:rsidRPr="003E4580">
        <w:t>00. The rest will have to fit AEB and LDWS, which would bring fitment cost to around $2000. These effects are expected to cancel each other to a great extent.</w:t>
      </w:r>
    </w:p>
    <w:p w14:paraId="0D249E89" w14:textId="73C1FB87" w:rsidR="00B375B5" w:rsidRPr="003E4580" w:rsidRDefault="00B375B5" w:rsidP="00B375B5">
      <w:r w:rsidRPr="003E4580">
        <w:t>The estimate</w:t>
      </w:r>
      <w:r w:rsidR="00F321BA" w:rsidRPr="003E4580">
        <w:t xml:space="preserve"> for system fitment</w:t>
      </w:r>
      <w:r w:rsidRPr="003E4580">
        <w:t xml:space="preserve"> includes only the costs of a </w:t>
      </w:r>
      <w:r w:rsidR="00F321BA" w:rsidRPr="003E4580">
        <w:t>LDWS</w:t>
      </w:r>
      <w:r w:rsidRPr="003E4580">
        <w:t xml:space="preserve"> able to meet the requirements of </w:t>
      </w:r>
      <w:r w:rsidR="00F321BA" w:rsidRPr="003E4580">
        <w:t xml:space="preserve">the </w:t>
      </w:r>
      <w:r w:rsidRPr="003E4580">
        <w:t xml:space="preserve">UN Regulation No. 130. The fitment cost adopted was a conservative average of cost estimations obtained from heavy vehicle manufacturers with regards to existing system fitment costs.  The adopted fitment cost is </w:t>
      </w:r>
      <w:r w:rsidR="00853363" w:rsidRPr="003E4580">
        <w:t>far higher in the IA</w:t>
      </w:r>
      <w:r w:rsidRPr="003E4580">
        <w:t xml:space="preserve"> in comparison to other estimates of $300 to $400 for existing AEB </w:t>
      </w:r>
      <w:r w:rsidR="009D5774" w:rsidRPr="003E4580">
        <w:t xml:space="preserve">systems </w:t>
      </w:r>
      <w:r w:rsidRPr="003E4580">
        <w:t>and LDW</w:t>
      </w:r>
      <w:r w:rsidR="009D5774" w:rsidRPr="003E4580">
        <w:t>Ss</w:t>
      </w:r>
      <w:r w:rsidRPr="003E4580">
        <w:t xml:space="preserve"> (MUARC, 2014).</w:t>
      </w:r>
      <w:r w:rsidR="001E56E8" w:rsidRPr="003E4580">
        <w:t xml:space="preserve"> </w:t>
      </w:r>
      <w:r w:rsidR="00853363" w:rsidRPr="003E4580">
        <w:t xml:space="preserve">These increased costs were accommodated in the Consultation and Final IA to reflect industry feedback. </w:t>
      </w:r>
      <w:r w:rsidRPr="003E4580">
        <w:t xml:space="preserve">Fitment costs were allocated for each additional heavy vehicle equipped with </w:t>
      </w:r>
      <w:r w:rsidR="006A2D3D" w:rsidRPr="003E4580">
        <w:t>LDWS</w:t>
      </w:r>
      <w:r w:rsidRPr="003E4580">
        <w:t xml:space="preserve"> as a consequence of government intervention.</w:t>
      </w:r>
    </w:p>
    <w:p w14:paraId="73DB594F" w14:textId="77777777" w:rsidR="00760369" w:rsidRPr="003E4580" w:rsidRDefault="00760369" w:rsidP="00B375B5"/>
    <w:p w14:paraId="2F464E8D" w14:textId="77777777" w:rsidR="003F3AED" w:rsidRPr="003E4580" w:rsidRDefault="003F3AED" w:rsidP="003F3AED">
      <w:pPr>
        <w:rPr>
          <w:i/>
        </w:rPr>
      </w:pPr>
      <w:r w:rsidRPr="003E4580">
        <w:rPr>
          <w:i/>
          <w:iCs/>
        </w:rPr>
        <w:lastRenderedPageBreak/>
        <w:t>Government costs</w:t>
      </w:r>
    </w:p>
    <w:p w14:paraId="37E5F655" w14:textId="4B0DF638" w:rsidR="003F3AED" w:rsidRPr="003E4580" w:rsidRDefault="003F3AED" w:rsidP="003F3AED">
      <w:r w:rsidRPr="003E4580">
        <w:t>It was assumed there would be an estimated annual cost of $50,000 for the Department to create, implement and maintain a regulation under Option 6, as well as for the National Heavy Vehicle Regulator (NHVR), WA and NT to develop processes for its in-service use, such as vehicle modification requirements.  This includes the initial development cost, as well as ongoing maintenance and interpretation advice.  The value of this cost was based on Department experience.</w:t>
      </w:r>
    </w:p>
    <w:p w14:paraId="7A7FF034" w14:textId="0683DF76" w:rsidR="003F3AED" w:rsidRPr="003E4580" w:rsidRDefault="003F3AED" w:rsidP="003F3AED">
      <w:r w:rsidRPr="003E4580">
        <w:rPr>
          <w:i/>
          <w:iCs/>
        </w:rPr>
        <w:t>Summary of Costs</w:t>
      </w:r>
      <w:r w:rsidR="00C620C2" w:rsidRPr="003E4580">
        <w:rPr>
          <w:i/>
          <w:iCs/>
        </w:rPr>
        <w:t xml:space="preserve"> (Consultation IA April 2022 and Final IA June 2023)</w:t>
      </w:r>
    </w:p>
    <w:p w14:paraId="0C027841" w14:textId="2A47D4FD" w:rsidR="00853363" w:rsidRPr="003E4580" w:rsidRDefault="00853363" w:rsidP="00853363">
      <w:pPr>
        <w:pStyle w:val="Caption"/>
        <w:keepNext/>
      </w:pPr>
      <w:bookmarkStart w:id="46" w:name="_Toc136912398"/>
      <w:r w:rsidRPr="003E4580">
        <w:t xml:space="preserve">Table </w:t>
      </w:r>
      <w:r w:rsidR="00BF64CF">
        <w:fldChar w:fldCharType="begin"/>
      </w:r>
      <w:r w:rsidR="00BF64CF">
        <w:instrText xml:space="preserve"> SEQ Table \* ARABIC </w:instrText>
      </w:r>
      <w:r w:rsidR="00BF64CF">
        <w:fldChar w:fldCharType="separate"/>
      </w:r>
      <w:r w:rsidR="002E4782" w:rsidRPr="003E4580">
        <w:rPr>
          <w:noProof/>
        </w:rPr>
        <w:t>5</w:t>
      </w:r>
      <w:r w:rsidR="00BF64CF">
        <w:rPr>
          <w:noProof/>
        </w:rPr>
        <w:fldChar w:fldCharType="end"/>
      </w:r>
      <w:r w:rsidRPr="003E4580">
        <w:t>: Summary of the various costs associated with the implementation of Option 2 in the Consultation IA published in April 2022</w:t>
      </w:r>
      <w:bookmarkEnd w:id="46"/>
    </w:p>
    <w:tbl>
      <w:tblPr>
        <w:tblStyle w:val="DefaultTable1"/>
        <w:tblW w:w="5000" w:type="pct"/>
        <w:tblLook w:val="04E0" w:firstRow="1" w:lastRow="1" w:firstColumn="1" w:lastColumn="0" w:noHBand="0" w:noVBand="1"/>
        <w:tblCaption w:val="Sample table"/>
        <w:tblDescription w:val="Sample table"/>
      </w:tblPr>
      <w:tblGrid>
        <w:gridCol w:w="2805"/>
        <w:gridCol w:w="8"/>
        <w:gridCol w:w="921"/>
        <w:gridCol w:w="10"/>
        <w:gridCol w:w="915"/>
        <w:gridCol w:w="14"/>
        <w:gridCol w:w="994"/>
        <w:gridCol w:w="1403"/>
        <w:gridCol w:w="1403"/>
        <w:gridCol w:w="1391"/>
      </w:tblGrid>
      <w:tr w:rsidR="003F3AED" w:rsidRPr="003E4580" w14:paraId="4D795BA3" w14:textId="319132F2" w:rsidTr="00853363">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422" w:type="pct"/>
          </w:tcPr>
          <w:p w14:paraId="2683192B" w14:textId="54AF83B1" w:rsidR="003F3AED" w:rsidRPr="003E4580" w:rsidRDefault="003F3AED" w:rsidP="003F3AED">
            <w:r w:rsidRPr="003E4580">
              <w:t>Cost description</w:t>
            </w:r>
          </w:p>
        </w:tc>
        <w:tc>
          <w:tcPr>
            <w:tcW w:w="1451" w:type="pct"/>
            <w:gridSpan w:val="6"/>
          </w:tcPr>
          <w:p w14:paraId="0E6953CD" w14:textId="1EB94DC3" w:rsidR="003F3AED" w:rsidRPr="003E4580" w:rsidRDefault="003F3AED" w:rsidP="003F3AED">
            <w:pPr>
              <w:jc w:val="center"/>
              <w:cnfStyle w:val="100000000000" w:firstRow="1" w:lastRow="0" w:firstColumn="0" w:lastColumn="0" w:oddVBand="0" w:evenVBand="0" w:oddHBand="0" w:evenHBand="0" w:firstRowFirstColumn="0" w:firstRowLastColumn="0" w:lastRowFirstColumn="0" w:lastRowLastColumn="0"/>
            </w:pPr>
            <w:r w:rsidRPr="003E4580">
              <w:t xml:space="preserve"> Cost relative to BAU</w:t>
            </w:r>
          </w:p>
        </w:tc>
        <w:tc>
          <w:tcPr>
            <w:tcW w:w="711" w:type="pct"/>
          </w:tcPr>
          <w:p w14:paraId="79C09664" w14:textId="7C6D738D" w:rsidR="003F3AED" w:rsidRPr="003E4580" w:rsidRDefault="003F3AED" w:rsidP="003F3AED">
            <w:pPr>
              <w:jc w:val="center"/>
              <w:cnfStyle w:val="100000000000" w:firstRow="1" w:lastRow="0" w:firstColumn="0" w:lastColumn="0" w:oddVBand="0" w:evenVBand="0" w:oddHBand="0" w:evenHBand="0" w:firstRowFirstColumn="0" w:firstRowLastColumn="0" w:lastRowFirstColumn="0" w:lastRowLastColumn="0"/>
              <w:rPr>
                <w:b w:val="0"/>
              </w:rPr>
            </w:pPr>
            <w:r w:rsidRPr="003E4580">
              <w:t>Option</w:t>
            </w:r>
          </w:p>
        </w:tc>
        <w:tc>
          <w:tcPr>
            <w:tcW w:w="711" w:type="pct"/>
          </w:tcPr>
          <w:p w14:paraId="6C567FFF" w14:textId="3B256291" w:rsidR="003F3AED" w:rsidRPr="003E4580" w:rsidRDefault="003F3AED" w:rsidP="003F3AED">
            <w:pPr>
              <w:jc w:val="center"/>
              <w:cnfStyle w:val="100000000000" w:firstRow="1" w:lastRow="0" w:firstColumn="0" w:lastColumn="0" w:oddVBand="0" w:evenVBand="0" w:oddHBand="0" w:evenHBand="0" w:firstRowFirstColumn="0" w:firstRowLastColumn="0" w:lastRowFirstColumn="0" w:lastRowLastColumn="0"/>
            </w:pPr>
            <w:r w:rsidRPr="003E4580">
              <w:t>Applicability</w:t>
            </w:r>
          </w:p>
        </w:tc>
        <w:tc>
          <w:tcPr>
            <w:tcW w:w="705" w:type="pct"/>
          </w:tcPr>
          <w:p w14:paraId="2A5C2A02" w14:textId="0854887F" w:rsidR="003F3AED" w:rsidRPr="003E4580" w:rsidRDefault="003F3AED" w:rsidP="003F3AED">
            <w:pPr>
              <w:jc w:val="center"/>
              <w:cnfStyle w:val="100000000000" w:firstRow="1" w:lastRow="0" w:firstColumn="0" w:lastColumn="0" w:oddVBand="0" w:evenVBand="0" w:oddHBand="0" w:evenHBand="0" w:firstRowFirstColumn="0" w:firstRowLastColumn="0" w:lastRowFirstColumn="0" w:lastRowLastColumn="0"/>
            </w:pPr>
            <w:r w:rsidRPr="003E4580">
              <w:t>Impact</w:t>
            </w:r>
          </w:p>
        </w:tc>
      </w:tr>
      <w:tr w:rsidR="006A2D3D" w:rsidRPr="003E4580" w14:paraId="2C07222C" w14:textId="2CC45C21" w:rsidTr="00853363">
        <w:tc>
          <w:tcPr>
            <w:cnfStyle w:val="001000000000" w:firstRow="0" w:lastRow="0" w:firstColumn="1" w:lastColumn="0" w:oddVBand="0" w:evenVBand="0" w:oddHBand="0" w:evenHBand="0" w:firstRowFirstColumn="0" w:firstRowLastColumn="0" w:lastRowFirstColumn="0" w:lastRowLastColumn="0"/>
            <w:tcW w:w="1422" w:type="pct"/>
          </w:tcPr>
          <w:p w14:paraId="43BD5BC0" w14:textId="6BC88C8B" w:rsidR="006A2D3D" w:rsidRPr="003E4580" w:rsidRDefault="006A2D3D" w:rsidP="003F3AED"/>
        </w:tc>
        <w:tc>
          <w:tcPr>
            <w:tcW w:w="471" w:type="pct"/>
            <w:gridSpan w:val="2"/>
          </w:tcPr>
          <w:p w14:paraId="50640C64" w14:textId="5B401E42" w:rsidR="006A2D3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r w:rsidRPr="003E4580">
              <w:t>Best</w:t>
            </w:r>
          </w:p>
        </w:tc>
        <w:tc>
          <w:tcPr>
            <w:tcW w:w="469" w:type="pct"/>
            <w:gridSpan w:val="2"/>
          </w:tcPr>
          <w:p w14:paraId="293C2C06" w14:textId="418435C8" w:rsidR="006A2D3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r w:rsidRPr="003E4580">
              <w:t>Likely</w:t>
            </w:r>
          </w:p>
        </w:tc>
        <w:tc>
          <w:tcPr>
            <w:tcW w:w="511" w:type="pct"/>
            <w:gridSpan w:val="2"/>
          </w:tcPr>
          <w:p w14:paraId="52759EEE" w14:textId="5FB3E38B" w:rsidR="006A2D3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r w:rsidRPr="003E4580">
              <w:t>Worst</w:t>
            </w:r>
          </w:p>
        </w:tc>
        <w:tc>
          <w:tcPr>
            <w:tcW w:w="711" w:type="pct"/>
          </w:tcPr>
          <w:p w14:paraId="055EE38F" w14:textId="29D6991E" w:rsidR="006A2D3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p>
        </w:tc>
        <w:tc>
          <w:tcPr>
            <w:tcW w:w="711" w:type="pct"/>
          </w:tcPr>
          <w:p w14:paraId="244CA949" w14:textId="28BCE978" w:rsidR="006A2D3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p>
        </w:tc>
        <w:tc>
          <w:tcPr>
            <w:tcW w:w="705" w:type="pct"/>
          </w:tcPr>
          <w:p w14:paraId="040F29D2" w14:textId="77777777" w:rsidR="006A2D3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p>
        </w:tc>
      </w:tr>
      <w:tr w:rsidR="006A2D3D" w:rsidRPr="003E4580" w14:paraId="2D045DA5" w14:textId="54C409DF" w:rsidTr="0085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gridSpan w:val="2"/>
          </w:tcPr>
          <w:p w14:paraId="28B6C4DB" w14:textId="5C6EA3D2" w:rsidR="006A2D3D" w:rsidRPr="003E4580" w:rsidRDefault="006A2D3D" w:rsidP="006A2D3D">
            <w:r w:rsidRPr="003E4580">
              <w:t>Development of LDWS</w:t>
            </w:r>
          </w:p>
        </w:tc>
        <w:tc>
          <w:tcPr>
            <w:tcW w:w="472" w:type="pct"/>
            <w:gridSpan w:val="2"/>
            <w:vAlign w:val="center"/>
          </w:tcPr>
          <w:p w14:paraId="739ECB0F" w14:textId="641BBDA4" w:rsidR="006A2D3D" w:rsidRPr="003E4580" w:rsidRDefault="006A2D3D" w:rsidP="006A2D3D">
            <w:pPr>
              <w:jc w:val="center"/>
              <w:cnfStyle w:val="000000010000" w:firstRow="0" w:lastRow="0" w:firstColumn="0" w:lastColumn="0" w:oddVBand="0" w:evenVBand="0" w:oddHBand="0" w:evenHBand="1" w:firstRowFirstColumn="0" w:firstRowLastColumn="0" w:lastRowFirstColumn="0" w:lastRowLastColumn="0"/>
              <w:rPr>
                <w:b/>
              </w:rPr>
            </w:pPr>
            <w:r w:rsidRPr="003E4580">
              <w:rPr>
                <w:color w:val="000000"/>
              </w:rPr>
              <w:t>$50,000</w:t>
            </w:r>
          </w:p>
        </w:tc>
        <w:tc>
          <w:tcPr>
            <w:tcW w:w="471" w:type="pct"/>
            <w:gridSpan w:val="2"/>
            <w:vAlign w:val="center"/>
          </w:tcPr>
          <w:p w14:paraId="2DE0E82D" w14:textId="217770E8" w:rsidR="006A2D3D" w:rsidRPr="003E4580" w:rsidRDefault="00C620C2" w:rsidP="006A2D3D">
            <w:pPr>
              <w:jc w:val="center"/>
              <w:cnfStyle w:val="000000010000" w:firstRow="0" w:lastRow="0" w:firstColumn="0" w:lastColumn="0" w:oddVBand="0" w:evenVBand="0" w:oddHBand="0" w:evenHBand="1" w:firstRowFirstColumn="0" w:firstRowLastColumn="0" w:lastRowFirstColumn="0" w:lastRowLastColumn="0"/>
            </w:pPr>
            <w:r w:rsidRPr="003E4580">
              <w:t>$62,500</w:t>
            </w:r>
          </w:p>
        </w:tc>
        <w:tc>
          <w:tcPr>
            <w:tcW w:w="504" w:type="pct"/>
            <w:vAlign w:val="center"/>
          </w:tcPr>
          <w:p w14:paraId="06AADB5B" w14:textId="444A28B8" w:rsidR="006A2D3D" w:rsidRPr="003E4580" w:rsidRDefault="006A2D3D" w:rsidP="006A2D3D">
            <w:pPr>
              <w:jc w:val="center"/>
              <w:cnfStyle w:val="000000010000" w:firstRow="0" w:lastRow="0" w:firstColumn="0" w:lastColumn="0" w:oddVBand="0" w:evenVBand="0" w:oddHBand="0" w:evenHBand="1" w:firstRowFirstColumn="0" w:firstRowLastColumn="0" w:lastRowFirstColumn="0" w:lastRowLastColumn="0"/>
              <w:rPr>
                <w:b/>
              </w:rPr>
            </w:pPr>
            <w:r w:rsidRPr="003E4580">
              <w:rPr>
                <w:color w:val="000000"/>
              </w:rPr>
              <w:t>$</w:t>
            </w:r>
            <w:r w:rsidR="00C620C2" w:rsidRPr="003E4580">
              <w:rPr>
                <w:color w:val="000000"/>
              </w:rPr>
              <w:t>75,000</w:t>
            </w:r>
          </w:p>
        </w:tc>
        <w:tc>
          <w:tcPr>
            <w:tcW w:w="711" w:type="pct"/>
          </w:tcPr>
          <w:p w14:paraId="63ADE4B5" w14:textId="5F0206E6" w:rsidR="006A2D3D" w:rsidRPr="003E4580" w:rsidRDefault="006A2D3D" w:rsidP="006A2D3D">
            <w:pPr>
              <w:jc w:val="center"/>
              <w:cnfStyle w:val="000000010000" w:firstRow="0" w:lastRow="0" w:firstColumn="0" w:lastColumn="0" w:oddVBand="0" w:evenVBand="0" w:oddHBand="0" w:evenHBand="1" w:firstRowFirstColumn="0" w:firstRowLastColumn="0" w:lastRowFirstColumn="0" w:lastRowLastColumn="0"/>
            </w:pPr>
            <w:r w:rsidRPr="003E4580">
              <w:t>2</w:t>
            </w:r>
          </w:p>
        </w:tc>
        <w:tc>
          <w:tcPr>
            <w:tcW w:w="711" w:type="pct"/>
          </w:tcPr>
          <w:p w14:paraId="212BEBDE" w14:textId="4FEE4975" w:rsidR="006A2D3D" w:rsidRPr="003E4580" w:rsidRDefault="006A2D3D" w:rsidP="006A2D3D">
            <w:pPr>
              <w:jc w:val="center"/>
              <w:cnfStyle w:val="000000010000" w:firstRow="0" w:lastRow="0" w:firstColumn="0" w:lastColumn="0" w:oddVBand="0" w:evenVBand="0" w:oddHBand="0" w:evenHBand="1" w:firstRowFirstColumn="0" w:firstRowLastColumn="0" w:lastRowFirstColumn="0" w:lastRowLastColumn="0"/>
            </w:pPr>
            <w:r w:rsidRPr="003E4580">
              <w:t>Per model</w:t>
            </w:r>
          </w:p>
        </w:tc>
        <w:tc>
          <w:tcPr>
            <w:tcW w:w="705" w:type="pct"/>
          </w:tcPr>
          <w:p w14:paraId="7FBB8CC5" w14:textId="4619459A" w:rsidR="006A2D3D" w:rsidRPr="003E4580" w:rsidRDefault="006A2D3D" w:rsidP="006A2D3D">
            <w:pPr>
              <w:jc w:val="center"/>
              <w:cnfStyle w:val="000000010000" w:firstRow="0" w:lastRow="0" w:firstColumn="0" w:lastColumn="0" w:oddVBand="0" w:evenVBand="0" w:oddHBand="0" w:evenHBand="1" w:firstRowFirstColumn="0" w:firstRowLastColumn="0" w:lastRowFirstColumn="0" w:lastRowLastColumn="0"/>
            </w:pPr>
            <w:r w:rsidRPr="003E4580">
              <w:t>Business</w:t>
            </w:r>
          </w:p>
        </w:tc>
      </w:tr>
      <w:tr w:rsidR="006A2D3D" w:rsidRPr="003E4580" w14:paraId="6B3ED5B6" w14:textId="77777777" w:rsidTr="00853363">
        <w:tc>
          <w:tcPr>
            <w:cnfStyle w:val="001000000000" w:firstRow="0" w:lastRow="0" w:firstColumn="1" w:lastColumn="0" w:oddVBand="0" w:evenVBand="0" w:oddHBand="0" w:evenHBand="0" w:firstRowFirstColumn="0" w:firstRowLastColumn="0" w:lastRowFirstColumn="0" w:lastRowLastColumn="0"/>
            <w:tcW w:w="1426" w:type="pct"/>
            <w:gridSpan w:val="2"/>
          </w:tcPr>
          <w:p w14:paraId="4D38D470" w14:textId="11BC0E33" w:rsidR="006A2D3D" w:rsidRPr="003E4580" w:rsidRDefault="006A2D3D" w:rsidP="006A2D3D">
            <w:r w:rsidRPr="003E4580">
              <w:t>Fitment of LDWS</w:t>
            </w:r>
          </w:p>
        </w:tc>
        <w:tc>
          <w:tcPr>
            <w:tcW w:w="472" w:type="pct"/>
            <w:gridSpan w:val="2"/>
          </w:tcPr>
          <w:p w14:paraId="703A1CCA" w14:textId="63A35995" w:rsidR="006A2D3D" w:rsidRPr="003E4580" w:rsidRDefault="006A2D3D" w:rsidP="006A2D3D">
            <w:pPr>
              <w:jc w:val="center"/>
              <w:cnfStyle w:val="000000000000" w:firstRow="0" w:lastRow="0" w:firstColumn="0" w:lastColumn="0" w:oddVBand="0" w:evenVBand="0" w:oddHBand="0" w:evenHBand="0" w:firstRowFirstColumn="0" w:firstRowLastColumn="0" w:lastRowFirstColumn="0" w:lastRowLastColumn="0"/>
            </w:pPr>
            <w:r w:rsidRPr="003E4580">
              <w:t>$1,000</w:t>
            </w:r>
          </w:p>
        </w:tc>
        <w:tc>
          <w:tcPr>
            <w:tcW w:w="471" w:type="pct"/>
            <w:gridSpan w:val="2"/>
          </w:tcPr>
          <w:p w14:paraId="006F6108" w14:textId="2F4A77FE" w:rsidR="006A2D3D" w:rsidRPr="003E4580" w:rsidRDefault="006A2D3D" w:rsidP="006A2D3D">
            <w:pPr>
              <w:jc w:val="center"/>
              <w:cnfStyle w:val="000000000000" w:firstRow="0" w:lastRow="0" w:firstColumn="0" w:lastColumn="0" w:oddVBand="0" w:evenVBand="0" w:oddHBand="0" w:evenHBand="0" w:firstRowFirstColumn="0" w:firstRowLastColumn="0" w:lastRowFirstColumn="0" w:lastRowLastColumn="0"/>
            </w:pPr>
            <w:r w:rsidRPr="003E4580">
              <w:t>$1,</w:t>
            </w:r>
            <w:r w:rsidR="00C620C2" w:rsidRPr="003E4580">
              <w:t>250</w:t>
            </w:r>
          </w:p>
        </w:tc>
        <w:tc>
          <w:tcPr>
            <w:tcW w:w="504" w:type="pct"/>
          </w:tcPr>
          <w:p w14:paraId="183AB584" w14:textId="6EE42E84" w:rsidR="006A2D3D" w:rsidRPr="003E4580" w:rsidRDefault="006A2D3D" w:rsidP="006A2D3D">
            <w:pPr>
              <w:jc w:val="center"/>
              <w:cnfStyle w:val="000000000000" w:firstRow="0" w:lastRow="0" w:firstColumn="0" w:lastColumn="0" w:oddVBand="0" w:evenVBand="0" w:oddHBand="0" w:evenHBand="0" w:firstRowFirstColumn="0" w:firstRowLastColumn="0" w:lastRowFirstColumn="0" w:lastRowLastColumn="0"/>
            </w:pPr>
            <w:r w:rsidRPr="003E4580">
              <w:t>$</w:t>
            </w:r>
            <w:r w:rsidR="00C620C2" w:rsidRPr="003E4580">
              <w:t>1</w:t>
            </w:r>
            <w:r w:rsidRPr="003E4580">
              <w:t>,</w:t>
            </w:r>
            <w:r w:rsidR="00C620C2" w:rsidRPr="003E4580">
              <w:t>5</w:t>
            </w:r>
            <w:r w:rsidRPr="003E4580">
              <w:t>00</w:t>
            </w:r>
          </w:p>
        </w:tc>
        <w:tc>
          <w:tcPr>
            <w:tcW w:w="711" w:type="pct"/>
          </w:tcPr>
          <w:p w14:paraId="1F5240DA" w14:textId="6BCF804A" w:rsidR="006A2D3D" w:rsidRPr="003E4580" w:rsidRDefault="006A2D3D" w:rsidP="006A2D3D">
            <w:pPr>
              <w:jc w:val="center"/>
              <w:cnfStyle w:val="000000000000" w:firstRow="0" w:lastRow="0" w:firstColumn="0" w:lastColumn="0" w:oddVBand="0" w:evenVBand="0" w:oddHBand="0" w:evenHBand="0" w:firstRowFirstColumn="0" w:firstRowLastColumn="0" w:lastRowFirstColumn="0" w:lastRowLastColumn="0"/>
            </w:pPr>
            <w:r w:rsidRPr="003E4580">
              <w:t>2</w:t>
            </w:r>
          </w:p>
        </w:tc>
        <w:tc>
          <w:tcPr>
            <w:tcW w:w="711" w:type="pct"/>
          </w:tcPr>
          <w:p w14:paraId="318EB201" w14:textId="206953FB" w:rsidR="006A2D3D" w:rsidRPr="003E4580" w:rsidRDefault="006A2D3D" w:rsidP="006A2D3D">
            <w:pPr>
              <w:jc w:val="center"/>
              <w:cnfStyle w:val="000000000000" w:firstRow="0" w:lastRow="0" w:firstColumn="0" w:lastColumn="0" w:oddVBand="0" w:evenVBand="0" w:oddHBand="0" w:evenHBand="0" w:firstRowFirstColumn="0" w:firstRowLastColumn="0" w:lastRowFirstColumn="0" w:lastRowLastColumn="0"/>
            </w:pPr>
            <w:r w:rsidRPr="003E4580">
              <w:t>Per vehicle</w:t>
            </w:r>
          </w:p>
        </w:tc>
        <w:tc>
          <w:tcPr>
            <w:tcW w:w="705" w:type="pct"/>
          </w:tcPr>
          <w:p w14:paraId="4A4F9CCA" w14:textId="1786F2E4" w:rsidR="006A2D3D" w:rsidRPr="003E4580" w:rsidRDefault="006A2D3D" w:rsidP="006A2D3D">
            <w:pPr>
              <w:jc w:val="center"/>
              <w:cnfStyle w:val="000000000000" w:firstRow="0" w:lastRow="0" w:firstColumn="0" w:lastColumn="0" w:oddVBand="0" w:evenVBand="0" w:oddHBand="0" w:evenHBand="0" w:firstRowFirstColumn="0" w:firstRowLastColumn="0" w:lastRowFirstColumn="0" w:lastRowLastColumn="0"/>
            </w:pPr>
            <w:r w:rsidRPr="003E4580">
              <w:t>Business</w:t>
            </w:r>
          </w:p>
        </w:tc>
      </w:tr>
      <w:tr w:rsidR="003F3AED" w:rsidRPr="003E4580" w14:paraId="6EEAB7B2" w14:textId="77777777" w:rsidTr="0085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pct"/>
          </w:tcPr>
          <w:p w14:paraId="63DAA8D3" w14:textId="05C18559" w:rsidR="003F3AED" w:rsidRPr="003E4580" w:rsidRDefault="006A2D3D" w:rsidP="003F3AED">
            <w:r w:rsidRPr="003E4580">
              <w:t>Testing of LDWS</w:t>
            </w:r>
          </w:p>
        </w:tc>
        <w:tc>
          <w:tcPr>
            <w:tcW w:w="1451" w:type="pct"/>
            <w:gridSpan w:val="6"/>
          </w:tcPr>
          <w:p w14:paraId="568B9193" w14:textId="390CBC1F" w:rsidR="003F3AED" w:rsidRPr="003E4580" w:rsidRDefault="006A2D3D" w:rsidP="003F3AED">
            <w:pPr>
              <w:jc w:val="center"/>
              <w:cnfStyle w:val="000000010000" w:firstRow="0" w:lastRow="0" w:firstColumn="0" w:lastColumn="0" w:oddVBand="0" w:evenVBand="0" w:oddHBand="0" w:evenHBand="1" w:firstRowFirstColumn="0" w:firstRowLastColumn="0" w:lastRowFirstColumn="0" w:lastRowLastColumn="0"/>
            </w:pPr>
            <w:r w:rsidRPr="003E4580">
              <w:t>$</w:t>
            </w:r>
            <w:r w:rsidR="00F321BA" w:rsidRPr="003E4580">
              <w:t>1</w:t>
            </w:r>
            <w:r w:rsidRPr="003E4580">
              <w:t>0,000</w:t>
            </w:r>
          </w:p>
        </w:tc>
        <w:tc>
          <w:tcPr>
            <w:tcW w:w="711" w:type="pct"/>
          </w:tcPr>
          <w:p w14:paraId="435C95F6" w14:textId="127995D1" w:rsidR="003F3AED" w:rsidRPr="003E4580" w:rsidRDefault="006A2D3D" w:rsidP="003F3AED">
            <w:pPr>
              <w:jc w:val="center"/>
              <w:cnfStyle w:val="000000010000" w:firstRow="0" w:lastRow="0" w:firstColumn="0" w:lastColumn="0" w:oddVBand="0" w:evenVBand="0" w:oddHBand="0" w:evenHBand="1" w:firstRowFirstColumn="0" w:firstRowLastColumn="0" w:lastRowFirstColumn="0" w:lastRowLastColumn="0"/>
            </w:pPr>
            <w:r w:rsidRPr="003E4580">
              <w:t>2</w:t>
            </w:r>
          </w:p>
        </w:tc>
        <w:tc>
          <w:tcPr>
            <w:tcW w:w="711" w:type="pct"/>
          </w:tcPr>
          <w:p w14:paraId="51F1C4E0" w14:textId="034EED10" w:rsidR="003F3AED" w:rsidRPr="003E4580" w:rsidRDefault="006A2D3D" w:rsidP="003F3AED">
            <w:pPr>
              <w:jc w:val="center"/>
              <w:cnfStyle w:val="000000010000" w:firstRow="0" w:lastRow="0" w:firstColumn="0" w:lastColumn="0" w:oddVBand="0" w:evenVBand="0" w:oddHBand="0" w:evenHBand="1" w:firstRowFirstColumn="0" w:firstRowLastColumn="0" w:lastRowFirstColumn="0" w:lastRowLastColumn="0"/>
            </w:pPr>
            <w:r w:rsidRPr="003E4580">
              <w:t>Per model</w:t>
            </w:r>
          </w:p>
        </w:tc>
        <w:tc>
          <w:tcPr>
            <w:tcW w:w="705" w:type="pct"/>
          </w:tcPr>
          <w:p w14:paraId="431A9C4B" w14:textId="1BFE187A" w:rsidR="003F3AED" w:rsidRPr="003E4580" w:rsidRDefault="006A2D3D" w:rsidP="003F3AED">
            <w:pPr>
              <w:jc w:val="center"/>
              <w:cnfStyle w:val="000000010000" w:firstRow="0" w:lastRow="0" w:firstColumn="0" w:lastColumn="0" w:oddVBand="0" w:evenVBand="0" w:oddHBand="0" w:evenHBand="1" w:firstRowFirstColumn="0" w:firstRowLastColumn="0" w:lastRowFirstColumn="0" w:lastRowLastColumn="0"/>
            </w:pPr>
            <w:r w:rsidRPr="003E4580">
              <w:t>Business</w:t>
            </w:r>
          </w:p>
        </w:tc>
      </w:tr>
      <w:tr w:rsidR="003F3AED" w:rsidRPr="003E4580" w14:paraId="436E0226" w14:textId="77777777" w:rsidTr="00853363">
        <w:tc>
          <w:tcPr>
            <w:cnfStyle w:val="001000000000" w:firstRow="0" w:lastRow="0" w:firstColumn="1" w:lastColumn="0" w:oddVBand="0" w:evenVBand="0" w:oddHBand="0" w:evenHBand="0" w:firstRowFirstColumn="0" w:firstRowLastColumn="0" w:lastRowFirstColumn="0" w:lastRowLastColumn="0"/>
            <w:tcW w:w="1422" w:type="pct"/>
          </w:tcPr>
          <w:p w14:paraId="1A9F8CA8" w14:textId="40E683A3" w:rsidR="003F3AED" w:rsidRPr="003E4580" w:rsidRDefault="006A2D3D" w:rsidP="003F3AED">
            <w:r w:rsidRPr="003E4580">
              <w:t>Certification of LDWS</w:t>
            </w:r>
          </w:p>
        </w:tc>
        <w:tc>
          <w:tcPr>
            <w:tcW w:w="1451" w:type="pct"/>
            <w:gridSpan w:val="6"/>
          </w:tcPr>
          <w:p w14:paraId="75E3D1B5" w14:textId="44385307" w:rsidR="003F3AE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r w:rsidRPr="003E4580">
              <w:t>$10,000</w:t>
            </w:r>
          </w:p>
        </w:tc>
        <w:tc>
          <w:tcPr>
            <w:tcW w:w="711" w:type="pct"/>
          </w:tcPr>
          <w:p w14:paraId="3FF1144D" w14:textId="5D751B03" w:rsidR="003F3AE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r w:rsidRPr="003E4580">
              <w:t>2</w:t>
            </w:r>
          </w:p>
        </w:tc>
        <w:tc>
          <w:tcPr>
            <w:tcW w:w="711" w:type="pct"/>
          </w:tcPr>
          <w:p w14:paraId="1EA49814" w14:textId="14AFEFC9" w:rsidR="003F3AE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r w:rsidRPr="003E4580">
              <w:t>Per model</w:t>
            </w:r>
          </w:p>
        </w:tc>
        <w:tc>
          <w:tcPr>
            <w:tcW w:w="705" w:type="pct"/>
          </w:tcPr>
          <w:p w14:paraId="2B6B0365" w14:textId="7DFDD43D" w:rsidR="003F3AE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r w:rsidRPr="003E4580">
              <w:t>Business</w:t>
            </w:r>
          </w:p>
        </w:tc>
      </w:tr>
      <w:tr w:rsidR="006A2D3D" w:rsidRPr="003E4580" w14:paraId="2663136D" w14:textId="77777777" w:rsidTr="008533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pct"/>
          </w:tcPr>
          <w:p w14:paraId="23051911" w14:textId="18204A7F" w:rsidR="006A2D3D" w:rsidRPr="003E4580" w:rsidRDefault="006A2D3D" w:rsidP="003F3AED">
            <w:r w:rsidRPr="003E4580">
              <w:t>Implement and maintain ADR</w:t>
            </w:r>
          </w:p>
        </w:tc>
        <w:tc>
          <w:tcPr>
            <w:tcW w:w="1451" w:type="pct"/>
            <w:gridSpan w:val="6"/>
          </w:tcPr>
          <w:p w14:paraId="159F722D" w14:textId="590F22E4" w:rsidR="006A2D3D" w:rsidRPr="003E4580" w:rsidRDefault="006A2D3D" w:rsidP="003F3AED">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$50,000</w:t>
            </w:r>
          </w:p>
        </w:tc>
        <w:tc>
          <w:tcPr>
            <w:tcW w:w="711" w:type="pct"/>
          </w:tcPr>
          <w:p w14:paraId="20EBE963" w14:textId="709A22BF" w:rsidR="006A2D3D" w:rsidRPr="003E4580" w:rsidRDefault="006A2D3D" w:rsidP="003F3AED">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w:t>
            </w:r>
          </w:p>
        </w:tc>
        <w:tc>
          <w:tcPr>
            <w:tcW w:w="711" w:type="pct"/>
          </w:tcPr>
          <w:p w14:paraId="156547EB" w14:textId="35C75CAC" w:rsidR="006A2D3D" w:rsidRPr="003E4580" w:rsidRDefault="006A2D3D" w:rsidP="003F3AED">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Per year</w:t>
            </w:r>
          </w:p>
        </w:tc>
        <w:tc>
          <w:tcPr>
            <w:tcW w:w="705" w:type="pct"/>
          </w:tcPr>
          <w:p w14:paraId="6984CAC0" w14:textId="56B31EF7" w:rsidR="006A2D3D" w:rsidRPr="003E4580" w:rsidRDefault="006A2D3D" w:rsidP="003F3AED">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Government</w:t>
            </w:r>
          </w:p>
        </w:tc>
      </w:tr>
    </w:tbl>
    <w:p w14:paraId="0C6CCA01" w14:textId="0CD6478D" w:rsidR="00853363" w:rsidRPr="003E4580" w:rsidRDefault="00853363" w:rsidP="00853363">
      <w:pPr>
        <w:pStyle w:val="Caption"/>
        <w:keepNext/>
      </w:pPr>
      <w:bookmarkStart w:id="47" w:name="_Toc136912399"/>
      <w:r w:rsidRPr="003E4580">
        <w:t xml:space="preserve">Table </w:t>
      </w:r>
      <w:r w:rsidR="00BF64CF">
        <w:fldChar w:fldCharType="begin"/>
      </w:r>
      <w:r w:rsidR="00BF64CF">
        <w:instrText xml:space="preserve"> SEQ Table \* ARABIC </w:instrText>
      </w:r>
      <w:r w:rsidR="00BF64CF">
        <w:fldChar w:fldCharType="separate"/>
      </w:r>
      <w:r w:rsidR="002E4782" w:rsidRPr="003E4580">
        <w:rPr>
          <w:noProof/>
        </w:rPr>
        <w:t>6</w:t>
      </w:r>
      <w:r w:rsidR="00BF64CF">
        <w:rPr>
          <w:noProof/>
        </w:rPr>
        <w:fldChar w:fldCharType="end"/>
      </w:r>
      <w:r w:rsidRPr="003E4580">
        <w:t xml:space="preserve">: Summary of the various costs associated with the implementation of Option 2 in the Final IA published in 2023. Note </w:t>
      </w:r>
      <w:bookmarkStart w:id="48" w:name="_Hlk146187723"/>
      <w:r w:rsidRPr="003E4580">
        <w:t xml:space="preserve">development, fitment, testing costs increased </w:t>
      </w:r>
      <w:bookmarkEnd w:id="48"/>
      <w:r w:rsidRPr="003E4580">
        <w:t>based on feedback to Consultation IA</w:t>
      </w:r>
      <w:bookmarkEnd w:id="47"/>
    </w:p>
    <w:tbl>
      <w:tblPr>
        <w:tblStyle w:val="DefaultTable1"/>
        <w:tblW w:w="5000" w:type="pct"/>
        <w:tblLook w:val="04E0" w:firstRow="1" w:lastRow="1" w:firstColumn="1" w:lastColumn="0" w:noHBand="0" w:noVBand="1"/>
        <w:tblCaption w:val="Sample table"/>
        <w:tblDescription w:val="Sample table"/>
      </w:tblPr>
      <w:tblGrid>
        <w:gridCol w:w="2806"/>
        <w:gridCol w:w="8"/>
        <w:gridCol w:w="921"/>
        <w:gridCol w:w="10"/>
        <w:gridCol w:w="915"/>
        <w:gridCol w:w="14"/>
        <w:gridCol w:w="977"/>
        <w:gridCol w:w="18"/>
        <w:gridCol w:w="1385"/>
        <w:gridCol w:w="12"/>
        <w:gridCol w:w="1391"/>
        <w:gridCol w:w="8"/>
        <w:gridCol w:w="1399"/>
      </w:tblGrid>
      <w:tr w:rsidR="009D5774" w:rsidRPr="003E4580" w14:paraId="66F42322" w14:textId="77777777" w:rsidTr="00947F8C">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422" w:type="pct"/>
          </w:tcPr>
          <w:p w14:paraId="35C4EF81" w14:textId="77777777" w:rsidR="009D5774" w:rsidRPr="003E4580" w:rsidRDefault="009D5774" w:rsidP="00947F8C">
            <w:r w:rsidRPr="003E4580">
              <w:t>Cost description</w:t>
            </w:r>
          </w:p>
        </w:tc>
        <w:tc>
          <w:tcPr>
            <w:tcW w:w="1451" w:type="pct"/>
            <w:gridSpan w:val="7"/>
          </w:tcPr>
          <w:p w14:paraId="5F2509B8" w14:textId="77777777" w:rsidR="009D5774" w:rsidRPr="003E4580" w:rsidRDefault="009D5774" w:rsidP="00947F8C">
            <w:pPr>
              <w:jc w:val="center"/>
              <w:cnfStyle w:val="100000000000" w:firstRow="1" w:lastRow="0" w:firstColumn="0" w:lastColumn="0" w:oddVBand="0" w:evenVBand="0" w:oddHBand="0" w:evenHBand="0" w:firstRowFirstColumn="0" w:firstRowLastColumn="0" w:lastRowFirstColumn="0" w:lastRowLastColumn="0"/>
            </w:pPr>
            <w:r w:rsidRPr="003E4580">
              <w:t xml:space="preserve"> Cost relative to BAU</w:t>
            </w:r>
          </w:p>
        </w:tc>
        <w:tc>
          <w:tcPr>
            <w:tcW w:w="708" w:type="pct"/>
            <w:gridSpan w:val="2"/>
          </w:tcPr>
          <w:p w14:paraId="2AF2BA3A" w14:textId="77777777" w:rsidR="009D5774" w:rsidRPr="003E4580" w:rsidRDefault="009D5774" w:rsidP="00947F8C">
            <w:pPr>
              <w:jc w:val="center"/>
              <w:cnfStyle w:val="100000000000" w:firstRow="1" w:lastRow="0" w:firstColumn="0" w:lastColumn="0" w:oddVBand="0" w:evenVBand="0" w:oddHBand="0" w:evenHBand="0" w:firstRowFirstColumn="0" w:firstRowLastColumn="0" w:lastRowFirstColumn="0" w:lastRowLastColumn="0"/>
              <w:rPr>
                <w:b w:val="0"/>
              </w:rPr>
            </w:pPr>
            <w:r w:rsidRPr="003E4580">
              <w:t>Option</w:t>
            </w:r>
          </w:p>
        </w:tc>
        <w:tc>
          <w:tcPr>
            <w:tcW w:w="709" w:type="pct"/>
            <w:gridSpan w:val="2"/>
          </w:tcPr>
          <w:p w14:paraId="3CDF0981" w14:textId="77777777" w:rsidR="009D5774" w:rsidRPr="003E4580" w:rsidRDefault="009D5774" w:rsidP="00947F8C">
            <w:pPr>
              <w:jc w:val="center"/>
              <w:cnfStyle w:val="100000000000" w:firstRow="1" w:lastRow="0" w:firstColumn="0" w:lastColumn="0" w:oddVBand="0" w:evenVBand="0" w:oddHBand="0" w:evenHBand="0" w:firstRowFirstColumn="0" w:firstRowLastColumn="0" w:lastRowFirstColumn="0" w:lastRowLastColumn="0"/>
            </w:pPr>
            <w:r w:rsidRPr="003E4580">
              <w:t>Applicability</w:t>
            </w:r>
          </w:p>
        </w:tc>
        <w:tc>
          <w:tcPr>
            <w:tcW w:w="709" w:type="pct"/>
          </w:tcPr>
          <w:p w14:paraId="537C69D0" w14:textId="77777777" w:rsidR="009D5774" w:rsidRPr="003E4580" w:rsidRDefault="009D5774" w:rsidP="00947F8C">
            <w:pPr>
              <w:jc w:val="center"/>
              <w:cnfStyle w:val="100000000000" w:firstRow="1" w:lastRow="0" w:firstColumn="0" w:lastColumn="0" w:oddVBand="0" w:evenVBand="0" w:oddHBand="0" w:evenHBand="0" w:firstRowFirstColumn="0" w:firstRowLastColumn="0" w:lastRowFirstColumn="0" w:lastRowLastColumn="0"/>
            </w:pPr>
            <w:r w:rsidRPr="003E4580">
              <w:t>Impact</w:t>
            </w:r>
          </w:p>
        </w:tc>
      </w:tr>
      <w:tr w:rsidR="009D5774" w:rsidRPr="003E4580" w14:paraId="2CFC44D0" w14:textId="77777777" w:rsidTr="00947F8C">
        <w:tc>
          <w:tcPr>
            <w:cnfStyle w:val="001000000000" w:firstRow="0" w:lastRow="0" w:firstColumn="1" w:lastColumn="0" w:oddVBand="0" w:evenVBand="0" w:oddHBand="0" w:evenHBand="0" w:firstRowFirstColumn="0" w:firstRowLastColumn="0" w:lastRowFirstColumn="0" w:lastRowLastColumn="0"/>
            <w:tcW w:w="1422" w:type="pct"/>
          </w:tcPr>
          <w:p w14:paraId="3EF4AFA3" w14:textId="77777777" w:rsidR="009D5774" w:rsidRPr="003E4580" w:rsidRDefault="009D5774" w:rsidP="00947F8C"/>
        </w:tc>
        <w:tc>
          <w:tcPr>
            <w:tcW w:w="471" w:type="pct"/>
            <w:gridSpan w:val="2"/>
          </w:tcPr>
          <w:p w14:paraId="4C02C35A"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Best</w:t>
            </w:r>
          </w:p>
        </w:tc>
        <w:tc>
          <w:tcPr>
            <w:tcW w:w="469" w:type="pct"/>
            <w:gridSpan w:val="2"/>
          </w:tcPr>
          <w:p w14:paraId="210D23F2"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Likely</w:t>
            </w:r>
          </w:p>
        </w:tc>
        <w:tc>
          <w:tcPr>
            <w:tcW w:w="511" w:type="pct"/>
            <w:gridSpan w:val="3"/>
          </w:tcPr>
          <w:p w14:paraId="1028C300"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Worst</w:t>
            </w:r>
          </w:p>
        </w:tc>
        <w:tc>
          <w:tcPr>
            <w:tcW w:w="708" w:type="pct"/>
            <w:gridSpan w:val="2"/>
          </w:tcPr>
          <w:p w14:paraId="06CD8070"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p>
        </w:tc>
        <w:tc>
          <w:tcPr>
            <w:tcW w:w="709" w:type="pct"/>
            <w:gridSpan w:val="2"/>
          </w:tcPr>
          <w:p w14:paraId="14C50D53"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p>
        </w:tc>
        <w:tc>
          <w:tcPr>
            <w:tcW w:w="709" w:type="pct"/>
          </w:tcPr>
          <w:p w14:paraId="669CEB50"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p>
        </w:tc>
      </w:tr>
      <w:tr w:rsidR="009D5774" w:rsidRPr="003E4580" w14:paraId="2CA93479" w14:textId="77777777" w:rsidTr="0094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gridSpan w:val="2"/>
          </w:tcPr>
          <w:p w14:paraId="64E8B6DA" w14:textId="77777777" w:rsidR="009D5774" w:rsidRPr="003E4580" w:rsidRDefault="009D5774" w:rsidP="00947F8C">
            <w:r w:rsidRPr="003E4580">
              <w:t>Development of LDWS</w:t>
            </w:r>
          </w:p>
        </w:tc>
        <w:tc>
          <w:tcPr>
            <w:tcW w:w="472" w:type="pct"/>
            <w:gridSpan w:val="2"/>
            <w:vAlign w:val="center"/>
          </w:tcPr>
          <w:p w14:paraId="4EBBBA7C"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rPr>
                <w:b/>
              </w:rPr>
            </w:pPr>
            <w:r w:rsidRPr="003E4580">
              <w:rPr>
                <w:color w:val="000000"/>
              </w:rPr>
              <w:t>$50,000</w:t>
            </w:r>
          </w:p>
        </w:tc>
        <w:tc>
          <w:tcPr>
            <w:tcW w:w="471" w:type="pct"/>
            <w:gridSpan w:val="2"/>
            <w:vAlign w:val="center"/>
          </w:tcPr>
          <w:p w14:paraId="12EE1977"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rPr>
                <w:b/>
              </w:rPr>
            </w:pPr>
            <w:r w:rsidRPr="003E4580">
              <w:rPr>
                <w:color w:val="000000"/>
              </w:rPr>
              <w:t>$75,000</w:t>
            </w:r>
          </w:p>
        </w:tc>
        <w:tc>
          <w:tcPr>
            <w:tcW w:w="495" w:type="pct"/>
            <w:vAlign w:val="center"/>
          </w:tcPr>
          <w:p w14:paraId="5353ABB8"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rPr>
                <w:b/>
              </w:rPr>
            </w:pPr>
            <w:r w:rsidRPr="003E4580">
              <w:rPr>
                <w:color w:val="000000"/>
              </w:rPr>
              <w:t>$100,000</w:t>
            </w:r>
          </w:p>
        </w:tc>
        <w:tc>
          <w:tcPr>
            <w:tcW w:w="711" w:type="pct"/>
            <w:gridSpan w:val="2"/>
          </w:tcPr>
          <w:p w14:paraId="4BEF823E"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pPr>
            <w:r w:rsidRPr="003E4580">
              <w:t>2</w:t>
            </w:r>
          </w:p>
        </w:tc>
        <w:tc>
          <w:tcPr>
            <w:tcW w:w="711" w:type="pct"/>
            <w:gridSpan w:val="2"/>
          </w:tcPr>
          <w:p w14:paraId="3E645A8B"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pPr>
            <w:r w:rsidRPr="003E4580">
              <w:t>Per model</w:t>
            </w:r>
          </w:p>
        </w:tc>
        <w:tc>
          <w:tcPr>
            <w:tcW w:w="713" w:type="pct"/>
            <w:gridSpan w:val="2"/>
          </w:tcPr>
          <w:p w14:paraId="2AF24E0E"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pPr>
            <w:r w:rsidRPr="003E4580">
              <w:t>Business</w:t>
            </w:r>
          </w:p>
        </w:tc>
      </w:tr>
      <w:tr w:rsidR="009D5774" w:rsidRPr="003E4580" w14:paraId="5AA3F48F" w14:textId="77777777" w:rsidTr="00947F8C">
        <w:tc>
          <w:tcPr>
            <w:cnfStyle w:val="001000000000" w:firstRow="0" w:lastRow="0" w:firstColumn="1" w:lastColumn="0" w:oddVBand="0" w:evenVBand="0" w:oddHBand="0" w:evenHBand="0" w:firstRowFirstColumn="0" w:firstRowLastColumn="0" w:lastRowFirstColumn="0" w:lastRowLastColumn="0"/>
            <w:tcW w:w="1426" w:type="pct"/>
            <w:gridSpan w:val="2"/>
          </w:tcPr>
          <w:p w14:paraId="724EC113" w14:textId="77777777" w:rsidR="009D5774" w:rsidRPr="003E4580" w:rsidRDefault="009D5774" w:rsidP="00947F8C">
            <w:r w:rsidRPr="003E4580">
              <w:t>Fitment of LDWS</w:t>
            </w:r>
          </w:p>
        </w:tc>
        <w:tc>
          <w:tcPr>
            <w:tcW w:w="472" w:type="pct"/>
            <w:gridSpan w:val="2"/>
          </w:tcPr>
          <w:p w14:paraId="5251DBCE"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$1,000</w:t>
            </w:r>
          </w:p>
        </w:tc>
        <w:tc>
          <w:tcPr>
            <w:tcW w:w="471" w:type="pct"/>
            <w:gridSpan w:val="2"/>
          </w:tcPr>
          <w:p w14:paraId="296A48E0" w14:textId="14A42F73"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$1,</w:t>
            </w:r>
            <w:r w:rsidR="001E56E8" w:rsidRPr="003E4580">
              <w:t>4</w:t>
            </w:r>
            <w:r w:rsidRPr="003E4580">
              <w:t>00</w:t>
            </w:r>
          </w:p>
        </w:tc>
        <w:tc>
          <w:tcPr>
            <w:tcW w:w="495" w:type="pct"/>
          </w:tcPr>
          <w:p w14:paraId="6D7A8773" w14:textId="598EA900"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w:t>
            </w:r>
            <w:r w:rsidR="001E56E8" w:rsidRPr="003E4580">
              <w:t>1</w:t>
            </w:r>
            <w:r w:rsidRPr="003E4580">
              <w:t>,</w:t>
            </w:r>
            <w:r w:rsidR="001E56E8" w:rsidRPr="003E4580">
              <w:t>8</w:t>
            </w:r>
            <w:r w:rsidRPr="003E4580">
              <w:t>00</w:t>
            </w:r>
          </w:p>
        </w:tc>
        <w:tc>
          <w:tcPr>
            <w:tcW w:w="711" w:type="pct"/>
            <w:gridSpan w:val="2"/>
          </w:tcPr>
          <w:p w14:paraId="10AB2AF6"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2</w:t>
            </w:r>
          </w:p>
        </w:tc>
        <w:tc>
          <w:tcPr>
            <w:tcW w:w="711" w:type="pct"/>
            <w:gridSpan w:val="2"/>
          </w:tcPr>
          <w:p w14:paraId="119BCD4D"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Per vehicle</w:t>
            </w:r>
          </w:p>
        </w:tc>
        <w:tc>
          <w:tcPr>
            <w:tcW w:w="713" w:type="pct"/>
            <w:gridSpan w:val="2"/>
          </w:tcPr>
          <w:p w14:paraId="211FC3B7"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Business</w:t>
            </w:r>
          </w:p>
        </w:tc>
      </w:tr>
      <w:tr w:rsidR="009D5774" w:rsidRPr="003E4580" w14:paraId="652E313A" w14:textId="77777777" w:rsidTr="0094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pct"/>
          </w:tcPr>
          <w:p w14:paraId="5EE9EAD0" w14:textId="77777777" w:rsidR="009D5774" w:rsidRPr="003E4580" w:rsidRDefault="009D5774" w:rsidP="00947F8C">
            <w:r w:rsidRPr="003E4580">
              <w:t>Testing of LDWS</w:t>
            </w:r>
          </w:p>
        </w:tc>
        <w:tc>
          <w:tcPr>
            <w:tcW w:w="1451" w:type="pct"/>
            <w:gridSpan w:val="7"/>
          </w:tcPr>
          <w:p w14:paraId="4EE217BC" w14:textId="63CFC07D"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pPr>
            <w:r w:rsidRPr="003E4580">
              <w:t>$</w:t>
            </w:r>
            <w:r w:rsidR="001E56E8" w:rsidRPr="003E4580">
              <w:t>5</w:t>
            </w:r>
            <w:r w:rsidRPr="003E4580">
              <w:t>0,000</w:t>
            </w:r>
          </w:p>
        </w:tc>
        <w:tc>
          <w:tcPr>
            <w:tcW w:w="708" w:type="pct"/>
            <w:gridSpan w:val="2"/>
          </w:tcPr>
          <w:p w14:paraId="52B56FE5"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pPr>
            <w:r w:rsidRPr="003E4580">
              <w:t>2</w:t>
            </w:r>
          </w:p>
        </w:tc>
        <w:tc>
          <w:tcPr>
            <w:tcW w:w="709" w:type="pct"/>
            <w:gridSpan w:val="2"/>
          </w:tcPr>
          <w:p w14:paraId="159293EA"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pPr>
            <w:r w:rsidRPr="003E4580">
              <w:t>Per model</w:t>
            </w:r>
          </w:p>
        </w:tc>
        <w:tc>
          <w:tcPr>
            <w:tcW w:w="709" w:type="pct"/>
          </w:tcPr>
          <w:p w14:paraId="334124D1"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pPr>
            <w:r w:rsidRPr="003E4580">
              <w:t>Business</w:t>
            </w:r>
          </w:p>
        </w:tc>
      </w:tr>
      <w:tr w:rsidR="009D5774" w:rsidRPr="003E4580" w14:paraId="2C40E46C" w14:textId="77777777" w:rsidTr="00947F8C">
        <w:tc>
          <w:tcPr>
            <w:cnfStyle w:val="001000000000" w:firstRow="0" w:lastRow="0" w:firstColumn="1" w:lastColumn="0" w:oddVBand="0" w:evenVBand="0" w:oddHBand="0" w:evenHBand="0" w:firstRowFirstColumn="0" w:firstRowLastColumn="0" w:lastRowFirstColumn="0" w:lastRowLastColumn="0"/>
            <w:tcW w:w="1422" w:type="pct"/>
          </w:tcPr>
          <w:p w14:paraId="38236CF7" w14:textId="77777777" w:rsidR="009D5774" w:rsidRPr="003E4580" w:rsidRDefault="009D5774" w:rsidP="00947F8C">
            <w:r w:rsidRPr="003E4580">
              <w:t>Certification of LDWS</w:t>
            </w:r>
          </w:p>
        </w:tc>
        <w:tc>
          <w:tcPr>
            <w:tcW w:w="1451" w:type="pct"/>
            <w:gridSpan w:val="7"/>
          </w:tcPr>
          <w:p w14:paraId="421812FA"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$10,000</w:t>
            </w:r>
          </w:p>
        </w:tc>
        <w:tc>
          <w:tcPr>
            <w:tcW w:w="708" w:type="pct"/>
            <w:gridSpan w:val="2"/>
          </w:tcPr>
          <w:p w14:paraId="309CD318"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2</w:t>
            </w:r>
          </w:p>
        </w:tc>
        <w:tc>
          <w:tcPr>
            <w:tcW w:w="709" w:type="pct"/>
            <w:gridSpan w:val="2"/>
          </w:tcPr>
          <w:p w14:paraId="0B5B0422"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Per model</w:t>
            </w:r>
          </w:p>
        </w:tc>
        <w:tc>
          <w:tcPr>
            <w:tcW w:w="709" w:type="pct"/>
          </w:tcPr>
          <w:p w14:paraId="3DBA399C"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Business</w:t>
            </w:r>
          </w:p>
        </w:tc>
      </w:tr>
      <w:tr w:rsidR="009D5774" w:rsidRPr="003E4580" w14:paraId="6BD4C52D" w14:textId="77777777" w:rsidTr="00947F8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pct"/>
          </w:tcPr>
          <w:p w14:paraId="5087D967" w14:textId="77777777" w:rsidR="009D5774" w:rsidRPr="003E4580" w:rsidRDefault="009D5774" w:rsidP="00947F8C">
            <w:r w:rsidRPr="003E4580">
              <w:t>Implement and maintain ADR</w:t>
            </w:r>
          </w:p>
        </w:tc>
        <w:tc>
          <w:tcPr>
            <w:tcW w:w="1451" w:type="pct"/>
            <w:gridSpan w:val="7"/>
          </w:tcPr>
          <w:p w14:paraId="06AC19EA" w14:textId="77777777" w:rsidR="009D5774" w:rsidRPr="003E4580" w:rsidRDefault="009D5774"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$50,000</w:t>
            </w:r>
          </w:p>
        </w:tc>
        <w:tc>
          <w:tcPr>
            <w:tcW w:w="708" w:type="pct"/>
            <w:gridSpan w:val="2"/>
          </w:tcPr>
          <w:p w14:paraId="136AE327" w14:textId="77777777" w:rsidR="009D5774" w:rsidRPr="003E4580" w:rsidRDefault="009D5774"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w:t>
            </w:r>
          </w:p>
        </w:tc>
        <w:tc>
          <w:tcPr>
            <w:tcW w:w="709" w:type="pct"/>
            <w:gridSpan w:val="2"/>
          </w:tcPr>
          <w:p w14:paraId="06990B0A" w14:textId="77777777" w:rsidR="009D5774" w:rsidRPr="003E4580" w:rsidRDefault="009D5774"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Per year</w:t>
            </w:r>
          </w:p>
        </w:tc>
        <w:tc>
          <w:tcPr>
            <w:tcW w:w="709" w:type="pct"/>
          </w:tcPr>
          <w:p w14:paraId="38493721" w14:textId="77777777" w:rsidR="009D5774" w:rsidRPr="003E4580" w:rsidRDefault="009D5774"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Government</w:t>
            </w:r>
          </w:p>
        </w:tc>
      </w:tr>
    </w:tbl>
    <w:p w14:paraId="6EBF5B8E" w14:textId="77777777" w:rsidR="00C17141" w:rsidRPr="003E4580" w:rsidRDefault="00C17141" w:rsidP="00C17141"/>
    <w:p w14:paraId="195446AD" w14:textId="0CCC35A2" w:rsidR="00FB523A" w:rsidRPr="003E4580" w:rsidRDefault="00FB523A" w:rsidP="00FB523A">
      <w:pPr>
        <w:pStyle w:val="Heading4"/>
      </w:pPr>
      <w:r w:rsidRPr="003E4580">
        <w:t>Benefit-Cost Analysis Results</w:t>
      </w:r>
    </w:p>
    <w:p w14:paraId="512815BE" w14:textId="7CD3050B" w:rsidR="00FB523A" w:rsidRPr="003E4580" w:rsidRDefault="00FB523A" w:rsidP="00FB523A">
      <w:r w:rsidRPr="003E4580">
        <w:t xml:space="preserve">Appendix </w:t>
      </w:r>
      <w:r w:rsidR="009F1E71" w:rsidRPr="003E4580">
        <w:t>E</w:t>
      </w:r>
      <w:r w:rsidRPr="003E4580">
        <w:t xml:space="preserve"> details the calculations for the benefit-cost analysis. A summary of the</w:t>
      </w:r>
      <w:r w:rsidR="001E56E8" w:rsidRPr="003E4580">
        <w:t xml:space="preserve"> </w:t>
      </w:r>
      <w:r w:rsidR="00853363" w:rsidRPr="003E4580">
        <w:t xml:space="preserve">results from the </w:t>
      </w:r>
      <w:r w:rsidR="001E56E8" w:rsidRPr="003E4580">
        <w:t>Consultation IA</w:t>
      </w:r>
      <w:r w:rsidR="00853363" w:rsidRPr="003E4580">
        <w:t xml:space="preserve"> in April 2022 and the Final IA in June 2023</w:t>
      </w:r>
      <w:r w:rsidRPr="003E4580">
        <w:t xml:space="preserve"> is provided below in </w:t>
      </w:r>
      <w:r w:rsidR="00853363" w:rsidRPr="003E4580">
        <w:t>the following t</w:t>
      </w:r>
      <w:r w:rsidRPr="003E4580">
        <w:t>able</w:t>
      </w:r>
      <w:r w:rsidR="00853363" w:rsidRPr="003E4580">
        <w:t>s</w:t>
      </w:r>
      <w:r w:rsidRPr="003E4580">
        <w:t>.  A 7 per cent discount rate was used for summarised options.</w:t>
      </w:r>
    </w:p>
    <w:p w14:paraId="46758476" w14:textId="25677A4F" w:rsidR="00C17141" w:rsidRPr="003E4580" w:rsidRDefault="00C17141" w:rsidP="00FB523A"/>
    <w:p w14:paraId="0DCC0191" w14:textId="77777777" w:rsidR="00C17141" w:rsidRPr="003E4580" w:rsidRDefault="00C17141" w:rsidP="00FB523A"/>
    <w:p w14:paraId="122A8FC8" w14:textId="3DCCEC75" w:rsidR="00DE0B50" w:rsidRPr="003E4580" w:rsidRDefault="00DE0B50" w:rsidP="00DE0B50">
      <w:pPr>
        <w:pStyle w:val="Caption"/>
        <w:keepNext/>
      </w:pPr>
      <w:bookmarkStart w:id="49" w:name="_Toc136912400"/>
      <w:r w:rsidRPr="003E4580">
        <w:lastRenderedPageBreak/>
        <w:t xml:space="preserve">Table </w:t>
      </w:r>
      <w:r w:rsidR="00BF64CF">
        <w:fldChar w:fldCharType="begin"/>
      </w:r>
      <w:r w:rsidR="00BF64CF">
        <w:instrText xml:space="preserve"> SEQ Table \* ARABIC </w:instrText>
      </w:r>
      <w:r w:rsidR="00BF64CF">
        <w:fldChar w:fldCharType="separate"/>
      </w:r>
      <w:r w:rsidR="002E4782" w:rsidRPr="003E4580">
        <w:rPr>
          <w:noProof/>
        </w:rPr>
        <w:t>7</w:t>
      </w:r>
      <w:r w:rsidR="00BF64CF">
        <w:rPr>
          <w:noProof/>
        </w:rPr>
        <w:fldChar w:fldCharType="end"/>
      </w:r>
      <w:r w:rsidRPr="003E4580">
        <w:t>: Summary of Consultation IA Benefit-Cost Analysis Results</w:t>
      </w:r>
      <w:r w:rsidR="00853363" w:rsidRPr="003E4580">
        <w:t xml:space="preserve"> April 2022</w:t>
      </w:r>
      <w:bookmarkEnd w:id="49"/>
    </w:p>
    <w:tbl>
      <w:tblPr>
        <w:tblStyle w:val="DefaultTable1"/>
        <w:tblW w:w="5000" w:type="pct"/>
        <w:tblLook w:val="04E0" w:firstRow="1" w:lastRow="1" w:firstColumn="1" w:lastColumn="0" w:noHBand="0" w:noVBand="1"/>
        <w:tblCaption w:val="Sample table"/>
        <w:tblDescription w:val="Sample table"/>
      </w:tblPr>
      <w:tblGrid>
        <w:gridCol w:w="1552"/>
        <w:gridCol w:w="1772"/>
        <w:gridCol w:w="898"/>
        <w:gridCol w:w="1330"/>
        <w:gridCol w:w="1261"/>
        <w:gridCol w:w="547"/>
        <w:gridCol w:w="708"/>
        <w:gridCol w:w="898"/>
        <w:gridCol w:w="898"/>
      </w:tblGrid>
      <w:tr w:rsidR="0059592C" w:rsidRPr="003E4580" w14:paraId="7A020722" w14:textId="27286DDA" w:rsidTr="00DE0B50">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87" w:type="pct"/>
          </w:tcPr>
          <w:p w14:paraId="4BB67E9F" w14:textId="1958E04B" w:rsidR="0059592C" w:rsidRPr="003E4580" w:rsidRDefault="0059592C" w:rsidP="00724DC4">
            <w:r w:rsidRPr="003E4580">
              <w:t>Case</w:t>
            </w:r>
          </w:p>
        </w:tc>
        <w:tc>
          <w:tcPr>
            <w:tcW w:w="898" w:type="pct"/>
          </w:tcPr>
          <w:p w14:paraId="33247733" w14:textId="2D84D057" w:rsidR="0059592C" w:rsidRPr="003E4580" w:rsidRDefault="0059592C" w:rsidP="00724DC4">
            <w:pPr>
              <w:jc w:val="center"/>
              <w:cnfStyle w:val="100000000000" w:firstRow="1" w:lastRow="0" w:firstColumn="0" w:lastColumn="0" w:oddVBand="0" w:evenVBand="0" w:oddHBand="0" w:evenHBand="0" w:firstRowFirstColumn="0" w:firstRowLastColumn="0" w:lastRowFirstColumn="0" w:lastRowLastColumn="0"/>
            </w:pPr>
            <w:r w:rsidRPr="003E4580">
              <w:t>Gross Benefits ($m)</w:t>
            </w:r>
          </w:p>
        </w:tc>
        <w:tc>
          <w:tcPr>
            <w:tcW w:w="455" w:type="pct"/>
          </w:tcPr>
          <w:p w14:paraId="18FDA66A" w14:textId="3202163E" w:rsidR="0059592C" w:rsidRPr="003E4580" w:rsidRDefault="0059592C" w:rsidP="00724DC4">
            <w:pPr>
              <w:jc w:val="center"/>
              <w:cnfStyle w:val="100000000000" w:firstRow="1" w:lastRow="0" w:firstColumn="0" w:lastColumn="0" w:oddVBand="0" w:evenVBand="0" w:oddHBand="0" w:evenHBand="0" w:firstRowFirstColumn="0" w:firstRowLastColumn="0" w:lastRowFirstColumn="0" w:lastRowLastColumn="0"/>
              <w:rPr>
                <w:b w:val="0"/>
              </w:rPr>
            </w:pPr>
            <w:r w:rsidRPr="003E4580">
              <w:t>Net Benefits ($)</w:t>
            </w:r>
          </w:p>
        </w:tc>
        <w:tc>
          <w:tcPr>
            <w:tcW w:w="674" w:type="pct"/>
          </w:tcPr>
          <w:p w14:paraId="55E5DD8A" w14:textId="2E4D3D3B" w:rsidR="0059592C" w:rsidRPr="003E4580" w:rsidRDefault="0059592C" w:rsidP="00724DC4">
            <w:pPr>
              <w:jc w:val="center"/>
              <w:cnfStyle w:val="100000000000" w:firstRow="1" w:lastRow="0" w:firstColumn="0" w:lastColumn="0" w:oddVBand="0" w:evenVBand="0" w:oddHBand="0" w:evenHBand="0" w:firstRowFirstColumn="0" w:firstRowLastColumn="0" w:lastRowFirstColumn="0" w:lastRowLastColumn="0"/>
            </w:pPr>
            <w:r w:rsidRPr="003E4580">
              <w:t>Cost to Business ($m)</w:t>
            </w:r>
          </w:p>
        </w:tc>
        <w:tc>
          <w:tcPr>
            <w:tcW w:w="639" w:type="pct"/>
          </w:tcPr>
          <w:p w14:paraId="6E70D757" w14:textId="081D6B66" w:rsidR="0059592C" w:rsidRPr="003E4580" w:rsidRDefault="0059592C" w:rsidP="00724DC4">
            <w:pPr>
              <w:jc w:val="center"/>
              <w:cnfStyle w:val="100000000000" w:firstRow="1" w:lastRow="0" w:firstColumn="0" w:lastColumn="0" w:oddVBand="0" w:evenVBand="0" w:oddHBand="0" w:evenHBand="0" w:firstRowFirstColumn="0" w:firstRowLastColumn="0" w:lastRowFirstColumn="0" w:lastRowLastColumn="0"/>
            </w:pPr>
            <w:r w:rsidRPr="003E4580">
              <w:t>Cost to Government ($m)</w:t>
            </w:r>
          </w:p>
        </w:tc>
        <w:tc>
          <w:tcPr>
            <w:tcW w:w="277" w:type="pct"/>
          </w:tcPr>
          <w:p w14:paraId="24F974EC" w14:textId="3CD54E4C" w:rsidR="0059592C" w:rsidRPr="003E4580" w:rsidRDefault="0059592C" w:rsidP="00724DC4">
            <w:pPr>
              <w:jc w:val="center"/>
              <w:cnfStyle w:val="100000000000" w:firstRow="1" w:lastRow="0" w:firstColumn="0" w:lastColumn="0" w:oddVBand="0" w:evenVBand="0" w:oddHBand="0" w:evenHBand="0" w:firstRowFirstColumn="0" w:firstRowLastColumn="0" w:lastRowFirstColumn="0" w:lastRowLastColumn="0"/>
            </w:pPr>
            <w:r w:rsidRPr="003E4580">
              <w:t>BCR</w:t>
            </w:r>
          </w:p>
        </w:tc>
        <w:tc>
          <w:tcPr>
            <w:tcW w:w="359" w:type="pct"/>
          </w:tcPr>
          <w:p w14:paraId="5089D52D" w14:textId="60FE8E33" w:rsidR="0059592C" w:rsidRPr="003E4580" w:rsidRDefault="0059592C" w:rsidP="00724DC4">
            <w:pPr>
              <w:jc w:val="center"/>
              <w:cnfStyle w:val="100000000000" w:firstRow="1" w:lastRow="0" w:firstColumn="0" w:lastColumn="0" w:oddVBand="0" w:evenVBand="0" w:oddHBand="0" w:evenHBand="0" w:firstRowFirstColumn="0" w:firstRowLastColumn="0" w:lastRowFirstColumn="0" w:lastRowLastColumn="0"/>
            </w:pPr>
            <w:r w:rsidRPr="003E4580">
              <w:t>Lives Saved</w:t>
            </w:r>
          </w:p>
        </w:tc>
        <w:tc>
          <w:tcPr>
            <w:tcW w:w="455" w:type="pct"/>
          </w:tcPr>
          <w:p w14:paraId="381AFCCF" w14:textId="6C9B4BE6" w:rsidR="0059592C" w:rsidRPr="003E4580" w:rsidRDefault="0059592C" w:rsidP="00724DC4">
            <w:pPr>
              <w:jc w:val="center"/>
              <w:cnfStyle w:val="100000000000" w:firstRow="1" w:lastRow="0" w:firstColumn="0" w:lastColumn="0" w:oddVBand="0" w:evenVBand="0" w:oddHBand="0" w:evenHBand="0" w:firstRowFirstColumn="0" w:firstRowLastColumn="0" w:lastRowFirstColumn="0" w:lastRowLastColumn="0"/>
            </w:pPr>
            <w:r w:rsidRPr="003E4580">
              <w:t>Serious Injuries Avoided</w:t>
            </w:r>
          </w:p>
        </w:tc>
        <w:tc>
          <w:tcPr>
            <w:tcW w:w="455" w:type="pct"/>
          </w:tcPr>
          <w:p w14:paraId="550B1C3C" w14:textId="2788D834" w:rsidR="0059592C" w:rsidRPr="003E4580" w:rsidRDefault="0059592C" w:rsidP="00724DC4">
            <w:pPr>
              <w:jc w:val="center"/>
              <w:cnfStyle w:val="100000000000" w:firstRow="1" w:lastRow="0" w:firstColumn="0" w:lastColumn="0" w:oddVBand="0" w:evenVBand="0" w:oddHBand="0" w:evenHBand="0" w:firstRowFirstColumn="0" w:firstRowLastColumn="0" w:lastRowFirstColumn="0" w:lastRowLastColumn="0"/>
            </w:pPr>
            <w:r w:rsidRPr="003E4580">
              <w:t>Minor Injuries Avoided</w:t>
            </w:r>
          </w:p>
        </w:tc>
      </w:tr>
      <w:tr w:rsidR="00E422D9" w:rsidRPr="003E4580" w14:paraId="0D89BC66" w14:textId="0D1F54EA" w:rsidTr="00E422D9">
        <w:tc>
          <w:tcPr>
            <w:cnfStyle w:val="001000000000" w:firstRow="0" w:lastRow="0" w:firstColumn="1" w:lastColumn="0" w:oddVBand="0" w:evenVBand="0" w:oddHBand="0" w:evenHBand="0" w:firstRowFirstColumn="0" w:firstRowLastColumn="0" w:lastRowFirstColumn="0" w:lastRowLastColumn="0"/>
            <w:tcW w:w="787" w:type="pct"/>
          </w:tcPr>
          <w:p w14:paraId="39967C36" w14:textId="2678CB00" w:rsidR="00E422D9" w:rsidRPr="003E4580" w:rsidRDefault="00E422D9" w:rsidP="00724DC4">
            <w:r w:rsidRPr="003E4580">
              <w:t>Best</w:t>
            </w:r>
          </w:p>
        </w:tc>
        <w:tc>
          <w:tcPr>
            <w:tcW w:w="898" w:type="pct"/>
            <w:vAlign w:val="center"/>
          </w:tcPr>
          <w:p w14:paraId="60539B09" w14:textId="44ECC4DF" w:rsidR="00E422D9" w:rsidRPr="003E4580" w:rsidRDefault="00E422D9" w:rsidP="00800E46">
            <w:pPr>
              <w:cnfStyle w:val="000000000000" w:firstRow="0" w:lastRow="0" w:firstColumn="0" w:lastColumn="0" w:oddVBand="0" w:evenVBand="0" w:oddHBand="0" w:evenHBand="0" w:firstRowFirstColumn="0" w:firstRowLastColumn="0" w:lastRowFirstColumn="0" w:lastRowLastColumn="0"/>
            </w:pPr>
          </w:p>
        </w:tc>
        <w:tc>
          <w:tcPr>
            <w:tcW w:w="455" w:type="pct"/>
          </w:tcPr>
          <w:p w14:paraId="026F9392" w14:textId="2EE47376" w:rsidR="00E422D9" w:rsidRPr="003E4580" w:rsidRDefault="00E422D9" w:rsidP="00724DC4">
            <w:pPr>
              <w:jc w:val="center"/>
              <w:cnfStyle w:val="000000000000" w:firstRow="0" w:lastRow="0" w:firstColumn="0" w:lastColumn="0" w:oddVBand="0" w:evenVBand="0" w:oddHBand="0" w:evenHBand="0" w:firstRowFirstColumn="0" w:firstRowLastColumn="0" w:lastRowFirstColumn="0" w:lastRowLastColumn="0"/>
            </w:pPr>
            <w:r w:rsidRPr="003E4580">
              <w:t>58</w:t>
            </w:r>
          </w:p>
        </w:tc>
        <w:tc>
          <w:tcPr>
            <w:tcW w:w="674" w:type="pct"/>
          </w:tcPr>
          <w:p w14:paraId="0D7CFFB7" w14:textId="3A6C30F4" w:rsidR="00E422D9" w:rsidRPr="003E4580" w:rsidRDefault="00E422D9" w:rsidP="00724DC4">
            <w:pPr>
              <w:jc w:val="center"/>
              <w:cnfStyle w:val="000000000000" w:firstRow="0" w:lastRow="0" w:firstColumn="0" w:lastColumn="0" w:oddVBand="0" w:evenVBand="0" w:oddHBand="0" w:evenHBand="0" w:firstRowFirstColumn="0" w:firstRowLastColumn="0" w:lastRowFirstColumn="0" w:lastRowLastColumn="0"/>
            </w:pPr>
            <w:r w:rsidRPr="003E4580">
              <w:t>$163</w:t>
            </w:r>
          </w:p>
        </w:tc>
        <w:tc>
          <w:tcPr>
            <w:tcW w:w="639" w:type="pct"/>
          </w:tcPr>
          <w:p w14:paraId="0F6AC163" w14:textId="5ABFA6C4" w:rsidR="00E422D9" w:rsidRPr="003E4580" w:rsidRDefault="00E422D9" w:rsidP="00724DC4">
            <w:pPr>
              <w:jc w:val="center"/>
              <w:cnfStyle w:val="000000000000" w:firstRow="0" w:lastRow="0" w:firstColumn="0" w:lastColumn="0" w:oddVBand="0" w:evenVBand="0" w:oddHBand="0" w:evenHBand="0" w:firstRowFirstColumn="0" w:firstRowLastColumn="0" w:lastRowFirstColumn="0" w:lastRowLastColumn="0"/>
            </w:pPr>
            <w:r w:rsidRPr="003E4580">
              <w:t>$0.5</w:t>
            </w:r>
          </w:p>
        </w:tc>
        <w:tc>
          <w:tcPr>
            <w:tcW w:w="277" w:type="pct"/>
          </w:tcPr>
          <w:p w14:paraId="793E20B2" w14:textId="0AFE7724" w:rsidR="00E422D9" w:rsidRPr="003E4580" w:rsidRDefault="00E422D9" w:rsidP="00724DC4">
            <w:pPr>
              <w:jc w:val="center"/>
              <w:cnfStyle w:val="000000000000" w:firstRow="0" w:lastRow="0" w:firstColumn="0" w:lastColumn="0" w:oddVBand="0" w:evenVBand="0" w:oddHBand="0" w:evenHBand="0" w:firstRowFirstColumn="0" w:firstRowLastColumn="0" w:lastRowFirstColumn="0" w:lastRowLastColumn="0"/>
            </w:pPr>
            <w:r w:rsidRPr="003E4580">
              <w:t>1.4</w:t>
            </w:r>
          </w:p>
        </w:tc>
        <w:tc>
          <w:tcPr>
            <w:tcW w:w="359" w:type="pct"/>
          </w:tcPr>
          <w:p w14:paraId="35CB598F" w14:textId="77777777" w:rsidR="00E422D9" w:rsidRPr="003E4580" w:rsidRDefault="00E422D9" w:rsidP="00724DC4">
            <w:pPr>
              <w:jc w:val="center"/>
              <w:cnfStyle w:val="000000000000" w:firstRow="0" w:lastRow="0" w:firstColumn="0" w:lastColumn="0" w:oddVBand="0" w:evenVBand="0" w:oddHBand="0" w:evenHBand="0" w:firstRowFirstColumn="0" w:firstRowLastColumn="0" w:lastRowFirstColumn="0" w:lastRowLastColumn="0"/>
            </w:pPr>
          </w:p>
        </w:tc>
        <w:tc>
          <w:tcPr>
            <w:tcW w:w="455" w:type="pct"/>
          </w:tcPr>
          <w:p w14:paraId="02010979" w14:textId="77777777" w:rsidR="00E422D9" w:rsidRPr="003E4580" w:rsidRDefault="00E422D9" w:rsidP="00724DC4">
            <w:pPr>
              <w:jc w:val="center"/>
              <w:cnfStyle w:val="000000000000" w:firstRow="0" w:lastRow="0" w:firstColumn="0" w:lastColumn="0" w:oddVBand="0" w:evenVBand="0" w:oddHBand="0" w:evenHBand="0" w:firstRowFirstColumn="0" w:firstRowLastColumn="0" w:lastRowFirstColumn="0" w:lastRowLastColumn="0"/>
            </w:pPr>
          </w:p>
        </w:tc>
        <w:tc>
          <w:tcPr>
            <w:tcW w:w="455" w:type="pct"/>
          </w:tcPr>
          <w:p w14:paraId="06094232" w14:textId="77777777" w:rsidR="00E422D9" w:rsidRPr="003E4580" w:rsidRDefault="00E422D9" w:rsidP="00724DC4">
            <w:pPr>
              <w:jc w:val="center"/>
              <w:cnfStyle w:val="000000000000" w:firstRow="0" w:lastRow="0" w:firstColumn="0" w:lastColumn="0" w:oddVBand="0" w:evenVBand="0" w:oddHBand="0" w:evenHBand="0" w:firstRowFirstColumn="0" w:firstRowLastColumn="0" w:lastRowFirstColumn="0" w:lastRowLastColumn="0"/>
            </w:pPr>
          </w:p>
        </w:tc>
      </w:tr>
      <w:tr w:rsidR="00E422D9" w:rsidRPr="003E4580" w14:paraId="15745212" w14:textId="2C3D1995" w:rsidTr="00E4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14:paraId="780D48D4" w14:textId="5CD9F5F3" w:rsidR="00E422D9" w:rsidRPr="003E4580" w:rsidRDefault="00E422D9" w:rsidP="00724DC4">
            <w:r w:rsidRPr="003E4580">
              <w:t>Likely</w:t>
            </w:r>
          </w:p>
        </w:tc>
        <w:tc>
          <w:tcPr>
            <w:tcW w:w="898" w:type="pct"/>
          </w:tcPr>
          <w:p w14:paraId="4468E6CF" w14:textId="5376A39F" w:rsidR="00E422D9" w:rsidRPr="003E4580" w:rsidRDefault="00E422D9" w:rsidP="00724DC4">
            <w:pPr>
              <w:jc w:val="center"/>
              <w:cnfStyle w:val="000000010000" w:firstRow="0" w:lastRow="0" w:firstColumn="0" w:lastColumn="0" w:oddVBand="0" w:evenVBand="0" w:oddHBand="0" w:evenHBand="1" w:firstRowFirstColumn="0" w:firstRowLastColumn="0" w:lastRowFirstColumn="0" w:lastRowLastColumn="0"/>
            </w:pPr>
            <w:r w:rsidRPr="003E4580">
              <w:t>221</w:t>
            </w:r>
          </w:p>
        </w:tc>
        <w:tc>
          <w:tcPr>
            <w:tcW w:w="455" w:type="pct"/>
          </w:tcPr>
          <w:p w14:paraId="076B6EFD" w14:textId="4E114431" w:rsidR="00E422D9" w:rsidRPr="003E4580" w:rsidRDefault="00E422D9" w:rsidP="00724DC4">
            <w:pPr>
              <w:jc w:val="center"/>
              <w:cnfStyle w:val="000000010000" w:firstRow="0" w:lastRow="0" w:firstColumn="0" w:lastColumn="0" w:oddVBand="0" w:evenVBand="0" w:oddHBand="0" w:evenHBand="1" w:firstRowFirstColumn="0" w:firstRowLastColumn="0" w:lastRowFirstColumn="0" w:lastRowLastColumn="0"/>
            </w:pPr>
            <w:r w:rsidRPr="003E4580">
              <w:t>17</w:t>
            </w:r>
          </w:p>
        </w:tc>
        <w:tc>
          <w:tcPr>
            <w:tcW w:w="674" w:type="pct"/>
          </w:tcPr>
          <w:p w14:paraId="3F8DA6F1" w14:textId="5098972E" w:rsidR="00E422D9" w:rsidRPr="003E4580" w:rsidRDefault="00E422D9" w:rsidP="00724DC4">
            <w:pPr>
              <w:jc w:val="center"/>
              <w:cnfStyle w:val="000000010000" w:firstRow="0" w:lastRow="0" w:firstColumn="0" w:lastColumn="0" w:oddVBand="0" w:evenVBand="0" w:oddHBand="0" w:evenHBand="1" w:firstRowFirstColumn="0" w:firstRowLastColumn="0" w:lastRowFirstColumn="0" w:lastRowLastColumn="0"/>
            </w:pPr>
            <w:r w:rsidRPr="003E4580">
              <w:t>$204</w:t>
            </w:r>
          </w:p>
        </w:tc>
        <w:tc>
          <w:tcPr>
            <w:tcW w:w="639" w:type="pct"/>
          </w:tcPr>
          <w:p w14:paraId="384A4CE2" w14:textId="369AD5CA" w:rsidR="00E422D9" w:rsidRPr="003E4580" w:rsidRDefault="00E422D9" w:rsidP="00724DC4">
            <w:pPr>
              <w:jc w:val="center"/>
              <w:cnfStyle w:val="000000010000" w:firstRow="0" w:lastRow="0" w:firstColumn="0" w:lastColumn="0" w:oddVBand="0" w:evenVBand="0" w:oddHBand="0" w:evenHBand="1" w:firstRowFirstColumn="0" w:firstRowLastColumn="0" w:lastRowFirstColumn="0" w:lastRowLastColumn="0"/>
            </w:pPr>
            <w:r w:rsidRPr="003E4580">
              <w:t>$0.5</w:t>
            </w:r>
          </w:p>
        </w:tc>
        <w:tc>
          <w:tcPr>
            <w:tcW w:w="277" w:type="pct"/>
          </w:tcPr>
          <w:p w14:paraId="482B38FD" w14:textId="4EDD7FA0" w:rsidR="00E422D9" w:rsidRPr="003E4580" w:rsidRDefault="00E422D9" w:rsidP="00724DC4">
            <w:pPr>
              <w:jc w:val="center"/>
              <w:cnfStyle w:val="000000010000" w:firstRow="0" w:lastRow="0" w:firstColumn="0" w:lastColumn="0" w:oddVBand="0" w:evenVBand="0" w:oddHBand="0" w:evenHBand="1" w:firstRowFirstColumn="0" w:firstRowLastColumn="0" w:lastRowFirstColumn="0" w:lastRowLastColumn="0"/>
            </w:pPr>
            <w:r w:rsidRPr="003E4580">
              <w:t>1.1</w:t>
            </w:r>
          </w:p>
        </w:tc>
        <w:tc>
          <w:tcPr>
            <w:tcW w:w="359" w:type="pct"/>
          </w:tcPr>
          <w:p w14:paraId="4DF78C0D" w14:textId="50BD420B" w:rsidR="00E422D9" w:rsidRPr="003E4580" w:rsidRDefault="00E422D9" w:rsidP="00724DC4">
            <w:pPr>
              <w:jc w:val="center"/>
              <w:cnfStyle w:val="000000010000" w:firstRow="0" w:lastRow="0" w:firstColumn="0" w:lastColumn="0" w:oddVBand="0" w:evenVBand="0" w:oddHBand="0" w:evenHBand="1" w:firstRowFirstColumn="0" w:firstRowLastColumn="0" w:lastRowFirstColumn="0" w:lastRowLastColumn="0"/>
            </w:pPr>
            <w:r w:rsidRPr="003E4580">
              <w:t>63</w:t>
            </w:r>
          </w:p>
        </w:tc>
        <w:tc>
          <w:tcPr>
            <w:tcW w:w="455" w:type="pct"/>
          </w:tcPr>
          <w:p w14:paraId="164A072A" w14:textId="52C0B7CF" w:rsidR="00E422D9" w:rsidRPr="003E4580" w:rsidRDefault="00E422D9" w:rsidP="00724DC4">
            <w:pPr>
              <w:jc w:val="center"/>
              <w:cnfStyle w:val="000000010000" w:firstRow="0" w:lastRow="0" w:firstColumn="0" w:lastColumn="0" w:oddVBand="0" w:evenVBand="0" w:oddHBand="0" w:evenHBand="1" w:firstRowFirstColumn="0" w:firstRowLastColumn="0" w:lastRowFirstColumn="0" w:lastRowLastColumn="0"/>
            </w:pPr>
            <w:r w:rsidRPr="003E4580">
              <w:t>1,732</w:t>
            </w:r>
          </w:p>
        </w:tc>
        <w:tc>
          <w:tcPr>
            <w:tcW w:w="455" w:type="pct"/>
          </w:tcPr>
          <w:p w14:paraId="3F0B436B" w14:textId="1F98587D" w:rsidR="00E422D9" w:rsidRPr="003E4580" w:rsidRDefault="00E422D9" w:rsidP="00724DC4">
            <w:pPr>
              <w:jc w:val="center"/>
              <w:cnfStyle w:val="000000010000" w:firstRow="0" w:lastRow="0" w:firstColumn="0" w:lastColumn="0" w:oddVBand="0" w:evenVBand="0" w:oddHBand="0" w:evenHBand="1" w:firstRowFirstColumn="0" w:firstRowLastColumn="0" w:lastRowFirstColumn="0" w:lastRowLastColumn="0"/>
            </w:pPr>
            <w:r w:rsidRPr="003E4580">
              <w:t>5,389</w:t>
            </w:r>
          </w:p>
        </w:tc>
      </w:tr>
      <w:tr w:rsidR="00F8546C" w:rsidRPr="003E4580" w14:paraId="6B9146EB" w14:textId="2E2634FE" w:rsidTr="00DE0B5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14:paraId="2A7D3975" w14:textId="239F3F11" w:rsidR="0059592C" w:rsidRPr="003E4580" w:rsidRDefault="00C20504" w:rsidP="00724DC4">
            <w:r w:rsidRPr="003E4580">
              <w:t>Worst</w:t>
            </w:r>
          </w:p>
        </w:tc>
        <w:tc>
          <w:tcPr>
            <w:tcW w:w="898" w:type="pct"/>
          </w:tcPr>
          <w:p w14:paraId="21120AD5" w14:textId="50B6021B" w:rsidR="0059592C" w:rsidRPr="003E4580" w:rsidRDefault="0059592C" w:rsidP="00724DC4">
            <w:pPr>
              <w:jc w:val="center"/>
              <w:cnfStyle w:val="010000000000" w:firstRow="0" w:lastRow="1" w:firstColumn="0" w:lastColumn="0" w:oddVBand="0" w:evenVBand="0" w:oddHBand="0" w:evenHBand="0" w:firstRowFirstColumn="0" w:firstRowLastColumn="0" w:lastRowFirstColumn="0" w:lastRowLastColumn="0"/>
              <w:rPr>
                <w:b w:val="0"/>
              </w:rPr>
            </w:pPr>
          </w:p>
        </w:tc>
        <w:tc>
          <w:tcPr>
            <w:tcW w:w="455" w:type="pct"/>
          </w:tcPr>
          <w:p w14:paraId="4C36523D" w14:textId="04FF8D94" w:rsidR="0059592C" w:rsidRPr="003E4580" w:rsidRDefault="00800E46"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-23</w:t>
            </w:r>
          </w:p>
        </w:tc>
        <w:tc>
          <w:tcPr>
            <w:tcW w:w="674" w:type="pct"/>
          </w:tcPr>
          <w:p w14:paraId="5AFDC53A" w14:textId="72AC0669" w:rsidR="0059592C" w:rsidRPr="003E4580" w:rsidRDefault="00F8546C"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$244</w:t>
            </w:r>
          </w:p>
        </w:tc>
        <w:tc>
          <w:tcPr>
            <w:tcW w:w="639" w:type="pct"/>
          </w:tcPr>
          <w:p w14:paraId="54841E75" w14:textId="13284BE6" w:rsidR="0059592C" w:rsidRPr="003E4580" w:rsidRDefault="00C20504"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w:t>
            </w:r>
            <w:r w:rsidR="00800E46" w:rsidRPr="003E4580">
              <w:rPr>
                <w:b w:val="0"/>
              </w:rPr>
              <w:t>0.5</w:t>
            </w:r>
          </w:p>
        </w:tc>
        <w:tc>
          <w:tcPr>
            <w:tcW w:w="277" w:type="pct"/>
          </w:tcPr>
          <w:p w14:paraId="60717F4F" w14:textId="61A14668" w:rsidR="0059592C" w:rsidRPr="003E4580" w:rsidRDefault="00C20504"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0.9</w:t>
            </w:r>
          </w:p>
        </w:tc>
        <w:tc>
          <w:tcPr>
            <w:tcW w:w="359" w:type="pct"/>
          </w:tcPr>
          <w:p w14:paraId="0FBFCB46" w14:textId="77777777" w:rsidR="0059592C" w:rsidRPr="003E4580" w:rsidRDefault="0059592C" w:rsidP="00724DC4">
            <w:pPr>
              <w:jc w:val="center"/>
              <w:cnfStyle w:val="010000000000" w:firstRow="0" w:lastRow="1" w:firstColumn="0" w:lastColumn="0" w:oddVBand="0" w:evenVBand="0" w:oddHBand="0" w:evenHBand="0" w:firstRowFirstColumn="0" w:firstRowLastColumn="0" w:lastRowFirstColumn="0" w:lastRowLastColumn="0"/>
              <w:rPr>
                <w:b w:val="0"/>
              </w:rPr>
            </w:pPr>
          </w:p>
        </w:tc>
        <w:tc>
          <w:tcPr>
            <w:tcW w:w="455" w:type="pct"/>
          </w:tcPr>
          <w:p w14:paraId="263E1E3E" w14:textId="77777777" w:rsidR="0059592C" w:rsidRPr="003E4580" w:rsidRDefault="0059592C" w:rsidP="00724DC4">
            <w:pPr>
              <w:jc w:val="center"/>
              <w:cnfStyle w:val="010000000000" w:firstRow="0" w:lastRow="1" w:firstColumn="0" w:lastColumn="0" w:oddVBand="0" w:evenVBand="0" w:oddHBand="0" w:evenHBand="0" w:firstRowFirstColumn="0" w:firstRowLastColumn="0" w:lastRowFirstColumn="0" w:lastRowLastColumn="0"/>
              <w:rPr>
                <w:b w:val="0"/>
              </w:rPr>
            </w:pPr>
          </w:p>
        </w:tc>
        <w:tc>
          <w:tcPr>
            <w:tcW w:w="455" w:type="pct"/>
          </w:tcPr>
          <w:p w14:paraId="0ACBB4F1" w14:textId="77777777" w:rsidR="0059592C" w:rsidRPr="003E4580" w:rsidRDefault="0059592C" w:rsidP="00724DC4">
            <w:pPr>
              <w:jc w:val="center"/>
              <w:cnfStyle w:val="010000000000" w:firstRow="0" w:lastRow="1" w:firstColumn="0" w:lastColumn="0" w:oddVBand="0" w:evenVBand="0" w:oddHBand="0" w:evenHBand="0" w:firstRowFirstColumn="0" w:firstRowLastColumn="0" w:lastRowFirstColumn="0" w:lastRowLastColumn="0"/>
              <w:rPr>
                <w:b w:val="0"/>
              </w:rPr>
            </w:pPr>
          </w:p>
        </w:tc>
      </w:tr>
    </w:tbl>
    <w:p w14:paraId="1BEBFB47" w14:textId="3B18B43E" w:rsidR="00DE0B50" w:rsidRPr="003E4580" w:rsidRDefault="00DE0B50" w:rsidP="00DE0B50">
      <w:pPr>
        <w:pStyle w:val="Caption"/>
        <w:keepNext/>
      </w:pPr>
      <w:bookmarkStart w:id="50" w:name="_Toc136912401"/>
      <w:r w:rsidRPr="003E4580">
        <w:t xml:space="preserve">Table </w:t>
      </w:r>
      <w:r w:rsidR="00BF64CF">
        <w:fldChar w:fldCharType="begin"/>
      </w:r>
      <w:r w:rsidR="00BF64CF">
        <w:instrText xml:space="preserve"> SEQ Table \* ARABIC </w:instrText>
      </w:r>
      <w:r w:rsidR="00BF64CF">
        <w:fldChar w:fldCharType="separate"/>
      </w:r>
      <w:r w:rsidR="002E4782" w:rsidRPr="003E4580">
        <w:rPr>
          <w:noProof/>
        </w:rPr>
        <w:t>8</w:t>
      </w:r>
      <w:r w:rsidR="00BF64CF">
        <w:rPr>
          <w:noProof/>
        </w:rPr>
        <w:fldChar w:fldCharType="end"/>
      </w:r>
      <w:r w:rsidRPr="003E4580">
        <w:t>: Summary of Final IA Benefit-Cost Analysis Results</w:t>
      </w:r>
      <w:r w:rsidR="00853363" w:rsidRPr="003E4580">
        <w:t xml:space="preserve"> June 2023</w:t>
      </w:r>
      <w:bookmarkEnd w:id="50"/>
    </w:p>
    <w:tbl>
      <w:tblPr>
        <w:tblStyle w:val="DefaultTable1"/>
        <w:tblW w:w="5000" w:type="pct"/>
        <w:tblLook w:val="04E0" w:firstRow="1" w:lastRow="1" w:firstColumn="1" w:lastColumn="0" w:noHBand="0" w:noVBand="1"/>
        <w:tblCaption w:val="Sample table"/>
        <w:tblDescription w:val="Sample table"/>
      </w:tblPr>
      <w:tblGrid>
        <w:gridCol w:w="1552"/>
        <w:gridCol w:w="1772"/>
        <w:gridCol w:w="898"/>
        <w:gridCol w:w="1330"/>
        <w:gridCol w:w="1261"/>
        <w:gridCol w:w="547"/>
        <w:gridCol w:w="708"/>
        <w:gridCol w:w="898"/>
        <w:gridCol w:w="898"/>
      </w:tblGrid>
      <w:tr w:rsidR="001E56E8" w:rsidRPr="003E4580" w14:paraId="7D891F95" w14:textId="77777777" w:rsidTr="00DE0B50">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87" w:type="pct"/>
          </w:tcPr>
          <w:p w14:paraId="11C688A0" w14:textId="77777777" w:rsidR="001E56E8" w:rsidRPr="003E4580" w:rsidRDefault="001E56E8" w:rsidP="00947F8C">
            <w:r w:rsidRPr="003E4580">
              <w:t>Case</w:t>
            </w:r>
          </w:p>
        </w:tc>
        <w:tc>
          <w:tcPr>
            <w:tcW w:w="898" w:type="pct"/>
          </w:tcPr>
          <w:p w14:paraId="08741D8C" w14:textId="77777777" w:rsidR="001E56E8" w:rsidRPr="003E4580" w:rsidRDefault="001E56E8" w:rsidP="00947F8C">
            <w:pPr>
              <w:jc w:val="center"/>
              <w:cnfStyle w:val="100000000000" w:firstRow="1" w:lastRow="0" w:firstColumn="0" w:lastColumn="0" w:oddVBand="0" w:evenVBand="0" w:oddHBand="0" w:evenHBand="0" w:firstRowFirstColumn="0" w:firstRowLastColumn="0" w:lastRowFirstColumn="0" w:lastRowLastColumn="0"/>
            </w:pPr>
            <w:r w:rsidRPr="003E4580">
              <w:t>Gross Benefits ($m)</w:t>
            </w:r>
          </w:p>
        </w:tc>
        <w:tc>
          <w:tcPr>
            <w:tcW w:w="455" w:type="pct"/>
          </w:tcPr>
          <w:p w14:paraId="699E38E8" w14:textId="77777777" w:rsidR="001E56E8" w:rsidRPr="003E4580" w:rsidRDefault="001E56E8" w:rsidP="00947F8C">
            <w:pPr>
              <w:jc w:val="center"/>
              <w:cnfStyle w:val="100000000000" w:firstRow="1" w:lastRow="0" w:firstColumn="0" w:lastColumn="0" w:oddVBand="0" w:evenVBand="0" w:oddHBand="0" w:evenHBand="0" w:firstRowFirstColumn="0" w:firstRowLastColumn="0" w:lastRowFirstColumn="0" w:lastRowLastColumn="0"/>
              <w:rPr>
                <w:b w:val="0"/>
              </w:rPr>
            </w:pPr>
            <w:r w:rsidRPr="003E4580">
              <w:t>Net Benefits ($)</w:t>
            </w:r>
          </w:p>
        </w:tc>
        <w:tc>
          <w:tcPr>
            <w:tcW w:w="674" w:type="pct"/>
          </w:tcPr>
          <w:p w14:paraId="75FA0D32" w14:textId="77777777" w:rsidR="001E56E8" w:rsidRPr="003E4580" w:rsidRDefault="001E56E8" w:rsidP="00947F8C">
            <w:pPr>
              <w:jc w:val="center"/>
              <w:cnfStyle w:val="100000000000" w:firstRow="1" w:lastRow="0" w:firstColumn="0" w:lastColumn="0" w:oddVBand="0" w:evenVBand="0" w:oddHBand="0" w:evenHBand="0" w:firstRowFirstColumn="0" w:firstRowLastColumn="0" w:lastRowFirstColumn="0" w:lastRowLastColumn="0"/>
            </w:pPr>
            <w:r w:rsidRPr="003E4580">
              <w:t>Cost to Business ($m)</w:t>
            </w:r>
          </w:p>
        </w:tc>
        <w:tc>
          <w:tcPr>
            <w:tcW w:w="639" w:type="pct"/>
          </w:tcPr>
          <w:p w14:paraId="14D92D1B" w14:textId="77777777" w:rsidR="001E56E8" w:rsidRPr="003E4580" w:rsidRDefault="001E56E8" w:rsidP="00947F8C">
            <w:pPr>
              <w:jc w:val="center"/>
              <w:cnfStyle w:val="100000000000" w:firstRow="1" w:lastRow="0" w:firstColumn="0" w:lastColumn="0" w:oddVBand="0" w:evenVBand="0" w:oddHBand="0" w:evenHBand="0" w:firstRowFirstColumn="0" w:firstRowLastColumn="0" w:lastRowFirstColumn="0" w:lastRowLastColumn="0"/>
            </w:pPr>
            <w:r w:rsidRPr="003E4580">
              <w:t>Cost to Government ($m)</w:t>
            </w:r>
          </w:p>
        </w:tc>
        <w:tc>
          <w:tcPr>
            <w:tcW w:w="277" w:type="pct"/>
          </w:tcPr>
          <w:p w14:paraId="6AA414AF" w14:textId="77777777" w:rsidR="001E56E8" w:rsidRPr="003E4580" w:rsidRDefault="001E56E8" w:rsidP="00947F8C">
            <w:pPr>
              <w:jc w:val="center"/>
              <w:cnfStyle w:val="100000000000" w:firstRow="1" w:lastRow="0" w:firstColumn="0" w:lastColumn="0" w:oddVBand="0" w:evenVBand="0" w:oddHBand="0" w:evenHBand="0" w:firstRowFirstColumn="0" w:firstRowLastColumn="0" w:lastRowFirstColumn="0" w:lastRowLastColumn="0"/>
            </w:pPr>
            <w:r w:rsidRPr="003E4580">
              <w:t>BCR</w:t>
            </w:r>
          </w:p>
        </w:tc>
        <w:tc>
          <w:tcPr>
            <w:tcW w:w="359" w:type="pct"/>
          </w:tcPr>
          <w:p w14:paraId="33BA8066" w14:textId="77777777" w:rsidR="001E56E8" w:rsidRPr="003E4580" w:rsidRDefault="001E56E8" w:rsidP="00947F8C">
            <w:pPr>
              <w:jc w:val="center"/>
              <w:cnfStyle w:val="100000000000" w:firstRow="1" w:lastRow="0" w:firstColumn="0" w:lastColumn="0" w:oddVBand="0" w:evenVBand="0" w:oddHBand="0" w:evenHBand="0" w:firstRowFirstColumn="0" w:firstRowLastColumn="0" w:lastRowFirstColumn="0" w:lastRowLastColumn="0"/>
            </w:pPr>
            <w:r w:rsidRPr="003E4580">
              <w:t>Lives Saved</w:t>
            </w:r>
          </w:p>
        </w:tc>
        <w:tc>
          <w:tcPr>
            <w:tcW w:w="455" w:type="pct"/>
          </w:tcPr>
          <w:p w14:paraId="14DCA871" w14:textId="77777777" w:rsidR="001E56E8" w:rsidRPr="003E4580" w:rsidRDefault="001E56E8" w:rsidP="00947F8C">
            <w:pPr>
              <w:jc w:val="center"/>
              <w:cnfStyle w:val="100000000000" w:firstRow="1" w:lastRow="0" w:firstColumn="0" w:lastColumn="0" w:oddVBand="0" w:evenVBand="0" w:oddHBand="0" w:evenHBand="0" w:firstRowFirstColumn="0" w:firstRowLastColumn="0" w:lastRowFirstColumn="0" w:lastRowLastColumn="0"/>
            </w:pPr>
            <w:r w:rsidRPr="003E4580">
              <w:t>Serious Injuries Avoided</w:t>
            </w:r>
          </w:p>
        </w:tc>
        <w:tc>
          <w:tcPr>
            <w:tcW w:w="455" w:type="pct"/>
          </w:tcPr>
          <w:p w14:paraId="7036B34A" w14:textId="77777777" w:rsidR="001E56E8" w:rsidRPr="003E4580" w:rsidRDefault="001E56E8" w:rsidP="00947F8C">
            <w:pPr>
              <w:jc w:val="center"/>
              <w:cnfStyle w:val="100000000000" w:firstRow="1" w:lastRow="0" w:firstColumn="0" w:lastColumn="0" w:oddVBand="0" w:evenVBand="0" w:oddHBand="0" w:evenHBand="0" w:firstRowFirstColumn="0" w:firstRowLastColumn="0" w:lastRowFirstColumn="0" w:lastRowLastColumn="0"/>
            </w:pPr>
            <w:r w:rsidRPr="003E4580">
              <w:t>Minor Injuries Avoided</w:t>
            </w:r>
          </w:p>
        </w:tc>
      </w:tr>
      <w:tr w:rsidR="00E422D9" w:rsidRPr="003E4580" w14:paraId="28C6F816" w14:textId="77777777" w:rsidTr="00E422D9">
        <w:tc>
          <w:tcPr>
            <w:cnfStyle w:val="001000000000" w:firstRow="0" w:lastRow="0" w:firstColumn="1" w:lastColumn="0" w:oddVBand="0" w:evenVBand="0" w:oddHBand="0" w:evenHBand="0" w:firstRowFirstColumn="0" w:firstRowLastColumn="0" w:lastRowFirstColumn="0" w:lastRowLastColumn="0"/>
            <w:tcW w:w="787" w:type="pct"/>
          </w:tcPr>
          <w:p w14:paraId="108D8128" w14:textId="77777777" w:rsidR="00E422D9" w:rsidRPr="003E4580" w:rsidRDefault="00E422D9" w:rsidP="00947F8C">
            <w:r w:rsidRPr="003E4580">
              <w:t>Best</w:t>
            </w:r>
          </w:p>
        </w:tc>
        <w:tc>
          <w:tcPr>
            <w:tcW w:w="898" w:type="pct"/>
            <w:vAlign w:val="center"/>
          </w:tcPr>
          <w:p w14:paraId="1C444622" w14:textId="77777777" w:rsidR="00E422D9" w:rsidRPr="003E4580" w:rsidRDefault="00E422D9" w:rsidP="00947F8C">
            <w:pPr>
              <w:cnfStyle w:val="000000000000" w:firstRow="0" w:lastRow="0" w:firstColumn="0" w:lastColumn="0" w:oddVBand="0" w:evenVBand="0" w:oddHBand="0" w:evenHBand="0" w:firstRowFirstColumn="0" w:firstRowLastColumn="0" w:lastRowFirstColumn="0" w:lastRowLastColumn="0"/>
            </w:pPr>
          </w:p>
        </w:tc>
        <w:tc>
          <w:tcPr>
            <w:tcW w:w="455" w:type="pct"/>
          </w:tcPr>
          <w:p w14:paraId="02435927" w14:textId="3A96C18B" w:rsidR="00E422D9" w:rsidRPr="003E4580" w:rsidRDefault="00E422D9" w:rsidP="00947F8C">
            <w:pPr>
              <w:jc w:val="center"/>
              <w:cnfStyle w:val="000000000000" w:firstRow="0" w:lastRow="0" w:firstColumn="0" w:lastColumn="0" w:oddVBand="0" w:evenVBand="0" w:oddHBand="0" w:evenHBand="0" w:firstRowFirstColumn="0" w:firstRowLastColumn="0" w:lastRowFirstColumn="0" w:lastRowLastColumn="0"/>
            </w:pPr>
            <w:r w:rsidRPr="003E4580">
              <w:t>82</w:t>
            </w:r>
          </w:p>
        </w:tc>
        <w:tc>
          <w:tcPr>
            <w:tcW w:w="674" w:type="pct"/>
          </w:tcPr>
          <w:p w14:paraId="6CBFD5A0" w14:textId="370A3095" w:rsidR="00E422D9" w:rsidRPr="003E4580" w:rsidRDefault="00E422D9" w:rsidP="00947F8C">
            <w:pPr>
              <w:jc w:val="center"/>
              <w:cnfStyle w:val="000000000000" w:firstRow="0" w:lastRow="0" w:firstColumn="0" w:lastColumn="0" w:oddVBand="0" w:evenVBand="0" w:oddHBand="0" w:evenHBand="0" w:firstRowFirstColumn="0" w:firstRowLastColumn="0" w:lastRowFirstColumn="0" w:lastRowLastColumn="0"/>
            </w:pPr>
            <w:r w:rsidRPr="003E4580">
              <w:t>$139</w:t>
            </w:r>
          </w:p>
        </w:tc>
        <w:tc>
          <w:tcPr>
            <w:tcW w:w="639" w:type="pct"/>
          </w:tcPr>
          <w:p w14:paraId="16735EA1" w14:textId="77777777" w:rsidR="00E422D9" w:rsidRPr="003E4580" w:rsidRDefault="00E422D9" w:rsidP="00947F8C">
            <w:pPr>
              <w:jc w:val="center"/>
              <w:cnfStyle w:val="000000000000" w:firstRow="0" w:lastRow="0" w:firstColumn="0" w:lastColumn="0" w:oddVBand="0" w:evenVBand="0" w:oddHBand="0" w:evenHBand="0" w:firstRowFirstColumn="0" w:firstRowLastColumn="0" w:lastRowFirstColumn="0" w:lastRowLastColumn="0"/>
            </w:pPr>
            <w:r w:rsidRPr="003E4580">
              <w:t>$0.5</w:t>
            </w:r>
          </w:p>
        </w:tc>
        <w:tc>
          <w:tcPr>
            <w:tcW w:w="277" w:type="pct"/>
          </w:tcPr>
          <w:p w14:paraId="63020880" w14:textId="21E276C9" w:rsidR="00E422D9" w:rsidRPr="003E4580" w:rsidRDefault="00E422D9" w:rsidP="00947F8C">
            <w:pPr>
              <w:jc w:val="center"/>
              <w:cnfStyle w:val="000000000000" w:firstRow="0" w:lastRow="0" w:firstColumn="0" w:lastColumn="0" w:oddVBand="0" w:evenVBand="0" w:oddHBand="0" w:evenHBand="0" w:firstRowFirstColumn="0" w:firstRowLastColumn="0" w:lastRowFirstColumn="0" w:lastRowLastColumn="0"/>
            </w:pPr>
            <w:r w:rsidRPr="003E4580">
              <w:t>1.6</w:t>
            </w:r>
          </w:p>
        </w:tc>
        <w:tc>
          <w:tcPr>
            <w:tcW w:w="359" w:type="pct"/>
          </w:tcPr>
          <w:p w14:paraId="600CF150" w14:textId="77777777" w:rsidR="00E422D9" w:rsidRPr="003E4580" w:rsidRDefault="00E422D9" w:rsidP="00947F8C">
            <w:pPr>
              <w:jc w:val="center"/>
              <w:cnfStyle w:val="000000000000" w:firstRow="0" w:lastRow="0" w:firstColumn="0" w:lastColumn="0" w:oddVBand="0" w:evenVBand="0" w:oddHBand="0" w:evenHBand="0" w:firstRowFirstColumn="0" w:firstRowLastColumn="0" w:lastRowFirstColumn="0" w:lastRowLastColumn="0"/>
            </w:pPr>
          </w:p>
        </w:tc>
        <w:tc>
          <w:tcPr>
            <w:tcW w:w="455" w:type="pct"/>
          </w:tcPr>
          <w:p w14:paraId="6B926998" w14:textId="77777777" w:rsidR="00E422D9" w:rsidRPr="003E4580" w:rsidRDefault="00E422D9" w:rsidP="00947F8C">
            <w:pPr>
              <w:jc w:val="center"/>
              <w:cnfStyle w:val="000000000000" w:firstRow="0" w:lastRow="0" w:firstColumn="0" w:lastColumn="0" w:oddVBand="0" w:evenVBand="0" w:oddHBand="0" w:evenHBand="0" w:firstRowFirstColumn="0" w:firstRowLastColumn="0" w:lastRowFirstColumn="0" w:lastRowLastColumn="0"/>
            </w:pPr>
          </w:p>
        </w:tc>
        <w:tc>
          <w:tcPr>
            <w:tcW w:w="455" w:type="pct"/>
          </w:tcPr>
          <w:p w14:paraId="6AE9DCC2" w14:textId="77777777" w:rsidR="00E422D9" w:rsidRPr="003E4580" w:rsidRDefault="00E422D9" w:rsidP="00947F8C">
            <w:pPr>
              <w:jc w:val="center"/>
              <w:cnfStyle w:val="000000000000" w:firstRow="0" w:lastRow="0" w:firstColumn="0" w:lastColumn="0" w:oddVBand="0" w:evenVBand="0" w:oddHBand="0" w:evenHBand="0" w:firstRowFirstColumn="0" w:firstRowLastColumn="0" w:lastRowFirstColumn="0" w:lastRowLastColumn="0"/>
            </w:pPr>
          </w:p>
        </w:tc>
      </w:tr>
      <w:tr w:rsidR="00E422D9" w:rsidRPr="003E4580" w14:paraId="35697135" w14:textId="77777777" w:rsidTr="00E4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14:paraId="74283656" w14:textId="77777777" w:rsidR="00E422D9" w:rsidRPr="003E4580" w:rsidRDefault="00E422D9" w:rsidP="00947F8C">
            <w:r w:rsidRPr="003E4580">
              <w:t>Likely</w:t>
            </w:r>
          </w:p>
        </w:tc>
        <w:tc>
          <w:tcPr>
            <w:tcW w:w="898" w:type="pct"/>
          </w:tcPr>
          <w:p w14:paraId="340A443A" w14:textId="0BABAA27" w:rsidR="00E422D9" w:rsidRPr="003E4580" w:rsidRDefault="00E422D9" w:rsidP="00947F8C">
            <w:pPr>
              <w:jc w:val="center"/>
              <w:cnfStyle w:val="000000010000" w:firstRow="0" w:lastRow="0" w:firstColumn="0" w:lastColumn="0" w:oddVBand="0" w:evenVBand="0" w:oddHBand="0" w:evenHBand="1" w:firstRowFirstColumn="0" w:firstRowLastColumn="0" w:lastRowFirstColumn="0" w:lastRowLastColumn="0"/>
            </w:pPr>
            <w:r w:rsidRPr="003E4580">
              <w:t>221</w:t>
            </w:r>
          </w:p>
        </w:tc>
        <w:tc>
          <w:tcPr>
            <w:tcW w:w="455" w:type="pct"/>
          </w:tcPr>
          <w:p w14:paraId="08E82FA1" w14:textId="47CE0267" w:rsidR="00E422D9" w:rsidRPr="003E4580" w:rsidRDefault="00E422D9" w:rsidP="00947F8C">
            <w:pPr>
              <w:jc w:val="center"/>
              <w:cnfStyle w:val="000000010000" w:firstRow="0" w:lastRow="0" w:firstColumn="0" w:lastColumn="0" w:oddVBand="0" w:evenVBand="0" w:oddHBand="0" w:evenHBand="1" w:firstRowFirstColumn="0" w:firstRowLastColumn="0" w:lastRowFirstColumn="0" w:lastRowLastColumn="0"/>
            </w:pPr>
            <w:r w:rsidRPr="003E4580">
              <w:t>5</w:t>
            </w:r>
          </w:p>
        </w:tc>
        <w:tc>
          <w:tcPr>
            <w:tcW w:w="674" w:type="pct"/>
          </w:tcPr>
          <w:p w14:paraId="4E77DCB3" w14:textId="6B284208" w:rsidR="00E422D9" w:rsidRPr="003E4580" w:rsidRDefault="00E422D9" w:rsidP="00947F8C">
            <w:pPr>
              <w:jc w:val="center"/>
              <w:cnfStyle w:val="000000010000" w:firstRow="0" w:lastRow="0" w:firstColumn="0" w:lastColumn="0" w:oddVBand="0" w:evenVBand="0" w:oddHBand="0" w:evenHBand="1" w:firstRowFirstColumn="0" w:firstRowLastColumn="0" w:lastRowFirstColumn="0" w:lastRowLastColumn="0"/>
            </w:pPr>
            <w:r w:rsidRPr="003E4580">
              <w:t>$216</w:t>
            </w:r>
          </w:p>
        </w:tc>
        <w:tc>
          <w:tcPr>
            <w:tcW w:w="639" w:type="pct"/>
          </w:tcPr>
          <w:p w14:paraId="675A951E" w14:textId="77777777" w:rsidR="00E422D9" w:rsidRPr="003E4580" w:rsidRDefault="00E422D9" w:rsidP="00947F8C">
            <w:pPr>
              <w:jc w:val="center"/>
              <w:cnfStyle w:val="000000010000" w:firstRow="0" w:lastRow="0" w:firstColumn="0" w:lastColumn="0" w:oddVBand="0" w:evenVBand="0" w:oddHBand="0" w:evenHBand="1" w:firstRowFirstColumn="0" w:firstRowLastColumn="0" w:lastRowFirstColumn="0" w:lastRowLastColumn="0"/>
            </w:pPr>
            <w:r w:rsidRPr="003E4580">
              <w:t>$0.5</w:t>
            </w:r>
          </w:p>
        </w:tc>
        <w:tc>
          <w:tcPr>
            <w:tcW w:w="277" w:type="pct"/>
          </w:tcPr>
          <w:p w14:paraId="191794CA" w14:textId="5CF0E755" w:rsidR="00E422D9" w:rsidRPr="003E4580" w:rsidRDefault="00E422D9" w:rsidP="00947F8C">
            <w:pPr>
              <w:jc w:val="center"/>
              <w:cnfStyle w:val="000000010000" w:firstRow="0" w:lastRow="0" w:firstColumn="0" w:lastColumn="0" w:oddVBand="0" w:evenVBand="0" w:oddHBand="0" w:evenHBand="1" w:firstRowFirstColumn="0" w:firstRowLastColumn="0" w:lastRowFirstColumn="0" w:lastRowLastColumn="0"/>
            </w:pPr>
            <w:r w:rsidRPr="003E4580">
              <w:t>1.0</w:t>
            </w:r>
          </w:p>
        </w:tc>
        <w:tc>
          <w:tcPr>
            <w:tcW w:w="359" w:type="pct"/>
          </w:tcPr>
          <w:p w14:paraId="38B3CAA5" w14:textId="2E89D57D" w:rsidR="00E422D9" w:rsidRPr="003E4580" w:rsidRDefault="00E422D9" w:rsidP="00947F8C">
            <w:pPr>
              <w:jc w:val="center"/>
              <w:cnfStyle w:val="000000010000" w:firstRow="0" w:lastRow="0" w:firstColumn="0" w:lastColumn="0" w:oddVBand="0" w:evenVBand="0" w:oddHBand="0" w:evenHBand="1" w:firstRowFirstColumn="0" w:firstRowLastColumn="0" w:lastRowFirstColumn="0" w:lastRowLastColumn="0"/>
            </w:pPr>
            <w:r w:rsidRPr="003E4580">
              <w:t>62</w:t>
            </w:r>
          </w:p>
        </w:tc>
        <w:tc>
          <w:tcPr>
            <w:tcW w:w="455" w:type="pct"/>
          </w:tcPr>
          <w:p w14:paraId="6471FDCC" w14:textId="159F3243" w:rsidR="00E422D9" w:rsidRPr="003E4580" w:rsidRDefault="00E422D9" w:rsidP="00947F8C">
            <w:pPr>
              <w:jc w:val="center"/>
              <w:cnfStyle w:val="000000010000" w:firstRow="0" w:lastRow="0" w:firstColumn="0" w:lastColumn="0" w:oddVBand="0" w:evenVBand="0" w:oddHBand="0" w:evenHBand="1" w:firstRowFirstColumn="0" w:firstRowLastColumn="0" w:lastRowFirstColumn="0" w:lastRowLastColumn="0"/>
            </w:pPr>
            <w:r w:rsidRPr="003E4580">
              <w:t>1,725</w:t>
            </w:r>
          </w:p>
        </w:tc>
        <w:tc>
          <w:tcPr>
            <w:tcW w:w="455" w:type="pct"/>
          </w:tcPr>
          <w:p w14:paraId="04225D7F" w14:textId="6FE19421" w:rsidR="00E422D9" w:rsidRPr="003E4580" w:rsidRDefault="00E422D9" w:rsidP="00947F8C">
            <w:pPr>
              <w:jc w:val="center"/>
              <w:cnfStyle w:val="000000010000" w:firstRow="0" w:lastRow="0" w:firstColumn="0" w:lastColumn="0" w:oddVBand="0" w:evenVBand="0" w:oddHBand="0" w:evenHBand="1" w:firstRowFirstColumn="0" w:firstRowLastColumn="0" w:lastRowFirstColumn="0" w:lastRowLastColumn="0"/>
            </w:pPr>
            <w:r w:rsidRPr="003E4580">
              <w:t>5,370</w:t>
            </w:r>
          </w:p>
        </w:tc>
      </w:tr>
      <w:tr w:rsidR="001E56E8" w:rsidRPr="003E4580" w14:paraId="3D10A9A4" w14:textId="77777777" w:rsidTr="00DE0B5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14:paraId="2928CE34" w14:textId="77777777" w:rsidR="001E56E8" w:rsidRPr="003E4580" w:rsidRDefault="001E56E8" w:rsidP="00947F8C">
            <w:r w:rsidRPr="003E4580">
              <w:t>Worst</w:t>
            </w:r>
          </w:p>
        </w:tc>
        <w:tc>
          <w:tcPr>
            <w:tcW w:w="898" w:type="pct"/>
          </w:tcPr>
          <w:p w14:paraId="1D7B7377" w14:textId="77777777" w:rsidR="001E56E8" w:rsidRPr="003E4580" w:rsidRDefault="001E56E8" w:rsidP="00947F8C">
            <w:pPr>
              <w:jc w:val="center"/>
              <w:cnfStyle w:val="010000000000" w:firstRow="0" w:lastRow="1" w:firstColumn="0" w:lastColumn="0" w:oddVBand="0" w:evenVBand="0" w:oddHBand="0" w:evenHBand="0" w:firstRowFirstColumn="0" w:firstRowLastColumn="0" w:lastRowFirstColumn="0" w:lastRowLastColumn="0"/>
              <w:rPr>
                <w:b w:val="0"/>
              </w:rPr>
            </w:pPr>
          </w:p>
        </w:tc>
        <w:tc>
          <w:tcPr>
            <w:tcW w:w="455" w:type="pct"/>
          </w:tcPr>
          <w:p w14:paraId="24095627" w14:textId="1B21C73A" w:rsidR="001E56E8" w:rsidRPr="003E4580" w:rsidRDefault="001E56E8"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w:t>
            </w:r>
            <w:r w:rsidR="00DE0B50" w:rsidRPr="003E4580">
              <w:rPr>
                <w:b w:val="0"/>
              </w:rPr>
              <w:t>7</w:t>
            </w:r>
            <w:r w:rsidR="007C71CB" w:rsidRPr="003E4580">
              <w:rPr>
                <w:b w:val="0"/>
              </w:rPr>
              <w:t>3</w:t>
            </w:r>
          </w:p>
        </w:tc>
        <w:tc>
          <w:tcPr>
            <w:tcW w:w="674" w:type="pct"/>
          </w:tcPr>
          <w:p w14:paraId="153AD94F" w14:textId="31A14F21" w:rsidR="001E56E8" w:rsidRPr="003E4580" w:rsidRDefault="001E56E8"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w:t>
            </w:r>
            <w:r w:rsidR="00DE0B50" w:rsidRPr="003E4580">
              <w:rPr>
                <w:b w:val="0"/>
              </w:rPr>
              <w:t>93</w:t>
            </w:r>
          </w:p>
        </w:tc>
        <w:tc>
          <w:tcPr>
            <w:tcW w:w="639" w:type="pct"/>
          </w:tcPr>
          <w:p w14:paraId="0DAF5596" w14:textId="77777777" w:rsidR="001E56E8" w:rsidRPr="003E4580" w:rsidRDefault="001E56E8"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$0.5</w:t>
            </w:r>
          </w:p>
        </w:tc>
        <w:tc>
          <w:tcPr>
            <w:tcW w:w="277" w:type="pct"/>
          </w:tcPr>
          <w:p w14:paraId="1A732393" w14:textId="7105AC5C" w:rsidR="001E56E8" w:rsidRPr="003E4580" w:rsidRDefault="001E56E8"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0.</w:t>
            </w:r>
            <w:r w:rsidR="00DE0B50" w:rsidRPr="003E4580">
              <w:rPr>
                <w:b w:val="0"/>
              </w:rPr>
              <w:t>8</w:t>
            </w:r>
          </w:p>
        </w:tc>
        <w:tc>
          <w:tcPr>
            <w:tcW w:w="359" w:type="pct"/>
          </w:tcPr>
          <w:p w14:paraId="4E288E33" w14:textId="77777777" w:rsidR="001E56E8" w:rsidRPr="003E4580" w:rsidRDefault="001E56E8" w:rsidP="00947F8C">
            <w:pPr>
              <w:jc w:val="center"/>
              <w:cnfStyle w:val="010000000000" w:firstRow="0" w:lastRow="1" w:firstColumn="0" w:lastColumn="0" w:oddVBand="0" w:evenVBand="0" w:oddHBand="0" w:evenHBand="0" w:firstRowFirstColumn="0" w:firstRowLastColumn="0" w:lastRowFirstColumn="0" w:lastRowLastColumn="0"/>
              <w:rPr>
                <w:b w:val="0"/>
              </w:rPr>
            </w:pPr>
          </w:p>
        </w:tc>
        <w:tc>
          <w:tcPr>
            <w:tcW w:w="455" w:type="pct"/>
          </w:tcPr>
          <w:p w14:paraId="04E42587" w14:textId="77777777" w:rsidR="001E56E8" w:rsidRPr="003E4580" w:rsidRDefault="001E56E8" w:rsidP="00947F8C">
            <w:pPr>
              <w:jc w:val="center"/>
              <w:cnfStyle w:val="010000000000" w:firstRow="0" w:lastRow="1" w:firstColumn="0" w:lastColumn="0" w:oddVBand="0" w:evenVBand="0" w:oddHBand="0" w:evenHBand="0" w:firstRowFirstColumn="0" w:firstRowLastColumn="0" w:lastRowFirstColumn="0" w:lastRowLastColumn="0"/>
              <w:rPr>
                <w:b w:val="0"/>
              </w:rPr>
            </w:pPr>
          </w:p>
        </w:tc>
        <w:tc>
          <w:tcPr>
            <w:tcW w:w="455" w:type="pct"/>
          </w:tcPr>
          <w:p w14:paraId="3F806E34" w14:textId="77777777" w:rsidR="001E56E8" w:rsidRPr="003E4580" w:rsidRDefault="001E56E8" w:rsidP="00947F8C">
            <w:pPr>
              <w:jc w:val="center"/>
              <w:cnfStyle w:val="010000000000" w:firstRow="0" w:lastRow="1" w:firstColumn="0" w:lastColumn="0" w:oddVBand="0" w:evenVBand="0" w:oddHBand="0" w:evenHBand="0" w:firstRowFirstColumn="0" w:firstRowLastColumn="0" w:lastRowFirstColumn="0" w:lastRowLastColumn="0"/>
              <w:rPr>
                <w:b w:val="0"/>
              </w:rPr>
            </w:pPr>
          </w:p>
        </w:tc>
      </w:tr>
    </w:tbl>
    <w:p w14:paraId="6998461C" w14:textId="77777777" w:rsidR="001E56E8" w:rsidRPr="003E4580" w:rsidRDefault="001E56E8" w:rsidP="003A0A55">
      <w:pPr>
        <w:rPr>
          <w:bCs/>
        </w:rPr>
      </w:pPr>
    </w:p>
    <w:p w14:paraId="63BC280F" w14:textId="16F7E736" w:rsidR="003A0A55" w:rsidRPr="003E4580" w:rsidRDefault="003A0A55" w:rsidP="003A0A55">
      <w:pPr>
        <w:rPr>
          <w:b/>
          <w:bCs/>
        </w:rPr>
      </w:pPr>
      <w:r w:rsidRPr="003E4580">
        <w:rPr>
          <w:b/>
          <w:bCs/>
        </w:rPr>
        <w:t>Sensitivity Analysis</w:t>
      </w:r>
    </w:p>
    <w:p w14:paraId="4459ADCD" w14:textId="1BA4388B" w:rsidR="003A0A55" w:rsidRPr="003E4580" w:rsidRDefault="003A0A55" w:rsidP="003A0A55">
      <w:r w:rsidRPr="003E4580">
        <w:t xml:space="preserve">A sensitivity analysis was carried out </w:t>
      </w:r>
      <w:r w:rsidR="00DE0B50" w:rsidRPr="003E4580">
        <w:t xml:space="preserve">on the Final IA results </w:t>
      </w:r>
      <w:r w:rsidRPr="003E4580">
        <w:t>to determine the effect of varying the critical parameters on the outcome of the benefit-cost analysis.</w:t>
      </w:r>
    </w:p>
    <w:p w14:paraId="3F6D6FF5" w14:textId="392CFAB7" w:rsidR="003A0A55" w:rsidRPr="003E4580" w:rsidRDefault="003A0A55" w:rsidP="003A0A55">
      <w:r w:rsidRPr="003E4580">
        <w:t xml:space="preserve">Firstly, while a 7 per cent (per annum) real discount rate was used for all options, the benefit-cost analysis for Option </w:t>
      </w:r>
      <w:r w:rsidR="0052670E" w:rsidRPr="003E4580">
        <w:t>2</w:t>
      </w:r>
      <w:r w:rsidRPr="003E4580">
        <w:t xml:space="preserve"> was also run with a rate of 3 per cent and 10 per cent.</w:t>
      </w:r>
      <w:r w:rsidR="00853363" w:rsidRPr="003E4580">
        <w:t xml:space="preserve"> The</w:t>
      </w:r>
      <w:r w:rsidRPr="003E4580">
        <w:t> </w:t>
      </w:r>
      <w:r w:rsidR="00853363" w:rsidRPr="003E4580">
        <w:t>t</w:t>
      </w:r>
      <w:r w:rsidRPr="003E4580">
        <w:t xml:space="preserve">able </w:t>
      </w:r>
      <w:r w:rsidR="00853363" w:rsidRPr="003E4580">
        <w:t>below</w:t>
      </w:r>
      <w:r w:rsidR="0052670E" w:rsidRPr="003E4580">
        <w:t xml:space="preserve"> </w:t>
      </w:r>
      <w:r w:rsidRPr="003E4580">
        <w:t xml:space="preserve">shows that the net benefits remained positive under </w:t>
      </w:r>
      <w:r w:rsidR="00153DA3" w:rsidRPr="003E4580">
        <w:t>3 per cent</w:t>
      </w:r>
      <w:r w:rsidRPr="003E4580">
        <w:t xml:space="preserve"> discount rate</w:t>
      </w:r>
      <w:r w:rsidR="007C71CB" w:rsidRPr="003E4580">
        <w:t xml:space="preserve"> and the 7 per cent discount rate</w:t>
      </w:r>
      <w:r w:rsidR="00853363" w:rsidRPr="003E4580">
        <w:t>.</w:t>
      </w:r>
      <w:r w:rsidR="007C71CB" w:rsidRPr="003E4580">
        <w:t xml:space="preserve"> However the net benefits reduced and BCR dipped marginally below 1 (0.8) </w:t>
      </w:r>
      <w:r w:rsidR="00153DA3" w:rsidRPr="003E4580">
        <w:t>for a 10 per cent di</w:t>
      </w:r>
      <w:r w:rsidR="007C71CB" w:rsidRPr="003E4580">
        <w:t>s</w:t>
      </w:r>
      <w:r w:rsidR="00153DA3" w:rsidRPr="003E4580">
        <w:t>count rate.</w:t>
      </w:r>
      <w:r w:rsidR="007C71CB" w:rsidRPr="003E4580">
        <w:t xml:space="preserve"> This was to be expected in the analysis.</w:t>
      </w:r>
    </w:p>
    <w:p w14:paraId="2A101A97" w14:textId="0EDE4C89" w:rsidR="00DE0B50" w:rsidRPr="003E4580" w:rsidRDefault="00DE0B50" w:rsidP="00DE0B50">
      <w:pPr>
        <w:pStyle w:val="Caption"/>
        <w:keepNext/>
      </w:pPr>
      <w:bookmarkStart w:id="51" w:name="_Toc136912402"/>
      <w:r w:rsidRPr="003E4580">
        <w:t xml:space="preserve">Table </w:t>
      </w:r>
      <w:r w:rsidR="00BF64CF">
        <w:fldChar w:fldCharType="begin"/>
      </w:r>
      <w:r w:rsidR="00BF64CF">
        <w:instrText xml:space="preserve"> SEQ Table \* ARABIC </w:instrText>
      </w:r>
      <w:r w:rsidR="00BF64CF">
        <w:fldChar w:fldCharType="separate"/>
      </w:r>
      <w:r w:rsidR="002E4782" w:rsidRPr="003E4580">
        <w:rPr>
          <w:noProof/>
        </w:rPr>
        <w:t>9</w:t>
      </w:r>
      <w:r w:rsidR="00BF64CF">
        <w:rPr>
          <w:noProof/>
        </w:rPr>
        <w:fldChar w:fldCharType="end"/>
      </w:r>
      <w:r w:rsidRPr="003E4580">
        <w:t>: Impact on Net Benefits and BCR of changes to the real discount rate of the likely case</w:t>
      </w:r>
      <w:bookmarkEnd w:id="51"/>
    </w:p>
    <w:tbl>
      <w:tblPr>
        <w:tblStyle w:val="DefaultTable1"/>
        <w:tblW w:w="5000" w:type="pct"/>
        <w:tblLook w:val="04E0" w:firstRow="1" w:lastRow="1" w:firstColumn="1" w:lastColumn="0" w:noHBand="0" w:noVBand="1"/>
        <w:tblCaption w:val="Sample table"/>
        <w:tblDescription w:val="Sample table"/>
      </w:tblPr>
      <w:tblGrid>
        <w:gridCol w:w="3288"/>
        <w:gridCol w:w="3289"/>
        <w:gridCol w:w="3287"/>
      </w:tblGrid>
      <w:tr w:rsidR="0052670E" w:rsidRPr="003E4580" w14:paraId="71CFF6F4" w14:textId="77777777" w:rsidTr="0052670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67" w:type="pct"/>
          </w:tcPr>
          <w:p w14:paraId="3A19DBD4" w14:textId="77777777" w:rsidR="0052670E" w:rsidRPr="003E4580" w:rsidRDefault="0052670E" w:rsidP="00724DC4">
            <w:pPr>
              <w:jc w:val="center"/>
              <w:rPr>
                <w:b w:val="0"/>
              </w:rPr>
            </w:pPr>
          </w:p>
        </w:tc>
        <w:tc>
          <w:tcPr>
            <w:tcW w:w="1667" w:type="pct"/>
          </w:tcPr>
          <w:p w14:paraId="0D131788" w14:textId="7A381482" w:rsidR="0052670E" w:rsidRPr="003E4580" w:rsidRDefault="0052670E" w:rsidP="00724DC4">
            <w:pPr>
              <w:jc w:val="center"/>
              <w:cnfStyle w:val="100000000000" w:firstRow="1" w:lastRow="0" w:firstColumn="0" w:lastColumn="0" w:oddVBand="0" w:evenVBand="0" w:oddHBand="0" w:evenHBand="0" w:firstRowFirstColumn="0" w:firstRowLastColumn="0" w:lastRowFirstColumn="0" w:lastRowLastColumn="0"/>
              <w:rPr>
                <w:b w:val="0"/>
              </w:rPr>
            </w:pPr>
            <w:r w:rsidRPr="003E4580">
              <w:rPr>
                <w:b w:val="0"/>
              </w:rPr>
              <w:t>Net Benefits ($m)</w:t>
            </w:r>
          </w:p>
        </w:tc>
        <w:tc>
          <w:tcPr>
            <w:tcW w:w="1666" w:type="pct"/>
          </w:tcPr>
          <w:p w14:paraId="15FBA404" w14:textId="758358D4" w:rsidR="0052670E" w:rsidRPr="003E4580" w:rsidRDefault="0052670E" w:rsidP="00724DC4">
            <w:pPr>
              <w:jc w:val="center"/>
              <w:cnfStyle w:val="100000000000" w:firstRow="1" w:lastRow="0" w:firstColumn="0" w:lastColumn="0" w:oddVBand="0" w:evenVBand="0" w:oddHBand="0" w:evenHBand="0" w:firstRowFirstColumn="0" w:firstRowLastColumn="0" w:lastRowFirstColumn="0" w:lastRowLastColumn="0"/>
            </w:pPr>
            <w:r w:rsidRPr="003E4580">
              <w:t>BCR</w:t>
            </w:r>
          </w:p>
        </w:tc>
      </w:tr>
      <w:tr w:rsidR="0052670E" w:rsidRPr="003E4580" w14:paraId="66FDF2AA" w14:textId="77777777" w:rsidTr="0052670E">
        <w:tc>
          <w:tcPr>
            <w:cnfStyle w:val="001000000000" w:firstRow="0" w:lastRow="0" w:firstColumn="1" w:lastColumn="0" w:oddVBand="0" w:evenVBand="0" w:oddHBand="0" w:evenHBand="0" w:firstRowFirstColumn="0" w:firstRowLastColumn="0" w:lastRowFirstColumn="0" w:lastRowLastColumn="0"/>
            <w:tcW w:w="1667" w:type="pct"/>
          </w:tcPr>
          <w:p w14:paraId="048F004B" w14:textId="0C478EC5" w:rsidR="0052670E" w:rsidRPr="003E4580" w:rsidRDefault="0052670E" w:rsidP="0052670E">
            <w:pPr>
              <w:rPr>
                <w:b w:val="0"/>
              </w:rPr>
            </w:pPr>
            <w:r w:rsidRPr="003E4580">
              <w:rPr>
                <w:b w:val="0"/>
              </w:rPr>
              <w:t>Low discount rate (3%)</w:t>
            </w:r>
          </w:p>
        </w:tc>
        <w:tc>
          <w:tcPr>
            <w:tcW w:w="1667" w:type="pct"/>
          </w:tcPr>
          <w:p w14:paraId="7D0AFFA1" w14:textId="3C138B6A" w:rsidR="0052670E" w:rsidRPr="003E4580" w:rsidRDefault="007C71CB" w:rsidP="00724DC4">
            <w:pPr>
              <w:jc w:val="center"/>
              <w:cnfStyle w:val="000000000000" w:firstRow="0" w:lastRow="0" w:firstColumn="0" w:lastColumn="0" w:oddVBand="0" w:evenVBand="0" w:oddHBand="0" w:evenHBand="0" w:firstRowFirstColumn="0" w:firstRowLastColumn="0" w:lastRowFirstColumn="0" w:lastRowLastColumn="0"/>
            </w:pPr>
            <w:r w:rsidRPr="003E4580">
              <w:t>269</w:t>
            </w:r>
          </w:p>
        </w:tc>
        <w:tc>
          <w:tcPr>
            <w:tcW w:w="1666" w:type="pct"/>
          </w:tcPr>
          <w:p w14:paraId="1F67AA53" w14:textId="66F08906" w:rsidR="0052670E" w:rsidRPr="003E4580" w:rsidRDefault="007C71CB" w:rsidP="00724DC4">
            <w:pPr>
              <w:jc w:val="center"/>
              <w:cnfStyle w:val="000000000000" w:firstRow="0" w:lastRow="0" w:firstColumn="0" w:lastColumn="0" w:oddVBand="0" w:evenVBand="0" w:oddHBand="0" w:evenHBand="0" w:firstRowFirstColumn="0" w:firstRowLastColumn="0" w:lastRowFirstColumn="0" w:lastRowLastColumn="0"/>
            </w:pPr>
            <w:r w:rsidRPr="003E4580">
              <w:t>2.4</w:t>
            </w:r>
          </w:p>
        </w:tc>
      </w:tr>
      <w:tr w:rsidR="0052670E" w:rsidRPr="003E4580" w14:paraId="7E5D7874" w14:textId="77777777" w:rsidTr="005267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7AF2F2A" w14:textId="44C2B9F8" w:rsidR="0052670E" w:rsidRPr="003E4580" w:rsidRDefault="0052670E" w:rsidP="0052670E">
            <w:pPr>
              <w:rPr>
                <w:b w:val="0"/>
              </w:rPr>
            </w:pPr>
            <w:r w:rsidRPr="003E4580">
              <w:rPr>
                <w:b w:val="0"/>
              </w:rPr>
              <w:t>Base case discount rate (7%)</w:t>
            </w:r>
          </w:p>
        </w:tc>
        <w:tc>
          <w:tcPr>
            <w:tcW w:w="1667" w:type="pct"/>
          </w:tcPr>
          <w:p w14:paraId="46B156F8" w14:textId="69F85A38" w:rsidR="0052670E" w:rsidRPr="003E4580" w:rsidRDefault="007C71CB" w:rsidP="00724DC4">
            <w:pPr>
              <w:jc w:val="center"/>
              <w:cnfStyle w:val="000000010000" w:firstRow="0" w:lastRow="0" w:firstColumn="0" w:lastColumn="0" w:oddVBand="0" w:evenVBand="0" w:oddHBand="0" w:evenHBand="1" w:firstRowFirstColumn="0" w:firstRowLastColumn="0" w:lastRowFirstColumn="0" w:lastRowLastColumn="0"/>
            </w:pPr>
            <w:r w:rsidRPr="003E4580">
              <w:t>5</w:t>
            </w:r>
          </w:p>
        </w:tc>
        <w:tc>
          <w:tcPr>
            <w:tcW w:w="1666" w:type="pct"/>
          </w:tcPr>
          <w:p w14:paraId="1C623379" w14:textId="7C35F4BD" w:rsidR="0052670E" w:rsidRPr="003E4580" w:rsidRDefault="00153DA3" w:rsidP="00724DC4">
            <w:pPr>
              <w:jc w:val="center"/>
              <w:cnfStyle w:val="000000010000" w:firstRow="0" w:lastRow="0" w:firstColumn="0" w:lastColumn="0" w:oddVBand="0" w:evenVBand="0" w:oddHBand="0" w:evenHBand="1" w:firstRowFirstColumn="0" w:firstRowLastColumn="0" w:lastRowFirstColumn="0" w:lastRowLastColumn="0"/>
            </w:pPr>
            <w:r w:rsidRPr="003E4580">
              <w:t>1.</w:t>
            </w:r>
            <w:r w:rsidR="00D33E9D" w:rsidRPr="003E4580">
              <w:t>0</w:t>
            </w:r>
          </w:p>
        </w:tc>
      </w:tr>
      <w:tr w:rsidR="0052670E" w:rsidRPr="003E4580" w14:paraId="097DFBF3" w14:textId="77777777" w:rsidTr="0052670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E0B190D" w14:textId="68A982BD" w:rsidR="0052670E" w:rsidRPr="003E4580" w:rsidRDefault="0052670E" w:rsidP="0052670E">
            <w:pPr>
              <w:rPr>
                <w:b w:val="0"/>
              </w:rPr>
            </w:pPr>
            <w:r w:rsidRPr="003E4580">
              <w:rPr>
                <w:b w:val="0"/>
              </w:rPr>
              <w:t>High discount rate (10%)</w:t>
            </w:r>
          </w:p>
        </w:tc>
        <w:tc>
          <w:tcPr>
            <w:tcW w:w="1667" w:type="pct"/>
          </w:tcPr>
          <w:p w14:paraId="0ACCFEF0" w14:textId="2CBE8F29" w:rsidR="0052670E" w:rsidRPr="003E4580" w:rsidRDefault="00153DA3"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w:t>
            </w:r>
            <w:r w:rsidR="007C71CB" w:rsidRPr="003E4580">
              <w:rPr>
                <w:b w:val="0"/>
              </w:rPr>
              <w:t>37</w:t>
            </w:r>
          </w:p>
        </w:tc>
        <w:tc>
          <w:tcPr>
            <w:tcW w:w="1666" w:type="pct"/>
          </w:tcPr>
          <w:p w14:paraId="755CF05C" w14:textId="2586E260" w:rsidR="0052670E" w:rsidRPr="003E4580" w:rsidRDefault="00153DA3"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0.</w:t>
            </w:r>
            <w:r w:rsidR="00853363" w:rsidRPr="003E4580">
              <w:rPr>
                <w:b w:val="0"/>
              </w:rPr>
              <w:t>8</w:t>
            </w:r>
          </w:p>
        </w:tc>
      </w:tr>
    </w:tbl>
    <w:p w14:paraId="77D7C418" w14:textId="60D7C44C" w:rsidR="0052670E" w:rsidRPr="003E4580" w:rsidRDefault="0052670E" w:rsidP="003A0A55">
      <w:pPr>
        <w:rPr>
          <w:color w:val="000000"/>
          <w:shd w:val="clear" w:color="auto" w:fill="FFFFFF"/>
        </w:rPr>
      </w:pPr>
      <w:r w:rsidRPr="003E4580">
        <w:rPr>
          <w:color w:val="000000"/>
          <w:shd w:val="clear" w:color="auto" w:fill="FFFFFF"/>
        </w:rPr>
        <w:t>Next, the effectiveness of heavy vehicle LDWS was varied to establish its effect on the analysis, using both high (increment 5 per cent) and low (decrement 5 per cent) effectiveness scenario.  </w:t>
      </w:r>
      <w:bookmarkStart w:id="52" w:name="_Hlk146187983"/>
      <w:r w:rsidRPr="003E4580">
        <w:rPr>
          <w:color w:val="000000"/>
          <w:shd w:val="clear" w:color="auto" w:fill="FFFFFF"/>
        </w:rPr>
        <w:t>As shown in</w:t>
      </w:r>
      <w:r w:rsidR="00D33E9D" w:rsidRPr="003E4580">
        <w:rPr>
          <w:color w:val="000000"/>
          <w:shd w:val="clear" w:color="auto" w:fill="FFFFFF"/>
        </w:rPr>
        <w:t xml:space="preserve"> the</w:t>
      </w:r>
      <w:r w:rsidRPr="003E4580">
        <w:rPr>
          <w:color w:val="000000"/>
          <w:shd w:val="clear" w:color="auto" w:fill="FFFFFF"/>
        </w:rPr>
        <w:t xml:space="preserve"> Table </w:t>
      </w:r>
      <w:r w:rsidR="00D33E9D" w:rsidRPr="003E4580">
        <w:rPr>
          <w:color w:val="000000"/>
          <w:shd w:val="clear" w:color="auto" w:fill="FFFFFF"/>
        </w:rPr>
        <w:t>below</w:t>
      </w:r>
      <w:r w:rsidRPr="003E4580">
        <w:rPr>
          <w:color w:val="000000"/>
          <w:shd w:val="clear" w:color="auto" w:fill="FFFFFF"/>
        </w:rPr>
        <w:t xml:space="preserve"> despite analysing an unrealistically low effectiveness (equivalent to the lowest rate reported by MUARC for the worst performing systems in the fleet), the BCR remained positive.  It was noted that varying the effectiveness was less significant than varying the discount rate.</w:t>
      </w:r>
      <w:r w:rsidR="003B324F" w:rsidRPr="003E4580">
        <w:rPr>
          <w:color w:val="000000"/>
          <w:shd w:val="clear" w:color="auto" w:fill="FFFFFF"/>
        </w:rPr>
        <w:t xml:space="preserve"> However, as expected varying the effectiveness of the LDWS did have an impact on the projected trauma figures.</w:t>
      </w:r>
      <w:bookmarkEnd w:id="52"/>
    </w:p>
    <w:p w14:paraId="5092842E" w14:textId="77777777" w:rsidR="00C17141" w:rsidRPr="003E4580" w:rsidRDefault="00C17141" w:rsidP="003A0A55">
      <w:pPr>
        <w:rPr>
          <w:color w:val="000000"/>
          <w:shd w:val="clear" w:color="auto" w:fill="FFFFFF"/>
        </w:rPr>
      </w:pPr>
    </w:p>
    <w:p w14:paraId="1E0DD988" w14:textId="3E4AF41B" w:rsidR="003B324F" w:rsidRPr="003E4580" w:rsidRDefault="003B324F" w:rsidP="003B324F">
      <w:pPr>
        <w:pStyle w:val="Caption"/>
        <w:keepNext/>
      </w:pPr>
      <w:bookmarkStart w:id="53" w:name="_Toc136912403"/>
      <w:r w:rsidRPr="003E4580">
        <w:lastRenderedPageBreak/>
        <w:t xml:space="preserve">Table </w:t>
      </w:r>
      <w:r w:rsidR="00BF64CF">
        <w:fldChar w:fldCharType="begin"/>
      </w:r>
      <w:r w:rsidR="00BF64CF">
        <w:instrText xml:space="preserve"> SEQ Table \* ARABIC </w:instrText>
      </w:r>
      <w:r w:rsidR="00BF64CF">
        <w:fldChar w:fldCharType="separate"/>
      </w:r>
      <w:r w:rsidR="002E4782" w:rsidRPr="003E4580">
        <w:rPr>
          <w:noProof/>
        </w:rPr>
        <w:t>10</w:t>
      </w:r>
      <w:r w:rsidR="00BF64CF">
        <w:rPr>
          <w:noProof/>
        </w:rPr>
        <w:fldChar w:fldCharType="end"/>
      </w:r>
      <w:r w:rsidRPr="003E4580">
        <w:t>: Impact on the BCR due to changes to effectiveness of LDWS for heavy vehicles</w:t>
      </w:r>
      <w:bookmarkEnd w:id="53"/>
    </w:p>
    <w:tbl>
      <w:tblPr>
        <w:tblStyle w:val="DefaultTable1"/>
        <w:tblW w:w="5000" w:type="pct"/>
        <w:tblLook w:val="04E0" w:firstRow="1" w:lastRow="1" w:firstColumn="1" w:lastColumn="0" w:noHBand="0" w:noVBand="1"/>
        <w:tblCaption w:val="Sample table"/>
        <w:tblDescription w:val="Sample table"/>
      </w:tblPr>
      <w:tblGrid>
        <w:gridCol w:w="3288"/>
        <w:gridCol w:w="3289"/>
        <w:gridCol w:w="3287"/>
      </w:tblGrid>
      <w:tr w:rsidR="003B324F" w:rsidRPr="003E4580" w14:paraId="6CD393B6" w14:textId="47B93BD8" w:rsidTr="003B324F">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67" w:type="pct"/>
          </w:tcPr>
          <w:p w14:paraId="5CC77A05" w14:textId="77777777" w:rsidR="003B324F" w:rsidRPr="003E4580" w:rsidRDefault="003B324F" w:rsidP="00724DC4">
            <w:pPr>
              <w:jc w:val="center"/>
              <w:rPr>
                <w:b w:val="0"/>
              </w:rPr>
            </w:pPr>
          </w:p>
        </w:tc>
        <w:tc>
          <w:tcPr>
            <w:tcW w:w="1667" w:type="pct"/>
          </w:tcPr>
          <w:p w14:paraId="174C7FE8" w14:textId="77777777" w:rsidR="003B324F" w:rsidRPr="003E4580" w:rsidRDefault="003B324F" w:rsidP="00724DC4">
            <w:pPr>
              <w:jc w:val="center"/>
              <w:cnfStyle w:val="100000000000" w:firstRow="1" w:lastRow="0" w:firstColumn="0" w:lastColumn="0" w:oddVBand="0" w:evenVBand="0" w:oddHBand="0" w:evenHBand="0" w:firstRowFirstColumn="0" w:firstRowLastColumn="0" w:lastRowFirstColumn="0" w:lastRowLastColumn="0"/>
            </w:pPr>
            <w:r w:rsidRPr="003E4580">
              <w:t>BCR</w:t>
            </w:r>
          </w:p>
        </w:tc>
        <w:tc>
          <w:tcPr>
            <w:tcW w:w="1666" w:type="pct"/>
          </w:tcPr>
          <w:p w14:paraId="2839AEE1" w14:textId="2FF5FF60" w:rsidR="003B324F" w:rsidRPr="003E4580" w:rsidRDefault="003B324F" w:rsidP="00724DC4">
            <w:pPr>
              <w:jc w:val="center"/>
              <w:cnfStyle w:val="100000000000" w:firstRow="1" w:lastRow="0" w:firstColumn="0" w:lastColumn="0" w:oddVBand="0" w:evenVBand="0" w:oddHBand="0" w:evenHBand="0" w:firstRowFirstColumn="0" w:firstRowLastColumn="0" w:lastRowFirstColumn="0" w:lastRowLastColumn="0"/>
            </w:pPr>
            <w:r w:rsidRPr="003E4580">
              <w:t>Lives saved</w:t>
            </w:r>
          </w:p>
        </w:tc>
      </w:tr>
      <w:tr w:rsidR="003B324F" w:rsidRPr="003E4580" w14:paraId="168AA066" w14:textId="47F6A64F" w:rsidTr="003B324F">
        <w:tc>
          <w:tcPr>
            <w:cnfStyle w:val="001000000000" w:firstRow="0" w:lastRow="0" w:firstColumn="1" w:lastColumn="0" w:oddVBand="0" w:evenVBand="0" w:oddHBand="0" w:evenHBand="0" w:firstRowFirstColumn="0" w:firstRowLastColumn="0" w:lastRowFirstColumn="0" w:lastRowLastColumn="0"/>
            <w:tcW w:w="1667" w:type="pct"/>
          </w:tcPr>
          <w:p w14:paraId="0BD6A24F" w14:textId="57529F02" w:rsidR="003B324F" w:rsidRPr="003E4580" w:rsidRDefault="003B324F" w:rsidP="00724DC4">
            <w:pPr>
              <w:rPr>
                <w:b w:val="0"/>
              </w:rPr>
            </w:pPr>
            <w:r w:rsidRPr="003E4580">
              <w:rPr>
                <w:b w:val="0"/>
              </w:rPr>
              <w:t>Low effectiveness (-5%)</w:t>
            </w:r>
          </w:p>
        </w:tc>
        <w:tc>
          <w:tcPr>
            <w:tcW w:w="1667" w:type="pct"/>
          </w:tcPr>
          <w:p w14:paraId="37175E54" w14:textId="0186B410" w:rsidR="003B324F" w:rsidRPr="003E4580" w:rsidRDefault="003B324F" w:rsidP="00724DC4">
            <w:pPr>
              <w:jc w:val="center"/>
              <w:cnfStyle w:val="000000000000" w:firstRow="0" w:lastRow="0" w:firstColumn="0" w:lastColumn="0" w:oddVBand="0" w:evenVBand="0" w:oddHBand="0" w:evenHBand="0" w:firstRowFirstColumn="0" w:firstRowLastColumn="0" w:lastRowFirstColumn="0" w:lastRowLastColumn="0"/>
            </w:pPr>
            <w:r w:rsidRPr="003E4580">
              <w:t>1.0</w:t>
            </w:r>
          </w:p>
        </w:tc>
        <w:tc>
          <w:tcPr>
            <w:tcW w:w="1666" w:type="pct"/>
          </w:tcPr>
          <w:p w14:paraId="5C5703DB" w14:textId="7E9C6533" w:rsidR="003B324F" w:rsidRPr="003E4580" w:rsidRDefault="003B324F" w:rsidP="00724DC4">
            <w:pPr>
              <w:jc w:val="center"/>
              <w:cnfStyle w:val="000000000000" w:firstRow="0" w:lastRow="0" w:firstColumn="0" w:lastColumn="0" w:oddVBand="0" w:evenVBand="0" w:oddHBand="0" w:evenHBand="0" w:firstRowFirstColumn="0" w:firstRowLastColumn="0" w:lastRowFirstColumn="0" w:lastRowLastColumn="0"/>
            </w:pPr>
            <w:r w:rsidRPr="003E4580">
              <w:t>60</w:t>
            </w:r>
          </w:p>
        </w:tc>
      </w:tr>
      <w:tr w:rsidR="003B324F" w:rsidRPr="003E4580" w14:paraId="43086770" w14:textId="113BDCA0" w:rsidTr="003B3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F382166" w14:textId="38E19DC5" w:rsidR="003B324F" w:rsidRPr="003E4580" w:rsidRDefault="003B324F" w:rsidP="00724DC4">
            <w:pPr>
              <w:rPr>
                <w:b w:val="0"/>
              </w:rPr>
            </w:pPr>
            <w:r w:rsidRPr="003E4580">
              <w:rPr>
                <w:b w:val="0"/>
              </w:rPr>
              <w:t xml:space="preserve">Base case effectiveness </w:t>
            </w:r>
          </w:p>
        </w:tc>
        <w:tc>
          <w:tcPr>
            <w:tcW w:w="1667" w:type="pct"/>
          </w:tcPr>
          <w:p w14:paraId="774C3E8C" w14:textId="36F6A081" w:rsidR="003B324F" w:rsidRPr="003E4580" w:rsidRDefault="003B324F" w:rsidP="00724DC4">
            <w:pPr>
              <w:jc w:val="center"/>
              <w:cnfStyle w:val="000000010000" w:firstRow="0" w:lastRow="0" w:firstColumn="0" w:lastColumn="0" w:oddVBand="0" w:evenVBand="0" w:oddHBand="0" w:evenHBand="1" w:firstRowFirstColumn="0" w:firstRowLastColumn="0" w:lastRowFirstColumn="0" w:lastRowLastColumn="0"/>
            </w:pPr>
            <w:r w:rsidRPr="003E4580">
              <w:t>1.0</w:t>
            </w:r>
          </w:p>
        </w:tc>
        <w:tc>
          <w:tcPr>
            <w:tcW w:w="1666" w:type="pct"/>
          </w:tcPr>
          <w:p w14:paraId="408BA776" w14:textId="0EF016C5" w:rsidR="003B324F" w:rsidRPr="003E4580" w:rsidRDefault="003B324F" w:rsidP="00724DC4">
            <w:pPr>
              <w:jc w:val="center"/>
              <w:cnfStyle w:val="000000010000" w:firstRow="0" w:lastRow="0" w:firstColumn="0" w:lastColumn="0" w:oddVBand="0" w:evenVBand="0" w:oddHBand="0" w:evenHBand="1" w:firstRowFirstColumn="0" w:firstRowLastColumn="0" w:lastRowFirstColumn="0" w:lastRowLastColumn="0"/>
            </w:pPr>
            <w:r w:rsidRPr="003E4580">
              <w:t>6</w:t>
            </w:r>
            <w:r w:rsidR="007C71CB" w:rsidRPr="003E4580">
              <w:t>2</w:t>
            </w:r>
          </w:p>
        </w:tc>
      </w:tr>
      <w:tr w:rsidR="003B324F" w:rsidRPr="003E4580" w14:paraId="189FB4C5" w14:textId="48A442B1" w:rsidTr="003B324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47500CA" w14:textId="6E0CE7A3" w:rsidR="003B324F" w:rsidRPr="003E4580" w:rsidRDefault="003B324F" w:rsidP="00724DC4">
            <w:pPr>
              <w:rPr>
                <w:b w:val="0"/>
              </w:rPr>
            </w:pPr>
            <w:r w:rsidRPr="003E4580">
              <w:rPr>
                <w:b w:val="0"/>
              </w:rPr>
              <w:t>High effectiveness (+5%)</w:t>
            </w:r>
          </w:p>
        </w:tc>
        <w:tc>
          <w:tcPr>
            <w:tcW w:w="1667" w:type="pct"/>
          </w:tcPr>
          <w:p w14:paraId="70AF8574" w14:textId="1C5B77FC" w:rsidR="003B324F" w:rsidRPr="003E4580" w:rsidRDefault="003B324F"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1.0</w:t>
            </w:r>
          </w:p>
        </w:tc>
        <w:tc>
          <w:tcPr>
            <w:tcW w:w="1666" w:type="pct"/>
          </w:tcPr>
          <w:p w14:paraId="609F5E8F" w14:textId="393D9CA2" w:rsidR="003B324F" w:rsidRPr="003E4580" w:rsidRDefault="003B324F"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66</w:t>
            </w:r>
          </w:p>
        </w:tc>
      </w:tr>
    </w:tbl>
    <w:p w14:paraId="7EE99CDE" w14:textId="7E580963" w:rsidR="00143E77" w:rsidRPr="003E4580" w:rsidRDefault="009A78CB" w:rsidP="009A78CB">
      <w:pPr>
        <w:shd w:val="clear" w:color="auto" w:fill="FFFFFF"/>
        <w:suppressAutoHyphens w:val="0"/>
        <w:spacing w:before="240" w:after="240" w:line="264" w:lineRule="atLeast"/>
        <w:rPr>
          <w:rFonts w:eastAsia="Times New Roman" w:cstheme="minorHAnsi"/>
          <w:color w:val="000000"/>
          <w:kern w:val="0"/>
          <w:lang w:eastAsia="en-AU"/>
        </w:rPr>
      </w:pPr>
      <w:bookmarkStart w:id="54" w:name="_Toc319933942"/>
      <w:r w:rsidRPr="003E4580">
        <w:rPr>
          <w:rFonts w:eastAsia="Times New Roman" w:cstheme="minorHAnsi"/>
          <w:color w:val="000000"/>
          <w:kern w:val="0"/>
          <w:lang w:eastAsia="en-AU"/>
        </w:rPr>
        <w:t xml:space="preserve">Finally, the </w:t>
      </w:r>
      <w:r w:rsidR="00143E77" w:rsidRPr="003E4580">
        <w:rPr>
          <w:rFonts w:eastAsia="Times New Roman" w:cstheme="minorHAnsi"/>
          <w:color w:val="000000"/>
          <w:kern w:val="0"/>
          <w:lang w:eastAsia="en-AU"/>
        </w:rPr>
        <w:t xml:space="preserve">maximum value in the </w:t>
      </w:r>
      <w:r w:rsidRPr="003E4580">
        <w:rPr>
          <w:rFonts w:eastAsia="Times New Roman" w:cstheme="minorHAnsi"/>
          <w:color w:val="000000"/>
          <w:kern w:val="0"/>
          <w:lang w:eastAsia="en-AU"/>
        </w:rPr>
        <w:t>fitment cost range</w:t>
      </w:r>
      <w:r w:rsidR="00143E77" w:rsidRPr="003E4580">
        <w:rPr>
          <w:rFonts w:eastAsia="Times New Roman" w:cstheme="minorHAnsi"/>
          <w:color w:val="000000"/>
          <w:kern w:val="0"/>
          <w:lang w:eastAsia="en-AU"/>
        </w:rPr>
        <w:t xml:space="preserve"> ($1,000-$1,800)</w:t>
      </w:r>
      <w:r w:rsidRPr="003E4580">
        <w:rPr>
          <w:rFonts w:eastAsia="Times New Roman" w:cstheme="minorHAnsi"/>
          <w:color w:val="000000"/>
          <w:kern w:val="0"/>
          <w:lang w:eastAsia="en-AU"/>
        </w:rPr>
        <w:t xml:space="preserve"> was varied</w:t>
      </w:r>
      <w:r w:rsidR="00143E77" w:rsidRPr="003E4580">
        <w:rPr>
          <w:rFonts w:eastAsia="Times New Roman" w:cstheme="minorHAnsi"/>
          <w:color w:val="000000"/>
          <w:kern w:val="0"/>
          <w:lang w:eastAsia="en-AU"/>
        </w:rPr>
        <w:t xml:space="preserve"> as follows:</w:t>
      </w:r>
    </w:p>
    <w:p w14:paraId="2E63314B" w14:textId="7A6BD5D9" w:rsidR="00143E77" w:rsidRPr="003E4580" w:rsidRDefault="009A78CB" w:rsidP="008360E0">
      <w:pPr>
        <w:pStyle w:val="ListParagraph"/>
        <w:numPr>
          <w:ilvl w:val="0"/>
          <w:numId w:val="30"/>
        </w:numPr>
        <w:shd w:val="clear" w:color="auto" w:fill="FFFFFF"/>
        <w:suppressAutoHyphens w:val="0"/>
        <w:spacing w:before="240" w:after="240" w:line="264" w:lineRule="atLeast"/>
        <w:rPr>
          <w:rFonts w:asciiTheme="minorHAnsi" w:eastAsia="Times New Roman" w:hAnsiTheme="minorHAnsi" w:cstheme="minorHAnsi"/>
          <w:sz w:val="20"/>
          <w:szCs w:val="20"/>
          <w:lang w:eastAsia="en-AU"/>
        </w:rPr>
      </w:pPr>
      <w:r w:rsidRPr="003E4580">
        <w:rPr>
          <w:rFonts w:asciiTheme="minorHAnsi" w:eastAsia="Times New Roman" w:hAnsiTheme="minorHAnsi" w:cstheme="minorHAnsi"/>
          <w:sz w:val="20"/>
          <w:szCs w:val="20"/>
          <w:lang w:eastAsia="en-AU"/>
        </w:rPr>
        <w:t>incre</w:t>
      </w:r>
      <w:r w:rsidR="00143E77" w:rsidRPr="003E4580">
        <w:rPr>
          <w:rFonts w:asciiTheme="minorHAnsi" w:eastAsia="Times New Roman" w:hAnsiTheme="minorHAnsi" w:cstheme="minorHAnsi"/>
          <w:sz w:val="20"/>
          <w:szCs w:val="20"/>
          <w:lang w:eastAsia="en-AU"/>
        </w:rPr>
        <w:t>asing</w:t>
      </w:r>
      <w:r w:rsidRPr="003E4580">
        <w:rPr>
          <w:rFonts w:asciiTheme="minorHAnsi" w:eastAsia="Times New Roman" w:hAnsiTheme="minorHAnsi" w:cstheme="minorHAnsi"/>
          <w:sz w:val="20"/>
          <w:szCs w:val="20"/>
          <w:lang w:eastAsia="en-AU"/>
        </w:rPr>
        <w:t xml:space="preserve"> the fitment cost</w:t>
      </w:r>
      <w:r w:rsidR="00143E77" w:rsidRPr="003E4580">
        <w:rPr>
          <w:rFonts w:asciiTheme="minorHAnsi" w:eastAsia="Times New Roman" w:hAnsiTheme="minorHAnsi" w:cstheme="minorHAnsi"/>
          <w:sz w:val="20"/>
          <w:szCs w:val="20"/>
          <w:lang w:eastAsia="en-AU"/>
        </w:rPr>
        <w:t xml:space="preserve"> maximum</w:t>
      </w:r>
      <w:r w:rsidRPr="003E4580">
        <w:rPr>
          <w:rFonts w:asciiTheme="minorHAnsi" w:eastAsia="Times New Roman" w:hAnsiTheme="minorHAnsi" w:cstheme="minorHAnsi"/>
          <w:sz w:val="20"/>
          <w:szCs w:val="20"/>
          <w:lang w:eastAsia="en-AU"/>
        </w:rPr>
        <w:t xml:space="preserve"> by $500 to $</w:t>
      </w:r>
      <w:r w:rsidR="00143E77" w:rsidRPr="003E4580">
        <w:rPr>
          <w:rFonts w:asciiTheme="minorHAnsi" w:eastAsia="Times New Roman" w:hAnsiTheme="minorHAnsi" w:cstheme="minorHAnsi"/>
          <w:sz w:val="20"/>
          <w:szCs w:val="20"/>
          <w:lang w:eastAsia="en-AU"/>
        </w:rPr>
        <w:t>2,3</w:t>
      </w:r>
      <w:r w:rsidRPr="003E4580">
        <w:rPr>
          <w:rFonts w:asciiTheme="minorHAnsi" w:eastAsia="Times New Roman" w:hAnsiTheme="minorHAnsi" w:cstheme="minorHAnsi"/>
          <w:sz w:val="20"/>
          <w:szCs w:val="20"/>
          <w:lang w:eastAsia="en-AU"/>
        </w:rPr>
        <w:t>00</w:t>
      </w:r>
      <w:r w:rsidR="00143E77" w:rsidRPr="003E4580">
        <w:rPr>
          <w:rFonts w:asciiTheme="minorHAnsi" w:eastAsia="Times New Roman" w:hAnsiTheme="minorHAnsi" w:cstheme="minorHAnsi"/>
          <w:sz w:val="20"/>
          <w:szCs w:val="20"/>
          <w:lang w:eastAsia="en-AU"/>
        </w:rPr>
        <w:t xml:space="preserve"> from $1,800</w:t>
      </w:r>
    </w:p>
    <w:p w14:paraId="75270233" w14:textId="7865F4C3" w:rsidR="00143E77" w:rsidRPr="003E4580" w:rsidRDefault="00143E77" w:rsidP="008360E0">
      <w:pPr>
        <w:pStyle w:val="ListParagraph"/>
        <w:numPr>
          <w:ilvl w:val="0"/>
          <w:numId w:val="30"/>
        </w:numPr>
        <w:shd w:val="clear" w:color="auto" w:fill="FFFFFF"/>
        <w:suppressAutoHyphens w:val="0"/>
        <w:spacing w:before="240" w:after="240" w:line="264" w:lineRule="atLeast"/>
        <w:rPr>
          <w:rFonts w:asciiTheme="minorHAnsi" w:eastAsia="Times New Roman" w:hAnsiTheme="minorHAnsi" w:cstheme="minorHAnsi"/>
          <w:sz w:val="20"/>
          <w:szCs w:val="20"/>
          <w:lang w:eastAsia="en-AU"/>
        </w:rPr>
      </w:pPr>
      <w:r w:rsidRPr="003E4580">
        <w:rPr>
          <w:rFonts w:asciiTheme="minorHAnsi" w:eastAsia="Times New Roman" w:hAnsiTheme="minorHAnsi" w:cstheme="minorHAnsi"/>
          <w:sz w:val="20"/>
          <w:szCs w:val="20"/>
          <w:lang w:eastAsia="en-AU"/>
        </w:rPr>
        <w:t>decreasing</w:t>
      </w:r>
      <w:r w:rsidR="009A78CB" w:rsidRPr="003E4580">
        <w:rPr>
          <w:rFonts w:asciiTheme="minorHAnsi" w:eastAsia="Times New Roman" w:hAnsiTheme="minorHAnsi" w:cstheme="minorHAnsi"/>
          <w:sz w:val="20"/>
          <w:szCs w:val="20"/>
          <w:lang w:eastAsia="en-AU"/>
        </w:rPr>
        <w:t xml:space="preserve"> </w:t>
      </w:r>
      <w:r w:rsidRPr="003E4580">
        <w:rPr>
          <w:rFonts w:asciiTheme="minorHAnsi" w:eastAsia="Times New Roman" w:hAnsiTheme="minorHAnsi" w:cstheme="minorHAnsi"/>
          <w:sz w:val="20"/>
          <w:szCs w:val="20"/>
          <w:lang w:eastAsia="en-AU"/>
        </w:rPr>
        <w:t>the fitment cost maximum by $500 to $1,300 from $1,800</w:t>
      </w:r>
    </w:p>
    <w:p w14:paraId="2F12D690" w14:textId="3BA6F517" w:rsidR="009A78CB" w:rsidRPr="003E4580" w:rsidRDefault="00143E77" w:rsidP="009F4961">
      <w:pPr>
        <w:shd w:val="clear" w:color="auto" w:fill="FFFFFF"/>
        <w:suppressAutoHyphens w:val="0"/>
        <w:spacing w:before="240" w:after="240" w:line="264" w:lineRule="atLeast"/>
        <w:rPr>
          <w:rFonts w:eastAsia="Times New Roman" w:cstheme="minorHAnsi"/>
          <w:lang w:eastAsia="en-AU"/>
        </w:rPr>
      </w:pPr>
      <w:r w:rsidRPr="003E4580">
        <w:rPr>
          <w:rFonts w:eastAsia="Times New Roman" w:cstheme="minorHAnsi"/>
          <w:lang w:eastAsia="en-AU"/>
        </w:rPr>
        <w:t>These fitment costs are far higher tha</w:t>
      </w:r>
      <w:r w:rsidR="008B32CC" w:rsidRPr="003E4580">
        <w:rPr>
          <w:rFonts w:eastAsia="Times New Roman" w:cstheme="minorHAnsi"/>
          <w:lang w:eastAsia="en-AU"/>
        </w:rPr>
        <w:t>n</w:t>
      </w:r>
      <w:r w:rsidRPr="003E4580">
        <w:rPr>
          <w:rFonts w:eastAsia="Times New Roman" w:cstheme="minorHAnsi"/>
          <w:lang w:eastAsia="en-AU"/>
        </w:rPr>
        <w:t xml:space="preserve"> research suggests from other international markets for an established technology, however the Department considered industry feedback </w:t>
      </w:r>
      <w:r w:rsidR="009F4961" w:rsidRPr="003E4580">
        <w:rPr>
          <w:rFonts w:eastAsia="Times New Roman" w:cstheme="minorHAnsi"/>
          <w:lang w:eastAsia="en-AU"/>
        </w:rPr>
        <w:t xml:space="preserve">on costs that may have increased due to the unique heavy vehicle sector in Australia. </w:t>
      </w:r>
      <w:r w:rsidR="009A78CB" w:rsidRPr="003E4580">
        <w:rPr>
          <w:rFonts w:eastAsia="Times New Roman" w:cstheme="minorHAnsi"/>
          <w:lang w:eastAsia="en-AU"/>
        </w:rPr>
        <w:t>The net benefits and BCRs remained positive</w:t>
      </w:r>
      <w:r w:rsidR="009F4961" w:rsidRPr="003E4580">
        <w:rPr>
          <w:rFonts w:eastAsia="Times New Roman" w:cstheme="minorHAnsi"/>
          <w:lang w:eastAsia="en-AU"/>
        </w:rPr>
        <w:t xml:space="preserve"> for the low cost case and base case, however the BCR dipped marginally below 1 (0.8) for the high cost case</w:t>
      </w:r>
      <w:r w:rsidR="009A78CB" w:rsidRPr="003E4580">
        <w:rPr>
          <w:rFonts w:eastAsia="Times New Roman" w:cstheme="minorHAnsi"/>
          <w:lang w:eastAsia="en-AU"/>
        </w:rPr>
        <w:t>.</w:t>
      </w:r>
      <w:bookmarkEnd w:id="54"/>
    </w:p>
    <w:p w14:paraId="56B8711B" w14:textId="070C01EE" w:rsidR="009F4961" w:rsidRPr="003E4580" w:rsidRDefault="009F4961" w:rsidP="009F4961">
      <w:pPr>
        <w:pStyle w:val="Caption"/>
        <w:keepNext/>
      </w:pPr>
      <w:bookmarkStart w:id="55" w:name="_Toc136912404"/>
      <w:r w:rsidRPr="003E4580">
        <w:t xml:space="preserve">Table </w:t>
      </w:r>
      <w:r w:rsidR="00BF64CF">
        <w:fldChar w:fldCharType="begin"/>
      </w:r>
      <w:r w:rsidR="00BF64CF">
        <w:instrText xml:space="preserve"> SEQ Table \* ARABIC </w:instrText>
      </w:r>
      <w:r w:rsidR="00BF64CF">
        <w:fldChar w:fldCharType="separate"/>
      </w:r>
      <w:r w:rsidR="002E4782" w:rsidRPr="003E4580">
        <w:rPr>
          <w:noProof/>
        </w:rPr>
        <w:t>11</w:t>
      </w:r>
      <w:r w:rsidR="00BF64CF">
        <w:rPr>
          <w:noProof/>
        </w:rPr>
        <w:fldChar w:fldCharType="end"/>
      </w:r>
      <w:r w:rsidRPr="003E4580">
        <w:t>: Impact on Net Benefits and BCR of changes to unit fitment cost of LDWS for heavy vehicles</w:t>
      </w:r>
      <w:bookmarkEnd w:id="55"/>
    </w:p>
    <w:tbl>
      <w:tblPr>
        <w:tblStyle w:val="DefaultTable1"/>
        <w:tblW w:w="5000" w:type="pct"/>
        <w:tblLook w:val="04E0" w:firstRow="1" w:lastRow="1" w:firstColumn="1" w:lastColumn="0" w:noHBand="0" w:noVBand="1"/>
        <w:tblCaption w:val="Sample table"/>
        <w:tblDescription w:val="Sample table"/>
      </w:tblPr>
      <w:tblGrid>
        <w:gridCol w:w="3288"/>
        <w:gridCol w:w="3289"/>
        <w:gridCol w:w="3287"/>
      </w:tblGrid>
      <w:tr w:rsidR="009A78CB" w:rsidRPr="003E4580" w14:paraId="4807A4D2" w14:textId="77777777" w:rsidTr="00724DC4">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67" w:type="pct"/>
          </w:tcPr>
          <w:p w14:paraId="1AE3392A" w14:textId="77777777" w:rsidR="009A78CB" w:rsidRPr="003E4580" w:rsidRDefault="009A78CB" w:rsidP="00724DC4">
            <w:pPr>
              <w:jc w:val="center"/>
              <w:rPr>
                <w:b w:val="0"/>
              </w:rPr>
            </w:pPr>
          </w:p>
        </w:tc>
        <w:tc>
          <w:tcPr>
            <w:tcW w:w="1667" w:type="pct"/>
          </w:tcPr>
          <w:p w14:paraId="1A14C1E6" w14:textId="2469604C" w:rsidR="009A78CB" w:rsidRPr="003E4580" w:rsidRDefault="00143E77" w:rsidP="00724DC4">
            <w:pPr>
              <w:jc w:val="center"/>
              <w:cnfStyle w:val="100000000000" w:firstRow="1" w:lastRow="0" w:firstColumn="0" w:lastColumn="0" w:oddVBand="0" w:evenVBand="0" w:oddHBand="0" w:evenHBand="0" w:firstRowFirstColumn="0" w:firstRowLastColumn="0" w:lastRowFirstColumn="0" w:lastRowLastColumn="0"/>
              <w:rPr>
                <w:b w:val="0"/>
              </w:rPr>
            </w:pPr>
            <w:r w:rsidRPr="003E4580">
              <w:rPr>
                <w:b w:val="0"/>
              </w:rPr>
              <w:t>LDWS fitment Cost</w:t>
            </w:r>
          </w:p>
        </w:tc>
        <w:tc>
          <w:tcPr>
            <w:tcW w:w="1666" w:type="pct"/>
          </w:tcPr>
          <w:p w14:paraId="295F4C87" w14:textId="77777777" w:rsidR="009A78CB" w:rsidRPr="003E4580" w:rsidRDefault="009A78CB" w:rsidP="00724DC4">
            <w:pPr>
              <w:jc w:val="center"/>
              <w:cnfStyle w:val="100000000000" w:firstRow="1" w:lastRow="0" w:firstColumn="0" w:lastColumn="0" w:oddVBand="0" w:evenVBand="0" w:oddHBand="0" w:evenHBand="0" w:firstRowFirstColumn="0" w:firstRowLastColumn="0" w:lastRowFirstColumn="0" w:lastRowLastColumn="0"/>
            </w:pPr>
            <w:r w:rsidRPr="003E4580">
              <w:t>BCR</w:t>
            </w:r>
          </w:p>
        </w:tc>
      </w:tr>
      <w:tr w:rsidR="009A78CB" w:rsidRPr="003E4580" w14:paraId="37574260" w14:textId="77777777" w:rsidTr="00724DC4">
        <w:tc>
          <w:tcPr>
            <w:cnfStyle w:val="001000000000" w:firstRow="0" w:lastRow="0" w:firstColumn="1" w:lastColumn="0" w:oddVBand="0" w:evenVBand="0" w:oddHBand="0" w:evenHBand="0" w:firstRowFirstColumn="0" w:firstRowLastColumn="0" w:lastRowFirstColumn="0" w:lastRowLastColumn="0"/>
            <w:tcW w:w="1667" w:type="pct"/>
          </w:tcPr>
          <w:p w14:paraId="660C0B4E" w14:textId="14E64F48" w:rsidR="009A78CB" w:rsidRPr="003E4580" w:rsidRDefault="009A78CB" w:rsidP="00724DC4">
            <w:pPr>
              <w:rPr>
                <w:b w:val="0"/>
              </w:rPr>
            </w:pPr>
            <w:r w:rsidRPr="003E4580">
              <w:rPr>
                <w:b w:val="0"/>
              </w:rPr>
              <w:t>Low cost (Base case -$500)</w:t>
            </w:r>
          </w:p>
        </w:tc>
        <w:tc>
          <w:tcPr>
            <w:tcW w:w="1667" w:type="pct"/>
          </w:tcPr>
          <w:p w14:paraId="771AAF89" w14:textId="08E22EC2" w:rsidR="009A78CB" w:rsidRPr="003E4580" w:rsidRDefault="00143E77" w:rsidP="00724DC4">
            <w:pPr>
              <w:jc w:val="center"/>
              <w:cnfStyle w:val="000000000000" w:firstRow="0" w:lastRow="0" w:firstColumn="0" w:lastColumn="0" w:oddVBand="0" w:evenVBand="0" w:oddHBand="0" w:evenHBand="0" w:firstRowFirstColumn="0" w:firstRowLastColumn="0" w:lastRowFirstColumn="0" w:lastRowLastColumn="0"/>
            </w:pPr>
            <w:r w:rsidRPr="003E4580">
              <w:t>1300</w:t>
            </w:r>
          </w:p>
        </w:tc>
        <w:tc>
          <w:tcPr>
            <w:tcW w:w="1666" w:type="pct"/>
          </w:tcPr>
          <w:p w14:paraId="55CD12CE" w14:textId="1C4C56CC" w:rsidR="009A78CB" w:rsidRPr="003E4580" w:rsidRDefault="00143E77" w:rsidP="00724DC4">
            <w:pPr>
              <w:jc w:val="center"/>
              <w:cnfStyle w:val="000000000000" w:firstRow="0" w:lastRow="0" w:firstColumn="0" w:lastColumn="0" w:oddVBand="0" w:evenVBand="0" w:oddHBand="0" w:evenHBand="0" w:firstRowFirstColumn="0" w:firstRowLastColumn="0" w:lastRowFirstColumn="0" w:lastRowLastColumn="0"/>
            </w:pPr>
            <w:r w:rsidRPr="003E4580">
              <w:t>1.2</w:t>
            </w:r>
          </w:p>
        </w:tc>
      </w:tr>
      <w:tr w:rsidR="009A78CB" w:rsidRPr="003E4580" w14:paraId="18DF32CD" w14:textId="77777777" w:rsidTr="00724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84AD498" w14:textId="1B71434B" w:rsidR="009A78CB" w:rsidRPr="003E4580" w:rsidRDefault="009A78CB" w:rsidP="00724DC4">
            <w:pPr>
              <w:rPr>
                <w:b w:val="0"/>
              </w:rPr>
            </w:pPr>
            <w:r w:rsidRPr="003E4580">
              <w:rPr>
                <w:b w:val="0"/>
              </w:rPr>
              <w:t>Base case cost (likely)</w:t>
            </w:r>
          </w:p>
        </w:tc>
        <w:tc>
          <w:tcPr>
            <w:tcW w:w="1667" w:type="pct"/>
          </w:tcPr>
          <w:p w14:paraId="19CAAFED" w14:textId="45BC5FEF" w:rsidR="009A78CB" w:rsidRPr="003E4580" w:rsidRDefault="009F4961" w:rsidP="00724DC4">
            <w:pPr>
              <w:jc w:val="center"/>
              <w:cnfStyle w:val="000000010000" w:firstRow="0" w:lastRow="0" w:firstColumn="0" w:lastColumn="0" w:oddVBand="0" w:evenVBand="0" w:oddHBand="0" w:evenHBand="1" w:firstRowFirstColumn="0" w:firstRowLastColumn="0" w:lastRowFirstColumn="0" w:lastRowLastColumn="0"/>
            </w:pPr>
            <w:r w:rsidRPr="003E4580">
              <w:t>1,000 (min) – 1,800 (max)</w:t>
            </w:r>
          </w:p>
        </w:tc>
        <w:tc>
          <w:tcPr>
            <w:tcW w:w="1666" w:type="pct"/>
          </w:tcPr>
          <w:p w14:paraId="0FCBCF5F" w14:textId="36A73871" w:rsidR="009A78CB" w:rsidRPr="003E4580" w:rsidRDefault="00143E77" w:rsidP="00724DC4">
            <w:pPr>
              <w:jc w:val="center"/>
              <w:cnfStyle w:val="000000010000" w:firstRow="0" w:lastRow="0" w:firstColumn="0" w:lastColumn="0" w:oddVBand="0" w:evenVBand="0" w:oddHBand="0" w:evenHBand="1" w:firstRowFirstColumn="0" w:firstRowLastColumn="0" w:lastRowFirstColumn="0" w:lastRowLastColumn="0"/>
            </w:pPr>
            <w:r w:rsidRPr="003E4580">
              <w:t>1.0</w:t>
            </w:r>
          </w:p>
        </w:tc>
      </w:tr>
      <w:tr w:rsidR="009A78CB" w:rsidRPr="003E4580" w14:paraId="42452D1B" w14:textId="77777777" w:rsidTr="00724DC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5AC9A4B" w14:textId="79FCAA4C" w:rsidR="009A78CB" w:rsidRPr="003E4580" w:rsidRDefault="009A78CB" w:rsidP="00724DC4">
            <w:pPr>
              <w:rPr>
                <w:b w:val="0"/>
              </w:rPr>
            </w:pPr>
            <w:r w:rsidRPr="003E4580">
              <w:rPr>
                <w:b w:val="0"/>
              </w:rPr>
              <w:t xml:space="preserve">High cost (Base case +500) </w:t>
            </w:r>
          </w:p>
        </w:tc>
        <w:tc>
          <w:tcPr>
            <w:tcW w:w="1667" w:type="pct"/>
          </w:tcPr>
          <w:p w14:paraId="09A81574" w14:textId="414FF8D1" w:rsidR="009A78CB" w:rsidRPr="003E4580" w:rsidRDefault="009F4961"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2300</w:t>
            </w:r>
          </w:p>
        </w:tc>
        <w:tc>
          <w:tcPr>
            <w:tcW w:w="1666" w:type="pct"/>
          </w:tcPr>
          <w:p w14:paraId="104BAD54" w14:textId="059E4DEC" w:rsidR="009A78CB" w:rsidRPr="003E4580" w:rsidRDefault="00143E77"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0.8</w:t>
            </w:r>
          </w:p>
        </w:tc>
      </w:tr>
    </w:tbl>
    <w:p w14:paraId="2B60D2C7" w14:textId="7929DF3D" w:rsidR="005A467F" w:rsidRPr="003E4580" w:rsidRDefault="005A467F" w:rsidP="00F8546C">
      <w:pPr>
        <w:pStyle w:val="Heading3"/>
        <w:keepNext w:val="0"/>
        <w:keepLines w:val="0"/>
      </w:pPr>
      <w:bookmarkStart w:id="56" w:name="_Toc146894883"/>
      <w:r w:rsidRPr="003E4580">
        <w:t xml:space="preserve">Fitment effect of </w:t>
      </w:r>
      <w:r w:rsidR="001A3C46" w:rsidRPr="003E4580">
        <w:t>Option 2</w:t>
      </w:r>
      <w:bookmarkEnd w:id="56"/>
    </w:p>
    <w:p w14:paraId="3C82E426" w14:textId="3B531274" w:rsidR="00D42B8F" w:rsidRPr="003E4580" w:rsidRDefault="00D42B8F" w:rsidP="00F8546C">
      <w:r w:rsidRPr="003E4580">
        <w:t xml:space="preserve">Figure </w:t>
      </w:r>
      <w:r w:rsidR="003147B2" w:rsidRPr="003E4580">
        <w:t>8</w:t>
      </w:r>
      <w:r w:rsidRPr="003E4580">
        <w:t xml:space="preserve"> show</w:t>
      </w:r>
      <w:r w:rsidR="00035E18" w:rsidRPr="003E4580">
        <w:t>s</w:t>
      </w:r>
      <w:r w:rsidRPr="003E4580">
        <w:t xml:space="preserve"> the forecast percentage of fleet fitment under </w:t>
      </w:r>
      <w:r w:rsidR="00AD08D0" w:rsidRPr="003E4580">
        <w:t xml:space="preserve">the </w:t>
      </w:r>
      <w:r w:rsidRPr="003E4580">
        <w:t xml:space="preserve">analysed intervention </w:t>
      </w:r>
      <w:r w:rsidR="00AD08D0" w:rsidRPr="003E4580">
        <w:t>O</w:t>
      </w:r>
      <w:r w:rsidRPr="003E4580">
        <w:t xml:space="preserve">ption </w:t>
      </w:r>
      <w:r w:rsidR="00AD08D0" w:rsidRPr="003E4580">
        <w:t xml:space="preserve">2 </w:t>
      </w:r>
      <w:r w:rsidRPr="003E4580">
        <w:t xml:space="preserve">in comparison to BAU (Option 1). The BAU projected fitment rates up to </w:t>
      </w:r>
      <w:r w:rsidR="0049404F" w:rsidRPr="003E4580">
        <w:t xml:space="preserve">early </w:t>
      </w:r>
      <w:r w:rsidR="00C55CC5" w:rsidRPr="003E4580">
        <w:t>202</w:t>
      </w:r>
      <w:r w:rsidR="0049404F" w:rsidRPr="003E4580">
        <w:t>2</w:t>
      </w:r>
      <w:r w:rsidRPr="003E4580">
        <w:t xml:space="preserve"> were provided by industry. For Option </w:t>
      </w:r>
      <w:r w:rsidR="00AD08D0" w:rsidRPr="003E4580">
        <w:t>2</w:t>
      </w:r>
      <w:r w:rsidRPr="003E4580">
        <w:t xml:space="preserve">, though fitment rates are known to remain close to 100 per cent after a technology is mandated, a </w:t>
      </w:r>
      <w:r w:rsidR="00C55CC5" w:rsidRPr="003E4580">
        <w:t>decay factor</w:t>
      </w:r>
      <w:r w:rsidRPr="003E4580">
        <w:t xml:space="preserve"> in fitment back to BAU rates after a 15-year policy lifespan has been incorporated (to account for example for any future policy variation and/or technology redundancy), conservatively reducing the benefits in the post-intervention run-out period of 35 years by up to 50 per cent</w:t>
      </w:r>
      <w:r w:rsidR="008A2546" w:rsidRPr="003E4580">
        <w:t>.</w:t>
      </w:r>
    </w:p>
    <w:p w14:paraId="04776711" w14:textId="12B33429" w:rsidR="00D42B8F" w:rsidRPr="003E4580" w:rsidRDefault="00CB0804" w:rsidP="00F8546C">
      <w:pPr>
        <w:jc w:val="center"/>
      </w:pPr>
      <w:r w:rsidRPr="003E4580">
        <w:rPr>
          <w:noProof/>
          <w:lang w:eastAsia="en-AU"/>
        </w:rPr>
        <w:drawing>
          <wp:inline distT="0" distB="0" distL="0" distR="0" wp14:anchorId="2A00FD86" wp14:editId="2BCCA977">
            <wp:extent cx="5011420" cy="2209800"/>
            <wp:effectExtent l="0" t="0" r="0" b="0"/>
            <wp:docPr id="26" name="Picture 26" descr="Projected fitment effectc, solid line showing business as usual fitment reaching 70% in 2028 and the dashed line showing Option 2 fitment rate reaching 100% fitment rate i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1420" cy="2209800"/>
                    </a:xfrm>
                    <a:prstGeom prst="rect">
                      <a:avLst/>
                    </a:prstGeom>
                    <a:noFill/>
                  </pic:spPr>
                </pic:pic>
              </a:graphicData>
            </a:graphic>
          </wp:inline>
        </w:drawing>
      </w:r>
    </w:p>
    <w:p w14:paraId="73B9A1CF" w14:textId="6E87D76C" w:rsidR="00D42B8F" w:rsidRPr="003E4580" w:rsidRDefault="00D42B8F" w:rsidP="00D42B8F">
      <w:pPr>
        <w:pStyle w:val="Caption"/>
        <w:jc w:val="center"/>
      </w:pPr>
      <w:r w:rsidRPr="003E4580">
        <w:lastRenderedPageBreak/>
        <w:t xml:space="preserve">Figure </w:t>
      </w:r>
      <w:r w:rsidR="00BF64CF">
        <w:fldChar w:fldCharType="begin"/>
      </w:r>
      <w:r w:rsidR="00BF64CF">
        <w:instrText xml:space="preserve"> SEQ Figure \* ARABIC </w:instrText>
      </w:r>
      <w:r w:rsidR="00BF64CF">
        <w:fldChar w:fldCharType="separate"/>
      </w:r>
      <w:r w:rsidR="008E07C6" w:rsidRPr="003E4580">
        <w:rPr>
          <w:noProof/>
        </w:rPr>
        <w:t>8</w:t>
      </w:r>
      <w:r w:rsidR="00BF64CF">
        <w:rPr>
          <w:noProof/>
        </w:rPr>
        <w:fldChar w:fldCharType="end"/>
      </w:r>
      <w:r w:rsidRPr="003E4580">
        <w:t>: Fitment via Option</w:t>
      </w:r>
      <w:r w:rsidR="008A2546" w:rsidRPr="003E4580">
        <w:t>2</w:t>
      </w:r>
      <w:r w:rsidRPr="003E4580">
        <w:t xml:space="preserve"> compared to BAU</w:t>
      </w:r>
    </w:p>
    <w:p w14:paraId="63F53CF2" w14:textId="77777777" w:rsidR="00F0367E" w:rsidRPr="003E4580" w:rsidRDefault="00F0367E" w:rsidP="00D42B8F">
      <w:pPr>
        <w:rPr>
          <w:b/>
        </w:rPr>
        <w:sectPr w:rsidR="00F0367E" w:rsidRPr="003E4580" w:rsidSect="00D87AD8">
          <w:pgSz w:w="11906" w:h="16838" w:code="9"/>
          <w:pgMar w:top="1021" w:right="1021" w:bottom="1021" w:left="1021" w:header="510" w:footer="567" w:gutter="0"/>
          <w:cols w:space="708"/>
          <w:docGrid w:linePitch="360"/>
        </w:sectPr>
      </w:pPr>
    </w:p>
    <w:p w14:paraId="3381699A" w14:textId="612EAFCD" w:rsidR="00D42B8F" w:rsidRPr="003E4580" w:rsidRDefault="008008B1" w:rsidP="00D42B8F">
      <w:pPr>
        <w:rPr>
          <w:b/>
        </w:rPr>
      </w:pPr>
      <w:r w:rsidRPr="003E4580">
        <w:rPr>
          <w:b/>
        </w:rPr>
        <w:lastRenderedPageBreak/>
        <w:t>Impact of LDWS when fitted to a heavy vehicle</w:t>
      </w:r>
    </w:p>
    <w:p w14:paraId="06BD05E7" w14:textId="77777777" w:rsidR="008008B1" w:rsidRPr="003E4580" w:rsidRDefault="008008B1" w:rsidP="00D42B8F">
      <w:pPr>
        <w:rPr>
          <w:i/>
        </w:rPr>
      </w:pPr>
      <w:r w:rsidRPr="003E4580">
        <w:rPr>
          <w:i/>
        </w:rPr>
        <w:t>Sensitivity</w:t>
      </w:r>
    </w:p>
    <w:p w14:paraId="1C9810F0" w14:textId="322163BF" w:rsidR="008008B1" w:rsidRPr="003E4580" w:rsidRDefault="008008B1" w:rsidP="00D42B8F">
      <w:r w:rsidRPr="003E4580">
        <w:t>Monash University Accident Research Centre (MUARC</w:t>
      </w:r>
      <w:r w:rsidR="00AF43B1" w:rsidRPr="003E4580">
        <w:t>, 2015</w:t>
      </w:r>
      <w:r w:rsidRPr="003E4580">
        <w:t xml:space="preserve">) reported on the impact of </w:t>
      </w:r>
      <w:r w:rsidR="00FF0E4C" w:rsidRPr="003E4580">
        <w:t>LDWS</w:t>
      </w:r>
      <w:r w:rsidRPr="003E4580">
        <w:t xml:space="preserve"> for heavy vehicles in Australia. Crash and crash injury benefits were modelled on police reported crash data on crashes occurring in Australia between 2013-2016 inclusive. The classification of sensitive crashes, those potentially mitigated by </w:t>
      </w:r>
      <w:r w:rsidR="00FF0E4C" w:rsidRPr="003E4580">
        <w:t>LDWS</w:t>
      </w:r>
      <w:r w:rsidRPr="003E4580">
        <w:t xml:space="preserve">, was applied to </w:t>
      </w:r>
      <w:r w:rsidR="00FF0E4C" w:rsidRPr="003E4580">
        <w:t>crashes occurring in Australia.</w:t>
      </w:r>
    </w:p>
    <w:p w14:paraId="10CE8C80" w14:textId="31C3CBF1" w:rsidR="00F75DDA" w:rsidRPr="003E4580" w:rsidRDefault="00050F3D" w:rsidP="00FF0E4C">
      <w:r w:rsidRPr="003E4580">
        <w:t>Four per cent of Australian heavy vehicle crashe</w:t>
      </w:r>
      <w:r w:rsidR="00C82E68" w:rsidRPr="003E4580">
        <w:t>s</w:t>
      </w:r>
      <w:r w:rsidRPr="003E4580">
        <w:t xml:space="preserve"> were identified as sensitive to LDWS, the protection offered was greater for high</w:t>
      </w:r>
      <w:r w:rsidR="00484B5F" w:rsidRPr="003E4580">
        <w:t>er severity crashes with 11 per cent</w:t>
      </w:r>
      <w:r w:rsidRPr="003E4580">
        <w:t xml:space="preserve"> of fatal crashes sensitive to LDWS. Sensitivity to injury crashes was almost double that of property damage only crashes.</w:t>
      </w:r>
    </w:p>
    <w:p w14:paraId="5EF0BEA6" w14:textId="77777777" w:rsidR="00050F3D" w:rsidRPr="003E4580" w:rsidRDefault="00050F3D" w:rsidP="00FF0E4C">
      <w:r w:rsidRPr="003E4580">
        <w:rPr>
          <w:i/>
        </w:rPr>
        <w:t>Effectiveness</w:t>
      </w:r>
    </w:p>
    <w:p w14:paraId="54CED054" w14:textId="0BE5EBF4" w:rsidR="00FF0E4C" w:rsidRPr="003E4580" w:rsidRDefault="00FF0E4C" w:rsidP="00FF0E4C">
      <w:r w:rsidRPr="003E4580">
        <w:t xml:space="preserve">LDWS work well with Autonomous Emergency Braking Systems (AEBS) and help prevent fatigue related crashes. </w:t>
      </w:r>
      <w:r w:rsidR="00050F3D" w:rsidRPr="003E4580">
        <w:t>L</w:t>
      </w:r>
      <w:r w:rsidRPr="003E4580">
        <w:t xml:space="preserve">ane departure crashes </w:t>
      </w:r>
      <w:r w:rsidR="00050F3D" w:rsidRPr="003E4580">
        <w:t>sensitive to</w:t>
      </w:r>
      <w:r w:rsidRPr="003E4580">
        <w:t xml:space="preserve"> LDWS include, single-vehicle roadway departure crashes and same direction and opposite direction lane departure multi-vehicle crashes. These crash types include side-swipes, rollover and head-on crash</w:t>
      </w:r>
      <w:r w:rsidR="008A2546" w:rsidRPr="003E4580">
        <w:t>es</w:t>
      </w:r>
      <w:r w:rsidRPr="003E4580">
        <w:t xml:space="preserve">. </w:t>
      </w:r>
      <w:r w:rsidR="00FE3289" w:rsidRPr="003E4580">
        <w:t xml:space="preserve">MUARC </w:t>
      </w:r>
      <w:r w:rsidR="00050F3D" w:rsidRPr="003E4580">
        <w:t>carried</w:t>
      </w:r>
      <w:r w:rsidR="00524131" w:rsidRPr="003E4580">
        <w:t xml:space="preserve"> forward work done by Robinson </w:t>
      </w:r>
      <w:r w:rsidR="00826DAD" w:rsidRPr="003E4580">
        <w:t xml:space="preserve">in </w:t>
      </w:r>
      <w:r w:rsidR="00524131" w:rsidRPr="003E4580">
        <w:t xml:space="preserve">2010 </w:t>
      </w:r>
      <w:r w:rsidR="003569A0" w:rsidRPr="003E4580">
        <w:t>where a</w:t>
      </w:r>
      <w:r w:rsidR="00524131" w:rsidRPr="003E4580">
        <w:t xml:space="preserve"> </w:t>
      </w:r>
      <w:r w:rsidRPr="003E4580">
        <w:t>LDWS effectiveness of 20-60% reduction</w:t>
      </w:r>
      <w:r w:rsidR="00025153" w:rsidRPr="003E4580">
        <w:t xml:space="preserve"> was assumed</w:t>
      </w:r>
      <w:r w:rsidR="003377C5" w:rsidRPr="003E4580">
        <w:t xml:space="preserve"> (MUARC, 2015)</w:t>
      </w:r>
      <w:r w:rsidRPr="003E4580">
        <w:t xml:space="preserve">. As fatigue related crashes are not accurately identifiable in Australian crash databases, </w:t>
      </w:r>
      <w:r w:rsidR="00524131" w:rsidRPr="003E4580">
        <w:t xml:space="preserve">MUARC used the approach developed by Anderson </w:t>
      </w:r>
      <w:r w:rsidR="00FD17AC" w:rsidRPr="003E4580">
        <w:t xml:space="preserve">in </w:t>
      </w:r>
      <w:r w:rsidR="00524131" w:rsidRPr="003E4580">
        <w:t>2011</w:t>
      </w:r>
      <w:r w:rsidRPr="003E4580">
        <w:t xml:space="preserve"> to estimate fatigue warning system efficacy. </w:t>
      </w:r>
      <w:r w:rsidR="00524131" w:rsidRPr="003E4580">
        <w:t>I</w:t>
      </w:r>
      <w:r w:rsidRPr="003E4580">
        <w:t>n this study</w:t>
      </w:r>
      <w:r w:rsidR="008B32CC" w:rsidRPr="003E4580">
        <w:t>,</w:t>
      </w:r>
      <w:r w:rsidRPr="003E4580">
        <w:t xml:space="preserve"> </w:t>
      </w:r>
      <w:r w:rsidR="00524131" w:rsidRPr="003E4580">
        <w:t xml:space="preserve">MUARC assumed </w:t>
      </w:r>
      <w:r w:rsidRPr="003E4580">
        <w:t xml:space="preserve">that efficacies in specific types of heavy vehicles may be applied to all heavy vehicle and bus (&gt;4.5 t GVM) types in all severity injuries resulting from LDWS sensitive crashes. </w:t>
      </w:r>
      <w:r w:rsidR="00524131" w:rsidRPr="003E4580">
        <w:t xml:space="preserve">MUARC </w:t>
      </w:r>
      <w:r w:rsidR="00FD17AC" w:rsidRPr="003E4580">
        <w:t>(</w:t>
      </w:r>
      <w:r w:rsidR="00AF43B1" w:rsidRPr="003E4580">
        <w:t>MUARC, 2015</w:t>
      </w:r>
      <w:r w:rsidR="00FD17AC" w:rsidRPr="003E4580">
        <w:t xml:space="preserve">) </w:t>
      </w:r>
      <w:r w:rsidR="00524131" w:rsidRPr="003E4580">
        <w:t xml:space="preserve">noted that </w:t>
      </w:r>
      <w:r w:rsidRPr="003E4580">
        <w:t>Houser</w:t>
      </w:r>
      <w:r w:rsidR="003377C5" w:rsidRPr="003E4580">
        <w:t xml:space="preserve"> (</w:t>
      </w:r>
      <w:r w:rsidRPr="003E4580">
        <w:t>2009</w:t>
      </w:r>
      <w:r w:rsidR="003377C5" w:rsidRPr="003E4580">
        <w:t>)</w:t>
      </w:r>
      <w:r w:rsidRPr="003E4580">
        <w:t xml:space="preserve"> assessed efficacy (in large trucks) in reducing the LD</w:t>
      </w:r>
      <w:r w:rsidR="00524131" w:rsidRPr="003E4580">
        <w:t>WS sensitive crashes as: 23-53 per cent</w:t>
      </w:r>
      <w:r w:rsidRPr="003E4580">
        <w:t xml:space="preserve"> for single vehicle roadw</w:t>
      </w:r>
      <w:r w:rsidR="00524131" w:rsidRPr="003E4580">
        <w:t>ay departure collisions, 24-50 per cent</w:t>
      </w:r>
      <w:r w:rsidRPr="003E4580">
        <w:t xml:space="preserve"> for single vehicle roadway departure </w:t>
      </w:r>
      <w:r w:rsidR="00524131" w:rsidRPr="003E4580">
        <w:t>rollovers, and 23-46 per cent</w:t>
      </w:r>
      <w:r w:rsidRPr="003E4580">
        <w:t xml:space="preserve"> for same direction lane departure and other direction lane departure over-the-lane-line multi-vehicle collisions. The lower figure of the range was evaluated from a Mack field operation test studying single vehicle run-off road crashes and rollovers not caused by an impact. The upper figure resulted from motor carrier information. </w:t>
      </w:r>
      <w:r w:rsidR="00524131" w:rsidRPr="003E4580">
        <w:t xml:space="preserve">MUARC </w:t>
      </w:r>
      <w:r w:rsidRPr="003E4580">
        <w:t xml:space="preserve">applied </w:t>
      </w:r>
      <w:r w:rsidR="00524131" w:rsidRPr="003E4580">
        <w:t xml:space="preserve">these efficacies </w:t>
      </w:r>
      <w:r w:rsidRPr="003E4580">
        <w:t>equally</w:t>
      </w:r>
      <w:r w:rsidR="00524131" w:rsidRPr="003E4580">
        <w:t xml:space="preserve"> across</w:t>
      </w:r>
      <w:r w:rsidRPr="003E4580">
        <w:t xml:space="preserve"> crashes of all severities. </w:t>
      </w:r>
      <w:r w:rsidR="003377C5" w:rsidRPr="003E4580">
        <w:t>MUARC used the modest efficacy range of 23-50 per cent on all sensitive crashes equally. They made this decision based on the fact that Houser’s range of values is almost the same for each crash type.</w:t>
      </w:r>
    </w:p>
    <w:p w14:paraId="1D1B012E" w14:textId="77777777" w:rsidR="00F75DDA" w:rsidRPr="003E4580" w:rsidRDefault="00050F3D" w:rsidP="00FF0E4C">
      <w:r w:rsidRPr="003E4580">
        <w:t xml:space="preserve">The overall effectiveness of heavy vehicle LDWS against trauma has been modelled using the lower end of this range. Like other vehicle safety technologies, LDWS effectiveness is expected to be higher for fatal and serious injuries than for minor injuries. This is due in part to the effect of downgrading of trauma severity at higher trauma levels (to serious, minor or completely mitigated from fatal) whereas for minor severity traumas, complete mitigation is the only improved outcome. This effect is modelled as an approximate 10 per cent increment in effectiveness for mitigation of fatal and serious injury crash outcomes over that of minor injury crashes, which has been observed in light vehicle crash outcomes and for which data is available. </w:t>
      </w:r>
    </w:p>
    <w:p w14:paraId="3009134F" w14:textId="58C4291E" w:rsidR="00050F3D" w:rsidRPr="003E4580" w:rsidRDefault="00050F3D" w:rsidP="00FF0E4C">
      <w:r w:rsidRPr="003E4580">
        <w:t>MUARC found that LDWS technologies were more sensitive to the crashes of articulated trucks and road trains than to those of rigid trucks and buses. Though LDWS effectiveness is typically higher in high severity (for example, highway/high speed) crashes, low severity crashes occurring in lower speed areas (above 60 km/h up to 80 km/h) are higher in frequency. This biases the expected effectiveness in an arbitrary crash towards lower ranges. On the basis of the above, the adopted effectiveness values were</w:t>
      </w:r>
      <w:r w:rsidR="003377C5" w:rsidRPr="003E4580">
        <w:t xml:space="preserve"> assumed to be</w:t>
      </w:r>
      <w:r w:rsidRPr="003E4580">
        <w:t xml:space="preserve"> 30 per cent for all sensitive trauma crashes and 40 per cent for higher severity (fatal and serious injury) crashes.</w:t>
      </w:r>
    </w:p>
    <w:p w14:paraId="6829BADE" w14:textId="4F984E02" w:rsidR="00B67ED9" w:rsidRPr="003E4580" w:rsidRDefault="001E56E8" w:rsidP="00B67ED9">
      <w:pPr>
        <w:pStyle w:val="Heading4"/>
      </w:pPr>
      <w:r w:rsidRPr="003E4580">
        <w:t xml:space="preserve">Summary of </w:t>
      </w:r>
      <w:r w:rsidR="00B67ED9" w:rsidRPr="003E4580">
        <w:t>Benefit-Cost Analysis Post-Consultation Variations</w:t>
      </w:r>
    </w:p>
    <w:p w14:paraId="522AE8A4" w14:textId="27D271FA" w:rsidR="00C254C6" w:rsidRPr="003E4580" w:rsidRDefault="00025BBA" w:rsidP="00025BBA">
      <w:pPr>
        <w:rPr>
          <w:color w:val="000000"/>
          <w:highlight w:val="yellow"/>
          <w:shd w:val="clear" w:color="auto" w:fill="FFFFFF"/>
        </w:rPr>
      </w:pPr>
      <w:r w:rsidRPr="003E4580">
        <w:t>During consultation, the TIC suggested t</w:t>
      </w:r>
      <w:r w:rsidR="00724DC4" w:rsidRPr="003E4580">
        <w:t xml:space="preserve">he costings detailed in </w:t>
      </w:r>
      <w:r w:rsidRPr="003E4580">
        <w:t xml:space="preserve">the Consultation </w:t>
      </w:r>
      <w:r w:rsidR="003377C5" w:rsidRPr="003E4580">
        <w:t>IA</w:t>
      </w:r>
      <w:r w:rsidRPr="003E4580">
        <w:t xml:space="preserve"> </w:t>
      </w:r>
      <w:r w:rsidR="00724DC4" w:rsidRPr="003E4580">
        <w:t xml:space="preserve">should be reviewed and revised and the </w:t>
      </w:r>
      <w:r w:rsidR="00BA479C" w:rsidRPr="003E4580">
        <w:t>IA</w:t>
      </w:r>
      <w:r w:rsidR="00724DC4" w:rsidRPr="003E4580">
        <w:t xml:space="preserve"> justification recalculated and shared with industry for review, to ensure that an accurate cost-to-benefit analysis has been performed</w:t>
      </w:r>
      <w:r w:rsidRPr="003E4580">
        <w:t>. To account for this</w:t>
      </w:r>
      <w:r w:rsidR="003377C5" w:rsidRPr="003E4580">
        <w:t>,</w:t>
      </w:r>
      <w:r w:rsidRPr="003E4580">
        <w:t xml:space="preserve"> costings were shared with industry outside the consultation period to validate the analysis. Figures received from industry were incorporated into the analysis which showed </w:t>
      </w:r>
      <w:r w:rsidR="003377C5" w:rsidRPr="003E4580">
        <w:t xml:space="preserve">that even with an </w:t>
      </w:r>
      <w:r w:rsidRPr="003E4580">
        <w:rPr>
          <w:color w:val="000000"/>
          <w:shd w:val="clear" w:color="auto" w:fill="FFFFFF"/>
        </w:rPr>
        <w:t xml:space="preserve">increase in the </w:t>
      </w:r>
      <w:r w:rsidR="003377C5" w:rsidRPr="003E4580">
        <w:rPr>
          <w:color w:val="000000"/>
          <w:shd w:val="clear" w:color="auto" w:fill="FFFFFF"/>
        </w:rPr>
        <w:t xml:space="preserve">development and testing costs </w:t>
      </w:r>
      <w:r w:rsidRPr="003E4580">
        <w:rPr>
          <w:color w:val="000000"/>
          <w:shd w:val="clear" w:color="auto" w:fill="FFFFFF"/>
        </w:rPr>
        <w:t>per model</w:t>
      </w:r>
      <w:r w:rsidR="003377C5" w:rsidRPr="003E4580">
        <w:rPr>
          <w:color w:val="000000"/>
          <w:shd w:val="clear" w:color="auto" w:fill="FFFFFF"/>
        </w:rPr>
        <w:t xml:space="preserve"> </w:t>
      </w:r>
      <w:r w:rsidR="002220C5" w:rsidRPr="003E4580">
        <w:rPr>
          <w:color w:val="000000"/>
          <w:shd w:val="clear" w:color="auto" w:fill="FFFFFF"/>
        </w:rPr>
        <w:t>and an increase in the fitment cost</w:t>
      </w:r>
      <w:r w:rsidR="003377C5" w:rsidRPr="003E4580">
        <w:rPr>
          <w:color w:val="000000"/>
          <w:shd w:val="clear" w:color="auto" w:fill="FFFFFF"/>
        </w:rPr>
        <w:t xml:space="preserve"> per vehicle, </w:t>
      </w:r>
      <w:r w:rsidRPr="003E4580">
        <w:rPr>
          <w:color w:val="000000"/>
          <w:shd w:val="clear" w:color="auto" w:fill="FFFFFF"/>
        </w:rPr>
        <w:t>the benefit-cost ratios remained</w:t>
      </w:r>
      <w:r w:rsidR="002220C5" w:rsidRPr="003E4580">
        <w:rPr>
          <w:color w:val="000000"/>
          <w:shd w:val="clear" w:color="auto" w:fill="FFFFFF"/>
        </w:rPr>
        <w:t xml:space="preserve"> relatively</w:t>
      </w:r>
      <w:r w:rsidRPr="003E4580">
        <w:rPr>
          <w:color w:val="000000"/>
          <w:shd w:val="clear" w:color="auto" w:fill="FFFFFF"/>
        </w:rPr>
        <w:t xml:space="preserve"> constant (to one decimal place)</w:t>
      </w:r>
      <w:r w:rsidR="002220C5" w:rsidRPr="003E4580">
        <w:rPr>
          <w:color w:val="000000"/>
          <w:shd w:val="clear" w:color="auto" w:fill="FFFFFF"/>
        </w:rPr>
        <w:t xml:space="preserve"> at 1.0 however these increased costs did bring down the initial BCR of 1.1 in the likely case from the Consultation IA in April 202</w:t>
      </w:r>
      <w:r w:rsidR="007C71CB" w:rsidRPr="003E4580">
        <w:rPr>
          <w:color w:val="000000"/>
          <w:shd w:val="clear" w:color="auto" w:fill="FFFFFF"/>
        </w:rPr>
        <w:t>2</w:t>
      </w:r>
      <w:r w:rsidRPr="003E4580">
        <w:rPr>
          <w:color w:val="000000"/>
          <w:shd w:val="clear" w:color="auto" w:fill="FFFFFF"/>
        </w:rPr>
        <w:t xml:space="preserve">. </w:t>
      </w:r>
      <w:r w:rsidR="008B32CC" w:rsidRPr="003E4580">
        <w:rPr>
          <w:color w:val="000000"/>
          <w:shd w:val="clear" w:color="auto" w:fill="FFFFFF"/>
        </w:rPr>
        <w:t>Therefore</w:t>
      </w:r>
      <w:r w:rsidRPr="003E4580">
        <w:rPr>
          <w:color w:val="000000"/>
          <w:shd w:val="clear" w:color="auto" w:fill="FFFFFF"/>
        </w:rPr>
        <w:t>, the recommended option remains the same.</w:t>
      </w:r>
    </w:p>
    <w:p w14:paraId="13FD1959" w14:textId="43A955DD" w:rsidR="002220C5" w:rsidRPr="003E4580" w:rsidRDefault="002220C5" w:rsidP="002220C5">
      <w:pPr>
        <w:pStyle w:val="Caption"/>
        <w:keepNext/>
      </w:pPr>
      <w:bookmarkStart w:id="57" w:name="_Toc136912405"/>
      <w:r w:rsidRPr="003E4580">
        <w:lastRenderedPageBreak/>
        <w:t xml:space="preserve">Table </w:t>
      </w:r>
      <w:r w:rsidR="00BF64CF">
        <w:fldChar w:fldCharType="begin"/>
      </w:r>
      <w:r w:rsidR="00BF64CF">
        <w:instrText xml:space="preserve"> SEQ Table \* ARABIC </w:instrText>
      </w:r>
      <w:r w:rsidR="00BF64CF">
        <w:fldChar w:fldCharType="separate"/>
      </w:r>
      <w:r w:rsidR="002E4782" w:rsidRPr="003E4580">
        <w:rPr>
          <w:noProof/>
        </w:rPr>
        <w:t>12</w:t>
      </w:r>
      <w:r w:rsidR="00BF64CF">
        <w:rPr>
          <w:noProof/>
        </w:rPr>
        <w:fldChar w:fldCharType="end"/>
      </w:r>
      <w:r w:rsidRPr="003E4580">
        <w:t>: Impact on BCR with increases in LDWS validation test/certification/system fitment/design costs</w:t>
      </w:r>
      <w:bookmarkEnd w:id="57"/>
    </w:p>
    <w:tbl>
      <w:tblPr>
        <w:tblStyle w:val="DefaultTable1"/>
        <w:tblW w:w="5000" w:type="pct"/>
        <w:tblLook w:val="04E0" w:firstRow="1" w:lastRow="1" w:firstColumn="1" w:lastColumn="0" w:noHBand="0" w:noVBand="1"/>
        <w:tblCaption w:val="Sample table"/>
        <w:tblDescription w:val="Sample table"/>
      </w:tblPr>
      <w:tblGrid>
        <w:gridCol w:w="2400"/>
        <w:gridCol w:w="7"/>
        <w:gridCol w:w="868"/>
        <w:gridCol w:w="7"/>
        <w:gridCol w:w="866"/>
        <w:gridCol w:w="10"/>
        <w:gridCol w:w="980"/>
        <w:gridCol w:w="1117"/>
        <w:gridCol w:w="1251"/>
        <w:gridCol w:w="1247"/>
        <w:gridCol w:w="1111"/>
      </w:tblGrid>
      <w:tr w:rsidR="002220C5" w:rsidRPr="003E4580" w14:paraId="6C294BC1" w14:textId="57A25A2B" w:rsidTr="002220C5">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217" w:type="pct"/>
          </w:tcPr>
          <w:p w14:paraId="2ACDC82A" w14:textId="77777777" w:rsidR="002220C5" w:rsidRPr="003E4580" w:rsidRDefault="002220C5" w:rsidP="00947F8C">
            <w:r w:rsidRPr="003E4580">
              <w:t>Cost description</w:t>
            </w:r>
          </w:p>
        </w:tc>
        <w:tc>
          <w:tcPr>
            <w:tcW w:w="1388" w:type="pct"/>
            <w:gridSpan w:val="6"/>
          </w:tcPr>
          <w:p w14:paraId="3384B3D9" w14:textId="77777777" w:rsidR="002220C5" w:rsidRPr="003E4580" w:rsidRDefault="002220C5" w:rsidP="00947F8C">
            <w:pPr>
              <w:jc w:val="center"/>
              <w:cnfStyle w:val="100000000000" w:firstRow="1" w:lastRow="0" w:firstColumn="0" w:lastColumn="0" w:oddVBand="0" w:evenVBand="0" w:oddHBand="0" w:evenHBand="0" w:firstRowFirstColumn="0" w:firstRowLastColumn="0" w:lastRowFirstColumn="0" w:lastRowLastColumn="0"/>
            </w:pPr>
            <w:r w:rsidRPr="003E4580">
              <w:t xml:space="preserve"> Cost relative to BAU</w:t>
            </w:r>
          </w:p>
        </w:tc>
        <w:tc>
          <w:tcPr>
            <w:tcW w:w="566" w:type="pct"/>
          </w:tcPr>
          <w:p w14:paraId="04F45557" w14:textId="77777777" w:rsidR="002220C5" w:rsidRPr="003E4580" w:rsidRDefault="002220C5" w:rsidP="00947F8C">
            <w:pPr>
              <w:jc w:val="center"/>
              <w:cnfStyle w:val="100000000000" w:firstRow="1" w:lastRow="0" w:firstColumn="0" w:lastColumn="0" w:oddVBand="0" w:evenVBand="0" w:oddHBand="0" w:evenHBand="0" w:firstRowFirstColumn="0" w:firstRowLastColumn="0" w:lastRowFirstColumn="0" w:lastRowLastColumn="0"/>
              <w:rPr>
                <w:b w:val="0"/>
              </w:rPr>
            </w:pPr>
            <w:r w:rsidRPr="003E4580">
              <w:t>Option</w:t>
            </w:r>
          </w:p>
        </w:tc>
        <w:tc>
          <w:tcPr>
            <w:tcW w:w="634" w:type="pct"/>
          </w:tcPr>
          <w:p w14:paraId="2C7AA55A" w14:textId="77777777" w:rsidR="002220C5" w:rsidRPr="003E4580" w:rsidRDefault="002220C5" w:rsidP="00947F8C">
            <w:pPr>
              <w:jc w:val="center"/>
              <w:cnfStyle w:val="100000000000" w:firstRow="1" w:lastRow="0" w:firstColumn="0" w:lastColumn="0" w:oddVBand="0" w:evenVBand="0" w:oddHBand="0" w:evenHBand="0" w:firstRowFirstColumn="0" w:firstRowLastColumn="0" w:lastRowFirstColumn="0" w:lastRowLastColumn="0"/>
            </w:pPr>
            <w:r w:rsidRPr="003E4580">
              <w:t>Applicability</w:t>
            </w:r>
          </w:p>
        </w:tc>
        <w:tc>
          <w:tcPr>
            <w:tcW w:w="632" w:type="pct"/>
          </w:tcPr>
          <w:p w14:paraId="782630C1" w14:textId="77777777" w:rsidR="002220C5" w:rsidRPr="003E4580" w:rsidRDefault="002220C5" w:rsidP="00947F8C">
            <w:pPr>
              <w:jc w:val="center"/>
              <w:cnfStyle w:val="100000000000" w:firstRow="1" w:lastRow="0" w:firstColumn="0" w:lastColumn="0" w:oddVBand="0" w:evenVBand="0" w:oddHBand="0" w:evenHBand="0" w:firstRowFirstColumn="0" w:firstRowLastColumn="0" w:lastRowFirstColumn="0" w:lastRowLastColumn="0"/>
            </w:pPr>
            <w:r w:rsidRPr="003E4580">
              <w:t>Impact</w:t>
            </w:r>
          </w:p>
        </w:tc>
        <w:tc>
          <w:tcPr>
            <w:tcW w:w="563" w:type="pct"/>
          </w:tcPr>
          <w:p w14:paraId="0A69F54C" w14:textId="2E291ED8" w:rsidR="002220C5" w:rsidRPr="003E4580" w:rsidRDefault="002220C5" w:rsidP="00947F8C">
            <w:pPr>
              <w:jc w:val="center"/>
              <w:cnfStyle w:val="100000000000" w:firstRow="1" w:lastRow="0" w:firstColumn="0" w:lastColumn="0" w:oddVBand="0" w:evenVBand="0" w:oddHBand="0" w:evenHBand="0" w:firstRowFirstColumn="0" w:firstRowLastColumn="0" w:lastRowFirstColumn="0" w:lastRowLastColumn="0"/>
            </w:pPr>
            <w:r w:rsidRPr="003E4580">
              <w:t>BCR</w:t>
            </w:r>
          </w:p>
        </w:tc>
      </w:tr>
      <w:tr w:rsidR="002220C5" w:rsidRPr="003E4580" w14:paraId="4A1CE40C" w14:textId="1DF417A3" w:rsidTr="002220C5">
        <w:tc>
          <w:tcPr>
            <w:cnfStyle w:val="001000000000" w:firstRow="0" w:lastRow="0" w:firstColumn="1" w:lastColumn="0" w:oddVBand="0" w:evenVBand="0" w:oddHBand="0" w:evenHBand="0" w:firstRowFirstColumn="0" w:firstRowLastColumn="0" w:lastRowFirstColumn="0" w:lastRowLastColumn="0"/>
            <w:tcW w:w="1217" w:type="pct"/>
          </w:tcPr>
          <w:p w14:paraId="074C1DD5" w14:textId="77777777" w:rsidR="002220C5" w:rsidRPr="003E4580" w:rsidRDefault="002220C5" w:rsidP="00947F8C"/>
        </w:tc>
        <w:tc>
          <w:tcPr>
            <w:tcW w:w="443" w:type="pct"/>
            <w:gridSpan w:val="2"/>
          </w:tcPr>
          <w:p w14:paraId="0E212B74"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Best</w:t>
            </w:r>
          </w:p>
        </w:tc>
        <w:tc>
          <w:tcPr>
            <w:tcW w:w="443" w:type="pct"/>
            <w:gridSpan w:val="2"/>
          </w:tcPr>
          <w:p w14:paraId="298CC806"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Likely</w:t>
            </w:r>
          </w:p>
        </w:tc>
        <w:tc>
          <w:tcPr>
            <w:tcW w:w="502" w:type="pct"/>
            <w:gridSpan w:val="2"/>
          </w:tcPr>
          <w:p w14:paraId="18E26194"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Worst</w:t>
            </w:r>
          </w:p>
        </w:tc>
        <w:tc>
          <w:tcPr>
            <w:tcW w:w="566" w:type="pct"/>
          </w:tcPr>
          <w:p w14:paraId="3FC6249C"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p>
        </w:tc>
        <w:tc>
          <w:tcPr>
            <w:tcW w:w="634" w:type="pct"/>
          </w:tcPr>
          <w:p w14:paraId="2F775734"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p>
        </w:tc>
        <w:tc>
          <w:tcPr>
            <w:tcW w:w="632" w:type="pct"/>
          </w:tcPr>
          <w:p w14:paraId="10593A43"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p>
        </w:tc>
        <w:tc>
          <w:tcPr>
            <w:tcW w:w="563" w:type="pct"/>
          </w:tcPr>
          <w:p w14:paraId="383B9671"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p>
        </w:tc>
      </w:tr>
      <w:tr w:rsidR="002220C5" w:rsidRPr="003E4580" w14:paraId="1A252C48" w14:textId="610738CD" w:rsidTr="002220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pct"/>
            <w:gridSpan w:val="2"/>
          </w:tcPr>
          <w:p w14:paraId="516573AE" w14:textId="77777777" w:rsidR="002220C5" w:rsidRPr="003E4580" w:rsidRDefault="002220C5" w:rsidP="00947F8C">
            <w:r w:rsidRPr="003E4580">
              <w:t>Development of LDWS</w:t>
            </w:r>
          </w:p>
        </w:tc>
        <w:tc>
          <w:tcPr>
            <w:tcW w:w="444" w:type="pct"/>
            <w:gridSpan w:val="2"/>
            <w:vAlign w:val="center"/>
          </w:tcPr>
          <w:p w14:paraId="3C13B373"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rPr>
                <w:b/>
              </w:rPr>
            </w:pPr>
            <w:r w:rsidRPr="003E4580">
              <w:rPr>
                <w:color w:val="000000"/>
              </w:rPr>
              <w:t>$50,000</w:t>
            </w:r>
          </w:p>
        </w:tc>
        <w:tc>
          <w:tcPr>
            <w:tcW w:w="444" w:type="pct"/>
            <w:gridSpan w:val="2"/>
            <w:vAlign w:val="center"/>
          </w:tcPr>
          <w:p w14:paraId="5AD8296E"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rPr>
                <w:b/>
              </w:rPr>
            </w:pPr>
            <w:r w:rsidRPr="003E4580">
              <w:rPr>
                <w:color w:val="000000"/>
              </w:rPr>
              <w:t>$75,000</w:t>
            </w:r>
          </w:p>
        </w:tc>
        <w:tc>
          <w:tcPr>
            <w:tcW w:w="496" w:type="pct"/>
            <w:vAlign w:val="center"/>
          </w:tcPr>
          <w:p w14:paraId="31BA34F5"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rPr>
                <w:b/>
              </w:rPr>
            </w:pPr>
            <w:r w:rsidRPr="003E4580">
              <w:rPr>
                <w:color w:val="000000"/>
              </w:rPr>
              <w:t>$100,000</w:t>
            </w:r>
          </w:p>
        </w:tc>
        <w:tc>
          <w:tcPr>
            <w:tcW w:w="566" w:type="pct"/>
          </w:tcPr>
          <w:p w14:paraId="4F8E663B"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2</w:t>
            </w:r>
          </w:p>
        </w:tc>
        <w:tc>
          <w:tcPr>
            <w:tcW w:w="634" w:type="pct"/>
          </w:tcPr>
          <w:p w14:paraId="24F4CD5C"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Per model</w:t>
            </w:r>
          </w:p>
        </w:tc>
        <w:tc>
          <w:tcPr>
            <w:tcW w:w="632" w:type="pct"/>
          </w:tcPr>
          <w:p w14:paraId="5E7719C9"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Business</w:t>
            </w:r>
          </w:p>
        </w:tc>
        <w:tc>
          <w:tcPr>
            <w:tcW w:w="563" w:type="pct"/>
          </w:tcPr>
          <w:p w14:paraId="6D1B02D0" w14:textId="596800F4"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1.0</w:t>
            </w:r>
          </w:p>
        </w:tc>
      </w:tr>
      <w:tr w:rsidR="002220C5" w:rsidRPr="003E4580" w14:paraId="3BDA8DB4" w14:textId="4047C672" w:rsidTr="002220C5">
        <w:tc>
          <w:tcPr>
            <w:cnfStyle w:val="001000000000" w:firstRow="0" w:lastRow="0" w:firstColumn="1" w:lastColumn="0" w:oddVBand="0" w:evenVBand="0" w:oddHBand="0" w:evenHBand="0" w:firstRowFirstColumn="0" w:firstRowLastColumn="0" w:lastRowFirstColumn="0" w:lastRowLastColumn="0"/>
            <w:tcW w:w="1220" w:type="pct"/>
            <w:gridSpan w:val="2"/>
          </w:tcPr>
          <w:p w14:paraId="1F208E17" w14:textId="77777777" w:rsidR="002220C5" w:rsidRPr="003E4580" w:rsidRDefault="002220C5" w:rsidP="00947F8C">
            <w:r w:rsidRPr="003E4580">
              <w:t>Fitment of LDWS</w:t>
            </w:r>
          </w:p>
        </w:tc>
        <w:tc>
          <w:tcPr>
            <w:tcW w:w="444" w:type="pct"/>
            <w:gridSpan w:val="2"/>
          </w:tcPr>
          <w:p w14:paraId="3EF7CA38"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$1,000</w:t>
            </w:r>
          </w:p>
        </w:tc>
        <w:tc>
          <w:tcPr>
            <w:tcW w:w="444" w:type="pct"/>
            <w:gridSpan w:val="2"/>
          </w:tcPr>
          <w:p w14:paraId="43159338"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$1,400</w:t>
            </w:r>
          </w:p>
        </w:tc>
        <w:tc>
          <w:tcPr>
            <w:tcW w:w="496" w:type="pct"/>
          </w:tcPr>
          <w:p w14:paraId="2DBDB31F"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$1,800</w:t>
            </w:r>
          </w:p>
        </w:tc>
        <w:tc>
          <w:tcPr>
            <w:tcW w:w="566" w:type="pct"/>
          </w:tcPr>
          <w:p w14:paraId="618D75B1"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2</w:t>
            </w:r>
          </w:p>
        </w:tc>
        <w:tc>
          <w:tcPr>
            <w:tcW w:w="634" w:type="pct"/>
          </w:tcPr>
          <w:p w14:paraId="0AE8E171"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Per vehicle</w:t>
            </w:r>
          </w:p>
        </w:tc>
        <w:tc>
          <w:tcPr>
            <w:tcW w:w="632" w:type="pct"/>
          </w:tcPr>
          <w:p w14:paraId="231D733C"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Business</w:t>
            </w:r>
          </w:p>
        </w:tc>
        <w:tc>
          <w:tcPr>
            <w:tcW w:w="563" w:type="pct"/>
          </w:tcPr>
          <w:p w14:paraId="1C94D803" w14:textId="553B8A29"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1.0</w:t>
            </w:r>
          </w:p>
        </w:tc>
      </w:tr>
      <w:tr w:rsidR="002220C5" w:rsidRPr="003E4580" w14:paraId="27FB270A" w14:textId="152FA157" w:rsidTr="002220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pct"/>
          </w:tcPr>
          <w:p w14:paraId="4A7B021D" w14:textId="77777777" w:rsidR="002220C5" w:rsidRPr="003E4580" w:rsidRDefault="002220C5" w:rsidP="00947F8C">
            <w:r w:rsidRPr="003E4580">
              <w:t>Testing of LDWS</w:t>
            </w:r>
          </w:p>
        </w:tc>
        <w:tc>
          <w:tcPr>
            <w:tcW w:w="1388" w:type="pct"/>
            <w:gridSpan w:val="6"/>
          </w:tcPr>
          <w:p w14:paraId="6C0CF690"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$50,000</w:t>
            </w:r>
          </w:p>
        </w:tc>
        <w:tc>
          <w:tcPr>
            <w:tcW w:w="566" w:type="pct"/>
          </w:tcPr>
          <w:p w14:paraId="485BDEF5"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2</w:t>
            </w:r>
          </w:p>
        </w:tc>
        <w:tc>
          <w:tcPr>
            <w:tcW w:w="634" w:type="pct"/>
          </w:tcPr>
          <w:p w14:paraId="07854588"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Per model</w:t>
            </w:r>
          </w:p>
        </w:tc>
        <w:tc>
          <w:tcPr>
            <w:tcW w:w="632" w:type="pct"/>
          </w:tcPr>
          <w:p w14:paraId="1EC934CC"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Business</w:t>
            </w:r>
          </w:p>
        </w:tc>
        <w:tc>
          <w:tcPr>
            <w:tcW w:w="563" w:type="pct"/>
          </w:tcPr>
          <w:p w14:paraId="5F4D4D90" w14:textId="00B641F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1.0</w:t>
            </w:r>
          </w:p>
        </w:tc>
      </w:tr>
      <w:tr w:rsidR="002220C5" w:rsidRPr="003E4580" w14:paraId="4BDD4693" w14:textId="33A567AD" w:rsidTr="002220C5">
        <w:tc>
          <w:tcPr>
            <w:cnfStyle w:val="001000000000" w:firstRow="0" w:lastRow="0" w:firstColumn="1" w:lastColumn="0" w:oddVBand="0" w:evenVBand="0" w:oddHBand="0" w:evenHBand="0" w:firstRowFirstColumn="0" w:firstRowLastColumn="0" w:lastRowFirstColumn="0" w:lastRowLastColumn="0"/>
            <w:tcW w:w="1217" w:type="pct"/>
          </w:tcPr>
          <w:p w14:paraId="6915758F" w14:textId="77777777" w:rsidR="002220C5" w:rsidRPr="003E4580" w:rsidRDefault="002220C5" w:rsidP="00947F8C">
            <w:r w:rsidRPr="003E4580">
              <w:t>Certification of LDWS</w:t>
            </w:r>
          </w:p>
        </w:tc>
        <w:tc>
          <w:tcPr>
            <w:tcW w:w="1388" w:type="pct"/>
            <w:gridSpan w:val="6"/>
          </w:tcPr>
          <w:p w14:paraId="774BE15D"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$10,000</w:t>
            </w:r>
          </w:p>
        </w:tc>
        <w:tc>
          <w:tcPr>
            <w:tcW w:w="566" w:type="pct"/>
          </w:tcPr>
          <w:p w14:paraId="351194A3"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2</w:t>
            </w:r>
          </w:p>
        </w:tc>
        <w:tc>
          <w:tcPr>
            <w:tcW w:w="634" w:type="pct"/>
          </w:tcPr>
          <w:p w14:paraId="7E8001C2"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Per model</w:t>
            </w:r>
          </w:p>
        </w:tc>
        <w:tc>
          <w:tcPr>
            <w:tcW w:w="632" w:type="pct"/>
          </w:tcPr>
          <w:p w14:paraId="0FD079CC"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Business</w:t>
            </w:r>
          </w:p>
        </w:tc>
        <w:tc>
          <w:tcPr>
            <w:tcW w:w="563" w:type="pct"/>
          </w:tcPr>
          <w:p w14:paraId="6B8733EF" w14:textId="68063564"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1.0</w:t>
            </w:r>
          </w:p>
        </w:tc>
      </w:tr>
      <w:tr w:rsidR="002220C5" w:rsidRPr="003E4580" w14:paraId="775EB60A" w14:textId="3CE03ABB" w:rsidTr="002220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pct"/>
          </w:tcPr>
          <w:p w14:paraId="02E9497A" w14:textId="77777777" w:rsidR="002220C5" w:rsidRPr="003E4580" w:rsidRDefault="002220C5" w:rsidP="00947F8C">
            <w:r w:rsidRPr="003E4580">
              <w:t>Implement and maintain ADR</w:t>
            </w:r>
          </w:p>
        </w:tc>
        <w:tc>
          <w:tcPr>
            <w:tcW w:w="1388" w:type="pct"/>
            <w:gridSpan w:val="6"/>
          </w:tcPr>
          <w:p w14:paraId="4AB47927" w14:textId="77777777" w:rsidR="002220C5" w:rsidRPr="003E4580" w:rsidRDefault="002220C5"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$50,000</w:t>
            </w:r>
          </w:p>
        </w:tc>
        <w:tc>
          <w:tcPr>
            <w:tcW w:w="566" w:type="pct"/>
          </w:tcPr>
          <w:p w14:paraId="0898B0FA" w14:textId="77777777" w:rsidR="002220C5" w:rsidRPr="003E4580" w:rsidRDefault="002220C5"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w:t>
            </w:r>
          </w:p>
        </w:tc>
        <w:tc>
          <w:tcPr>
            <w:tcW w:w="634" w:type="pct"/>
          </w:tcPr>
          <w:p w14:paraId="64CA2F33" w14:textId="77777777" w:rsidR="002220C5" w:rsidRPr="003E4580" w:rsidRDefault="002220C5"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Per year</w:t>
            </w:r>
          </w:p>
        </w:tc>
        <w:tc>
          <w:tcPr>
            <w:tcW w:w="632" w:type="pct"/>
          </w:tcPr>
          <w:p w14:paraId="3B81A333" w14:textId="77777777" w:rsidR="002220C5" w:rsidRPr="003E4580" w:rsidRDefault="002220C5"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Government</w:t>
            </w:r>
          </w:p>
        </w:tc>
        <w:tc>
          <w:tcPr>
            <w:tcW w:w="563" w:type="pct"/>
          </w:tcPr>
          <w:p w14:paraId="0139E8C9" w14:textId="3D85DE55" w:rsidR="002220C5" w:rsidRPr="003E4580" w:rsidRDefault="002220C5"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1.0</w:t>
            </w:r>
          </w:p>
        </w:tc>
      </w:tr>
    </w:tbl>
    <w:p w14:paraId="04CA160C" w14:textId="1119681F" w:rsidR="00C254C6" w:rsidRPr="003E4580" w:rsidRDefault="00C254C6" w:rsidP="00C254C6">
      <w:r w:rsidRPr="003E4580">
        <w:rPr>
          <w:color w:val="000000"/>
          <w:shd w:val="clear" w:color="auto" w:fill="FFFFFF"/>
        </w:rPr>
        <w:t xml:space="preserve">In addition, the TIC </w:t>
      </w:r>
      <w:r w:rsidR="009F1E71" w:rsidRPr="003E4580">
        <w:rPr>
          <w:color w:val="000000"/>
          <w:shd w:val="clear" w:color="auto" w:fill="FFFFFF"/>
        </w:rPr>
        <w:t xml:space="preserve">and HVIA </w:t>
      </w:r>
      <w:r w:rsidRPr="003E4580">
        <w:rPr>
          <w:color w:val="000000"/>
          <w:shd w:val="clear" w:color="auto" w:fill="FFFFFF"/>
        </w:rPr>
        <w:t>all indicated more implementation time is needed and suggested alternative dates</w:t>
      </w:r>
      <w:r w:rsidR="002220C5" w:rsidRPr="003E4580">
        <w:rPr>
          <w:color w:val="000000"/>
          <w:shd w:val="clear" w:color="auto" w:fill="FFFFFF"/>
        </w:rPr>
        <w:t xml:space="preserve"> (approximately </w:t>
      </w:r>
      <w:r w:rsidR="002E4782" w:rsidRPr="003E4580">
        <w:rPr>
          <w:color w:val="000000"/>
          <w:shd w:val="clear" w:color="auto" w:fill="FFFFFF"/>
        </w:rPr>
        <w:t>one</w:t>
      </w:r>
      <w:r w:rsidR="002220C5" w:rsidRPr="003E4580">
        <w:rPr>
          <w:color w:val="000000"/>
          <w:shd w:val="clear" w:color="auto" w:fill="FFFFFF"/>
        </w:rPr>
        <w:t xml:space="preserve"> year delay from proposed timing in Consultation IA</w:t>
      </w:r>
      <w:r w:rsidR="002E4782" w:rsidRPr="003E4580">
        <w:rPr>
          <w:color w:val="000000"/>
          <w:shd w:val="clear" w:color="auto" w:fill="FFFFFF"/>
        </w:rPr>
        <w:t xml:space="preserve"> for all vehicles and no change in the new models date</w:t>
      </w:r>
      <w:r w:rsidR="002220C5" w:rsidRPr="003E4580">
        <w:rPr>
          <w:color w:val="000000"/>
          <w:shd w:val="clear" w:color="auto" w:fill="FFFFFF"/>
        </w:rPr>
        <w:t>)</w:t>
      </w:r>
      <w:r w:rsidRPr="003E4580">
        <w:rPr>
          <w:color w:val="000000"/>
          <w:shd w:val="clear" w:color="auto" w:fill="FFFFFF"/>
        </w:rPr>
        <w:t xml:space="preserve">.  A post-consultation sensitivity analysis was undertaken to evaluate the effects of changes in implementation timing.  Whilst the benefit-cost ratio improves slightly due to a </w:t>
      </w:r>
      <w:r w:rsidR="002220C5" w:rsidRPr="003E4580">
        <w:rPr>
          <w:color w:val="000000"/>
          <w:shd w:val="clear" w:color="auto" w:fill="FFFFFF"/>
        </w:rPr>
        <w:t>delay in the</w:t>
      </w:r>
      <w:r w:rsidRPr="003E4580">
        <w:rPr>
          <w:color w:val="000000"/>
          <w:shd w:val="clear" w:color="auto" w:fill="FFFFFF"/>
        </w:rPr>
        <w:t xml:space="preserve"> number of vehicles required to fit mandatory </w:t>
      </w:r>
      <w:r w:rsidR="00376518" w:rsidRPr="003E4580">
        <w:rPr>
          <w:color w:val="000000"/>
          <w:shd w:val="clear" w:color="auto" w:fill="FFFFFF"/>
        </w:rPr>
        <w:t>LDWS</w:t>
      </w:r>
      <w:r w:rsidRPr="003E4580">
        <w:rPr>
          <w:color w:val="000000"/>
          <w:shd w:val="clear" w:color="auto" w:fill="FFFFFF"/>
        </w:rPr>
        <w:t xml:space="preserve">, the postponed timing results in </w:t>
      </w:r>
      <w:r w:rsidR="00A1258B" w:rsidRPr="003E4580">
        <w:rPr>
          <w:color w:val="000000"/>
          <w:shd w:val="clear" w:color="auto" w:fill="FFFFFF"/>
        </w:rPr>
        <w:t>a</w:t>
      </w:r>
      <w:r w:rsidR="002E4782" w:rsidRPr="003E4580">
        <w:rPr>
          <w:color w:val="000000"/>
          <w:shd w:val="clear" w:color="auto" w:fill="FFFFFF"/>
        </w:rPr>
        <w:t xml:space="preserve">lmost 6 </w:t>
      </w:r>
      <w:r w:rsidR="00A1258B" w:rsidRPr="003E4580">
        <w:rPr>
          <w:color w:val="000000"/>
          <w:shd w:val="clear" w:color="auto" w:fill="FFFFFF"/>
        </w:rPr>
        <w:t xml:space="preserve">less severe injuries and </w:t>
      </w:r>
      <w:r w:rsidR="002E4782" w:rsidRPr="003E4580">
        <w:rPr>
          <w:color w:val="000000"/>
          <w:shd w:val="clear" w:color="auto" w:fill="FFFFFF"/>
        </w:rPr>
        <w:t>approximately 18</w:t>
      </w:r>
      <w:r w:rsidRPr="003E4580">
        <w:rPr>
          <w:color w:val="000000"/>
          <w:shd w:val="clear" w:color="auto" w:fill="FFFFFF"/>
        </w:rPr>
        <w:t xml:space="preserve"> </w:t>
      </w:r>
      <w:r w:rsidR="00A1258B" w:rsidRPr="003E4580">
        <w:rPr>
          <w:color w:val="000000"/>
          <w:shd w:val="clear" w:color="auto" w:fill="FFFFFF"/>
        </w:rPr>
        <w:t xml:space="preserve">less minor injuries with no noticeable change in </w:t>
      </w:r>
      <w:r w:rsidR="002E4782" w:rsidRPr="003E4580">
        <w:rPr>
          <w:color w:val="000000"/>
          <w:shd w:val="clear" w:color="auto" w:fill="FFFFFF"/>
        </w:rPr>
        <w:t>fatalities</w:t>
      </w:r>
      <w:r w:rsidR="00A1258B" w:rsidRPr="003E4580">
        <w:rPr>
          <w:color w:val="000000"/>
          <w:shd w:val="clear" w:color="auto" w:fill="FFFFFF"/>
        </w:rPr>
        <w:t>.</w:t>
      </w:r>
    </w:p>
    <w:p w14:paraId="703459D3" w14:textId="2A15986D" w:rsidR="002E4782" w:rsidRPr="003E4580" w:rsidRDefault="002E4782" w:rsidP="002E4782">
      <w:pPr>
        <w:pStyle w:val="Caption"/>
        <w:keepNext/>
      </w:pPr>
      <w:bookmarkStart w:id="58" w:name="_Toc136912406"/>
      <w:r w:rsidRPr="003E4580">
        <w:t xml:space="preserve">Table </w:t>
      </w:r>
      <w:r w:rsidR="00BF64CF">
        <w:fldChar w:fldCharType="begin"/>
      </w:r>
      <w:r w:rsidR="00BF64CF">
        <w:instrText xml:space="preserve"> SEQ Table \* ARABIC </w:instrText>
      </w:r>
      <w:r w:rsidR="00BF64CF">
        <w:fldChar w:fldCharType="separate"/>
      </w:r>
      <w:r w:rsidRPr="003E4580">
        <w:rPr>
          <w:noProof/>
        </w:rPr>
        <w:t>13</w:t>
      </w:r>
      <w:r w:rsidR="00BF64CF">
        <w:rPr>
          <w:noProof/>
        </w:rPr>
        <w:fldChar w:fldCharType="end"/>
      </w:r>
      <w:r w:rsidRPr="003E4580">
        <w:t>: Impact on BCR with delayed implementation date of November 2027 for all vehicles</w:t>
      </w:r>
      <w:bookmarkEnd w:id="58"/>
    </w:p>
    <w:tbl>
      <w:tblPr>
        <w:tblStyle w:val="DefaultTable1"/>
        <w:tblW w:w="5000" w:type="pct"/>
        <w:tblLook w:val="04E0" w:firstRow="1" w:lastRow="1" w:firstColumn="1" w:lastColumn="0" w:noHBand="0" w:noVBand="1"/>
        <w:tblCaption w:val="Sample table"/>
        <w:tblDescription w:val="Sample table"/>
      </w:tblPr>
      <w:tblGrid>
        <w:gridCol w:w="3288"/>
        <w:gridCol w:w="1097"/>
        <w:gridCol w:w="1097"/>
        <w:gridCol w:w="1097"/>
        <w:gridCol w:w="3285"/>
      </w:tblGrid>
      <w:tr w:rsidR="002E4782" w:rsidRPr="003E4580" w14:paraId="63932025" w14:textId="77777777" w:rsidTr="002E4782">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67" w:type="pct"/>
            <w:vMerge w:val="restart"/>
          </w:tcPr>
          <w:p w14:paraId="74554B6D" w14:textId="1DD40F70" w:rsidR="002E4782" w:rsidRPr="003E4580" w:rsidRDefault="002E4782" w:rsidP="00E44076">
            <w:pPr>
              <w:jc w:val="center"/>
            </w:pPr>
            <w:r w:rsidRPr="003E4580">
              <w:t>Implementation dates</w:t>
            </w:r>
          </w:p>
        </w:tc>
        <w:tc>
          <w:tcPr>
            <w:tcW w:w="1668" w:type="pct"/>
            <w:gridSpan w:val="3"/>
          </w:tcPr>
          <w:p w14:paraId="073B7C9A" w14:textId="76ABD649" w:rsidR="002E4782" w:rsidRPr="003E4580" w:rsidRDefault="002E4782" w:rsidP="00E44076">
            <w:pPr>
              <w:jc w:val="center"/>
              <w:cnfStyle w:val="100000000000" w:firstRow="1" w:lastRow="0" w:firstColumn="0" w:lastColumn="0" w:oddVBand="0" w:evenVBand="0" w:oddHBand="0" w:evenHBand="0" w:firstRowFirstColumn="0" w:firstRowLastColumn="0" w:lastRowFirstColumn="0" w:lastRowLastColumn="0"/>
            </w:pPr>
            <w:r w:rsidRPr="003E4580">
              <w:t>Impact</w:t>
            </w:r>
          </w:p>
        </w:tc>
        <w:tc>
          <w:tcPr>
            <w:tcW w:w="1665" w:type="pct"/>
            <w:vMerge w:val="restart"/>
          </w:tcPr>
          <w:p w14:paraId="1027D7EC" w14:textId="77777777" w:rsidR="002E4782" w:rsidRPr="003E4580" w:rsidRDefault="002E4782" w:rsidP="00E44076">
            <w:pPr>
              <w:jc w:val="center"/>
              <w:cnfStyle w:val="100000000000" w:firstRow="1" w:lastRow="0" w:firstColumn="0" w:lastColumn="0" w:oddVBand="0" w:evenVBand="0" w:oddHBand="0" w:evenHBand="0" w:firstRowFirstColumn="0" w:firstRowLastColumn="0" w:lastRowFirstColumn="0" w:lastRowLastColumn="0"/>
            </w:pPr>
            <w:r w:rsidRPr="003E4580">
              <w:t>BCR</w:t>
            </w:r>
          </w:p>
        </w:tc>
      </w:tr>
      <w:tr w:rsidR="002E4782" w:rsidRPr="003E4580" w14:paraId="25828AE6" w14:textId="77777777" w:rsidTr="005E7A9F">
        <w:trPr>
          <w:trHeight w:val="200"/>
        </w:trPr>
        <w:tc>
          <w:tcPr>
            <w:cnfStyle w:val="001000000000" w:firstRow="0" w:lastRow="0" w:firstColumn="1" w:lastColumn="0" w:oddVBand="0" w:evenVBand="0" w:oddHBand="0" w:evenHBand="0" w:firstRowFirstColumn="0" w:firstRowLastColumn="0" w:lastRowFirstColumn="0" w:lastRowLastColumn="0"/>
            <w:tcW w:w="1667" w:type="pct"/>
            <w:vMerge/>
          </w:tcPr>
          <w:p w14:paraId="6EC9834E" w14:textId="77777777" w:rsidR="002E4782" w:rsidRPr="003E4580" w:rsidRDefault="002E4782" w:rsidP="00E44076">
            <w:pPr>
              <w:jc w:val="center"/>
            </w:pPr>
          </w:p>
        </w:tc>
        <w:tc>
          <w:tcPr>
            <w:tcW w:w="556" w:type="pct"/>
            <w:tcBorders>
              <w:top w:val="nil"/>
            </w:tcBorders>
            <w:shd w:val="clear" w:color="auto" w:fill="F2F2F2" w:themeFill="background1" w:themeFillShade="F2"/>
          </w:tcPr>
          <w:p w14:paraId="6ACE4540" w14:textId="4122805C" w:rsidR="002E4782" w:rsidRPr="003E4580" w:rsidRDefault="002E4782" w:rsidP="00E44076">
            <w:pPr>
              <w:jc w:val="center"/>
              <w:cnfStyle w:val="000000000000" w:firstRow="0" w:lastRow="0" w:firstColumn="0" w:lastColumn="0" w:oddVBand="0" w:evenVBand="0" w:oddHBand="0" w:evenHBand="0" w:firstRowFirstColumn="0" w:firstRowLastColumn="0" w:lastRowFirstColumn="0" w:lastRowLastColumn="0"/>
            </w:pPr>
            <w:r w:rsidRPr="003E4580">
              <w:t>Lives saved</w:t>
            </w:r>
          </w:p>
        </w:tc>
        <w:tc>
          <w:tcPr>
            <w:tcW w:w="556" w:type="pct"/>
            <w:tcBorders>
              <w:top w:val="nil"/>
            </w:tcBorders>
            <w:shd w:val="clear" w:color="auto" w:fill="F2F2F2" w:themeFill="background1" w:themeFillShade="F2"/>
          </w:tcPr>
          <w:p w14:paraId="06438CBC" w14:textId="6EB36434" w:rsidR="002E4782" w:rsidRPr="003E4580" w:rsidRDefault="002E4782" w:rsidP="00E44076">
            <w:pPr>
              <w:jc w:val="center"/>
              <w:cnfStyle w:val="000000000000" w:firstRow="0" w:lastRow="0" w:firstColumn="0" w:lastColumn="0" w:oddVBand="0" w:evenVBand="0" w:oddHBand="0" w:evenHBand="0" w:firstRowFirstColumn="0" w:firstRowLastColumn="0" w:lastRowFirstColumn="0" w:lastRowLastColumn="0"/>
            </w:pPr>
            <w:r w:rsidRPr="003E4580">
              <w:t>Serious injuries</w:t>
            </w:r>
          </w:p>
        </w:tc>
        <w:tc>
          <w:tcPr>
            <w:tcW w:w="556" w:type="pct"/>
            <w:tcBorders>
              <w:top w:val="nil"/>
            </w:tcBorders>
            <w:shd w:val="clear" w:color="auto" w:fill="F2F2F2" w:themeFill="background1" w:themeFillShade="F2"/>
          </w:tcPr>
          <w:p w14:paraId="43BF32A3" w14:textId="28E85F2E" w:rsidR="002E4782" w:rsidRPr="003E4580" w:rsidRDefault="002E4782" w:rsidP="00E44076">
            <w:pPr>
              <w:jc w:val="center"/>
              <w:cnfStyle w:val="000000000000" w:firstRow="0" w:lastRow="0" w:firstColumn="0" w:lastColumn="0" w:oddVBand="0" w:evenVBand="0" w:oddHBand="0" w:evenHBand="0" w:firstRowFirstColumn="0" w:firstRowLastColumn="0" w:lastRowFirstColumn="0" w:lastRowLastColumn="0"/>
            </w:pPr>
            <w:r w:rsidRPr="003E4580">
              <w:t>Minor injuries</w:t>
            </w:r>
          </w:p>
        </w:tc>
        <w:tc>
          <w:tcPr>
            <w:tcW w:w="1665" w:type="pct"/>
            <w:vMerge/>
          </w:tcPr>
          <w:p w14:paraId="190665F8" w14:textId="77777777" w:rsidR="002E4782" w:rsidRPr="003E4580" w:rsidRDefault="002E4782" w:rsidP="00E44076">
            <w:pPr>
              <w:jc w:val="center"/>
              <w:cnfStyle w:val="000000000000" w:firstRow="0" w:lastRow="0" w:firstColumn="0" w:lastColumn="0" w:oddVBand="0" w:evenVBand="0" w:oddHBand="0" w:evenHBand="0" w:firstRowFirstColumn="0" w:firstRowLastColumn="0" w:lastRowFirstColumn="0" w:lastRowLastColumn="0"/>
            </w:pPr>
          </w:p>
        </w:tc>
      </w:tr>
      <w:tr w:rsidR="002E4782" w:rsidRPr="003E4580" w14:paraId="28DDAE61" w14:textId="77777777" w:rsidTr="002E4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666A149" w14:textId="77777777" w:rsidR="002E4782" w:rsidRPr="003E4580" w:rsidRDefault="002E4782" w:rsidP="00E44076">
            <w:r w:rsidRPr="003E4580">
              <w:rPr>
                <w:b w:val="0"/>
              </w:rPr>
              <w:t>Base case implementation dates</w:t>
            </w:r>
          </w:p>
          <w:p w14:paraId="039E601E" w14:textId="77777777" w:rsidR="002E4782" w:rsidRPr="003E4580" w:rsidRDefault="002E4782" w:rsidP="00E44076">
            <w:r w:rsidRPr="003E4580">
              <w:rPr>
                <w:b w:val="0"/>
              </w:rPr>
              <w:t>(Nov 2024 new models, Nov 2026 all vehicles)</w:t>
            </w:r>
          </w:p>
          <w:p w14:paraId="1E451A1D" w14:textId="61F410D1" w:rsidR="002E4782" w:rsidRPr="003E4580" w:rsidRDefault="002E4782" w:rsidP="00E44076">
            <w:pPr>
              <w:rPr>
                <w:b w:val="0"/>
                <w:i/>
              </w:rPr>
            </w:pPr>
            <w:r w:rsidRPr="003E4580">
              <w:rPr>
                <w:b w:val="0"/>
                <w:i/>
              </w:rPr>
              <w:t>Consultation IA Option 2 timing</w:t>
            </w:r>
          </w:p>
        </w:tc>
        <w:tc>
          <w:tcPr>
            <w:tcW w:w="556" w:type="pct"/>
          </w:tcPr>
          <w:p w14:paraId="19F94555" w14:textId="79DAD9BB" w:rsidR="002E4782" w:rsidRPr="003E4580" w:rsidRDefault="002E4782" w:rsidP="00E44076">
            <w:pPr>
              <w:jc w:val="center"/>
              <w:cnfStyle w:val="000000010000" w:firstRow="0" w:lastRow="0" w:firstColumn="0" w:lastColumn="0" w:oddVBand="0" w:evenVBand="0" w:oddHBand="0" w:evenHBand="1" w:firstRowFirstColumn="0" w:firstRowLastColumn="0" w:lastRowFirstColumn="0" w:lastRowLastColumn="0"/>
            </w:pPr>
            <w:r w:rsidRPr="003E4580">
              <w:t>63</w:t>
            </w:r>
          </w:p>
        </w:tc>
        <w:tc>
          <w:tcPr>
            <w:tcW w:w="556" w:type="pct"/>
          </w:tcPr>
          <w:p w14:paraId="0AE59D88" w14:textId="4C927945" w:rsidR="002E4782" w:rsidRPr="003E4580" w:rsidRDefault="002E4782" w:rsidP="00E44076">
            <w:pPr>
              <w:jc w:val="center"/>
              <w:cnfStyle w:val="000000010000" w:firstRow="0" w:lastRow="0" w:firstColumn="0" w:lastColumn="0" w:oddVBand="0" w:evenVBand="0" w:oddHBand="0" w:evenHBand="1" w:firstRowFirstColumn="0" w:firstRowLastColumn="0" w:lastRowFirstColumn="0" w:lastRowLastColumn="0"/>
            </w:pPr>
            <w:r w:rsidRPr="003E4580">
              <w:t>1,732</w:t>
            </w:r>
          </w:p>
        </w:tc>
        <w:tc>
          <w:tcPr>
            <w:tcW w:w="556" w:type="pct"/>
          </w:tcPr>
          <w:p w14:paraId="5C0788E0" w14:textId="4696F1E8" w:rsidR="002E4782" w:rsidRPr="003E4580" w:rsidRDefault="002E4782" w:rsidP="00E44076">
            <w:pPr>
              <w:jc w:val="center"/>
              <w:cnfStyle w:val="000000010000" w:firstRow="0" w:lastRow="0" w:firstColumn="0" w:lastColumn="0" w:oddVBand="0" w:evenVBand="0" w:oddHBand="0" w:evenHBand="1" w:firstRowFirstColumn="0" w:firstRowLastColumn="0" w:lastRowFirstColumn="0" w:lastRowLastColumn="0"/>
            </w:pPr>
            <w:r w:rsidRPr="003E4580">
              <w:t>5389</w:t>
            </w:r>
          </w:p>
        </w:tc>
        <w:tc>
          <w:tcPr>
            <w:tcW w:w="1665" w:type="pct"/>
          </w:tcPr>
          <w:p w14:paraId="281AD803" w14:textId="180C1B20" w:rsidR="002E4782" w:rsidRPr="003E4580" w:rsidRDefault="002E4782" w:rsidP="00E44076">
            <w:pPr>
              <w:jc w:val="center"/>
              <w:cnfStyle w:val="000000010000" w:firstRow="0" w:lastRow="0" w:firstColumn="0" w:lastColumn="0" w:oddVBand="0" w:evenVBand="0" w:oddHBand="0" w:evenHBand="1" w:firstRowFirstColumn="0" w:firstRowLastColumn="0" w:lastRowFirstColumn="0" w:lastRowLastColumn="0"/>
            </w:pPr>
            <w:r w:rsidRPr="003E4580">
              <w:t>1.1</w:t>
            </w:r>
          </w:p>
        </w:tc>
      </w:tr>
      <w:tr w:rsidR="002E4782" w:rsidRPr="003E4580" w14:paraId="36D162A7" w14:textId="77777777" w:rsidTr="002E478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14DA466" w14:textId="009E0FCF" w:rsidR="002E4782" w:rsidRPr="003E4580" w:rsidRDefault="002E4782" w:rsidP="0021494E">
            <w:r w:rsidRPr="003E4580">
              <w:rPr>
                <w:b w:val="0"/>
              </w:rPr>
              <w:t>Alternative implementation dates</w:t>
            </w:r>
          </w:p>
          <w:p w14:paraId="13BD20B6" w14:textId="77777777" w:rsidR="002E4782" w:rsidRPr="003E4580" w:rsidRDefault="002E4782" w:rsidP="0021494E">
            <w:r w:rsidRPr="003E4580">
              <w:rPr>
                <w:b w:val="0"/>
              </w:rPr>
              <w:t>(Nov 2024 new models, Nov 2027 all vehicles)</w:t>
            </w:r>
          </w:p>
          <w:p w14:paraId="111F60A8" w14:textId="5B57344C" w:rsidR="002E4782" w:rsidRPr="003E4580" w:rsidRDefault="002E4782" w:rsidP="0021494E">
            <w:pPr>
              <w:rPr>
                <w:b w:val="0"/>
                <w:i/>
              </w:rPr>
            </w:pPr>
            <w:r w:rsidRPr="003E4580">
              <w:rPr>
                <w:b w:val="0"/>
                <w:i/>
              </w:rPr>
              <w:t>Final IA Option 2 timing</w:t>
            </w:r>
          </w:p>
        </w:tc>
        <w:tc>
          <w:tcPr>
            <w:tcW w:w="556" w:type="pct"/>
          </w:tcPr>
          <w:p w14:paraId="568D95FF" w14:textId="1375F200" w:rsidR="002E4782" w:rsidRPr="003E4580" w:rsidRDefault="002E4782" w:rsidP="00E44076">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62</w:t>
            </w:r>
          </w:p>
        </w:tc>
        <w:tc>
          <w:tcPr>
            <w:tcW w:w="556" w:type="pct"/>
          </w:tcPr>
          <w:p w14:paraId="10C037B3" w14:textId="4AAE40B1" w:rsidR="002E4782" w:rsidRPr="003E4580" w:rsidRDefault="002E4782" w:rsidP="00E44076">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1,725</w:t>
            </w:r>
          </w:p>
        </w:tc>
        <w:tc>
          <w:tcPr>
            <w:tcW w:w="556" w:type="pct"/>
          </w:tcPr>
          <w:p w14:paraId="7BCBB736" w14:textId="62515C1A" w:rsidR="002E4782" w:rsidRPr="003E4580" w:rsidRDefault="002E4782" w:rsidP="00E44076">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5,370</w:t>
            </w:r>
          </w:p>
        </w:tc>
        <w:tc>
          <w:tcPr>
            <w:tcW w:w="1665" w:type="pct"/>
          </w:tcPr>
          <w:p w14:paraId="51409CEF" w14:textId="73B577D0" w:rsidR="002E4782" w:rsidRPr="003E4580" w:rsidRDefault="002E4782" w:rsidP="00E44076">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1.0</w:t>
            </w:r>
          </w:p>
        </w:tc>
      </w:tr>
    </w:tbl>
    <w:p w14:paraId="6736901E" w14:textId="77777777" w:rsidR="00E74785" w:rsidRPr="003E4580" w:rsidRDefault="00E74785" w:rsidP="00E74785">
      <w:pPr>
        <w:pStyle w:val="Heading2"/>
      </w:pPr>
      <w:bookmarkStart w:id="59" w:name="_Hlk130964497"/>
      <w:bookmarkStart w:id="60" w:name="_Toc146894884"/>
      <w:r w:rsidRPr="003E4580">
        <w:t>Regulatory</w:t>
      </w:r>
      <w:bookmarkEnd w:id="59"/>
      <w:r w:rsidRPr="003E4580">
        <w:t xml:space="preserve"> burden and cost offsets</w:t>
      </w:r>
      <w:bookmarkEnd w:id="60"/>
    </w:p>
    <w:p w14:paraId="3343C79C" w14:textId="3B4532F3" w:rsidR="00CE7C57" w:rsidRPr="003E4580" w:rsidRDefault="00CE7C57" w:rsidP="00CE7C57">
      <w:r w:rsidRPr="003E4580">
        <w:t xml:space="preserve">The </w:t>
      </w:r>
      <w:r w:rsidR="00F75DDA" w:rsidRPr="003E4580">
        <w:rPr>
          <w:i/>
        </w:rPr>
        <w:t>Australian Government Guide to Regulatory Impact Analysis</w:t>
      </w:r>
      <w:r w:rsidR="00025153" w:rsidRPr="003E4580">
        <w:rPr>
          <w:i/>
        </w:rPr>
        <w:t xml:space="preserve"> </w:t>
      </w:r>
      <w:r w:rsidR="00C32554" w:rsidRPr="003E4580">
        <w:rPr>
          <w:i/>
        </w:rPr>
        <w:t>(</w:t>
      </w:r>
      <w:r w:rsidR="00025153" w:rsidRPr="003E4580">
        <w:rPr>
          <w:i/>
        </w:rPr>
        <w:t>Second edition 2020</w:t>
      </w:r>
      <w:r w:rsidR="00C32554" w:rsidRPr="003E4580">
        <w:rPr>
          <w:i/>
        </w:rPr>
        <w:t>)</w:t>
      </w:r>
      <w:r w:rsidR="007A4371" w:rsidRPr="003E4580">
        <w:t xml:space="preserve"> </w:t>
      </w:r>
      <w:r w:rsidRPr="003E4580">
        <w:t>requires that all new regulatory options are costed using the Regulatory Burden Measurement (RBM) Framework. Under the RBM Framework, the regulatory burden is the cost of a proposal to business and the community (not including the cost to government). It is calculated in a prescribed manner that usually results in it being different to the overall costs of a proposal in the benefit-cost analysis. In line with the RBM Framework, the average annual regulatory costs were calculated for this proposal by totalling the undiscounted (nominal) cost (including development and fitment cost) for each opt</w:t>
      </w:r>
      <w:r w:rsidR="00624B69" w:rsidRPr="003E4580">
        <w:t>ion over the 10</w:t>
      </w:r>
      <w:r w:rsidR="00025153" w:rsidRPr="003E4580">
        <w:t>-</w:t>
      </w:r>
      <w:r w:rsidR="00624B69" w:rsidRPr="003E4580">
        <w:t>year period 2026-2035</w:t>
      </w:r>
      <w:r w:rsidRPr="003E4580">
        <w:t xml:space="preserve"> inclusive. This total was then divided by 10.</w:t>
      </w:r>
    </w:p>
    <w:p w14:paraId="4A4D770D" w14:textId="6D5BAC68" w:rsidR="00CE7C57" w:rsidRPr="003E4580" w:rsidRDefault="00CE7C57" w:rsidP="00CE7C57">
      <w:r w:rsidRPr="003E4580">
        <w:t>The average annual regulatory costs under the RBM of Option</w:t>
      </w:r>
      <w:r w:rsidR="009C45AB" w:rsidRPr="003E4580">
        <w:t xml:space="preserve"> 2 is set</w:t>
      </w:r>
      <w:r w:rsidRPr="003E4580">
        <w:t xml:space="preserve"> out in </w:t>
      </w:r>
      <w:r w:rsidR="002E4782" w:rsidRPr="003E4580">
        <w:t>the table below</w:t>
      </w:r>
      <w:r w:rsidRPr="003E4580">
        <w:t>. There are no costs associated with Option 1 as it is the BAU case. The average annual regulatory cost associated with Option 2</w:t>
      </w:r>
      <w:r w:rsidR="005F793F" w:rsidRPr="003E4580">
        <w:t xml:space="preserve"> is</w:t>
      </w:r>
      <w:r w:rsidRPr="003E4580">
        <w:t xml:space="preserve"> estimated to be </w:t>
      </w:r>
      <w:r w:rsidR="00E303D0" w:rsidRPr="003E4580">
        <w:t>$18.2</w:t>
      </w:r>
      <w:r w:rsidRPr="003E4580">
        <w:t xml:space="preserve"> million.</w:t>
      </w:r>
    </w:p>
    <w:p w14:paraId="18DCFD39" w14:textId="4A2A31F4" w:rsidR="00D94E32" w:rsidRPr="003E4580" w:rsidRDefault="00D94E32" w:rsidP="00D94E32">
      <w:pPr>
        <w:pStyle w:val="Caption"/>
        <w:keepNext/>
      </w:pPr>
      <w:bookmarkStart w:id="61" w:name="_Toc136912407"/>
      <w:r w:rsidRPr="003E4580">
        <w:lastRenderedPageBreak/>
        <w:t xml:space="preserve">Table </w:t>
      </w:r>
      <w:r w:rsidR="00BF64CF">
        <w:fldChar w:fldCharType="begin"/>
      </w:r>
      <w:r w:rsidR="00BF64CF">
        <w:instrText xml:space="preserve"> SEQ Table \* ARABIC </w:instrText>
      </w:r>
      <w:r w:rsidR="00BF64CF">
        <w:fldChar w:fldCharType="separate"/>
      </w:r>
      <w:r w:rsidR="002E4782" w:rsidRPr="003E4580">
        <w:rPr>
          <w:noProof/>
        </w:rPr>
        <w:t>14</w:t>
      </w:r>
      <w:r w:rsidR="00BF64CF">
        <w:rPr>
          <w:noProof/>
        </w:rPr>
        <w:fldChar w:fldCharType="end"/>
      </w:r>
      <w:r w:rsidRPr="003E4580">
        <w:t>: Regulatory burden and cost offset</w:t>
      </w:r>
      <w:r w:rsidR="00320F71" w:rsidRPr="003E4580">
        <w:t xml:space="preserve"> esti</w:t>
      </w:r>
      <w:r w:rsidRPr="003E4580">
        <w:t>mates - Options 1</w:t>
      </w:r>
      <w:r w:rsidR="005F793F" w:rsidRPr="003E4580">
        <w:t xml:space="preserve"> and 2</w:t>
      </w:r>
      <w:bookmarkEnd w:id="61"/>
    </w:p>
    <w:tbl>
      <w:tblPr>
        <w:tblStyle w:val="DefaultTable1"/>
        <w:tblW w:w="5000" w:type="pct"/>
        <w:tblLook w:val="04E0" w:firstRow="1" w:lastRow="1" w:firstColumn="1" w:lastColumn="0" w:noHBand="0" w:noVBand="1"/>
        <w:tblCaption w:val="Sample table"/>
        <w:tblDescription w:val="Sample table"/>
      </w:tblPr>
      <w:tblGrid>
        <w:gridCol w:w="2811"/>
        <w:gridCol w:w="2819"/>
        <w:gridCol w:w="1409"/>
        <w:gridCol w:w="1411"/>
        <w:gridCol w:w="1414"/>
      </w:tblGrid>
      <w:tr w:rsidR="00934E33" w:rsidRPr="003E4580" w14:paraId="0C6FB807" w14:textId="77777777" w:rsidTr="00934E33">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000" w:type="pct"/>
            <w:gridSpan w:val="5"/>
          </w:tcPr>
          <w:p w14:paraId="70EB42D4" w14:textId="77777777" w:rsidR="00934E33" w:rsidRPr="003E4580" w:rsidRDefault="00934E33" w:rsidP="00934E33">
            <w:pPr>
              <w:jc w:val="center"/>
            </w:pPr>
            <w:r w:rsidRPr="003E4580">
              <w:t>Average annual regulatory costs (relative to BAU)</w:t>
            </w:r>
          </w:p>
        </w:tc>
      </w:tr>
      <w:tr w:rsidR="00934E33" w:rsidRPr="003E4580" w14:paraId="4A42E117" w14:textId="77777777" w:rsidTr="0020323C">
        <w:tc>
          <w:tcPr>
            <w:cnfStyle w:val="001000000000" w:firstRow="0" w:lastRow="0" w:firstColumn="1" w:lastColumn="0" w:oddVBand="0" w:evenVBand="0" w:oddHBand="0" w:evenHBand="0" w:firstRowFirstColumn="0" w:firstRowLastColumn="0" w:lastRowFirstColumn="0" w:lastRowLastColumn="0"/>
            <w:tcW w:w="1425" w:type="pct"/>
          </w:tcPr>
          <w:p w14:paraId="34F3A582" w14:textId="77777777" w:rsidR="00934E33" w:rsidRPr="003E4580" w:rsidRDefault="0080729F" w:rsidP="00934E33">
            <w:r w:rsidRPr="003E4580">
              <w:t>Change in costs ($ million)</w:t>
            </w:r>
          </w:p>
        </w:tc>
        <w:tc>
          <w:tcPr>
            <w:tcW w:w="1429" w:type="pct"/>
          </w:tcPr>
          <w:p w14:paraId="02213237" w14:textId="77777777" w:rsidR="00934E33" w:rsidRPr="003E4580" w:rsidRDefault="00934E33" w:rsidP="0080729F">
            <w:pPr>
              <w:jc w:val="center"/>
              <w:cnfStyle w:val="000000000000" w:firstRow="0" w:lastRow="0" w:firstColumn="0" w:lastColumn="0" w:oddVBand="0" w:evenVBand="0" w:oddHBand="0" w:evenHBand="0" w:firstRowFirstColumn="0" w:firstRowLastColumn="0" w:lastRowFirstColumn="0" w:lastRowLastColumn="0"/>
              <w:rPr>
                <w:b/>
              </w:rPr>
            </w:pPr>
            <w:r w:rsidRPr="003E4580">
              <w:rPr>
                <w:b/>
              </w:rPr>
              <w:t>Business</w:t>
            </w:r>
          </w:p>
        </w:tc>
        <w:tc>
          <w:tcPr>
            <w:tcW w:w="714" w:type="pct"/>
          </w:tcPr>
          <w:p w14:paraId="4E900E1E" w14:textId="77777777" w:rsidR="00934E33" w:rsidRPr="003E4580" w:rsidRDefault="00934E33" w:rsidP="0080729F">
            <w:pPr>
              <w:jc w:val="center"/>
              <w:cnfStyle w:val="000000000000" w:firstRow="0" w:lastRow="0" w:firstColumn="0" w:lastColumn="0" w:oddVBand="0" w:evenVBand="0" w:oddHBand="0" w:evenHBand="0" w:firstRowFirstColumn="0" w:firstRowLastColumn="0" w:lastRowFirstColumn="0" w:lastRowLastColumn="0"/>
              <w:rPr>
                <w:b/>
              </w:rPr>
            </w:pPr>
            <w:r w:rsidRPr="003E4580">
              <w:rPr>
                <w:b/>
              </w:rPr>
              <w:t>Community organisations</w:t>
            </w:r>
          </w:p>
        </w:tc>
        <w:tc>
          <w:tcPr>
            <w:tcW w:w="715" w:type="pct"/>
          </w:tcPr>
          <w:p w14:paraId="077A8034" w14:textId="77777777" w:rsidR="00934E33" w:rsidRPr="003E4580" w:rsidRDefault="00934E33" w:rsidP="0080729F">
            <w:pPr>
              <w:jc w:val="center"/>
              <w:cnfStyle w:val="000000000000" w:firstRow="0" w:lastRow="0" w:firstColumn="0" w:lastColumn="0" w:oddVBand="0" w:evenVBand="0" w:oddHBand="0" w:evenHBand="0" w:firstRowFirstColumn="0" w:firstRowLastColumn="0" w:lastRowFirstColumn="0" w:lastRowLastColumn="0"/>
              <w:rPr>
                <w:b/>
              </w:rPr>
            </w:pPr>
            <w:r w:rsidRPr="003E4580">
              <w:rPr>
                <w:b/>
              </w:rPr>
              <w:t>Individuals</w:t>
            </w:r>
          </w:p>
        </w:tc>
        <w:tc>
          <w:tcPr>
            <w:tcW w:w="717" w:type="pct"/>
          </w:tcPr>
          <w:p w14:paraId="0194F335" w14:textId="77777777" w:rsidR="00934E33" w:rsidRPr="003E4580" w:rsidRDefault="00934E33" w:rsidP="0080729F">
            <w:pPr>
              <w:jc w:val="center"/>
              <w:cnfStyle w:val="000000000000" w:firstRow="0" w:lastRow="0" w:firstColumn="0" w:lastColumn="0" w:oddVBand="0" w:evenVBand="0" w:oddHBand="0" w:evenHBand="0" w:firstRowFirstColumn="0" w:firstRowLastColumn="0" w:lastRowFirstColumn="0" w:lastRowLastColumn="0"/>
              <w:rPr>
                <w:b/>
              </w:rPr>
            </w:pPr>
            <w:r w:rsidRPr="003E4580">
              <w:rPr>
                <w:b/>
              </w:rPr>
              <w:t>Total change in costs</w:t>
            </w:r>
          </w:p>
        </w:tc>
      </w:tr>
      <w:tr w:rsidR="00934E33" w:rsidRPr="003E4580" w14:paraId="7F9C7899" w14:textId="77777777" w:rsidTr="00203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pct"/>
          </w:tcPr>
          <w:p w14:paraId="02C208FA" w14:textId="77777777" w:rsidR="00934E33" w:rsidRPr="003E4580" w:rsidRDefault="0080729F" w:rsidP="00934E33">
            <w:r w:rsidRPr="003E4580">
              <w:t>Total, by sector</w:t>
            </w:r>
            <w:r w:rsidR="0020323C" w:rsidRPr="003E4580">
              <w:t xml:space="preserve"> </w:t>
            </w:r>
          </w:p>
          <w:p w14:paraId="68DF00B0" w14:textId="77777777" w:rsidR="0020323C" w:rsidRPr="003E4580" w:rsidRDefault="0020323C" w:rsidP="00934E33">
            <w:pPr>
              <w:rPr>
                <w:b w:val="0"/>
              </w:rPr>
            </w:pPr>
            <w:r w:rsidRPr="003E4580">
              <w:t>Option 1</w:t>
            </w:r>
          </w:p>
        </w:tc>
        <w:tc>
          <w:tcPr>
            <w:tcW w:w="1429" w:type="pct"/>
          </w:tcPr>
          <w:p w14:paraId="4E2A3DAD" w14:textId="77777777" w:rsidR="00934E33" w:rsidRPr="003E4580" w:rsidRDefault="0080729F" w:rsidP="0080729F">
            <w:pPr>
              <w:jc w:val="center"/>
              <w:cnfStyle w:val="000000010000" w:firstRow="0" w:lastRow="0" w:firstColumn="0" w:lastColumn="0" w:oddVBand="0" w:evenVBand="0" w:oddHBand="0" w:evenHBand="1" w:firstRowFirstColumn="0" w:firstRowLastColumn="0" w:lastRowFirstColumn="0" w:lastRowLastColumn="0"/>
            </w:pPr>
            <w:r w:rsidRPr="003E4580">
              <w:t>-</w:t>
            </w:r>
          </w:p>
        </w:tc>
        <w:tc>
          <w:tcPr>
            <w:tcW w:w="714" w:type="pct"/>
          </w:tcPr>
          <w:p w14:paraId="458CE93E" w14:textId="77777777" w:rsidR="00934E33" w:rsidRPr="003E4580" w:rsidRDefault="0080729F" w:rsidP="0080729F">
            <w:pPr>
              <w:jc w:val="center"/>
              <w:cnfStyle w:val="000000010000" w:firstRow="0" w:lastRow="0" w:firstColumn="0" w:lastColumn="0" w:oddVBand="0" w:evenVBand="0" w:oddHBand="0" w:evenHBand="1" w:firstRowFirstColumn="0" w:firstRowLastColumn="0" w:lastRowFirstColumn="0" w:lastRowLastColumn="0"/>
            </w:pPr>
            <w:r w:rsidRPr="003E4580">
              <w:t>-</w:t>
            </w:r>
          </w:p>
        </w:tc>
        <w:tc>
          <w:tcPr>
            <w:tcW w:w="715" w:type="pct"/>
          </w:tcPr>
          <w:p w14:paraId="49DCCFBB" w14:textId="77777777" w:rsidR="00934E33" w:rsidRPr="003E4580" w:rsidRDefault="0080729F" w:rsidP="0080729F">
            <w:pPr>
              <w:jc w:val="center"/>
              <w:cnfStyle w:val="000000010000" w:firstRow="0" w:lastRow="0" w:firstColumn="0" w:lastColumn="0" w:oddVBand="0" w:evenVBand="0" w:oddHBand="0" w:evenHBand="1" w:firstRowFirstColumn="0" w:firstRowLastColumn="0" w:lastRowFirstColumn="0" w:lastRowLastColumn="0"/>
            </w:pPr>
            <w:r w:rsidRPr="003E4580">
              <w:t>-</w:t>
            </w:r>
          </w:p>
        </w:tc>
        <w:tc>
          <w:tcPr>
            <w:tcW w:w="717" w:type="pct"/>
          </w:tcPr>
          <w:p w14:paraId="371A1B77" w14:textId="77777777" w:rsidR="00934E33" w:rsidRPr="003E4580" w:rsidRDefault="0080729F" w:rsidP="0080729F">
            <w:pPr>
              <w:jc w:val="center"/>
              <w:cnfStyle w:val="000000010000" w:firstRow="0" w:lastRow="0" w:firstColumn="0" w:lastColumn="0" w:oddVBand="0" w:evenVBand="0" w:oddHBand="0" w:evenHBand="1" w:firstRowFirstColumn="0" w:firstRowLastColumn="0" w:lastRowFirstColumn="0" w:lastRowLastColumn="0"/>
            </w:pPr>
            <w:r w:rsidRPr="003E4580">
              <w:t>-</w:t>
            </w:r>
          </w:p>
        </w:tc>
      </w:tr>
      <w:tr w:rsidR="00E303D0" w:rsidRPr="003E4580" w14:paraId="689C0666" w14:textId="77777777" w:rsidTr="002032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pct"/>
          </w:tcPr>
          <w:p w14:paraId="30CB73A7" w14:textId="77777777" w:rsidR="00E303D0" w:rsidRPr="003E4580" w:rsidRDefault="00E303D0" w:rsidP="00E303D0">
            <w:r w:rsidRPr="003E4580">
              <w:t>Total, by sector</w:t>
            </w:r>
          </w:p>
          <w:p w14:paraId="0820A111" w14:textId="77777777" w:rsidR="00E303D0" w:rsidRPr="003E4580" w:rsidRDefault="00E303D0" w:rsidP="00E303D0">
            <w:r w:rsidRPr="003E4580">
              <w:t xml:space="preserve">Option </w:t>
            </w:r>
            <w:r w:rsidR="005F793F" w:rsidRPr="003E4580">
              <w:t>2</w:t>
            </w:r>
          </w:p>
        </w:tc>
        <w:tc>
          <w:tcPr>
            <w:tcW w:w="1429" w:type="pct"/>
          </w:tcPr>
          <w:p w14:paraId="66CFC305" w14:textId="77777777" w:rsidR="00E303D0" w:rsidRPr="003E4580" w:rsidRDefault="00E303D0" w:rsidP="00E303D0">
            <w:pPr>
              <w:jc w:val="center"/>
              <w:cnfStyle w:val="010000000000" w:firstRow="0" w:lastRow="1" w:firstColumn="0" w:lastColumn="0" w:oddVBand="0" w:evenVBand="0" w:oddHBand="0" w:evenHBand="0" w:firstRowFirstColumn="0" w:firstRowLastColumn="0" w:lastRowFirstColumn="0" w:lastRowLastColumn="0"/>
            </w:pPr>
            <w:r w:rsidRPr="003E4580">
              <w:t>$18.2 m</w:t>
            </w:r>
          </w:p>
        </w:tc>
        <w:tc>
          <w:tcPr>
            <w:tcW w:w="714" w:type="pct"/>
          </w:tcPr>
          <w:p w14:paraId="4B797959" w14:textId="77777777" w:rsidR="00E303D0" w:rsidRPr="003E4580" w:rsidRDefault="00E303D0" w:rsidP="00E303D0">
            <w:pPr>
              <w:jc w:val="center"/>
              <w:cnfStyle w:val="010000000000" w:firstRow="0" w:lastRow="1" w:firstColumn="0" w:lastColumn="0" w:oddVBand="0" w:evenVBand="0" w:oddHBand="0" w:evenHBand="0" w:firstRowFirstColumn="0" w:firstRowLastColumn="0" w:lastRowFirstColumn="0" w:lastRowLastColumn="0"/>
            </w:pPr>
            <w:r w:rsidRPr="003E4580">
              <w:t>-</w:t>
            </w:r>
          </w:p>
        </w:tc>
        <w:tc>
          <w:tcPr>
            <w:tcW w:w="715" w:type="pct"/>
          </w:tcPr>
          <w:p w14:paraId="0E311FB4" w14:textId="77777777" w:rsidR="00E303D0" w:rsidRPr="003E4580" w:rsidRDefault="00E303D0" w:rsidP="00E303D0">
            <w:pPr>
              <w:jc w:val="center"/>
              <w:cnfStyle w:val="010000000000" w:firstRow="0" w:lastRow="1" w:firstColumn="0" w:lastColumn="0" w:oddVBand="0" w:evenVBand="0" w:oddHBand="0" w:evenHBand="0" w:firstRowFirstColumn="0" w:firstRowLastColumn="0" w:lastRowFirstColumn="0" w:lastRowLastColumn="0"/>
            </w:pPr>
            <w:r w:rsidRPr="003E4580">
              <w:t>-</w:t>
            </w:r>
          </w:p>
        </w:tc>
        <w:tc>
          <w:tcPr>
            <w:tcW w:w="717" w:type="pct"/>
          </w:tcPr>
          <w:p w14:paraId="0D9A041A" w14:textId="77777777" w:rsidR="00E303D0" w:rsidRPr="003E4580" w:rsidRDefault="00E303D0" w:rsidP="00E303D0">
            <w:pPr>
              <w:jc w:val="center"/>
              <w:cnfStyle w:val="010000000000" w:firstRow="0" w:lastRow="1" w:firstColumn="0" w:lastColumn="0" w:oddVBand="0" w:evenVBand="0" w:oddHBand="0" w:evenHBand="0" w:firstRowFirstColumn="0" w:firstRowLastColumn="0" w:lastRowFirstColumn="0" w:lastRowLastColumn="0"/>
            </w:pPr>
            <w:r w:rsidRPr="003E4580">
              <w:t>$18.2 m</w:t>
            </w:r>
          </w:p>
        </w:tc>
      </w:tr>
    </w:tbl>
    <w:p w14:paraId="55034CE3" w14:textId="77777777" w:rsidR="00BE1918" w:rsidRPr="003E4580" w:rsidRDefault="00BE1918" w:rsidP="00BE1918">
      <w:pPr>
        <w:sectPr w:rsidR="00BE1918" w:rsidRPr="003E4580" w:rsidSect="00D87AD8">
          <w:pgSz w:w="11906" w:h="16838" w:code="9"/>
          <w:pgMar w:top="1021" w:right="1021" w:bottom="1021" w:left="1021" w:header="510" w:footer="567" w:gutter="0"/>
          <w:cols w:space="708"/>
          <w:docGrid w:linePitch="360"/>
        </w:sectPr>
      </w:pPr>
    </w:p>
    <w:p w14:paraId="62E69A91" w14:textId="6A24B240" w:rsidR="00044540" w:rsidRPr="003E4580" w:rsidRDefault="00044540" w:rsidP="00044540">
      <w:pPr>
        <w:pStyle w:val="Heading1"/>
      </w:pPr>
      <w:bookmarkStart w:id="62" w:name="_Toc146894885"/>
      <w:r w:rsidRPr="003E4580">
        <w:lastRenderedPageBreak/>
        <w:t xml:space="preserve">Chapter 5: </w:t>
      </w:r>
      <w:r w:rsidR="00127D76" w:rsidRPr="003E4580">
        <w:t>Consultation</w:t>
      </w:r>
      <w:bookmarkEnd w:id="62"/>
    </w:p>
    <w:p w14:paraId="43C49E58" w14:textId="77777777" w:rsidR="000150C0" w:rsidRPr="003E4580" w:rsidRDefault="000150C0" w:rsidP="000150C0">
      <w:pPr>
        <w:pStyle w:val="Heading2"/>
      </w:pPr>
      <w:bookmarkStart w:id="63" w:name="_Toc146894886"/>
      <w:r w:rsidRPr="003E4580">
        <w:t>Consultative committees</w:t>
      </w:r>
      <w:bookmarkEnd w:id="63"/>
    </w:p>
    <w:p w14:paraId="68FB5E7F" w14:textId="77777777" w:rsidR="00D30E19" w:rsidRPr="003E4580" w:rsidRDefault="00D30E19" w:rsidP="00235C4A">
      <w:r w:rsidRPr="003E4580">
        <w:t>It has been longstanding practice to consult widely on proposed new or amended vehicle standards.  For many years, there has been active collaboration between the Commonwealth and the state/territory governments, as well as consultation with industry and consumer groups.  Much of the consultation takes place within institutional arrangements established for this purpose.  The analysis and documentation prepared in a particular case, and the bodies consulted, depend on the degree of impact the new or amended standard is expected to have on industry or road users.</w:t>
      </w:r>
    </w:p>
    <w:p w14:paraId="0E6527C0" w14:textId="47038E82" w:rsidR="00235C4A" w:rsidRPr="003E4580" w:rsidRDefault="00235C4A" w:rsidP="00235C4A">
      <w:r w:rsidRPr="003E4580">
        <w:t xml:space="preserve">The Department undertakes public consultation on significant proposals. Depending on the nature of the proposed changes, consultation may involve community and industry stakeholders as well as established government committees such as the Technical Liaison Group (TLG), Strategic Vehicle Safety and Environment Group (SVSEG), </w:t>
      </w:r>
      <w:r w:rsidR="00D30E19" w:rsidRPr="003E4580">
        <w:t xml:space="preserve">the Infrastructure and Transport Senior Officials’ Committee (ITSOC) and the </w:t>
      </w:r>
      <w:r w:rsidR="00127D76" w:rsidRPr="003E4580">
        <w:t xml:space="preserve">Infrastructure and </w:t>
      </w:r>
      <w:r w:rsidR="00D30E19" w:rsidRPr="003E4580">
        <w:t>Transport Ministers</w:t>
      </w:r>
      <w:r w:rsidR="008B32CC" w:rsidRPr="003E4580">
        <w:t>’</w:t>
      </w:r>
      <w:r w:rsidR="00D30E19" w:rsidRPr="003E4580">
        <w:t xml:space="preserve"> </w:t>
      </w:r>
      <w:r w:rsidR="00127D76" w:rsidRPr="003E4580">
        <w:t xml:space="preserve">Meeting </w:t>
      </w:r>
      <w:r w:rsidR="00D30E19" w:rsidRPr="003E4580">
        <w:t>(</w:t>
      </w:r>
      <w:r w:rsidR="00127D76" w:rsidRPr="003E4580">
        <w:t>ITMM</w:t>
      </w:r>
      <w:r w:rsidR="00D30E19" w:rsidRPr="003E4580">
        <w:t>).</w:t>
      </w:r>
    </w:p>
    <w:p w14:paraId="59B29CA8" w14:textId="77777777" w:rsidR="00235C4A" w:rsidRPr="003E4580" w:rsidRDefault="00235C4A" w:rsidP="00CB0804">
      <w:pPr>
        <w:pStyle w:val="ListParagraph"/>
        <w:numPr>
          <w:ilvl w:val="0"/>
          <w:numId w:val="10"/>
        </w:numPr>
        <w:rPr>
          <w:rFonts w:asciiTheme="minorHAnsi" w:hAnsiTheme="minorHAnsi"/>
          <w:sz w:val="20"/>
        </w:rPr>
      </w:pPr>
      <w:r w:rsidRPr="003E4580">
        <w:rPr>
          <w:rFonts w:asciiTheme="minorHAnsi" w:hAnsiTheme="minorHAnsi"/>
          <w:sz w:val="20"/>
        </w:rPr>
        <w:t>TLG consists of technical representatives of government (Australian and state/territory), the manufacturing and operational arms of the industry (including organisations such as the Federal Chamber of Automotive Industries and the Australian Trucking Association) and of representative organisations of consumers and road users (particularly through the Australian Automobile Association).</w:t>
      </w:r>
    </w:p>
    <w:p w14:paraId="3430C3CE" w14:textId="77777777" w:rsidR="00235C4A" w:rsidRPr="003E4580" w:rsidRDefault="00235C4A" w:rsidP="00CB0804">
      <w:pPr>
        <w:pStyle w:val="ListParagraph"/>
        <w:numPr>
          <w:ilvl w:val="0"/>
          <w:numId w:val="10"/>
        </w:numPr>
        <w:rPr>
          <w:rFonts w:asciiTheme="minorHAnsi" w:hAnsiTheme="minorHAnsi"/>
          <w:sz w:val="20"/>
        </w:rPr>
      </w:pPr>
      <w:r w:rsidRPr="003E4580">
        <w:rPr>
          <w:rFonts w:asciiTheme="minorHAnsi" w:hAnsiTheme="minorHAnsi"/>
          <w:sz w:val="20"/>
        </w:rPr>
        <w:t>SVSEG consists of senior representatives of government (Australian and state/territory), the manufacturing and operational arms of the industry and of representative organisations of consumers and road users (at a higher level within each organisation as represented in TLG).</w:t>
      </w:r>
    </w:p>
    <w:p w14:paraId="4DD48975" w14:textId="77777777" w:rsidR="00235C4A" w:rsidRPr="003E4580" w:rsidRDefault="00D30E19" w:rsidP="00CB0804">
      <w:pPr>
        <w:pStyle w:val="ListParagraph"/>
        <w:numPr>
          <w:ilvl w:val="0"/>
          <w:numId w:val="10"/>
        </w:numPr>
        <w:rPr>
          <w:rFonts w:asciiTheme="minorHAnsi" w:hAnsiTheme="minorHAnsi"/>
          <w:sz w:val="20"/>
        </w:rPr>
      </w:pPr>
      <w:r w:rsidRPr="003E4580">
        <w:rPr>
          <w:rFonts w:asciiTheme="minorHAnsi" w:hAnsiTheme="minorHAnsi"/>
          <w:sz w:val="20"/>
        </w:rPr>
        <w:t>ITSOC consists of state and territory transport and/or infrastructure Chief Executive Officers (CEOs) (or equivalents), the CEO of the National Transport Commission, New Zealand and the Australian Local Government Association.</w:t>
      </w:r>
    </w:p>
    <w:p w14:paraId="6DAA1C40" w14:textId="77777777" w:rsidR="00494FFB" w:rsidRPr="003E4580" w:rsidRDefault="00127D76" w:rsidP="00CB0804">
      <w:pPr>
        <w:pStyle w:val="ListParagraph"/>
        <w:numPr>
          <w:ilvl w:val="0"/>
          <w:numId w:val="10"/>
        </w:numPr>
      </w:pPr>
      <w:r w:rsidRPr="003E4580">
        <w:rPr>
          <w:rFonts w:asciiTheme="minorHAnsi" w:hAnsiTheme="minorHAnsi"/>
          <w:sz w:val="20"/>
        </w:rPr>
        <w:t>ITMM</w:t>
      </w:r>
      <w:r w:rsidR="00D30E19" w:rsidRPr="003E4580">
        <w:rPr>
          <w:rFonts w:asciiTheme="minorHAnsi" w:hAnsiTheme="minorHAnsi"/>
          <w:sz w:val="20"/>
        </w:rPr>
        <w:t xml:space="preserve"> </w:t>
      </w:r>
      <w:r w:rsidR="00235C4A" w:rsidRPr="003E4580">
        <w:rPr>
          <w:rFonts w:asciiTheme="minorHAnsi" w:hAnsiTheme="minorHAnsi"/>
          <w:sz w:val="20"/>
        </w:rPr>
        <w:t>consists of the Australian, state/territory and New Zealand Ministers with responsibility for transport and infrastructure issues.</w:t>
      </w:r>
    </w:p>
    <w:p w14:paraId="320ABFC8" w14:textId="77777777" w:rsidR="00494FFB" w:rsidRPr="003E4580" w:rsidRDefault="00494FFB" w:rsidP="00494FFB">
      <w:r w:rsidRPr="003E4580">
        <w:t xml:space="preserve">SVSEG and the TLG are the principal consultative forums for advising on ADR proposals. Membership of the SVSEG is shown at Appendix </w:t>
      </w:r>
      <w:r w:rsidR="00114B1A" w:rsidRPr="003E4580">
        <w:t>B</w:t>
      </w:r>
      <w:r w:rsidRPr="003E4580">
        <w:t xml:space="preserve"> - Strategic Vehicle Safety and Environment Group (SVSEG), and membership of the TLG is shown at Appendix </w:t>
      </w:r>
      <w:r w:rsidR="00114B1A" w:rsidRPr="003E4580">
        <w:t>C</w:t>
      </w:r>
      <w:r w:rsidRPr="003E4580">
        <w:t xml:space="preserve"> – Technical Liaison Group (TLG).</w:t>
      </w:r>
    </w:p>
    <w:p w14:paraId="616C314C" w14:textId="77777777" w:rsidR="000150C0" w:rsidRPr="003E4580" w:rsidRDefault="000150C0" w:rsidP="000150C0">
      <w:pPr>
        <w:pStyle w:val="Heading2"/>
      </w:pPr>
      <w:bookmarkStart w:id="64" w:name="_Toc146894887"/>
      <w:r w:rsidRPr="003E4580">
        <w:t>Public comment</w:t>
      </w:r>
      <w:bookmarkEnd w:id="64"/>
    </w:p>
    <w:p w14:paraId="3764B414" w14:textId="6E7EE31F" w:rsidR="00AA6586" w:rsidRPr="003E4580" w:rsidRDefault="0045514E" w:rsidP="005F33C1">
      <w:r w:rsidRPr="003E4580">
        <w:t>The Consultation IA included a draft version of the national road vehicle standard ADR 99/00 – Lane Departure Warning Systems for heavy vehicles which is base</w:t>
      </w:r>
      <w:r w:rsidR="008B32CC" w:rsidRPr="003E4580">
        <w:t>d</w:t>
      </w:r>
      <w:r w:rsidRPr="003E4580">
        <w:t xml:space="preserve"> on UN R130. The ADR 99/00, Explanatory Statement and the feedback form was published on the Department’s website </w:t>
      </w:r>
      <w:r w:rsidR="007C71CB" w:rsidRPr="003E4580">
        <w:t xml:space="preserve">in </w:t>
      </w:r>
      <w:r w:rsidRPr="003E4580">
        <w:t>April 2022 for an eight week public comment period which closed on 4 June 2022. The Department also sent out an email</w:t>
      </w:r>
      <w:r w:rsidR="00AA6586" w:rsidRPr="003E4580">
        <w:t xml:space="preserve"> </w:t>
      </w:r>
      <w:r w:rsidR="007C71CB" w:rsidRPr="003E4580">
        <w:t xml:space="preserve">in </w:t>
      </w:r>
      <w:r w:rsidR="00AA6586" w:rsidRPr="003E4580">
        <w:t xml:space="preserve">April 2022 to inform senior representatives of state and territory governments, key industry representatives and representative organisations of consumers and road safety experts. In addition, a notice was published in the Office of Road Safety (ORS) newsletter and the Department’s social media websites (twitter, Facebook and LinkedIn) to increase public awareness and engagement. </w:t>
      </w:r>
    </w:p>
    <w:p w14:paraId="4250870B" w14:textId="77777777" w:rsidR="00900B39" w:rsidRDefault="00900B39">
      <w:pPr>
        <w:suppressAutoHyphens w:val="0"/>
      </w:pPr>
      <w:r>
        <w:br w:type="page"/>
      </w:r>
    </w:p>
    <w:p w14:paraId="76783EC6" w14:textId="16CFF0AB" w:rsidR="0045514E" w:rsidRPr="003E4580" w:rsidRDefault="00AA6586" w:rsidP="005F33C1">
      <w:r w:rsidRPr="003E4580">
        <w:lastRenderedPageBreak/>
        <w:t xml:space="preserve">A summary of public comment input and Departmental responses has been included in Appendix I that is used for decision making by the responsible minister. </w:t>
      </w:r>
      <w:r w:rsidR="0045514E" w:rsidRPr="003E4580">
        <w:t>The Department sought feedback on the Consultation IA and proposed regulation including:</w:t>
      </w:r>
    </w:p>
    <w:p w14:paraId="447C986A" w14:textId="01FF6B8B" w:rsidR="0045514E" w:rsidRPr="003E4580" w:rsidRDefault="0045514E" w:rsidP="0045514E">
      <w:pPr>
        <w:pStyle w:val="ListParagraph"/>
        <w:numPr>
          <w:ilvl w:val="0"/>
          <w:numId w:val="10"/>
        </w:numPr>
        <w:rPr>
          <w:rFonts w:asciiTheme="minorHAnsi" w:hAnsiTheme="minorHAnsi"/>
          <w:sz w:val="20"/>
        </w:rPr>
      </w:pPr>
      <w:r w:rsidRPr="003E4580">
        <w:rPr>
          <w:rFonts w:asciiTheme="minorHAnsi" w:hAnsiTheme="minorHAnsi"/>
          <w:sz w:val="20"/>
        </w:rPr>
        <w:t>Support for the recommended option</w:t>
      </w:r>
    </w:p>
    <w:p w14:paraId="1762F7B8" w14:textId="7EBB0729" w:rsidR="005215D4" w:rsidRPr="003E4580" w:rsidRDefault="0045514E" w:rsidP="00AA6586">
      <w:pPr>
        <w:pStyle w:val="ListParagraph"/>
        <w:numPr>
          <w:ilvl w:val="0"/>
          <w:numId w:val="10"/>
        </w:numPr>
        <w:rPr>
          <w:rFonts w:asciiTheme="minorHAnsi" w:hAnsiTheme="minorHAnsi"/>
          <w:sz w:val="20"/>
        </w:rPr>
      </w:pPr>
      <w:r w:rsidRPr="003E4580">
        <w:rPr>
          <w:rFonts w:asciiTheme="minorHAnsi" w:hAnsiTheme="minorHAnsi"/>
          <w:sz w:val="20"/>
        </w:rPr>
        <w:t>Views on the benefit-cost analysis, including the use of crash data, research or assumptions on effectiveness of the technology, the costs or the assumed benefits.</w:t>
      </w:r>
    </w:p>
    <w:p w14:paraId="4AC61CD1" w14:textId="77777777" w:rsidR="005215D4" w:rsidRPr="003E4580" w:rsidRDefault="005F33C1" w:rsidP="00CB0804">
      <w:pPr>
        <w:pStyle w:val="ListParagraph"/>
        <w:numPr>
          <w:ilvl w:val="0"/>
          <w:numId w:val="9"/>
        </w:numPr>
        <w:rPr>
          <w:rFonts w:asciiTheme="minorHAnsi" w:hAnsiTheme="minorHAnsi"/>
          <w:sz w:val="20"/>
        </w:rPr>
      </w:pPr>
      <w:r w:rsidRPr="003E4580">
        <w:rPr>
          <w:rFonts w:asciiTheme="minorHAnsi" w:hAnsiTheme="minorHAnsi"/>
          <w:sz w:val="20"/>
        </w:rPr>
        <w:t>The suitability of UN R13</w:t>
      </w:r>
      <w:r w:rsidR="006F274C" w:rsidRPr="003E4580">
        <w:rPr>
          <w:rFonts w:asciiTheme="minorHAnsi" w:hAnsiTheme="minorHAnsi"/>
          <w:sz w:val="20"/>
        </w:rPr>
        <w:t>0</w:t>
      </w:r>
      <w:r w:rsidRPr="003E4580">
        <w:rPr>
          <w:rFonts w:asciiTheme="minorHAnsi" w:hAnsiTheme="minorHAnsi"/>
          <w:sz w:val="20"/>
        </w:rPr>
        <w:t xml:space="preserve"> for adoption under the ADRs, including any concerns on functional and/or performance requirements, test requirements or implementation, such as the applicable vehicle categories and timing.</w:t>
      </w:r>
    </w:p>
    <w:p w14:paraId="2D4C6900" w14:textId="1EDAF072" w:rsidR="005F33C1" w:rsidRPr="003E4580" w:rsidRDefault="005F33C1" w:rsidP="00CB0804">
      <w:pPr>
        <w:pStyle w:val="ListParagraph"/>
        <w:numPr>
          <w:ilvl w:val="0"/>
          <w:numId w:val="9"/>
        </w:numPr>
        <w:rPr>
          <w:rFonts w:asciiTheme="minorHAnsi" w:hAnsiTheme="minorHAnsi"/>
          <w:sz w:val="20"/>
        </w:rPr>
      </w:pPr>
      <w:r w:rsidRPr="003E4580">
        <w:rPr>
          <w:rFonts w:asciiTheme="minorHAnsi" w:hAnsiTheme="minorHAnsi"/>
          <w:sz w:val="20"/>
        </w:rPr>
        <w:t>Any other relevant views or information which could assist decision making</w:t>
      </w:r>
    </w:p>
    <w:p w14:paraId="6764EE21" w14:textId="72E0D36C" w:rsidR="00987900" w:rsidRPr="003E4580" w:rsidRDefault="00987900" w:rsidP="00987900">
      <w:r w:rsidRPr="003E4580">
        <w:t>As Australia is a party to the World Trade Organisation (WTO) Agreement, and harmonisation of requirements with international regulations is a means of compliance with its obligations, a notification will be lodged with the WTO for the required period, to allow for comment by other WTO members</w:t>
      </w:r>
      <w:r w:rsidR="00494FFB" w:rsidRPr="003E4580">
        <w:t>.</w:t>
      </w:r>
    </w:p>
    <w:p w14:paraId="361BDC0F" w14:textId="5B3B04D6" w:rsidR="0045514E" w:rsidRPr="003E4580" w:rsidRDefault="0045514E" w:rsidP="00987900">
      <w:r w:rsidRPr="003E4580">
        <w:t xml:space="preserve">The publication of an exposure draft of the proposed ADR and Consultation </w:t>
      </w:r>
      <w:r w:rsidR="00AA6586" w:rsidRPr="003E4580">
        <w:t>IA</w:t>
      </w:r>
      <w:r w:rsidRPr="003E4580">
        <w:t xml:space="preserve"> for public comment is an integral part of the consultation process. This provides an opportunity for businesses and road user groups, as well as all other interested parties, to respond to the proposal by writing or otherwise submitting their comments to the Department. Analysing proposals through the </w:t>
      </w:r>
      <w:r w:rsidR="00AA6586" w:rsidRPr="003E4580">
        <w:t>IA</w:t>
      </w:r>
      <w:r w:rsidRPr="003E4580">
        <w:t xml:space="preserve"> process assists in identifying the likely impacts of the proposals and enables informed debate on any issues.</w:t>
      </w:r>
      <w:r w:rsidR="00AA6586" w:rsidRPr="003E4580">
        <w:t xml:space="preserve"> Three ways to provide input was provided:</w:t>
      </w:r>
    </w:p>
    <w:p w14:paraId="0235771D" w14:textId="3BC07798" w:rsidR="00AA6586" w:rsidRPr="003E4580" w:rsidRDefault="00AA6586" w:rsidP="00AA6586">
      <w:pPr>
        <w:pStyle w:val="ListParagraph"/>
        <w:numPr>
          <w:ilvl w:val="0"/>
          <w:numId w:val="9"/>
        </w:numPr>
        <w:rPr>
          <w:rFonts w:asciiTheme="minorHAnsi" w:hAnsiTheme="minorHAnsi"/>
          <w:sz w:val="20"/>
        </w:rPr>
      </w:pPr>
      <w:r w:rsidRPr="003E4580">
        <w:rPr>
          <w:rFonts w:asciiTheme="minorHAnsi" w:hAnsiTheme="minorHAnsi"/>
          <w:sz w:val="20"/>
        </w:rPr>
        <w:t>Completing the webform and attaching the feedback form on the Department’s website</w:t>
      </w:r>
      <w:r w:rsidR="00D96416" w:rsidRPr="003E4580">
        <w:rPr>
          <w:rFonts w:asciiTheme="minorHAnsi" w:hAnsiTheme="minorHAnsi"/>
          <w:sz w:val="20"/>
        </w:rPr>
        <w:t xml:space="preserve"> or social media platforms; or</w:t>
      </w:r>
    </w:p>
    <w:p w14:paraId="0D4C46C7" w14:textId="79B44965" w:rsidR="00AA6586" w:rsidRPr="003E4580" w:rsidRDefault="00D96416" w:rsidP="00AA6586">
      <w:pPr>
        <w:pStyle w:val="ListParagraph"/>
        <w:numPr>
          <w:ilvl w:val="0"/>
          <w:numId w:val="9"/>
        </w:numPr>
        <w:rPr>
          <w:rFonts w:asciiTheme="minorHAnsi" w:hAnsiTheme="minorHAnsi"/>
          <w:sz w:val="20"/>
        </w:rPr>
      </w:pPr>
      <w:r w:rsidRPr="003E4580">
        <w:rPr>
          <w:rFonts w:asciiTheme="minorHAnsi" w:hAnsiTheme="minorHAnsi"/>
          <w:sz w:val="20"/>
        </w:rPr>
        <w:t>E</w:t>
      </w:r>
      <w:r w:rsidR="00AA6586" w:rsidRPr="003E4580">
        <w:rPr>
          <w:rFonts w:asciiTheme="minorHAnsi" w:hAnsiTheme="minorHAnsi"/>
          <w:sz w:val="20"/>
        </w:rPr>
        <w:t>mai</w:t>
      </w:r>
      <w:r w:rsidRPr="003E4580">
        <w:rPr>
          <w:rFonts w:asciiTheme="minorHAnsi" w:hAnsiTheme="minorHAnsi"/>
          <w:sz w:val="20"/>
        </w:rPr>
        <w:t>ling the feedback form to Vehicle.Standards@infrastructure.gov.au, or</w:t>
      </w:r>
    </w:p>
    <w:p w14:paraId="1470B1B7" w14:textId="74402C1C" w:rsidR="00D96416" w:rsidRPr="003E4580" w:rsidRDefault="00D96416" w:rsidP="00D96416">
      <w:pPr>
        <w:pStyle w:val="ListParagraph"/>
        <w:numPr>
          <w:ilvl w:val="0"/>
          <w:numId w:val="9"/>
        </w:numPr>
        <w:rPr>
          <w:rFonts w:asciiTheme="minorHAnsi" w:hAnsiTheme="minorHAnsi"/>
          <w:sz w:val="20"/>
        </w:rPr>
      </w:pPr>
      <w:r w:rsidRPr="003E4580">
        <w:rPr>
          <w:rFonts w:asciiTheme="minorHAnsi" w:hAnsiTheme="minorHAnsi"/>
          <w:sz w:val="20"/>
        </w:rPr>
        <w:t>Emailing comments only without a feedback form to Vehicle.Standards@infrastructure.gov.au, or</w:t>
      </w:r>
    </w:p>
    <w:p w14:paraId="5FE583FA" w14:textId="0B6AAB60" w:rsidR="00D96416" w:rsidRPr="003E4580" w:rsidRDefault="00D96416" w:rsidP="00AA6586">
      <w:pPr>
        <w:pStyle w:val="ListParagraph"/>
        <w:numPr>
          <w:ilvl w:val="0"/>
          <w:numId w:val="9"/>
        </w:numPr>
        <w:rPr>
          <w:rFonts w:asciiTheme="minorHAnsi" w:hAnsiTheme="minorHAnsi"/>
          <w:sz w:val="20"/>
        </w:rPr>
      </w:pPr>
      <w:r w:rsidRPr="003E4580">
        <w:rPr>
          <w:rFonts w:asciiTheme="minorHAnsi" w:hAnsiTheme="minorHAnsi"/>
          <w:sz w:val="20"/>
        </w:rPr>
        <w:t>Sending the feedback form to the Vehicle Standards Section via the post</w:t>
      </w:r>
    </w:p>
    <w:p w14:paraId="1AA8437A" w14:textId="3B8675AC" w:rsidR="00BE1918" w:rsidRPr="003E4580" w:rsidRDefault="008249F7" w:rsidP="00BE1918">
      <w:r w:rsidRPr="003E4580">
        <w:t>One</w:t>
      </w:r>
      <w:r w:rsidR="00BE1918" w:rsidRPr="003E4580">
        <w:t xml:space="preserve"> jurisdiction made </w:t>
      </w:r>
      <w:r w:rsidRPr="003E4580">
        <w:t xml:space="preserve">a </w:t>
      </w:r>
      <w:r w:rsidR="00BE1918" w:rsidRPr="003E4580">
        <w:t xml:space="preserve">submission supporting the recommended Option </w:t>
      </w:r>
      <w:r w:rsidRPr="003E4580">
        <w:t>2</w:t>
      </w:r>
      <w:r w:rsidR="00BE1918" w:rsidRPr="003E4580">
        <w:t xml:space="preserve"> - Regulation, including maintaining the implementation timing recommended in the Consultation </w:t>
      </w:r>
      <w:r w:rsidR="00BA479C" w:rsidRPr="003E4580">
        <w:t>IA</w:t>
      </w:r>
      <w:r w:rsidR="00BE1918" w:rsidRPr="003E4580">
        <w:t xml:space="preserve"> to ensure the broadest benefit of the technology. </w:t>
      </w:r>
      <w:r w:rsidR="003D7D02" w:rsidRPr="003E4580">
        <w:t>They noted in their</w:t>
      </w:r>
      <w:r w:rsidR="00BE1918" w:rsidRPr="003E4580">
        <w:t xml:space="preserve"> submission </w:t>
      </w:r>
      <w:r w:rsidR="003D7D02" w:rsidRPr="003E4580">
        <w:t xml:space="preserve">that </w:t>
      </w:r>
      <w:r w:rsidR="00BE1918" w:rsidRPr="003E4580">
        <w:t xml:space="preserve">the voluntary fitment of </w:t>
      </w:r>
      <w:r w:rsidR="003D7D02" w:rsidRPr="003E4580">
        <w:t>LDWS</w:t>
      </w:r>
      <w:r w:rsidR="00BE1918" w:rsidRPr="003E4580">
        <w:t>s by manufacturers</w:t>
      </w:r>
      <w:r w:rsidR="008B32CC" w:rsidRPr="003E4580">
        <w:t xml:space="preserve"> is available,</w:t>
      </w:r>
      <w:r w:rsidR="00BE1918" w:rsidRPr="003E4580">
        <w:t xml:space="preserve"> however</w:t>
      </w:r>
      <w:r w:rsidR="008B32CC" w:rsidRPr="003E4580">
        <w:t>,</w:t>
      </w:r>
      <w:r w:rsidR="00BE1918" w:rsidRPr="003E4580">
        <w:t xml:space="preserve"> highlighted that the feature is often not available as an option on lower cost </w:t>
      </w:r>
      <w:r w:rsidR="003D7D02" w:rsidRPr="003E4580">
        <w:t>vehicles</w:t>
      </w:r>
      <w:r w:rsidR="00BE1918" w:rsidRPr="003E4580">
        <w:t xml:space="preserve"> within a model range.</w:t>
      </w:r>
      <w:r w:rsidR="003D7D02" w:rsidRPr="003E4580">
        <w:t xml:space="preserve"> </w:t>
      </w:r>
    </w:p>
    <w:p w14:paraId="41D72FD6" w14:textId="4416C745" w:rsidR="008249F7" w:rsidRPr="003E4580" w:rsidRDefault="008249F7" w:rsidP="00BE1918">
      <w:r w:rsidRPr="003E4580">
        <w:t xml:space="preserve">The heavy vehicle industry peak body, the Truck Industry Council (TIC), Fiat Chrysler Australia and Gas Energy Australia  supported Option 2 – Regulation. TIC requested costings for the IA be revisited, recommended revisions to ADR 99/00 and associated Explanatory Statement and </w:t>
      </w:r>
      <w:r w:rsidR="008C2E5E" w:rsidRPr="003E4580">
        <w:t xml:space="preserve">slightly </w:t>
      </w:r>
      <w:r w:rsidRPr="003E4580">
        <w:t>delayed implementation dates.</w:t>
      </w:r>
    </w:p>
    <w:p w14:paraId="4E223348" w14:textId="2B8FAC71" w:rsidR="008249F7" w:rsidRPr="003E4580" w:rsidRDefault="002321AB" w:rsidP="00BE1918">
      <w:r w:rsidRPr="003E4580">
        <w:t>A s</w:t>
      </w:r>
      <w:r w:rsidR="00BE1918" w:rsidRPr="003E4580">
        <w:t xml:space="preserve">ubmission from Australasia’s leading </w:t>
      </w:r>
      <w:r w:rsidRPr="003E4580">
        <w:t>cycling organisation (Bicycle Network)</w:t>
      </w:r>
      <w:r w:rsidR="00BE1918" w:rsidRPr="003E4580">
        <w:t xml:space="preserve"> supported the recommended Option </w:t>
      </w:r>
      <w:r w:rsidRPr="003E4580">
        <w:t>2</w:t>
      </w:r>
      <w:r w:rsidR="00BE1918" w:rsidRPr="003E4580">
        <w:t xml:space="preserve"> - Regulation maintaining the implementation timing recommended in the Consultation </w:t>
      </w:r>
      <w:r w:rsidR="00D009F3" w:rsidRPr="003E4580">
        <w:t>IA</w:t>
      </w:r>
      <w:r w:rsidR="00BE1918" w:rsidRPr="003E4580">
        <w:t xml:space="preserve">. </w:t>
      </w:r>
      <w:r w:rsidRPr="003E4580">
        <w:t>In their submission they</w:t>
      </w:r>
      <w:r w:rsidR="00BE1918" w:rsidRPr="003E4580">
        <w:t xml:space="preserve"> also noted that </w:t>
      </w:r>
      <w:r w:rsidRPr="003E4580">
        <w:t xml:space="preserve">one in five rider fatalities involve a heavy vehicle and highlighted that this statistic has not changed in the last two decades. </w:t>
      </w:r>
    </w:p>
    <w:p w14:paraId="67635B03" w14:textId="77777777" w:rsidR="003D7D02" w:rsidRPr="003E4580" w:rsidRDefault="002321AB" w:rsidP="003D7D02">
      <w:r w:rsidRPr="003E4580">
        <w:t xml:space="preserve">Two submissions (one confidential) from the public supported Option 2 – Regulation maintaining the timing recommended in the Consultation IA. </w:t>
      </w:r>
      <w:r w:rsidR="008249F7" w:rsidRPr="003E4580">
        <w:t xml:space="preserve">Both submissions encouraged the Australian Government to continue to participate in UN working groups to update UN R130 to cater for Australian lane markings. </w:t>
      </w:r>
    </w:p>
    <w:p w14:paraId="242E9ED2" w14:textId="2F326C33" w:rsidR="008249F7" w:rsidRPr="003E4580" w:rsidRDefault="003D7D02" w:rsidP="00BE1918">
      <w:r w:rsidRPr="003E4580">
        <w:t>A few submissions further recognised the significant increase in safety for VRUs (cyclists) who are not participants in the consumer choice of vehicle owners but are potentially affected by the outcomes of those choices.</w:t>
      </w:r>
    </w:p>
    <w:p w14:paraId="44316D9F" w14:textId="7DDF8C34" w:rsidR="00BE1918" w:rsidRPr="003E4580" w:rsidRDefault="002321AB" w:rsidP="00BE1918">
      <w:r w:rsidRPr="003E4580">
        <w:t xml:space="preserve">One anonymous submission </w:t>
      </w:r>
      <w:r w:rsidR="008249F7" w:rsidRPr="003E4580">
        <w:t>did not support the recommended option noting that industry led fitment rates were sufficient to curb the road trauma. They did not support the analysis in the Consultation IA and associated costs however did not provide any alternative costs to consider in the Final IA.</w:t>
      </w:r>
      <w:r w:rsidR="003D7D02" w:rsidRPr="003E4580">
        <w:t xml:space="preserve"> </w:t>
      </w:r>
    </w:p>
    <w:p w14:paraId="5D612C2F" w14:textId="1AD79911" w:rsidR="0009551F" w:rsidRPr="003E4580" w:rsidRDefault="00BE1918" w:rsidP="00987900">
      <w:r w:rsidRPr="003E4580">
        <w:t xml:space="preserve">This Final </w:t>
      </w:r>
      <w:r w:rsidR="00AA6586" w:rsidRPr="003E4580">
        <w:t>IA</w:t>
      </w:r>
      <w:r w:rsidRPr="003E4580">
        <w:t xml:space="preserve"> </w:t>
      </w:r>
      <w:r w:rsidR="009B0313" w:rsidRPr="003E4580">
        <w:t>will be</w:t>
      </w:r>
      <w:r w:rsidRPr="003E4580">
        <w:t xml:space="preserve"> published on the </w:t>
      </w:r>
      <w:r w:rsidR="00A573B0" w:rsidRPr="003E4580">
        <w:t>Federal Register of Legislation with the new ADR for LDWS</w:t>
      </w:r>
      <w:r w:rsidRPr="003E4580">
        <w:t xml:space="preserve"> and distributed to the </w:t>
      </w:r>
      <w:r w:rsidR="00AA6586" w:rsidRPr="003E4580">
        <w:t xml:space="preserve">key </w:t>
      </w:r>
      <w:r w:rsidRPr="003E4580">
        <w:t xml:space="preserve">consultative committees outlined </w:t>
      </w:r>
      <w:r w:rsidR="00AA6586" w:rsidRPr="003E4580">
        <w:t>before in this Final IA</w:t>
      </w:r>
      <w:r w:rsidRPr="003E4580">
        <w:t>.</w:t>
      </w:r>
    </w:p>
    <w:p w14:paraId="7D405121" w14:textId="28D9BB19" w:rsidR="00C17141" w:rsidRPr="003E4580" w:rsidRDefault="00C17141" w:rsidP="00383937">
      <w:pPr>
        <w:rPr>
          <w:highlight w:val="yellow"/>
        </w:rPr>
        <w:sectPr w:rsidR="00C17141" w:rsidRPr="003E4580" w:rsidSect="00D87AD8">
          <w:pgSz w:w="11906" w:h="16838" w:code="9"/>
          <w:pgMar w:top="1021" w:right="1021" w:bottom="1021" w:left="1021" w:header="510" w:footer="567" w:gutter="0"/>
          <w:cols w:space="708"/>
          <w:docGrid w:linePitch="360"/>
        </w:sectPr>
      </w:pPr>
      <w:bookmarkStart w:id="65" w:name="_Hlk131595755"/>
      <w:bookmarkStart w:id="66" w:name="_Hlk146205154"/>
    </w:p>
    <w:p w14:paraId="5A582110" w14:textId="77777777" w:rsidR="00044540" w:rsidRPr="003E4580" w:rsidRDefault="00044540" w:rsidP="00044540">
      <w:pPr>
        <w:pStyle w:val="Heading1"/>
      </w:pPr>
      <w:bookmarkStart w:id="67" w:name="_Toc146894888"/>
      <w:bookmarkEnd w:id="65"/>
      <w:bookmarkEnd w:id="66"/>
      <w:r w:rsidRPr="003E4580">
        <w:lastRenderedPageBreak/>
        <w:t>Chapter 6: What is the best option?</w:t>
      </w:r>
      <w:bookmarkEnd w:id="67"/>
    </w:p>
    <w:p w14:paraId="01F95096" w14:textId="2698DF67" w:rsidR="009A2F3E" w:rsidRPr="003E4580" w:rsidRDefault="009A2F3E" w:rsidP="009A2F3E">
      <w:r w:rsidRPr="003E4580">
        <w:t xml:space="preserve">The following options were identified earlier in this </w:t>
      </w:r>
      <w:r w:rsidR="00D96416" w:rsidRPr="003E4580">
        <w:t>Final</w:t>
      </w:r>
      <w:r w:rsidR="00035E18" w:rsidRPr="003E4580">
        <w:t xml:space="preserve"> </w:t>
      </w:r>
      <w:r w:rsidR="00D96416" w:rsidRPr="003E4580">
        <w:t>IA</w:t>
      </w:r>
      <w:r w:rsidRPr="003E4580">
        <w:t xml:space="preserve"> as being viable for analysis:</w:t>
      </w:r>
    </w:p>
    <w:p w14:paraId="549541F0" w14:textId="77777777" w:rsidR="009A2F3E" w:rsidRPr="003E4580" w:rsidRDefault="009A2F3E" w:rsidP="00CB0804">
      <w:pPr>
        <w:pStyle w:val="ListParagraph"/>
        <w:numPr>
          <w:ilvl w:val="0"/>
          <w:numId w:val="13"/>
        </w:numPr>
        <w:rPr>
          <w:rFonts w:asciiTheme="minorHAnsi" w:hAnsiTheme="minorHAnsi" w:cstheme="minorHAnsi"/>
          <w:sz w:val="20"/>
        </w:rPr>
      </w:pPr>
      <w:r w:rsidRPr="003E4580">
        <w:rPr>
          <w:rFonts w:asciiTheme="minorHAnsi" w:hAnsiTheme="minorHAnsi" w:cstheme="minorHAnsi"/>
          <w:sz w:val="20"/>
        </w:rPr>
        <w:t>Option 1: no intervention;</w:t>
      </w:r>
    </w:p>
    <w:p w14:paraId="7D0F7DE9" w14:textId="77777777" w:rsidR="009A2F3E" w:rsidRPr="003E4580" w:rsidRDefault="009A2F3E" w:rsidP="00CB0804">
      <w:pPr>
        <w:pStyle w:val="ListParagraph"/>
        <w:numPr>
          <w:ilvl w:val="0"/>
          <w:numId w:val="13"/>
        </w:numPr>
        <w:rPr>
          <w:rFonts w:asciiTheme="minorHAnsi" w:hAnsiTheme="minorHAnsi" w:cstheme="minorHAnsi"/>
          <w:sz w:val="20"/>
        </w:rPr>
      </w:pPr>
      <w:r w:rsidRPr="003E4580">
        <w:rPr>
          <w:rFonts w:asciiTheme="minorHAnsi" w:hAnsiTheme="minorHAnsi" w:cstheme="minorHAnsi"/>
          <w:sz w:val="20"/>
        </w:rPr>
        <w:t xml:space="preserve">Option </w:t>
      </w:r>
      <w:r w:rsidR="00E32027" w:rsidRPr="003E4580">
        <w:rPr>
          <w:rFonts w:asciiTheme="minorHAnsi" w:hAnsiTheme="minorHAnsi" w:cstheme="minorHAnsi"/>
          <w:sz w:val="20"/>
        </w:rPr>
        <w:t>2</w:t>
      </w:r>
      <w:r w:rsidRPr="003E4580">
        <w:rPr>
          <w:rFonts w:asciiTheme="minorHAnsi" w:hAnsiTheme="minorHAnsi" w:cstheme="minorHAnsi"/>
          <w:sz w:val="20"/>
        </w:rPr>
        <w:t>: mandatory standards under the RVSA (regulation).</w:t>
      </w:r>
    </w:p>
    <w:p w14:paraId="565E4FCD" w14:textId="77777777" w:rsidR="008A23AD" w:rsidRPr="003E4580" w:rsidRDefault="008A23AD" w:rsidP="008A23AD">
      <w:pPr>
        <w:pStyle w:val="Heading2"/>
      </w:pPr>
      <w:bookmarkStart w:id="68" w:name="_Toc146894889"/>
      <w:r w:rsidRPr="003E4580">
        <w:t>Net benefits</w:t>
      </w:r>
      <w:bookmarkEnd w:id="68"/>
    </w:p>
    <w:p w14:paraId="7B28448F" w14:textId="3FA2A257" w:rsidR="009A2F3E" w:rsidRPr="003E4580" w:rsidRDefault="009A2F3E" w:rsidP="008A23AD">
      <w:r w:rsidRPr="003E4580">
        <w:t>Net benefit (total benefits minus total costs in present value terms) provides the best measure of the economic effectiveness of the options. Accordingly, the</w:t>
      </w:r>
      <w:r w:rsidR="00894AB1" w:rsidRPr="003E4580">
        <w:rPr>
          <w:i/>
        </w:rPr>
        <w:t xml:space="preserve"> Australian Government Guide to Regulatory Impact Analysis</w:t>
      </w:r>
      <w:r w:rsidR="00FE00E4" w:rsidRPr="003E4580">
        <w:rPr>
          <w:i/>
        </w:rPr>
        <w:t xml:space="preserve"> (second edition 2020)</w:t>
      </w:r>
      <w:r w:rsidR="00894AB1" w:rsidRPr="003E4580">
        <w:t xml:space="preserve"> </w:t>
      </w:r>
      <w:r w:rsidRPr="003E4580">
        <w:t xml:space="preserve">states that the policy option offering the greatest net benefit should always be the recommended option. </w:t>
      </w:r>
    </w:p>
    <w:p w14:paraId="52DB2107" w14:textId="63E00C61" w:rsidR="00894AB1" w:rsidRPr="003E4580" w:rsidRDefault="00C12912" w:rsidP="00894AB1">
      <w:r w:rsidRPr="003E4580">
        <w:t>Option 2</w:t>
      </w:r>
      <w:r w:rsidR="009A2F3E" w:rsidRPr="003E4580">
        <w:t>: regulation provides the highest likely net benefit of the options examined at $</w:t>
      </w:r>
      <w:r w:rsidR="00F47983" w:rsidRPr="003E4580">
        <w:t>5</w:t>
      </w:r>
      <w:r w:rsidR="009A2F3E" w:rsidRPr="003E4580">
        <w:t xml:space="preserve"> million and a likely to best BCR range of 1.</w:t>
      </w:r>
      <w:r w:rsidR="00F47983" w:rsidRPr="003E4580">
        <w:t>0</w:t>
      </w:r>
      <w:r w:rsidR="009A2F3E" w:rsidRPr="003E4580">
        <w:t>-1.</w:t>
      </w:r>
      <w:r w:rsidR="00C10B4F" w:rsidRPr="003E4580">
        <w:t>6</w:t>
      </w:r>
      <w:r w:rsidR="009A2F3E" w:rsidRPr="003E4580">
        <w:t xml:space="preserve">. </w:t>
      </w:r>
      <w:r w:rsidR="00894AB1" w:rsidRPr="003E4580">
        <w:t xml:space="preserve">For </w:t>
      </w:r>
      <w:r w:rsidRPr="003E4580">
        <w:t>Option 2</w:t>
      </w:r>
      <w:r w:rsidR="00894AB1" w:rsidRPr="003E4580">
        <w:t xml:space="preserve"> the benefit-cost analysis assumes a start date (2024</w:t>
      </w:r>
      <w:r w:rsidR="00C10B4F" w:rsidRPr="003E4580">
        <w:t xml:space="preserve"> for new models and 2027 for all vehicles</w:t>
      </w:r>
      <w:r w:rsidR="00894AB1" w:rsidRPr="003E4580">
        <w:t xml:space="preserve">), followed by 15 years of regulation (after which it is assumed the </w:t>
      </w:r>
      <w:r w:rsidR="008742A6" w:rsidRPr="003E4580">
        <w:t>ADR</w:t>
      </w:r>
      <w:r w:rsidR="00894AB1" w:rsidRPr="003E4580">
        <w:t xml:space="preserve"> would be reviewed). The analysis includes another 20 years past the period of regulation to capture the benefits from the 20 years of the crash profile of the last lot of heavy vehicles to be fitted with LDWS when the regulation stops.</w:t>
      </w:r>
    </w:p>
    <w:p w14:paraId="3B8EE5C8" w14:textId="77777777" w:rsidR="008A23AD" w:rsidRPr="003E4580" w:rsidRDefault="009A2F3E" w:rsidP="008A23AD">
      <w:r w:rsidRPr="003E4580">
        <w:t>The benefit would be spread over a 15</w:t>
      </w:r>
      <w:r w:rsidR="00FE00E4" w:rsidRPr="003E4580">
        <w:t>-</w:t>
      </w:r>
      <w:r w:rsidRPr="003E4580">
        <w:t>year period of regulation f</w:t>
      </w:r>
      <w:r w:rsidR="00894AB1" w:rsidRPr="003E4580">
        <w:t>ollowed by a period of around 20</w:t>
      </w:r>
      <w:r w:rsidRPr="003E4580">
        <w:t xml:space="preserve"> years over which the overall percentage of heavy vehicles fitted with these LDWS in the fleet continues to rise as older vehicles without LDWS are deregistered at the end of their service life.</w:t>
      </w:r>
      <w:r w:rsidR="00894AB1" w:rsidRPr="003E4580">
        <w:t xml:space="preserve"> The results of the benefit-cost analysis are plotted over a 37 year period.</w:t>
      </w:r>
    </w:p>
    <w:p w14:paraId="7411F422" w14:textId="77777777" w:rsidR="008A23AD" w:rsidRPr="003E4580" w:rsidRDefault="008A23AD" w:rsidP="008A23AD">
      <w:pPr>
        <w:pStyle w:val="Heading2"/>
      </w:pPr>
      <w:bookmarkStart w:id="69" w:name="_Toc146894890"/>
      <w:r w:rsidRPr="003E4580">
        <w:t>Casualty reductions</w:t>
      </w:r>
      <w:bookmarkEnd w:id="69"/>
    </w:p>
    <w:p w14:paraId="6FCFAB51" w14:textId="43F95CF4" w:rsidR="008A23AD" w:rsidRPr="003E4580" w:rsidRDefault="009A2F3E" w:rsidP="008A23AD">
      <w:r w:rsidRPr="003E4580">
        <w:t xml:space="preserve">Of the regulatory options, Option </w:t>
      </w:r>
      <w:r w:rsidR="00033532" w:rsidRPr="003E4580">
        <w:t>2</w:t>
      </w:r>
      <w:r w:rsidRPr="003E4580">
        <w:t xml:space="preserve"> provides the greatest reduction in road crash casualties, </w:t>
      </w:r>
      <w:r w:rsidR="00BB5083" w:rsidRPr="003E4580">
        <w:t xml:space="preserve">with </w:t>
      </w:r>
      <w:r w:rsidR="00784CC4" w:rsidRPr="003E4580">
        <w:t>6</w:t>
      </w:r>
      <w:r w:rsidR="00C10B4F" w:rsidRPr="003E4580">
        <w:t>2</w:t>
      </w:r>
      <w:r w:rsidRPr="003E4580">
        <w:t xml:space="preserve"> lives saved and </w:t>
      </w:r>
      <w:r w:rsidR="00784CC4" w:rsidRPr="003E4580">
        <w:t>1,7</w:t>
      </w:r>
      <w:r w:rsidR="00C10B4F" w:rsidRPr="003E4580">
        <w:t>25</w:t>
      </w:r>
      <w:r w:rsidRPr="003E4580">
        <w:t xml:space="preserve"> seri</w:t>
      </w:r>
      <w:r w:rsidR="00784CC4" w:rsidRPr="003E4580">
        <w:t>ous and 5,3</w:t>
      </w:r>
      <w:r w:rsidR="00C10B4F" w:rsidRPr="003E4580">
        <w:t>70</w:t>
      </w:r>
      <w:r w:rsidRPr="003E4580">
        <w:t xml:space="preserve"> minor injuries avoided. </w:t>
      </w:r>
    </w:p>
    <w:p w14:paraId="0CEC4315" w14:textId="77777777" w:rsidR="008A23AD" w:rsidRPr="003E4580" w:rsidRDefault="008A23AD" w:rsidP="008A23AD">
      <w:pPr>
        <w:pStyle w:val="Heading2"/>
      </w:pPr>
      <w:bookmarkStart w:id="70" w:name="_Toc146894891"/>
      <w:r w:rsidRPr="003E4580">
        <w:t>Recommendation</w:t>
      </w:r>
      <w:bookmarkEnd w:id="70"/>
    </w:p>
    <w:p w14:paraId="2543C0DF" w14:textId="77777777" w:rsidR="00C10B4F" w:rsidRPr="003E4580" w:rsidRDefault="00C10B4F" w:rsidP="00C10B4F">
      <w:r w:rsidRPr="003E4580">
        <w:t xml:space="preserve">As demonstrated through this Final IA, there is a strong case for Australian Government intervention to increase the fitment of LDWS to heavy vehicles via regulation. </w:t>
      </w:r>
    </w:p>
    <w:p w14:paraId="5C2EDD18" w14:textId="53ED3A47" w:rsidR="00C10B4F" w:rsidRPr="003E4580" w:rsidRDefault="00C10B4F" w:rsidP="00C10B4F">
      <w:r w:rsidRPr="003E4580">
        <w:t xml:space="preserve">In addition to providing the greatest net benefit </w:t>
      </w:r>
      <w:r w:rsidR="00F47983" w:rsidRPr="003E4580">
        <w:t>($5 million)</w:t>
      </w:r>
      <w:r w:rsidR="00823856" w:rsidRPr="003E4580">
        <w:t xml:space="preserve"> </w:t>
      </w:r>
      <w:r w:rsidRPr="003E4580">
        <w:t xml:space="preserve">and a BCR </w:t>
      </w:r>
      <w:r w:rsidR="00F47983" w:rsidRPr="003E4580">
        <w:t>of</w:t>
      </w:r>
      <w:r w:rsidRPr="003E4580">
        <w:t xml:space="preserve"> 1, Option 2 also provides the greatest reduction in road crash fatalities, serious and minor injuries. Option 2 (regulation) provides the greatest reduction in road crash casualties, with 62 lives saved and 1,725 serious and 5,370 minor injuries avoided. It would also adopt the requirements UN Regulation No. 130, harmonising Australian requirements with internationally agreed standards. Harmonisation minimises costs associated with LDWS development, and provides manufacturers with the flexibility to incorporate or adapt systems that have already been developed and tested in the markets that the vehicle was originally designed for. This should enable some leveraging of testing and certification frameworks already conducted in other markets.</w:t>
      </w:r>
    </w:p>
    <w:p w14:paraId="5ED62B75" w14:textId="5540C70A" w:rsidR="008A23AD" w:rsidRPr="003E4580" w:rsidRDefault="00523E9E" w:rsidP="008A23AD">
      <w:r w:rsidRPr="003E4580">
        <w:t xml:space="preserve">This </w:t>
      </w:r>
      <w:r w:rsidR="00C10B4F" w:rsidRPr="003E4580">
        <w:t>Final</w:t>
      </w:r>
      <w:r w:rsidRPr="003E4580">
        <w:t xml:space="preserve"> </w:t>
      </w:r>
      <w:r w:rsidR="00C10B4F" w:rsidRPr="003E4580">
        <w:t>IA</w:t>
      </w:r>
      <w:r w:rsidRPr="003E4580">
        <w:t xml:space="preserve"> identified the road safety problem in Australia of crashes involving heavy </w:t>
      </w:r>
      <w:r w:rsidR="0077398A" w:rsidRPr="003E4580">
        <w:t>vehicles drifting out of their lane</w:t>
      </w:r>
      <w:r w:rsidR="0086539A" w:rsidRPr="003E4580">
        <w:t xml:space="preserve"> and</w:t>
      </w:r>
      <w:r w:rsidR="0077398A" w:rsidRPr="003E4580">
        <w:t xml:space="preserve"> </w:t>
      </w:r>
      <w:r w:rsidRPr="003E4580">
        <w:t xml:space="preserve">that </w:t>
      </w:r>
      <w:r w:rsidR="0086539A" w:rsidRPr="003E4580">
        <w:t xml:space="preserve">the problem </w:t>
      </w:r>
      <w:r w:rsidRPr="003E4580">
        <w:t xml:space="preserve">can be substantially alleviated via fitment of LDWS. </w:t>
      </w:r>
      <w:r w:rsidR="0086539A" w:rsidRPr="003E4580">
        <w:t>T</w:t>
      </w:r>
      <w:r w:rsidRPr="003E4580">
        <w:t xml:space="preserve">he current overall fitment across the fleet is relatively low with around </w:t>
      </w:r>
      <w:r w:rsidR="002E034E" w:rsidRPr="003E4580">
        <w:t>36</w:t>
      </w:r>
      <w:r w:rsidRPr="003E4580">
        <w:t xml:space="preserve"> per cent of</w:t>
      </w:r>
      <w:r w:rsidR="002E034E" w:rsidRPr="003E4580">
        <w:t xml:space="preserve"> all</w:t>
      </w:r>
      <w:r w:rsidRPr="003E4580">
        <w:t xml:space="preserve"> new heavy vehicles</w:t>
      </w:r>
      <w:r w:rsidR="002E034E" w:rsidRPr="003E4580">
        <w:t xml:space="preserve"> (NB1, NB2, NC prime and NC rigid)</w:t>
      </w:r>
      <w:r w:rsidRPr="003E4580">
        <w:t xml:space="preserve"> fitted with LDWS. The current low fitment rate and the number and severity of heavy vehicle lane departure related crashes indicates a need for intervention</w:t>
      </w:r>
      <w:r w:rsidR="000F0B93" w:rsidRPr="003E4580">
        <w:t>.</w:t>
      </w:r>
    </w:p>
    <w:p w14:paraId="23B6D78F" w14:textId="77777777" w:rsidR="000F0B93" w:rsidRPr="003E4580" w:rsidRDefault="000F0B93" w:rsidP="008A23AD">
      <w:r w:rsidRPr="003E4580">
        <w:t>Manufacturers and operators are likely to be impacted via additional LDWS fitment costs for new heavy vehicles. However</w:t>
      </w:r>
      <w:r w:rsidR="00FE00E4" w:rsidRPr="003E4580">
        <w:t>,</w:t>
      </w:r>
      <w:r w:rsidRPr="003E4580">
        <w:t xml:space="preserve"> such businesses also receive substantial benefits. Heavy vehicle crashes are relatively expensive on average, due to the size and mass of these vehicles. Crash alleviation will play an important role in contributing to Australia’s freight productivity and the success of the heavy vehicle industry.</w:t>
      </w:r>
    </w:p>
    <w:p w14:paraId="387848DD" w14:textId="0EF496D3" w:rsidR="000F0B93" w:rsidRPr="003E4580" w:rsidRDefault="00C12912" w:rsidP="008A23AD">
      <w:r w:rsidRPr="003E4580">
        <w:lastRenderedPageBreak/>
        <w:t>Option 2</w:t>
      </w:r>
      <w:r w:rsidR="000F0B93" w:rsidRPr="003E4580">
        <w:t xml:space="preserve"> offers the important advantage of being able to guarantee 100 per cent fitment of </w:t>
      </w:r>
      <w:r w:rsidR="00B7037C" w:rsidRPr="003E4580">
        <w:t>LDWS</w:t>
      </w:r>
      <w:r w:rsidR="000F0B93" w:rsidRPr="003E4580">
        <w:t xml:space="preserve"> to applicable vehicles. There would be no guarantee </w:t>
      </w:r>
      <w:r w:rsidR="0086539A" w:rsidRPr="003E4580">
        <w:t xml:space="preserve">in </w:t>
      </w:r>
      <w:r w:rsidR="00033532" w:rsidRPr="003E4580">
        <w:t>the BAU case</w:t>
      </w:r>
      <w:r w:rsidR="000F0B93" w:rsidRPr="003E4580">
        <w:t xml:space="preserve">, </w:t>
      </w:r>
      <w:r w:rsidR="00033532" w:rsidRPr="003E4580">
        <w:t>Option 1</w:t>
      </w:r>
      <w:r w:rsidR="000F0B93" w:rsidRPr="003E4580">
        <w:t xml:space="preserve"> that the predicted take-up of </w:t>
      </w:r>
      <w:r w:rsidR="00B7037C" w:rsidRPr="003E4580">
        <w:t>LDWS</w:t>
      </w:r>
      <w:r w:rsidR="000F0B93" w:rsidRPr="003E4580">
        <w:t xml:space="preserve"> would be reached and then maintained. Given there is currently a low uptake of this technology</w:t>
      </w:r>
      <w:r w:rsidR="003F0186" w:rsidRPr="003E4580">
        <w:t xml:space="preserve"> (Figure 7</w:t>
      </w:r>
      <w:r w:rsidR="002E034E" w:rsidRPr="003E4580">
        <w:t>)</w:t>
      </w:r>
      <w:r w:rsidR="000F0B93" w:rsidRPr="003E4580">
        <w:t xml:space="preserve">, there is good reason to conclude that, under BAU, sections of the market will continue to offer </w:t>
      </w:r>
      <w:r w:rsidR="00B7037C" w:rsidRPr="003E4580">
        <w:t>LDWS</w:t>
      </w:r>
      <w:r w:rsidR="000F0B93" w:rsidRPr="003E4580">
        <w:t xml:space="preserve"> only as an extra - often as part of a more expensive package of optional </w:t>
      </w:r>
      <w:r w:rsidR="002E034E" w:rsidRPr="003E4580">
        <w:t xml:space="preserve">safety </w:t>
      </w:r>
      <w:r w:rsidR="000F0B93" w:rsidRPr="003E4580">
        <w:t>upgrades.</w:t>
      </w:r>
    </w:p>
    <w:p w14:paraId="584ACFAD" w14:textId="462FA8D7" w:rsidR="00FE24CA" w:rsidRPr="003E4580" w:rsidRDefault="00FE24CA" w:rsidP="008A23AD">
      <w:r w:rsidRPr="003E4580">
        <w:t>The performance requirements in UN Regulation No. 130 or ADR 99/01 were developed in consultation with other Contracting Parties and global industry peak bodies at the World Forum for Harmonisation of Vehicle Regulations. The requirements are well established globally. The Department does not anticipate any HV manufacturers facing any difficulties being able to meet the performance requirements in the standard.</w:t>
      </w:r>
    </w:p>
    <w:p w14:paraId="28D4214F" w14:textId="77777777" w:rsidR="008A23AD" w:rsidRPr="003E4580" w:rsidRDefault="008A23AD" w:rsidP="008A23AD">
      <w:pPr>
        <w:pStyle w:val="Heading2"/>
      </w:pPr>
      <w:bookmarkStart w:id="71" w:name="_Toc146894892"/>
      <w:r w:rsidRPr="003E4580">
        <w:t>Scope of the recommended option</w:t>
      </w:r>
      <w:bookmarkEnd w:id="71"/>
    </w:p>
    <w:p w14:paraId="6D0E9376" w14:textId="1A5AC5F6" w:rsidR="008A23AD" w:rsidRPr="003E4580" w:rsidRDefault="00721232" w:rsidP="008A23AD">
      <w:r w:rsidRPr="003E4580">
        <w:t>It is recommended that vehicle categories applicable under UN Regulation No. 130 be adopted for heavy vehicles supplied for use in Australian road transport. UN Regulation No. 130 covers prime movers and rigid vehicles greater than 12 tonnes GVM (ADR subcategory NC), goods vehicles greater than 3.5 tonnes GVM (ADR subcategory NB) and omnibuses (ADR subcategory MD and ME).</w:t>
      </w:r>
    </w:p>
    <w:p w14:paraId="633C05CF" w14:textId="77777777" w:rsidR="008A23AD" w:rsidRPr="003E4580" w:rsidRDefault="008A23AD" w:rsidP="008A23AD">
      <w:pPr>
        <w:pStyle w:val="Heading2"/>
      </w:pPr>
      <w:bookmarkStart w:id="72" w:name="_Toc146894893"/>
      <w:r w:rsidRPr="003E4580">
        <w:t>Timing of the recommended option</w:t>
      </w:r>
      <w:bookmarkEnd w:id="72"/>
    </w:p>
    <w:p w14:paraId="10B7BE6D" w14:textId="77777777" w:rsidR="00721232" w:rsidRPr="003E4580" w:rsidRDefault="00721232" w:rsidP="008A23AD">
      <w:r w:rsidRPr="003E4580">
        <w:t>The proposed heavy vehicle LDWS implementation timeframe is</w:t>
      </w:r>
    </w:p>
    <w:p w14:paraId="74112879" w14:textId="77777777" w:rsidR="00721232" w:rsidRPr="003E4580" w:rsidRDefault="00721232" w:rsidP="00CB0804">
      <w:pPr>
        <w:pStyle w:val="ListParagraph"/>
        <w:numPr>
          <w:ilvl w:val="0"/>
          <w:numId w:val="14"/>
        </w:numPr>
        <w:rPr>
          <w:rFonts w:asciiTheme="minorHAnsi" w:hAnsiTheme="minorHAnsi" w:cstheme="minorHAnsi"/>
          <w:sz w:val="20"/>
        </w:rPr>
      </w:pPr>
      <w:r w:rsidRPr="003E4580">
        <w:rPr>
          <w:rFonts w:asciiTheme="minorHAnsi" w:hAnsiTheme="minorHAnsi" w:cstheme="minorHAnsi"/>
          <w:sz w:val="20"/>
        </w:rPr>
        <w:t>1 November 2024 for applicable new model vehicles</w:t>
      </w:r>
    </w:p>
    <w:p w14:paraId="514A91BB" w14:textId="50007F26" w:rsidR="00437E2B" w:rsidRPr="003E4580" w:rsidRDefault="00721232" w:rsidP="00CB0804">
      <w:pPr>
        <w:pStyle w:val="ListParagraph"/>
        <w:numPr>
          <w:ilvl w:val="0"/>
          <w:numId w:val="14"/>
        </w:numPr>
        <w:rPr>
          <w:rFonts w:asciiTheme="minorHAnsi" w:hAnsiTheme="minorHAnsi" w:cstheme="minorHAnsi"/>
          <w:sz w:val="20"/>
        </w:rPr>
      </w:pPr>
      <w:r w:rsidRPr="003E4580">
        <w:rPr>
          <w:rFonts w:asciiTheme="minorHAnsi" w:hAnsiTheme="minorHAnsi" w:cstheme="minorHAnsi"/>
          <w:sz w:val="20"/>
        </w:rPr>
        <w:t>1 November 202</w:t>
      </w:r>
      <w:r w:rsidR="00C459EC" w:rsidRPr="003E4580">
        <w:rPr>
          <w:rFonts w:asciiTheme="minorHAnsi" w:hAnsiTheme="minorHAnsi" w:cstheme="minorHAnsi"/>
          <w:sz w:val="20"/>
        </w:rPr>
        <w:t>7</w:t>
      </w:r>
      <w:r w:rsidRPr="003E4580">
        <w:rPr>
          <w:rFonts w:asciiTheme="minorHAnsi" w:hAnsiTheme="minorHAnsi" w:cstheme="minorHAnsi"/>
          <w:sz w:val="20"/>
        </w:rPr>
        <w:t xml:space="preserve"> for all applicable new vehicles. </w:t>
      </w:r>
    </w:p>
    <w:p w14:paraId="6264A50A" w14:textId="55672E96" w:rsidR="00B767EE" w:rsidRPr="003E4580" w:rsidRDefault="00245622" w:rsidP="003F05F7">
      <w:r w:rsidRPr="003E4580">
        <w:t xml:space="preserve">This means that from 1 November 2024, vehicle type approval applications for models </w:t>
      </w:r>
      <w:r w:rsidR="00A472E1" w:rsidRPr="003E4580">
        <w:t>heavy</w:t>
      </w:r>
      <w:r w:rsidRPr="003E4580">
        <w:t xml:space="preserve"> vehicle</w:t>
      </w:r>
      <w:r w:rsidR="00A472E1" w:rsidRPr="003E4580">
        <w:t>s</w:t>
      </w:r>
      <w:r w:rsidRPr="003E4580">
        <w:t xml:space="preserve"> that have not yet had any vehicle details added to the Register of Approved Vehicles must include information satisfying ADR </w:t>
      </w:r>
      <w:r w:rsidR="00A472E1" w:rsidRPr="003E4580">
        <w:t>9</w:t>
      </w:r>
      <w:r w:rsidRPr="003E4580">
        <w:t>9/0</w:t>
      </w:r>
      <w:r w:rsidR="00A472E1" w:rsidRPr="003E4580">
        <w:t>1</w:t>
      </w:r>
      <w:r w:rsidRPr="003E4580">
        <w:t xml:space="preserve"> as part of their application for vehicle type approval under section 19 of the Road Vehicle Standards Rules 2019 and from 1 November 202</w:t>
      </w:r>
      <w:r w:rsidR="00A472E1" w:rsidRPr="003E4580">
        <w:t>7</w:t>
      </w:r>
      <w:r w:rsidRPr="003E4580">
        <w:t xml:space="preserve">, models of </w:t>
      </w:r>
      <w:r w:rsidR="00A472E1" w:rsidRPr="003E4580">
        <w:t>heavy</w:t>
      </w:r>
      <w:r w:rsidRPr="003E4580">
        <w:t xml:space="preserve"> vehicles covered by type approvals under section 19 of the Rules will have their approvals automatically suspended unless they have been updated to include information satisfy ADR </w:t>
      </w:r>
      <w:r w:rsidR="00A472E1" w:rsidRPr="003E4580">
        <w:t>9</w:t>
      </w:r>
      <w:r w:rsidRPr="003E4580">
        <w:t>9/0</w:t>
      </w:r>
      <w:r w:rsidR="00A472E1" w:rsidRPr="003E4580">
        <w:t>1</w:t>
      </w:r>
      <w:r w:rsidRPr="003E4580">
        <w:t>.</w:t>
      </w:r>
    </w:p>
    <w:p w14:paraId="34C5A2CD" w14:textId="4EE1AB34" w:rsidR="008A23AD" w:rsidRPr="003E4580" w:rsidRDefault="00721232" w:rsidP="003F05F7">
      <w:r w:rsidRPr="003E4580">
        <w:t xml:space="preserve">The implementation lead-time for an ADR change that results in an increase in stringency is generally no less than 18 months for new models and 24 months for all other models. The proposed timetable would </w:t>
      </w:r>
      <w:r w:rsidR="00C459EC" w:rsidRPr="003E4580">
        <w:t xml:space="preserve">not </w:t>
      </w:r>
      <w:r w:rsidRPr="003E4580">
        <w:t>meet these typical minimum lead-times</w:t>
      </w:r>
      <w:r w:rsidR="00C459EC" w:rsidRPr="003E4580">
        <w:t xml:space="preserve"> (with regard to the new model date) however this new model date has been agreed with the heavy vehicle industry. </w:t>
      </w:r>
    </w:p>
    <w:p w14:paraId="1D037395" w14:textId="77777777" w:rsidR="003F05F7" w:rsidRPr="003E4580" w:rsidRDefault="003F05F7" w:rsidP="005A1731"/>
    <w:p w14:paraId="2875DE31" w14:textId="77777777" w:rsidR="004F76B6" w:rsidRPr="003E4580" w:rsidRDefault="004F76B6" w:rsidP="00044540">
      <w:pPr>
        <w:pStyle w:val="Heading1"/>
        <w:sectPr w:rsidR="004F76B6" w:rsidRPr="003E4580" w:rsidSect="00D87AD8">
          <w:pgSz w:w="11906" w:h="16838" w:code="9"/>
          <w:pgMar w:top="1021" w:right="1021" w:bottom="1021" w:left="1021" w:header="510" w:footer="567" w:gutter="0"/>
          <w:cols w:space="708"/>
          <w:docGrid w:linePitch="360"/>
        </w:sectPr>
      </w:pPr>
    </w:p>
    <w:p w14:paraId="4CD9C715" w14:textId="77777777" w:rsidR="00044540" w:rsidRPr="003E4580" w:rsidRDefault="00044540" w:rsidP="00044540">
      <w:pPr>
        <w:pStyle w:val="Heading1"/>
      </w:pPr>
      <w:bookmarkStart w:id="73" w:name="_Toc146894894"/>
      <w:r w:rsidRPr="003E4580">
        <w:lastRenderedPageBreak/>
        <w:t xml:space="preserve">Chapter 7: </w:t>
      </w:r>
      <w:r w:rsidR="004E1E4C" w:rsidRPr="003E4580">
        <w:t xml:space="preserve"> Implementation and Evaluation</w:t>
      </w:r>
      <w:bookmarkEnd w:id="73"/>
    </w:p>
    <w:p w14:paraId="635507C0" w14:textId="241A30E9" w:rsidR="008B32CC" w:rsidRPr="003E4580" w:rsidRDefault="008B32CC" w:rsidP="008B32CC">
      <w:r w:rsidRPr="003E4580">
        <w:t>If Option 2 is chosen, a new national road vehicle standard</w:t>
      </w:r>
      <w:r w:rsidRPr="003E4580">
        <w:rPr>
          <w:rFonts w:cs="Arial"/>
        </w:rPr>
        <w:t>, also known as an ADR</w:t>
      </w:r>
      <w:r w:rsidRPr="003E4580">
        <w:t xml:space="preserve"> will be made under section 12 of the RVSA. The RVSA allows the Minister to determine national road vehicle standards.</w:t>
      </w:r>
    </w:p>
    <w:p w14:paraId="50172CB0" w14:textId="77777777" w:rsidR="008B32CC" w:rsidRPr="003E4580" w:rsidRDefault="008B32CC" w:rsidP="008B32CC">
      <w:pPr>
        <w:shd w:val="clear" w:color="auto" w:fill="FFFFFF"/>
        <w:spacing w:before="120"/>
      </w:pPr>
      <w:r w:rsidRPr="003E4580">
        <w:t xml:space="preserve">Under the RVSA, </w:t>
      </w:r>
      <w:r w:rsidRPr="003E4580">
        <w:rPr>
          <w:color w:val="000000"/>
        </w:rPr>
        <w:t xml:space="preserve">the ADRs are </w:t>
      </w:r>
      <w:r w:rsidRPr="003E4580">
        <w:t>national road vehicle standards</w:t>
      </w:r>
      <w:r w:rsidRPr="003E4580">
        <w:rPr>
          <w:color w:val="000000"/>
        </w:rPr>
        <w:t xml:space="preserve"> intended to make vehicles safe to use, control the emission of gas, particles or noise, secure vehicles against theft, provide for the security marking of vehicles and promote the saving of energy. The ADRs are applied to vehicles as criteria for approval under various regulatory pathways set out in the Road Vehicle Standards legislation. Vehicles approved under these regulatory pathways can be provided to the market in Australia for use in transport. </w:t>
      </w:r>
    </w:p>
    <w:p w14:paraId="5E0E3B1A" w14:textId="137CCE52" w:rsidR="002D00DD" w:rsidRPr="003E4580" w:rsidRDefault="002D00DD" w:rsidP="002D00DD">
      <w:pPr>
        <w:pStyle w:val="Heading2"/>
      </w:pPr>
      <w:bookmarkStart w:id="74" w:name="_Toc146894895"/>
      <w:r w:rsidRPr="003E4580">
        <w:t>Overview of the Regulatory Framework</w:t>
      </w:r>
      <w:bookmarkEnd w:id="74"/>
    </w:p>
    <w:p w14:paraId="0AB4CE3B" w14:textId="431197E6" w:rsidR="008B32CC" w:rsidRPr="003E4580" w:rsidRDefault="008B32CC" w:rsidP="008B32CC">
      <w:pPr>
        <w:shd w:val="clear" w:color="auto" w:fill="FFFFFF"/>
        <w:spacing w:before="120"/>
        <w:rPr>
          <w:color w:val="000000"/>
        </w:rPr>
      </w:pPr>
      <w:r w:rsidRPr="003E4580">
        <w:rPr>
          <w:color w:val="000000"/>
        </w:rPr>
        <w:t xml:space="preserve">The RVSA establishes a regulatory framework to regulate the importation and first supply of road vehicles to the market in Australia. The core principle of this framework is that vehicles which comply with appropriate standards are suitable for provision to the market in Australia. The ADRs have set out those standards since the early 1970s. At that time, they were applied cooperatively by the Australian Motor Vehicle Certification Board representing the Commonwealth and state and territory governments. In 1989, this arrangement was replaced by the </w:t>
      </w:r>
      <w:r w:rsidRPr="003E4580">
        <w:rPr>
          <w:i/>
          <w:iCs/>
          <w:color w:val="000000"/>
        </w:rPr>
        <w:t>Motor Vehicle Standards Act 1989</w:t>
      </w:r>
      <w:r w:rsidRPr="003E4580">
        <w:rPr>
          <w:color w:val="000000"/>
        </w:rPr>
        <w:t> (MVSA) and the ADRs were determined as national standards.</w:t>
      </w:r>
    </w:p>
    <w:p w14:paraId="32954583" w14:textId="08605295" w:rsidR="00166617" w:rsidRPr="003E4580" w:rsidRDefault="002D00DD" w:rsidP="00B14F96">
      <w:pPr>
        <w:pStyle w:val="Heading2"/>
      </w:pPr>
      <w:bookmarkStart w:id="75" w:name="_Toc146894896"/>
      <w:r w:rsidRPr="003E4580">
        <w:t>Exemption from Sunsetting</w:t>
      </w:r>
      <w:bookmarkEnd w:id="75"/>
    </w:p>
    <w:p w14:paraId="3755FBCA" w14:textId="740FDC03" w:rsidR="004B53CD" w:rsidRPr="003E4580" w:rsidRDefault="004B53CD" w:rsidP="00A57C96">
      <w:pPr>
        <w:rPr>
          <w:b/>
        </w:rPr>
      </w:pPr>
      <w:r w:rsidRPr="003E4580">
        <w:rPr>
          <w:b/>
        </w:rPr>
        <w:t>Source of the Exemption</w:t>
      </w:r>
    </w:p>
    <w:p w14:paraId="23987534" w14:textId="78A9350B" w:rsidR="00B14F96" w:rsidRPr="003E4580" w:rsidRDefault="00A57C96" w:rsidP="00A57C96">
      <w:r w:rsidRPr="003E4580">
        <w:t xml:space="preserve">A standard </w:t>
      </w:r>
      <w:r w:rsidR="007E0C3C" w:rsidRPr="003E4580">
        <w:t xml:space="preserve">(ADR) </w:t>
      </w:r>
      <w:r w:rsidRPr="003E4580">
        <w:t xml:space="preserve">made under section 12 of the </w:t>
      </w:r>
      <w:r w:rsidR="005B2A57" w:rsidRPr="003E4580">
        <w:t>RVSA</w:t>
      </w:r>
      <w:r w:rsidRPr="003E4580">
        <w:t xml:space="preserve"> is not subject to the sunsetting provisions of section 50 of the </w:t>
      </w:r>
      <w:r w:rsidRPr="003E4580">
        <w:rPr>
          <w:i/>
        </w:rPr>
        <w:t>Legislation (Exemptions and Other Matters) Act 2003</w:t>
      </w:r>
      <w:r w:rsidRPr="003E4580">
        <w:t xml:space="preserve"> through section 12 of the </w:t>
      </w:r>
      <w:r w:rsidRPr="003E4580">
        <w:rPr>
          <w:i/>
        </w:rPr>
        <w:t>Legislation (Exemptions and Other Matters) Regulation 2015 (table item 56C)</w:t>
      </w:r>
      <w:r w:rsidRPr="003E4580">
        <w:t xml:space="preserve">. A similar exemption was previously granted in respect of national road vehicle standards made under section 7 of the </w:t>
      </w:r>
      <w:r w:rsidRPr="003E4580">
        <w:rPr>
          <w:i/>
        </w:rPr>
        <w:t>Motor Vehicle Standards Act 1989</w:t>
      </w:r>
      <w:r w:rsidRPr="003E4580">
        <w:t xml:space="preserve"> (MVSA) (item 40, section 12 of the </w:t>
      </w:r>
      <w:r w:rsidRPr="003E4580">
        <w:rPr>
          <w:i/>
        </w:rPr>
        <w:t>Legislation (Exemptions and Other Matters) Regulation 2015</w:t>
      </w:r>
      <w:r w:rsidRPr="003E4580">
        <w:t>). This exemption is important to ensure that ADR</w:t>
      </w:r>
      <w:r w:rsidR="005B2A57" w:rsidRPr="003E4580">
        <w:t>s</w:t>
      </w:r>
      <w:r w:rsidRPr="003E4580">
        <w:t xml:space="preserve"> </w:t>
      </w:r>
      <w:r w:rsidR="005B2A57" w:rsidRPr="003E4580">
        <w:t>continue</w:t>
      </w:r>
      <w:r w:rsidRPr="003E4580">
        <w:t xml:space="preserve"> to remain in force, and available to regulators and industry.</w:t>
      </w:r>
    </w:p>
    <w:p w14:paraId="35221B0E" w14:textId="059CB2D4" w:rsidR="00A57C96" w:rsidRPr="003E4580" w:rsidRDefault="00A57C96" w:rsidP="00A57C96">
      <w:r w:rsidRPr="003E4580">
        <w:t xml:space="preserve">It is appropriate that standards made under section 12 of the </w:t>
      </w:r>
      <w:r w:rsidR="005B2A57" w:rsidRPr="003E4580">
        <w:t xml:space="preserve">RVSA </w:t>
      </w:r>
      <w:r w:rsidRPr="003E4580">
        <w:t>remain enduring and effective to regulate ongoing road worthiness of vehicles throughout their useful life and reduce regulatory burden on vehicle manufacturers.</w:t>
      </w:r>
    </w:p>
    <w:p w14:paraId="68AA4975" w14:textId="4266BA73" w:rsidR="004B53CD" w:rsidRPr="003E4580" w:rsidRDefault="004B53CD" w:rsidP="00A57C96">
      <w:pPr>
        <w:rPr>
          <w:b/>
        </w:rPr>
      </w:pPr>
      <w:r w:rsidRPr="003E4580">
        <w:rPr>
          <w:b/>
        </w:rPr>
        <w:t>Intergovernmental Dependencies</w:t>
      </w:r>
    </w:p>
    <w:p w14:paraId="26A72BAE" w14:textId="77777777" w:rsidR="004B53CD" w:rsidRPr="003E4580" w:rsidRDefault="004B53CD" w:rsidP="004B53CD">
      <w:r w:rsidRPr="003E4580">
        <w:t>The exemption concerns ADRs which facilitate the establishment and operation of the intergovernmental vehicle standard regime that Commonwealth, State and Territory governments rely on to regulate the safety of vehicles on public roads.</w:t>
      </w:r>
    </w:p>
    <w:p w14:paraId="76438348" w14:textId="7273169E" w:rsidR="004B53CD" w:rsidRPr="003E4580" w:rsidRDefault="004B53CD" w:rsidP="004B53CD">
      <w:r w:rsidRPr="003E4580">
        <w:t xml:space="preserve">The Commonwealth uses the ADRs as the basis on which approvals to supply types of road vehicles to the market are granted under the </w:t>
      </w:r>
      <w:r w:rsidRPr="003E4580">
        <w:rPr>
          <w:i/>
        </w:rPr>
        <w:t>Road Vehicle Standards Rules 2019</w:t>
      </w:r>
      <w:r w:rsidRPr="003E4580">
        <w:t xml:space="preserve">. States and territories use the ADRs as the primary criteria on which vehicles are assessed for road worthiness. This ‘in-service’ aspect is dependent on the date of manufacture, which determines the applicable version of the ADRs against which the vehicle can be assessed. The ability to rely on national standards is particularly relevant given the long service life of vehicles – the average age of vehicles in Australia is </w:t>
      </w:r>
      <w:r w:rsidR="009D4933" w:rsidRPr="003E4580">
        <w:t xml:space="preserve">over 10 </w:t>
      </w:r>
      <w:r w:rsidRPr="003E4580">
        <w:t>years.</w:t>
      </w:r>
    </w:p>
    <w:p w14:paraId="17104F87" w14:textId="77777777" w:rsidR="004B53CD" w:rsidRPr="003E4580" w:rsidRDefault="004B53CD" w:rsidP="004B53CD">
      <w:r w:rsidRPr="003E4580">
        <w:t>While the ADRs are regularly updated to reflect changes in technology, it is not possible to apply these new standards retrospectively to vehicles that are already in use. With former ADRs kept on the Federal Register of Legislation, State and Territory governments can use them to ensure vehicles continue to comply with the ADRs that were in force when they were first supplied to the market.</w:t>
      </w:r>
    </w:p>
    <w:p w14:paraId="144208FD" w14:textId="1AD405A2" w:rsidR="00A57C96" w:rsidRPr="003E4580" w:rsidRDefault="004B53CD" w:rsidP="004B53CD">
      <w:r w:rsidRPr="003E4580">
        <w:t xml:space="preserve">In the event that the Commonwealth could not justify the maintenance of the ADRs, State and Territory governments would be compelled to create their own vehicle standards.  Whilst this could mean adopting the substance of the lapsed ADRs as an interim measure, the differing needs and agendas of each State and Territory government may result in </w:t>
      </w:r>
      <w:r w:rsidRPr="003E4580">
        <w:lastRenderedPageBreak/>
        <w:t>variations to in-service regulations.  Having different vehicle standards across the states and territories would make the scheme operate contrary to the underlying policy intent of the Act which is to set nationally consistent performance-based standards.</w:t>
      </w:r>
    </w:p>
    <w:p w14:paraId="52E8E09B" w14:textId="3026F56F" w:rsidR="004B53CD" w:rsidRPr="003E4580" w:rsidRDefault="004B53CD" w:rsidP="004B53CD">
      <w:pPr>
        <w:rPr>
          <w:b/>
        </w:rPr>
      </w:pPr>
      <w:r w:rsidRPr="003E4580">
        <w:rPr>
          <w:b/>
        </w:rPr>
        <w:t>Commercial Dependencies</w:t>
      </w:r>
    </w:p>
    <w:p w14:paraId="637D534F" w14:textId="77777777" w:rsidR="007323E7" w:rsidRPr="003E4580" w:rsidRDefault="004B53CD" w:rsidP="004B53CD">
      <w:r w:rsidRPr="003E4580">
        <w:t>The effect on vehicle manufacturers to redesign existing models to comply with new ADRs would present a burden and be a costly and onerous exercise. Manufacturers should not be expected to continually go back to redesign existing vehicles. Furthermore, ongoing product recalls to comply with new ADRs would undermine consumer confidence with significant financial impact to manufacturers. This exemption allows vehicle manufacturers to focus their efforts to ensure new models supplied to the market continue to comply.</w:t>
      </w:r>
    </w:p>
    <w:p w14:paraId="7894CB00" w14:textId="77777777" w:rsidR="00FD0C1C" w:rsidRPr="003E4580" w:rsidRDefault="00FD0C1C" w:rsidP="0051381B">
      <w:pPr>
        <w:pStyle w:val="Heading2"/>
      </w:pPr>
      <w:bookmarkStart w:id="76" w:name="_Toc133492524"/>
      <w:bookmarkStart w:id="77" w:name="_Toc146894897"/>
      <w:r w:rsidRPr="003E4580">
        <w:t>Review of the National Road Vehicle Standards</w:t>
      </w:r>
      <w:bookmarkEnd w:id="76"/>
      <w:bookmarkEnd w:id="77"/>
    </w:p>
    <w:p w14:paraId="7F3CBB01" w14:textId="77777777" w:rsidR="00FD0C1C" w:rsidRPr="003E4580" w:rsidRDefault="00FD0C1C" w:rsidP="00FD0C1C">
      <w:r w:rsidRPr="003E4580">
        <w:t>While ADRs are exempt from sunsetting, they are subject to review every ten years, as resources permit, and when developments in vehicle technology necessitates updates to requirements. Comprehensive parliamentary scrutiny is available through these reviews.</w:t>
      </w:r>
    </w:p>
    <w:p w14:paraId="57DF06E1" w14:textId="77777777" w:rsidR="00FD0C1C" w:rsidRPr="003E4580" w:rsidRDefault="00FD0C1C" w:rsidP="00FD0C1C">
      <w:r w:rsidRPr="003E4580">
        <w:t xml:space="preserve">Reviews of the ADRs ensure the ongoing effectiveness of a nationally consistent system of technical regulations for vehicle design, which are closely aligned, wherever appropriate with leading international standards such as UN Regulations. Aligning with such standards facilitates the rapid introduction of the latest safety devices and technological advances into the Australian market, while also contributing to the industry’s cost competitiveness in the domestic market. This new ADR would be scheduled for a full review on an ongoing basis and in line with this practice, including an evaluation of whether the ADR will still be required in the future. </w:t>
      </w:r>
    </w:p>
    <w:p w14:paraId="2217C6C6" w14:textId="77777777" w:rsidR="00FD0C1C" w:rsidRPr="003E4580" w:rsidRDefault="00FD0C1C" w:rsidP="00FD0C1C">
      <w:r w:rsidRPr="003E4580">
        <w:t>In reviewing an existing ADR, the department relies on data and input from industry, jurisdictions and research organisations to demonstrate the continued effectiveness of the measure. The Australian Government will work with state and territory government agencies to provide reversing collision data within the official road injury record system. This allows for ongoing monitoring of road trauma attributed to reversing collisions as well as the fitment of reversing aids over time.</w:t>
      </w:r>
    </w:p>
    <w:p w14:paraId="0988C4D0" w14:textId="5A366365" w:rsidR="00FD0C1C" w:rsidRPr="003E4580" w:rsidRDefault="00FD0C1C" w:rsidP="004B53CD">
      <w:pPr>
        <w:sectPr w:rsidR="00FD0C1C" w:rsidRPr="003E4580" w:rsidSect="00D87AD8">
          <w:pgSz w:w="11906" w:h="16838" w:code="9"/>
          <w:pgMar w:top="1021" w:right="1021" w:bottom="1021" w:left="1021" w:header="510" w:footer="567" w:gutter="0"/>
          <w:cols w:space="708"/>
          <w:docGrid w:linePitch="360"/>
        </w:sectPr>
      </w:pPr>
    </w:p>
    <w:p w14:paraId="4B15CB23" w14:textId="77777777" w:rsidR="00E83477" w:rsidRPr="003E4580" w:rsidRDefault="00044540" w:rsidP="00307EBF">
      <w:pPr>
        <w:pStyle w:val="Heading1"/>
      </w:pPr>
      <w:bookmarkStart w:id="78" w:name="_Toc146894898"/>
      <w:r w:rsidRPr="003E4580">
        <w:lastRenderedPageBreak/>
        <w:t>Chapter 8: Conclusion and recommended option</w:t>
      </w:r>
      <w:bookmarkEnd w:id="78"/>
    </w:p>
    <w:p w14:paraId="1E1ECAE5" w14:textId="77777777" w:rsidR="000150C0" w:rsidRPr="003E4580" w:rsidRDefault="000150C0" w:rsidP="000150C0">
      <w:pPr>
        <w:pStyle w:val="Heading2"/>
      </w:pPr>
      <w:bookmarkStart w:id="79" w:name="_Toc146894899"/>
      <w:r w:rsidRPr="003E4580">
        <w:t>Conclusion</w:t>
      </w:r>
      <w:bookmarkEnd w:id="79"/>
    </w:p>
    <w:p w14:paraId="36B1A93F" w14:textId="388F7CD4" w:rsidR="00F4435F" w:rsidRPr="003E4580" w:rsidRDefault="00FD3653" w:rsidP="00307EBF">
      <w:r w:rsidRPr="003E4580">
        <w:t xml:space="preserve">Research indicates that crashes caused by heavy vehicles leaving the lane and resulting in crashes costs the Australian </w:t>
      </w:r>
      <w:r w:rsidR="00F4435F" w:rsidRPr="003E4580">
        <w:t>community</w:t>
      </w:r>
      <w:r w:rsidRPr="003E4580">
        <w:t xml:space="preserve"> approximately $63 million </w:t>
      </w:r>
      <w:r w:rsidR="00F4435F" w:rsidRPr="003E4580">
        <w:t>annually,</w:t>
      </w:r>
      <w:r w:rsidRPr="003E4580">
        <w:t xml:space="preserve"> in addition </w:t>
      </w:r>
      <w:r w:rsidR="00F4435F" w:rsidRPr="003E4580">
        <w:t xml:space="preserve">to the </w:t>
      </w:r>
      <w:r w:rsidRPr="003E4580">
        <w:t xml:space="preserve">associated emotional trauma </w:t>
      </w:r>
      <w:r w:rsidR="00F4435F" w:rsidRPr="003E4580">
        <w:t xml:space="preserve">inflicted on </w:t>
      </w:r>
      <w:r w:rsidRPr="003E4580">
        <w:t>family and friends of those involved</w:t>
      </w:r>
      <w:r w:rsidR="00F4435F" w:rsidRPr="003E4580">
        <w:t xml:space="preserve"> in these crashes</w:t>
      </w:r>
      <w:r w:rsidRPr="003E4580">
        <w:t xml:space="preserve">. </w:t>
      </w:r>
      <w:r w:rsidR="00F4435F" w:rsidRPr="003E4580">
        <w:t xml:space="preserve">The economic impacts of emotional trauma on family and friends of those involved (and its consequential impacts on the economy) due to these crashes have not been quantified in this IA, however it can be reasonably assumed that the BCR would only increase </w:t>
      </w:r>
      <w:r w:rsidR="00F47983" w:rsidRPr="003E4580">
        <w:t>if it was</w:t>
      </w:r>
      <w:r w:rsidR="00F4435F" w:rsidRPr="003E4580">
        <w:t xml:space="preserve"> quantified and included</w:t>
      </w:r>
      <w:r w:rsidR="00F47983" w:rsidRPr="003E4580">
        <w:t xml:space="preserve"> in the analysis</w:t>
      </w:r>
      <w:r w:rsidR="00F4435F" w:rsidRPr="003E4580">
        <w:t xml:space="preserve">. </w:t>
      </w:r>
    </w:p>
    <w:p w14:paraId="1E5A6A1E" w14:textId="42865683" w:rsidR="00307EBF" w:rsidRPr="003E4580" w:rsidRDefault="00FD3653" w:rsidP="00307EBF">
      <w:r w:rsidRPr="003E4580">
        <w:t>These impacts can be mitigated through the mandatory fitment of LDWS to all heavy vehicles. This Final IA showed that regulation (Option 2) will provide the highest net benefit to the Australian economy and the highest reduction in trauma savings.</w:t>
      </w:r>
      <w:r w:rsidR="00605533" w:rsidRPr="003E4580">
        <w:t xml:space="preserve"> With a national road freight task projected to grow steadily into the future, effort to reduce Australia’s road trauma requires consideration o</w:t>
      </w:r>
      <w:r w:rsidR="007E0C3C" w:rsidRPr="003E4580">
        <w:t>f</w:t>
      </w:r>
      <w:r w:rsidR="00605533" w:rsidRPr="003E4580">
        <w:t xml:space="preserve"> </w:t>
      </w:r>
      <w:r w:rsidR="00451001" w:rsidRPr="003E4580">
        <w:t>every aspect of heavy vehicle safety.</w:t>
      </w:r>
    </w:p>
    <w:p w14:paraId="29D76F1C" w14:textId="2053F466" w:rsidR="00800050" w:rsidRPr="003E4580" w:rsidRDefault="00307EBF" w:rsidP="00307EBF">
      <w:r w:rsidRPr="003E4580">
        <w:t xml:space="preserve">Reducing the occurrence of crashes due to heavy vehicles unintentionally departing their lane is the specific road safety problem that has been considered in this </w:t>
      </w:r>
      <w:r w:rsidR="00F4435F" w:rsidRPr="003E4580">
        <w:t>IA</w:t>
      </w:r>
      <w:r w:rsidRPr="003E4580">
        <w:t>. Heavy vehicle LDW</w:t>
      </w:r>
      <w:r w:rsidR="00800050" w:rsidRPr="003E4580">
        <w:t>S</w:t>
      </w:r>
      <w:r w:rsidR="00846006" w:rsidRPr="003E4580">
        <w:t>s</w:t>
      </w:r>
      <w:r w:rsidR="00800050" w:rsidRPr="003E4580">
        <w:t xml:space="preserve"> </w:t>
      </w:r>
      <w:r w:rsidRPr="003E4580">
        <w:t>capable of warning the driver of an unintentional lane departure especially in the field of monotonous driving situations</w:t>
      </w:r>
      <w:r w:rsidR="00846006" w:rsidRPr="003E4580">
        <w:t>,</w:t>
      </w:r>
      <w:r w:rsidRPr="003E4580">
        <w:t xml:space="preserve"> such as on national or state highways and arterial roads</w:t>
      </w:r>
      <w:r w:rsidR="00846006" w:rsidRPr="003E4580">
        <w:t>,</w:t>
      </w:r>
      <w:r w:rsidRPr="003E4580">
        <w:t xml:space="preserve"> are a mature technology for which international standards exist (UN Regulation No. 130).</w:t>
      </w:r>
      <w:r w:rsidR="00A472E1" w:rsidRPr="003E4580">
        <w:t xml:space="preserve"> </w:t>
      </w:r>
      <w:r w:rsidRPr="003E4580">
        <w:t xml:space="preserve">Around </w:t>
      </w:r>
      <w:r w:rsidR="002E034E" w:rsidRPr="003E4580">
        <w:t>36 per cent o</w:t>
      </w:r>
      <w:r w:rsidRPr="003E4580">
        <w:t>f</w:t>
      </w:r>
      <w:r w:rsidR="002E034E" w:rsidRPr="003E4580">
        <w:t xml:space="preserve"> all</w:t>
      </w:r>
      <w:r w:rsidRPr="003E4580">
        <w:t xml:space="preserve"> new heavy vehicles are fitted with LDW</w:t>
      </w:r>
      <w:r w:rsidR="00800050" w:rsidRPr="003E4580">
        <w:t xml:space="preserve">S. Though fitment has been mandatory in other major markets such as </w:t>
      </w:r>
      <w:r w:rsidR="0077403A" w:rsidRPr="003E4580">
        <w:t>Europe</w:t>
      </w:r>
      <w:r w:rsidR="00800050" w:rsidRPr="003E4580">
        <w:t xml:space="preserve"> since November 2015, this has not strongly influenced the fitment rate in</w:t>
      </w:r>
      <w:r w:rsidR="002E034E" w:rsidRPr="003E4580">
        <w:t xml:space="preserve"> the</w:t>
      </w:r>
      <w:r w:rsidR="00800050" w:rsidRPr="003E4580">
        <w:t xml:space="preserve"> Australian heavy vehicle fleet.</w:t>
      </w:r>
      <w:r w:rsidR="002E034E" w:rsidRPr="003E4580">
        <w:t xml:space="preserve"> </w:t>
      </w:r>
      <w:r w:rsidR="002553A0" w:rsidRPr="003E4580">
        <w:t>Furthermore,</w:t>
      </w:r>
      <w:r w:rsidR="002E034E" w:rsidRPr="003E4580">
        <w:t xml:space="preserve"> the rate at which the technology is being fitted has begun to reduce.</w:t>
      </w:r>
    </w:p>
    <w:p w14:paraId="48CE3E44" w14:textId="08C8FB31" w:rsidR="00D46F17" w:rsidRPr="003E4580" w:rsidRDefault="00800050" w:rsidP="00307EBF">
      <w:r w:rsidRPr="003E4580">
        <w:t xml:space="preserve">This </w:t>
      </w:r>
      <w:r w:rsidR="00F4435F" w:rsidRPr="003E4580">
        <w:t>Final IA</w:t>
      </w:r>
      <w:r w:rsidRPr="003E4580">
        <w:t xml:space="preserve"> considered </w:t>
      </w:r>
      <w:r w:rsidR="00344B23" w:rsidRPr="003E4580">
        <w:t xml:space="preserve">two </w:t>
      </w:r>
      <w:r w:rsidRPr="003E4580">
        <w:t>intervention options</w:t>
      </w:r>
      <w:r w:rsidR="00655AEE" w:rsidRPr="003E4580">
        <w:t>, Option 1</w:t>
      </w:r>
      <w:r w:rsidR="00344B23" w:rsidRPr="003E4580">
        <w:t xml:space="preserve"> being</w:t>
      </w:r>
      <w:r w:rsidRPr="003E4580">
        <w:t xml:space="preserve"> the BAU case to increase fitment of LDWS to the heavy vehicle fleet. It was found that the most significant (and only positive) net benefits are to be gained by mandating LDWS fitment for new heavy vehicles.</w:t>
      </w:r>
    </w:p>
    <w:p w14:paraId="2B37A047" w14:textId="06849168" w:rsidR="009B12E0" w:rsidRPr="003E4580" w:rsidRDefault="00C12912" w:rsidP="00307EBF">
      <w:r w:rsidRPr="003E4580">
        <w:t>Option 2</w:t>
      </w:r>
      <w:r w:rsidR="00D46F17" w:rsidRPr="003E4580">
        <w:t>, mandatory regulation adopting the internationally-agreed requirements of UN Regulation No.130, is expected to yield benefits of $</w:t>
      </w:r>
      <w:r w:rsidR="004D4AA6" w:rsidRPr="003E4580">
        <w:t>221.2</w:t>
      </w:r>
      <w:r w:rsidR="00D46F17" w:rsidRPr="003E4580">
        <w:t xml:space="preserve"> million over the BAU case, with a likely case benefit-cost ratio of 1.</w:t>
      </w:r>
      <w:r w:rsidR="00F4435F" w:rsidRPr="003E4580">
        <w:t>0</w:t>
      </w:r>
      <w:r w:rsidR="0077403A" w:rsidRPr="003E4580">
        <w:t xml:space="preserve"> (best case up to 1.</w:t>
      </w:r>
      <w:r w:rsidR="00F4435F" w:rsidRPr="003E4580">
        <w:t>6</w:t>
      </w:r>
      <w:r w:rsidR="00D46F17" w:rsidRPr="003E4580">
        <w:t>)</w:t>
      </w:r>
      <w:r w:rsidR="00F47983" w:rsidRPr="003E4580">
        <w:t xml:space="preserve"> and $5 million in net benefits</w:t>
      </w:r>
      <w:r w:rsidR="00D46F17" w:rsidRPr="003E4580">
        <w:t xml:space="preserve">. </w:t>
      </w:r>
      <w:r w:rsidRPr="003E4580">
        <w:t>Option 2</w:t>
      </w:r>
      <w:r w:rsidR="00D46F17" w:rsidRPr="003E4580">
        <w:t xml:space="preserve"> would save </w:t>
      </w:r>
      <w:r w:rsidR="0077403A" w:rsidRPr="003E4580">
        <w:t>6</w:t>
      </w:r>
      <w:r w:rsidR="00F4435F" w:rsidRPr="003E4580">
        <w:t>2</w:t>
      </w:r>
      <w:r w:rsidR="00D46F17" w:rsidRPr="003E4580">
        <w:t xml:space="preserve"> lives and</w:t>
      </w:r>
      <w:r w:rsidR="00F4435F" w:rsidRPr="003E4580">
        <w:t xml:space="preserve"> mitigate 1,725 serious and 5,370 minor injuries</w:t>
      </w:r>
      <w:r w:rsidR="00D46F17" w:rsidRPr="003E4580">
        <w:t>.</w:t>
      </w:r>
    </w:p>
    <w:p w14:paraId="100C9B03" w14:textId="3028F1CF" w:rsidR="009B12E0" w:rsidRPr="003E4580" w:rsidRDefault="009B12E0" w:rsidP="00307EBF">
      <w:bookmarkStart w:id="80" w:name="_Hlk129786634"/>
      <w:r w:rsidRPr="003E4580">
        <w:t xml:space="preserve">In line with the </w:t>
      </w:r>
      <w:r w:rsidRPr="003E4580">
        <w:rPr>
          <w:i/>
        </w:rPr>
        <w:t>Australian Government Guide to Regulatory Impact Analysis</w:t>
      </w:r>
      <w:r w:rsidR="00344B23" w:rsidRPr="003E4580">
        <w:rPr>
          <w:i/>
        </w:rPr>
        <w:t xml:space="preserve"> (second edition 2020)</w:t>
      </w:r>
      <w:r w:rsidRPr="003E4580">
        <w:t xml:space="preserve"> </w:t>
      </w:r>
      <w:r w:rsidR="008B1419" w:rsidRPr="003E4580">
        <w:t xml:space="preserve">(2020) </w:t>
      </w:r>
      <w:r w:rsidRPr="003E4580">
        <w:t xml:space="preserve">and the </w:t>
      </w:r>
      <w:r w:rsidRPr="003E4580">
        <w:rPr>
          <w:i/>
        </w:rPr>
        <w:t>Regulatory Impact Analysis Guide for Ministers’ Meetings and National Standard Setting Bodies</w:t>
      </w:r>
      <w:r w:rsidR="008B1419" w:rsidRPr="003E4580">
        <w:rPr>
          <w:i/>
        </w:rPr>
        <w:t xml:space="preserve"> </w:t>
      </w:r>
      <w:r w:rsidR="008B1419" w:rsidRPr="003E4580">
        <w:t>(2021)</w:t>
      </w:r>
      <w:r w:rsidRPr="003E4580">
        <w:t xml:space="preserve">, the policy option offering the greatest net benefit should always be the recommended option. Therefore, </w:t>
      </w:r>
      <w:r w:rsidR="00C12912" w:rsidRPr="003E4580">
        <w:t>Option 2</w:t>
      </w:r>
      <w:r w:rsidRPr="003E4580">
        <w:t>: regulation is the recommended option. Under this option, fitment of LDWS would be mandated for all new heavy goods vehicles greater than 3.5 tonnes Gross Vehicle Mass (GVM) and all omnibuses. The proposed Australian vehicle categories are those covered by UN Regulation No.130 – equivalent ADR subcategories NB1, NB2, NC, MD and ME (Goods Vehicles and Omnibuses). The proposed implementation timing is:</w:t>
      </w:r>
    </w:p>
    <w:p w14:paraId="4EA3860D" w14:textId="3A781972" w:rsidR="009B12E0" w:rsidRPr="003E4580" w:rsidRDefault="009B12E0" w:rsidP="00CB0804">
      <w:pPr>
        <w:numPr>
          <w:ilvl w:val="0"/>
          <w:numId w:val="17"/>
        </w:numPr>
        <w:tabs>
          <w:tab w:val="left" w:pos="1290"/>
        </w:tabs>
        <w:autoSpaceDE w:val="0"/>
        <w:autoSpaceDN w:val="0"/>
        <w:adjustRightInd w:val="0"/>
        <w:spacing w:before="0" w:after="113" w:line="280" w:lineRule="atLeast"/>
        <w:contextualSpacing/>
        <w:textAlignment w:val="center"/>
        <w:rPr>
          <w:rFonts w:cstheme="minorHAnsi"/>
          <w:color w:val="000000"/>
          <w:kern w:val="0"/>
          <w:szCs w:val="22"/>
        </w:rPr>
      </w:pPr>
      <w:r w:rsidRPr="003E4580">
        <w:rPr>
          <w:rFonts w:cstheme="minorHAnsi"/>
          <w:color w:val="000000"/>
          <w:kern w:val="0"/>
          <w:szCs w:val="22"/>
        </w:rPr>
        <w:t>1 November 2024 for new model vehicles; and</w:t>
      </w:r>
    </w:p>
    <w:p w14:paraId="725A70E5" w14:textId="7DF467D9" w:rsidR="009B12E0" w:rsidRPr="003E4580" w:rsidRDefault="009B12E0" w:rsidP="00CB0804">
      <w:pPr>
        <w:numPr>
          <w:ilvl w:val="0"/>
          <w:numId w:val="17"/>
        </w:numPr>
        <w:tabs>
          <w:tab w:val="left" w:pos="1290"/>
        </w:tabs>
        <w:autoSpaceDE w:val="0"/>
        <w:autoSpaceDN w:val="0"/>
        <w:adjustRightInd w:val="0"/>
        <w:spacing w:before="0" w:after="113" w:line="280" w:lineRule="atLeast"/>
        <w:contextualSpacing/>
        <w:textAlignment w:val="center"/>
        <w:rPr>
          <w:rFonts w:cstheme="minorHAnsi"/>
          <w:color w:val="000000"/>
          <w:kern w:val="0"/>
          <w:szCs w:val="22"/>
        </w:rPr>
      </w:pPr>
      <w:r w:rsidRPr="003E4580">
        <w:rPr>
          <w:rFonts w:cstheme="minorHAnsi"/>
          <w:color w:val="000000"/>
          <w:kern w:val="0"/>
          <w:szCs w:val="22"/>
        </w:rPr>
        <w:t>1 November 202</w:t>
      </w:r>
      <w:r w:rsidR="00F4435F" w:rsidRPr="003E4580">
        <w:rPr>
          <w:rFonts w:cstheme="minorHAnsi"/>
          <w:color w:val="000000"/>
          <w:kern w:val="0"/>
          <w:szCs w:val="22"/>
        </w:rPr>
        <w:t>7</w:t>
      </w:r>
      <w:r w:rsidRPr="003E4580">
        <w:rPr>
          <w:rFonts w:cstheme="minorHAnsi"/>
          <w:color w:val="000000"/>
          <w:kern w:val="0"/>
          <w:szCs w:val="22"/>
        </w:rPr>
        <w:t xml:space="preserve"> for all new vehicles. </w:t>
      </w:r>
    </w:p>
    <w:p w14:paraId="1B4FBC1E" w14:textId="4FD3A0C1" w:rsidR="009B12E0" w:rsidRPr="003E4580" w:rsidRDefault="001432AE" w:rsidP="00307EBF">
      <w:r w:rsidRPr="003E4580">
        <w:t xml:space="preserve">In terms of the impact of the recommended option, the costs to business for the necessary changes to vehicles would normally be passed on to consumers, while the benefits would flow to the community and the consumers or their families that are directly involved in crashes. </w:t>
      </w:r>
      <w:bookmarkEnd w:id="80"/>
    </w:p>
    <w:p w14:paraId="5CF09620" w14:textId="77777777" w:rsidR="00BB3AAC" w:rsidRPr="003E4580" w:rsidRDefault="00BB3AAC" w:rsidP="00307EBF">
      <w:r w:rsidRPr="003E4580">
        <w:br w:type="page"/>
      </w:r>
    </w:p>
    <w:p w14:paraId="14BC318E" w14:textId="77777777" w:rsidR="005F794B" w:rsidRPr="003E4580" w:rsidRDefault="00134ED8" w:rsidP="0001430B">
      <w:pPr>
        <w:pStyle w:val="AppendixHeading1"/>
      </w:pPr>
      <w:bookmarkStart w:id="81" w:name="_Toc146894900"/>
      <w:r w:rsidRPr="003E4580">
        <w:lastRenderedPageBreak/>
        <w:t>References</w:t>
      </w:r>
      <w:bookmarkEnd w:id="81"/>
    </w:p>
    <w:p w14:paraId="5CE97CA2" w14:textId="7A1C4965" w:rsidR="00325F77"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ABS (</w:t>
      </w:r>
      <w:r w:rsidR="003F6F0F" w:rsidRPr="003E4580">
        <w:rPr>
          <w:rFonts w:asciiTheme="minorHAnsi" w:hAnsiTheme="minorHAnsi" w:cstheme="minorHAnsi"/>
          <w:sz w:val="20"/>
        </w:rPr>
        <w:t>Australian Bureau of Statistics) (2020</w:t>
      </w:r>
      <w:r w:rsidR="002A0A2D" w:rsidRPr="003E4580">
        <w:rPr>
          <w:rFonts w:asciiTheme="minorHAnsi" w:hAnsiTheme="minorHAnsi" w:cstheme="minorHAnsi"/>
          <w:sz w:val="20"/>
        </w:rPr>
        <w:t>a</w:t>
      </w:r>
      <w:r w:rsidR="003F6F0F" w:rsidRPr="003E4580">
        <w:rPr>
          <w:rFonts w:asciiTheme="minorHAnsi" w:hAnsiTheme="minorHAnsi" w:cstheme="minorHAnsi"/>
          <w:sz w:val="20"/>
        </w:rPr>
        <w:t xml:space="preserve">). </w:t>
      </w:r>
      <w:r w:rsidR="003F6F0F" w:rsidRPr="003E4580">
        <w:rPr>
          <w:rFonts w:asciiTheme="minorHAnsi" w:hAnsiTheme="minorHAnsi" w:cstheme="minorHAnsi"/>
          <w:i/>
          <w:sz w:val="20"/>
        </w:rPr>
        <w:t>Motor Vehicle Census, Australia, 2019</w:t>
      </w:r>
      <w:r w:rsidR="003F6F0F" w:rsidRPr="003E4580">
        <w:rPr>
          <w:rFonts w:asciiTheme="minorHAnsi" w:hAnsiTheme="minorHAnsi" w:cstheme="minorHAnsi"/>
          <w:sz w:val="20"/>
        </w:rPr>
        <w:t xml:space="preserve">. </w:t>
      </w:r>
      <w:r w:rsidR="00325F77" w:rsidRPr="003E4580">
        <w:rPr>
          <w:rFonts w:asciiTheme="minorHAnsi" w:hAnsiTheme="minorHAnsi" w:cstheme="minorHAnsi"/>
          <w:sz w:val="20"/>
        </w:rPr>
        <w:t xml:space="preserve">ABS, accessed </w:t>
      </w:r>
      <w:r w:rsidR="003F6F0F" w:rsidRPr="003E4580">
        <w:rPr>
          <w:rFonts w:asciiTheme="minorHAnsi" w:hAnsiTheme="minorHAnsi" w:cstheme="minorHAnsi"/>
          <w:sz w:val="20"/>
        </w:rPr>
        <w:t xml:space="preserve">May 2021 </w:t>
      </w:r>
      <w:r w:rsidR="00325F77" w:rsidRPr="003E4580">
        <w:rPr>
          <w:rFonts w:asciiTheme="minorHAnsi" w:hAnsiTheme="minorHAnsi" w:cstheme="minorHAnsi"/>
          <w:sz w:val="20"/>
        </w:rPr>
        <w:t xml:space="preserve">- </w:t>
      </w:r>
      <w:r w:rsidR="003F6F0F" w:rsidRPr="003E4580">
        <w:rPr>
          <w:rFonts w:asciiTheme="minorHAnsi" w:hAnsiTheme="minorHAnsi" w:cstheme="minorHAnsi"/>
          <w:sz w:val="20"/>
        </w:rPr>
        <w:t xml:space="preserve"> https://www.abs.gov.au/statistics/industry/tourism-and-transport/motor-vehicle-census-australia/31-jan-2020</w:t>
      </w:r>
      <w:r w:rsidR="00F3086A" w:rsidRPr="003E4580">
        <w:rPr>
          <w:rFonts w:asciiTheme="minorHAnsi" w:hAnsiTheme="minorHAnsi" w:cstheme="minorHAnsi"/>
          <w:sz w:val="20"/>
        </w:rPr>
        <w:t>/</w:t>
      </w:r>
    </w:p>
    <w:p w14:paraId="74AECB0B" w14:textId="0A6CE07F" w:rsidR="003F6F0F"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ABS (</w:t>
      </w:r>
      <w:r w:rsidR="003F6F0F" w:rsidRPr="003E4580">
        <w:rPr>
          <w:rFonts w:asciiTheme="minorHAnsi" w:hAnsiTheme="minorHAnsi" w:cstheme="minorHAnsi"/>
          <w:sz w:val="20"/>
        </w:rPr>
        <w:t>Australian Bureau of Statistics) (202</w:t>
      </w:r>
      <w:r w:rsidR="002A0A2D" w:rsidRPr="003E4580">
        <w:rPr>
          <w:rFonts w:asciiTheme="minorHAnsi" w:hAnsiTheme="minorHAnsi" w:cstheme="minorHAnsi"/>
          <w:sz w:val="20"/>
        </w:rPr>
        <w:t>0b</w:t>
      </w:r>
      <w:r w:rsidR="003F6F0F" w:rsidRPr="003E4580">
        <w:rPr>
          <w:rFonts w:asciiTheme="minorHAnsi" w:hAnsiTheme="minorHAnsi" w:cstheme="minorHAnsi"/>
          <w:sz w:val="20"/>
        </w:rPr>
        <w:t xml:space="preserve">). </w:t>
      </w:r>
      <w:r w:rsidR="003F6F0F" w:rsidRPr="003E4580">
        <w:rPr>
          <w:rFonts w:asciiTheme="minorHAnsi" w:hAnsiTheme="minorHAnsi" w:cstheme="minorHAnsi"/>
          <w:i/>
          <w:sz w:val="20"/>
        </w:rPr>
        <w:t>Survey of Motor Vehicle Use, Australia, 12 months ended 30 June 2020</w:t>
      </w:r>
      <w:r w:rsidR="003F6F0F" w:rsidRPr="003E4580">
        <w:rPr>
          <w:rFonts w:asciiTheme="minorHAnsi" w:hAnsiTheme="minorHAnsi" w:cstheme="minorHAnsi"/>
          <w:sz w:val="20"/>
        </w:rPr>
        <w:t xml:space="preserve">. </w:t>
      </w:r>
      <w:r w:rsidR="00325F77" w:rsidRPr="003E4580">
        <w:rPr>
          <w:rFonts w:asciiTheme="minorHAnsi" w:hAnsiTheme="minorHAnsi" w:cstheme="minorHAnsi"/>
          <w:sz w:val="20"/>
        </w:rPr>
        <w:t>ABS, accessed</w:t>
      </w:r>
      <w:r w:rsidR="003F6F0F" w:rsidRPr="003E4580">
        <w:rPr>
          <w:rFonts w:asciiTheme="minorHAnsi" w:hAnsiTheme="minorHAnsi" w:cstheme="minorHAnsi"/>
          <w:sz w:val="20"/>
        </w:rPr>
        <w:t xml:space="preserve"> May 2021 </w:t>
      </w:r>
      <w:r w:rsidR="00325F77" w:rsidRPr="003E4580">
        <w:rPr>
          <w:rFonts w:asciiTheme="minorHAnsi" w:hAnsiTheme="minorHAnsi" w:cstheme="minorHAnsi"/>
          <w:sz w:val="20"/>
        </w:rPr>
        <w:t xml:space="preserve">- </w:t>
      </w:r>
      <w:r w:rsidR="003F6F0F" w:rsidRPr="003E4580">
        <w:rPr>
          <w:rFonts w:asciiTheme="minorHAnsi" w:hAnsiTheme="minorHAnsi" w:cstheme="minorHAnsi"/>
          <w:sz w:val="20"/>
        </w:rPr>
        <w:t>https://www.abs.gov.au/statistics/industry/tourism-and-transport/survey-motor-vehicle-use-australia/12-months-ended-30-june-2020</w:t>
      </w:r>
      <w:r w:rsidR="00F3086A" w:rsidRPr="003E4580">
        <w:rPr>
          <w:rFonts w:asciiTheme="minorHAnsi" w:hAnsiTheme="minorHAnsi" w:cstheme="minorHAnsi"/>
          <w:sz w:val="20"/>
        </w:rPr>
        <w:t>/</w:t>
      </w:r>
    </w:p>
    <w:p w14:paraId="16AB6E45" w14:textId="75895FDA" w:rsidR="005D1D0D"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AIHW (</w:t>
      </w:r>
      <w:r w:rsidR="00430D9F" w:rsidRPr="003E4580">
        <w:rPr>
          <w:rFonts w:asciiTheme="minorHAnsi" w:hAnsiTheme="minorHAnsi" w:cstheme="minorHAnsi"/>
          <w:sz w:val="20"/>
        </w:rPr>
        <w:t>Australian Insti</w:t>
      </w:r>
      <w:r w:rsidRPr="003E4580">
        <w:rPr>
          <w:rFonts w:asciiTheme="minorHAnsi" w:hAnsiTheme="minorHAnsi" w:cstheme="minorHAnsi"/>
          <w:sz w:val="20"/>
        </w:rPr>
        <w:t>tute of Health and Welfare</w:t>
      </w:r>
      <w:r w:rsidR="006E4628" w:rsidRPr="003E4580">
        <w:rPr>
          <w:rFonts w:asciiTheme="minorHAnsi" w:hAnsiTheme="minorHAnsi" w:cstheme="minorHAnsi"/>
          <w:sz w:val="20"/>
        </w:rPr>
        <w:t>)</w:t>
      </w:r>
      <w:r w:rsidR="00430D9F" w:rsidRPr="003E4580">
        <w:rPr>
          <w:rFonts w:asciiTheme="minorHAnsi" w:hAnsiTheme="minorHAnsi" w:cstheme="minorHAnsi"/>
          <w:sz w:val="20"/>
        </w:rPr>
        <w:t xml:space="preserve"> (2018). </w:t>
      </w:r>
      <w:r w:rsidR="00430D9F" w:rsidRPr="003E4580">
        <w:rPr>
          <w:rFonts w:asciiTheme="minorHAnsi" w:hAnsiTheme="minorHAnsi" w:cstheme="minorHAnsi"/>
          <w:i/>
          <w:sz w:val="20"/>
        </w:rPr>
        <w:t>Hospitalised Injury due to land transport crashes</w:t>
      </w:r>
      <w:r w:rsidR="00430D9F" w:rsidRPr="003E4580">
        <w:rPr>
          <w:rFonts w:asciiTheme="minorHAnsi" w:hAnsiTheme="minorHAnsi" w:cstheme="minorHAnsi"/>
          <w:sz w:val="20"/>
        </w:rPr>
        <w:t xml:space="preserve">. Cat. No. INJCAT 195. Injury research and statistics series no. 115. </w:t>
      </w:r>
      <w:r w:rsidR="005D1D0D" w:rsidRPr="003E4580">
        <w:rPr>
          <w:rFonts w:asciiTheme="minorHAnsi" w:hAnsiTheme="minorHAnsi" w:cstheme="minorHAnsi"/>
          <w:sz w:val="20"/>
        </w:rPr>
        <w:t>AIHW, accessed - https://www.aihw.gov.au/reports/injury/hospitalised-injury-due-to-land-transport-crashes/contents/table-of-contents</w:t>
      </w:r>
    </w:p>
    <w:p w14:paraId="4AE81804" w14:textId="1F3C00A1" w:rsidR="0089525B" w:rsidRPr="003E4580" w:rsidRDefault="0089525B"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 xml:space="preserve">ANCAP (Australasian New Car Assessment Program) (2020). </w:t>
      </w:r>
      <w:r w:rsidRPr="003E4580">
        <w:rPr>
          <w:rFonts w:asciiTheme="minorHAnsi" w:hAnsiTheme="minorHAnsi" w:cstheme="minorHAnsi"/>
          <w:i/>
          <w:sz w:val="20"/>
        </w:rPr>
        <w:t>Lane Support System Fact Sheet.</w:t>
      </w:r>
      <w:r w:rsidRPr="003E4580">
        <w:rPr>
          <w:rFonts w:asciiTheme="minorHAnsi" w:hAnsiTheme="minorHAnsi" w:cstheme="minorHAnsi"/>
          <w:sz w:val="20"/>
        </w:rPr>
        <w:t xml:space="preserve"> ANCAP, accessed August 2021 - </w:t>
      </w:r>
      <w:r w:rsidR="004C2077" w:rsidRPr="003E4580">
        <w:rPr>
          <w:rFonts w:asciiTheme="minorHAnsi" w:hAnsiTheme="minorHAnsi" w:cstheme="minorHAnsi"/>
          <w:sz w:val="20"/>
        </w:rPr>
        <w:t>https://www.ancap.com.au/rewrite?vehicle_type=light_car&amp;page=1&amp;field=manufacturer_and_model&amp;direction=asc&amp;is_current_model</w:t>
      </w:r>
    </w:p>
    <w:p w14:paraId="51BE8EB2" w14:textId="7449CD6A" w:rsidR="004C2077" w:rsidRPr="003E4580" w:rsidRDefault="004C2077"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ANCAP (Australasian New Car Assessment Program) (2021). Let’s re-write the ending. ANCAP, accessed November 2021 - https://www.ancap.com.au/rewrite?safety_rating=0%2C1%2C2%2C3%2C4%2C5&amp;page=1&amp;field=manufacturer_and_model&amp;direction=asc&amp;is_current_model</w:t>
      </w:r>
    </w:p>
    <w:p w14:paraId="509BF1E3" w14:textId="34D09EA2" w:rsidR="00A62603" w:rsidRPr="003E4580" w:rsidRDefault="00A62603" w:rsidP="00DF50AE">
      <w:pPr>
        <w:pStyle w:val="references"/>
        <w:ind w:left="360" w:firstLine="0"/>
        <w:rPr>
          <w:rFonts w:asciiTheme="minorHAnsi" w:hAnsiTheme="minorHAnsi" w:cstheme="minorHAnsi"/>
          <w:sz w:val="20"/>
          <w:highlight w:val="yellow"/>
        </w:rPr>
      </w:pPr>
      <w:r w:rsidRPr="003E4580">
        <w:rPr>
          <w:rFonts w:asciiTheme="minorHAnsi" w:hAnsiTheme="minorHAnsi" w:cstheme="minorHAnsi"/>
          <w:sz w:val="20"/>
        </w:rPr>
        <w:t xml:space="preserve">BIC (Bus Industry Council) (2017). </w:t>
      </w:r>
      <w:r w:rsidRPr="003E4580">
        <w:rPr>
          <w:rFonts w:asciiTheme="minorHAnsi" w:hAnsiTheme="minorHAnsi" w:cstheme="minorHAnsi"/>
          <w:i/>
          <w:sz w:val="20"/>
        </w:rPr>
        <w:t>Bus Industry Council’s National Technical Suppliers Summit 2017</w:t>
      </w:r>
      <w:r w:rsidR="00DD5E11" w:rsidRPr="003E4580">
        <w:rPr>
          <w:rFonts w:asciiTheme="minorHAnsi" w:hAnsiTheme="minorHAnsi" w:cstheme="minorHAnsi"/>
          <w:sz w:val="20"/>
        </w:rPr>
        <w:t>, accessed November 2019 - https://movingpeople.com.au/category/industry-events-centre/past-bic-national-summits-and-bic-national-conferences/</w:t>
      </w:r>
    </w:p>
    <w:p w14:paraId="11A389F0" w14:textId="2E0FB878" w:rsidR="00583199"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BITRE (Bureau of Infrastructure, Transport and Regional Economics</w:t>
      </w:r>
      <w:r w:rsidR="006E4628" w:rsidRPr="003E4580">
        <w:rPr>
          <w:rFonts w:asciiTheme="minorHAnsi" w:hAnsiTheme="minorHAnsi" w:cstheme="minorHAnsi"/>
          <w:sz w:val="20"/>
        </w:rPr>
        <w:t>)</w:t>
      </w:r>
      <w:r w:rsidRPr="003E4580">
        <w:rPr>
          <w:rFonts w:asciiTheme="minorHAnsi" w:hAnsiTheme="minorHAnsi" w:cstheme="minorHAnsi"/>
          <w:sz w:val="20"/>
        </w:rPr>
        <w:t xml:space="preserve"> (2014). </w:t>
      </w:r>
      <w:r w:rsidRPr="003E4580">
        <w:rPr>
          <w:rFonts w:asciiTheme="minorHAnsi" w:hAnsiTheme="minorHAnsi" w:cstheme="minorHAnsi"/>
          <w:i/>
          <w:sz w:val="20"/>
        </w:rPr>
        <w:t>Impact of road trauma and measures to improve outcomes</w:t>
      </w:r>
      <w:r w:rsidRPr="003E4580">
        <w:rPr>
          <w:rFonts w:asciiTheme="minorHAnsi" w:hAnsiTheme="minorHAnsi" w:cstheme="minorHAnsi"/>
          <w:sz w:val="20"/>
        </w:rPr>
        <w:t>, Report 140, Canberra, Australia.</w:t>
      </w:r>
    </w:p>
    <w:p w14:paraId="44E6315A" w14:textId="451CC1A5" w:rsidR="00583199"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BITRE (Bureau of Infrastructure, Transport and Regional Economics) (2019</w:t>
      </w:r>
      <w:r w:rsidR="00BB4565" w:rsidRPr="003E4580">
        <w:rPr>
          <w:rFonts w:asciiTheme="minorHAnsi" w:hAnsiTheme="minorHAnsi" w:cstheme="minorHAnsi"/>
          <w:sz w:val="20"/>
        </w:rPr>
        <w:t>a</w:t>
      </w:r>
      <w:r w:rsidRPr="003E4580">
        <w:rPr>
          <w:rFonts w:asciiTheme="minorHAnsi" w:hAnsiTheme="minorHAnsi" w:cstheme="minorHAnsi"/>
          <w:sz w:val="20"/>
        </w:rPr>
        <w:t>)</w:t>
      </w:r>
      <w:r w:rsidR="00B4462B" w:rsidRPr="003E4580">
        <w:rPr>
          <w:rFonts w:asciiTheme="minorHAnsi" w:hAnsiTheme="minorHAnsi" w:cstheme="minorHAnsi"/>
          <w:sz w:val="20"/>
        </w:rPr>
        <w:t>.</w:t>
      </w:r>
      <w:r w:rsidRPr="003E4580">
        <w:rPr>
          <w:rFonts w:asciiTheme="minorHAnsi" w:hAnsiTheme="minorHAnsi" w:cstheme="minorHAnsi"/>
          <w:sz w:val="20"/>
        </w:rPr>
        <w:t xml:space="preserve"> </w:t>
      </w:r>
      <w:r w:rsidRPr="003E4580">
        <w:rPr>
          <w:rFonts w:asciiTheme="minorHAnsi" w:hAnsiTheme="minorHAnsi" w:cstheme="minorHAnsi"/>
          <w:i/>
          <w:sz w:val="20"/>
        </w:rPr>
        <w:t>Australian aggregate freight forecasts – 2019 update</w:t>
      </w:r>
      <w:r w:rsidRPr="003E4580">
        <w:rPr>
          <w:rFonts w:asciiTheme="minorHAnsi" w:hAnsiTheme="minorHAnsi" w:cstheme="minorHAnsi"/>
          <w:sz w:val="20"/>
        </w:rPr>
        <w:t>, Research Report 152</w:t>
      </w:r>
      <w:r w:rsidR="00B4462B" w:rsidRPr="003E4580">
        <w:rPr>
          <w:rFonts w:asciiTheme="minorHAnsi" w:hAnsiTheme="minorHAnsi" w:cstheme="minorHAnsi"/>
          <w:sz w:val="20"/>
        </w:rPr>
        <w:t>. BITRE, accessed - https://www.bitre.gov.au/publications/2019/australian_aggregate_freight_forecasts_2019</w:t>
      </w:r>
    </w:p>
    <w:p w14:paraId="498A8CB3" w14:textId="4C70D9AC" w:rsidR="00B4462B"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BITRE (Bureau of Infrastructure, Transport and Regional Economics)</w:t>
      </w:r>
      <w:r w:rsidR="00B4462B" w:rsidRPr="003E4580">
        <w:rPr>
          <w:rFonts w:asciiTheme="minorHAnsi" w:hAnsiTheme="minorHAnsi" w:cstheme="minorHAnsi"/>
          <w:sz w:val="20"/>
        </w:rPr>
        <w:t xml:space="preserve"> (2019a).</w:t>
      </w:r>
      <w:r w:rsidRPr="003E4580">
        <w:rPr>
          <w:rFonts w:asciiTheme="minorHAnsi" w:hAnsiTheme="minorHAnsi" w:cstheme="minorHAnsi"/>
          <w:sz w:val="20"/>
        </w:rPr>
        <w:t xml:space="preserve"> </w:t>
      </w:r>
      <w:r w:rsidRPr="003E4580">
        <w:rPr>
          <w:rFonts w:asciiTheme="minorHAnsi" w:hAnsiTheme="minorHAnsi" w:cstheme="minorHAnsi"/>
          <w:i/>
          <w:sz w:val="20"/>
        </w:rPr>
        <w:t>Fatal heavy vehicle crashes Australia quarterly bulletin, Jan-Mar 2019</w:t>
      </w:r>
      <w:r w:rsidR="00B4462B" w:rsidRPr="003E4580">
        <w:rPr>
          <w:rFonts w:asciiTheme="minorHAnsi" w:hAnsiTheme="minorHAnsi" w:cstheme="minorHAnsi"/>
          <w:i/>
          <w:sz w:val="20"/>
        </w:rPr>
        <w:t xml:space="preserve"> </w:t>
      </w:r>
      <w:r w:rsidR="00B4462B" w:rsidRPr="003E4580">
        <w:rPr>
          <w:rFonts w:asciiTheme="minorHAnsi" w:hAnsiTheme="minorHAnsi" w:cstheme="minorHAnsi"/>
          <w:sz w:val="20"/>
        </w:rPr>
        <w:t>[data set]. BITRE, accessed</w:t>
      </w:r>
      <w:r w:rsidR="00DF50AE" w:rsidRPr="003E4580">
        <w:rPr>
          <w:rFonts w:asciiTheme="minorHAnsi" w:hAnsiTheme="minorHAnsi" w:cstheme="minorHAnsi"/>
          <w:sz w:val="20"/>
        </w:rPr>
        <w:t xml:space="preserve"> - </w:t>
      </w:r>
      <w:r w:rsidR="00B4462B" w:rsidRPr="003E4580">
        <w:rPr>
          <w:rFonts w:asciiTheme="minorHAnsi" w:hAnsiTheme="minorHAnsi" w:cstheme="minorHAnsi"/>
          <w:sz w:val="20"/>
        </w:rPr>
        <w:t xml:space="preserve">https://www.bitre.gov.au/publications/ongoing/fhvc/index </w:t>
      </w:r>
    </w:p>
    <w:p w14:paraId="765490F5" w14:textId="189C919A" w:rsidR="00583199"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 xml:space="preserve">BITRE (Bureau of Infrastructure, Transport and Regional Economics) (2019b), </w:t>
      </w:r>
      <w:r w:rsidRPr="003E4580">
        <w:rPr>
          <w:rFonts w:asciiTheme="minorHAnsi" w:hAnsiTheme="minorHAnsi" w:cstheme="minorHAnsi"/>
          <w:i/>
          <w:sz w:val="20"/>
        </w:rPr>
        <w:t>Hospitalised Injury</w:t>
      </w:r>
      <w:r w:rsidR="00A96685" w:rsidRPr="003E4580">
        <w:rPr>
          <w:rFonts w:asciiTheme="minorHAnsi" w:hAnsiTheme="minorHAnsi" w:cstheme="minorHAnsi"/>
          <w:sz w:val="20"/>
        </w:rPr>
        <w:t>.</w:t>
      </w:r>
      <w:r w:rsidRPr="003E4580">
        <w:rPr>
          <w:rFonts w:asciiTheme="minorHAnsi" w:hAnsiTheme="minorHAnsi" w:cstheme="minorHAnsi"/>
          <w:sz w:val="20"/>
        </w:rPr>
        <w:t xml:space="preserve"> Release</w:t>
      </w:r>
      <w:r w:rsidR="00A96685" w:rsidRPr="003E4580">
        <w:rPr>
          <w:rFonts w:asciiTheme="minorHAnsi" w:hAnsiTheme="minorHAnsi" w:cstheme="minorHAnsi"/>
          <w:sz w:val="20"/>
        </w:rPr>
        <w:t xml:space="preserve">d </w:t>
      </w:r>
      <w:r w:rsidRPr="003E4580">
        <w:rPr>
          <w:rFonts w:asciiTheme="minorHAnsi" w:hAnsiTheme="minorHAnsi" w:cstheme="minorHAnsi"/>
          <w:sz w:val="20"/>
        </w:rPr>
        <w:t>20 August 2021</w:t>
      </w:r>
      <w:r w:rsidR="00A96685" w:rsidRPr="003E4580">
        <w:rPr>
          <w:rFonts w:asciiTheme="minorHAnsi" w:hAnsiTheme="minorHAnsi" w:cstheme="minorHAnsi"/>
          <w:sz w:val="20"/>
        </w:rPr>
        <w:t xml:space="preserve"> [data set]</w:t>
      </w:r>
      <w:r w:rsidRPr="003E4580">
        <w:rPr>
          <w:rFonts w:asciiTheme="minorHAnsi" w:hAnsiTheme="minorHAnsi" w:cstheme="minorHAnsi"/>
          <w:sz w:val="20"/>
        </w:rPr>
        <w:t xml:space="preserve">. </w:t>
      </w:r>
      <w:r w:rsidR="00A96685" w:rsidRPr="003E4580">
        <w:rPr>
          <w:rFonts w:asciiTheme="minorHAnsi" w:hAnsiTheme="minorHAnsi" w:cstheme="minorHAnsi"/>
          <w:sz w:val="20"/>
        </w:rPr>
        <w:t>BITRE, accessed</w:t>
      </w:r>
      <w:r w:rsidRPr="003E4580">
        <w:rPr>
          <w:rFonts w:asciiTheme="minorHAnsi" w:hAnsiTheme="minorHAnsi" w:cstheme="minorHAnsi"/>
          <w:sz w:val="20"/>
        </w:rPr>
        <w:t xml:space="preserve"> September 2021</w:t>
      </w:r>
      <w:r w:rsidR="00A96685" w:rsidRPr="003E4580">
        <w:rPr>
          <w:rFonts w:asciiTheme="minorHAnsi" w:hAnsiTheme="minorHAnsi" w:cstheme="minorHAnsi"/>
          <w:sz w:val="20"/>
        </w:rPr>
        <w:t xml:space="preserve"> -</w:t>
      </w:r>
      <w:r w:rsidRPr="003E4580">
        <w:rPr>
          <w:rFonts w:asciiTheme="minorHAnsi" w:hAnsiTheme="minorHAnsi" w:cstheme="minorHAnsi"/>
          <w:sz w:val="20"/>
        </w:rPr>
        <w:t xml:space="preserve"> https://www.bitre.gov.au/publications/ongoing/hospitalised-injury.aspx</w:t>
      </w:r>
    </w:p>
    <w:p w14:paraId="6CA82CF8" w14:textId="17E6D048" w:rsidR="00583199"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BITRE (Bureau of Infrastructure, Transport and Regional Economics</w:t>
      </w:r>
      <w:r w:rsidR="0031620E" w:rsidRPr="003E4580">
        <w:rPr>
          <w:rFonts w:asciiTheme="minorHAnsi" w:hAnsiTheme="minorHAnsi" w:cstheme="minorHAnsi"/>
          <w:sz w:val="20"/>
        </w:rPr>
        <w:t>)</w:t>
      </w:r>
      <w:r w:rsidR="00A96685" w:rsidRPr="003E4580">
        <w:rPr>
          <w:rFonts w:asciiTheme="minorHAnsi" w:hAnsiTheme="minorHAnsi" w:cstheme="minorHAnsi"/>
          <w:sz w:val="20"/>
        </w:rPr>
        <w:t xml:space="preserve"> (2020).</w:t>
      </w:r>
      <w:r w:rsidRPr="003E4580">
        <w:rPr>
          <w:rFonts w:asciiTheme="minorHAnsi" w:hAnsiTheme="minorHAnsi" w:cstheme="minorHAnsi"/>
          <w:sz w:val="20"/>
        </w:rPr>
        <w:t xml:space="preserve"> </w:t>
      </w:r>
      <w:r w:rsidRPr="003E4580">
        <w:rPr>
          <w:rFonts w:asciiTheme="minorHAnsi" w:hAnsiTheme="minorHAnsi" w:cstheme="minorHAnsi"/>
          <w:i/>
          <w:sz w:val="20"/>
        </w:rPr>
        <w:t>Hospitalised Injury.</w:t>
      </w:r>
      <w:r w:rsidRPr="003E4580">
        <w:rPr>
          <w:rFonts w:asciiTheme="minorHAnsi" w:hAnsiTheme="minorHAnsi" w:cstheme="minorHAnsi"/>
          <w:sz w:val="20"/>
        </w:rPr>
        <w:t xml:space="preserve"> Released 1 September 2020</w:t>
      </w:r>
      <w:r w:rsidR="00A96685" w:rsidRPr="003E4580">
        <w:rPr>
          <w:rFonts w:asciiTheme="minorHAnsi" w:hAnsiTheme="minorHAnsi" w:cstheme="minorHAnsi"/>
          <w:sz w:val="20"/>
        </w:rPr>
        <w:t xml:space="preserve"> [data set]</w:t>
      </w:r>
      <w:r w:rsidRPr="003E4580">
        <w:rPr>
          <w:rFonts w:asciiTheme="minorHAnsi" w:hAnsiTheme="minorHAnsi" w:cstheme="minorHAnsi"/>
          <w:sz w:val="20"/>
        </w:rPr>
        <w:t xml:space="preserve">. </w:t>
      </w:r>
      <w:r w:rsidR="00A96685" w:rsidRPr="003E4580">
        <w:rPr>
          <w:rFonts w:asciiTheme="minorHAnsi" w:hAnsiTheme="minorHAnsi" w:cstheme="minorHAnsi"/>
          <w:sz w:val="20"/>
        </w:rPr>
        <w:t>BITRE, accessed</w:t>
      </w:r>
      <w:r w:rsidRPr="003E4580">
        <w:rPr>
          <w:rFonts w:asciiTheme="minorHAnsi" w:hAnsiTheme="minorHAnsi" w:cstheme="minorHAnsi"/>
          <w:sz w:val="20"/>
        </w:rPr>
        <w:t xml:space="preserve"> May 2021</w:t>
      </w:r>
      <w:r w:rsidR="00A96685" w:rsidRPr="003E4580">
        <w:rPr>
          <w:rFonts w:asciiTheme="minorHAnsi" w:hAnsiTheme="minorHAnsi" w:cstheme="minorHAnsi"/>
          <w:sz w:val="20"/>
        </w:rPr>
        <w:t xml:space="preserve"> - </w:t>
      </w:r>
      <w:r w:rsidRPr="003E4580">
        <w:rPr>
          <w:rFonts w:asciiTheme="minorHAnsi" w:hAnsiTheme="minorHAnsi" w:cstheme="minorHAnsi"/>
          <w:sz w:val="20"/>
        </w:rPr>
        <w:t>https://www.bitre.gov.au/publications/ongoing/hospitalised-injury/</w:t>
      </w:r>
    </w:p>
    <w:p w14:paraId="32F608CC" w14:textId="7D9A31CE" w:rsidR="0031620E" w:rsidRPr="003E4580" w:rsidRDefault="00DE05FD"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BITRE (</w:t>
      </w:r>
      <w:r w:rsidR="00430D9F" w:rsidRPr="003E4580">
        <w:rPr>
          <w:rFonts w:asciiTheme="minorHAnsi" w:hAnsiTheme="minorHAnsi" w:cstheme="minorHAnsi"/>
          <w:sz w:val="20"/>
        </w:rPr>
        <w:t>Bureau of Infrastructure and Tra</w:t>
      </w:r>
      <w:r w:rsidRPr="003E4580">
        <w:rPr>
          <w:rFonts w:asciiTheme="minorHAnsi" w:hAnsiTheme="minorHAnsi" w:cstheme="minorHAnsi"/>
          <w:sz w:val="20"/>
        </w:rPr>
        <w:t>nsport Research Economics</w:t>
      </w:r>
      <w:r w:rsidR="0031620E" w:rsidRPr="003E4580">
        <w:rPr>
          <w:rFonts w:asciiTheme="minorHAnsi" w:hAnsiTheme="minorHAnsi" w:cstheme="minorHAnsi"/>
          <w:sz w:val="20"/>
        </w:rPr>
        <w:t>)</w:t>
      </w:r>
      <w:r w:rsidR="00430D9F" w:rsidRPr="003E4580">
        <w:rPr>
          <w:rFonts w:asciiTheme="minorHAnsi" w:hAnsiTheme="minorHAnsi" w:cstheme="minorHAnsi"/>
          <w:sz w:val="20"/>
        </w:rPr>
        <w:t xml:space="preserve"> (2021a). </w:t>
      </w:r>
      <w:r w:rsidR="00430D9F" w:rsidRPr="003E4580">
        <w:rPr>
          <w:rFonts w:asciiTheme="minorHAnsi" w:hAnsiTheme="minorHAnsi" w:cstheme="minorHAnsi"/>
          <w:i/>
          <w:sz w:val="20"/>
        </w:rPr>
        <w:t>Road trauma involving heavy vehicles 2019 crash statistical summary</w:t>
      </w:r>
      <w:r w:rsidR="00430D9F" w:rsidRPr="003E4580">
        <w:rPr>
          <w:rFonts w:asciiTheme="minorHAnsi" w:hAnsiTheme="minorHAnsi" w:cstheme="minorHAnsi"/>
          <w:sz w:val="20"/>
        </w:rPr>
        <w:t xml:space="preserve">, BITRE, </w:t>
      </w:r>
      <w:r w:rsidR="0031620E" w:rsidRPr="003E4580">
        <w:rPr>
          <w:rFonts w:asciiTheme="minorHAnsi" w:hAnsiTheme="minorHAnsi" w:cstheme="minorHAnsi"/>
          <w:sz w:val="20"/>
        </w:rPr>
        <w:t>accessed - https://www.bitre.gov.au/publications/ongoing/archived-road-trauma-involving-heavy-vehicles</w:t>
      </w:r>
    </w:p>
    <w:p w14:paraId="0438D2A5" w14:textId="4EAF5E72" w:rsidR="00430D9F" w:rsidRPr="003E4580" w:rsidRDefault="00DE05FD"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lastRenderedPageBreak/>
        <w:t>BITRE (</w:t>
      </w:r>
      <w:r w:rsidR="00430D9F" w:rsidRPr="003E4580">
        <w:rPr>
          <w:rFonts w:asciiTheme="minorHAnsi" w:hAnsiTheme="minorHAnsi" w:cstheme="minorHAnsi"/>
          <w:sz w:val="20"/>
        </w:rPr>
        <w:t>Bureau of Infrastructure and Tra</w:t>
      </w:r>
      <w:r w:rsidRPr="003E4580">
        <w:rPr>
          <w:rFonts w:asciiTheme="minorHAnsi" w:hAnsiTheme="minorHAnsi" w:cstheme="minorHAnsi"/>
          <w:sz w:val="20"/>
        </w:rPr>
        <w:t>nsport Research Economics</w:t>
      </w:r>
      <w:r w:rsidR="0031620E" w:rsidRPr="003E4580">
        <w:rPr>
          <w:rFonts w:asciiTheme="minorHAnsi" w:hAnsiTheme="minorHAnsi" w:cstheme="minorHAnsi"/>
          <w:sz w:val="20"/>
        </w:rPr>
        <w:t>)</w:t>
      </w:r>
      <w:r w:rsidR="00430D9F" w:rsidRPr="003E4580">
        <w:rPr>
          <w:rFonts w:asciiTheme="minorHAnsi" w:hAnsiTheme="minorHAnsi" w:cstheme="minorHAnsi"/>
          <w:sz w:val="20"/>
        </w:rPr>
        <w:t xml:space="preserve"> (2021b). </w:t>
      </w:r>
      <w:r w:rsidR="00430D9F" w:rsidRPr="003E4580">
        <w:rPr>
          <w:rFonts w:asciiTheme="minorHAnsi" w:hAnsiTheme="minorHAnsi" w:cstheme="minorHAnsi"/>
          <w:i/>
          <w:sz w:val="20"/>
        </w:rPr>
        <w:t>Fatal heavy vehicle crashes Australia quarterly bulletin Jan-Mar 2021</w:t>
      </w:r>
      <w:r w:rsidR="00430D9F" w:rsidRPr="003E4580">
        <w:rPr>
          <w:rFonts w:asciiTheme="minorHAnsi" w:hAnsiTheme="minorHAnsi" w:cstheme="minorHAnsi"/>
          <w:sz w:val="20"/>
        </w:rPr>
        <w:t xml:space="preserve">, BITRE, </w:t>
      </w:r>
      <w:r w:rsidR="0031620E" w:rsidRPr="003E4580">
        <w:rPr>
          <w:rFonts w:asciiTheme="minorHAnsi" w:hAnsiTheme="minorHAnsi" w:cstheme="minorHAnsi"/>
          <w:sz w:val="20"/>
        </w:rPr>
        <w:t>accessed - https://www.bitre.gov.au/publications/ongoing/fhvc/index</w:t>
      </w:r>
    </w:p>
    <w:p w14:paraId="3404A78F" w14:textId="070C3E50" w:rsidR="0031620E" w:rsidRPr="003E4580" w:rsidRDefault="00DE05FD"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BITRE (</w:t>
      </w:r>
      <w:r w:rsidR="00430D9F" w:rsidRPr="003E4580">
        <w:rPr>
          <w:rFonts w:asciiTheme="minorHAnsi" w:hAnsiTheme="minorHAnsi" w:cstheme="minorHAnsi"/>
          <w:sz w:val="20"/>
        </w:rPr>
        <w:t>Bureau of Infrastructure and Tra</w:t>
      </w:r>
      <w:r w:rsidRPr="003E4580">
        <w:rPr>
          <w:rFonts w:asciiTheme="minorHAnsi" w:hAnsiTheme="minorHAnsi" w:cstheme="minorHAnsi"/>
          <w:sz w:val="20"/>
        </w:rPr>
        <w:t>nsport Research Economics</w:t>
      </w:r>
      <w:r w:rsidR="0031620E" w:rsidRPr="003E4580">
        <w:rPr>
          <w:rFonts w:asciiTheme="minorHAnsi" w:hAnsiTheme="minorHAnsi" w:cstheme="minorHAnsi"/>
          <w:sz w:val="20"/>
        </w:rPr>
        <w:t>)</w:t>
      </w:r>
      <w:r w:rsidR="00430D9F" w:rsidRPr="003E4580">
        <w:rPr>
          <w:rFonts w:asciiTheme="minorHAnsi" w:hAnsiTheme="minorHAnsi" w:cstheme="minorHAnsi"/>
          <w:sz w:val="20"/>
        </w:rPr>
        <w:t xml:space="preserve"> (2021c). </w:t>
      </w:r>
      <w:r w:rsidR="00430D9F" w:rsidRPr="003E4580">
        <w:rPr>
          <w:rFonts w:asciiTheme="minorHAnsi" w:hAnsiTheme="minorHAnsi" w:cstheme="minorHAnsi"/>
          <w:i/>
          <w:sz w:val="20"/>
        </w:rPr>
        <w:t>Fatal heavy vehicle crashes Australia quarterly bulletin Apr-Jun 2021</w:t>
      </w:r>
      <w:r w:rsidR="00430D9F" w:rsidRPr="003E4580">
        <w:rPr>
          <w:rFonts w:asciiTheme="minorHAnsi" w:hAnsiTheme="minorHAnsi" w:cstheme="minorHAnsi"/>
          <w:sz w:val="20"/>
        </w:rPr>
        <w:t xml:space="preserve">, BITRE, </w:t>
      </w:r>
      <w:r w:rsidR="0031620E" w:rsidRPr="003E4580">
        <w:rPr>
          <w:rFonts w:asciiTheme="minorHAnsi" w:hAnsiTheme="minorHAnsi" w:cstheme="minorHAnsi"/>
          <w:sz w:val="20"/>
        </w:rPr>
        <w:t>accessed - https://www.bitre.gov.au/publications/ongoing/fhvc/index</w:t>
      </w:r>
    </w:p>
    <w:p w14:paraId="152F72C8" w14:textId="0A3856E1" w:rsidR="00BD6E54" w:rsidRPr="003E4580" w:rsidRDefault="0050105C"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 xml:space="preserve">Budd, L., &amp; Newstead, S. (2014). </w:t>
      </w:r>
      <w:r w:rsidRPr="003E4580">
        <w:rPr>
          <w:rFonts w:asciiTheme="minorHAnsi" w:hAnsiTheme="minorHAnsi" w:cstheme="minorHAnsi"/>
          <w:i/>
          <w:sz w:val="20"/>
        </w:rPr>
        <w:t>Potential safety benefits of emerging crash avoidance technologies in Australasian heavy vehicles</w:t>
      </w:r>
      <w:r w:rsidRPr="003E4580">
        <w:rPr>
          <w:rFonts w:asciiTheme="minorHAnsi" w:hAnsiTheme="minorHAnsi" w:cstheme="minorHAnsi"/>
          <w:sz w:val="20"/>
        </w:rPr>
        <w:t>.</w:t>
      </w:r>
      <w:r w:rsidR="0054303B" w:rsidRPr="003E4580">
        <w:rPr>
          <w:rFonts w:asciiTheme="minorHAnsi" w:hAnsiTheme="minorHAnsi" w:cstheme="minorHAnsi"/>
          <w:sz w:val="20"/>
        </w:rPr>
        <w:t xml:space="preserve"> Monash University Accident Research Centre. Report No. 324. September 2014.</w:t>
      </w:r>
    </w:p>
    <w:p w14:paraId="2E69BD5F" w14:textId="7E36BF1D" w:rsidR="00583843" w:rsidRPr="003E4580" w:rsidRDefault="00583843"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 xml:space="preserve">Budd, L., Keall, M. &amp; Newstead, S. (2015). </w:t>
      </w:r>
      <w:r w:rsidRPr="003E4580">
        <w:rPr>
          <w:rFonts w:asciiTheme="minorHAnsi" w:hAnsiTheme="minorHAnsi" w:cstheme="minorHAnsi"/>
          <w:i/>
          <w:sz w:val="20"/>
        </w:rPr>
        <w:t>Retrospective and prospective changes in secondary safety of the Australian and New Zealand vehicle fleets and the potential influence of new vehicle safety technologies.</w:t>
      </w:r>
      <w:r w:rsidRPr="003E4580">
        <w:rPr>
          <w:rFonts w:asciiTheme="minorHAnsi" w:hAnsiTheme="minorHAnsi" w:cstheme="minorHAnsi"/>
          <w:sz w:val="20"/>
        </w:rPr>
        <w:t xml:space="preserve"> Monash University Accident Research Centre. Report No. 329. May 2015.</w:t>
      </w:r>
    </w:p>
    <w:p w14:paraId="70B04D38" w14:textId="42BCA13A" w:rsidR="0050105C" w:rsidRPr="003E4580" w:rsidRDefault="00BD6E54"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Comm</w:t>
      </w:r>
      <w:r w:rsidR="00892579" w:rsidRPr="003E4580">
        <w:rPr>
          <w:rFonts w:asciiTheme="minorHAnsi" w:hAnsiTheme="minorHAnsi" w:cstheme="minorHAnsi"/>
          <w:sz w:val="20"/>
        </w:rPr>
        <w:t>onwealth of Australia (2020).</w:t>
      </w:r>
      <w:r w:rsidRPr="003E4580">
        <w:rPr>
          <w:rFonts w:asciiTheme="minorHAnsi" w:hAnsiTheme="minorHAnsi" w:cstheme="minorHAnsi"/>
          <w:sz w:val="20"/>
        </w:rPr>
        <w:t xml:space="preserve"> </w:t>
      </w:r>
      <w:r w:rsidRPr="003E4580">
        <w:rPr>
          <w:rFonts w:asciiTheme="minorHAnsi" w:hAnsiTheme="minorHAnsi" w:cstheme="minorHAnsi"/>
          <w:i/>
          <w:sz w:val="20"/>
        </w:rPr>
        <w:t>Australian Government Guide to Regulatory Impact Analysis</w:t>
      </w:r>
      <w:r w:rsidR="00892579" w:rsidRPr="003E4580">
        <w:rPr>
          <w:rFonts w:asciiTheme="minorHAnsi" w:hAnsiTheme="minorHAnsi" w:cstheme="minorHAnsi"/>
          <w:i/>
          <w:sz w:val="20"/>
        </w:rPr>
        <w:t>. Second Edition</w:t>
      </w:r>
      <w:r w:rsidR="00892579" w:rsidRPr="003E4580">
        <w:rPr>
          <w:rFonts w:asciiTheme="minorHAnsi" w:hAnsiTheme="minorHAnsi" w:cstheme="minorHAnsi"/>
          <w:sz w:val="20"/>
        </w:rPr>
        <w:t>. Department of the Prime Minister and Cabinet, Australian Government.</w:t>
      </w:r>
    </w:p>
    <w:p w14:paraId="368F50A9" w14:textId="68F2B4BA" w:rsidR="0050105C"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DITCRD (</w:t>
      </w:r>
      <w:r w:rsidR="0050105C" w:rsidRPr="003E4580">
        <w:rPr>
          <w:rFonts w:asciiTheme="minorHAnsi" w:hAnsiTheme="minorHAnsi" w:cstheme="minorHAnsi"/>
          <w:sz w:val="20"/>
        </w:rPr>
        <w:t xml:space="preserve">Department of Infrastructure, Transport, Cities and Regional Development) (2019). </w:t>
      </w:r>
      <w:r w:rsidR="0050105C" w:rsidRPr="003E4580">
        <w:rPr>
          <w:rFonts w:asciiTheme="minorHAnsi" w:hAnsiTheme="minorHAnsi" w:cstheme="minorHAnsi"/>
          <w:i/>
          <w:sz w:val="20"/>
        </w:rPr>
        <w:t>Regulation Impact Statement Reducing Heavy Vehicle Rear Impact Crashes: Autonomous Emergency Braking</w:t>
      </w:r>
      <w:r w:rsidR="00F145FC" w:rsidRPr="003E4580">
        <w:rPr>
          <w:rFonts w:asciiTheme="minorHAnsi" w:hAnsiTheme="minorHAnsi" w:cstheme="minorHAnsi"/>
          <w:sz w:val="20"/>
        </w:rPr>
        <w:t>.</w:t>
      </w:r>
      <w:r w:rsidR="0050105C" w:rsidRPr="003E4580">
        <w:rPr>
          <w:rFonts w:asciiTheme="minorHAnsi" w:hAnsiTheme="minorHAnsi" w:cstheme="minorHAnsi"/>
          <w:sz w:val="20"/>
        </w:rPr>
        <w:t xml:space="preserve"> August 2019</w:t>
      </w:r>
      <w:r w:rsidR="00F145FC" w:rsidRPr="003E4580">
        <w:rPr>
          <w:rFonts w:asciiTheme="minorHAnsi" w:hAnsiTheme="minorHAnsi" w:cstheme="minorHAnsi"/>
          <w:sz w:val="20"/>
        </w:rPr>
        <w:t>.</w:t>
      </w:r>
      <w:r w:rsidR="0050105C" w:rsidRPr="003E4580">
        <w:rPr>
          <w:rFonts w:asciiTheme="minorHAnsi" w:hAnsiTheme="minorHAnsi" w:cstheme="minorHAnsi"/>
          <w:sz w:val="20"/>
        </w:rPr>
        <w:t xml:space="preserve"> </w:t>
      </w:r>
      <w:r w:rsidR="00F145FC" w:rsidRPr="003E4580">
        <w:rPr>
          <w:rFonts w:asciiTheme="minorHAnsi" w:hAnsiTheme="minorHAnsi" w:cstheme="minorHAnsi"/>
          <w:sz w:val="20"/>
        </w:rPr>
        <w:t>Department of Infrastructure, Transport, Cities and Regional Development</w:t>
      </w:r>
      <w:r w:rsidR="0050105C" w:rsidRPr="003E4580">
        <w:rPr>
          <w:rFonts w:asciiTheme="minorHAnsi" w:hAnsiTheme="minorHAnsi" w:cstheme="minorHAnsi"/>
          <w:sz w:val="20"/>
        </w:rPr>
        <w:t xml:space="preserve">, </w:t>
      </w:r>
      <w:r w:rsidR="00F145FC" w:rsidRPr="003E4580">
        <w:rPr>
          <w:rFonts w:asciiTheme="minorHAnsi" w:hAnsiTheme="minorHAnsi" w:cstheme="minorHAnsi"/>
          <w:sz w:val="20"/>
        </w:rPr>
        <w:t>Australian Government</w:t>
      </w:r>
      <w:r w:rsidR="0050105C" w:rsidRPr="003E4580">
        <w:rPr>
          <w:rFonts w:asciiTheme="minorHAnsi" w:hAnsiTheme="minorHAnsi" w:cstheme="minorHAnsi"/>
          <w:sz w:val="20"/>
        </w:rPr>
        <w:t>.</w:t>
      </w:r>
    </w:p>
    <w:p w14:paraId="4707F7A0" w14:textId="46B0F5E6" w:rsidR="00430D9F"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DITRDC (</w:t>
      </w:r>
      <w:r w:rsidR="00430D9F" w:rsidRPr="003E4580">
        <w:rPr>
          <w:rFonts w:asciiTheme="minorHAnsi" w:hAnsiTheme="minorHAnsi" w:cstheme="minorHAnsi"/>
          <w:sz w:val="20"/>
        </w:rPr>
        <w:t>Department of Infrastructure, Transport, Regional Devel</w:t>
      </w:r>
      <w:r w:rsidRPr="003E4580">
        <w:rPr>
          <w:rFonts w:asciiTheme="minorHAnsi" w:hAnsiTheme="minorHAnsi" w:cstheme="minorHAnsi"/>
          <w:sz w:val="20"/>
        </w:rPr>
        <w:t>opment and Communications</w:t>
      </w:r>
      <w:r w:rsidR="00430D9F" w:rsidRPr="003E4580">
        <w:rPr>
          <w:rFonts w:asciiTheme="minorHAnsi" w:hAnsiTheme="minorHAnsi" w:cstheme="minorHAnsi"/>
          <w:sz w:val="20"/>
        </w:rPr>
        <w:t xml:space="preserve">), (2021). </w:t>
      </w:r>
      <w:r w:rsidR="00430D9F" w:rsidRPr="003E4580">
        <w:rPr>
          <w:rFonts w:asciiTheme="minorHAnsi" w:hAnsiTheme="minorHAnsi" w:cstheme="minorHAnsi"/>
          <w:i/>
          <w:sz w:val="20"/>
        </w:rPr>
        <w:t xml:space="preserve">Discussion Paper: Safer Freight Vehicles. </w:t>
      </w:r>
      <w:r w:rsidR="00430D9F" w:rsidRPr="003E4580">
        <w:rPr>
          <w:rFonts w:asciiTheme="minorHAnsi" w:hAnsiTheme="minorHAnsi" w:cstheme="minorHAnsi"/>
          <w:sz w:val="20"/>
        </w:rPr>
        <w:t>April 2021. Canberra, ACT 2601, Australia.</w:t>
      </w:r>
    </w:p>
    <w:p w14:paraId="77C82E62" w14:textId="7357A73B" w:rsidR="008B23CA" w:rsidRPr="003E4580" w:rsidRDefault="006A24C4"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DSG (</w:t>
      </w:r>
      <w:r w:rsidR="00430D9F" w:rsidRPr="003E4580">
        <w:rPr>
          <w:rFonts w:asciiTheme="minorHAnsi" w:hAnsiTheme="minorHAnsi" w:cstheme="minorHAnsi"/>
          <w:sz w:val="20"/>
        </w:rPr>
        <w:t>Department of State Growth</w:t>
      </w:r>
      <w:r w:rsidRPr="003E4580">
        <w:rPr>
          <w:rFonts w:asciiTheme="minorHAnsi" w:hAnsiTheme="minorHAnsi" w:cstheme="minorHAnsi"/>
          <w:sz w:val="20"/>
        </w:rPr>
        <w:t>)</w:t>
      </w:r>
      <w:r w:rsidR="00430D9F" w:rsidRPr="003E4580">
        <w:rPr>
          <w:rFonts w:asciiTheme="minorHAnsi" w:hAnsiTheme="minorHAnsi" w:cstheme="minorHAnsi"/>
          <w:sz w:val="20"/>
        </w:rPr>
        <w:t xml:space="preserve"> (2016). </w:t>
      </w:r>
      <w:r w:rsidR="00430D9F" w:rsidRPr="003E4580">
        <w:rPr>
          <w:rFonts w:asciiTheme="minorHAnsi" w:hAnsiTheme="minorHAnsi" w:cstheme="minorHAnsi"/>
          <w:i/>
          <w:sz w:val="20"/>
        </w:rPr>
        <w:t>Towards Zero – Tasmanian Road Safety Strategy 2017-2026.</w:t>
      </w:r>
      <w:r w:rsidR="007B6EB1" w:rsidRPr="003E4580">
        <w:rPr>
          <w:rFonts w:asciiTheme="minorHAnsi" w:hAnsiTheme="minorHAnsi" w:cstheme="minorHAnsi"/>
          <w:sz w:val="20"/>
        </w:rPr>
        <w:t xml:space="preserve"> </w:t>
      </w:r>
      <w:r w:rsidRPr="003E4580">
        <w:rPr>
          <w:rFonts w:asciiTheme="minorHAnsi" w:hAnsiTheme="minorHAnsi" w:cstheme="minorHAnsi"/>
          <w:sz w:val="20"/>
        </w:rPr>
        <w:t>DSG</w:t>
      </w:r>
      <w:r w:rsidR="00CF0D88" w:rsidRPr="003E4580">
        <w:rPr>
          <w:rFonts w:asciiTheme="minorHAnsi" w:hAnsiTheme="minorHAnsi" w:cstheme="minorHAnsi"/>
          <w:sz w:val="20"/>
        </w:rPr>
        <w:t xml:space="preserve">, </w:t>
      </w:r>
      <w:r w:rsidR="007B6EB1" w:rsidRPr="003E4580">
        <w:rPr>
          <w:rFonts w:asciiTheme="minorHAnsi" w:hAnsiTheme="minorHAnsi" w:cstheme="minorHAnsi"/>
          <w:sz w:val="20"/>
        </w:rPr>
        <w:t>State of Tasmania</w:t>
      </w:r>
      <w:r w:rsidR="00CF0D88" w:rsidRPr="003E4580">
        <w:rPr>
          <w:rFonts w:asciiTheme="minorHAnsi" w:hAnsiTheme="minorHAnsi" w:cstheme="minorHAnsi"/>
          <w:sz w:val="20"/>
        </w:rPr>
        <w:t>.</w:t>
      </w:r>
    </w:p>
    <w:p w14:paraId="6099CC4B" w14:textId="4F96E740" w:rsidR="006A24C4" w:rsidRPr="003E4580" w:rsidRDefault="007A4371" w:rsidP="00DF50AE">
      <w:pPr>
        <w:ind w:left="360"/>
        <w:rPr>
          <w:rFonts w:cstheme="minorHAnsi"/>
          <w:highlight w:val="yellow"/>
        </w:rPr>
      </w:pPr>
      <w:r w:rsidRPr="003E4580">
        <w:rPr>
          <w:rFonts w:cstheme="minorHAnsi"/>
        </w:rPr>
        <w:t xml:space="preserve">MUARC (Monash University Accident Research Centre) </w:t>
      </w:r>
      <w:r w:rsidR="00AF43B1" w:rsidRPr="003E4580">
        <w:rPr>
          <w:rFonts w:cstheme="minorHAnsi"/>
        </w:rPr>
        <w:t>(2015</w:t>
      </w:r>
      <w:r w:rsidR="00AF43B1" w:rsidRPr="003E4580">
        <w:rPr>
          <w:rFonts w:cstheme="minorHAnsi"/>
          <w:i/>
        </w:rPr>
        <w:t>). Contribution-of-vehicle-safety-improvement-to-road-trauma-trends</w:t>
      </w:r>
      <w:r w:rsidR="00AF43B1" w:rsidRPr="003E4580">
        <w:rPr>
          <w:rFonts w:cstheme="minorHAnsi"/>
        </w:rPr>
        <w:t>. Accessed October 2021 - https://www.monash.edu/__data/assets/pdf_file/0019/1045216/Contribution-of-vehicle-safety-improvement-to-road-trauma-trends.pdf</w:t>
      </w:r>
    </w:p>
    <w:p w14:paraId="2F275533" w14:textId="723B09BF" w:rsidR="00430D9F" w:rsidRPr="003E4580" w:rsidRDefault="00583199" w:rsidP="00DF50AE">
      <w:pPr>
        <w:ind w:left="360"/>
        <w:rPr>
          <w:rFonts w:cstheme="minorHAnsi"/>
        </w:rPr>
      </w:pPr>
      <w:r w:rsidRPr="003E4580">
        <w:rPr>
          <w:rFonts w:eastAsia="Calibri" w:cstheme="minorHAnsi"/>
          <w:color w:val="auto"/>
        </w:rPr>
        <w:t>MUARC (</w:t>
      </w:r>
      <w:r w:rsidR="00430D9F" w:rsidRPr="003E4580">
        <w:rPr>
          <w:rFonts w:eastAsia="Calibri" w:cstheme="minorHAnsi"/>
          <w:color w:val="auto"/>
        </w:rPr>
        <w:t>Monash University</w:t>
      </w:r>
      <w:r w:rsidRPr="003E4580">
        <w:rPr>
          <w:rFonts w:eastAsia="Calibri" w:cstheme="minorHAnsi"/>
          <w:color w:val="auto"/>
        </w:rPr>
        <w:t xml:space="preserve"> Accident Research Centre</w:t>
      </w:r>
      <w:r w:rsidR="001458E9" w:rsidRPr="003E4580">
        <w:rPr>
          <w:rFonts w:eastAsia="Calibri" w:cstheme="minorHAnsi"/>
          <w:color w:val="auto"/>
        </w:rPr>
        <w:t>)</w:t>
      </w:r>
      <w:r w:rsidR="00430D9F" w:rsidRPr="003E4580">
        <w:rPr>
          <w:rFonts w:eastAsia="Calibri" w:cstheme="minorHAnsi"/>
          <w:color w:val="auto"/>
        </w:rPr>
        <w:t xml:space="preserve"> (2004). </w:t>
      </w:r>
      <w:r w:rsidR="00430D9F" w:rsidRPr="003E4580">
        <w:rPr>
          <w:rFonts w:eastAsia="Calibri" w:cstheme="minorHAnsi"/>
          <w:i/>
          <w:color w:val="auto"/>
        </w:rPr>
        <w:t>Intelligent Vehicle Safety research at the Monash University Accident Research Centre.</w:t>
      </w:r>
      <w:r w:rsidR="00430D9F" w:rsidRPr="003E4580">
        <w:rPr>
          <w:rFonts w:eastAsia="Calibri" w:cstheme="minorHAnsi"/>
          <w:color w:val="auto"/>
        </w:rPr>
        <w:t xml:space="preserve"> </w:t>
      </w:r>
      <w:r w:rsidR="00352C22" w:rsidRPr="003E4580">
        <w:rPr>
          <w:rFonts w:eastAsia="Calibri" w:cstheme="minorHAnsi"/>
          <w:color w:val="auto"/>
        </w:rPr>
        <w:t xml:space="preserve">[paper presentation]. </w:t>
      </w:r>
      <w:r w:rsidR="00430D9F" w:rsidRPr="003E4580">
        <w:rPr>
          <w:rFonts w:eastAsia="Calibri" w:cstheme="minorHAnsi"/>
          <w:color w:val="auto"/>
        </w:rPr>
        <w:t xml:space="preserve">27th Australasian Transport Research Forum, Adelaide, 29 September – 1 October 2004. </w:t>
      </w:r>
      <w:r w:rsidR="00352C22" w:rsidRPr="003E4580">
        <w:rPr>
          <w:rFonts w:eastAsia="Calibri" w:cstheme="minorHAnsi"/>
          <w:color w:val="auto"/>
        </w:rPr>
        <w:t>Accessed May 2021 -</w:t>
      </w:r>
      <w:r w:rsidR="00430D9F" w:rsidRPr="003E4580">
        <w:rPr>
          <w:rFonts w:eastAsia="Calibri" w:cstheme="minorHAnsi"/>
          <w:color w:val="auto"/>
        </w:rPr>
        <w:t xml:space="preserve"> </w:t>
      </w:r>
      <w:r w:rsidR="002647CB" w:rsidRPr="003E4580">
        <w:rPr>
          <w:rFonts w:eastAsia="Calibri" w:cstheme="minorHAnsi"/>
          <w:color w:val="auto"/>
        </w:rPr>
        <w:t>https://www.australasiantransportresearchforum.org.au/sites/default/files/2004_Regan_Young_Triggs_Horberry_Mitsopoulos_Johnston.pdf</w:t>
      </w:r>
    </w:p>
    <w:p w14:paraId="70367947" w14:textId="2BB62696" w:rsidR="009D5774" w:rsidRPr="003E4580" w:rsidRDefault="009D5774" w:rsidP="00DF50AE">
      <w:pPr>
        <w:pStyle w:val="references"/>
        <w:ind w:left="360" w:firstLine="0"/>
        <w:rPr>
          <w:rFonts w:asciiTheme="minorHAnsi" w:hAnsiTheme="minorHAnsi" w:cstheme="minorHAnsi"/>
          <w:kern w:val="12"/>
          <w:sz w:val="20"/>
          <w:szCs w:val="20"/>
        </w:rPr>
      </w:pPr>
      <w:r w:rsidRPr="003E4580">
        <w:rPr>
          <w:rFonts w:asciiTheme="minorHAnsi" w:hAnsiTheme="minorHAnsi" w:cstheme="minorHAnsi"/>
          <w:sz w:val="20"/>
        </w:rPr>
        <w:t>MUARC (Monash University Accident Research Centre) (2014).</w:t>
      </w:r>
      <w:r w:rsidRPr="003E4580">
        <w:rPr>
          <w:rFonts w:ascii="TimesNewRoman" w:eastAsia="Times New Roman" w:hAnsi="TimesNewRoman" w:cs="TimesNewRoman"/>
          <w:color w:val="000000"/>
          <w:szCs w:val="24"/>
        </w:rPr>
        <w:t xml:space="preserve"> </w:t>
      </w:r>
      <w:r w:rsidRPr="003E4580">
        <w:rPr>
          <w:rFonts w:asciiTheme="minorHAnsi" w:hAnsiTheme="minorHAnsi" w:cstheme="minorHAnsi"/>
          <w:i/>
          <w:kern w:val="12"/>
          <w:sz w:val="20"/>
          <w:szCs w:val="20"/>
        </w:rPr>
        <w:t>Potential Safety Benefits of Emerging Crash Avoidance Technologies in Australasian Heavy Vehicles</w:t>
      </w:r>
      <w:r w:rsidRPr="003E4580">
        <w:rPr>
          <w:rFonts w:ascii="TimesNewRoman" w:eastAsia="Times New Roman" w:hAnsi="TimesNewRoman" w:cs="TimesNewRoman"/>
          <w:i/>
          <w:color w:val="000000"/>
          <w:szCs w:val="24"/>
        </w:rPr>
        <w:t xml:space="preserve">. </w:t>
      </w:r>
      <w:r w:rsidRPr="003E4580">
        <w:rPr>
          <w:rFonts w:asciiTheme="minorHAnsi" w:hAnsiTheme="minorHAnsi" w:cstheme="minorHAnsi"/>
          <w:kern w:val="12"/>
          <w:sz w:val="20"/>
          <w:szCs w:val="20"/>
        </w:rPr>
        <w:t>Monash University Accident Research Centre. Retrieved February 2020 - https://www.monash.edu/__data/assets/pdf_file/0003/216489/Potential-Safety-Benefits-of-Emerging-Crash-Avoidance-Technologies-in-Australasian-Heavy-Vehicles.pdf</w:t>
      </w:r>
    </w:p>
    <w:p w14:paraId="3D3924C5" w14:textId="329912D0" w:rsidR="00DF50AE" w:rsidRPr="003E4580" w:rsidRDefault="00F145FC" w:rsidP="00DF50AE">
      <w:pPr>
        <w:pStyle w:val="references"/>
        <w:ind w:left="360" w:firstLine="0"/>
        <w:rPr>
          <w:rFonts w:cstheme="minorHAnsi"/>
        </w:rPr>
      </w:pPr>
      <w:r w:rsidRPr="003E4580">
        <w:rPr>
          <w:rFonts w:asciiTheme="minorHAnsi" w:hAnsiTheme="minorHAnsi" w:cstheme="minorHAnsi"/>
          <w:sz w:val="20"/>
        </w:rPr>
        <w:t>MUARC (Monash University Accident Research Centre), (20</w:t>
      </w:r>
      <w:r w:rsidR="002648F6" w:rsidRPr="003E4580">
        <w:rPr>
          <w:rFonts w:asciiTheme="minorHAnsi" w:hAnsiTheme="minorHAnsi" w:cstheme="minorHAnsi"/>
          <w:sz w:val="20"/>
        </w:rPr>
        <w:t>20</w:t>
      </w:r>
      <w:r w:rsidRPr="003E4580">
        <w:rPr>
          <w:rFonts w:asciiTheme="minorHAnsi" w:hAnsiTheme="minorHAnsi" w:cstheme="minorHAnsi"/>
          <w:sz w:val="20"/>
        </w:rPr>
        <w:t>)</w:t>
      </w:r>
      <w:r w:rsidR="002648F6" w:rsidRPr="003E4580">
        <w:rPr>
          <w:rFonts w:asciiTheme="minorHAnsi" w:hAnsiTheme="minorHAnsi" w:cstheme="minorHAnsi"/>
          <w:sz w:val="20"/>
        </w:rPr>
        <w:t xml:space="preserve">. </w:t>
      </w:r>
      <w:r w:rsidR="002648F6" w:rsidRPr="003E4580">
        <w:rPr>
          <w:rFonts w:asciiTheme="minorHAnsi" w:hAnsiTheme="minorHAnsi" w:cstheme="minorHAnsi"/>
          <w:i/>
          <w:sz w:val="20"/>
        </w:rPr>
        <w:t>The Potential Benefits of Autonomous Emergency Braking Systems in Australia</w:t>
      </w:r>
      <w:r w:rsidR="002648F6" w:rsidRPr="003E4580">
        <w:rPr>
          <w:rFonts w:asciiTheme="minorHAnsi" w:hAnsiTheme="minorHAnsi" w:cstheme="minorHAnsi"/>
          <w:sz w:val="20"/>
        </w:rPr>
        <w:t xml:space="preserve">. Retrieved February 2020 </w:t>
      </w:r>
      <w:r w:rsidR="00DF50AE" w:rsidRPr="003E4580">
        <w:rPr>
          <w:rFonts w:cstheme="minorHAnsi"/>
        </w:rPr>
        <w:t xml:space="preserve">- </w:t>
      </w:r>
      <w:r w:rsidR="00DF50AE" w:rsidRPr="003E4580">
        <w:rPr>
          <w:rFonts w:asciiTheme="minorHAnsi" w:hAnsiTheme="minorHAnsi" w:cstheme="minorHAnsi"/>
          <w:kern w:val="12"/>
          <w:sz w:val="20"/>
          <w:szCs w:val="20"/>
        </w:rPr>
        <w:t>https://www.monash.edu/__data/assets/pdf_file/0003/2093511/The-Potential-Benefits-of-Autonomous-Emergency-Braking-Systems-in-Australia-Report-339.pdf.</w:t>
      </w:r>
      <w:r w:rsidR="00DF50AE" w:rsidRPr="003E4580">
        <w:rPr>
          <w:rFonts w:cstheme="minorHAnsi"/>
        </w:rPr>
        <w:t xml:space="preserve"> </w:t>
      </w:r>
    </w:p>
    <w:p w14:paraId="02327F2A" w14:textId="408EB16B" w:rsidR="00582E2B" w:rsidRPr="003E4580" w:rsidRDefault="000B3CD7"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Meuleners, Lynn</w:t>
      </w:r>
      <w:r w:rsidR="002553A0" w:rsidRPr="003E4580">
        <w:rPr>
          <w:rFonts w:asciiTheme="minorHAnsi" w:hAnsiTheme="minorHAnsi" w:cstheme="minorHAnsi"/>
          <w:sz w:val="20"/>
        </w:rPr>
        <w:t xml:space="preserve">., Fraser, Michelle L., Govorko, Matthew H. &amp; Stevenson, Mark R. (2015). </w:t>
      </w:r>
      <w:r w:rsidR="00582E2B" w:rsidRPr="003E4580">
        <w:rPr>
          <w:rFonts w:asciiTheme="minorHAnsi" w:hAnsiTheme="minorHAnsi" w:cstheme="minorHAnsi"/>
          <w:sz w:val="20"/>
        </w:rPr>
        <w:t>‘</w:t>
      </w:r>
      <w:r w:rsidRPr="003E4580">
        <w:rPr>
          <w:rFonts w:asciiTheme="minorHAnsi" w:hAnsiTheme="minorHAnsi" w:cstheme="minorHAnsi"/>
          <w:i/>
          <w:sz w:val="20"/>
        </w:rPr>
        <w:t>Obstructive sleep apnea, health-related factors, and long distance heavy vehicle crashes in Western Australia: a case control study</w:t>
      </w:r>
      <w:r w:rsidRPr="003E4580">
        <w:rPr>
          <w:rFonts w:asciiTheme="minorHAnsi" w:hAnsiTheme="minorHAnsi" w:cstheme="minorHAnsi"/>
          <w:sz w:val="20"/>
        </w:rPr>
        <w:t>.</w:t>
      </w:r>
      <w:r w:rsidR="00582E2B" w:rsidRPr="003E4580">
        <w:rPr>
          <w:rFonts w:asciiTheme="minorHAnsi" w:hAnsiTheme="minorHAnsi" w:cstheme="minorHAnsi"/>
          <w:sz w:val="20"/>
        </w:rPr>
        <w:t>’</w:t>
      </w:r>
      <w:r w:rsidRPr="003E4580">
        <w:rPr>
          <w:rFonts w:asciiTheme="minorHAnsi" w:hAnsiTheme="minorHAnsi" w:cstheme="minorHAnsi"/>
          <w:sz w:val="20"/>
        </w:rPr>
        <w:t xml:space="preserve"> Journal of </w:t>
      </w:r>
      <w:r w:rsidR="00582E2B" w:rsidRPr="003E4580">
        <w:rPr>
          <w:rFonts w:asciiTheme="minorHAnsi" w:hAnsiTheme="minorHAnsi" w:cstheme="minorHAnsi"/>
          <w:sz w:val="20"/>
        </w:rPr>
        <w:t>C</w:t>
      </w:r>
      <w:r w:rsidRPr="003E4580">
        <w:rPr>
          <w:rFonts w:asciiTheme="minorHAnsi" w:hAnsiTheme="minorHAnsi" w:cstheme="minorHAnsi"/>
          <w:sz w:val="20"/>
        </w:rPr>
        <w:t xml:space="preserve">linical </w:t>
      </w:r>
      <w:r w:rsidR="00582E2B" w:rsidRPr="003E4580">
        <w:rPr>
          <w:rFonts w:asciiTheme="minorHAnsi" w:hAnsiTheme="minorHAnsi" w:cstheme="minorHAnsi"/>
          <w:sz w:val="20"/>
        </w:rPr>
        <w:t>S</w:t>
      </w:r>
      <w:r w:rsidRPr="003E4580">
        <w:rPr>
          <w:rFonts w:asciiTheme="minorHAnsi" w:hAnsiTheme="minorHAnsi" w:cstheme="minorHAnsi"/>
          <w:sz w:val="20"/>
        </w:rPr>
        <w:t xml:space="preserve">leep </w:t>
      </w:r>
      <w:r w:rsidR="00582E2B" w:rsidRPr="003E4580">
        <w:rPr>
          <w:rFonts w:asciiTheme="minorHAnsi" w:hAnsiTheme="minorHAnsi" w:cstheme="minorHAnsi"/>
          <w:sz w:val="20"/>
        </w:rPr>
        <w:t>M</w:t>
      </w:r>
      <w:r w:rsidRPr="003E4580">
        <w:rPr>
          <w:rFonts w:asciiTheme="minorHAnsi" w:hAnsiTheme="minorHAnsi" w:cstheme="minorHAnsi"/>
          <w:sz w:val="20"/>
        </w:rPr>
        <w:t>edicine</w:t>
      </w:r>
      <w:r w:rsidR="00582E2B" w:rsidRPr="003E4580">
        <w:rPr>
          <w:rFonts w:asciiTheme="minorHAnsi" w:hAnsiTheme="minorHAnsi" w:cstheme="minorHAnsi"/>
          <w:sz w:val="20"/>
        </w:rPr>
        <w:t xml:space="preserve">, 11(4): 413-418, </w:t>
      </w:r>
      <w:r w:rsidRPr="003E4580">
        <w:rPr>
          <w:rFonts w:asciiTheme="minorHAnsi" w:hAnsiTheme="minorHAnsi" w:cstheme="minorHAnsi"/>
          <w:sz w:val="20"/>
        </w:rPr>
        <w:t>doi:10.5664/jcsm.4594</w:t>
      </w:r>
    </w:p>
    <w:p w14:paraId="0B0A96CD" w14:textId="2D5C41B0" w:rsidR="00430D9F"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lastRenderedPageBreak/>
        <w:t>NHTSA (</w:t>
      </w:r>
      <w:r w:rsidR="00430D9F" w:rsidRPr="003E4580">
        <w:rPr>
          <w:rFonts w:asciiTheme="minorHAnsi" w:hAnsiTheme="minorHAnsi" w:cstheme="minorHAnsi"/>
          <w:sz w:val="20"/>
        </w:rPr>
        <w:t>National Highway Traffic Safety Administration</w:t>
      </w:r>
      <w:r w:rsidR="00604A5C" w:rsidRPr="003E4580">
        <w:rPr>
          <w:rFonts w:asciiTheme="minorHAnsi" w:hAnsiTheme="minorHAnsi" w:cstheme="minorHAnsi"/>
          <w:sz w:val="20"/>
        </w:rPr>
        <w:t>)</w:t>
      </w:r>
      <w:r w:rsidR="00430D9F" w:rsidRPr="003E4580">
        <w:rPr>
          <w:rFonts w:asciiTheme="minorHAnsi" w:hAnsiTheme="minorHAnsi" w:cstheme="minorHAnsi"/>
          <w:sz w:val="20"/>
        </w:rPr>
        <w:t xml:space="preserve"> (2014). </w:t>
      </w:r>
      <w:r w:rsidR="00430D9F" w:rsidRPr="003E4580">
        <w:rPr>
          <w:rFonts w:asciiTheme="minorHAnsi" w:hAnsiTheme="minorHAnsi" w:cstheme="minorHAnsi"/>
          <w:i/>
          <w:sz w:val="20"/>
        </w:rPr>
        <w:t>Heavy-Vehicle Lane Departure Warning Test Development</w:t>
      </w:r>
      <w:r w:rsidR="00430D9F" w:rsidRPr="003E4580">
        <w:rPr>
          <w:rFonts w:asciiTheme="minorHAnsi" w:hAnsiTheme="minorHAnsi" w:cstheme="minorHAnsi"/>
          <w:sz w:val="20"/>
        </w:rPr>
        <w:t xml:space="preserve">. Report No. DOT HS 812 078. </w:t>
      </w:r>
      <w:r w:rsidR="00352C22" w:rsidRPr="003E4580">
        <w:rPr>
          <w:rFonts w:asciiTheme="minorHAnsi" w:hAnsiTheme="minorHAnsi" w:cstheme="minorHAnsi"/>
          <w:sz w:val="20"/>
        </w:rPr>
        <w:t>NHTSA, accessed June 2021 -</w:t>
      </w:r>
      <w:r w:rsidR="00430D9F" w:rsidRPr="003E4580">
        <w:rPr>
          <w:rFonts w:asciiTheme="minorHAnsi" w:hAnsiTheme="minorHAnsi" w:cstheme="minorHAnsi"/>
          <w:sz w:val="20"/>
        </w:rPr>
        <w:t xml:space="preserve"> </w:t>
      </w:r>
      <w:r w:rsidR="002647CB" w:rsidRPr="003E4580">
        <w:rPr>
          <w:rFonts w:asciiTheme="minorHAnsi" w:hAnsiTheme="minorHAnsi" w:cstheme="minorHAnsi"/>
          <w:sz w:val="20"/>
        </w:rPr>
        <w:t>https://www.ntis.gov./</w:t>
      </w:r>
    </w:p>
    <w:p w14:paraId="3344436E" w14:textId="73C19388" w:rsidR="009D7B2F" w:rsidRPr="003E4580" w:rsidRDefault="009D7B2F" w:rsidP="00DF50AE">
      <w:pPr>
        <w:pStyle w:val="references"/>
        <w:ind w:left="360" w:firstLine="0"/>
        <w:rPr>
          <w:rFonts w:asciiTheme="minorHAnsi" w:hAnsiTheme="minorHAnsi" w:cstheme="minorHAnsi"/>
          <w:sz w:val="20"/>
          <w:highlight w:val="yellow"/>
        </w:rPr>
      </w:pPr>
      <w:r w:rsidRPr="003E4580">
        <w:rPr>
          <w:rFonts w:asciiTheme="minorHAnsi" w:hAnsiTheme="minorHAnsi" w:cstheme="minorHAnsi"/>
          <w:sz w:val="20"/>
        </w:rPr>
        <w:t>NHVR (National Heavy Vehicle Regulator) (2021).</w:t>
      </w:r>
      <w:r w:rsidR="000E42C6" w:rsidRPr="003E4580">
        <w:rPr>
          <w:rFonts w:asciiTheme="minorHAnsi" w:hAnsiTheme="minorHAnsi" w:cstheme="minorHAnsi"/>
          <w:sz w:val="20"/>
        </w:rPr>
        <w:t xml:space="preserve"> </w:t>
      </w:r>
      <w:r w:rsidR="000E42C6" w:rsidRPr="003E4580">
        <w:rPr>
          <w:rFonts w:asciiTheme="minorHAnsi" w:hAnsiTheme="minorHAnsi" w:cstheme="minorHAnsi"/>
          <w:i/>
          <w:sz w:val="20"/>
        </w:rPr>
        <w:t>Heavy Vehicle Safety Strategy 2021 – 2025</w:t>
      </w:r>
      <w:r w:rsidR="000E42C6" w:rsidRPr="003E4580">
        <w:rPr>
          <w:rFonts w:asciiTheme="minorHAnsi" w:hAnsiTheme="minorHAnsi" w:cstheme="minorHAnsi"/>
          <w:sz w:val="20"/>
        </w:rPr>
        <w:t>. https://www.nhvr.gov.au/files/202111-1275-hv-safety-strategy-2021-25.pdf</w:t>
      </w:r>
    </w:p>
    <w:p w14:paraId="75A1452C" w14:textId="6D77D167" w:rsidR="00BD6E54" w:rsidRPr="003E4580" w:rsidRDefault="00BD6E54"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 xml:space="preserve">NRSS - Department of Infrastructure, Transport, Regional Development and Communications (DITRDC) (2021). </w:t>
      </w:r>
      <w:r w:rsidRPr="003E4580">
        <w:rPr>
          <w:rFonts w:asciiTheme="minorHAnsi" w:hAnsiTheme="minorHAnsi" w:cstheme="minorHAnsi"/>
          <w:i/>
          <w:sz w:val="20"/>
        </w:rPr>
        <w:t>National Road Safety Strategy 2021-2030.</w:t>
      </w:r>
      <w:r w:rsidRPr="003E4580">
        <w:rPr>
          <w:rFonts w:asciiTheme="minorHAnsi" w:hAnsiTheme="minorHAnsi" w:cstheme="minorHAnsi"/>
          <w:sz w:val="20"/>
        </w:rPr>
        <w:t xml:space="preserve"> (NRSS). D</w:t>
      </w:r>
      <w:r w:rsidR="009D7B2F" w:rsidRPr="003E4580">
        <w:rPr>
          <w:rFonts w:asciiTheme="minorHAnsi" w:hAnsiTheme="minorHAnsi" w:cstheme="minorHAnsi"/>
          <w:sz w:val="20"/>
        </w:rPr>
        <w:t>ITRDC, Australian Government, a</w:t>
      </w:r>
      <w:r w:rsidRPr="003E4580">
        <w:rPr>
          <w:rFonts w:asciiTheme="minorHAnsi" w:hAnsiTheme="minorHAnsi" w:cstheme="minorHAnsi"/>
          <w:sz w:val="20"/>
        </w:rPr>
        <w:t xml:space="preserve">ccessed May 2021 - </w:t>
      </w:r>
      <w:r w:rsidR="00D07E4E" w:rsidRPr="003E4580">
        <w:t>https://www.officeofroadsafety.gov.au/</w:t>
      </w:r>
    </w:p>
    <w:p w14:paraId="75A7E71D" w14:textId="458F17EB" w:rsidR="00D07E4E" w:rsidRPr="003E4580" w:rsidRDefault="00D07E4E"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 xml:space="preserve">NSW Government (2021). </w:t>
      </w:r>
      <w:r w:rsidRPr="003E4580">
        <w:rPr>
          <w:rFonts w:asciiTheme="minorHAnsi" w:hAnsiTheme="minorHAnsi" w:cstheme="minorHAnsi"/>
          <w:i/>
          <w:sz w:val="20"/>
        </w:rPr>
        <w:t>Motor Vehicle Operational Guidelines</w:t>
      </w:r>
      <w:r w:rsidRPr="003E4580">
        <w:rPr>
          <w:rFonts w:asciiTheme="minorHAnsi" w:hAnsiTheme="minorHAnsi" w:cstheme="minorHAnsi"/>
          <w:sz w:val="20"/>
        </w:rPr>
        <w:t>. NSW Government, accessed - https://buy.nsw.gov.au/resources/motor-vehicle-operational-guidelines</w:t>
      </w:r>
    </w:p>
    <w:p w14:paraId="7E6AE01D" w14:textId="2964FC32" w:rsidR="00604A5C" w:rsidRPr="003E4580" w:rsidRDefault="00604A5C"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NTARC (National Truck Accident Research Centre) (2019)</w:t>
      </w:r>
      <w:r w:rsidR="00B76846" w:rsidRPr="003E4580">
        <w:rPr>
          <w:rFonts w:asciiTheme="minorHAnsi" w:hAnsiTheme="minorHAnsi" w:cstheme="minorHAnsi"/>
          <w:sz w:val="20"/>
        </w:rPr>
        <w:t xml:space="preserve">. </w:t>
      </w:r>
      <w:r w:rsidR="00B76846" w:rsidRPr="003E4580">
        <w:rPr>
          <w:rFonts w:asciiTheme="minorHAnsi" w:hAnsiTheme="minorHAnsi" w:cstheme="minorHAnsi"/>
          <w:i/>
          <w:sz w:val="20"/>
        </w:rPr>
        <w:t>Major Accident Investigation Report: Covering major accidents in 2017</w:t>
      </w:r>
      <w:r w:rsidR="00B76846" w:rsidRPr="003E4580">
        <w:rPr>
          <w:rFonts w:asciiTheme="minorHAnsi" w:hAnsiTheme="minorHAnsi" w:cstheme="minorHAnsi"/>
          <w:sz w:val="20"/>
        </w:rPr>
        <w:t>. Retrieved April 2019 from https://www.nti.com.au/news-resources/research/latest-report</w:t>
      </w:r>
      <w:r w:rsidRPr="003E4580">
        <w:rPr>
          <w:rFonts w:asciiTheme="minorHAnsi" w:hAnsiTheme="minorHAnsi" w:cstheme="minorHAnsi"/>
          <w:sz w:val="20"/>
        </w:rPr>
        <w:t>.</w:t>
      </w:r>
    </w:p>
    <w:p w14:paraId="3BE4F983" w14:textId="4F294C8F" w:rsidR="00BD6E54" w:rsidRPr="003E4580" w:rsidRDefault="00604A5C"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 xml:space="preserve">NTARC (National Truck Accident Research Centre) (2021). </w:t>
      </w:r>
      <w:r w:rsidRPr="003E4580">
        <w:rPr>
          <w:rFonts w:asciiTheme="minorHAnsi" w:hAnsiTheme="minorHAnsi" w:cstheme="minorHAnsi"/>
          <w:i/>
          <w:sz w:val="20"/>
        </w:rPr>
        <w:t>Major Accident Investigation 2021 Report</w:t>
      </w:r>
      <w:r w:rsidRPr="003E4580">
        <w:rPr>
          <w:rFonts w:asciiTheme="minorHAnsi" w:hAnsiTheme="minorHAnsi" w:cstheme="minorHAnsi"/>
          <w:sz w:val="20"/>
        </w:rPr>
        <w:t>. NTARC, accessed May 2021 - https://www.nti.com.au/better-business-hub/ntarc/ntarc-2021-report/</w:t>
      </w:r>
    </w:p>
    <w:p w14:paraId="33A6D06B" w14:textId="5A748E59" w:rsidR="001119D5"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NTC (</w:t>
      </w:r>
      <w:r w:rsidR="00430D9F" w:rsidRPr="003E4580">
        <w:rPr>
          <w:rFonts w:asciiTheme="minorHAnsi" w:hAnsiTheme="minorHAnsi" w:cstheme="minorHAnsi"/>
          <w:sz w:val="20"/>
        </w:rPr>
        <w:t>National Transport Commission</w:t>
      </w:r>
      <w:r w:rsidR="001119D5" w:rsidRPr="003E4580">
        <w:rPr>
          <w:rFonts w:asciiTheme="minorHAnsi" w:hAnsiTheme="minorHAnsi" w:cstheme="minorHAnsi"/>
          <w:sz w:val="20"/>
        </w:rPr>
        <w:t>)</w:t>
      </w:r>
      <w:r w:rsidR="00430D9F" w:rsidRPr="003E4580">
        <w:rPr>
          <w:rFonts w:asciiTheme="minorHAnsi" w:hAnsiTheme="minorHAnsi" w:cstheme="minorHAnsi"/>
          <w:sz w:val="20"/>
        </w:rPr>
        <w:t xml:space="preserve"> (2016). </w:t>
      </w:r>
      <w:r w:rsidR="001119D5" w:rsidRPr="003E4580">
        <w:rPr>
          <w:rFonts w:asciiTheme="minorHAnsi" w:hAnsiTheme="minorHAnsi" w:cstheme="minorHAnsi"/>
          <w:i/>
          <w:sz w:val="20"/>
        </w:rPr>
        <w:t xml:space="preserve">Who Moves What Where - </w:t>
      </w:r>
      <w:r w:rsidR="00430D9F" w:rsidRPr="003E4580">
        <w:rPr>
          <w:rFonts w:asciiTheme="minorHAnsi" w:hAnsiTheme="minorHAnsi" w:cstheme="minorHAnsi"/>
          <w:i/>
          <w:sz w:val="20"/>
        </w:rPr>
        <w:t>Freight and Passenger Transport in Australia</w:t>
      </w:r>
      <w:r w:rsidR="00430D9F" w:rsidRPr="003E4580">
        <w:rPr>
          <w:rFonts w:asciiTheme="minorHAnsi" w:hAnsiTheme="minorHAnsi" w:cstheme="minorHAnsi"/>
          <w:sz w:val="20"/>
        </w:rPr>
        <w:t xml:space="preserve">. </w:t>
      </w:r>
      <w:r w:rsidR="001119D5" w:rsidRPr="003E4580">
        <w:rPr>
          <w:rFonts w:asciiTheme="minorHAnsi" w:hAnsiTheme="minorHAnsi" w:cstheme="minorHAnsi"/>
          <w:sz w:val="20"/>
        </w:rPr>
        <w:t>NTC, accessed</w:t>
      </w:r>
      <w:r w:rsidR="00430D9F" w:rsidRPr="003E4580">
        <w:rPr>
          <w:rFonts w:asciiTheme="minorHAnsi" w:hAnsiTheme="minorHAnsi" w:cstheme="minorHAnsi"/>
          <w:sz w:val="20"/>
        </w:rPr>
        <w:t xml:space="preserve"> December 2021 </w:t>
      </w:r>
      <w:r w:rsidR="001119D5" w:rsidRPr="003E4580">
        <w:rPr>
          <w:rFonts w:asciiTheme="minorHAnsi" w:hAnsiTheme="minorHAnsi" w:cstheme="minorHAnsi"/>
          <w:sz w:val="20"/>
        </w:rPr>
        <w:t>- https://www.ntc.gov.au/sites/default/files/assets/files/Whomoveswhatwherereport.pdf</w:t>
      </w:r>
    </w:p>
    <w:p w14:paraId="581AD4A0" w14:textId="4CAF67A2" w:rsidR="00430D9F"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ORS (Office of Road Safety</w:t>
      </w:r>
      <w:r w:rsidR="005D1D0D" w:rsidRPr="003E4580">
        <w:rPr>
          <w:rFonts w:asciiTheme="minorHAnsi" w:hAnsiTheme="minorHAnsi" w:cstheme="minorHAnsi"/>
          <w:sz w:val="20"/>
        </w:rPr>
        <w:t>)</w:t>
      </w:r>
      <w:r w:rsidR="00430D9F" w:rsidRPr="003E4580">
        <w:rPr>
          <w:rFonts w:asciiTheme="minorHAnsi" w:hAnsiTheme="minorHAnsi" w:cstheme="minorHAnsi"/>
          <w:sz w:val="20"/>
        </w:rPr>
        <w:t xml:space="preserve"> (2021). </w:t>
      </w:r>
      <w:r w:rsidR="00430D9F" w:rsidRPr="003E4580">
        <w:rPr>
          <w:rFonts w:asciiTheme="minorHAnsi" w:hAnsiTheme="minorHAnsi" w:cstheme="minorHAnsi"/>
          <w:i/>
          <w:sz w:val="20"/>
        </w:rPr>
        <w:t>Fact sheet: Heavy vehicle safety</w:t>
      </w:r>
      <w:r w:rsidR="00430D9F" w:rsidRPr="003E4580">
        <w:rPr>
          <w:rFonts w:asciiTheme="minorHAnsi" w:hAnsiTheme="minorHAnsi" w:cstheme="minorHAnsi"/>
          <w:sz w:val="20"/>
        </w:rPr>
        <w:t xml:space="preserve">. </w:t>
      </w:r>
      <w:r w:rsidR="005D1D0D" w:rsidRPr="003E4580">
        <w:rPr>
          <w:rFonts w:asciiTheme="minorHAnsi" w:hAnsiTheme="minorHAnsi" w:cstheme="minorHAnsi"/>
          <w:sz w:val="20"/>
        </w:rPr>
        <w:t>ORS, accessed August 2021 -</w:t>
      </w:r>
      <w:r w:rsidR="00430D9F" w:rsidRPr="003E4580">
        <w:rPr>
          <w:rFonts w:asciiTheme="minorHAnsi" w:hAnsiTheme="minorHAnsi" w:cstheme="minorHAnsi"/>
          <w:sz w:val="20"/>
        </w:rPr>
        <w:t xml:space="preserve"> https://www.officeofroadsafety.gov.au/nrss/resources-fact-sheets/heavy-vehicle-safety#_ftn2</w:t>
      </w:r>
    </w:p>
    <w:p w14:paraId="2EF25C37" w14:textId="77777777" w:rsidR="008E226D" w:rsidRDefault="00583199" w:rsidP="00900B39">
      <w:pPr>
        <w:pStyle w:val="references"/>
        <w:ind w:left="360" w:firstLine="0"/>
        <w:rPr>
          <w:rFonts w:asciiTheme="minorHAnsi" w:hAnsiTheme="minorHAnsi" w:cstheme="minorHAnsi"/>
          <w:sz w:val="20"/>
        </w:rPr>
      </w:pPr>
      <w:r w:rsidRPr="003E4580">
        <w:rPr>
          <w:rFonts w:asciiTheme="minorHAnsi" w:hAnsiTheme="minorHAnsi" w:cstheme="minorHAnsi"/>
          <w:sz w:val="20"/>
        </w:rPr>
        <w:t>TfNSW (</w:t>
      </w:r>
      <w:r w:rsidR="00430D9F" w:rsidRPr="003E4580">
        <w:rPr>
          <w:rFonts w:asciiTheme="minorHAnsi" w:hAnsiTheme="minorHAnsi" w:cstheme="minorHAnsi"/>
          <w:sz w:val="20"/>
        </w:rPr>
        <w:t>Tran</w:t>
      </w:r>
      <w:r w:rsidRPr="003E4580">
        <w:rPr>
          <w:rFonts w:asciiTheme="minorHAnsi" w:hAnsiTheme="minorHAnsi" w:cstheme="minorHAnsi"/>
          <w:sz w:val="20"/>
        </w:rPr>
        <w:t>sport for New South Wales</w:t>
      </w:r>
      <w:r w:rsidR="00430D9F" w:rsidRPr="003E4580">
        <w:rPr>
          <w:rFonts w:asciiTheme="minorHAnsi" w:hAnsiTheme="minorHAnsi" w:cstheme="minorHAnsi"/>
          <w:sz w:val="20"/>
        </w:rPr>
        <w:t xml:space="preserve">) (2020). </w:t>
      </w:r>
      <w:r w:rsidR="00430D9F" w:rsidRPr="003E4580">
        <w:rPr>
          <w:rFonts w:asciiTheme="minorHAnsi" w:hAnsiTheme="minorHAnsi" w:cstheme="minorHAnsi"/>
          <w:i/>
          <w:sz w:val="20"/>
        </w:rPr>
        <w:t>Safety technology and features for heavy vehicles. May 2020</w:t>
      </w:r>
      <w:r w:rsidR="00D07E4E" w:rsidRPr="003E4580">
        <w:rPr>
          <w:rFonts w:asciiTheme="minorHAnsi" w:hAnsiTheme="minorHAnsi" w:cstheme="minorHAnsi"/>
          <w:i/>
          <w:sz w:val="20"/>
        </w:rPr>
        <w:t>.</w:t>
      </w:r>
      <w:r w:rsidR="00430D9F" w:rsidRPr="003E4580">
        <w:rPr>
          <w:rFonts w:asciiTheme="minorHAnsi" w:hAnsiTheme="minorHAnsi" w:cstheme="minorHAnsi"/>
          <w:sz w:val="20"/>
        </w:rPr>
        <w:t xml:space="preserve"> </w:t>
      </w:r>
      <w:r w:rsidR="00D07E4E" w:rsidRPr="003E4580">
        <w:rPr>
          <w:rFonts w:asciiTheme="minorHAnsi" w:hAnsiTheme="minorHAnsi" w:cstheme="minorHAnsi"/>
          <w:sz w:val="20"/>
        </w:rPr>
        <w:t>TfNSW, accessed March 2021 - https://roadsafety.transport.nsw.gov.au/downloads/heavy_vehicle_safety_dl1.html</w:t>
      </w:r>
    </w:p>
    <w:p w14:paraId="0DFC4D6B" w14:textId="70F2D56B" w:rsidR="00900B39" w:rsidRPr="003E4580" w:rsidRDefault="00900B39" w:rsidP="00900B39">
      <w:pPr>
        <w:pStyle w:val="references"/>
        <w:ind w:left="360" w:firstLine="0"/>
        <w:sectPr w:rsidR="00900B39" w:rsidRPr="003E4580" w:rsidSect="00D87AD8">
          <w:pgSz w:w="11906" w:h="16838" w:code="9"/>
          <w:pgMar w:top="1021" w:right="1021" w:bottom="1021" w:left="1021" w:header="510" w:footer="567" w:gutter="0"/>
          <w:cols w:space="708"/>
          <w:docGrid w:linePitch="360"/>
        </w:sectPr>
      </w:pPr>
    </w:p>
    <w:p w14:paraId="2332BC9E" w14:textId="77777777" w:rsidR="008A23AD" w:rsidRPr="003E4580" w:rsidRDefault="0086564C" w:rsidP="008A23AD">
      <w:pPr>
        <w:pStyle w:val="AppendixHeading1"/>
      </w:pPr>
      <w:bookmarkStart w:id="82" w:name="_Toc146894901"/>
      <w:r w:rsidRPr="003E4580">
        <w:lastRenderedPageBreak/>
        <w:t>Strategic Vehicle Safety and Environment Group</w:t>
      </w:r>
      <w:bookmarkEnd w:id="82"/>
    </w:p>
    <w:p w14:paraId="6C7ABC75" w14:textId="77777777" w:rsidR="00977CA5" w:rsidRPr="003E4580" w:rsidRDefault="00977CA5" w:rsidP="00977CA5">
      <w:r w:rsidRPr="003E4580">
        <w:t>The prime purpose of the Strategic Vehicle Safety and Environment Group (SVSEG) is to consider how governments, industry and road user organisations will ensure that vehicles sold in Australia are both safe and environmentally friendly.</w:t>
      </w:r>
      <w:r w:rsidR="000B61A1" w:rsidRPr="003E4580">
        <w:t xml:space="preserve"> </w:t>
      </w:r>
      <w:r w:rsidRPr="003E4580">
        <w:t>SVSEG is an advisory body of ITSOC, which is primarily responsible for advising the Council on road safety matters of national concern.  SVSEG will coordinate work on national vehicle issues on behalf of ITSOC and government representatives of SVSEG will serve as the Austroads Safety Task Force (ASTF) Safe Vehicles Theme Group (SVTG).</w:t>
      </w:r>
    </w:p>
    <w:p w14:paraId="3B9CC426" w14:textId="77777777" w:rsidR="0024270A" w:rsidRPr="003E4580" w:rsidRDefault="0024270A" w:rsidP="00977CA5">
      <w:pPr>
        <w:rPr>
          <w:i/>
        </w:rPr>
        <w:sectPr w:rsidR="0024270A" w:rsidRPr="003E4580" w:rsidSect="00D87AD8">
          <w:pgSz w:w="11906" w:h="16838" w:code="9"/>
          <w:pgMar w:top="1021" w:right="1021" w:bottom="1021" w:left="1021" w:header="510" w:footer="567" w:gutter="0"/>
          <w:cols w:space="708"/>
          <w:docGrid w:linePitch="360"/>
        </w:sectPr>
      </w:pPr>
    </w:p>
    <w:p w14:paraId="081DB229" w14:textId="77777777" w:rsidR="00977CA5" w:rsidRPr="003E4580" w:rsidRDefault="00977CA5" w:rsidP="00977CA5">
      <w:pPr>
        <w:rPr>
          <w:i/>
          <w:u w:val="single"/>
        </w:rPr>
      </w:pPr>
      <w:r w:rsidRPr="003E4580">
        <w:rPr>
          <w:i/>
          <w:u w:val="single"/>
        </w:rPr>
        <w:t>Manufacturer Representatives</w:t>
      </w:r>
    </w:p>
    <w:p w14:paraId="764885E4" w14:textId="77777777" w:rsidR="00977CA5" w:rsidRPr="003E4580" w:rsidRDefault="00171935" w:rsidP="00977CA5">
      <w:r w:rsidRPr="003E4580">
        <w:t>Australian Road Transport Suppliers Association (ARTSA)</w:t>
      </w:r>
    </w:p>
    <w:p w14:paraId="5745621B" w14:textId="77777777" w:rsidR="00171935" w:rsidRPr="003E4580" w:rsidRDefault="00171935" w:rsidP="00977CA5">
      <w:r w:rsidRPr="003E4580">
        <w:t>Bus Industry Confederation (BIC)</w:t>
      </w:r>
    </w:p>
    <w:p w14:paraId="1BD17D67" w14:textId="77777777" w:rsidR="006C5DB9" w:rsidRPr="003E4580" w:rsidRDefault="00171935" w:rsidP="00977CA5">
      <w:r w:rsidRPr="003E4580">
        <w:t>Commercial Vehicle Industry Association of Australia (CVIAA)</w:t>
      </w:r>
    </w:p>
    <w:p w14:paraId="4EC498DB" w14:textId="77777777" w:rsidR="006C5DB9" w:rsidRPr="003E4580" w:rsidRDefault="006C5DB9" w:rsidP="00977CA5">
      <w:r w:rsidRPr="003E4580">
        <w:t xml:space="preserve">Caravan Industry </w:t>
      </w:r>
      <w:r w:rsidR="00FB3F0E" w:rsidRPr="003E4580">
        <w:t>Association of Australia Ltd</w:t>
      </w:r>
      <w:r w:rsidR="004E1E4C" w:rsidRPr="003E4580">
        <w:t xml:space="preserve"> (CIAA)</w:t>
      </w:r>
    </w:p>
    <w:p w14:paraId="6728EB7D" w14:textId="77777777" w:rsidR="00171935" w:rsidRPr="003E4580" w:rsidRDefault="00171935" w:rsidP="00977CA5">
      <w:r w:rsidRPr="003E4580">
        <w:t>Federal Chamber of Automotive Industries (FCAI)</w:t>
      </w:r>
    </w:p>
    <w:p w14:paraId="27DF03C3" w14:textId="77777777" w:rsidR="00171935" w:rsidRPr="003E4580" w:rsidRDefault="00171935" w:rsidP="00977CA5">
      <w:r w:rsidRPr="003E4580">
        <w:t>Heavy Vehicle Industry Australia (HVIA)</w:t>
      </w:r>
    </w:p>
    <w:p w14:paraId="31A01227" w14:textId="77777777" w:rsidR="00171935" w:rsidRPr="003E4580" w:rsidRDefault="00171935" w:rsidP="00977CA5">
      <w:r w:rsidRPr="003E4580">
        <w:t>Truck Industry Council (TIC)</w:t>
      </w:r>
    </w:p>
    <w:p w14:paraId="64E5327D" w14:textId="77777777" w:rsidR="00171935" w:rsidRPr="003E4580" w:rsidRDefault="006C5DB9" w:rsidP="00977CA5">
      <w:r w:rsidRPr="003E4580">
        <w:t>Victorian Automobile Chamber of Commerce (VACC)</w:t>
      </w:r>
    </w:p>
    <w:p w14:paraId="47CEDAD3" w14:textId="77777777" w:rsidR="006C5DB9" w:rsidRPr="003E4580" w:rsidRDefault="006C5DB9" w:rsidP="00977CA5"/>
    <w:p w14:paraId="65AD9C54" w14:textId="77777777" w:rsidR="00977CA5" w:rsidRPr="003E4580" w:rsidRDefault="00977CA5" w:rsidP="00977CA5">
      <w:pPr>
        <w:rPr>
          <w:i/>
          <w:u w:val="single"/>
        </w:rPr>
      </w:pPr>
      <w:r w:rsidRPr="003E4580">
        <w:rPr>
          <w:i/>
          <w:u w:val="single"/>
        </w:rPr>
        <w:t>Consumer Representatives</w:t>
      </w:r>
    </w:p>
    <w:p w14:paraId="50532DE3" w14:textId="77777777" w:rsidR="00977CA5" w:rsidRPr="003E4580" w:rsidRDefault="00171935" w:rsidP="00977CA5">
      <w:r w:rsidRPr="003E4580">
        <w:t>Australasian New Car Assessment Program (ANCAP)</w:t>
      </w:r>
    </w:p>
    <w:p w14:paraId="22144278" w14:textId="77777777" w:rsidR="00171935" w:rsidRPr="003E4580" w:rsidRDefault="00171935" w:rsidP="00977CA5">
      <w:r w:rsidRPr="003E4580">
        <w:t>Australian Automobile Association (AAA)</w:t>
      </w:r>
    </w:p>
    <w:p w14:paraId="7E46C9BC" w14:textId="77777777" w:rsidR="00171935" w:rsidRPr="003E4580" w:rsidRDefault="00171935" w:rsidP="00977CA5">
      <w:r w:rsidRPr="003E4580">
        <w:t>Australian Trucking Association (ATA)</w:t>
      </w:r>
    </w:p>
    <w:p w14:paraId="7CB630D2" w14:textId="77777777" w:rsidR="00171935" w:rsidRPr="003E4580" w:rsidRDefault="00171935" w:rsidP="00977CA5"/>
    <w:p w14:paraId="747BEE7C" w14:textId="77777777" w:rsidR="0024270A" w:rsidRPr="003E4580" w:rsidRDefault="0024270A" w:rsidP="00977CA5">
      <w:pPr>
        <w:rPr>
          <w:i/>
        </w:rPr>
      </w:pPr>
    </w:p>
    <w:p w14:paraId="5178F12C" w14:textId="77777777" w:rsidR="00977CA5" w:rsidRPr="003E4580" w:rsidRDefault="00977CA5" w:rsidP="00977CA5">
      <w:pPr>
        <w:rPr>
          <w:i/>
          <w:u w:val="single"/>
        </w:rPr>
      </w:pPr>
      <w:r w:rsidRPr="003E4580">
        <w:rPr>
          <w:i/>
          <w:u w:val="single"/>
        </w:rPr>
        <w:t>Government Representatives</w:t>
      </w:r>
    </w:p>
    <w:p w14:paraId="27C91501" w14:textId="77777777" w:rsidR="00977CA5" w:rsidRPr="003E4580" w:rsidRDefault="00171935" w:rsidP="00977CA5">
      <w:r w:rsidRPr="003E4580">
        <w:t>Department of Infrastructure, Transport, Regional Development and Communications</w:t>
      </w:r>
    </w:p>
    <w:p w14:paraId="6837900B" w14:textId="77777777" w:rsidR="00171935" w:rsidRPr="003E4580" w:rsidRDefault="00DD3172" w:rsidP="00977CA5">
      <w:r w:rsidRPr="003E4580">
        <w:t>Department of Transport and Main Roads, QLD</w:t>
      </w:r>
    </w:p>
    <w:p w14:paraId="369DD72E" w14:textId="77777777" w:rsidR="00DD3172" w:rsidRPr="003E4580" w:rsidRDefault="00DD3172" w:rsidP="00977CA5">
      <w:r w:rsidRPr="003E4580">
        <w:t>Road Safety Commission, WA</w:t>
      </w:r>
    </w:p>
    <w:p w14:paraId="6054C9BD" w14:textId="77777777" w:rsidR="00DD3172" w:rsidRPr="003E4580" w:rsidRDefault="00DD3172" w:rsidP="00977CA5">
      <w:r w:rsidRPr="003E4580">
        <w:t>Department of Transport, WA</w:t>
      </w:r>
    </w:p>
    <w:p w14:paraId="2FCC432F" w14:textId="77777777" w:rsidR="00DD3172" w:rsidRPr="003E4580" w:rsidRDefault="00DD3172" w:rsidP="00977CA5">
      <w:r w:rsidRPr="003E4580">
        <w:t>Department of Transport, VIC</w:t>
      </w:r>
    </w:p>
    <w:p w14:paraId="4A3A2EA7" w14:textId="77777777" w:rsidR="00DD3172" w:rsidRPr="003E4580" w:rsidRDefault="00DD3172" w:rsidP="00977CA5">
      <w:r w:rsidRPr="003E4580">
        <w:t>Transport for NSW, NSW</w:t>
      </w:r>
    </w:p>
    <w:p w14:paraId="351C8892" w14:textId="77777777" w:rsidR="00DD3172" w:rsidRPr="003E4580" w:rsidRDefault="006C5DB9" w:rsidP="00977CA5">
      <w:r w:rsidRPr="003E4580">
        <w:t>Department for Infrastructure and Transport, SA</w:t>
      </w:r>
    </w:p>
    <w:p w14:paraId="22B022F5" w14:textId="77777777" w:rsidR="006C5DB9" w:rsidRPr="003E4580" w:rsidRDefault="006C5DB9" w:rsidP="00977CA5">
      <w:r w:rsidRPr="003E4580">
        <w:t>Department of Infrastructure, Planning and Logistics, NT</w:t>
      </w:r>
    </w:p>
    <w:p w14:paraId="5A39C348" w14:textId="77777777" w:rsidR="006C5DB9" w:rsidRPr="003E4580" w:rsidRDefault="006C5DB9" w:rsidP="00977CA5">
      <w:r w:rsidRPr="003E4580">
        <w:t>Department of State Growth, TAS</w:t>
      </w:r>
    </w:p>
    <w:p w14:paraId="7505766C" w14:textId="77777777" w:rsidR="006C5DB9" w:rsidRPr="003E4580" w:rsidRDefault="006C5DB9" w:rsidP="00977CA5">
      <w:r w:rsidRPr="003E4580">
        <w:t>Justice and Community Safety, ACT</w:t>
      </w:r>
    </w:p>
    <w:p w14:paraId="6D9D0232" w14:textId="77777777" w:rsidR="006C5DB9" w:rsidRPr="003E4580" w:rsidRDefault="006C5DB9" w:rsidP="00977CA5">
      <w:r w:rsidRPr="003E4580">
        <w:t>New Zealand Transport Agency</w:t>
      </w:r>
    </w:p>
    <w:p w14:paraId="3B6A26D5" w14:textId="77777777" w:rsidR="00DD3172" w:rsidRPr="003E4580" w:rsidRDefault="00DD3172" w:rsidP="00977CA5"/>
    <w:p w14:paraId="72609E28" w14:textId="77777777" w:rsidR="00977CA5" w:rsidRPr="003E4580" w:rsidRDefault="00977CA5" w:rsidP="00977CA5">
      <w:pPr>
        <w:rPr>
          <w:u w:val="single"/>
        </w:rPr>
      </w:pPr>
      <w:r w:rsidRPr="003E4580">
        <w:rPr>
          <w:i/>
          <w:u w:val="single"/>
        </w:rPr>
        <w:t>Intergovernmental Representatives</w:t>
      </w:r>
    </w:p>
    <w:p w14:paraId="7FA04A21" w14:textId="77777777" w:rsidR="008A23AD" w:rsidRPr="003E4580" w:rsidRDefault="00171935" w:rsidP="008A23AD">
      <w:r w:rsidRPr="003E4580">
        <w:t>National Transport Commission (NTC)</w:t>
      </w:r>
    </w:p>
    <w:p w14:paraId="4348DFE1" w14:textId="77777777" w:rsidR="00171935" w:rsidRPr="003E4580" w:rsidRDefault="00171935" w:rsidP="008A23AD">
      <w:r w:rsidRPr="003E4580">
        <w:t>National Heavy Vehicle Regulator (NHVR)</w:t>
      </w:r>
    </w:p>
    <w:p w14:paraId="5DC1995F" w14:textId="77777777" w:rsidR="0024270A" w:rsidRPr="003E4580" w:rsidRDefault="0024270A" w:rsidP="008A23AD">
      <w:pPr>
        <w:sectPr w:rsidR="0024270A" w:rsidRPr="003E4580" w:rsidSect="0024270A">
          <w:type w:val="continuous"/>
          <w:pgSz w:w="11906" w:h="16838" w:code="9"/>
          <w:pgMar w:top="1021" w:right="1021" w:bottom="1021" w:left="1021" w:header="510" w:footer="567" w:gutter="0"/>
          <w:cols w:num="2" w:space="708"/>
          <w:docGrid w:linePitch="360"/>
        </w:sectPr>
      </w:pPr>
    </w:p>
    <w:p w14:paraId="6725BB29" w14:textId="77777777" w:rsidR="00171935" w:rsidRPr="003E4580" w:rsidRDefault="00171935" w:rsidP="008A23AD"/>
    <w:p w14:paraId="2D89F215" w14:textId="77777777" w:rsidR="008E226D" w:rsidRPr="003E4580" w:rsidRDefault="008E226D" w:rsidP="008A23AD">
      <w:pPr>
        <w:pStyle w:val="AppendixHeading1"/>
        <w:sectPr w:rsidR="008E226D" w:rsidRPr="003E4580" w:rsidSect="0024270A">
          <w:type w:val="continuous"/>
          <w:pgSz w:w="11906" w:h="16838" w:code="9"/>
          <w:pgMar w:top="1021" w:right="1021" w:bottom="1021" w:left="1021" w:header="510" w:footer="567" w:gutter="0"/>
          <w:cols w:space="708"/>
          <w:docGrid w:linePitch="360"/>
        </w:sectPr>
      </w:pPr>
    </w:p>
    <w:p w14:paraId="2018CF78" w14:textId="77777777" w:rsidR="008A23AD" w:rsidRPr="003E4580" w:rsidRDefault="00DA2099" w:rsidP="008A23AD">
      <w:pPr>
        <w:pStyle w:val="AppendixHeading1"/>
      </w:pPr>
      <w:bookmarkStart w:id="83" w:name="_Toc146894902"/>
      <w:r w:rsidRPr="003E4580">
        <w:lastRenderedPageBreak/>
        <w:t>Technical Liaison Group</w:t>
      </w:r>
      <w:bookmarkEnd w:id="83"/>
    </w:p>
    <w:p w14:paraId="72DBFF24" w14:textId="54109658" w:rsidR="00217290" w:rsidRPr="003E4580" w:rsidRDefault="00F20388" w:rsidP="00D509A5">
      <w:r w:rsidRPr="003E4580">
        <w:t xml:space="preserve">The Technical Liaison Group (TLG) has two principal roles: to advise the Strategic Vehicle Safety and Environment Group (SVSEG) on detailed technical issues relating to the implementation and development of the </w:t>
      </w:r>
      <w:r w:rsidR="008742A6" w:rsidRPr="003E4580">
        <w:t>ADR</w:t>
      </w:r>
      <w:r w:rsidRPr="003E4580">
        <w:t>s for vehicles, and to advise SVSEG on detailed technical issues relating to regulatory and non-regulatory approaches to improving vehicle safety and environmental performance.</w:t>
      </w:r>
    </w:p>
    <w:p w14:paraId="7CD7EC07" w14:textId="77777777" w:rsidR="000B61A1" w:rsidRPr="003E4580" w:rsidRDefault="000B61A1" w:rsidP="000B61A1">
      <w:pPr>
        <w:rPr>
          <w:i/>
          <w:u w:val="single"/>
        </w:rPr>
        <w:sectPr w:rsidR="000B61A1" w:rsidRPr="003E4580" w:rsidSect="00D87AD8">
          <w:pgSz w:w="11906" w:h="16838" w:code="9"/>
          <w:pgMar w:top="1021" w:right="1021" w:bottom="1021" w:left="1021" w:header="510" w:footer="567" w:gutter="0"/>
          <w:cols w:space="708"/>
          <w:docGrid w:linePitch="360"/>
        </w:sectPr>
      </w:pPr>
    </w:p>
    <w:p w14:paraId="0286D4BD" w14:textId="77777777" w:rsidR="000B61A1" w:rsidRPr="003E4580" w:rsidRDefault="000B61A1" w:rsidP="000B61A1">
      <w:pPr>
        <w:rPr>
          <w:i/>
          <w:u w:val="single"/>
        </w:rPr>
      </w:pPr>
      <w:r w:rsidRPr="003E4580">
        <w:rPr>
          <w:i/>
          <w:u w:val="single"/>
        </w:rPr>
        <w:t>Manufacturer Representatives</w:t>
      </w:r>
    </w:p>
    <w:p w14:paraId="099C0472" w14:textId="77777777" w:rsidR="000B61A1" w:rsidRPr="003E4580" w:rsidRDefault="000B61A1" w:rsidP="000B61A1">
      <w:r w:rsidRPr="003E4580">
        <w:t>Australian Road Transport Suppliers Association (ARTSA)</w:t>
      </w:r>
    </w:p>
    <w:p w14:paraId="41633C38" w14:textId="77777777" w:rsidR="000B61A1" w:rsidRPr="003E4580" w:rsidRDefault="000B61A1" w:rsidP="000B61A1">
      <w:r w:rsidRPr="003E4580">
        <w:t>Bus Industry Confederation (BIC)</w:t>
      </w:r>
    </w:p>
    <w:p w14:paraId="170A00A9" w14:textId="77777777" w:rsidR="000B61A1" w:rsidRPr="003E4580" w:rsidRDefault="000B61A1" w:rsidP="000B61A1">
      <w:r w:rsidRPr="003E4580">
        <w:t>Commercial Vehicle Industry Association of Australia (CVIAA)</w:t>
      </w:r>
    </w:p>
    <w:p w14:paraId="75C81328" w14:textId="77777777" w:rsidR="000B61A1" w:rsidRPr="003E4580" w:rsidRDefault="000B61A1" w:rsidP="000B61A1">
      <w:r w:rsidRPr="003E4580">
        <w:t>Caravan Industry Association of Australia Ltd</w:t>
      </w:r>
    </w:p>
    <w:p w14:paraId="1793D57A" w14:textId="77777777" w:rsidR="000B61A1" w:rsidRPr="003E4580" w:rsidRDefault="000B61A1" w:rsidP="000B61A1">
      <w:r w:rsidRPr="003E4580">
        <w:t>Federal Chamber of Automotive Industries (FCAI)</w:t>
      </w:r>
    </w:p>
    <w:p w14:paraId="1D716B2F" w14:textId="77777777" w:rsidR="000B61A1" w:rsidRPr="003E4580" w:rsidRDefault="000B61A1" w:rsidP="000B61A1">
      <w:r w:rsidRPr="003E4580">
        <w:t>Heavy Vehicle Industry Australia (HVIA)</w:t>
      </w:r>
    </w:p>
    <w:p w14:paraId="2329B6F4" w14:textId="77777777" w:rsidR="000B61A1" w:rsidRPr="003E4580" w:rsidRDefault="000B61A1" w:rsidP="000B61A1">
      <w:r w:rsidRPr="003E4580">
        <w:t>Truck Industry Council (TIC)</w:t>
      </w:r>
    </w:p>
    <w:p w14:paraId="125C700E" w14:textId="77777777" w:rsidR="000B61A1" w:rsidRPr="003E4580" w:rsidRDefault="000B61A1" w:rsidP="000B61A1">
      <w:r w:rsidRPr="003E4580">
        <w:t>Victorian Automobile Chamber of Commerce (VACC)</w:t>
      </w:r>
    </w:p>
    <w:p w14:paraId="7F439283" w14:textId="77777777" w:rsidR="000B61A1" w:rsidRPr="003E4580" w:rsidRDefault="000B61A1" w:rsidP="000B61A1"/>
    <w:p w14:paraId="5E58AC17" w14:textId="77777777" w:rsidR="000B61A1" w:rsidRPr="003E4580" w:rsidRDefault="000B61A1" w:rsidP="000B61A1">
      <w:pPr>
        <w:rPr>
          <w:i/>
          <w:u w:val="single"/>
        </w:rPr>
      </w:pPr>
      <w:r w:rsidRPr="003E4580">
        <w:rPr>
          <w:i/>
          <w:u w:val="single"/>
        </w:rPr>
        <w:t>Consumer Representatives</w:t>
      </w:r>
    </w:p>
    <w:p w14:paraId="0ACEDBFB" w14:textId="77777777" w:rsidR="000B61A1" w:rsidRPr="003E4580" w:rsidRDefault="000B61A1" w:rsidP="000B61A1">
      <w:r w:rsidRPr="003E4580">
        <w:t>Australasian New Car Assessment Program (ANCAP)</w:t>
      </w:r>
    </w:p>
    <w:p w14:paraId="3CD9D5B2" w14:textId="77777777" w:rsidR="000B61A1" w:rsidRPr="003E4580" w:rsidRDefault="000B61A1" w:rsidP="000B61A1">
      <w:r w:rsidRPr="003E4580">
        <w:t>Australian Automobile Association (AAA)</w:t>
      </w:r>
    </w:p>
    <w:p w14:paraId="0BE7D945" w14:textId="77777777" w:rsidR="000B61A1" w:rsidRPr="003E4580" w:rsidRDefault="000B61A1" w:rsidP="000B61A1">
      <w:r w:rsidRPr="003E4580">
        <w:t>Australian Trucking Association (ATA)</w:t>
      </w:r>
    </w:p>
    <w:p w14:paraId="5886EA1B" w14:textId="77777777" w:rsidR="000B61A1" w:rsidRPr="003E4580" w:rsidRDefault="000B61A1" w:rsidP="000B61A1">
      <w:r w:rsidRPr="003E4580">
        <w:t>Registered Automotive Workshop Scheme Association</w:t>
      </w:r>
    </w:p>
    <w:p w14:paraId="4ACFF6EF" w14:textId="77777777" w:rsidR="000B61A1" w:rsidRPr="003E4580" w:rsidRDefault="000B61A1" w:rsidP="000B61A1">
      <w:r w:rsidRPr="003E4580">
        <w:t>Australian</w:t>
      </w:r>
      <w:r w:rsidR="004565F7" w:rsidRPr="003E4580">
        <w:t xml:space="preserve"> Imported Motor Vehicle Industry Association (AIMVIA)</w:t>
      </w:r>
    </w:p>
    <w:p w14:paraId="27410299" w14:textId="77777777" w:rsidR="000B61A1" w:rsidRPr="003E4580" w:rsidRDefault="000B61A1" w:rsidP="000B61A1">
      <w:pPr>
        <w:rPr>
          <w:i/>
          <w:u w:val="single"/>
        </w:rPr>
      </w:pPr>
      <w:r w:rsidRPr="003E4580">
        <w:rPr>
          <w:i/>
          <w:u w:val="single"/>
        </w:rPr>
        <w:t>Government Representatives</w:t>
      </w:r>
    </w:p>
    <w:p w14:paraId="040D5DE9" w14:textId="77777777" w:rsidR="000B61A1" w:rsidRPr="003E4580" w:rsidRDefault="000B61A1" w:rsidP="000B61A1">
      <w:r w:rsidRPr="003E4580">
        <w:t>Department of Infrastructure, Transport, Regional Development and Communications</w:t>
      </w:r>
    </w:p>
    <w:p w14:paraId="0FD85B36" w14:textId="77777777" w:rsidR="000B61A1" w:rsidRPr="003E4580" w:rsidRDefault="000B61A1" w:rsidP="000B61A1">
      <w:r w:rsidRPr="003E4580">
        <w:t>Department of Transport and Main Roads, QLD</w:t>
      </w:r>
    </w:p>
    <w:p w14:paraId="7A2FD67E" w14:textId="77777777" w:rsidR="000B61A1" w:rsidRPr="003E4580" w:rsidRDefault="000B61A1" w:rsidP="000B61A1">
      <w:r w:rsidRPr="003E4580">
        <w:t>Department of Transport, VIC</w:t>
      </w:r>
    </w:p>
    <w:p w14:paraId="1844A29A" w14:textId="77777777" w:rsidR="000B61A1" w:rsidRPr="003E4580" w:rsidRDefault="000B61A1" w:rsidP="000B61A1">
      <w:r w:rsidRPr="003E4580">
        <w:t>Transport for NSW, NSW</w:t>
      </w:r>
    </w:p>
    <w:p w14:paraId="1C1EA71E" w14:textId="77777777" w:rsidR="000B61A1" w:rsidRPr="003E4580" w:rsidRDefault="000B61A1" w:rsidP="000B61A1">
      <w:r w:rsidRPr="003E4580">
        <w:t>Department for Infrastructure and Transport, SA</w:t>
      </w:r>
    </w:p>
    <w:p w14:paraId="5EFDF413" w14:textId="77777777" w:rsidR="000B61A1" w:rsidRPr="003E4580" w:rsidRDefault="000B61A1" w:rsidP="000B61A1">
      <w:r w:rsidRPr="003E4580">
        <w:t>Department of Infrastructure, Planning and Logistics, NT</w:t>
      </w:r>
    </w:p>
    <w:p w14:paraId="4F89765C" w14:textId="77777777" w:rsidR="000B61A1" w:rsidRPr="003E4580" w:rsidRDefault="000B61A1" w:rsidP="000B61A1">
      <w:r w:rsidRPr="003E4580">
        <w:t>Department of State Growth, TAS</w:t>
      </w:r>
    </w:p>
    <w:p w14:paraId="678E921E" w14:textId="77777777" w:rsidR="000B61A1" w:rsidRPr="003E4580" w:rsidRDefault="000B61A1" w:rsidP="000B61A1">
      <w:r w:rsidRPr="003E4580">
        <w:t>Justice and Community Safety, ACT</w:t>
      </w:r>
    </w:p>
    <w:p w14:paraId="63887BE9" w14:textId="77777777" w:rsidR="000B61A1" w:rsidRPr="003E4580" w:rsidRDefault="000B61A1" w:rsidP="000B61A1">
      <w:r w:rsidRPr="003E4580">
        <w:t>New Zealand Transport Agency</w:t>
      </w:r>
    </w:p>
    <w:p w14:paraId="060692E2" w14:textId="77777777" w:rsidR="000B61A1" w:rsidRPr="003E4580" w:rsidRDefault="000B61A1" w:rsidP="000B61A1"/>
    <w:p w14:paraId="453D9788" w14:textId="77777777" w:rsidR="000B61A1" w:rsidRPr="003E4580" w:rsidRDefault="000B61A1" w:rsidP="000B61A1">
      <w:pPr>
        <w:rPr>
          <w:u w:val="single"/>
        </w:rPr>
      </w:pPr>
      <w:r w:rsidRPr="003E4580">
        <w:rPr>
          <w:i/>
          <w:u w:val="single"/>
        </w:rPr>
        <w:t>Intergovernmental Representatives</w:t>
      </w:r>
    </w:p>
    <w:p w14:paraId="66EB156B" w14:textId="77777777" w:rsidR="000B61A1" w:rsidRPr="003E4580" w:rsidRDefault="000B61A1" w:rsidP="000B61A1">
      <w:r w:rsidRPr="003E4580">
        <w:t>National Transport Commission (NTC)</w:t>
      </w:r>
    </w:p>
    <w:p w14:paraId="63A1A1FB" w14:textId="77777777" w:rsidR="000B61A1" w:rsidRPr="003E4580" w:rsidRDefault="000B61A1" w:rsidP="000B61A1">
      <w:r w:rsidRPr="003E4580">
        <w:t>National Heavy Vehicle Regulator (NHVR)</w:t>
      </w:r>
    </w:p>
    <w:p w14:paraId="4ACFFA8B" w14:textId="77777777" w:rsidR="000B61A1" w:rsidRPr="003E4580" w:rsidRDefault="000B61A1" w:rsidP="000B61A1"/>
    <w:p w14:paraId="27CB709A" w14:textId="77777777" w:rsidR="000B61A1" w:rsidRPr="003E4580" w:rsidRDefault="000B61A1" w:rsidP="000B61A1"/>
    <w:p w14:paraId="42AB9013" w14:textId="77777777" w:rsidR="000B61A1" w:rsidRPr="003E4580" w:rsidRDefault="000B61A1" w:rsidP="008A23AD">
      <w:pPr>
        <w:sectPr w:rsidR="000B61A1" w:rsidRPr="003E4580" w:rsidSect="000B61A1">
          <w:type w:val="continuous"/>
          <w:pgSz w:w="11906" w:h="16838" w:code="9"/>
          <w:pgMar w:top="1021" w:right="1021" w:bottom="1021" w:left="1021" w:header="510" w:footer="567" w:gutter="0"/>
          <w:cols w:num="2" w:space="708"/>
          <w:docGrid w:linePitch="360"/>
        </w:sectPr>
      </w:pPr>
    </w:p>
    <w:p w14:paraId="4AC2F15C" w14:textId="77777777" w:rsidR="00217290" w:rsidRPr="003E4580" w:rsidRDefault="00217290" w:rsidP="008A23AD"/>
    <w:p w14:paraId="33B222B3" w14:textId="77777777" w:rsidR="00DA2099" w:rsidRPr="003E4580" w:rsidRDefault="00DA2099" w:rsidP="008A23AD">
      <w:pPr>
        <w:sectPr w:rsidR="00DA2099" w:rsidRPr="003E4580" w:rsidSect="000B61A1">
          <w:type w:val="continuous"/>
          <w:pgSz w:w="11906" w:h="16838" w:code="9"/>
          <w:pgMar w:top="1021" w:right="1021" w:bottom="1021" w:left="1021" w:header="510" w:footer="567" w:gutter="0"/>
          <w:cols w:space="708"/>
          <w:docGrid w:linePitch="360"/>
        </w:sectPr>
      </w:pPr>
    </w:p>
    <w:p w14:paraId="53EA036B" w14:textId="00CD86D2" w:rsidR="008A23AD" w:rsidRPr="003E4580" w:rsidRDefault="008E060C" w:rsidP="008A23AD">
      <w:pPr>
        <w:pStyle w:val="AppendixHeading1"/>
      </w:pPr>
      <w:bookmarkStart w:id="84" w:name="_Toc146894903"/>
      <w:r w:rsidRPr="003E4580">
        <w:lastRenderedPageBreak/>
        <w:t>ADR 99/0</w:t>
      </w:r>
      <w:r w:rsidR="00AC46AD" w:rsidRPr="003E4580">
        <w:t>1</w:t>
      </w:r>
      <w:r w:rsidRPr="003E4580">
        <w:t xml:space="preserve"> – Lane Departure Warning Systems</w:t>
      </w:r>
      <w:bookmarkEnd w:id="84"/>
    </w:p>
    <w:p w14:paraId="53920A45" w14:textId="77777777" w:rsidR="008A23AD" w:rsidRPr="003E4580" w:rsidRDefault="008A23AD" w:rsidP="008A23AD"/>
    <w:p w14:paraId="24A0D036" w14:textId="77777777" w:rsidR="001C4E24" w:rsidRPr="003E4580" w:rsidRDefault="00062168" w:rsidP="008A23AD">
      <w:r w:rsidRPr="003E4580">
        <w:t>The performance of the LDWS is assessed in a series of four tests conducted at a speed of 65 ± 3 km/h. Two of these tests are performed by gently drifting the vehicle to the left, so that the vehicle crosses the lane markings at two different rates of departure within the range 0.1 to 0.8 m/s. The other two tests are performed by gently drifting the vehicle to the right, so that the vehicle crosses the lane markings at two different rates of departure within the range 0.1 to 0.8 m/s. In all tests, the required warnings must be provided before the outside of the tyre on the front wheel closest to the lane markings passes more than 0.3 m beyond the outside edge of the lane markings. UN R130 also includes failure warning signal and deactivation warning signal tests for the LDWS.</w:t>
      </w:r>
    </w:p>
    <w:p w14:paraId="4860649C" w14:textId="77777777" w:rsidR="003D1945" w:rsidRPr="003E4580" w:rsidRDefault="003D1945" w:rsidP="003D1945">
      <w:pPr>
        <w:rPr>
          <w:b/>
        </w:rPr>
      </w:pPr>
      <w:r w:rsidRPr="003E4580">
        <w:rPr>
          <w:b/>
        </w:rPr>
        <w:t>Warning and activation</w:t>
      </w:r>
    </w:p>
    <w:p w14:paraId="350088F8" w14:textId="751E2BE9" w:rsidR="003D1945" w:rsidRPr="003E4580" w:rsidRDefault="003D1945" w:rsidP="003D1945">
      <w:r w:rsidRPr="003E4580">
        <w:t xml:space="preserve">Summary of the requirements for the test vehicles and conditions. LDWS is required (when active) to warn the driver if the vehicle crosses over a visible lane marking, when there has been no purposeful demand to do so (including for both straight sections, and curved sections having an inner lane marking with a radius </w:t>
      </w:r>
      <w:r w:rsidRPr="003E4580">
        <w:rPr>
          <w:u w:val="single"/>
        </w:rPr>
        <w:t>&gt;</w:t>
      </w:r>
      <w:r w:rsidRPr="003E4580">
        <w:t xml:space="preserve">250 m. The LDWS is active above road speeds of 60 km/h providing it has not been </w:t>
      </w:r>
      <w:r w:rsidR="00C35E4A" w:rsidRPr="003E4580">
        <w:t xml:space="preserve">manually </w:t>
      </w:r>
      <w:r w:rsidRPr="003E4580">
        <w:t xml:space="preserve">deactivated by a switch within the cabin. </w:t>
      </w:r>
    </w:p>
    <w:p w14:paraId="709352D4" w14:textId="77777777" w:rsidR="003D1945" w:rsidRPr="003E4580" w:rsidRDefault="003D1945" w:rsidP="003D1945">
      <w:r w:rsidRPr="003E4580">
        <w:t>Test conditions: -</w:t>
      </w:r>
    </w:p>
    <w:p w14:paraId="5EDD8CD2" w14:textId="77777777" w:rsidR="003D1945" w:rsidRPr="003E4580" w:rsidRDefault="003D1945" w:rsidP="008360E0">
      <w:pPr>
        <w:numPr>
          <w:ilvl w:val="0"/>
          <w:numId w:val="22"/>
        </w:numPr>
      </w:pPr>
      <w:r w:rsidRPr="003E4580">
        <w:t>On a flat dry asphalt or concrete surface.</w:t>
      </w:r>
    </w:p>
    <w:p w14:paraId="74702D3A" w14:textId="77777777" w:rsidR="003D1945" w:rsidRPr="003E4580" w:rsidRDefault="003D1945" w:rsidP="008360E0">
      <w:pPr>
        <w:numPr>
          <w:ilvl w:val="0"/>
          <w:numId w:val="22"/>
        </w:numPr>
      </w:pPr>
      <w:r w:rsidRPr="003E4580">
        <w:t>Ambient temperature shall be between 0° and 45°.</w:t>
      </w:r>
    </w:p>
    <w:p w14:paraId="0E83FB37" w14:textId="77777777" w:rsidR="003D1945" w:rsidRPr="003E4580" w:rsidRDefault="003D1945" w:rsidP="008360E0">
      <w:pPr>
        <w:numPr>
          <w:ilvl w:val="0"/>
          <w:numId w:val="22"/>
        </w:numPr>
      </w:pPr>
      <w:r w:rsidRPr="003E4580">
        <w:t>Visible lane markings.</w:t>
      </w:r>
    </w:p>
    <w:p w14:paraId="78492B3E" w14:textId="77777777" w:rsidR="003D1945" w:rsidRPr="003E4580" w:rsidRDefault="003D1945" w:rsidP="008360E0">
      <w:pPr>
        <w:numPr>
          <w:ilvl w:val="0"/>
          <w:numId w:val="22"/>
        </w:numPr>
      </w:pPr>
      <w:r w:rsidRPr="003E4580">
        <w:t>The vehicle tested with recommended vehicle manufacture tyre pressures.</w:t>
      </w:r>
    </w:p>
    <w:p w14:paraId="4C1BFA24" w14:textId="77777777" w:rsidR="003D1945" w:rsidRPr="003E4580" w:rsidRDefault="003D1945" w:rsidP="003D1945">
      <w:r w:rsidRPr="003E4580">
        <w:t>The vehicle test weight: -</w:t>
      </w:r>
    </w:p>
    <w:p w14:paraId="685822D3" w14:textId="77777777" w:rsidR="003D1945" w:rsidRPr="003E4580" w:rsidRDefault="003D1945" w:rsidP="008360E0">
      <w:pPr>
        <w:numPr>
          <w:ilvl w:val="0"/>
          <w:numId w:val="23"/>
        </w:numPr>
      </w:pPr>
      <w:r w:rsidRPr="003E4580">
        <w:t>The vehicle maybe tested at any condition of load.</w:t>
      </w:r>
    </w:p>
    <w:p w14:paraId="183CDA23" w14:textId="77777777" w:rsidR="003D1945" w:rsidRPr="003E4580" w:rsidRDefault="003D1945" w:rsidP="008360E0">
      <w:pPr>
        <w:numPr>
          <w:ilvl w:val="0"/>
          <w:numId w:val="23"/>
        </w:numPr>
      </w:pPr>
      <w:r w:rsidRPr="003E4580">
        <w:t>The distribution of the mass among the axles being that stated by the vehicle manufacturer.</w:t>
      </w:r>
    </w:p>
    <w:p w14:paraId="71893040" w14:textId="77777777" w:rsidR="003D1945" w:rsidRPr="003E4580" w:rsidRDefault="003D1945" w:rsidP="008360E0">
      <w:pPr>
        <w:numPr>
          <w:ilvl w:val="0"/>
          <w:numId w:val="23"/>
        </w:numPr>
      </w:pPr>
      <w:r w:rsidRPr="003E4580">
        <w:t>This must not exceed any of the maximum permissible mass for each axle.</w:t>
      </w:r>
    </w:p>
    <w:p w14:paraId="370D08A7" w14:textId="77777777" w:rsidR="003D1945" w:rsidRPr="003E4580" w:rsidRDefault="003D1945" w:rsidP="008360E0">
      <w:pPr>
        <w:numPr>
          <w:ilvl w:val="0"/>
          <w:numId w:val="23"/>
        </w:numPr>
      </w:pPr>
      <w:r w:rsidRPr="003E4580">
        <w:t>No alteration shall be made once the test procedure has begun.</w:t>
      </w:r>
    </w:p>
    <w:p w14:paraId="0A11BCD2" w14:textId="77777777" w:rsidR="003D1945" w:rsidRPr="003E4580" w:rsidRDefault="003D1945" w:rsidP="008360E0">
      <w:pPr>
        <w:numPr>
          <w:ilvl w:val="0"/>
          <w:numId w:val="23"/>
        </w:numPr>
      </w:pPr>
      <w:r w:rsidRPr="003E4580">
        <w:t>The vehicle manufacture shall demonstrate through the use of documentation that the system works at all conditions of load.</w:t>
      </w:r>
    </w:p>
    <w:p w14:paraId="4EE86E00" w14:textId="04FDBB0A" w:rsidR="003D1945" w:rsidRPr="003E4580" w:rsidRDefault="00010F55" w:rsidP="003D1945">
      <w:r w:rsidRPr="003E4580">
        <w:t>Warning signals</w:t>
      </w:r>
      <w:r w:rsidR="003D1945" w:rsidRPr="003E4580">
        <w:t>: -</w:t>
      </w:r>
    </w:p>
    <w:p w14:paraId="45D0D682" w14:textId="028787F7" w:rsidR="003D1945" w:rsidRPr="003E4580" w:rsidRDefault="003D1945" w:rsidP="008360E0">
      <w:pPr>
        <w:numPr>
          <w:ilvl w:val="0"/>
          <w:numId w:val="24"/>
        </w:numPr>
      </w:pPr>
      <w:r w:rsidRPr="003E4580">
        <w:t>At least two warning means out of optical, acoustic and haptic</w:t>
      </w:r>
      <w:r w:rsidR="00010F55" w:rsidRPr="003E4580">
        <w:t>, or</w:t>
      </w:r>
    </w:p>
    <w:p w14:paraId="77C21144" w14:textId="29FD09A5" w:rsidR="003D1945" w:rsidRPr="003E4580" w:rsidRDefault="00010F55" w:rsidP="008360E0">
      <w:pPr>
        <w:numPr>
          <w:ilvl w:val="0"/>
          <w:numId w:val="24"/>
        </w:numPr>
      </w:pPr>
      <w:r w:rsidRPr="003E4580">
        <w:t>O</w:t>
      </w:r>
      <w:r w:rsidR="003D1945" w:rsidRPr="003E4580">
        <w:t>ne warning means out of haptic and acoustic, with spatial indication about the direction of unintended drift of the vehicle.</w:t>
      </w:r>
    </w:p>
    <w:p w14:paraId="6B1D47F3" w14:textId="77777777" w:rsidR="003D1945" w:rsidRPr="003E4580" w:rsidRDefault="003D1945" w:rsidP="008360E0">
      <w:pPr>
        <w:numPr>
          <w:ilvl w:val="0"/>
          <w:numId w:val="24"/>
        </w:numPr>
      </w:pPr>
      <w:r w:rsidRPr="003E4580">
        <w:t>Where an optical signal is used for the LDWS, it uses the failure warning signal in a flashing mode.</w:t>
      </w:r>
    </w:p>
    <w:p w14:paraId="7FBE1DE1" w14:textId="70322D90" w:rsidR="003D1945" w:rsidRPr="003E4580" w:rsidRDefault="003D1945" w:rsidP="008360E0">
      <w:pPr>
        <w:numPr>
          <w:ilvl w:val="0"/>
          <w:numId w:val="24"/>
        </w:numPr>
      </w:pPr>
      <w:r w:rsidRPr="003E4580">
        <w:t>The optical warning signal shall be yellow.</w:t>
      </w:r>
      <w:r w:rsidR="00010F55" w:rsidRPr="003E4580">
        <w:t xml:space="preserve"> </w:t>
      </w:r>
      <w:r w:rsidRPr="003E4580">
        <w:t>The optical warning signals shall be visible even by daylight; the signal must be easily verifiable by the driver from the driver’s seat.</w:t>
      </w:r>
    </w:p>
    <w:p w14:paraId="33DEDC6F" w14:textId="500AD670" w:rsidR="003D1945" w:rsidRPr="003E4580" w:rsidRDefault="003D1945" w:rsidP="003D1945">
      <w:r w:rsidRPr="003E4580">
        <w:lastRenderedPageBreak/>
        <w:t>In the case where the LDWS is equipped with a user-adjustable warning</w:t>
      </w:r>
      <w:r w:rsidR="00010F55" w:rsidRPr="003E4580">
        <w:t xml:space="preserve"> </w:t>
      </w:r>
      <w:r w:rsidRPr="003E4580">
        <w:t xml:space="preserve">threshold, the </w:t>
      </w:r>
      <w:r w:rsidR="00010F55" w:rsidRPr="003E4580">
        <w:t>LDWS</w:t>
      </w:r>
      <w:r w:rsidRPr="003E4580">
        <w:t xml:space="preserve"> shall be performed with the warning threshold set at its maximum lane departure setting. No alteration shall be made once the test procedure has begun.</w:t>
      </w:r>
    </w:p>
    <w:p w14:paraId="07BB6FE2" w14:textId="4E10C391" w:rsidR="003D1945" w:rsidRPr="003E4580" w:rsidRDefault="003D1945" w:rsidP="003D1945">
      <w:r w:rsidRPr="003E4580">
        <w:t xml:space="preserve">The performance of the </w:t>
      </w:r>
      <w:r w:rsidR="00010F55" w:rsidRPr="003E4580">
        <w:t>LDWS</w:t>
      </w:r>
      <w:r w:rsidRPr="003E4580">
        <w:t xml:space="preserve"> is assessed in a series of four tests.</w:t>
      </w:r>
    </w:p>
    <w:p w14:paraId="3CBFF79C" w14:textId="77777777" w:rsidR="003D1945" w:rsidRPr="003E4580" w:rsidRDefault="003D1945" w:rsidP="003D1945">
      <w:r w:rsidRPr="003E4580">
        <w:t>Drive the vehicle at a speed of 65 km/h +/- 3 km/h into the center of the test lane in a smooth manner so that the attitude of the vehicle is stable.</w:t>
      </w:r>
    </w:p>
    <w:tbl>
      <w:tblPr>
        <w:tblW w:w="0" w:type="auto"/>
        <w:tblLook w:val="04A0" w:firstRow="1" w:lastRow="0" w:firstColumn="1" w:lastColumn="0" w:noHBand="0" w:noVBand="1"/>
      </w:tblPr>
      <w:tblGrid>
        <w:gridCol w:w="3005"/>
        <w:gridCol w:w="3005"/>
        <w:gridCol w:w="3006"/>
      </w:tblGrid>
      <w:tr w:rsidR="003D1945" w:rsidRPr="003E4580" w14:paraId="0C33E5FF" w14:textId="77777777" w:rsidTr="00D433F9">
        <w:trPr>
          <w:trHeight w:val="486"/>
        </w:trPr>
        <w:tc>
          <w:tcPr>
            <w:tcW w:w="9016" w:type="dxa"/>
            <w:gridSpan w:val="3"/>
            <w:tcBorders>
              <w:left w:val="nil"/>
              <w:bottom w:val="single" w:sz="4" w:space="0" w:color="auto"/>
              <w:right w:val="nil"/>
            </w:tcBorders>
            <w:shd w:val="clear" w:color="auto" w:fill="081E3E" w:themeFill="text2"/>
          </w:tcPr>
          <w:p w14:paraId="2B8AF297" w14:textId="413F3BA6" w:rsidR="003D1945" w:rsidRPr="003E4580" w:rsidRDefault="00010F55" w:rsidP="003D1945">
            <w:pPr>
              <w:rPr>
                <w:b/>
                <w:color w:val="FFFFFF" w:themeColor="background1"/>
              </w:rPr>
            </w:pPr>
            <w:r w:rsidRPr="003E4580">
              <w:rPr>
                <w:b/>
                <w:color w:val="FFFFFF" w:themeColor="background1"/>
              </w:rPr>
              <w:t>Vehicle speed</w:t>
            </w:r>
            <w:r w:rsidR="003D1945" w:rsidRPr="003E4580">
              <w:rPr>
                <w:b/>
                <w:color w:val="FFFFFF" w:themeColor="background1"/>
              </w:rPr>
              <w:t xml:space="preserve"> 65 </w:t>
            </w:r>
            <w:r w:rsidR="003D1945" w:rsidRPr="003E4580">
              <w:rPr>
                <w:b/>
                <w:color w:val="FFFFFF" w:themeColor="background1"/>
                <w:u w:val="single"/>
              </w:rPr>
              <w:t>+</w:t>
            </w:r>
            <w:r w:rsidR="003D1945" w:rsidRPr="003E4580">
              <w:rPr>
                <w:b/>
                <w:color w:val="FFFFFF" w:themeColor="background1"/>
              </w:rPr>
              <w:t xml:space="preserve"> 3 km/h</w:t>
            </w:r>
          </w:p>
          <w:p w14:paraId="0C89594F" w14:textId="77777777" w:rsidR="003D1945" w:rsidRPr="003E4580" w:rsidRDefault="003D1945" w:rsidP="003D1945">
            <w:pPr>
              <w:rPr>
                <w:b/>
              </w:rPr>
            </w:pPr>
            <w:r w:rsidRPr="003E4580">
              <w:rPr>
                <w:b/>
                <w:color w:val="FFFFFF" w:themeColor="background1"/>
              </w:rPr>
              <w:t>The vehicle crosses the lane markings at two different rates of departure within the range 0.1 to 0.8 m/s</w:t>
            </w:r>
          </w:p>
        </w:tc>
      </w:tr>
      <w:tr w:rsidR="003D1945" w:rsidRPr="003E4580" w14:paraId="1B366627" w14:textId="77777777" w:rsidTr="00D433F9">
        <w:tc>
          <w:tcPr>
            <w:tcW w:w="3005" w:type="dxa"/>
          </w:tcPr>
          <w:p w14:paraId="3E0B2740" w14:textId="77777777" w:rsidR="003D1945" w:rsidRPr="003E4580" w:rsidRDefault="003D1945" w:rsidP="003D1945">
            <w:r w:rsidRPr="003E4580">
              <w:t xml:space="preserve">Range one drifting to the left </w:t>
            </w:r>
          </w:p>
          <w:p w14:paraId="4CEDA441" w14:textId="77777777" w:rsidR="003D1945" w:rsidRPr="003E4580" w:rsidRDefault="003D1945" w:rsidP="003D1945">
            <w:r w:rsidRPr="003E4580">
              <w:t>0.1 – 0.8 m/s (first rate)</w:t>
            </w:r>
          </w:p>
        </w:tc>
        <w:tc>
          <w:tcPr>
            <w:tcW w:w="3005" w:type="dxa"/>
          </w:tcPr>
          <w:p w14:paraId="53C341EE" w14:textId="77777777" w:rsidR="003D1945" w:rsidRPr="003E4580" w:rsidRDefault="003D1945" w:rsidP="003D1945">
            <w:r w:rsidRPr="003E4580">
              <w:t>Passing lane marking &gt;0.3m</w:t>
            </w:r>
          </w:p>
        </w:tc>
        <w:tc>
          <w:tcPr>
            <w:tcW w:w="3006" w:type="dxa"/>
          </w:tcPr>
          <w:p w14:paraId="04C52C05" w14:textId="4AD15A88" w:rsidR="003D1945" w:rsidRPr="003E4580" w:rsidRDefault="003D1945" w:rsidP="003D1945">
            <w:r w:rsidRPr="003E4580">
              <w:t>Driver warning occurs</w:t>
            </w:r>
          </w:p>
        </w:tc>
      </w:tr>
      <w:tr w:rsidR="003D1945" w:rsidRPr="003E4580" w14:paraId="37BA2EDA" w14:textId="77777777" w:rsidTr="00D433F9">
        <w:tc>
          <w:tcPr>
            <w:tcW w:w="3005" w:type="dxa"/>
          </w:tcPr>
          <w:p w14:paraId="10F9B1B3" w14:textId="77777777" w:rsidR="003D1945" w:rsidRPr="003E4580" w:rsidRDefault="003D1945" w:rsidP="003D1945">
            <w:r w:rsidRPr="003E4580">
              <w:t xml:space="preserve">Range two drifting to the left </w:t>
            </w:r>
          </w:p>
          <w:p w14:paraId="5622D719" w14:textId="77777777" w:rsidR="003D1945" w:rsidRPr="003E4580" w:rsidRDefault="003D1945" w:rsidP="003D1945">
            <w:r w:rsidRPr="003E4580">
              <w:t>0.1 – 0.8 m/s (second rate, different to the first rate)</w:t>
            </w:r>
          </w:p>
        </w:tc>
        <w:tc>
          <w:tcPr>
            <w:tcW w:w="3005" w:type="dxa"/>
          </w:tcPr>
          <w:p w14:paraId="11A2C755" w14:textId="77777777" w:rsidR="003D1945" w:rsidRPr="003E4580" w:rsidRDefault="003D1945" w:rsidP="003D1945">
            <w:r w:rsidRPr="003E4580">
              <w:t>Passing lane marking &gt;0.3m</w:t>
            </w:r>
          </w:p>
        </w:tc>
        <w:tc>
          <w:tcPr>
            <w:tcW w:w="3006" w:type="dxa"/>
          </w:tcPr>
          <w:p w14:paraId="2CC5B4EA" w14:textId="5C8AF70F" w:rsidR="003D1945" w:rsidRPr="003E4580" w:rsidRDefault="003D1945" w:rsidP="003D1945">
            <w:r w:rsidRPr="003E4580">
              <w:t>Driver warning occurs</w:t>
            </w:r>
          </w:p>
        </w:tc>
      </w:tr>
      <w:tr w:rsidR="003D1945" w:rsidRPr="003E4580" w14:paraId="11378AA2" w14:textId="77777777" w:rsidTr="00D433F9">
        <w:tc>
          <w:tcPr>
            <w:tcW w:w="3005" w:type="dxa"/>
          </w:tcPr>
          <w:p w14:paraId="7CA443B9" w14:textId="77777777" w:rsidR="003D1945" w:rsidRPr="003E4580" w:rsidRDefault="003D1945" w:rsidP="003D1945">
            <w:r w:rsidRPr="003E4580">
              <w:t xml:space="preserve">Range one drifting to the right </w:t>
            </w:r>
          </w:p>
          <w:p w14:paraId="44C70AF1" w14:textId="77777777" w:rsidR="003D1945" w:rsidRPr="003E4580" w:rsidRDefault="003D1945" w:rsidP="003D1945">
            <w:r w:rsidRPr="003E4580">
              <w:t>0.1 – 0.8 m/s (first rate)</w:t>
            </w:r>
          </w:p>
        </w:tc>
        <w:tc>
          <w:tcPr>
            <w:tcW w:w="3005" w:type="dxa"/>
          </w:tcPr>
          <w:p w14:paraId="22FB8769" w14:textId="77777777" w:rsidR="003D1945" w:rsidRPr="003E4580" w:rsidRDefault="003D1945" w:rsidP="003D1945">
            <w:r w:rsidRPr="003E4580">
              <w:t>Passing lane marking &gt;0.3m</w:t>
            </w:r>
          </w:p>
        </w:tc>
        <w:tc>
          <w:tcPr>
            <w:tcW w:w="3006" w:type="dxa"/>
          </w:tcPr>
          <w:p w14:paraId="2686820A" w14:textId="5A34EA9E" w:rsidR="003D1945" w:rsidRPr="003E4580" w:rsidRDefault="003D1945" w:rsidP="003D1945">
            <w:r w:rsidRPr="003E4580">
              <w:t>Driver warning occurs</w:t>
            </w:r>
          </w:p>
        </w:tc>
      </w:tr>
      <w:tr w:rsidR="003D1945" w:rsidRPr="003E4580" w14:paraId="343D40CE" w14:textId="77777777" w:rsidTr="00D433F9">
        <w:tc>
          <w:tcPr>
            <w:tcW w:w="3005" w:type="dxa"/>
          </w:tcPr>
          <w:p w14:paraId="1ACE29E4" w14:textId="77777777" w:rsidR="003D1945" w:rsidRPr="003E4580" w:rsidRDefault="003D1945" w:rsidP="003D1945">
            <w:r w:rsidRPr="003E4580">
              <w:t xml:space="preserve">Range two drifting to the right </w:t>
            </w:r>
          </w:p>
          <w:p w14:paraId="7229DCC7" w14:textId="77777777" w:rsidR="003D1945" w:rsidRPr="003E4580" w:rsidRDefault="003D1945" w:rsidP="003D1945">
            <w:r w:rsidRPr="003E4580">
              <w:t>0.1 – 0.8 m/s (second rate, different to the first rate)</w:t>
            </w:r>
          </w:p>
        </w:tc>
        <w:tc>
          <w:tcPr>
            <w:tcW w:w="3005" w:type="dxa"/>
          </w:tcPr>
          <w:p w14:paraId="4B07AD09" w14:textId="77777777" w:rsidR="003D1945" w:rsidRPr="003E4580" w:rsidRDefault="003D1945" w:rsidP="003D1945">
            <w:r w:rsidRPr="003E4580">
              <w:t>Passing lane marking &gt;0.3m</w:t>
            </w:r>
          </w:p>
        </w:tc>
        <w:tc>
          <w:tcPr>
            <w:tcW w:w="3006" w:type="dxa"/>
          </w:tcPr>
          <w:p w14:paraId="00861E18" w14:textId="3B198604" w:rsidR="003D1945" w:rsidRPr="003E4580" w:rsidRDefault="003D1945" w:rsidP="003D1945">
            <w:r w:rsidRPr="003E4580">
              <w:t>Driver warning occurs</w:t>
            </w:r>
          </w:p>
        </w:tc>
      </w:tr>
    </w:tbl>
    <w:p w14:paraId="2CEC009F" w14:textId="1FC4B536" w:rsidR="003D1945" w:rsidRPr="003E4580" w:rsidRDefault="003D1945" w:rsidP="003D1945">
      <w:r w:rsidRPr="003E4580">
        <w:t>In all tests, the required warnings must (when active) warn the driver before the outside of the tyre on the front wheel closest to the lane markings passes more than 0.3 m beyond the outside edge of the lane markings.</w:t>
      </w:r>
    </w:p>
    <w:p w14:paraId="74E0944F" w14:textId="77777777" w:rsidR="003D1945" w:rsidRPr="003E4580" w:rsidRDefault="003D1945" w:rsidP="003D1945">
      <w:r w:rsidRPr="003E4580">
        <w:t>The LDWS optical warning signals shall be activated either when the ignition (start) switch is turned to the “on” (run) position or when the ignition (start) switch is in a position between the “on” (run) and “start” that is designated by the manufacturer as a check position (initial system (power-on)). This requirement does not apply to warning signal shown in a common space.</w:t>
      </w:r>
    </w:p>
    <w:p w14:paraId="66A69A43" w14:textId="21173B97" w:rsidR="003D1945" w:rsidRPr="003E4580" w:rsidRDefault="003D1945" w:rsidP="003D1945">
      <w:r w:rsidRPr="003E4580">
        <w:t>A constant optical warning signal shall inform the driver that the LDWS function has been deactivated.</w:t>
      </w:r>
      <w:r w:rsidR="00010F55" w:rsidRPr="003E4580">
        <w:t xml:space="preserve"> This shall be a</w:t>
      </w:r>
      <w:r w:rsidRPr="003E4580">
        <w:t xml:space="preserve"> yellow warning signal.</w:t>
      </w:r>
    </w:p>
    <w:p w14:paraId="5B0782FB" w14:textId="77777777" w:rsidR="003D1945" w:rsidRPr="003E4580" w:rsidRDefault="003D1945" w:rsidP="003D1945">
      <w:pPr>
        <w:rPr>
          <w:b/>
        </w:rPr>
      </w:pPr>
      <w:r w:rsidRPr="003E4580">
        <w:rPr>
          <w:b/>
        </w:rPr>
        <w:t>Failure Warning</w:t>
      </w:r>
    </w:p>
    <w:p w14:paraId="4A38AF39" w14:textId="77777777" w:rsidR="003D1945" w:rsidRPr="003E4580" w:rsidRDefault="003D1945" w:rsidP="003D1945">
      <w:r w:rsidRPr="003E4580">
        <w:t xml:space="preserve">When the driver is provided with an optical warning signal to indicate that the LDWS is temporarily not available, for example due to inclement weather conditions, the signal shall be constant. </w:t>
      </w:r>
    </w:p>
    <w:p w14:paraId="745FDBEC" w14:textId="77777777" w:rsidR="003D1945" w:rsidRPr="003E4580" w:rsidRDefault="003D1945" w:rsidP="003D1945">
      <w:pPr>
        <w:rPr>
          <w:b/>
        </w:rPr>
      </w:pPr>
      <w:r w:rsidRPr="003E4580">
        <w:rPr>
          <w:b/>
        </w:rPr>
        <w:t>Failure Detection</w:t>
      </w:r>
    </w:p>
    <w:p w14:paraId="1C84ED9D" w14:textId="46920FB0" w:rsidR="003D1945" w:rsidRPr="003E4580" w:rsidRDefault="00010F55" w:rsidP="003D1945">
      <w:r w:rsidRPr="003E4580">
        <w:t>This requires d</w:t>
      </w:r>
      <w:r w:rsidR="003D1945" w:rsidRPr="003E4580">
        <w:t>isconnecting the power source to any LDWS component or disconnecting any electrical connection between LDWS components</w:t>
      </w:r>
      <w:r w:rsidRPr="003E4580">
        <w:t>. The</w:t>
      </w:r>
      <w:r w:rsidR="003D1945" w:rsidRPr="003E4580">
        <w:t xml:space="preserve"> optical warning signal shall be constant. The LDWS disable control (manually deactivated) shall not be disconnected when simulating a LDWS failure.</w:t>
      </w:r>
    </w:p>
    <w:p w14:paraId="329C63B2" w14:textId="77777777" w:rsidR="003D1945" w:rsidRPr="003E4580" w:rsidRDefault="003D1945" w:rsidP="003D1945">
      <w:r w:rsidRPr="003E4580">
        <w:t>The failure optical warning signal shall be constant and remain constant while the vehicle is being driven. It is to be reactivated after a subsequent ignition “off” ignition “on” cycle as long as the simulated failure exists.</w:t>
      </w:r>
    </w:p>
    <w:p w14:paraId="34A97E54" w14:textId="77777777" w:rsidR="003D1945" w:rsidRPr="003E4580" w:rsidRDefault="003D1945" w:rsidP="003D1945"/>
    <w:p w14:paraId="50A0C127" w14:textId="77777777" w:rsidR="00DE746A" w:rsidRPr="003E4580" w:rsidRDefault="00DE746A" w:rsidP="003D1945">
      <w:pPr>
        <w:rPr>
          <w:b/>
        </w:rPr>
      </w:pPr>
    </w:p>
    <w:p w14:paraId="65602E1C" w14:textId="5DC10319" w:rsidR="003D1945" w:rsidRPr="003E4580" w:rsidRDefault="003D1945" w:rsidP="003D1945">
      <w:pPr>
        <w:rPr>
          <w:b/>
        </w:rPr>
      </w:pPr>
      <w:r w:rsidRPr="003E4580">
        <w:rPr>
          <w:b/>
        </w:rPr>
        <w:lastRenderedPageBreak/>
        <w:t>Deactivation test</w:t>
      </w:r>
    </w:p>
    <w:p w14:paraId="35D5E0F5" w14:textId="77777777" w:rsidR="003D1945" w:rsidRPr="003E4580" w:rsidRDefault="003D1945" w:rsidP="003D1945">
      <w:r w:rsidRPr="003E4580">
        <w:t>If the vehicle is equipped with means to deactivate the LDWS, turn the ignition (start) switch to the “on” (run) position and deactivate the LDWS. The optical warning signal shall be constant. Turn the ignition (start) switch to the “off” position. Again, turn the ignition (start) switch to the “on” (run) position and verify that the previously activated warning signal is not reactivated, thereby indicating that the LDWS has been reinstated and the optical warning signal is extinguished. If the ignition system is activated by means of a “key”, the above requirement shall be fulfilled without removing the key.</w:t>
      </w:r>
    </w:p>
    <w:p w14:paraId="6923E959" w14:textId="77777777" w:rsidR="00D96A35" w:rsidRPr="003E4580" w:rsidRDefault="00D96A35" w:rsidP="00D96A35">
      <w:pPr>
        <w:pStyle w:val="Heading2"/>
      </w:pPr>
      <w:bookmarkStart w:id="85" w:name="_Toc146894904"/>
      <w:r w:rsidRPr="003E4580">
        <w:t>European mandate of UN Regulation No. 130</w:t>
      </w:r>
      <w:bookmarkEnd w:id="85"/>
      <w:r w:rsidRPr="003E4580">
        <w:t xml:space="preserve"> </w:t>
      </w:r>
    </w:p>
    <w:p w14:paraId="21BBED13" w14:textId="77777777" w:rsidR="008A23AD" w:rsidRPr="003E4580" w:rsidRDefault="00D96A35" w:rsidP="008A23AD">
      <w:r w:rsidRPr="003E4580">
        <w:t>Mandatory fitment of LDWS to new heavy vehicles and buses complying with UN Regulation No. 130 has been implemented across the European market since 1 November 2015, followed by mandates in Japan and Korea. Today, the European mandate had taken full effect for all new heavy vehicles covered by UN Regulation No. 130 (with exemptions including urban buses and off-road or agricultural vehicles). Though now well established, the European mandate has not strongly influenced Australian market fitment rates, in part due to the bespoke sale configurations selected by Australian operators. However, the mandate has reduced and mitigated heavy vehicle head-on and single vehicle runoff-road crashes in Europe, providing useful European data on the effectiveness of the technology that has been used to support Australian research.</w:t>
      </w:r>
      <w:r w:rsidR="00E035C9" w:rsidRPr="003E4580" w:rsidDel="00E035C9">
        <w:t xml:space="preserve"> </w:t>
      </w:r>
    </w:p>
    <w:p w14:paraId="4182C167" w14:textId="77777777" w:rsidR="00C0365F" w:rsidRPr="003E4580" w:rsidRDefault="00C0365F" w:rsidP="008A23AD">
      <w:pPr>
        <w:sectPr w:rsidR="00C0365F" w:rsidRPr="003E4580" w:rsidSect="00D87AD8">
          <w:pgSz w:w="11906" w:h="16838" w:code="9"/>
          <w:pgMar w:top="1021" w:right="1021" w:bottom="1021" w:left="1021" w:header="510" w:footer="567" w:gutter="0"/>
          <w:cols w:space="708"/>
          <w:docGrid w:linePitch="360"/>
        </w:sectPr>
      </w:pPr>
    </w:p>
    <w:p w14:paraId="50425B8B" w14:textId="77777777" w:rsidR="008A23AD" w:rsidRPr="003E4580" w:rsidRDefault="008A23AD" w:rsidP="008A23AD">
      <w:pPr>
        <w:pStyle w:val="AppendixHeading1"/>
      </w:pPr>
      <w:bookmarkStart w:id="86" w:name="_Toc146894905"/>
      <w:r w:rsidRPr="003E4580">
        <w:lastRenderedPageBreak/>
        <w:t>Benefit-cost analysis</w:t>
      </w:r>
      <w:bookmarkEnd w:id="86"/>
    </w:p>
    <w:p w14:paraId="1CBEB625" w14:textId="5EB89AF9" w:rsidR="008A23AD" w:rsidRPr="003E4580" w:rsidRDefault="00B94761" w:rsidP="008A23AD">
      <w:r w:rsidRPr="003E4580">
        <w:t>The model used in this analysis was the Net Present Value (NPV) model. The costs and expected benefits associated with government intervention (Option2) were summed over time. The further the cost or benefit occurred from the nominal starting date, the more they were discounted. This allowed all costs and benefits to be compared equally among the options, no matter when they occurred. Table</w:t>
      </w:r>
      <w:r w:rsidR="00AA3690" w:rsidRPr="003E4580">
        <w:t>s</w:t>
      </w:r>
      <w:r w:rsidRPr="003E4580">
        <w:t xml:space="preserve"> </w:t>
      </w:r>
      <w:r w:rsidR="00AA3690" w:rsidRPr="003E4580">
        <w:t>1, 2 and 3</w:t>
      </w:r>
      <w:r w:rsidRPr="003E4580">
        <w:t xml:space="preserve"> summarises the </w:t>
      </w:r>
      <w:r w:rsidR="003F0186" w:rsidRPr="003E4580">
        <w:t xml:space="preserve">outcomes </w:t>
      </w:r>
      <w:r w:rsidRPr="003E4580">
        <w:t>from this analysis.</w:t>
      </w:r>
    </w:p>
    <w:p w14:paraId="5B5E6A54" w14:textId="0BB17C09" w:rsidR="00B94761" w:rsidRPr="003E4580" w:rsidRDefault="00B94761" w:rsidP="00CB0804">
      <w:pPr>
        <w:pStyle w:val="ListParagraph"/>
        <w:numPr>
          <w:ilvl w:val="0"/>
          <w:numId w:val="21"/>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The number of new registered vehicles in ADR categories covered by UN Regulation No. 130 were established for each year between 1968 and 2021 inclusive, utilising available Australian Bureau of Statistics Motor Vehicle Census (report series 9309.0) data (Australian Bureau of Statistics, 2017a), and registrations per capita for years prior to availability of census data:</w:t>
      </w:r>
    </w:p>
    <w:p w14:paraId="27289CD4" w14:textId="77777777" w:rsidR="0065065A" w:rsidRPr="003E4580" w:rsidRDefault="0065065A" w:rsidP="0065065A">
      <w:pPr>
        <w:keepNext/>
        <w:jc w:val="center"/>
      </w:pPr>
      <w:r w:rsidRPr="003E4580">
        <w:rPr>
          <w:rFonts w:cstheme="minorHAnsi"/>
          <w:noProof/>
          <w:lang w:eastAsia="en-AU"/>
        </w:rPr>
        <w:drawing>
          <wp:inline distT="0" distB="0" distL="0" distR="0" wp14:anchorId="13256552" wp14:editId="73C66C2D">
            <wp:extent cx="5356746" cy="2323908"/>
            <wp:effectExtent l="0" t="0" r="0" b="635"/>
            <wp:docPr id="23" name="Picture 23" descr="Figure 9: New Australian heavy vehicle registrations, categories covered by UN Regulation No. 131 to 2021. Shows sharp increase from 2014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2588" cy="2335119"/>
                    </a:xfrm>
                    <a:prstGeom prst="rect">
                      <a:avLst/>
                    </a:prstGeom>
                    <a:noFill/>
                  </pic:spPr>
                </pic:pic>
              </a:graphicData>
            </a:graphic>
          </wp:inline>
        </w:drawing>
      </w:r>
    </w:p>
    <w:p w14:paraId="50760DFB" w14:textId="266B4A46" w:rsidR="0065065A" w:rsidRPr="003E4580" w:rsidRDefault="0065065A" w:rsidP="0065065A">
      <w:pPr>
        <w:pStyle w:val="Caption"/>
        <w:jc w:val="center"/>
        <w:rPr>
          <w:rFonts w:cstheme="minorHAnsi"/>
        </w:rPr>
      </w:pPr>
      <w:r w:rsidRPr="003E4580">
        <w:t xml:space="preserve">Figure </w:t>
      </w:r>
      <w:r w:rsidR="00BF64CF">
        <w:fldChar w:fldCharType="begin"/>
      </w:r>
      <w:r w:rsidR="00BF64CF">
        <w:instrText xml:space="preserve"> SEQ Figure \* ARABIC </w:instrText>
      </w:r>
      <w:r w:rsidR="00BF64CF">
        <w:fldChar w:fldCharType="separate"/>
      </w:r>
      <w:r w:rsidR="008E07C6" w:rsidRPr="003E4580">
        <w:rPr>
          <w:noProof/>
        </w:rPr>
        <w:t>9</w:t>
      </w:r>
      <w:r w:rsidR="00BF64CF">
        <w:rPr>
          <w:noProof/>
        </w:rPr>
        <w:fldChar w:fldCharType="end"/>
      </w:r>
      <w:r w:rsidRPr="003E4580">
        <w:t>: New Australian heavy vehicle registrations, categories covered by UN Regulation No. 131 to 2021.</w:t>
      </w:r>
    </w:p>
    <w:p w14:paraId="43160AD0" w14:textId="425DBC84" w:rsidR="00C0365F" w:rsidRPr="003E4580" w:rsidRDefault="005E29AD" w:rsidP="00CB0804">
      <w:pPr>
        <w:pStyle w:val="ListParagraph"/>
        <w:numPr>
          <w:ilvl w:val="0"/>
          <w:numId w:val="21"/>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Data from MUARC was used to determine the typical crash frequency by age for vehicle categories covered by UN Regulation No. 130</w:t>
      </w:r>
      <w:r w:rsidR="002553A0" w:rsidRPr="003E4580">
        <w:rPr>
          <w:rFonts w:asciiTheme="minorHAnsi" w:hAnsiTheme="minorHAnsi" w:cstheme="minorBidi"/>
          <w:color w:val="000000" w:themeColor="text1"/>
          <w:kern w:val="12"/>
          <w:sz w:val="20"/>
          <w:szCs w:val="20"/>
        </w:rPr>
        <w:t>:</w:t>
      </w:r>
    </w:p>
    <w:p w14:paraId="6637E15B" w14:textId="77777777" w:rsidR="004551C6" w:rsidRPr="003E4580" w:rsidRDefault="005E29AD" w:rsidP="004551C6">
      <w:pPr>
        <w:keepNext/>
        <w:jc w:val="center"/>
      </w:pPr>
      <w:r w:rsidRPr="003E4580">
        <w:rPr>
          <w:noProof/>
          <w:lang w:eastAsia="en-AU"/>
        </w:rPr>
        <w:drawing>
          <wp:inline distT="0" distB="0" distL="0" distR="0" wp14:anchorId="0781E993" wp14:editId="1711A169">
            <wp:extent cx="5404513" cy="2519726"/>
            <wp:effectExtent l="0" t="0" r="5715" b="0"/>
            <wp:docPr id="25" name="Picture 25" descr="Crash frequency by vehicle age, shows skewed distribution with a peak crash age of around 3 to 4 years before tailing out to 37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2807" cy="2532917"/>
                    </a:xfrm>
                    <a:prstGeom prst="rect">
                      <a:avLst/>
                    </a:prstGeom>
                    <a:noFill/>
                  </pic:spPr>
                </pic:pic>
              </a:graphicData>
            </a:graphic>
          </wp:inline>
        </w:drawing>
      </w:r>
    </w:p>
    <w:p w14:paraId="59DF3B64" w14:textId="0443594F" w:rsidR="005E29AD" w:rsidRPr="003E4580" w:rsidRDefault="004551C6" w:rsidP="004551C6">
      <w:pPr>
        <w:pStyle w:val="Caption"/>
        <w:jc w:val="center"/>
      </w:pPr>
      <w:r w:rsidRPr="003E4580">
        <w:t xml:space="preserve">Figure </w:t>
      </w:r>
      <w:r w:rsidR="00BF64CF">
        <w:fldChar w:fldCharType="begin"/>
      </w:r>
      <w:r w:rsidR="00BF64CF">
        <w:instrText xml:space="preserve"> SEQ Figure \* ARABIC </w:instrText>
      </w:r>
      <w:r w:rsidR="00BF64CF">
        <w:fldChar w:fldCharType="separate"/>
      </w:r>
      <w:r w:rsidR="008E07C6" w:rsidRPr="003E4580">
        <w:rPr>
          <w:noProof/>
        </w:rPr>
        <w:t>10</w:t>
      </w:r>
      <w:r w:rsidR="00BF64CF">
        <w:rPr>
          <w:noProof/>
        </w:rPr>
        <w:fldChar w:fldCharType="end"/>
      </w:r>
      <w:r w:rsidRPr="003E4580">
        <w:t>: Crash frequency by vehicle age</w:t>
      </w:r>
    </w:p>
    <w:p w14:paraId="7D8C24DE" w14:textId="592AAAC3" w:rsidR="005E29AD" w:rsidRPr="003E4580" w:rsidRDefault="005E29AD" w:rsidP="00CB0804">
      <w:pPr>
        <w:pStyle w:val="ListParagraph"/>
        <w:numPr>
          <w:ilvl w:val="0"/>
          <w:numId w:val="21"/>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lastRenderedPageBreak/>
        <w:t>Data from steps 1 and 2 were used to determine the likelihood of a vehicle of a given age being involved in a casualty crash over the course of 1 year as a function of the registered vehicles of a given age:</w:t>
      </w:r>
    </w:p>
    <w:p w14:paraId="18E2B64B" w14:textId="77777777" w:rsidR="004551C6" w:rsidRPr="003E4580" w:rsidRDefault="005E29AD" w:rsidP="004551C6">
      <w:pPr>
        <w:keepNext/>
        <w:jc w:val="center"/>
      </w:pPr>
      <w:r w:rsidRPr="003E4580">
        <w:rPr>
          <w:noProof/>
          <w:lang w:eastAsia="en-AU"/>
        </w:rPr>
        <w:drawing>
          <wp:inline distT="0" distB="0" distL="0" distR="0" wp14:anchorId="385CEE12" wp14:editId="0C09FD49">
            <wp:extent cx="5356746" cy="2477905"/>
            <wp:effectExtent l="0" t="0" r="0" b="0"/>
            <wp:docPr id="28" name="Picture 28" descr="Crash likelihood by age which is skewed and proportional to the previou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3774" cy="2485782"/>
                    </a:xfrm>
                    <a:prstGeom prst="rect">
                      <a:avLst/>
                    </a:prstGeom>
                    <a:noFill/>
                  </pic:spPr>
                </pic:pic>
              </a:graphicData>
            </a:graphic>
          </wp:inline>
        </w:drawing>
      </w:r>
    </w:p>
    <w:p w14:paraId="54E5DBA5" w14:textId="214ECD4A" w:rsidR="005E29AD" w:rsidRPr="003E4580" w:rsidRDefault="004551C6" w:rsidP="004551C6">
      <w:pPr>
        <w:pStyle w:val="Caption"/>
        <w:jc w:val="center"/>
      </w:pPr>
      <w:r w:rsidRPr="003E4580">
        <w:t xml:space="preserve">Figure </w:t>
      </w:r>
      <w:r w:rsidR="00BF64CF">
        <w:fldChar w:fldCharType="begin"/>
      </w:r>
      <w:r w:rsidR="00BF64CF">
        <w:instrText xml:space="preserve"> SEQ Figure \* ARA</w:instrText>
      </w:r>
      <w:r w:rsidR="00BF64CF">
        <w:instrText xml:space="preserve">BIC </w:instrText>
      </w:r>
      <w:r w:rsidR="00BF64CF">
        <w:fldChar w:fldCharType="separate"/>
      </w:r>
      <w:r w:rsidR="008E07C6" w:rsidRPr="003E4580">
        <w:rPr>
          <w:noProof/>
        </w:rPr>
        <w:t>11</w:t>
      </w:r>
      <w:r w:rsidR="00BF64CF">
        <w:rPr>
          <w:noProof/>
        </w:rPr>
        <w:fldChar w:fldCharType="end"/>
      </w:r>
      <w:r w:rsidRPr="003E4580">
        <w:t>: Crash likelihood by age</w:t>
      </w:r>
    </w:p>
    <w:p w14:paraId="38BF6DBB" w14:textId="39F6691D" w:rsidR="005E29AD" w:rsidRPr="003E4580" w:rsidRDefault="004551C6" w:rsidP="00CB0804">
      <w:pPr>
        <w:pStyle w:val="ListParagraph"/>
        <w:numPr>
          <w:ilvl w:val="0"/>
          <w:numId w:val="21"/>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New combined vehicle sales data for applicable vehicle categories was established:</w:t>
      </w:r>
    </w:p>
    <w:p w14:paraId="2BC16153" w14:textId="77777777" w:rsidR="004551C6" w:rsidRPr="003E4580" w:rsidRDefault="004551C6" w:rsidP="004551C6">
      <w:pPr>
        <w:keepNext/>
        <w:jc w:val="center"/>
      </w:pPr>
      <w:r w:rsidRPr="003E4580">
        <w:rPr>
          <w:noProof/>
          <w:lang w:eastAsia="en-AU"/>
        </w:rPr>
        <w:drawing>
          <wp:inline distT="0" distB="0" distL="0" distR="0" wp14:anchorId="776AA168" wp14:editId="651217B4">
            <wp:extent cx="5356341" cy="2388358"/>
            <wp:effectExtent l="0" t="0" r="0" b="0"/>
            <wp:docPr id="29" name="Picture 29" descr="Past and projected heavy vehicle sales, increasing wit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5221" cy="2396776"/>
                    </a:xfrm>
                    <a:prstGeom prst="rect">
                      <a:avLst/>
                    </a:prstGeom>
                    <a:noFill/>
                  </pic:spPr>
                </pic:pic>
              </a:graphicData>
            </a:graphic>
          </wp:inline>
        </w:drawing>
      </w:r>
    </w:p>
    <w:p w14:paraId="3D2B4637" w14:textId="7D8AAACA" w:rsidR="004551C6" w:rsidRPr="003E4580" w:rsidRDefault="004551C6" w:rsidP="004551C6">
      <w:pPr>
        <w:pStyle w:val="Caption"/>
        <w:jc w:val="center"/>
      </w:pPr>
      <w:r w:rsidRPr="003E4580">
        <w:t xml:space="preserve">Figure </w:t>
      </w:r>
      <w:r w:rsidR="00BF64CF">
        <w:fldChar w:fldCharType="begin"/>
      </w:r>
      <w:r w:rsidR="00BF64CF">
        <w:instrText xml:space="preserve"> SEQ Figure \* ARABIC </w:instrText>
      </w:r>
      <w:r w:rsidR="00BF64CF">
        <w:fldChar w:fldCharType="separate"/>
      </w:r>
      <w:r w:rsidR="008E07C6" w:rsidRPr="003E4580">
        <w:rPr>
          <w:noProof/>
        </w:rPr>
        <w:t>12</w:t>
      </w:r>
      <w:r w:rsidR="00BF64CF">
        <w:rPr>
          <w:noProof/>
        </w:rPr>
        <w:fldChar w:fldCharType="end"/>
      </w:r>
      <w:r w:rsidRPr="003E4580">
        <w:t>: Past and projected heavy vehicle sales</w:t>
      </w:r>
    </w:p>
    <w:p w14:paraId="53FB2818" w14:textId="2292B927" w:rsidR="004551C6" w:rsidRPr="003E4580" w:rsidRDefault="00552A2E" w:rsidP="00A60DD6">
      <w:pPr>
        <w:pStyle w:val="ListParagraph"/>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Short to medium forecast sales were obtained from industry bodies, beyond which growth rates were projected from NTC statistics (NTC, 2016), heavy duty vehicle industry (Heavy Duty Sales, 2018), Bus Industry Council’s National Technical Suppliers Summit 2017 and VFACTs.</w:t>
      </w:r>
    </w:p>
    <w:p w14:paraId="27878E6C" w14:textId="77777777" w:rsidR="00C62831" w:rsidRPr="003E4580" w:rsidRDefault="00C62831" w:rsidP="00FD45D7">
      <w:pPr>
        <w:pStyle w:val="ListParagraph"/>
        <w:spacing w:before="240"/>
        <w:rPr>
          <w:rFonts w:asciiTheme="minorHAnsi" w:hAnsiTheme="minorHAnsi" w:cstheme="minorBidi"/>
          <w:color w:val="000000" w:themeColor="text1"/>
          <w:kern w:val="12"/>
          <w:sz w:val="20"/>
          <w:szCs w:val="20"/>
        </w:rPr>
        <w:sectPr w:rsidR="00C62831" w:rsidRPr="003E4580" w:rsidSect="00D87AD8">
          <w:pgSz w:w="11906" w:h="16838" w:code="9"/>
          <w:pgMar w:top="1021" w:right="1021" w:bottom="1021" w:left="1021" w:header="510" w:footer="567" w:gutter="0"/>
          <w:cols w:space="708"/>
          <w:docGrid w:linePitch="360"/>
        </w:sectPr>
      </w:pPr>
    </w:p>
    <w:p w14:paraId="71D5BFBE" w14:textId="40F23928" w:rsidR="00FD45D7" w:rsidRPr="003E4580" w:rsidRDefault="00FD45D7" w:rsidP="00FD45D7">
      <w:pPr>
        <w:pStyle w:val="ListParagraph"/>
        <w:spacing w:before="240"/>
        <w:rPr>
          <w:rFonts w:asciiTheme="minorHAnsi" w:hAnsiTheme="minorHAnsi" w:cstheme="minorBidi"/>
          <w:color w:val="000000" w:themeColor="text1"/>
          <w:kern w:val="12"/>
          <w:sz w:val="20"/>
          <w:szCs w:val="20"/>
        </w:rPr>
      </w:pPr>
    </w:p>
    <w:p w14:paraId="1B981F36" w14:textId="58FB0A6A" w:rsidR="004551C6" w:rsidRPr="003E4580" w:rsidRDefault="008D6CD1" w:rsidP="00CB0804">
      <w:pPr>
        <w:pStyle w:val="ListParagraph"/>
        <w:numPr>
          <w:ilvl w:val="0"/>
          <w:numId w:val="21"/>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The projected increased fitment rate at sale was established for Option 2 (solid line – BAU):</w:t>
      </w:r>
    </w:p>
    <w:p w14:paraId="13F59A73" w14:textId="48140A09" w:rsidR="00FD45D7" w:rsidRPr="003E4580" w:rsidRDefault="00B24191" w:rsidP="00FD45D7">
      <w:pPr>
        <w:pStyle w:val="ListParagraph"/>
        <w:keepNext/>
        <w:jc w:val="center"/>
      </w:pPr>
      <w:r w:rsidRPr="003E4580">
        <w:rPr>
          <w:noProof/>
          <w:lang w:eastAsia="en-AU"/>
        </w:rPr>
        <w:drawing>
          <wp:inline distT="0" distB="0" distL="0" distR="0" wp14:anchorId="3D8EEA46" wp14:editId="4F00D239">
            <wp:extent cx="5011420" cy="3596640"/>
            <wp:effectExtent l="0" t="0" r="4445" b="3810"/>
            <wp:docPr id="30" name="Picture 30" descr="Projected fitment effectc, solid line showing business as usual fitment reaching 70% in 2028 and the dashed line showing Option 2 fitment rate reaching 100% fitment rate i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1420" cy="3596640"/>
                    </a:xfrm>
                    <a:prstGeom prst="rect">
                      <a:avLst/>
                    </a:prstGeom>
                    <a:noFill/>
                  </pic:spPr>
                </pic:pic>
              </a:graphicData>
            </a:graphic>
          </wp:inline>
        </w:drawing>
      </w:r>
    </w:p>
    <w:p w14:paraId="31CB6F48" w14:textId="36C2E146" w:rsidR="008D6CD1" w:rsidRPr="003E4580" w:rsidRDefault="00FD45D7" w:rsidP="00FD45D7">
      <w:pPr>
        <w:pStyle w:val="Caption"/>
        <w:jc w:val="center"/>
      </w:pPr>
      <w:r w:rsidRPr="003E4580">
        <w:t xml:space="preserve">Figure </w:t>
      </w:r>
      <w:r w:rsidR="00BF64CF">
        <w:fldChar w:fldCharType="begin"/>
      </w:r>
      <w:r w:rsidR="00BF64CF">
        <w:instrText xml:space="preserve"> SEQ Figure \* ARABIC </w:instrText>
      </w:r>
      <w:r w:rsidR="00BF64CF">
        <w:fldChar w:fldCharType="separate"/>
      </w:r>
      <w:r w:rsidR="008E07C6" w:rsidRPr="003E4580">
        <w:rPr>
          <w:noProof/>
        </w:rPr>
        <w:t>13</w:t>
      </w:r>
      <w:r w:rsidR="00BF64CF">
        <w:rPr>
          <w:noProof/>
        </w:rPr>
        <w:fldChar w:fldCharType="end"/>
      </w:r>
      <w:r w:rsidRPr="003E4580">
        <w:t>: Projected fitment effect</w:t>
      </w:r>
    </w:p>
    <w:p w14:paraId="4934F8CA" w14:textId="77777777" w:rsidR="007359D5" w:rsidRPr="003E4580" w:rsidRDefault="007359D5" w:rsidP="007359D5">
      <w:pPr>
        <w:sectPr w:rsidR="007359D5" w:rsidRPr="003E4580" w:rsidSect="00D87AD8">
          <w:pgSz w:w="11906" w:h="16838" w:code="9"/>
          <w:pgMar w:top="1021" w:right="1021" w:bottom="1021" w:left="1021" w:header="510" w:footer="567" w:gutter="0"/>
          <w:cols w:space="708"/>
          <w:docGrid w:linePitch="360"/>
        </w:sectPr>
      </w:pPr>
    </w:p>
    <w:p w14:paraId="79E9F316" w14:textId="2C253447" w:rsidR="00FD45D7" w:rsidRPr="003E4580" w:rsidRDefault="00B24191" w:rsidP="00CB0804">
      <w:pPr>
        <w:pStyle w:val="ListParagraph"/>
        <w:numPr>
          <w:ilvl w:val="0"/>
          <w:numId w:val="21"/>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lastRenderedPageBreak/>
        <w:t>Fitment increase by year is determined from available sales data (step 4) and fitment data (step 5):</w:t>
      </w:r>
    </w:p>
    <w:tbl>
      <w:tblPr>
        <w:tblStyle w:val="TableGrid"/>
        <w:tblW w:w="0" w:type="auto"/>
        <w:jc w:val="center"/>
        <w:tblLook w:val="04A0" w:firstRow="1" w:lastRow="0" w:firstColumn="1" w:lastColumn="0" w:noHBand="0" w:noVBand="1"/>
      </w:tblPr>
      <w:tblGrid>
        <w:gridCol w:w="3514"/>
        <w:gridCol w:w="4927"/>
      </w:tblGrid>
      <w:tr w:rsidR="00B24191" w:rsidRPr="003E4580" w14:paraId="29A5ED12" w14:textId="77777777" w:rsidTr="007359D5">
        <w:trPr>
          <w:jc w:val="center"/>
        </w:trPr>
        <w:tc>
          <w:tcPr>
            <w:tcW w:w="8441" w:type="dxa"/>
            <w:gridSpan w:val="2"/>
          </w:tcPr>
          <w:p w14:paraId="7D1855F1" w14:textId="451E016A" w:rsidR="00B24191" w:rsidRPr="003E4580" w:rsidRDefault="00B24191" w:rsidP="007359D5">
            <w:pPr>
              <w:jc w:val="center"/>
            </w:pPr>
            <w:r w:rsidRPr="003E4580">
              <w:t>Fitment increase</w:t>
            </w:r>
            <w:r w:rsidR="003D1D68" w:rsidRPr="003E4580">
              <w:t xml:space="preserve"> over BAU</w:t>
            </w:r>
            <w:r w:rsidRPr="003E4580">
              <w:t xml:space="preserve"> at sale</w:t>
            </w:r>
          </w:p>
        </w:tc>
      </w:tr>
      <w:tr w:rsidR="00B24191" w:rsidRPr="003E4580" w14:paraId="3E717768" w14:textId="77777777" w:rsidTr="007359D5">
        <w:trPr>
          <w:jc w:val="center"/>
        </w:trPr>
        <w:tc>
          <w:tcPr>
            <w:tcW w:w="3514" w:type="dxa"/>
          </w:tcPr>
          <w:p w14:paraId="5D84A261" w14:textId="2F9B6A1A" w:rsidR="00B24191" w:rsidRPr="003E4580" w:rsidRDefault="00B24191" w:rsidP="007359D5">
            <w:pPr>
              <w:jc w:val="center"/>
            </w:pPr>
            <w:r w:rsidRPr="003E4580">
              <w:t>Year</w:t>
            </w:r>
          </w:p>
        </w:tc>
        <w:tc>
          <w:tcPr>
            <w:tcW w:w="4927" w:type="dxa"/>
          </w:tcPr>
          <w:p w14:paraId="44565115" w14:textId="7CCCF493" w:rsidR="00B24191" w:rsidRPr="003E4580" w:rsidRDefault="00B24191" w:rsidP="007359D5">
            <w:pPr>
              <w:jc w:val="center"/>
            </w:pPr>
            <w:r w:rsidRPr="003E4580">
              <w:t>Option 2</w:t>
            </w:r>
          </w:p>
        </w:tc>
      </w:tr>
      <w:tr w:rsidR="007359D5" w:rsidRPr="003E4580" w14:paraId="138FD78D" w14:textId="77777777" w:rsidTr="007359D5">
        <w:trPr>
          <w:jc w:val="center"/>
        </w:trPr>
        <w:tc>
          <w:tcPr>
            <w:tcW w:w="3514" w:type="dxa"/>
          </w:tcPr>
          <w:p w14:paraId="21FEB663" w14:textId="560010BD" w:rsidR="007359D5" w:rsidRPr="003E4580" w:rsidRDefault="007359D5" w:rsidP="007359D5">
            <w:pPr>
              <w:jc w:val="center"/>
            </w:pPr>
            <w:r w:rsidRPr="003E4580">
              <w:t>2024</w:t>
            </w:r>
          </w:p>
        </w:tc>
        <w:tc>
          <w:tcPr>
            <w:tcW w:w="4927" w:type="dxa"/>
          </w:tcPr>
          <w:p w14:paraId="43A7B321" w14:textId="0A13BDD0" w:rsidR="007359D5" w:rsidRPr="003E4580" w:rsidRDefault="007359D5" w:rsidP="007359D5">
            <w:pPr>
              <w:jc w:val="center"/>
            </w:pPr>
            <w:r w:rsidRPr="003E4580">
              <w:t>5,772</w:t>
            </w:r>
          </w:p>
        </w:tc>
      </w:tr>
      <w:tr w:rsidR="007359D5" w:rsidRPr="003E4580" w14:paraId="1935B685" w14:textId="77777777" w:rsidTr="007359D5">
        <w:trPr>
          <w:jc w:val="center"/>
        </w:trPr>
        <w:tc>
          <w:tcPr>
            <w:tcW w:w="3514" w:type="dxa"/>
          </w:tcPr>
          <w:p w14:paraId="104CF88B" w14:textId="5B8F0018" w:rsidR="007359D5" w:rsidRPr="003E4580" w:rsidRDefault="007359D5" w:rsidP="007359D5">
            <w:pPr>
              <w:jc w:val="center"/>
            </w:pPr>
            <w:r w:rsidRPr="003E4580">
              <w:t>2025</w:t>
            </w:r>
          </w:p>
        </w:tc>
        <w:tc>
          <w:tcPr>
            <w:tcW w:w="4927" w:type="dxa"/>
          </w:tcPr>
          <w:p w14:paraId="73E7A870" w14:textId="7AE1A7A8" w:rsidR="007359D5" w:rsidRPr="003E4580" w:rsidRDefault="007359D5" w:rsidP="007359D5">
            <w:pPr>
              <w:jc w:val="center"/>
            </w:pPr>
            <w:r w:rsidRPr="003E4580">
              <w:t>13,600</w:t>
            </w:r>
          </w:p>
        </w:tc>
      </w:tr>
      <w:tr w:rsidR="007359D5" w:rsidRPr="003E4580" w14:paraId="20B09293" w14:textId="77777777" w:rsidTr="007359D5">
        <w:trPr>
          <w:jc w:val="center"/>
        </w:trPr>
        <w:tc>
          <w:tcPr>
            <w:tcW w:w="3514" w:type="dxa"/>
          </w:tcPr>
          <w:p w14:paraId="3CA7BA19" w14:textId="180385F8" w:rsidR="007359D5" w:rsidRPr="003E4580" w:rsidRDefault="007359D5" w:rsidP="007359D5">
            <w:pPr>
              <w:jc w:val="center"/>
            </w:pPr>
            <w:r w:rsidRPr="003E4580">
              <w:t>2026</w:t>
            </w:r>
          </w:p>
        </w:tc>
        <w:tc>
          <w:tcPr>
            <w:tcW w:w="4927" w:type="dxa"/>
          </w:tcPr>
          <w:p w14:paraId="099B2A40" w14:textId="4E97ED70" w:rsidR="007359D5" w:rsidRPr="003E4580" w:rsidRDefault="007359D5" w:rsidP="007359D5">
            <w:pPr>
              <w:jc w:val="center"/>
            </w:pPr>
            <w:r w:rsidRPr="003E4580">
              <w:t>18,750</w:t>
            </w:r>
          </w:p>
        </w:tc>
      </w:tr>
      <w:tr w:rsidR="007359D5" w:rsidRPr="003E4580" w14:paraId="1E1FBB0D" w14:textId="77777777" w:rsidTr="007359D5">
        <w:trPr>
          <w:jc w:val="center"/>
        </w:trPr>
        <w:tc>
          <w:tcPr>
            <w:tcW w:w="3514" w:type="dxa"/>
          </w:tcPr>
          <w:p w14:paraId="30F3C328" w14:textId="5A372820" w:rsidR="007359D5" w:rsidRPr="003E4580" w:rsidRDefault="007359D5" w:rsidP="007359D5">
            <w:pPr>
              <w:jc w:val="center"/>
            </w:pPr>
            <w:r w:rsidRPr="003E4580">
              <w:t>2027</w:t>
            </w:r>
          </w:p>
        </w:tc>
        <w:tc>
          <w:tcPr>
            <w:tcW w:w="4927" w:type="dxa"/>
          </w:tcPr>
          <w:p w14:paraId="1292A063" w14:textId="0E440F6F" w:rsidR="007359D5" w:rsidRPr="003E4580" w:rsidRDefault="007359D5" w:rsidP="007359D5">
            <w:pPr>
              <w:jc w:val="center"/>
            </w:pPr>
            <w:r w:rsidRPr="003E4580">
              <w:t>18,022</w:t>
            </w:r>
          </w:p>
        </w:tc>
      </w:tr>
      <w:tr w:rsidR="007359D5" w:rsidRPr="003E4580" w14:paraId="245C7276" w14:textId="77777777" w:rsidTr="007359D5">
        <w:trPr>
          <w:jc w:val="center"/>
        </w:trPr>
        <w:tc>
          <w:tcPr>
            <w:tcW w:w="3514" w:type="dxa"/>
          </w:tcPr>
          <w:p w14:paraId="4257A755" w14:textId="110B33D6" w:rsidR="007359D5" w:rsidRPr="003E4580" w:rsidRDefault="007359D5" w:rsidP="007359D5">
            <w:pPr>
              <w:jc w:val="center"/>
            </w:pPr>
            <w:r w:rsidRPr="003E4580">
              <w:t>2028</w:t>
            </w:r>
          </w:p>
        </w:tc>
        <w:tc>
          <w:tcPr>
            <w:tcW w:w="4927" w:type="dxa"/>
          </w:tcPr>
          <w:p w14:paraId="37BB37E7" w14:textId="71B5207F" w:rsidR="007359D5" w:rsidRPr="003E4580" w:rsidRDefault="007359D5" w:rsidP="007359D5">
            <w:pPr>
              <w:jc w:val="center"/>
            </w:pPr>
            <w:r w:rsidRPr="003E4580">
              <w:t>16,633</w:t>
            </w:r>
          </w:p>
        </w:tc>
      </w:tr>
      <w:tr w:rsidR="007359D5" w:rsidRPr="003E4580" w14:paraId="6657C893" w14:textId="77777777" w:rsidTr="007359D5">
        <w:trPr>
          <w:jc w:val="center"/>
        </w:trPr>
        <w:tc>
          <w:tcPr>
            <w:tcW w:w="3514" w:type="dxa"/>
          </w:tcPr>
          <w:p w14:paraId="099FCEAB" w14:textId="75D054E8" w:rsidR="007359D5" w:rsidRPr="003E4580" w:rsidRDefault="007359D5" w:rsidP="007359D5">
            <w:pPr>
              <w:jc w:val="center"/>
            </w:pPr>
            <w:r w:rsidRPr="003E4580">
              <w:t>2029</w:t>
            </w:r>
          </w:p>
        </w:tc>
        <w:tc>
          <w:tcPr>
            <w:tcW w:w="4927" w:type="dxa"/>
          </w:tcPr>
          <w:p w14:paraId="52C839A1" w14:textId="16418940" w:rsidR="007359D5" w:rsidRPr="003E4580" w:rsidRDefault="007359D5" w:rsidP="007359D5">
            <w:pPr>
              <w:jc w:val="center"/>
            </w:pPr>
            <w:r w:rsidRPr="003E4580">
              <w:t>17,332</w:t>
            </w:r>
          </w:p>
        </w:tc>
      </w:tr>
      <w:tr w:rsidR="007359D5" w:rsidRPr="003E4580" w14:paraId="7B4E1D7F" w14:textId="77777777" w:rsidTr="007359D5">
        <w:trPr>
          <w:jc w:val="center"/>
        </w:trPr>
        <w:tc>
          <w:tcPr>
            <w:tcW w:w="3514" w:type="dxa"/>
          </w:tcPr>
          <w:p w14:paraId="21338403" w14:textId="54564303" w:rsidR="007359D5" w:rsidRPr="003E4580" w:rsidRDefault="007359D5" w:rsidP="007359D5">
            <w:pPr>
              <w:jc w:val="center"/>
            </w:pPr>
            <w:r w:rsidRPr="003E4580">
              <w:t>2030</w:t>
            </w:r>
          </w:p>
        </w:tc>
        <w:tc>
          <w:tcPr>
            <w:tcW w:w="4927" w:type="dxa"/>
          </w:tcPr>
          <w:p w14:paraId="505C2D99" w14:textId="54E837F5" w:rsidR="007359D5" w:rsidRPr="003E4580" w:rsidRDefault="007359D5" w:rsidP="007359D5">
            <w:pPr>
              <w:jc w:val="center"/>
            </w:pPr>
            <w:r w:rsidRPr="003E4580">
              <w:t>18,062</w:t>
            </w:r>
          </w:p>
        </w:tc>
      </w:tr>
      <w:tr w:rsidR="007359D5" w:rsidRPr="003E4580" w14:paraId="0E25ECFB" w14:textId="77777777" w:rsidTr="007359D5">
        <w:trPr>
          <w:jc w:val="center"/>
        </w:trPr>
        <w:tc>
          <w:tcPr>
            <w:tcW w:w="3514" w:type="dxa"/>
          </w:tcPr>
          <w:p w14:paraId="27A442F9" w14:textId="0C55B850" w:rsidR="007359D5" w:rsidRPr="003E4580" w:rsidRDefault="007359D5" w:rsidP="007359D5">
            <w:pPr>
              <w:jc w:val="center"/>
            </w:pPr>
            <w:r w:rsidRPr="003E4580">
              <w:t>2031</w:t>
            </w:r>
          </w:p>
        </w:tc>
        <w:tc>
          <w:tcPr>
            <w:tcW w:w="4927" w:type="dxa"/>
          </w:tcPr>
          <w:p w14:paraId="63AA0F9D" w14:textId="7A407D5D" w:rsidR="007359D5" w:rsidRPr="003E4580" w:rsidRDefault="007359D5" w:rsidP="007359D5">
            <w:pPr>
              <w:jc w:val="center"/>
            </w:pPr>
            <w:r w:rsidRPr="003E4580">
              <w:t>18,824</w:t>
            </w:r>
          </w:p>
        </w:tc>
      </w:tr>
      <w:tr w:rsidR="007359D5" w:rsidRPr="003E4580" w14:paraId="5C857EEA" w14:textId="77777777" w:rsidTr="007359D5">
        <w:trPr>
          <w:jc w:val="center"/>
        </w:trPr>
        <w:tc>
          <w:tcPr>
            <w:tcW w:w="3514" w:type="dxa"/>
          </w:tcPr>
          <w:p w14:paraId="5EF0AC84" w14:textId="4F8C8FF5" w:rsidR="007359D5" w:rsidRPr="003E4580" w:rsidRDefault="007359D5" w:rsidP="007359D5">
            <w:pPr>
              <w:jc w:val="center"/>
            </w:pPr>
            <w:r w:rsidRPr="003E4580">
              <w:t>2032</w:t>
            </w:r>
          </w:p>
        </w:tc>
        <w:tc>
          <w:tcPr>
            <w:tcW w:w="4927" w:type="dxa"/>
          </w:tcPr>
          <w:p w14:paraId="52172223" w14:textId="4E414097" w:rsidR="007359D5" w:rsidRPr="003E4580" w:rsidRDefault="007359D5" w:rsidP="007359D5">
            <w:pPr>
              <w:jc w:val="center"/>
            </w:pPr>
            <w:r w:rsidRPr="003E4580">
              <w:t>19,619</w:t>
            </w:r>
          </w:p>
        </w:tc>
      </w:tr>
      <w:tr w:rsidR="007359D5" w:rsidRPr="003E4580" w14:paraId="24695B5B" w14:textId="77777777" w:rsidTr="007359D5">
        <w:trPr>
          <w:jc w:val="center"/>
        </w:trPr>
        <w:tc>
          <w:tcPr>
            <w:tcW w:w="3514" w:type="dxa"/>
          </w:tcPr>
          <w:p w14:paraId="7CAD684F" w14:textId="5E7B7B00" w:rsidR="007359D5" w:rsidRPr="003E4580" w:rsidRDefault="007359D5" w:rsidP="007359D5">
            <w:pPr>
              <w:jc w:val="center"/>
            </w:pPr>
            <w:r w:rsidRPr="003E4580">
              <w:t>2033</w:t>
            </w:r>
          </w:p>
        </w:tc>
        <w:tc>
          <w:tcPr>
            <w:tcW w:w="4927" w:type="dxa"/>
          </w:tcPr>
          <w:p w14:paraId="23879B9B" w14:textId="1820B629" w:rsidR="007359D5" w:rsidRPr="003E4580" w:rsidRDefault="007359D5" w:rsidP="007359D5">
            <w:pPr>
              <w:jc w:val="center"/>
            </w:pPr>
            <w:r w:rsidRPr="003E4580">
              <w:t>20,449</w:t>
            </w:r>
          </w:p>
        </w:tc>
      </w:tr>
      <w:tr w:rsidR="007359D5" w:rsidRPr="003E4580" w14:paraId="01F5EE9F" w14:textId="77777777" w:rsidTr="007359D5">
        <w:trPr>
          <w:jc w:val="center"/>
        </w:trPr>
        <w:tc>
          <w:tcPr>
            <w:tcW w:w="3514" w:type="dxa"/>
          </w:tcPr>
          <w:p w14:paraId="0BD8737C" w14:textId="422A9667" w:rsidR="007359D5" w:rsidRPr="003E4580" w:rsidRDefault="007359D5" w:rsidP="007359D5">
            <w:pPr>
              <w:jc w:val="center"/>
            </w:pPr>
            <w:r w:rsidRPr="003E4580">
              <w:t>2034</w:t>
            </w:r>
          </w:p>
        </w:tc>
        <w:tc>
          <w:tcPr>
            <w:tcW w:w="4927" w:type="dxa"/>
          </w:tcPr>
          <w:p w14:paraId="09D315BF" w14:textId="1E0AD7F4" w:rsidR="007359D5" w:rsidRPr="003E4580" w:rsidRDefault="007359D5" w:rsidP="007359D5">
            <w:pPr>
              <w:jc w:val="center"/>
            </w:pPr>
            <w:r w:rsidRPr="003E4580">
              <w:t>21,315</w:t>
            </w:r>
          </w:p>
        </w:tc>
      </w:tr>
      <w:tr w:rsidR="007359D5" w:rsidRPr="003E4580" w14:paraId="1A5E8105" w14:textId="77777777" w:rsidTr="007359D5">
        <w:trPr>
          <w:jc w:val="center"/>
        </w:trPr>
        <w:tc>
          <w:tcPr>
            <w:tcW w:w="3514" w:type="dxa"/>
          </w:tcPr>
          <w:p w14:paraId="0D0925BB" w14:textId="76D8BA5E" w:rsidR="007359D5" w:rsidRPr="003E4580" w:rsidRDefault="007359D5" w:rsidP="007359D5">
            <w:pPr>
              <w:jc w:val="center"/>
            </w:pPr>
            <w:r w:rsidRPr="003E4580">
              <w:t>2035</w:t>
            </w:r>
          </w:p>
        </w:tc>
        <w:tc>
          <w:tcPr>
            <w:tcW w:w="4927" w:type="dxa"/>
          </w:tcPr>
          <w:p w14:paraId="32F92072" w14:textId="50B0C101" w:rsidR="007359D5" w:rsidRPr="003E4580" w:rsidRDefault="007359D5" w:rsidP="007359D5">
            <w:pPr>
              <w:jc w:val="center"/>
            </w:pPr>
            <w:r w:rsidRPr="003E4580">
              <w:t>22,219</w:t>
            </w:r>
          </w:p>
        </w:tc>
      </w:tr>
      <w:tr w:rsidR="007359D5" w:rsidRPr="003E4580" w14:paraId="4A3C36D1" w14:textId="77777777" w:rsidTr="007359D5">
        <w:trPr>
          <w:jc w:val="center"/>
        </w:trPr>
        <w:tc>
          <w:tcPr>
            <w:tcW w:w="3514" w:type="dxa"/>
          </w:tcPr>
          <w:p w14:paraId="25B0B0B7" w14:textId="737296E4" w:rsidR="007359D5" w:rsidRPr="003E4580" w:rsidRDefault="007359D5" w:rsidP="007359D5">
            <w:pPr>
              <w:jc w:val="center"/>
            </w:pPr>
            <w:r w:rsidRPr="003E4580">
              <w:t>2036</w:t>
            </w:r>
          </w:p>
        </w:tc>
        <w:tc>
          <w:tcPr>
            <w:tcW w:w="4927" w:type="dxa"/>
          </w:tcPr>
          <w:p w14:paraId="06782551" w14:textId="34FE0678" w:rsidR="007359D5" w:rsidRPr="003E4580" w:rsidRDefault="007359D5" w:rsidP="007359D5">
            <w:pPr>
              <w:jc w:val="center"/>
            </w:pPr>
            <w:r w:rsidRPr="003E4580">
              <w:t>23,163</w:t>
            </w:r>
          </w:p>
        </w:tc>
      </w:tr>
      <w:tr w:rsidR="007359D5" w:rsidRPr="003E4580" w14:paraId="0FB965E6" w14:textId="77777777" w:rsidTr="007359D5">
        <w:trPr>
          <w:jc w:val="center"/>
        </w:trPr>
        <w:tc>
          <w:tcPr>
            <w:tcW w:w="3514" w:type="dxa"/>
          </w:tcPr>
          <w:p w14:paraId="67BD064D" w14:textId="0E1394A7" w:rsidR="007359D5" w:rsidRPr="003E4580" w:rsidRDefault="007359D5" w:rsidP="007359D5">
            <w:pPr>
              <w:jc w:val="center"/>
            </w:pPr>
            <w:r w:rsidRPr="003E4580">
              <w:t>2037</w:t>
            </w:r>
          </w:p>
        </w:tc>
        <w:tc>
          <w:tcPr>
            <w:tcW w:w="4927" w:type="dxa"/>
          </w:tcPr>
          <w:p w14:paraId="59A7A6DE" w14:textId="27513C33" w:rsidR="007359D5" w:rsidRPr="003E4580" w:rsidRDefault="007359D5" w:rsidP="007359D5">
            <w:pPr>
              <w:jc w:val="center"/>
            </w:pPr>
            <w:r w:rsidRPr="003E4580">
              <w:t>24,148</w:t>
            </w:r>
          </w:p>
        </w:tc>
      </w:tr>
      <w:tr w:rsidR="007359D5" w:rsidRPr="003E4580" w14:paraId="76E88B1F" w14:textId="77777777" w:rsidTr="007359D5">
        <w:trPr>
          <w:jc w:val="center"/>
        </w:trPr>
        <w:tc>
          <w:tcPr>
            <w:tcW w:w="3514" w:type="dxa"/>
          </w:tcPr>
          <w:p w14:paraId="65C82D25" w14:textId="203A8CD5" w:rsidR="007359D5" w:rsidRPr="003E4580" w:rsidRDefault="007359D5" w:rsidP="007359D5">
            <w:pPr>
              <w:jc w:val="center"/>
            </w:pPr>
            <w:r w:rsidRPr="003E4580">
              <w:t>2038</w:t>
            </w:r>
          </w:p>
        </w:tc>
        <w:tc>
          <w:tcPr>
            <w:tcW w:w="4927" w:type="dxa"/>
          </w:tcPr>
          <w:p w14:paraId="4B78DDFA" w14:textId="142A59CE" w:rsidR="007359D5" w:rsidRPr="003E4580" w:rsidRDefault="007359D5" w:rsidP="007359D5">
            <w:pPr>
              <w:jc w:val="center"/>
            </w:pPr>
            <w:r w:rsidRPr="003E4580">
              <w:t>24,421</w:t>
            </w:r>
          </w:p>
        </w:tc>
      </w:tr>
      <w:tr w:rsidR="007359D5" w:rsidRPr="003E4580" w14:paraId="19A9EDA8" w14:textId="77777777" w:rsidTr="007359D5">
        <w:trPr>
          <w:jc w:val="center"/>
        </w:trPr>
        <w:tc>
          <w:tcPr>
            <w:tcW w:w="3514" w:type="dxa"/>
          </w:tcPr>
          <w:p w14:paraId="2D00A2CD" w14:textId="013989C5" w:rsidR="007359D5" w:rsidRPr="003E4580" w:rsidRDefault="007359D5" w:rsidP="007359D5">
            <w:pPr>
              <w:jc w:val="center"/>
            </w:pPr>
            <w:r w:rsidRPr="003E4580">
              <w:t>2039</w:t>
            </w:r>
          </w:p>
        </w:tc>
        <w:tc>
          <w:tcPr>
            <w:tcW w:w="4927" w:type="dxa"/>
          </w:tcPr>
          <w:p w14:paraId="0C725816" w14:textId="70A7C414" w:rsidR="007359D5" w:rsidRPr="003E4580" w:rsidRDefault="007359D5" w:rsidP="007359D5">
            <w:pPr>
              <w:jc w:val="center"/>
            </w:pPr>
            <w:r w:rsidRPr="003E4580">
              <w:t>23,832</w:t>
            </w:r>
          </w:p>
        </w:tc>
      </w:tr>
      <w:tr w:rsidR="007359D5" w:rsidRPr="003E4580" w14:paraId="1A665002" w14:textId="77777777" w:rsidTr="007359D5">
        <w:trPr>
          <w:jc w:val="center"/>
        </w:trPr>
        <w:tc>
          <w:tcPr>
            <w:tcW w:w="3514" w:type="dxa"/>
          </w:tcPr>
          <w:p w14:paraId="66CBE855" w14:textId="1766FB7F" w:rsidR="007359D5" w:rsidRPr="003E4580" w:rsidRDefault="007359D5" w:rsidP="007359D5">
            <w:pPr>
              <w:jc w:val="center"/>
            </w:pPr>
            <w:r w:rsidRPr="003E4580">
              <w:t>2040</w:t>
            </w:r>
          </w:p>
        </w:tc>
        <w:tc>
          <w:tcPr>
            <w:tcW w:w="4927" w:type="dxa"/>
          </w:tcPr>
          <w:p w14:paraId="379CEE14" w14:textId="58CE3004" w:rsidR="007359D5" w:rsidRPr="003E4580" w:rsidRDefault="007359D5" w:rsidP="007359D5">
            <w:pPr>
              <w:jc w:val="center"/>
            </w:pPr>
            <w:r w:rsidRPr="003E4580">
              <w:t>23,227</w:t>
            </w:r>
          </w:p>
        </w:tc>
      </w:tr>
      <w:tr w:rsidR="007359D5" w:rsidRPr="003E4580" w14:paraId="4A4427F1" w14:textId="77777777" w:rsidTr="007359D5">
        <w:trPr>
          <w:jc w:val="center"/>
        </w:trPr>
        <w:tc>
          <w:tcPr>
            <w:tcW w:w="3514" w:type="dxa"/>
          </w:tcPr>
          <w:p w14:paraId="01B4C6B0" w14:textId="64CB0210" w:rsidR="007359D5" w:rsidRPr="003E4580" w:rsidRDefault="007359D5" w:rsidP="007359D5">
            <w:pPr>
              <w:jc w:val="center"/>
            </w:pPr>
            <w:r w:rsidRPr="003E4580">
              <w:t>2041</w:t>
            </w:r>
          </w:p>
        </w:tc>
        <w:tc>
          <w:tcPr>
            <w:tcW w:w="4927" w:type="dxa"/>
          </w:tcPr>
          <w:p w14:paraId="0F36F43B" w14:textId="324C3B50" w:rsidR="007359D5" w:rsidRPr="003E4580" w:rsidRDefault="007359D5" w:rsidP="007359D5">
            <w:pPr>
              <w:jc w:val="center"/>
            </w:pPr>
            <w:r w:rsidRPr="003E4580">
              <w:t>22,606</w:t>
            </w:r>
          </w:p>
        </w:tc>
      </w:tr>
      <w:tr w:rsidR="007359D5" w:rsidRPr="003E4580" w14:paraId="5819A240" w14:textId="77777777" w:rsidTr="007359D5">
        <w:trPr>
          <w:jc w:val="center"/>
        </w:trPr>
        <w:tc>
          <w:tcPr>
            <w:tcW w:w="3514" w:type="dxa"/>
          </w:tcPr>
          <w:p w14:paraId="426165FB" w14:textId="5B1B1DBA" w:rsidR="007359D5" w:rsidRPr="003E4580" w:rsidRDefault="007359D5" w:rsidP="007359D5">
            <w:pPr>
              <w:jc w:val="center"/>
            </w:pPr>
            <w:r w:rsidRPr="003E4580">
              <w:t>2042</w:t>
            </w:r>
          </w:p>
        </w:tc>
        <w:tc>
          <w:tcPr>
            <w:tcW w:w="4927" w:type="dxa"/>
          </w:tcPr>
          <w:p w14:paraId="2D921418" w14:textId="6E6AF4B0" w:rsidR="007359D5" w:rsidRPr="003E4580" w:rsidRDefault="007359D5" w:rsidP="007359D5">
            <w:pPr>
              <w:jc w:val="center"/>
            </w:pPr>
            <w:r w:rsidRPr="003E4580">
              <w:t>21,969</w:t>
            </w:r>
          </w:p>
        </w:tc>
      </w:tr>
      <w:tr w:rsidR="007359D5" w:rsidRPr="003E4580" w14:paraId="27C16DBB" w14:textId="77777777" w:rsidTr="007359D5">
        <w:trPr>
          <w:jc w:val="center"/>
        </w:trPr>
        <w:tc>
          <w:tcPr>
            <w:tcW w:w="3514" w:type="dxa"/>
          </w:tcPr>
          <w:p w14:paraId="027FD3CC" w14:textId="3A505F1C" w:rsidR="007359D5" w:rsidRPr="003E4580" w:rsidRDefault="007359D5" w:rsidP="007359D5">
            <w:pPr>
              <w:jc w:val="center"/>
            </w:pPr>
            <w:r w:rsidRPr="003E4580">
              <w:t>2043</w:t>
            </w:r>
          </w:p>
        </w:tc>
        <w:tc>
          <w:tcPr>
            <w:tcW w:w="4927" w:type="dxa"/>
          </w:tcPr>
          <w:p w14:paraId="7CECE95C" w14:textId="0558E3D8" w:rsidR="007359D5" w:rsidRPr="003E4580" w:rsidRDefault="007359D5" w:rsidP="007359D5">
            <w:pPr>
              <w:jc w:val="center"/>
            </w:pPr>
            <w:r w:rsidRPr="003E4580">
              <w:t>21,315</w:t>
            </w:r>
          </w:p>
        </w:tc>
      </w:tr>
      <w:tr w:rsidR="007359D5" w:rsidRPr="003E4580" w14:paraId="22DECB98" w14:textId="77777777" w:rsidTr="007359D5">
        <w:trPr>
          <w:jc w:val="center"/>
        </w:trPr>
        <w:tc>
          <w:tcPr>
            <w:tcW w:w="3514" w:type="dxa"/>
          </w:tcPr>
          <w:p w14:paraId="4C767DF6" w14:textId="385D7649" w:rsidR="007359D5" w:rsidRPr="003E4580" w:rsidRDefault="007359D5" w:rsidP="007359D5">
            <w:pPr>
              <w:jc w:val="center"/>
            </w:pPr>
            <w:r w:rsidRPr="003E4580">
              <w:t>2044</w:t>
            </w:r>
          </w:p>
        </w:tc>
        <w:tc>
          <w:tcPr>
            <w:tcW w:w="4927" w:type="dxa"/>
          </w:tcPr>
          <w:p w14:paraId="78CB1B2F" w14:textId="5C96C524" w:rsidR="007359D5" w:rsidRPr="003E4580" w:rsidRDefault="007359D5" w:rsidP="007359D5">
            <w:pPr>
              <w:jc w:val="center"/>
            </w:pPr>
            <w:r w:rsidRPr="003E4580">
              <w:t>20,645</w:t>
            </w:r>
          </w:p>
        </w:tc>
      </w:tr>
      <w:tr w:rsidR="007359D5" w:rsidRPr="003E4580" w14:paraId="41022BC8" w14:textId="77777777" w:rsidTr="007359D5">
        <w:trPr>
          <w:jc w:val="center"/>
        </w:trPr>
        <w:tc>
          <w:tcPr>
            <w:tcW w:w="3514" w:type="dxa"/>
          </w:tcPr>
          <w:p w14:paraId="418EBAEC" w14:textId="748FA270" w:rsidR="007359D5" w:rsidRPr="003E4580" w:rsidRDefault="007359D5" w:rsidP="007359D5">
            <w:pPr>
              <w:jc w:val="center"/>
            </w:pPr>
            <w:r w:rsidRPr="003E4580">
              <w:t>2045</w:t>
            </w:r>
          </w:p>
        </w:tc>
        <w:tc>
          <w:tcPr>
            <w:tcW w:w="4927" w:type="dxa"/>
          </w:tcPr>
          <w:p w14:paraId="1BA5C1A2" w14:textId="26C72EA7" w:rsidR="007359D5" w:rsidRPr="003E4580" w:rsidRDefault="007359D5" w:rsidP="007359D5">
            <w:pPr>
              <w:jc w:val="center"/>
            </w:pPr>
            <w:r w:rsidRPr="003E4580">
              <w:t>19,957</w:t>
            </w:r>
          </w:p>
        </w:tc>
      </w:tr>
      <w:tr w:rsidR="007359D5" w:rsidRPr="003E4580" w14:paraId="781A4FA5" w14:textId="77777777" w:rsidTr="007359D5">
        <w:trPr>
          <w:jc w:val="center"/>
        </w:trPr>
        <w:tc>
          <w:tcPr>
            <w:tcW w:w="3514" w:type="dxa"/>
          </w:tcPr>
          <w:p w14:paraId="0207D6FA" w14:textId="45578D4F" w:rsidR="007359D5" w:rsidRPr="003E4580" w:rsidRDefault="007359D5" w:rsidP="007359D5">
            <w:pPr>
              <w:jc w:val="center"/>
            </w:pPr>
            <w:r w:rsidRPr="003E4580">
              <w:t>2046</w:t>
            </w:r>
          </w:p>
        </w:tc>
        <w:tc>
          <w:tcPr>
            <w:tcW w:w="4927" w:type="dxa"/>
          </w:tcPr>
          <w:p w14:paraId="01CEDDA9" w14:textId="645CDA5C" w:rsidR="007359D5" w:rsidRPr="003E4580" w:rsidRDefault="007359D5" w:rsidP="007359D5">
            <w:pPr>
              <w:jc w:val="center"/>
            </w:pPr>
            <w:r w:rsidRPr="003E4580">
              <w:t>19,251</w:t>
            </w:r>
          </w:p>
        </w:tc>
      </w:tr>
      <w:tr w:rsidR="007359D5" w:rsidRPr="003E4580" w14:paraId="2B6BF985" w14:textId="77777777" w:rsidTr="007359D5">
        <w:trPr>
          <w:jc w:val="center"/>
        </w:trPr>
        <w:tc>
          <w:tcPr>
            <w:tcW w:w="3514" w:type="dxa"/>
          </w:tcPr>
          <w:p w14:paraId="51EE6933" w14:textId="4AD4FBD2" w:rsidR="007359D5" w:rsidRPr="003E4580" w:rsidRDefault="007359D5" w:rsidP="007359D5">
            <w:pPr>
              <w:jc w:val="center"/>
            </w:pPr>
            <w:r w:rsidRPr="003E4580">
              <w:t>2047</w:t>
            </w:r>
          </w:p>
        </w:tc>
        <w:tc>
          <w:tcPr>
            <w:tcW w:w="4927" w:type="dxa"/>
          </w:tcPr>
          <w:p w14:paraId="4246A670" w14:textId="6A2DC1B9" w:rsidR="007359D5" w:rsidRPr="003E4580" w:rsidRDefault="007359D5" w:rsidP="007359D5">
            <w:pPr>
              <w:jc w:val="center"/>
            </w:pPr>
            <w:r w:rsidRPr="003E4580">
              <w:t>18,527</w:t>
            </w:r>
          </w:p>
        </w:tc>
      </w:tr>
      <w:tr w:rsidR="007359D5" w:rsidRPr="003E4580" w14:paraId="5BDFDE1A" w14:textId="77777777" w:rsidTr="007359D5">
        <w:trPr>
          <w:jc w:val="center"/>
        </w:trPr>
        <w:tc>
          <w:tcPr>
            <w:tcW w:w="3514" w:type="dxa"/>
          </w:tcPr>
          <w:p w14:paraId="4F560B85" w14:textId="67CD853F" w:rsidR="007359D5" w:rsidRPr="003E4580" w:rsidRDefault="007359D5" w:rsidP="007359D5">
            <w:pPr>
              <w:jc w:val="center"/>
            </w:pPr>
            <w:r w:rsidRPr="003E4580">
              <w:t>2048</w:t>
            </w:r>
          </w:p>
        </w:tc>
        <w:tc>
          <w:tcPr>
            <w:tcW w:w="4927" w:type="dxa"/>
          </w:tcPr>
          <w:p w14:paraId="3304D804" w14:textId="24E1D8B2" w:rsidR="007359D5" w:rsidRPr="003E4580" w:rsidRDefault="007359D5" w:rsidP="007359D5">
            <w:pPr>
              <w:jc w:val="center"/>
            </w:pPr>
            <w:r w:rsidRPr="003E4580">
              <w:t>17,786</w:t>
            </w:r>
          </w:p>
        </w:tc>
      </w:tr>
      <w:tr w:rsidR="007359D5" w:rsidRPr="003E4580" w14:paraId="022C7DEB" w14:textId="77777777" w:rsidTr="007359D5">
        <w:trPr>
          <w:jc w:val="center"/>
        </w:trPr>
        <w:tc>
          <w:tcPr>
            <w:tcW w:w="3514" w:type="dxa"/>
          </w:tcPr>
          <w:p w14:paraId="333ADE26" w14:textId="527DB98C" w:rsidR="007359D5" w:rsidRPr="003E4580" w:rsidRDefault="007359D5" w:rsidP="007359D5">
            <w:pPr>
              <w:jc w:val="center"/>
            </w:pPr>
            <w:r w:rsidRPr="003E4580">
              <w:t>2049</w:t>
            </w:r>
          </w:p>
        </w:tc>
        <w:tc>
          <w:tcPr>
            <w:tcW w:w="4927" w:type="dxa"/>
          </w:tcPr>
          <w:p w14:paraId="74692E92" w14:textId="2BF19D2A" w:rsidR="007359D5" w:rsidRPr="003E4580" w:rsidRDefault="007359D5" w:rsidP="007359D5">
            <w:pPr>
              <w:jc w:val="center"/>
            </w:pPr>
            <w:r w:rsidRPr="003E4580">
              <w:t>17,025</w:t>
            </w:r>
          </w:p>
        </w:tc>
      </w:tr>
      <w:tr w:rsidR="007359D5" w:rsidRPr="003E4580" w14:paraId="57F5AC4A" w14:textId="77777777" w:rsidTr="007359D5">
        <w:trPr>
          <w:jc w:val="center"/>
        </w:trPr>
        <w:tc>
          <w:tcPr>
            <w:tcW w:w="3514" w:type="dxa"/>
          </w:tcPr>
          <w:p w14:paraId="48B5DDD4" w14:textId="3C440CC5" w:rsidR="007359D5" w:rsidRPr="003E4580" w:rsidRDefault="007359D5" w:rsidP="007359D5">
            <w:pPr>
              <w:jc w:val="center"/>
            </w:pPr>
            <w:r w:rsidRPr="003E4580">
              <w:t>2050</w:t>
            </w:r>
          </w:p>
        </w:tc>
        <w:tc>
          <w:tcPr>
            <w:tcW w:w="4927" w:type="dxa"/>
          </w:tcPr>
          <w:p w14:paraId="040BE8FC" w14:textId="498E2FE1" w:rsidR="007359D5" w:rsidRPr="003E4580" w:rsidRDefault="007359D5" w:rsidP="007359D5">
            <w:pPr>
              <w:jc w:val="center"/>
            </w:pPr>
            <w:r w:rsidRPr="003E4580">
              <w:t>16,245</w:t>
            </w:r>
          </w:p>
        </w:tc>
      </w:tr>
      <w:tr w:rsidR="007359D5" w:rsidRPr="003E4580" w14:paraId="2450E899" w14:textId="77777777" w:rsidTr="007359D5">
        <w:trPr>
          <w:jc w:val="center"/>
        </w:trPr>
        <w:tc>
          <w:tcPr>
            <w:tcW w:w="3514" w:type="dxa"/>
          </w:tcPr>
          <w:p w14:paraId="662A3EFB" w14:textId="19AAC466" w:rsidR="007359D5" w:rsidRPr="003E4580" w:rsidRDefault="007359D5" w:rsidP="007359D5">
            <w:pPr>
              <w:jc w:val="center"/>
            </w:pPr>
            <w:r w:rsidRPr="003E4580">
              <w:t>2051</w:t>
            </w:r>
          </w:p>
        </w:tc>
        <w:tc>
          <w:tcPr>
            <w:tcW w:w="4927" w:type="dxa"/>
          </w:tcPr>
          <w:p w14:paraId="7DBF05DD" w14:textId="2FC4099C" w:rsidR="007359D5" w:rsidRPr="003E4580" w:rsidRDefault="007359D5" w:rsidP="007359D5">
            <w:pPr>
              <w:jc w:val="center"/>
            </w:pPr>
            <w:r w:rsidRPr="003E4580">
              <w:t>15,446</w:t>
            </w:r>
          </w:p>
        </w:tc>
      </w:tr>
      <w:tr w:rsidR="007359D5" w:rsidRPr="003E4580" w14:paraId="6764437E" w14:textId="77777777" w:rsidTr="007359D5">
        <w:trPr>
          <w:jc w:val="center"/>
        </w:trPr>
        <w:tc>
          <w:tcPr>
            <w:tcW w:w="3514" w:type="dxa"/>
          </w:tcPr>
          <w:p w14:paraId="185D6B1D" w14:textId="473D46EF" w:rsidR="007359D5" w:rsidRPr="003E4580" w:rsidRDefault="007359D5" w:rsidP="007359D5">
            <w:pPr>
              <w:jc w:val="center"/>
            </w:pPr>
            <w:r w:rsidRPr="003E4580">
              <w:t>2052</w:t>
            </w:r>
          </w:p>
        </w:tc>
        <w:tc>
          <w:tcPr>
            <w:tcW w:w="4927" w:type="dxa"/>
          </w:tcPr>
          <w:p w14:paraId="52E2F1D4" w14:textId="4978A1A4" w:rsidR="007359D5" w:rsidRPr="003E4580" w:rsidRDefault="007359D5" w:rsidP="007359D5">
            <w:pPr>
              <w:jc w:val="center"/>
            </w:pPr>
            <w:r w:rsidRPr="003E4580">
              <w:t>14,627</w:t>
            </w:r>
          </w:p>
        </w:tc>
      </w:tr>
      <w:tr w:rsidR="007359D5" w:rsidRPr="003E4580" w14:paraId="7F777609" w14:textId="77777777" w:rsidTr="007359D5">
        <w:trPr>
          <w:jc w:val="center"/>
        </w:trPr>
        <w:tc>
          <w:tcPr>
            <w:tcW w:w="3514" w:type="dxa"/>
          </w:tcPr>
          <w:p w14:paraId="3F7D4152" w14:textId="14D71C6A" w:rsidR="007359D5" w:rsidRPr="003E4580" w:rsidRDefault="007359D5" w:rsidP="007359D5">
            <w:pPr>
              <w:jc w:val="center"/>
            </w:pPr>
            <w:r w:rsidRPr="003E4580">
              <w:t>2053</w:t>
            </w:r>
          </w:p>
        </w:tc>
        <w:tc>
          <w:tcPr>
            <w:tcW w:w="4927" w:type="dxa"/>
          </w:tcPr>
          <w:p w14:paraId="433FBE61" w14:textId="66007F50" w:rsidR="007359D5" w:rsidRPr="003E4580" w:rsidRDefault="007359D5" w:rsidP="007359D5">
            <w:pPr>
              <w:jc w:val="center"/>
            </w:pPr>
            <w:r w:rsidRPr="003E4580">
              <w:t>13,788</w:t>
            </w:r>
          </w:p>
        </w:tc>
      </w:tr>
      <w:tr w:rsidR="007359D5" w:rsidRPr="003E4580" w14:paraId="771F2131" w14:textId="77777777" w:rsidTr="007359D5">
        <w:trPr>
          <w:jc w:val="center"/>
        </w:trPr>
        <w:tc>
          <w:tcPr>
            <w:tcW w:w="3514" w:type="dxa"/>
          </w:tcPr>
          <w:p w14:paraId="08334711" w14:textId="1B69BCF7" w:rsidR="007359D5" w:rsidRPr="003E4580" w:rsidRDefault="007359D5" w:rsidP="007359D5">
            <w:pPr>
              <w:jc w:val="center"/>
            </w:pPr>
            <w:r w:rsidRPr="003E4580">
              <w:t>2054</w:t>
            </w:r>
          </w:p>
        </w:tc>
        <w:tc>
          <w:tcPr>
            <w:tcW w:w="4927" w:type="dxa"/>
          </w:tcPr>
          <w:p w14:paraId="323A06AE" w14:textId="5C363584" w:rsidR="007359D5" w:rsidRPr="003E4580" w:rsidRDefault="007359D5" w:rsidP="007359D5">
            <w:pPr>
              <w:jc w:val="center"/>
            </w:pPr>
            <w:r w:rsidRPr="003E4580">
              <w:t>12,929</w:t>
            </w:r>
          </w:p>
        </w:tc>
      </w:tr>
      <w:tr w:rsidR="007359D5" w:rsidRPr="003E4580" w14:paraId="0704DB10" w14:textId="77777777" w:rsidTr="007359D5">
        <w:trPr>
          <w:jc w:val="center"/>
        </w:trPr>
        <w:tc>
          <w:tcPr>
            <w:tcW w:w="3514" w:type="dxa"/>
          </w:tcPr>
          <w:p w14:paraId="43D8234D" w14:textId="42831AE2" w:rsidR="007359D5" w:rsidRPr="003E4580" w:rsidRDefault="007359D5" w:rsidP="007359D5">
            <w:pPr>
              <w:jc w:val="center"/>
            </w:pPr>
            <w:r w:rsidRPr="003E4580">
              <w:t>2055</w:t>
            </w:r>
          </w:p>
        </w:tc>
        <w:tc>
          <w:tcPr>
            <w:tcW w:w="4927" w:type="dxa"/>
          </w:tcPr>
          <w:p w14:paraId="55CF2680" w14:textId="43F59EEB" w:rsidR="007359D5" w:rsidRPr="003E4580" w:rsidRDefault="007359D5" w:rsidP="007359D5">
            <w:pPr>
              <w:jc w:val="center"/>
            </w:pPr>
            <w:r w:rsidRPr="003E4580">
              <w:t>12,048</w:t>
            </w:r>
          </w:p>
        </w:tc>
      </w:tr>
      <w:tr w:rsidR="007359D5" w:rsidRPr="003E4580" w14:paraId="38DBF1ED" w14:textId="77777777" w:rsidTr="007359D5">
        <w:trPr>
          <w:jc w:val="center"/>
        </w:trPr>
        <w:tc>
          <w:tcPr>
            <w:tcW w:w="3514" w:type="dxa"/>
          </w:tcPr>
          <w:p w14:paraId="4922A7EB" w14:textId="3AAB310F" w:rsidR="007359D5" w:rsidRPr="003E4580" w:rsidRDefault="007359D5" w:rsidP="007359D5">
            <w:pPr>
              <w:jc w:val="center"/>
            </w:pPr>
            <w:r w:rsidRPr="003E4580">
              <w:t>2056</w:t>
            </w:r>
          </w:p>
        </w:tc>
        <w:tc>
          <w:tcPr>
            <w:tcW w:w="4927" w:type="dxa"/>
          </w:tcPr>
          <w:p w14:paraId="5190BE28" w14:textId="32D215CE" w:rsidR="007359D5" w:rsidRPr="003E4580" w:rsidRDefault="007359D5" w:rsidP="007359D5">
            <w:pPr>
              <w:jc w:val="center"/>
            </w:pPr>
            <w:r w:rsidRPr="003E4580">
              <w:t>11,146</w:t>
            </w:r>
          </w:p>
        </w:tc>
      </w:tr>
      <w:tr w:rsidR="007359D5" w:rsidRPr="003E4580" w14:paraId="40BD9C98" w14:textId="77777777" w:rsidTr="007359D5">
        <w:trPr>
          <w:jc w:val="center"/>
        </w:trPr>
        <w:tc>
          <w:tcPr>
            <w:tcW w:w="3514" w:type="dxa"/>
          </w:tcPr>
          <w:p w14:paraId="05AA83C2" w14:textId="5485E7F0" w:rsidR="007359D5" w:rsidRPr="003E4580" w:rsidRDefault="007359D5" w:rsidP="007359D5">
            <w:pPr>
              <w:jc w:val="center"/>
            </w:pPr>
            <w:r w:rsidRPr="003E4580">
              <w:t>2057</w:t>
            </w:r>
          </w:p>
        </w:tc>
        <w:tc>
          <w:tcPr>
            <w:tcW w:w="4927" w:type="dxa"/>
          </w:tcPr>
          <w:p w14:paraId="798D6737" w14:textId="228CD65E" w:rsidR="007359D5" w:rsidRPr="003E4580" w:rsidRDefault="007359D5" w:rsidP="007359D5">
            <w:pPr>
              <w:jc w:val="center"/>
            </w:pPr>
            <w:r w:rsidRPr="003E4580">
              <w:t>10,222</w:t>
            </w:r>
          </w:p>
        </w:tc>
      </w:tr>
    </w:tbl>
    <w:p w14:paraId="4CEEB336" w14:textId="77777777" w:rsidR="00305061" w:rsidRPr="003E4580" w:rsidRDefault="00305061" w:rsidP="003904FD">
      <w:pPr>
        <w:pStyle w:val="ListParagraph"/>
      </w:pPr>
    </w:p>
    <w:p w14:paraId="40E9FE48" w14:textId="7DDCD7FF" w:rsidR="00305061" w:rsidRPr="003E4580" w:rsidRDefault="00305061" w:rsidP="003904FD"/>
    <w:p w14:paraId="3F36A704" w14:textId="77777777" w:rsidR="003904FD" w:rsidRPr="003E4580" w:rsidRDefault="003904FD" w:rsidP="003904FD">
      <w:pPr>
        <w:sectPr w:rsidR="003904FD" w:rsidRPr="003E4580" w:rsidSect="00D87AD8">
          <w:pgSz w:w="11906" w:h="16838" w:code="9"/>
          <w:pgMar w:top="1021" w:right="1021" w:bottom="1021" w:left="1021" w:header="510" w:footer="567" w:gutter="0"/>
          <w:cols w:space="708"/>
          <w:docGrid w:linePitch="360"/>
        </w:sectPr>
      </w:pPr>
    </w:p>
    <w:p w14:paraId="2A5347EF" w14:textId="03B1055D" w:rsidR="00B24191" w:rsidRPr="003E4580" w:rsidRDefault="00E729F2" w:rsidP="003071FF">
      <w:pPr>
        <w:pStyle w:val="ListParagraph"/>
        <w:numPr>
          <w:ilvl w:val="0"/>
          <w:numId w:val="21"/>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lastRenderedPageBreak/>
        <w:t>The table below shows</w:t>
      </w:r>
      <w:r w:rsidR="003D1D68" w:rsidRPr="003E4580">
        <w:rPr>
          <w:rFonts w:asciiTheme="minorHAnsi" w:hAnsiTheme="minorHAnsi" w:cstheme="minorBidi"/>
          <w:color w:val="000000" w:themeColor="text1"/>
          <w:kern w:val="12"/>
          <w:sz w:val="20"/>
          <w:szCs w:val="20"/>
        </w:rPr>
        <w:t xml:space="preserve"> for each year of fitment increase at sale due to intervention, the additional fitment costs calculated over the intervention period (15 years):</w:t>
      </w:r>
    </w:p>
    <w:tbl>
      <w:tblPr>
        <w:tblStyle w:val="TableGrid"/>
        <w:tblW w:w="0" w:type="auto"/>
        <w:jc w:val="center"/>
        <w:tblLook w:val="04A0" w:firstRow="1" w:lastRow="0" w:firstColumn="1" w:lastColumn="0" w:noHBand="0" w:noVBand="1"/>
      </w:tblPr>
      <w:tblGrid>
        <w:gridCol w:w="3514"/>
        <w:gridCol w:w="4927"/>
      </w:tblGrid>
      <w:tr w:rsidR="003D1D68" w:rsidRPr="003E4580" w14:paraId="0B4EF330" w14:textId="77777777" w:rsidTr="00CB0804">
        <w:trPr>
          <w:jc w:val="center"/>
        </w:trPr>
        <w:tc>
          <w:tcPr>
            <w:tcW w:w="8441" w:type="dxa"/>
            <w:gridSpan w:val="2"/>
          </w:tcPr>
          <w:p w14:paraId="3557FB42" w14:textId="278717B3" w:rsidR="003D1D68" w:rsidRPr="003E4580" w:rsidRDefault="003D1D68" w:rsidP="00CB0804">
            <w:pPr>
              <w:jc w:val="center"/>
            </w:pPr>
            <w:r w:rsidRPr="003E4580">
              <w:t>Additional fitment costs ($)</w:t>
            </w:r>
          </w:p>
        </w:tc>
      </w:tr>
      <w:tr w:rsidR="003D1D68" w:rsidRPr="003E4580" w14:paraId="4C54C511" w14:textId="77777777" w:rsidTr="00CB0804">
        <w:trPr>
          <w:jc w:val="center"/>
        </w:trPr>
        <w:tc>
          <w:tcPr>
            <w:tcW w:w="3514" w:type="dxa"/>
          </w:tcPr>
          <w:p w14:paraId="6ED4349A" w14:textId="77777777" w:rsidR="003D1D68" w:rsidRPr="003E4580" w:rsidRDefault="003D1D68" w:rsidP="00CB0804">
            <w:pPr>
              <w:jc w:val="center"/>
            </w:pPr>
            <w:r w:rsidRPr="003E4580">
              <w:t>Year</w:t>
            </w:r>
          </w:p>
        </w:tc>
        <w:tc>
          <w:tcPr>
            <w:tcW w:w="4927" w:type="dxa"/>
          </w:tcPr>
          <w:p w14:paraId="5DF2F2AD" w14:textId="77777777" w:rsidR="003D1D68" w:rsidRPr="003E4580" w:rsidRDefault="003D1D68" w:rsidP="00CB0804">
            <w:pPr>
              <w:jc w:val="center"/>
            </w:pPr>
            <w:r w:rsidRPr="003E4580">
              <w:t>Option 2</w:t>
            </w:r>
          </w:p>
        </w:tc>
      </w:tr>
      <w:tr w:rsidR="009F1B54" w:rsidRPr="003E4580" w14:paraId="60036643" w14:textId="77777777" w:rsidTr="00CB0804">
        <w:trPr>
          <w:jc w:val="center"/>
        </w:trPr>
        <w:tc>
          <w:tcPr>
            <w:tcW w:w="3514" w:type="dxa"/>
          </w:tcPr>
          <w:p w14:paraId="6B18FE6E" w14:textId="77777777" w:rsidR="009F1B54" w:rsidRPr="003E4580" w:rsidRDefault="009F1B54" w:rsidP="009F1B54">
            <w:pPr>
              <w:jc w:val="center"/>
            </w:pPr>
            <w:r w:rsidRPr="003E4580">
              <w:t>2024</w:t>
            </w:r>
          </w:p>
        </w:tc>
        <w:tc>
          <w:tcPr>
            <w:tcW w:w="4927" w:type="dxa"/>
          </w:tcPr>
          <w:p w14:paraId="38E5B953" w14:textId="61993E57" w:rsidR="009F1B54" w:rsidRPr="003E4580" w:rsidRDefault="009F1B54" w:rsidP="009F1B54">
            <w:pPr>
              <w:jc w:val="center"/>
            </w:pPr>
            <w:r w:rsidRPr="003E4580">
              <w:t xml:space="preserve"> 7,214,507 </w:t>
            </w:r>
          </w:p>
        </w:tc>
      </w:tr>
      <w:tr w:rsidR="009F1B54" w:rsidRPr="003E4580" w14:paraId="446FC3B9" w14:textId="77777777" w:rsidTr="00CB0804">
        <w:trPr>
          <w:jc w:val="center"/>
        </w:trPr>
        <w:tc>
          <w:tcPr>
            <w:tcW w:w="3514" w:type="dxa"/>
          </w:tcPr>
          <w:p w14:paraId="7D77129F" w14:textId="77777777" w:rsidR="009F1B54" w:rsidRPr="003E4580" w:rsidRDefault="009F1B54" w:rsidP="009F1B54">
            <w:pPr>
              <w:jc w:val="center"/>
            </w:pPr>
            <w:r w:rsidRPr="003E4580">
              <w:t>2025</w:t>
            </w:r>
          </w:p>
        </w:tc>
        <w:tc>
          <w:tcPr>
            <w:tcW w:w="4927" w:type="dxa"/>
          </w:tcPr>
          <w:p w14:paraId="5C124862" w14:textId="52E179FB" w:rsidR="009F1B54" w:rsidRPr="003E4580" w:rsidRDefault="009F1B54" w:rsidP="009F1B54">
            <w:pPr>
              <w:jc w:val="center"/>
            </w:pPr>
            <w:r w:rsidRPr="003E4580">
              <w:t xml:space="preserve"> 16,999,733 </w:t>
            </w:r>
          </w:p>
        </w:tc>
      </w:tr>
      <w:tr w:rsidR="009F1B54" w:rsidRPr="003E4580" w14:paraId="1FDB6C49" w14:textId="77777777" w:rsidTr="00CB0804">
        <w:trPr>
          <w:jc w:val="center"/>
        </w:trPr>
        <w:tc>
          <w:tcPr>
            <w:tcW w:w="3514" w:type="dxa"/>
          </w:tcPr>
          <w:p w14:paraId="0EB46E2C" w14:textId="77777777" w:rsidR="009F1B54" w:rsidRPr="003E4580" w:rsidRDefault="009F1B54" w:rsidP="009F1B54">
            <w:pPr>
              <w:jc w:val="center"/>
            </w:pPr>
            <w:r w:rsidRPr="003E4580">
              <w:t>2026</w:t>
            </w:r>
          </w:p>
        </w:tc>
        <w:tc>
          <w:tcPr>
            <w:tcW w:w="4927" w:type="dxa"/>
          </w:tcPr>
          <w:p w14:paraId="3AF338EB" w14:textId="4A1F3737" w:rsidR="009F1B54" w:rsidRPr="003E4580" w:rsidRDefault="009F1B54" w:rsidP="009F1B54">
            <w:pPr>
              <w:jc w:val="center"/>
            </w:pPr>
            <w:r w:rsidRPr="003E4580">
              <w:t xml:space="preserve"> 23,437,537 </w:t>
            </w:r>
          </w:p>
        </w:tc>
      </w:tr>
      <w:tr w:rsidR="009F1B54" w:rsidRPr="003E4580" w14:paraId="266351F8" w14:textId="77777777" w:rsidTr="00CB0804">
        <w:trPr>
          <w:jc w:val="center"/>
        </w:trPr>
        <w:tc>
          <w:tcPr>
            <w:tcW w:w="3514" w:type="dxa"/>
          </w:tcPr>
          <w:p w14:paraId="3FD5E8FD" w14:textId="77777777" w:rsidR="009F1B54" w:rsidRPr="003E4580" w:rsidRDefault="009F1B54" w:rsidP="009F1B54">
            <w:pPr>
              <w:jc w:val="center"/>
            </w:pPr>
            <w:r w:rsidRPr="003E4580">
              <w:t>2027</w:t>
            </w:r>
          </w:p>
        </w:tc>
        <w:tc>
          <w:tcPr>
            <w:tcW w:w="4927" w:type="dxa"/>
          </w:tcPr>
          <w:p w14:paraId="0C57FBCB" w14:textId="591AE272" w:rsidR="009F1B54" w:rsidRPr="003E4580" w:rsidRDefault="009F1B54" w:rsidP="009F1B54">
            <w:pPr>
              <w:jc w:val="center"/>
            </w:pPr>
            <w:r w:rsidRPr="003E4580">
              <w:t xml:space="preserve"> 22,528,049 </w:t>
            </w:r>
          </w:p>
        </w:tc>
      </w:tr>
      <w:tr w:rsidR="009F1B54" w:rsidRPr="003E4580" w14:paraId="751CF4D9" w14:textId="77777777" w:rsidTr="00CB0804">
        <w:trPr>
          <w:jc w:val="center"/>
        </w:trPr>
        <w:tc>
          <w:tcPr>
            <w:tcW w:w="3514" w:type="dxa"/>
          </w:tcPr>
          <w:p w14:paraId="4B4C6BEA" w14:textId="77777777" w:rsidR="009F1B54" w:rsidRPr="003E4580" w:rsidRDefault="009F1B54" w:rsidP="009F1B54">
            <w:pPr>
              <w:jc w:val="center"/>
            </w:pPr>
            <w:r w:rsidRPr="003E4580">
              <w:t>2028</w:t>
            </w:r>
          </w:p>
        </w:tc>
        <w:tc>
          <w:tcPr>
            <w:tcW w:w="4927" w:type="dxa"/>
          </w:tcPr>
          <w:p w14:paraId="4DD4BB29" w14:textId="538292FE" w:rsidR="009F1B54" w:rsidRPr="003E4580" w:rsidRDefault="009F1B54" w:rsidP="009F1B54">
            <w:pPr>
              <w:jc w:val="center"/>
            </w:pPr>
            <w:r w:rsidRPr="003E4580">
              <w:t xml:space="preserve"> 20,790,712 </w:t>
            </w:r>
          </w:p>
        </w:tc>
      </w:tr>
      <w:tr w:rsidR="009F1B54" w:rsidRPr="003E4580" w14:paraId="34C1637B" w14:textId="77777777" w:rsidTr="00CB0804">
        <w:trPr>
          <w:jc w:val="center"/>
        </w:trPr>
        <w:tc>
          <w:tcPr>
            <w:tcW w:w="3514" w:type="dxa"/>
          </w:tcPr>
          <w:p w14:paraId="72EA2AAE" w14:textId="77777777" w:rsidR="009F1B54" w:rsidRPr="003E4580" w:rsidRDefault="009F1B54" w:rsidP="009F1B54">
            <w:pPr>
              <w:jc w:val="center"/>
            </w:pPr>
            <w:r w:rsidRPr="003E4580">
              <w:t>2029</w:t>
            </w:r>
          </w:p>
        </w:tc>
        <w:tc>
          <w:tcPr>
            <w:tcW w:w="4927" w:type="dxa"/>
          </w:tcPr>
          <w:p w14:paraId="1C744D2C" w14:textId="701C53E5" w:rsidR="009F1B54" w:rsidRPr="003E4580" w:rsidRDefault="009F1B54" w:rsidP="009F1B54">
            <w:pPr>
              <w:jc w:val="center"/>
            </w:pPr>
            <w:r w:rsidRPr="003E4580">
              <w:t xml:space="preserve"> 21,665,043 </w:t>
            </w:r>
          </w:p>
        </w:tc>
      </w:tr>
      <w:tr w:rsidR="009F1B54" w:rsidRPr="003E4580" w14:paraId="261B75ED" w14:textId="77777777" w:rsidTr="00CB0804">
        <w:trPr>
          <w:jc w:val="center"/>
        </w:trPr>
        <w:tc>
          <w:tcPr>
            <w:tcW w:w="3514" w:type="dxa"/>
          </w:tcPr>
          <w:p w14:paraId="7A123EFF" w14:textId="77777777" w:rsidR="009F1B54" w:rsidRPr="003E4580" w:rsidRDefault="009F1B54" w:rsidP="009F1B54">
            <w:pPr>
              <w:jc w:val="center"/>
            </w:pPr>
            <w:r w:rsidRPr="003E4580">
              <w:t>2030</w:t>
            </w:r>
          </w:p>
        </w:tc>
        <w:tc>
          <w:tcPr>
            <w:tcW w:w="4927" w:type="dxa"/>
          </w:tcPr>
          <w:p w14:paraId="2907AA42" w14:textId="5C32DF51" w:rsidR="009F1B54" w:rsidRPr="003E4580" w:rsidRDefault="009F1B54" w:rsidP="009F1B54">
            <w:pPr>
              <w:jc w:val="center"/>
            </w:pPr>
            <w:r w:rsidRPr="003E4580">
              <w:t xml:space="preserve"> 22,577,544 </w:t>
            </w:r>
          </w:p>
        </w:tc>
      </w:tr>
      <w:tr w:rsidR="009F1B54" w:rsidRPr="003E4580" w14:paraId="027BA7EC" w14:textId="77777777" w:rsidTr="00CB0804">
        <w:trPr>
          <w:jc w:val="center"/>
        </w:trPr>
        <w:tc>
          <w:tcPr>
            <w:tcW w:w="3514" w:type="dxa"/>
          </w:tcPr>
          <w:p w14:paraId="0687D7AC" w14:textId="77777777" w:rsidR="009F1B54" w:rsidRPr="003E4580" w:rsidRDefault="009F1B54" w:rsidP="009F1B54">
            <w:pPr>
              <w:jc w:val="center"/>
            </w:pPr>
            <w:r w:rsidRPr="003E4580">
              <w:t>2031</w:t>
            </w:r>
          </w:p>
        </w:tc>
        <w:tc>
          <w:tcPr>
            <w:tcW w:w="4927" w:type="dxa"/>
          </w:tcPr>
          <w:p w14:paraId="24699B68" w14:textId="013529DD" w:rsidR="009F1B54" w:rsidRPr="003E4580" w:rsidRDefault="009F1B54" w:rsidP="009F1B54">
            <w:pPr>
              <w:jc w:val="center"/>
            </w:pPr>
            <w:r w:rsidRPr="003E4580">
              <w:t xml:space="preserve"> 23,529,896 </w:t>
            </w:r>
          </w:p>
        </w:tc>
      </w:tr>
      <w:tr w:rsidR="009F1B54" w:rsidRPr="003E4580" w14:paraId="393E5645" w14:textId="77777777" w:rsidTr="00CB0804">
        <w:trPr>
          <w:jc w:val="center"/>
        </w:trPr>
        <w:tc>
          <w:tcPr>
            <w:tcW w:w="3514" w:type="dxa"/>
          </w:tcPr>
          <w:p w14:paraId="5CE5B29E" w14:textId="77777777" w:rsidR="009F1B54" w:rsidRPr="003E4580" w:rsidRDefault="009F1B54" w:rsidP="009F1B54">
            <w:pPr>
              <w:jc w:val="center"/>
            </w:pPr>
            <w:r w:rsidRPr="003E4580">
              <w:t>2032</w:t>
            </w:r>
          </w:p>
        </w:tc>
        <w:tc>
          <w:tcPr>
            <w:tcW w:w="4927" w:type="dxa"/>
          </w:tcPr>
          <w:p w14:paraId="730245D8" w14:textId="1119458B" w:rsidR="009F1B54" w:rsidRPr="003E4580" w:rsidRDefault="009F1B54" w:rsidP="009F1B54">
            <w:pPr>
              <w:jc w:val="center"/>
            </w:pPr>
            <w:r w:rsidRPr="003E4580">
              <w:t xml:space="preserve"> 24,523,856 </w:t>
            </w:r>
          </w:p>
        </w:tc>
      </w:tr>
      <w:tr w:rsidR="009F1B54" w:rsidRPr="003E4580" w14:paraId="78599538" w14:textId="77777777" w:rsidTr="00CB0804">
        <w:trPr>
          <w:jc w:val="center"/>
        </w:trPr>
        <w:tc>
          <w:tcPr>
            <w:tcW w:w="3514" w:type="dxa"/>
          </w:tcPr>
          <w:p w14:paraId="27807700" w14:textId="77777777" w:rsidR="009F1B54" w:rsidRPr="003E4580" w:rsidRDefault="009F1B54" w:rsidP="009F1B54">
            <w:pPr>
              <w:jc w:val="center"/>
            </w:pPr>
            <w:r w:rsidRPr="003E4580">
              <w:t>2033</w:t>
            </w:r>
          </w:p>
        </w:tc>
        <w:tc>
          <w:tcPr>
            <w:tcW w:w="4927" w:type="dxa"/>
          </w:tcPr>
          <w:p w14:paraId="0661FDFD" w14:textId="7F29E606" w:rsidR="009F1B54" w:rsidRPr="003E4580" w:rsidRDefault="009F1B54" w:rsidP="009F1B54">
            <w:pPr>
              <w:jc w:val="center"/>
            </w:pPr>
            <w:r w:rsidRPr="003E4580">
              <w:t xml:space="preserve"> 25,561,257 </w:t>
            </w:r>
          </w:p>
        </w:tc>
      </w:tr>
      <w:tr w:rsidR="009F1B54" w:rsidRPr="003E4580" w14:paraId="15893BAF" w14:textId="77777777" w:rsidTr="00CB0804">
        <w:trPr>
          <w:jc w:val="center"/>
        </w:trPr>
        <w:tc>
          <w:tcPr>
            <w:tcW w:w="3514" w:type="dxa"/>
          </w:tcPr>
          <w:p w14:paraId="1FBE7C08" w14:textId="77777777" w:rsidR="009F1B54" w:rsidRPr="003E4580" w:rsidRDefault="009F1B54" w:rsidP="009F1B54">
            <w:pPr>
              <w:jc w:val="center"/>
            </w:pPr>
            <w:r w:rsidRPr="003E4580">
              <w:t>2034</w:t>
            </w:r>
          </w:p>
        </w:tc>
        <w:tc>
          <w:tcPr>
            <w:tcW w:w="4927" w:type="dxa"/>
          </w:tcPr>
          <w:p w14:paraId="69A90DF4" w14:textId="5F41EDE2" w:rsidR="009F1B54" w:rsidRPr="003E4580" w:rsidRDefault="009F1B54" w:rsidP="009F1B54">
            <w:pPr>
              <w:jc w:val="center"/>
            </w:pPr>
            <w:r w:rsidRPr="003E4580">
              <w:t xml:space="preserve"> 26,644,009 </w:t>
            </w:r>
          </w:p>
        </w:tc>
      </w:tr>
      <w:tr w:rsidR="009F1B54" w:rsidRPr="003E4580" w14:paraId="113D3680" w14:textId="77777777" w:rsidTr="00CB0804">
        <w:trPr>
          <w:jc w:val="center"/>
        </w:trPr>
        <w:tc>
          <w:tcPr>
            <w:tcW w:w="3514" w:type="dxa"/>
          </w:tcPr>
          <w:p w14:paraId="4CC36D95" w14:textId="77777777" w:rsidR="009F1B54" w:rsidRPr="003E4580" w:rsidRDefault="009F1B54" w:rsidP="009F1B54">
            <w:pPr>
              <w:jc w:val="center"/>
            </w:pPr>
            <w:r w:rsidRPr="003E4580">
              <w:t>2035</w:t>
            </w:r>
          </w:p>
        </w:tc>
        <w:tc>
          <w:tcPr>
            <w:tcW w:w="4927" w:type="dxa"/>
          </w:tcPr>
          <w:p w14:paraId="004FD223" w14:textId="358DCE06" w:rsidR="009F1B54" w:rsidRPr="003E4580" w:rsidRDefault="009F1B54" w:rsidP="009F1B54">
            <w:pPr>
              <w:jc w:val="center"/>
            </w:pPr>
            <w:r w:rsidRPr="003E4580">
              <w:t xml:space="preserve"> 27,774,111 </w:t>
            </w:r>
          </w:p>
        </w:tc>
      </w:tr>
      <w:tr w:rsidR="009F1B54" w:rsidRPr="003E4580" w14:paraId="7348105D" w14:textId="77777777" w:rsidTr="00CB0804">
        <w:trPr>
          <w:jc w:val="center"/>
        </w:trPr>
        <w:tc>
          <w:tcPr>
            <w:tcW w:w="3514" w:type="dxa"/>
          </w:tcPr>
          <w:p w14:paraId="74607F4D" w14:textId="77777777" w:rsidR="009F1B54" w:rsidRPr="003E4580" w:rsidRDefault="009F1B54" w:rsidP="009F1B54">
            <w:pPr>
              <w:jc w:val="center"/>
            </w:pPr>
            <w:r w:rsidRPr="003E4580">
              <w:t>2036</w:t>
            </w:r>
          </w:p>
        </w:tc>
        <w:tc>
          <w:tcPr>
            <w:tcW w:w="4927" w:type="dxa"/>
          </w:tcPr>
          <w:p w14:paraId="35009B06" w14:textId="67442325" w:rsidR="009F1B54" w:rsidRPr="003E4580" w:rsidRDefault="009F1B54" w:rsidP="009F1B54">
            <w:pPr>
              <w:jc w:val="center"/>
            </w:pPr>
            <w:r w:rsidRPr="003E4580">
              <w:t xml:space="preserve"> 28,953,646 </w:t>
            </w:r>
          </w:p>
        </w:tc>
      </w:tr>
      <w:tr w:rsidR="009F1B54" w:rsidRPr="003E4580" w14:paraId="3ACE1259" w14:textId="77777777" w:rsidTr="00CB0804">
        <w:trPr>
          <w:jc w:val="center"/>
        </w:trPr>
        <w:tc>
          <w:tcPr>
            <w:tcW w:w="3514" w:type="dxa"/>
          </w:tcPr>
          <w:p w14:paraId="2EA8C229" w14:textId="77777777" w:rsidR="009F1B54" w:rsidRPr="003E4580" w:rsidRDefault="009F1B54" w:rsidP="009F1B54">
            <w:pPr>
              <w:jc w:val="center"/>
            </w:pPr>
            <w:r w:rsidRPr="003E4580">
              <w:t>2037</w:t>
            </w:r>
          </w:p>
        </w:tc>
        <w:tc>
          <w:tcPr>
            <w:tcW w:w="4927" w:type="dxa"/>
          </w:tcPr>
          <w:p w14:paraId="1B2D7AD6" w14:textId="2CEC72E1" w:rsidR="009F1B54" w:rsidRPr="003E4580" w:rsidRDefault="009F1B54" w:rsidP="009F1B54">
            <w:pPr>
              <w:jc w:val="center"/>
            </w:pPr>
            <w:r w:rsidRPr="003E4580">
              <w:t xml:space="preserve"> 30,184,788 </w:t>
            </w:r>
          </w:p>
        </w:tc>
      </w:tr>
      <w:tr w:rsidR="009F1B54" w:rsidRPr="003E4580" w14:paraId="6B1F1283" w14:textId="77777777" w:rsidTr="00CB0804">
        <w:trPr>
          <w:jc w:val="center"/>
        </w:trPr>
        <w:tc>
          <w:tcPr>
            <w:tcW w:w="3514" w:type="dxa"/>
          </w:tcPr>
          <w:p w14:paraId="0EA2B96D" w14:textId="77777777" w:rsidR="009F1B54" w:rsidRPr="003E4580" w:rsidRDefault="009F1B54" w:rsidP="009F1B54">
            <w:pPr>
              <w:jc w:val="center"/>
            </w:pPr>
            <w:r w:rsidRPr="003E4580">
              <w:t>2038</w:t>
            </w:r>
          </w:p>
        </w:tc>
        <w:tc>
          <w:tcPr>
            <w:tcW w:w="4927" w:type="dxa"/>
          </w:tcPr>
          <w:p w14:paraId="13B03CF4" w14:textId="4601C9DB" w:rsidR="009F1B54" w:rsidRPr="003E4580" w:rsidRDefault="009F1B54" w:rsidP="009F1B54">
            <w:pPr>
              <w:jc w:val="center"/>
            </w:pPr>
            <w:r w:rsidRPr="003E4580">
              <w:t xml:space="preserve"> 30,526,104 </w:t>
            </w:r>
          </w:p>
        </w:tc>
      </w:tr>
    </w:tbl>
    <w:p w14:paraId="79427929" w14:textId="1B0E2A60" w:rsidR="002553A0" w:rsidRPr="003E4580" w:rsidRDefault="002553A0" w:rsidP="00A60DD6">
      <w:pPr>
        <w:pStyle w:val="ListParagraph"/>
        <w:rPr>
          <w:rFonts w:asciiTheme="minorHAnsi" w:hAnsiTheme="minorHAnsi" w:cstheme="minorBidi"/>
          <w:color w:val="000000" w:themeColor="text1"/>
          <w:kern w:val="12"/>
          <w:sz w:val="20"/>
          <w:szCs w:val="20"/>
        </w:rPr>
      </w:pPr>
    </w:p>
    <w:p w14:paraId="490A7425" w14:textId="6A988C12" w:rsidR="003D1D68" w:rsidRPr="003E4580" w:rsidRDefault="009F1B54" w:rsidP="00CB0804">
      <w:pPr>
        <w:pStyle w:val="ListParagraph"/>
        <w:numPr>
          <w:ilvl w:val="0"/>
          <w:numId w:val="21"/>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From the first year of intervention (November 2024), the number of crashes affected by the increased fitment was determined for each year over a 37 year period (2 year implementation and 35 years</w:t>
      </w:r>
      <w:r w:rsidR="002553A0" w:rsidRPr="003E4580">
        <w:rPr>
          <w:rFonts w:asciiTheme="minorHAnsi" w:hAnsiTheme="minorHAnsi" w:cstheme="minorBidi"/>
          <w:color w:val="000000" w:themeColor="text1"/>
          <w:kern w:val="12"/>
          <w:sz w:val="20"/>
          <w:szCs w:val="20"/>
        </w:rPr>
        <w:t xml:space="preserve"> of</w:t>
      </w:r>
      <w:r w:rsidRPr="003E4580">
        <w:rPr>
          <w:rFonts w:asciiTheme="minorHAnsi" w:hAnsiTheme="minorHAnsi" w:cstheme="minorBidi"/>
          <w:color w:val="000000" w:themeColor="text1"/>
          <w:kern w:val="12"/>
          <w:sz w:val="20"/>
          <w:szCs w:val="20"/>
        </w:rPr>
        <w:t xml:space="preserve"> analysis), for the viable intervention option as shown in the tables below. The crashes affected each year are the product of the likelihood of a crash at the vehicle’s age (from step 3) with the increased fitment at sale (step 5), summed as they infiltrate the fleet over time.</w:t>
      </w:r>
    </w:p>
    <w:p w14:paraId="73178F83" w14:textId="247C4FBD" w:rsidR="005E29AD" w:rsidRPr="003E4580" w:rsidRDefault="005E29AD" w:rsidP="004551C6"/>
    <w:p w14:paraId="77CC2B29" w14:textId="77777777" w:rsidR="009F1B54" w:rsidRPr="003E4580" w:rsidRDefault="009F1B54" w:rsidP="004551C6">
      <w:pPr>
        <w:sectPr w:rsidR="009F1B54" w:rsidRPr="003E4580" w:rsidSect="00D87AD8">
          <w:pgSz w:w="11906" w:h="16838" w:code="9"/>
          <w:pgMar w:top="1021" w:right="1021" w:bottom="1021" w:left="1021" w:header="510" w:footer="567" w:gutter="0"/>
          <w:cols w:space="708"/>
          <w:docGrid w:linePitch="360"/>
        </w:sectPr>
      </w:pPr>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296"/>
        <w:gridCol w:w="296"/>
        <w:gridCol w:w="417"/>
        <w:gridCol w:w="377"/>
        <w:gridCol w:w="750"/>
      </w:tblGrid>
      <w:tr w:rsidR="00F830FB" w:rsidRPr="003E4580" w14:paraId="2E0DF07D" w14:textId="77777777" w:rsidTr="00F4063A">
        <w:tc>
          <w:tcPr>
            <w:tcW w:w="188" w:type="pct"/>
            <w:tcBorders>
              <w:top w:val="single" w:sz="6" w:space="0" w:color="auto"/>
              <w:left w:val="single" w:sz="6" w:space="0" w:color="auto"/>
              <w:bottom w:val="nil"/>
              <w:right w:val="nil"/>
            </w:tcBorders>
            <w:shd w:val="clear" w:color="auto" w:fill="C6D9F1"/>
          </w:tcPr>
          <w:p w14:paraId="291A3A8D"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4"/>
                <w:szCs w:val="16"/>
              </w:rPr>
              <w:lastRenderedPageBreak/>
              <w:t>Year</w:t>
            </w:r>
          </w:p>
        </w:tc>
        <w:tc>
          <w:tcPr>
            <w:tcW w:w="4558" w:type="pct"/>
            <w:gridSpan w:val="33"/>
            <w:tcBorders>
              <w:top w:val="single" w:sz="6" w:space="0" w:color="auto"/>
              <w:left w:val="nil"/>
              <w:bottom w:val="nil"/>
              <w:right w:val="nil"/>
            </w:tcBorders>
            <w:shd w:val="clear" w:color="auto" w:fill="C6D9F1"/>
          </w:tcPr>
          <w:p w14:paraId="6E450890" w14:textId="77777777" w:rsidR="00620770" w:rsidRPr="003E4580" w:rsidRDefault="00620770" w:rsidP="00620770">
            <w:pPr>
              <w:keepLines/>
              <w:tabs>
                <w:tab w:val="left" w:pos="720"/>
              </w:tabs>
              <w:suppressAutoHyphens w:val="0"/>
              <w:spacing w:line="264" w:lineRule="auto"/>
              <w:jc w:val="center"/>
              <w:rPr>
                <w:b/>
                <w:snapToGrid w:val="0"/>
                <w:kern w:val="0"/>
                <w:sz w:val="16"/>
                <w:szCs w:val="16"/>
              </w:rPr>
            </w:pPr>
          </w:p>
          <w:p w14:paraId="6966783E" w14:textId="77777777" w:rsidR="00620770" w:rsidRPr="003E4580" w:rsidRDefault="00620770" w:rsidP="00620770">
            <w:pPr>
              <w:keepLines/>
              <w:tabs>
                <w:tab w:val="left" w:pos="720"/>
              </w:tabs>
              <w:suppressAutoHyphens w:val="0"/>
              <w:spacing w:line="264" w:lineRule="auto"/>
              <w:jc w:val="center"/>
              <w:rPr>
                <w:b/>
                <w:snapToGrid w:val="0"/>
                <w:kern w:val="0"/>
                <w:sz w:val="16"/>
                <w:szCs w:val="16"/>
              </w:rPr>
            </w:pPr>
            <w:r w:rsidRPr="003E4580">
              <w:rPr>
                <w:b/>
                <w:snapToGrid w:val="0"/>
                <w:kern w:val="0"/>
                <w:sz w:val="16"/>
                <w:szCs w:val="16"/>
              </w:rPr>
              <w:t>Vehicle Age</w:t>
            </w:r>
          </w:p>
        </w:tc>
        <w:tc>
          <w:tcPr>
            <w:tcW w:w="253" w:type="pct"/>
            <w:tcBorders>
              <w:top w:val="single" w:sz="6" w:space="0" w:color="auto"/>
              <w:left w:val="nil"/>
              <w:bottom w:val="nil"/>
              <w:right w:val="single" w:sz="6" w:space="0" w:color="auto"/>
            </w:tcBorders>
            <w:shd w:val="clear" w:color="auto" w:fill="C6D9F1"/>
          </w:tcPr>
          <w:p w14:paraId="1B1FCD26"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Total vehicles</w:t>
            </w:r>
          </w:p>
        </w:tc>
      </w:tr>
      <w:tr w:rsidR="00F830FB" w:rsidRPr="003E4580" w14:paraId="046CA0E5" w14:textId="77777777" w:rsidTr="00F4063A">
        <w:tc>
          <w:tcPr>
            <w:tcW w:w="188" w:type="pct"/>
            <w:tcBorders>
              <w:top w:val="nil"/>
              <w:left w:val="single" w:sz="6" w:space="0" w:color="auto"/>
              <w:bottom w:val="single" w:sz="6" w:space="0" w:color="auto"/>
              <w:right w:val="nil"/>
            </w:tcBorders>
            <w:shd w:val="clear" w:color="auto" w:fill="C6D9F1"/>
          </w:tcPr>
          <w:p w14:paraId="67CFC266" w14:textId="77777777" w:rsidR="00620770" w:rsidRPr="003E4580" w:rsidRDefault="00620770" w:rsidP="00620770">
            <w:pPr>
              <w:keepLines/>
              <w:tabs>
                <w:tab w:val="left" w:pos="720"/>
              </w:tabs>
              <w:suppressAutoHyphens w:val="0"/>
              <w:spacing w:line="264" w:lineRule="auto"/>
              <w:rPr>
                <w:b/>
                <w:snapToGrid w:val="0"/>
                <w:kern w:val="0"/>
                <w:sz w:val="16"/>
                <w:szCs w:val="16"/>
              </w:rPr>
            </w:pPr>
          </w:p>
        </w:tc>
        <w:tc>
          <w:tcPr>
            <w:tcW w:w="141" w:type="pct"/>
            <w:tcBorders>
              <w:top w:val="nil"/>
              <w:left w:val="nil"/>
              <w:bottom w:val="single" w:sz="6" w:space="0" w:color="auto"/>
              <w:right w:val="nil"/>
            </w:tcBorders>
            <w:shd w:val="clear" w:color="auto" w:fill="C6D9F1"/>
          </w:tcPr>
          <w:p w14:paraId="2861BED7"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w:t>
            </w:r>
          </w:p>
        </w:tc>
        <w:tc>
          <w:tcPr>
            <w:tcW w:w="141" w:type="pct"/>
            <w:tcBorders>
              <w:top w:val="nil"/>
              <w:left w:val="nil"/>
              <w:bottom w:val="single" w:sz="6" w:space="0" w:color="auto"/>
              <w:right w:val="nil"/>
            </w:tcBorders>
            <w:shd w:val="clear" w:color="auto" w:fill="C6D9F1"/>
          </w:tcPr>
          <w:p w14:paraId="48E2F447"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w:t>
            </w:r>
          </w:p>
        </w:tc>
        <w:tc>
          <w:tcPr>
            <w:tcW w:w="141" w:type="pct"/>
            <w:tcBorders>
              <w:top w:val="nil"/>
              <w:left w:val="nil"/>
              <w:bottom w:val="single" w:sz="6" w:space="0" w:color="auto"/>
              <w:right w:val="nil"/>
            </w:tcBorders>
            <w:shd w:val="clear" w:color="auto" w:fill="C6D9F1"/>
          </w:tcPr>
          <w:p w14:paraId="45C22E25"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3</w:t>
            </w:r>
          </w:p>
        </w:tc>
        <w:tc>
          <w:tcPr>
            <w:tcW w:w="141" w:type="pct"/>
            <w:tcBorders>
              <w:top w:val="nil"/>
              <w:left w:val="nil"/>
              <w:bottom w:val="single" w:sz="6" w:space="0" w:color="auto"/>
              <w:right w:val="nil"/>
            </w:tcBorders>
            <w:shd w:val="clear" w:color="auto" w:fill="C6D9F1"/>
          </w:tcPr>
          <w:p w14:paraId="45711FED"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4</w:t>
            </w:r>
          </w:p>
        </w:tc>
        <w:tc>
          <w:tcPr>
            <w:tcW w:w="141" w:type="pct"/>
            <w:tcBorders>
              <w:top w:val="nil"/>
              <w:left w:val="nil"/>
              <w:bottom w:val="single" w:sz="6" w:space="0" w:color="auto"/>
              <w:right w:val="nil"/>
            </w:tcBorders>
            <w:shd w:val="clear" w:color="auto" w:fill="C6D9F1"/>
          </w:tcPr>
          <w:p w14:paraId="1FE2A2D0"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5</w:t>
            </w:r>
          </w:p>
        </w:tc>
        <w:tc>
          <w:tcPr>
            <w:tcW w:w="141" w:type="pct"/>
            <w:tcBorders>
              <w:top w:val="nil"/>
              <w:left w:val="nil"/>
              <w:bottom w:val="single" w:sz="6" w:space="0" w:color="auto"/>
              <w:right w:val="nil"/>
            </w:tcBorders>
            <w:shd w:val="clear" w:color="auto" w:fill="C6D9F1"/>
          </w:tcPr>
          <w:p w14:paraId="548CC5A0"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6</w:t>
            </w:r>
          </w:p>
        </w:tc>
        <w:tc>
          <w:tcPr>
            <w:tcW w:w="141" w:type="pct"/>
            <w:tcBorders>
              <w:top w:val="nil"/>
              <w:left w:val="nil"/>
              <w:bottom w:val="single" w:sz="6" w:space="0" w:color="auto"/>
              <w:right w:val="nil"/>
            </w:tcBorders>
            <w:shd w:val="clear" w:color="auto" w:fill="C6D9F1"/>
          </w:tcPr>
          <w:p w14:paraId="37867094"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7</w:t>
            </w:r>
          </w:p>
        </w:tc>
        <w:tc>
          <w:tcPr>
            <w:tcW w:w="141" w:type="pct"/>
            <w:tcBorders>
              <w:top w:val="nil"/>
              <w:left w:val="nil"/>
              <w:bottom w:val="single" w:sz="6" w:space="0" w:color="auto"/>
              <w:right w:val="nil"/>
            </w:tcBorders>
            <w:shd w:val="clear" w:color="auto" w:fill="C6D9F1"/>
          </w:tcPr>
          <w:p w14:paraId="3B99B55B"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8</w:t>
            </w:r>
          </w:p>
        </w:tc>
        <w:tc>
          <w:tcPr>
            <w:tcW w:w="141" w:type="pct"/>
            <w:tcBorders>
              <w:top w:val="nil"/>
              <w:left w:val="nil"/>
              <w:bottom w:val="single" w:sz="6" w:space="0" w:color="auto"/>
              <w:right w:val="nil"/>
            </w:tcBorders>
            <w:shd w:val="clear" w:color="auto" w:fill="C6D9F1"/>
          </w:tcPr>
          <w:p w14:paraId="12CF4ADD"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9</w:t>
            </w:r>
          </w:p>
        </w:tc>
        <w:tc>
          <w:tcPr>
            <w:tcW w:w="141" w:type="pct"/>
            <w:tcBorders>
              <w:top w:val="nil"/>
              <w:left w:val="nil"/>
              <w:bottom w:val="single" w:sz="6" w:space="0" w:color="auto"/>
              <w:right w:val="nil"/>
            </w:tcBorders>
            <w:shd w:val="clear" w:color="auto" w:fill="C6D9F1"/>
          </w:tcPr>
          <w:p w14:paraId="3577BBDB"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10</w:t>
            </w:r>
          </w:p>
        </w:tc>
        <w:tc>
          <w:tcPr>
            <w:tcW w:w="141" w:type="pct"/>
            <w:tcBorders>
              <w:top w:val="nil"/>
              <w:left w:val="nil"/>
              <w:bottom w:val="single" w:sz="6" w:space="0" w:color="auto"/>
              <w:right w:val="nil"/>
            </w:tcBorders>
            <w:shd w:val="clear" w:color="auto" w:fill="C6D9F1"/>
          </w:tcPr>
          <w:p w14:paraId="4D6E838B"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11</w:t>
            </w:r>
          </w:p>
        </w:tc>
        <w:tc>
          <w:tcPr>
            <w:tcW w:w="141" w:type="pct"/>
            <w:tcBorders>
              <w:top w:val="nil"/>
              <w:left w:val="nil"/>
              <w:bottom w:val="single" w:sz="6" w:space="0" w:color="auto"/>
              <w:right w:val="nil"/>
            </w:tcBorders>
            <w:shd w:val="clear" w:color="auto" w:fill="C6D9F1"/>
          </w:tcPr>
          <w:p w14:paraId="23B9542C"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12</w:t>
            </w:r>
          </w:p>
        </w:tc>
        <w:tc>
          <w:tcPr>
            <w:tcW w:w="141" w:type="pct"/>
            <w:tcBorders>
              <w:top w:val="nil"/>
              <w:left w:val="nil"/>
              <w:bottom w:val="single" w:sz="6" w:space="0" w:color="auto"/>
              <w:right w:val="nil"/>
            </w:tcBorders>
            <w:shd w:val="clear" w:color="auto" w:fill="C6D9F1"/>
          </w:tcPr>
          <w:p w14:paraId="17DEEC4F"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13</w:t>
            </w:r>
          </w:p>
        </w:tc>
        <w:tc>
          <w:tcPr>
            <w:tcW w:w="141" w:type="pct"/>
            <w:tcBorders>
              <w:top w:val="nil"/>
              <w:left w:val="nil"/>
              <w:bottom w:val="single" w:sz="6" w:space="0" w:color="auto"/>
              <w:right w:val="nil"/>
            </w:tcBorders>
            <w:shd w:val="clear" w:color="auto" w:fill="C6D9F1"/>
          </w:tcPr>
          <w:p w14:paraId="5E1C61BF"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14</w:t>
            </w:r>
          </w:p>
        </w:tc>
        <w:tc>
          <w:tcPr>
            <w:tcW w:w="141" w:type="pct"/>
            <w:tcBorders>
              <w:top w:val="nil"/>
              <w:left w:val="nil"/>
              <w:bottom w:val="single" w:sz="6" w:space="0" w:color="auto"/>
              <w:right w:val="nil"/>
            </w:tcBorders>
            <w:shd w:val="clear" w:color="auto" w:fill="C6D9F1"/>
          </w:tcPr>
          <w:p w14:paraId="01DECE6F"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15</w:t>
            </w:r>
          </w:p>
        </w:tc>
        <w:tc>
          <w:tcPr>
            <w:tcW w:w="141" w:type="pct"/>
            <w:tcBorders>
              <w:top w:val="nil"/>
              <w:left w:val="nil"/>
              <w:bottom w:val="single" w:sz="6" w:space="0" w:color="auto"/>
              <w:right w:val="nil"/>
            </w:tcBorders>
            <w:shd w:val="clear" w:color="auto" w:fill="C6D9F1"/>
          </w:tcPr>
          <w:p w14:paraId="5BA216F8"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16</w:t>
            </w:r>
          </w:p>
        </w:tc>
        <w:tc>
          <w:tcPr>
            <w:tcW w:w="141" w:type="pct"/>
            <w:tcBorders>
              <w:top w:val="nil"/>
              <w:left w:val="nil"/>
              <w:bottom w:val="single" w:sz="6" w:space="0" w:color="auto"/>
              <w:right w:val="nil"/>
            </w:tcBorders>
            <w:shd w:val="clear" w:color="auto" w:fill="C6D9F1"/>
          </w:tcPr>
          <w:p w14:paraId="74580D19"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17</w:t>
            </w:r>
          </w:p>
        </w:tc>
        <w:tc>
          <w:tcPr>
            <w:tcW w:w="141" w:type="pct"/>
            <w:tcBorders>
              <w:top w:val="nil"/>
              <w:left w:val="nil"/>
              <w:bottom w:val="single" w:sz="6" w:space="0" w:color="auto"/>
              <w:right w:val="nil"/>
            </w:tcBorders>
            <w:shd w:val="clear" w:color="auto" w:fill="C6D9F1"/>
          </w:tcPr>
          <w:p w14:paraId="70FB633A"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18</w:t>
            </w:r>
          </w:p>
        </w:tc>
        <w:tc>
          <w:tcPr>
            <w:tcW w:w="141" w:type="pct"/>
            <w:tcBorders>
              <w:top w:val="nil"/>
              <w:left w:val="nil"/>
              <w:bottom w:val="single" w:sz="6" w:space="0" w:color="auto"/>
              <w:right w:val="nil"/>
            </w:tcBorders>
            <w:shd w:val="clear" w:color="auto" w:fill="C6D9F1"/>
          </w:tcPr>
          <w:p w14:paraId="771A9EAE"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19</w:t>
            </w:r>
          </w:p>
        </w:tc>
        <w:tc>
          <w:tcPr>
            <w:tcW w:w="141" w:type="pct"/>
            <w:tcBorders>
              <w:top w:val="nil"/>
              <w:left w:val="nil"/>
              <w:bottom w:val="single" w:sz="6" w:space="0" w:color="auto"/>
              <w:right w:val="nil"/>
            </w:tcBorders>
            <w:shd w:val="clear" w:color="auto" w:fill="C6D9F1"/>
          </w:tcPr>
          <w:p w14:paraId="534667BB"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20</w:t>
            </w:r>
          </w:p>
        </w:tc>
        <w:tc>
          <w:tcPr>
            <w:tcW w:w="141" w:type="pct"/>
            <w:tcBorders>
              <w:top w:val="nil"/>
              <w:left w:val="nil"/>
              <w:bottom w:val="single" w:sz="6" w:space="0" w:color="auto"/>
              <w:right w:val="nil"/>
            </w:tcBorders>
            <w:shd w:val="clear" w:color="auto" w:fill="C6D9F1"/>
          </w:tcPr>
          <w:p w14:paraId="4F0647C6"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21</w:t>
            </w:r>
          </w:p>
        </w:tc>
        <w:tc>
          <w:tcPr>
            <w:tcW w:w="141" w:type="pct"/>
            <w:tcBorders>
              <w:top w:val="nil"/>
              <w:left w:val="nil"/>
              <w:bottom w:val="single" w:sz="6" w:space="0" w:color="auto"/>
              <w:right w:val="nil"/>
            </w:tcBorders>
            <w:shd w:val="clear" w:color="auto" w:fill="C6D9F1"/>
          </w:tcPr>
          <w:p w14:paraId="3EFC64C6"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22</w:t>
            </w:r>
          </w:p>
        </w:tc>
        <w:tc>
          <w:tcPr>
            <w:tcW w:w="141" w:type="pct"/>
            <w:tcBorders>
              <w:top w:val="nil"/>
              <w:left w:val="nil"/>
              <w:bottom w:val="single" w:sz="6" w:space="0" w:color="auto"/>
              <w:right w:val="nil"/>
            </w:tcBorders>
            <w:shd w:val="clear" w:color="auto" w:fill="C6D9F1"/>
          </w:tcPr>
          <w:p w14:paraId="73B2E4B5"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23</w:t>
            </w:r>
          </w:p>
        </w:tc>
        <w:tc>
          <w:tcPr>
            <w:tcW w:w="141" w:type="pct"/>
            <w:tcBorders>
              <w:top w:val="nil"/>
              <w:left w:val="nil"/>
              <w:bottom w:val="single" w:sz="6" w:space="0" w:color="auto"/>
              <w:right w:val="nil"/>
            </w:tcBorders>
            <w:shd w:val="clear" w:color="auto" w:fill="C6D9F1"/>
          </w:tcPr>
          <w:p w14:paraId="30FCD95C"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24</w:t>
            </w:r>
          </w:p>
        </w:tc>
        <w:tc>
          <w:tcPr>
            <w:tcW w:w="141" w:type="pct"/>
            <w:tcBorders>
              <w:top w:val="nil"/>
              <w:left w:val="nil"/>
              <w:bottom w:val="single" w:sz="6" w:space="0" w:color="auto"/>
              <w:right w:val="nil"/>
            </w:tcBorders>
            <w:shd w:val="clear" w:color="auto" w:fill="C6D9F1"/>
          </w:tcPr>
          <w:p w14:paraId="6F2B5D95"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25</w:t>
            </w:r>
          </w:p>
        </w:tc>
        <w:tc>
          <w:tcPr>
            <w:tcW w:w="141" w:type="pct"/>
            <w:tcBorders>
              <w:top w:val="nil"/>
              <w:left w:val="nil"/>
              <w:bottom w:val="single" w:sz="6" w:space="0" w:color="auto"/>
              <w:right w:val="nil"/>
            </w:tcBorders>
            <w:shd w:val="clear" w:color="auto" w:fill="C6D9F1"/>
          </w:tcPr>
          <w:p w14:paraId="6DB2220D"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26</w:t>
            </w:r>
          </w:p>
        </w:tc>
        <w:tc>
          <w:tcPr>
            <w:tcW w:w="141" w:type="pct"/>
            <w:tcBorders>
              <w:top w:val="nil"/>
              <w:left w:val="nil"/>
              <w:bottom w:val="single" w:sz="6" w:space="0" w:color="auto"/>
              <w:right w:val="nil"/>
            </w:tcBorders>
            <w:shd w:val="clear" w:color="auto" w:fill="C6D9F1"/>
          </w:tcPr>
          <w:p w14:paraId="65D12F8D"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27</w:t>
            </w:r>
          </w:p>
        </w:tc>
        <w:tc>
          <w:tcPr>
            <w:tcW w:w="141" w:type="pct"/>
            <w:tcBorders>
              <w:top w:val="nil"/>
              <w:left w:val="nil"/>
              <w:bottom w:val="single" w:sz="6" w:space="0" w:color="auto"/>
              <w:right w:val="nil"/>
            </w:tcBorders>
            <w:shd w:val="clear" w:color="auto" w:fill="C6D9F1"/>
          </w:tcPr>
          <w:p w14:paraId="251A248B"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28</w:t>
            </w:r>
          </w:p>
        </w:tc>
        <w:tc>
          <w:tcPr>
            <w:tcW w:w="141" w:type="pct"/>
            <w:tcBorders>
              <w:top w:val="nil"/>
              <w:left w:val="nil"/>
              <w:bottom w:val="single" w:sz="6" w:space="0" w:color="auto"/>
              <w:right w:val="nil"/>
            </w:tcBorders>
            <w:shd w:val="clear" w:color="auto" w:fill="C6D9F1"/>
          </w:tcPr>
          <w:p w14:paraId="76F8A6AF"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29</w:t>
            </w:r>
          </w:p>
        </w:tc>
        <w:tc>
          <w:tcPr>
            <w:tcW w:w="100" w:type="pct"/>
            <w:tcBorders>
              <w:top w:val="nil"/>
              <w:left w:val="nil"/>
              <w:bottom w:val="single" w:sz="6" w:space="0" w:color="auto"/>
              <w:right w:val="nil"/>
            </w:tcBorders>
            <w:shd w:val="clear" w:color="auto" w:fill="C6D9F1"/>
          </w:tcPr>
          <w:p w14:paraId="3C1F7EA3"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w:t>
            </w:r>
          </w:p>
        </w:tc>
        <w:tc>
          <w:tcPr>
            <w:tcW w:w="100" w:type="pct"/>
            <w:tcBorders>
              <w:top w:val="nil"/>
              <w:left w:val="nil"/>
              <w:bottom w:val="single" w:sz="6" w:space="0" w:color="auto"/>
              <w:right w:val="nil"/>
            </w:tcBorders>
            <w:shd w:val="clear" w:color="auto" w:fill="C6D9F1"/>
          </w:tcPr>
          <w:p w14:paraId="1F49FED2"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w:t>
            </w:r>
          </w:p>
        </w:tc>
        <w:tc>
          <w:tcPr>
            <w:tcW w:w="141" w:type="pct"/>
            <w:tcBorders>
              <w:top w:val="nil"/>
              <w:left w:val="nil"/>
              <w:bottom w:val="single" w:sz="6" w:space="0" w:color="auto"/>
              <w:right w:val="nil"/>
            </w:tcBorders>
            <w:shd w:val="clear" w:color="auto" w:fill="C6D9F1"/>
          </w:tcPr>
          <w:p w14:paraId="74C17C54"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36</w:t>
            </w:r>
          </w:p>
        </w:tc>
        <w:tc>
          <w:tcPr>
            <w:tcW w:w="129" w:type="pct"/>
            <w:tcBorders>
              <w:top w:val="nil"/>
              <w:left w:val="nil"/>
              <w:bottom w:val="single" w:sz="6" w:space="0" w:color="auto"/>
              <w:right w:val="nil"/>
            </w:tcBorders>
            <w:shd w:val="clear" w:color="auto" w:fill="C6D9F1"/>
          </w:tcPr>
          <w:p w14:paraId="3DCB8BA4"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37</w:t>
            </w:r>
          </w:p>
        </w:tc>
        <w:tc>
          <w:tcPr>
            <w:tcW w:w="253" w:type="pct"/>
            <w:tcBorders>
              <w:top w:val="nil"/>
              <w:left w:val="nil"/>
              <w:bottom w:val="single" w:sz="6" w:space="0" w:color="auto"/>
              <w:right w:val="single" w:sz="6" w:space="0" w:color="auto"/>
            </w:tcBorders>
            <w:shd w:val="clear" w:color="auto" w:fill="C6D9F1"/>
          </w:tcPr>
          <w:p w14:paraId="44B8E66C" w14:textId="77777777" w:rsidR="00620770" w:rsidRPr="003E4580" w:rsidRDefault="00620770" w:rsidP="00620770">
            <w:pPr>
              <w:keepLines/>
              <w:tabs>
                <w:tab w:val="left" w:pos="720"/>
              </w:tabs>
              <w:suppressAutoHyphens w:val="0"/>
              <w:spacing w:line="264" w:lineRule="auto"/>
              <w:rPr>
                <w:b/>
                <w:snapToGrid w:val="0"/>
                <w:kern w:val="0"/>
                <w:sz w:val="16"/>
                <w:szCs w:val="16"/>
              </w:rPr>
            </w:pPr>
          </w:p>
        </w:tc>
      </w:tr>
      <w:tr w:rsidR="00F4063A" w:rsidRPr="003E4580" w14:paraId="38DEFFD2" w14:textId="77777777" w:rsidTr="00F4063A">
        <w:tc>
          <w:tcPr>
            <w:tcW w:w="188" w:type="pct"/>
            <w:tcBorders>
              <w:top w:val="single" w:sz="6" w:space="0" w:color="auto"/>
              <w:left w:val="nil"/>
              <w:bottom w:val="nil"/>
              <w:right w:val="nil"/>
            </w:tcBorders>
          </w:tcPr>
          <w:p w14:paraId="566514A2"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w:t>
            </w:r>
          </w:p>
        </w:tc>
        <w:tc>
          <w:tcPr>
            <w:tcW w:w="141" w:type="pct"/>
            <w:tcBorders>
              <w:top w:val="single" w:sz="6" w:space="0" w:color="auto"/>
              <w:left w:val="nil"/>
              <w:bottom w:val="nil"/>
              <w:right w:val="nil"/>
            </w:tcBorders>
            <w:shd w:val="clear" w:color="auto" w:fill="auto"/>
            <w:vAlign w:val="bottom"/>
          </w:tcPr>
          <w:p w14:paraId="7ED56177" w14:textId="505D8F9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25</w:t>
            </w:r>
          </w:p>
        </w:tc>
        <w:tc>
          <w:tcPr>
            <w:tcW w:w="141" w:type="pct"/>
            <w:tcBorders>
              <w:top w:val="single" w:sz="6" w:space="0" w:color="auto"/>
              <w:left w:val="nil"/>
              <w:bottom w:val="nil"/>
              <w:right w:val="nil"/>
            </w:tcBorders>
            <w:shd w:val="clear" w:color="auto" w:fill="auto"/>
            <w:vAlign w:val="bottom"/>
          </w:tcPr>
          <w:p w14:paraId="5B091188" w14:textId="0D124AE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41" w:type="pct"/>
            <w:tcBorders>
              <w:top w:val="single" w:sz="6" w:space="0" w:color="auto"/>
              <w:left w:val="nil"/>
              <w:bottom w:val="nil"/>
              <w:right w:val="nil"/>
            </w:tcBorders>
            <w:shd w:val="clear" w:color="auto" w:fill="auto"/>
            <w:vAlign w:val="bottom"/>
          </w:tcPr>
          <w:p w14:paraId="05F27FA0" w14:textId="11D1776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41" w:type="pct"/>
            <w:tcBorders>
              <w:top w:val="single" w:sz="6" w:space="0" w:color="auto"/>
              <w:left w:val="nil"/>
              <w:bottom w:val="nil"/>
              <w:right w:val="nil"/>
            </w:tcBorders>
            <w:shd w:val="clear" w:color="auto" w:fill="auto"/>
            <w:vAlign w:val="bottom"/>
          </w:tcPr>
          <w:p w14:paraId="4316E236" w14:textId="2BDDCC2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41" w:type="pct"/>
            <w:tcBorders>
              <w:top w:val="single" w:sz="6" w:space="0" w:color="auto"/>
              <w:left w:val="nil"/>
              <w:bottom w:val="nil"/>
              <w:right w:val="nil"/>
            </w:tcBorders>
            <w:shd w:val="clear" w:color="auto" w:fill="auto"/>
            <w:vAlign w:val="bottom"/>
          </w:tcPr>
          <w:p w14:paraId="5FF0F739" w14:textId="76EE076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41" w:type="pct"/>
            <w:tcBorders>
              <w:top w:val="single" w:sz="6" w:space="0" w:color="auto"/>
              <w:left w:val="nil"/>
              <w:bottom w:val="nil"/>
              <w:right w:val="nil"/>
            </w:tcBorders>
          </w:tcPr>
          <w:p w14:paraId="3A493C1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26933E4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79C8462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1337969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5698EBA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43956CD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567D41A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1E4CA3C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7D3493C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6517701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4F3356C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7F93F96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6AD32B8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423A78F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583EA2B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75F55FA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6162AE2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21C0FCF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03B4886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3FE1FC5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shd w:val="clear" w:color="auto" w:fill="auto"/>
            <w:vAlign w:val="bottom"/>
          </w:tcPr>
          <w:p w14:paraId="5B9A4110" w14:textId="63CF387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41" w:type="pct"/>
            <w:tcBorders>
              <w:top w:val="single" w:sz="6" w:space="0" w:color="auto"/>
              <w:left w:val="nil"/>
              <w:bottom w:val="nil"/>
              <w:right w:val="nil"/>
            </w:tcBorders>
            <w:shd w:val="clear" w:color="auto" w:fill="auto"/>
            <w:vAlign w:val="bottom"/>
          </w:tcPr>
          <w:p w14:paraId="47BEEA23" w14:textId="1FB5BC4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41" w:type="pct"/>
            <w:tcBorders>
              <w:top w:val="single" w:sz="6" w:space="0" w:color="auto"/>
              <w:left w:val="nil"/>
              <w:bottom w:val="nil"/>
              <w:right w:val="nil"/>
            </w:tcBorders>
            <w:shd w:val="clear" w:color="auto" w:fill="auto"/>
            <w:vAlign w:val="bottom"/>
          </w:tcPr>
          <w:p w14:paraId="02292D11" w14:textId="1A05504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41" w:type="pct"/>
            <w:tcBorders>
              <w:top w:val="single" w:sz="6" w:space="0" w:color="auto"/>
              <w:left w:val="nil"/>
              <w:bottom w:val="nil"/>
              <w:right w:val="nil"/>
            </w:tcBorders>
            <w:shd w:val="clear" w:color="auto" w:fill="auto"/>
            <w:vAlign w:val="bottom"/>
          </w:tcPr>
          <w:p w14:paraId="00B28B52" w14:textId="58E5952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00" w:type="pct"/>
            <w:tcBorders>
              <w:top w:val="single" w:sz="6" w:space="0" w:color="auto"/>
              <w:left w:val="nil"/>
              <w:bottom w:val="nil"/>
              <w:right w:val="nil"/>
            </w:tcBorders>
          </w:tcPr>
          <w:p w14:paraId="5C97675C"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single" w:sz="6" w:space="0" w:color="auto"/>
              <w:left w:val="nil"/>
              <w:bottom w:val="nil"/>
              <w:right w:val="nil"/>
            </w:tcBorders>
          </w:tcPr>
          <w:p w14:paraId="3765297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single" w:sz="6" w:space="0" w:color="auto"/>
              <w:left w:val="nil"/>
              <w:bottom w:val="nil"/>
              <w:right w:val="nil"/>
            </w:tcBorders>
            <w:shd w:val="clear" w:color="auto" w:fill="auto"/>
            <w:vAlign w:val="bottom"/>
          </w:tcPr>
          <w:p w14:paraId="3EF42999" w14:textId="19DA263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29" w:type="pct"/>
            <w:tcBorders>
              <w:top w:val="single" w:sz="6" w:space="0" w:color="auto"/>
              <w:left w:val="nil"/>
              <w:bottom w:val="nil"/>
              <w:right w:val="single" w:sz="6" w:space="0" w:color="auto"/>
            </w:tcBorders>
            <w:shd w:val="clear" w:color="auto" w:fill="auto"/>
            <w:vAlign w:val="bottom"/>
          </w:tcPr>
          <w:p w14:paraId="37EC9FFC" w14:textId="60F83DC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253" w:type="pct"/>
            <w:tcBorders>
              <w:top w:val="single" w:sz="6" w:space="0" w:color="auto"/>
              <w:left w:val="single" w:sz="6" w:space="0" w:color="auto"/>
              <w:bottom w:val="nil"/>
              <w:right w:val="single" w:sz="6" w:space="0" w:color="auto"/>
            </w:tcBorders>
            <w:shd w:val="clear" w:color="auto" w:fill="auto"/>
            <w:vAlign w:val="bottom"/>
          </w:tcPr>
          <w:p w14:paraId="0BC25261" w14:textId="36CF473D"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25</w:t>
            </w:r>
          </w:p>
        </w:tc>
      </w:tr>
      <w:tr w:rsidR="00F4063A" w:rsidRPr="003E4580" w14:paraId="759F7491" w14:textId="77777777" w:rsidTr="00F4063A">
        <w:tc>
          <w:tcPr>
            <w:tcW w:w="188" w:type="pct"/>
            <w:tcBorders>
              <w:top w:val="nil"/>
              <w:left w:val="nil"/>
              <w:bottom w:val="nil"/>
              <w:right w:val="nil"/>
            </w:tcBorders>
          </w:tcPr>
          <w:p w14:paraId="5E08F80C"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w:t>
            </w:r>
          </w:p>
        </w:tc>
        <w:tc>
          <w:tcPr>
            <w:tcW w:w="141" w:type="pct"/>
            <w:tcBorders>
              <w:top w:val="nil"/>
              <w:left w:val="nil"/>
              <w:bottom w:val="nil"/>
              <w:right w:val="nil"/>
            </w:tcBorders>
            <w:shd w:val="clear" w:color="auto" w:fill="auto"/>
            <w:vAlign w:val="bottom"/>
          </w:tcPr>
          <w:p w14:paraId="1920DF9E" w14:textId="305B667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96</w:t>
            </w:r>
          </w:p>
        </w:tc>
        <w:tc>
          <w:tcPr>
            <w:tcW w:w="141" w:type="pct"/>
            <w:tcBorders>
              <w:top w:val="nil"/>
              <w:left w:val="nil"/>
              <w:bottom w:val="nil"/>
              <w:right w:val="nil"/>
            </w:tcBorders>
            <w:shd w:val="clear" w:color="auto" w:fill="auto"/>
            <w:vAlign w:val="bottom"/>
          </w:tcPr>
          <w:p w14:paraId="1D2F8286" w14:textId="3D7669F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w:t>
            </w:r>
          </w:p>
        </w:tc>
        <w:tc>
          <w:tcPr>
            <w:tcW w:w="141" w:type="pct"/>
            <w:tcBorders>
              <w:top w:val="nil"/>
              <w:left w:val="nil"/>
              <w:bottom w:val="nil"/>
              <w:right w:val="nil"/>
            </w:tcBorders>
            <w:shd w:val="clear" w:color="auto" w:fill="auto"/>
            <w:vAlign w:val="bottom"/>
          </w:tcPr>
          <w:p w14:paraId="42AF052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F65850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4AD51E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082C0E7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1D34D01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0E20C84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1AB0C45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0A68B79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6E58C77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5EEA153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553D0DA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2410F9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4FEEFF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3498D3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7BC05D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339218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1C7639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0944C9A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EF9339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93CB72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194ABC0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631BBA6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9CB9A5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2EC3AD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B9B32E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BFBF8F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C8A248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4AA7DC88"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24C41B8F"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126201B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54E9596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17175834" w14:textId="48ECBA2A"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154</w:t>
            </w:r>
          </w:p>
        </w:tc>
      </w:tr>
      <w:tr w:rsidR="00F4063A" w:rsidRPr="003E4580" w14:paraId="42E72A30" w14:textId="77777777" w:rsidTr="00F4063A">
        <w:tc>
          <w:tcPr>
            <w:tcW w:w="188" w:type="pct"/>
            <w:tcBorders>
              <w:top w:val="nil"/>
              <w:left w:val="nil"/>
              <w:bottom w:val="nil"/>
              <w:right w:val="nil"/>
            </w:tcBorders>
          </w:tcPr>
          <w:p w14:paraId="0147C8EE"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w:t>
            </w:r>
          </w:p>
        </w:tc>
        <w:tc>
          <w:tcPr>
            <w:tcW w:w="141" w:type="pct"/>
            <w:tcBorders>
              <w:top w:val="nil"/>
              <w:left w:val="nil"/>
              <w:bottom w:val="nil"/>
              <w:right w:val="nil"/>
            </w:tcBorders>
            <w:shd w:val="clear" w:color="auto" w:fill="auto"/>
            <w:vAlign w:val="bottom"/>
          </w:tcPr>
          <w:p w14:paraId="39F3F574" w14:textId="02CC5CA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144</w:t>
            </w:r>
          </w:p>
        </w:tc>
        <w:tc>
          <w:tcPr>
            <w:tcW w:w="141" w:type="pct"/>
            <w:tcBorders>
              <w:top w:val="nil"/>
              <w:left w:val="nil"/>
              <w:bottom w:val="nil"/>
              <w:right w:val="nil"/>
            </w:tcBorders>
            <w:shd w:val="clear" w:color="auto" w:fill="auto"/>
            <w:vAlign w:val="bottom"/>
          </w:tcPr>
          <w:p w14:paraId="5F1C3650" w14:textId="750A914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226</w:t>
            </w:r>
          </w:p>
        </w:tc>
        <w:tc>
          <w:tcPr>
            <w:tcW w:w="141" w:type="pct"/>
            <w:tcBorders>
              <w:top w:val="nil"/>
              <w:left w:val="nil"/>
              <w:bottom w:val="nil"/>
              <w:right w:val="nil"/>
            </w:tcBorders>
            <w:shd w:val="clear" w:color="auto" w:fill="auto"/>
            <w:vAlign w:val="bottom"/>
          </w:tcPr>
          <w:p w14:paraId="585C71D4" w14:textId="31738C1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81</w:t>
            </w:r>
          </w:p>
        </w:tc>
        <w:tc>
          <w:tcPr>
            <w:tcW w:w="141" w:type="pct"/>
            <w:tcBorders>
              <w:top w:val="nil"/>
              <w:left w:val="nil"/>
              <w:bottom w:val="nil"/>
              <w:right w:val="nil"/>
            </w:tcBorders>
            <w:shd w:val="clear" w:color="auto" w:fill="auto"/>
            <w:vAlign w:val="bottom"/>
          </w:tcPr>
          <w:p w14:paraId="6D87B8E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ACCEBB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27C23C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1F76322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146F1BD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058C1C3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6B232F4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FDA046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9E780B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141C72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4381A80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60185A0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1439D6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9FB76B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F05A6E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16E047F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5352E4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543D8DC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5874A3F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0DC24B8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1D8B1B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125B4D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E98229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D736C9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01AD5F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08F6C9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3945294F"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2D4E7EC3"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3761C81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3D47197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6BA8B9A7" w14:textId="3CAEB047"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451</w:t>
            </w:r>
          </w:p>
        </w:tc>
      </w:tr>
      <w:tr w:rsidR="00F4063A" w:rsidRPr="003E4580" w14:paraId="64FB99ED" w14:textId="77777777" w:rsidTr="00F4063A">
        <w:tc>
          <w:tcPr>
            <w:tcW w:w="188" w:type="pct"/>
            <w:tcBorders>
              <w:top w:val="nil"/>
              <w:left w:val="nil"/>
              <w:bottom w:val="nil"/>
              <w:right w:val="nil"/>
            </w:tcBorders>
          </w:tcPr>
          <w:p w14:paraId="394A4A48"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4</w:t>
            </w:r>
          </w:p>
        </w:tc>
        <w:tc>
          <w:tcPr>
            <w:tcW w:w="141" w:type="pct"/>
            <w:tcBorders>
              <w:top w:val="nil"/>
              <w:left w:val="nil"/>
              <w:bottom w:val="nil"/>
              <w:right w:val="nil"/>
            </w:tcBorders>
            <w:shd w:val="clear" w:color="auto" w:fill="auto"/>
            <w:vAlign w:val="bottom"/>
          </w:tcPr>
          <w:p w14:paraId="721073A3" w14:textId="38D2032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157</w:t>
            </w:r>
          </w:p>
        </w:tc>
        <w:tc>
          <w:tcPr>
            <w:tcW w:w="141" w:type="pct"/>
            <w:tcBorders>
              <w:top w:val="nil"/>
              <w:left w:val="nil"/>
              <w:bottom w:val="nil"/>
              <w:right w:val="nil"/>
            </w:tcBorders>
            <w:shd w:val="clear" w:color="auto" w:fill="auto"/>
            <w:vAlign w:val="bottom"/>
          </w:tcPr>
          <w:p w14:paraId="7C3118FD" w14:textId="6BD0D7B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340</w:t>
            </w:r>
          </w:p>
        </w:tc>
        <w:tc>
          <w:tcPr>
            <w:tcW w:w="141" w:type="pct"/>
            <w:tcBorders>
              <w:top w:val="nil"/>
              <w:left w:val="nil"/>
              <w:bottom w:val="nil"/>
              <w:right w:val="nil"/>
            </w:tcBorders>
            <w:shd w:val="clear" w:color="auto" w:fill="auto"/>
            <w:vAlign w:val="bottom"/>
          </w:tcPr>
          <w:p w14:paraId="0298ADF5" w14:textId="45F0B02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312</w:t>
            </w:r>
          </w:p>
        </w:tc>
        <w:tc>
          <w:tcPr>
            <w:tcW w:w="141" w:type="pct"/>
            <w:tcBorders>
              <w:top w:val="nil"/>
              <w:left w:val="nil"/>
              <w:bottom w:val="nil"/>
              <w:right w:val="nil"/>
            </w:tcBorders>
            <w:shd w:val="clear" w:color="auto" w:fill="auto"/>
            <w:vAlign w:val="bottom"/>
          </w:tcPr>
          <w:p w14:paraId="36562FD9" w14:textId="3DA2507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78</w:t>
            </w:r>
          </w:p>
        </w:tc>
        <w:tc>
          <w:tcPr>
            <w:tcW w:w="141" w:type="pct"/>
            <w:tcBorders>
              <w:top w:val="nil"/>
              <w:left w:val="nil"/>
              <w:bottom w:val="nil"/>
              <w:right w:val="nil"/>
            </w:tcBorders>
            <w:shd w:val="clear" w:color="auto" w:fill="auto"/>
            <w:vAlign w:val="bottom"/>
          </w:tcPr>
          <w:p w14:paraId="2376793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13160F1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504E082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5C9C74D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93C76A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1FA02D1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5EEDEE1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68D2FCE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013D3E5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58DD60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4D5830B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4B50E87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9F28CB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690E56B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6621E13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CCA6F1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D14E3A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656F5CA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C41853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89FC0E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3B853E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178AE9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DCEF4F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79818A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0F744C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1915FB95"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7B613793"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5B9E084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58B13C3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22605723" w14:textId="14AD7787"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886</w:t>
            </w:r>
          </w:p>
        </w:tc>
      </w:tr>
      <w:tr w:rsidR="00F830FB" w:rsidRPr="003E4580" w14:paraId="39E81FBC" w14:textId="77777777" w:rsidTr="00F4063A">
        <w:tc>
          <w:tcPr>
            <w:tcW w:w="188" w:type="pct"/>
            <w:tcBorders>
              <w:top w:val="nil"/>
              <w:left w:val="nil"/>
              <w:bottom w:val="nil"/>
              <w:right w:val="nil"/>
            </w:tcBorders>
          </w:tcPr>
          <w:p w14:paraId="234D0C7D"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5</w:t>
            </w:r>
          </w:p>
        </w:tc>
        <w:tc>
          <w:tcPr>
            <w:tcW w:w="141" w:type="pct"/>
            <w:tcBorders>
              <w:top w:val="nil"/>
              <w:left w:val="nil"/>
              <w:bottom w:val="nil"/>
              <w:right w:val="nil"/>
            </w:tcBorders>
            <w:shd w:val="clear" w:color="auto" w:fill="auto"/>
            <w:vAlign w:val="bottom"/>
          </w:tcPr>
          <w:p w14:paraId="5DE4E6C2" w14:textId="16F6851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174</w:t>
            </w:r>
          </w:p>
        </w:tc>
        <w:tc>
          <w:tcPr>
            <w:tcW w:w="141" w:type="pct"/>
            <w:tcBorders>
              <w:top w:val="nil"/>
              <w:left w:val="nil"/>
              <w:bottom w:val="nil"/>
              <w:right w:val="nil"/>
            </w:tcBorders>
            <w:shd w:val="clear" w:color="auto" w:fill="auto"/>
            <w:vAlign w:val="bottom"/>
          </w:tcPr>
          <w:p w14:paraId="31758807" w14:textId="0A5D316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370</w:t>
            </w:r>
          </w:p>
        </w:tc>
        <w:tc>
          <w:tcPr>
            <w:tcW w:w="141" w:type="pct"/>
            <w:tcBorders>
              <w:top w:val="nil"/>
              <w:left w:val="nil"/>
              <w:bottom w:val="nil"/>
              <w:right w:val="nil"/>
            </w:tcBorders>
            <w:shd w:val="clear" w:color="auto" w:fill="auto"/>
            <w:vAlign w:val="bottom"/>
          </w:tcPr>
          <w:p w14:paraId="04F04F6F" w14:textId="343D190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468</w:t>
            </w:r>
          </w:p>
        </w:tc>
        <w:tc>
          <w:tcPr>
            <w:tcW w:w="141" w:type="pct"/>
            <w:tcBorders>
              <w:top w:val="nil"/>
              <w:left w:val="nil"/>
              <w:bottom w:val="nil"/>
              <w:right w:val="nil"/>
            </w:tcBorders>
            <w:shd w:val="clear" w:color="auto" w:fill="auto"/>
            <w:vAlign w:val="bottom"/>
          </w:tcPr>
          <w:p w14:paraId="12241577" w14:textId="26F60ED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300</w:t>
            </w:r>
          </w:p>
        </w:tc>
        <w:tc>
          <w:tcPr>
            <w:tcW w:w="141" w:type="pct"/>
            <w:tcBorders>
              <w:top w:val="nil"/>
              <w:left w:val="nil"/>
              <w:bottom w:val="nil"/>
              <w:right w:val="nil"/>
            </w:tcBorders>
            <w:shd w:val="clear" w:color="auto" w:fill="auto"/>
            <w:vAlign w:val="bottom"/>
          </w:tcPr>
          <w:p w14:paraId="0D583C4B" w14:textId="48A50EA6" w:rsidR="00F830FB" w:rsidRPr="003E4580" w:rsidRDefault="00F830FB" w:rsidP="00F830FB">
            <w:pPr>
              <w:keepLines/>
              <w:tabs>
                <w:tab w:val="left" w:pos="720"/>
              </w:tabs>
              <w:suppressAutoHyphens w:val="0"/>
              <w:spacing w:line="264" w:lineRule="auto"/>
              <w:rPr>
                <w:rFonts w:ascii="Arial" w:hAnsi="Arial" w:cs="Arial"/>
                <w:sz w:val="12"/>
                <w:szCs w:val="16"/>
              </w:rPr>
            </w:pPr>
            <w:r w:rsidRPr="003E4580">
              <w:rPr>
                <w:rFonts w:ascii="Arial" w:hAnsi="Arial" w:cs="Arial"/>
                <w:sz w:val="12"/>
                <w:szCs w:val="16"/>
              </w:rPr>
              <w:t>72</w:t>
            </w:r>
          </w:p>
        </w:tc>
        <w:tc>
          <w:tcPr>
            <w:tcW w:w="141" w:type="pct"/>
            <w:tcBorders>
              <w:top w:val="nil"/>
              <w:left w:val="nil"/>
              <w:bottom w:val="nil"/>
              <w:right w:val="nil"/>
            </w:tcBorders>
            <w:shd w:val="clear" w:color="auto" w:fill="auto"/>
            <w:vAlign w:val="bottom"/>
          </w:tcPr>
          <w:p w14:paraId="0D0DB65B"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621981DF"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0798266D"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7306D1FA"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67B24E5E"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E755161"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5BFB8ED"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172628E7"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2DFBE05D"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2DB1D56"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1B014602"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1AE7856F"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EF6AA79"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17F6B1CF"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6E102179"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7BE0FF89"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01B83039"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121E9B27"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B32F399"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2CB8098D"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2B533F50"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3B0B8C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DAD868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50ED9E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45C9A212"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35B66C0"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4481C84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41EC9D7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2D629483" w14:textId="5DCF2073"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1383</w:t>
            </w:r>
          </w:p>
        </w:tc>
      </w:tr>
      <w:tr w:rsidR="00F4063A" w:rsidRPr="003E4580" w14:paraId="7F204F30" w14:textId="77777777" w:rsidTr="00F4063A">
        <w:tc>
          <w:tcPr>
            <w:tcW w:w="188" w:type="pct"/>
            <w:tcBorders>
              <w:top w:val="nil"/>
              <w:left w:val="nil"/>
              <w:bottom w:val="nil"/>
              <w:right w:val="nil"/>
            </w:tcBorders>
          </w:tcPr>
          <w:p w14:paraId="19164757"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6</w:t>
            </w:r>
          </w:p>
        </w:tc>
        <w:tc>
          <w:tcPr>
            <w:tcW w:w="141" w:type="pct"/>
            <w:tcBorders>
              <w:top w:val="nil"/>
              <w:left w:val="nil"/>
              <w:bottom w:val="nil"/>
              <w:right w:val="nil"/>
            </w:tcBorders>
            <w:shd w:val="clear" w:color="auto" w:fill="auto"/>
            <w:vAlign w:val="bottom"/>
          </w:tcPr>
          <w:p w14:paraId="06BB987F" w14:textId="7F2FD26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191</w:t>
            </w:r>
          </w:p>
        </w:tc>
        <w:tc>
          <w:tcPr>
            <w:tcW w:w="141" w:type="pct"/>
            <w:tcBorders>
              <w:top w:val="nil"/>
              <w:left w:val="nil"/>
              <w:bottom w:val="nil"/>
              <w:right w:val="nil"/>
            </w:tcBorders>
            <w:shd w:val="clear" w:color="auto" w:fill="auto"/>
            <w:vAlign w:val="bottom"/>
          </w:tcPr>
          <w:p w14:paraId="65D5E2FA" w14:textId="68A7293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409</w:t>
            </w:r>
          </w:p>
        </w:tc>
        <w:tc>
          <w:tcPr>
            <w:tcW w:w="141" w:type="pct"/>
            <w:tcBorders>
              <w:top w:val="nil"/>
              <w:left w:val="nil"/>
              <w:bottom w:val="nil"/>
              <w:right w:val="nil"/>
            </w:tcBorders>
            <w:shd w:val="clear" w:color="auto" w:fill="auto"/>
            <w:vAlign w:val="bottom"/>
          </w:tcPr>
          <w:p w14:paraId="59717C6B" w14:textId="6FE5B3A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510</w:t>
            </w:r>
          </w:p>
        </w:tc>
        <w:tc>
          <w:tcPr>
            <w:tcW w:w="141" w:type="pct"/>
            <w:tcBorders>
              <w:top w:val="nil"/>
              <w:left w:val="nil"/>
              <w:bottom w:val="nil"/>
              <w:right w:val="nil"/>
            </w:tcBorders>
            <w:shd w:val="clear" w:color="auto" w:fill="auto"/>
            <w:vAlign w:val="bottom"/>
          </w:tcPr>
          <w:p w14:paraId="71BEE86A" w14:textId="5A299A6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450</w:t>
            </w:r>
          </w:p>
        </w:tc>
        <w:tc>
          <w:tcPr>
            <w:tcW w:w="141" w:type="pct"/>
            <w:tcBorders>
              <w:top w:val="nil"/>
              <w:left w:val="nil"/>
              <w:bottom w:val="nil"/>
              <w:right w:val="nil"/>
            </w:tcBorders>
            <w:shd w:val="clear" w:color="auto" w:fill="auto"/>
            <w:vAlign w:val="bottom"/>
          </w:tcPr>
          <w:p w14:paraId="43E718A7" w14:textId="09155D21" w:rsidR="00F830FB" w:rsidRPr="003E4580" w:rsidRDefault="00F830FB" w:rsidP="00F830FB">
            <w:pPr>
              <w:keepLines/>
              <w:tabs>
                <w:tab w:val="left" w:pos="720"/>
              </w:tabs>
              <w:suppressAutoHyphens w:val="0"/>
              <w:spacing w:line="264" w:lineRule="auto"/>
              <w:rPr>
                <w:rFonts w:ascii="Arial" w:hAnsi="Arial" w:cs="Arial"/>
                <w:sz w:val="12"/>
                <w:szCs w:val="16"/>
              </w:rPr>
            </w:pPr>
            <w:r w:rsidRPr="003E4580">
              <w:rPr>
                <w:rFonts w:ascii="Arial" w:hAnsi="Arial" w:cs="Arial"/>
                <w:sz w:val="12"/>
                <w:szCs w:val="16"/>
              </w:rPr>
              <w:t>277</w:t>
            </w:r>
          </w:p>
        </w:tc>
        <w:tc>
          <w:tcPr>
            <w:tcW w:w="141" w:type="pct"/>
            <w:tcBorders>
              <w:top w:val="nil"/>
              <w:left w:val="nil"/>
              <w:bottom w:val="nil"/>
              <w:right w:val="nil"/>
            </w:tcBorders>
            <w:shd w:val="clear" w:color="auto" w:fill="auto"/>
            <w:vAlign w:val="bottom"/>
          </w:tcPr>
          <w:p w14:paraId="13A9991C" w14:textId="1A18F21C" w:rsidR="00F830FB" w:rsidRPr="003E4580" w:rsidRDefault="00F830FB" w:rsidP="00F830FB">
            <w:pPr>
              <w:keepLines/>
              <w:tabs>
                <w:tab w:val="left" w:pos="720"/>
              </w:tabs>
              <w:suppressAutoHyphens w:val="0"/>
              <w:spacing w:line="264" w:lineRule="auto"/>
              <w:rPr>
                <w:rFonts w:ascii="Arial" w:hAnsi="Arial" w:cs="Arial"/>
                <w:sz w:val="12"/>
                <w:szCs w:val="16"/>
              </w:rPr>
            </w:pPr>
            <w:r w:rsidRPr="003E4580">
              <w:rPr>
                <w:rFonts w:ascii="Arial" w:hAnsi="Arial" w:cs="Arial"/>
                <w:sz w:val="12"/>
                <w:szCs w:val="16"/>
              </w:rPr>
              <w:t>75</w:t>
            </w:r>
          </w:p>
        </w:tc>
        <w:tc>
          <w:tcPr>
            <w:tcW w:w="141" w:type="pct"/>
            <w:tcBorders>
              <w:top w:val="nil"/>
              <w:left w:val="nil"/>
              <w:bottom w:val="nil"/>
              <w:right w:val="nil"/>
            </w:tcBorders>
            <w:shd w:val="clear" w:color="auto" w:fill="auto"/>
            <w:vAlign w:val="bottom"/>
          </w:tcPr>
          <w:p w14:paraId="6C6383DD" w14:textId="4A0CD591"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40C69412" w14:textId="6969FAC2"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1D2B47D7" w14:textId="21C5D193"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206FB9A8" w14:textId="3D05B9DD"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79321E7F" w14:textId="1FB81560"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12C8DE62" w14:textId="7418BF4A"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F080CF9" w14:textId="746F7BA8"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2E68F37" w14:textId="73E7CCF2"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5210F3E4" w14:textId="1EAE55EE"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6F695388" w14:textId="2123423C"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6B68337" w14:textId="60B0C92B"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12D4A3BC" w14:textId="79225A7F"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029A131B" w14:textId="35F6BF36"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6BDBA1F0" w14:textId="561244DF"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63E057B1" w14:textId="15E8F914"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0911A9C" w14:textId="25A8347B"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49B6AF6F" w14:textId="40F21FB6"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00750A39" w14:textId="23B75878"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2515D878" w14:textId="4BC9B4C8"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521E2A11"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6A40B58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F814BB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E43A55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742AFB5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2FF8C7F8"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761C31B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32ABEAE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0860A82C" w14:textId="6E1CD4A2"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1911</w:t>
            </w:r>
          </w:p>
        </w:tc>
      </w:tr>
      <w:tr w:rsidR="00F4063A" w:rsidRPr="003E4580" w14:paraId="274686DE" w14:textId="77777777" w:rsidTr="00F4063A">
        <w:tc>
          <w:tcPr>
            <w:tcW w:w="188" w:type="pct"/>
            <w:tcBorders>
              <w:top w:val="nil"/>
              <w:left w:val="nil"/>
              <w:bottom w:val="nil"/>
              <w:right w:val="nil"/>
            </w:tcBorders>
          </w:tcPr>
          <w:p w14:paraId="158ACEEA"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7</w:t>
            </w:r>
          </w:p>
        </w:tc>
        <w:tc>
          <w:tcPr>
            <w:tcW w:w="141" w:type="pct"/>
            <w:tcBorders>
              <w:top w:val="nil"/>
              <w:left w:val="nil"/>
              <w:bottom w:val="nil"/>
              <w:right w:val="nil"/>
            </w:tcBorders>
            <w:shd w:val="clear" w:color="auto" w:fill="auto"/>
            <w:vAlign w:val="bottom"/>
          </w:tcPr>
          <w:p w14:paraId="09309ED5" w14:textId="13A26A3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174</w:t>
            </w:r>
          </w:p>
        </w:tc>
        <w:tc>
          <w:tcPr>
            <w:tcW w:w="141" w:type="pct"/>
            <w:tcBorders>
              <w:top w:val="nil"/>
              <w:left w:val="nil"/>
              <w:bottom w:val="nil"/>
              <w:right w:val="nil"/>
            </w:tcBorders>
            <w:shd w:val="clear" w:color="auto" w:fill="auto"/>
            <w:vAlign w:val="bottom"/>
          </w:tcPr>
          <w:p w14:paraId="294A1138" w14:textId="58D0C44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450</w:t>
            </w:r>
          </w:p>
        </w:tc>
        <w:tc>
          <w:tcPr>
            <w:tcW w:w="141" w:type="pct"/>
            <w:tcBorders>
              <w:top w:val="nil"/>
              <w:left w:val="nil"/>
              <w:bottom w:val="nil"/>
              <w:right w:val="nil"/>
            </w:tcBorders>
            <w:shd w:val="clear" w:color="auto" w:fill="auto"/>
            <w:vAlign w:val="bottom"/>
          </w:tcPr>
          <w:p w14:paraId="198361E5" w14:textId="5C068F8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564</w:t>
            </w:r>
          </w:p>
        </w:tc>
        <w:tc>
          <w:tcPr>
            <w:tcW w:w="141" w:type="pct"/>
            <w:tcBorders>
              <w:top w:val="nil"/>
              <w:left w:val="nil"/>
              <w:bottom w:val="nil"/>
              <w:right w:val="nil"/>
            </w:tcBorders>
            <w:shd w:val="clear" w:color="auto" w:fill="auto"/>
            <w:vAlign w:val="bottom"/>
          </w:tcPr>
          <w:p w14:paraId="604F4BC8" w14:textId="02BD805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490</w:t>
            </w:r>
          </w:p>
        </w:tc>
        <w:tc>
          <w:tcPr>
            <w:tcW w:w="141" w:type="pct"/>
            <w:tcBorders>
              <w:top w:val="nil"/>
              <w:left w:val="nil"/>
              <w:bottom w:val="nil"/>
              <w:right w:val="nil"/>
            </w:tcBorders>
            <w:shd w:val="clear" w:color="auto" w:fill="auto"/>
            <w:vAlign w:val="bottom"/>
          </w:tcPr>
          <w:p w14:paraId="5D1B1D55" w14:textId="3AF26AD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415</w:t>
            </w:r>
          </w:p>
        </w:tc>
        <w:tc>
          <w:tcPr>
            <w:tcW w:w="141" w:type="pct"/>
            <w:tcBorders>
              <w:top w:val="nil"/>
              <w:left w:val="nil"/>
              <w:bottom w:val="nil"/>
              <w:right w:val="nil"/>
            </w:tcBorders>
            <w:shd w:val="clear" w:color="auto" w:fill="auto"/>
            <w:vAlign w:val="bottom"/>
          </w:tcPr>
          <w:p w14:paraId="7441325F" w14:textId="754AB95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288</w:t>
            </w:r>
          </w:p>
        </w:tc>
        <w:tc>
          <w:tcPr>
            <w:tcW w:w="141" w:type="pct"/>
            <w:tcBorders>
              <w:top w:val="nil"/>
              <w:left w:val="nil"/>
              <w:bottom w:val="nil"/>
              <w:right w:val="nil"/>
            </w:tcBorders>
            <w:shd w:val="clear" w:color="auto" w:fill="auto"/>
            <w:vAlign w:val="bottom"/>
          </w:tcPr>
          <w:p w14:paraId="04366751" w14:textId="4EB5F3A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78</w:t>
            </w:r>
          </w:p>
        </w:tc>
        <w:tc>
          <w:tcPr>
            <w:tcW w:w="141" w:type="pct"/>
            <w:tcBorders>
              <w:top w:val="nil"/>
              <w:left w:val="nil"/>
              <w:bottom w:val="nil"/>
              <w:right w:val="nil"/>
            </w:tcBorders>
            <w:shd w:val="clear" w:color="auto" w:fill="auto"/>
            <w:vAlign w:val="bottom"/>
          </w:tcPr>
          <w:p w14:paraId="36264B3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61F7C8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0FA20B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6C4D65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85F3EE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8FD6E2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D778B2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E22783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B69B09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0A9558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B42AB0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7A811F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5C63C8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10D9E7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28488A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17B579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3DB3AE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C6F98F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04C3A7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76A941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EBFC8B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E83DB3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037D9271"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0367BB2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3D830F7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67F6568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706329C6" w14:textId="63164A87"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2459</w:t>
            </w:r>
          </w:p>
        </w:tc>
      </w:tr>
      <w:tr w:rsidR="00F4063A" w:rsidRPr="003E4580" w14:paraId="16F03B96" w14:textId="77777777" w:rsidTr="00F4063A">
        <w:tc>
          <w:tcPr>
            <w:tcW w:w="188" w:type="pct"/>
            <w:tcBorders>
              <w:top w:val="nil"/>
              <w:left w:val="nil"/>
              <w:bottom w:val="nil"/>
              <w:right w:val="nil"/>
            </w:tcBorders>
          </w:tcPr>
          <w:p w14:paraId="57B0C8E4"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8</w:t>
            </w:r>
          </w:p>
        </w:tc>
        <w:tc>
          <w:tcPr>
            <w:tcW w:w="141" w:type="pct"/>
            <w:tcBorders>
              <w:top w:val="nil"/>
              <w:left w:val="nil"/>
              <w:bottom w:val="nil"/>
              <w:right w:val="nil"/>
            </w:tcBorders>
            <w:shd w:val="clear" w:color="auto" w:fill="auto"/>
            <w:vAlign w:val="bottom"/>
          </w:tcPr>
          <w:p w14:paraId="3417AF4A" w14:textId="00F8B78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148</w:t>
            </w:r>
          </w:p>
        </w:tc>
        <w:tc>
          <w:tcPr>
            <w:tcW w:w="141" w:type="pct"/>
            <w:tcBorders>
              <w:top w:val="nil"/>
              <w:left w:val="nil"/>
              <w:bottom w:val="nil"/>
              <w:right w:val="nil"/>
            </w:tcBorders>
            <w:shd w:val="clear" w:color="auto" w:fill="auto"/>
            <w:vAlign w:val="bottom"/>
          </w:tcPr>
          <w:p w14:paraId="0BAC8945" w14:textId="60A4D01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411</w:t>
            </w:r>
          </w:p>
        </w:tc>
        <w:tc>
          <w:tcPr>
            <w:tcW w:w="141" w:type="pct"/>
            <w:tcBorders>
              <w:top w:val="nil"/>
              <w:left w:val="nil"/>
              <w:bottom w:val="nil"/>
              <w:right w:val="nil"/>
            </w:tcBorders>
            <w:shd w:val="clear" w:color="auto" w:fill="auto"/>
            <w:vAlign w:val="bottom"/>
          </w:tcPr>
          <w:p w14:paraId="751AD84E" w14:textId="2DCEEDD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620</w:t>
            </w:r>
          </w:p>
        </w:tc>
        <w:tc>
          <w:tcPr>
            <w:tcW w:w="141" w:type="pct"/>
            <w:tcBorders>
              <w:top w:val="nil"/>
              <w:left w:val="nil"/>
              <w:bottom w:val="nil"/>
              <w:right w:val="nil"/>
            </w:tcBorders>
            <w:shd w:val="clear" w:color="auto" w:fill="auto"/>
            <w:vAlign w:val="bottom"/>
          </w:tcPr>
          <w:p w14:paraId="21E92A0A" w14:textId="768782A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542</w:t>
            </w:r>
          </w:p>
        </w:tc>
        <w:tc>
          <w:tcPr>
            <w:tcW w:w="141" w:type="pct"/>
            <w:tcBorders>
              <w:top w:val="nil"/>
              <w:left w:val="nil"/>
              <w:bottom w:val="nil"/>
              <w:right w:val="nil"/>
            </w:tcBorders>
            <w:shd w:val="clear" w:color="auto" w:fill="auto"/>
            <w:vAlign w:val="bottom"/>
          </w:tcPr>
          <w:p w14:paraId="08FE854C" w14:textId="47AD602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452</w:t>
            </w:r>
          </w:p>
        </w:tc>
        <w:tc>
          <w:tcPr>
            <w:tcW w:w="141" w:type="pct"/>
            <w:tcBorders>
              <w:top w:val="nil"/>
              <w:left w:val="nil"/>
              <w:bottom w:val="nil"/>
              <w:right w:val="nil"/>
            </w:tcBorders>
            <w:shd w:val="clear" w:color="auto" w:fill="auto"/>
            <w:vAlign w:val="bottom"/>
          </w:tcPr>
          <w:p w14:paraId="274C68E9" w14:textId="355264C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433</w:t>
            </w:r>
          </w:p>
        </w:tc>
        <w:tc>
          <w:tcPr>
            <w:tcW w:w="141" w:type="pct"/>
            <w:tcBorders>
              <w:top w:val="nil"/>
              <w:left w:val="nil"/>
              <w:bottom w:val="nil"/>
              <w:right w:val="nil"/>
            </w:tcBorders>
            <w:shd w:val="clear" w:color="auto" w:fill="auto"/>
            <w:vAlign w:val="bottom"/>
          </w:tcPr>
          <w:p w14:paraId="3961843E" w14:textId="34F0145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300</w:t>
            </w:r>
          </w:p>
        </w:tc>
        <w:tc>
          <w:tcPr>
            <w:tcW w:w="141" w:type="pct"/>
            <w:tcBorders>
              <w:top w:val="nil"/>
              <w:left w:val="nil"/>
              <w:bottom w:val="nil"/>
              <w:right w:val="nil"/>
            </w:tcBorders>
            <w:shd w:val="clear" w:color="auto" w:fill="auto"/>
            <w:vAlign w:val="bottom"/>
          </w:tcPr>
          <w:p w14:paraId="6D1B10F1" w14:textId="7948E10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81</w:t>
            </w:r>
          </w:p>
        </w:tc>
        <w:tc>
          <w:tcPr>
            <w:tcW w:w="141" w:type="pct"/>
            <w:tcBorders>
              <w:top w:val="nil"/>
              <w:left w:val="nil"/>
              <w:bottom w:val="nil"/>
              <w:right w:val="nil"/>
            </w:tcBorders>
            <w:shd w:val="clear" w:color="auto" w:fill="auto"/>
            <w:vAlign w:val="bottom"/>
          </w:tcPr>
          <w:p w14:paraId="4265E64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A3F63C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CE4393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A73BDF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54C3F9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92F816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E8443A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32350F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CE575F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9EC1A1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1B2B52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FDCAB9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FAF23C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CFB9EE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C0B93B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32F2CE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3DB383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C08980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0BE4E8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FD6FA5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54EB40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075D160C"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19238D9C"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03FC613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042969E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43CFD376" w14:textId="69360AA9"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2987</w:t>
            </w:r>
          </w:p>
        </w:tc>
      </w:tr>
      <w:tr w:rsidR="00F4063A" w:rsidRPr="003E4580" w14:paraId="51CC9D63" w14:textId="77777777" w:rsidTr="00F4063A">
        <w:tc>
          <w:tcPr>
            <w:tcW w:w="188" w:type="pct"/>
            <w:tcBorders>
              <w:top w:val="nil"/>
              <w:left w:val="nil"/>
              <w:bottom w:val="nil"/>
              <w:right w:val="nil"/>
            </w:tcBorders>
          </w:tcPr>
          <w:p w14:paraId="192A9FE5"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9</w:t>
            </w:r>
          </w:p>
        </w:tc>
        <w:tc>
          <w:tcPr>
            <w:tcW w:w="141" w:type="pct"/>
            <w:tcBorders>
              <w:top w:val="nil"/>
              <w:left w:val="nil"/>
              <w:bottom w:val="nil"/>
              <w:right w:val="nil"/>
            </w:tcBorders>
            <w:shd w:val="clear" w:color="auto" w:fill="auto"/>
            <w:vAlign w:val="bottom"/>
          </w:tcPr>
          <w:p w14:paraId="1344C2BA" w14:textId="614E4CE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133</w:t>
            </w:r>
          </w:p>
        </w:tc>
        <w:tc>
          <w:tcPr>
            <w:tcW w:w="141" w:type="pct"/>
            <w:tcBorders>
              <w:top w:val="nil"/>
              <w:left w:val="nil"/>
              <w:bottom w:val="nil"/>
              <w:right w:val="nil"/>
            </w:tcBorders>
            <w:shd w:val="clear" w:color="auto" w:fill="auto"/>
            <w:vAlign w:val="bottom"/>
          </w:tcPr>
          <w:p w14:paraId="4FEF0554" w14:textId="13E9DFA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348</w:t>
            </w:r>
          </w:p>
        </w:tc>
        <w:tc>
          <w:tcPr>
            <w:tcW w:w="141" w:type="pct"/>
            <w:tcBorders>
              <w:top w:val="nil"/>
              <w:left w:val="nil"/>
              <w:bottom w:val="nil"/>
              <w:right w:val="nil"/>
            </w:tcBorders>
            <w:shd w:val="clear" w:color="auto" w:fill="auto"/>
            <w:vAlign w:val="bottom"/>
          </w:tcPr>
          <w:p w14:paraId="1FAC445B" w14:textId="0E354B4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567</w:t>
            </w:r>
          </w:p>
        </w:tc>
        <w:tc>
          <w:tcPr>
            <w:tcW w:w="141" w:type="pct"/>
            <w:tcBorders>
              <w:top w:val="nil"/>
              <w:left w:val="nil"/>
              <w:bottom w:val="nil"/>
              <w:right w:val="nil"/>
            </w:tcBorders>
            <w:shd w:val="clear" w:color="auto" w:fill="auto"/>
            <w:vAlign w:val="bottom"/>
          </w:tcPr>
          <w:p w14:paraId="2EC70C8F" w14:textId="2D94CAB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596</w:t>
            </w:r>
          </w:p>
        </w:tc>
        <w:tc>
          <w:tcPr>
            <w:tcW w:w="141" w:type="pct"/>
            <w:tcBorders>
              <w:top w:val="nil"/>
              <w:left w:val="nil"/>
              <w:bottom w:val="nil"/>
              <w:right w:val="nil"/>
            </w:tcBorders>
            <w:shd w:val="clear" w:color="auto" w:fill="auto"/>
            <w:vAlign w:val="bottom"/>
          </w:tcPr>
          <w:p w14:paraId="253997F4" w14:textId="4030A61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500</w:t>
            </w:r>
          </w:p>
        </w:tc>
        <w:tc>
          <w:tcPr>
            <w:tcW w:w="141" w:type="pct"/>
            <w:tcBorders>
              <w:top w:val="nil"/>
              <w:left w:val="nil"/>
              <w:bottom w:val="nil"/>
              <w:right w:val="nil"/>
            </w:tcBorders>
            <w:shd w:val="clear" w:color="auto" w:fill="auto"/>
            <w:vAlign w:val="bottom"/>
          </w:tcPr>
          <w:p w14:paraId="2D87227D" w14:textId="7BED0BA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471</w:t>
            </w:r>
          </w:p>
        </w:tc>
        <w:tc>
          <w:tcPr>
            <w:tcW w:w="141" w:type="pct"/>
            <w:tcBorders>
              <w:top w:val="nil"/>
              <w:left w:val="nil"/>
              <w:bottom w:val="nil"/>
              <w:right w:val="nil"/>
            </w:tcBorders>
            <w:shd w:val="clear" w:color="auto" w:fill="auto"/>
            <w:vAlign w:val="bottom"/>
          </w:tcPr>
          <w:p w14:paraId="3442EDC0" w14:textId="4FE4DE4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451</w:t>
            </w:r>
          </w:p>
        </w:tc>
        <w:tc>
          <w:tcPr>
            <w:tcW w:w="141" w:type="pct"/>
            <w:tcBorders>
              <w:top w:val="nil"/>
              <w:left w:val="nil"/>
              <w:bottom w:val="nil"/>
              <w:right w:val="nil"/>
            </w:tcBorders>
            <w:shd w:val="clear" w:color="auto" w:fill="auto"/>
            <w:vAlign w:val="bottom"/>
          </w:tcPr>
          <w:p w14:paraId="06A7BE83" w14:textId="1A31520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313</w:t>
            </w:r>
          </w:p>
        </w:tc>
        <w:tc>
          <w:tcPr>
            <w:tcW w:w="141" w:type="pct"/>
            <w:tcBorders>
              <w:top w:val="nil"/>
              <w:left w:val="nil"/>
              <w:bottom w:val="nil"/>
              <w:right w:val="nil"/>
            </w:tcBorders>
            <w:shd w:val="clear" w:color="auto" w:fill="auto"/>
            <w:vAlign w:val="bottom"/>
          </w:tcPr>
          <w:p w14:paraId="6C44604F" w14:textId="7125459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84</w:t>
            </w:r>
          </w:p>
        </w:tc>
        <w:tc>
          <w:tcPr>
            <w:tcW w:w="141" w:type="pct"/>
            <w:tcBorders>
              <w:top w:val="nil"/>
              <w:left w:val="nil"/>
              <w:bottom w:val="nil"/>
              <w:right w:val="nil"/>
            </w:tcBorders>
            <w:shd w:val="clear" w:color="auto" w:fill="auto"/>
            <w:vAlign w:val="bottom"/>
          </w:tcPr>
          <w:p w14:paraId="162FA3C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CAB8E9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C89392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761626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E090B3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BFF47B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B6F2D6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32E37F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F25CD4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8401E3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ED4EC1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97217B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9043D3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2AD455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C49023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7E64D3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92C5BF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5D0122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A5547B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4AC563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5274AB89"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0E59703"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62DF2BA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269B60A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31D84B46" w14:textId="5943EBA1"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3463</w:t>
            </w:r>
          </w:p>
        </w:tc>
      </w:tr>
      <w:tr w:rsidR="00F4063A" w:rsidRPr="003E4580" w14:paraId="553D1F5C" w14:textId="77777777" w:rsidTr="00F4063A">
        <w:tc>
          <w:tcPr>
            <w:tcW w:w="188" w:type="pct"/>
            <w:tcBorders>
              <w:top w:val="nil"/>
              <w:left w:val="nil"/>
              <w:bottom w:val="nil"/>
              <w:right w:val="nil"/>
            </w:tcBorders>
          </w:tcPr>
          <w:p w14:paraId="31BEBA74"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10</w:t>
            </w:r>
          </w:p>
        </w:tc>
        <w:tc>
          <w:tcPr>
            <w:tcW w:w="141" w:type="pct"/>
            <w:tcBorders>
              <w:top w:val="nil"/>
              <w:left w:val="nil"/>
              <w:bottom w:val="nil"/>
              <w:right w:val="nil"/>
            </w:tcBorders>
            <w:shd w:val="clear" w:color="auto" w:fill="auto"/>
            <w:vAlign w:val="bottom"/>
          </w:tcPr>
          <w:p w14:paraId="7D03C5A9" w14:textId="2561A11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118</w:t>
            </w:r>
          </w:p>
        </w:tc>
        <w:tc>
          <w:tcPr>
            <w:tcW w:w="141" w:type="pct"/>
            <w:tcBorders>
              <w:top w:val="nil"/>
              <w:left w:val="nil"/>
              <w:bottom w:val="nil"/>
              <w:right w:val="nil"/>
            </w:tcBorders>
            <w:shd w:val="clear" w:color="auto" w:fill="auto"/>
            <w:vAlign w:val="bottom"/>
          </w:tcPr>
          <w:p w14:paraId="14C2D637" w14:textId="2D6EDC0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312</w:t>
            </w:r>
          </w:p>
        </w:tc>
        <w:tc>
          <w:tcPr>
            <w:tcW w:w="141" w:type="pct"/>
            <w:tcBorders>
              <w:top w:val="nil"/>
              <w:left w:val="nil"/>
              <w:bottom w:val="nil"/>
              <w:right w:val="nil"/>
            </w:tcBorders>
            <w:shd w:val="clear" w:color="auto" w:fill="auto"/>
            <w:vAlign w:val="bottom"/>
          </w:tcPr>
          <w:p w14:paraId="11A0AC2A" w14:textId="10FBFA7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480</w:t>
            </w:r>
          </w:p>
        </w:tc>
        <w:tc>
          <w:tcPr>
            <w:tcW w:w="141" w:type="pct"/>
            <w:tcBorders>
              <w:top w:val="nil"/>
              <w:left w:val="nil"/>
              <w:bottom w:val="nil"/>
              <w:right w:val="nil"/>
            </w:tcBorders>
            <w:shd w:val="clear" w:color="auto" w:fill="auto"/>
            <w:vAlign w:val="bottom"/>
          </w:tcPr>
          <w:p w14:paraId="5BF972DD" w14:textId="2DC4A61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545</w:t>
            </w:r>
          </w:p>
        </w:tc>
        <w:tc>
          <w:tcPr>
            <w:tcW w:w="141" w:type="pct"/>
            <w:tcBorders>
              <w:top w:val="nil"/>
              <w:left w:val="nil"/>
              <w:bottom w:val="nil"/>
              <w:right w:val="nil"/>
            </w:tcBorders>
            <w:shd w:val="clear" w:color="auto" w:fill="auto"/>
            <w:vAlign w:val="bottom"/>
          </w:tcPr>
          <w:p w14:paraId="0BB87D8D" w14:textId="6C24615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550</w:t>
            </w:r>
          </w:p>
        </w:tc>
        <w:tc>
          <w:tcPr>
            <w:tcW w:w="141" w:type="pct"/>
            <w:tcBorders>
              <w:top w:val="nil"/>
              <w:left w:val="nil"/>
              <w:bottom w:val="nil"/>
              <w:right w:val="nil"/>
            </w:tcBorders>
            <w:shd w:val="clear" w:color="auto" w:fill="auto"/>
            <w:vAlign w:val="bottom"/>
          </w:tcPr>
          <w:p w14:paraId="3FB547F7" w14:textId="3DEA8FC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521</w:t>
            </w:r>
          </w:p>
        </w:tc>
        <w:tc>
          <w:tcPr>
            <w:tcW w:w="141" w:type="pct"/>
            <w:tcBorders>
              <w:top w:val="nil"/>
              <w:left w:val="nil"/>
              <w:bottom w:val="nil"/>
              <w:right w:val="nil"/>
            </w:tcBorders>
            <w:shd w:val="clear" w:color="auto" w:fill="auto"/>
            <w:vAlign w:val="bottom"/>
          </w:tcPr>
          <w:p w14:paraId="28969BFC" w14:textId="6A9AF03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491</w:t>
            </w:r>
          </w:p>
        </w:tc>
        <w:tc>
          <w:tcPr>
            <w:tcW w:w="141" w:type="pct"/>
            <w:tcBorders>
              <w:top w:val="nil"/>
              <w:left w:val="nil"/>
              <w:bottom w:val="nil"/>
              <w:right w:val="nil"/>
            </w:tcBorders>
            <w:shd w:val="clear" w:color="auto" w:fill="auto"/>
            <w:vAlign w:val="bottom"/>
          </w:tcPr>
          <w:p w14:paraId="34EAD070" w14:textId="54FDE11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470</w:t>
            </w:r>
          </w:p>
        </w:tc>
        <w:tc>
          <w:tcPr>
            <w:tcW w:w="141" w:type="pct"/>
            <w:tcBorders>
              <w:top w:val="nil"/>
              <w:left w:val="nil"/>
              <w:bottom w:val="nil"/>
              <w:right w:val="nil"/>
            </w:tcBorders>
            <w:shd w:val="clear" w:color="auto" w:fill="auto"/>
            <w:vAlign w:val="bottom"/>
          </w:tcPr>
          <w:p w14:paraId="2F4B33E0" w14:textId="2AB1264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326</w:t>
            </w:r>
          </w:p>
        </w:tc>
        <w:tc>
          <w:tcPr>
            <w:tcW w:w="141" w:type="pct"/>
            <w:tcBorders>
              <w:top w:val="nil"/>
              <w:left w:val="nil"/>
              <w:bottom w:val="nil"/>
              <w:right w:val="nil"/>
            </w:tcBorders>
            <w:shd w:val="clear" w:color="auto" w:fill="auto"/>
            <w:vAlign w:val="bottom"/>
          </w:tcPr>
          <w:p w14:paraId="7311F462" w14:textId="6915E2A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88</w:t>
            </w:r>
          </w:p>
        </w:tc>
        <w:tc>
          <w:tcPr>
            <w:tcW w:w="141" w:type="pct"/>
            <w:tcBorders>
              <w:top w:val="nil"/>
              <w:left w:val="nil"/>
              <w:bottom w:val="nil"/>
              <w:right w:val="nil"/>
            </w:tcBorders>
            <w:shd w:val="clear" w:color="auto" w:fill="auto"/>
            <w:vAlign w:val="bottom"/>
          </w:tcPr>
          <w:p w14:paraId="12D955E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6C153F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1BEE46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34DFE3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21D7A6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FEDFB7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7D4F59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FDEC19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FB614A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744019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6FF036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032940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F65DC4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1C0AD2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7BF290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B94C68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592227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240B96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81632A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06A3443C"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407D7190"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277A6AE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1E6394E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6D544738" w14:textId="1DB37175"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3902</w:t>
            </w:r>
          </w:p>
        </w:tc>
      </w:tr>
      <w:tr w:rsidR="00F4063A" w:rsidRPr="003E4580" w14:paraId="6EF88265" w14:textId="77777777" w:rsidTr="00F4063A">
        <w:tc>
          <w:tcPr>
            <w:tcW w:w="188" w:type="pct"/>
            <w:tcBorders>
              <w:top w:val="nil"/>
              <w:left w:val="nil"/>
              <w:bottom w:val="nil"/>
              <w:right w:val="nil"/>
            </w:tcBorders>
          </w:tcPr>
          <w:p w14:paraId="24E8FB8B"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11</w:t>
            </w:r>
          </w:p>
        </w:tc>
        <w:tc>
          <w:tcPr>
            <w:tcW w:w="141" w:type="pct"/>
            <w:tcBorders>
              <w:top w:val="nil"/>
              <w:left w:val="nil"/>
              <w:bottom w:val="nil"/>
              <w:right w:val="nil"/>
            </w:tcBorders>
            <w:shd w:val="clear" w:color="auto" w:fill="auto"/>
            <w:vAlign w:val="bottom"/>
          </w:tcPr>
          <w:p w14:paraId="1906C549" w14:textId="4AB683F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108</w:t>
            </w:r>
          </w:p>
        </w:tc>
        <w:tc>
          <w:tcPr>
            <w:tcW w:w="141" w:type="pct"/>
            <w:tcBorders>
              <w:top w:val="nil"/>
              <w:left w:val="nil"/>
              <w:bottom w:val="nil"/>
              <w:right w:val="nil"/>
            </w:tcBorders>
            <w:shd w:val="clear" w:color="auto" w:fill="auto"/>
            <w:vAlign w:val="bottom"/>
          </w:tcPr>
          <w:p w14:paraId="33CB476E" w14:textId="56F2953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278</w:t>
            </w:r>
          </w:p>
        </w:tc>
        <w:tc>
          <w:tcPr>
            <w:tcW w:w="141" w:type="pct"/>
            <w:tcBorders>
              <w:top w:val="nil"/>
              <w:left w:val="nil"/>
              <w:bottom w:val="nil"/>
              <w:right w:val="nil"/>
            </w:tcBorders>
            <w:shd w:val="clear" w:color="auto" w:fill="auto"/>
            <w:vAlign w:val="bottom"/>
          </w:tcPr>
          <w:p w14:paraId="18800C7F" w14:textId="3352648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431</w:t>
            </w:r>
          </w:p>
        </w:tc>
        <w:tc>
          <w:tcPr>
            <w:tcW w:w="141" w:type="pct"/>
            <w:tcBorders>
              <w:top w:val="nil"/>
              <w:left w:val="nil"/>
              <w:bottom w:val="nil"/>
              <w:right w:val="nil"/>
            </w:tcBorders>
            <w:shd w:val="clear" w:color="auto" w:fill="auto"/>
            <w:vAlign w:val="bottom"/>
          </w:tcPr>
          <w:p w14:paraId="036C2D32" w14:textId="7AE8305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461</w:t>
            </w:r>
          </w:p>
        </w:tc>
        <w:tc>
          <w:tcPr>
            <w:tcW w:w="141" w:type="pct"/>
            <w:tcBorders>
              <w:top w:val="nil"/>
              <w:left w:val="nil"/>
              <w:bottom w:val="nil"/>
              <w:right w:val="nil"/>
            </w:tcBorders>
            <w:shd w:val="clear" w:color="auto" w:fill="auto"/>
            <w:vAlign w:val="bottom"/>
          </w:tcPr>
          <w:p w14:paraId="680E8E76" w14:textId="38935F8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503</w:t>
            </w:r>
          </w:p>
        </w:tc>
        <w:tc>
          <w:tcPr>
            <w:tcW w:w="141" w:type="pct"/>
            <w:tcBorders>
              <w:top w:val="nil"/>
              <w:left w:val="nil"/>
              <w:bottom w:val="nil"/>
              <w:right w:val="nil"/>
            </w:tcBorders>
            <w:shd w:val="clear" w:color="auto" w:fill="auto"/>
            <w:vAlign w:val="bottom"/>
          </w:tcPr>
          <w:p w14:paraId="117C20A8" w14:textId="1429378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573</w:t>
            </w:r>
          </w:p>
        </w:tc>
        <w:tc>
          <w:tcPr>
            <w:tcW w:w="141" w:type="pct"/>
            <w:tcBorders>
              <w:top w:val="nil"/>
              <w:left w:val="nil"/>
              <w:bottom w:val="nil"/>
              <w:right w:val="nil"/>
            </w:tcBorders>
            <w:shd w:val="clear" w:color="auto" w:fill="auto"/>
            <w:vAlign w:val="bottom"/>
          </w:tcPr>
          <w:p w14:paraId="61FD9410" w14:textId="66B1083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543</w:t>
            </w:r>
          </w:p>
        </w:tc>
        <w:tc>
          <w:tcPr>
            <w:tcW w:w="141" w:type="pct"/>
            <w:tcBorders>
              <w:top w:val="nil"/>
              <w:left w:val="nil"/>
              <w:bottom w:val="nil"/>
              <w:right w:val="nil"/>
            </w:tcBorders>
            <w:shd w:val="clear" w:color="auto" w:fill="auto"/>
            <w:vAlign w:val="bottom"/>
          </w:tcPr>
          <w:p w14:paraId="58260B25" w14:textId="309659B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512</w:t>
            </w:r>
          </w:p>
        </w:tc>
        <w:tc>
          <w:tcPr>
            <w:tcW w:w="141" w:type="pct"/>
            <w:tcBorders>
              <w:top w:val="nil"/>
              <w:left w:val="nil"/>
              <w:bottom w:val="nil"/>
              <w:right w:val="nil"/>
            </w:tcBorders>
            <w:shd w:val="clear" w:color="auto" w:fill="auto"/>
            <w:vAlign w:val="bottom"/>
          </w:tcPr>
          <w:p w14:paraId="46866268" w14:textId="12FB97F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490</w:t>
            </w:r>
          </w:p>
        </w:tc>
        <w:tc>
          <w:tcPr>
            <w:tcW w:w="141" w:type="pct"/>
            <w:tcBorders>
              <w:top w:val="nil"/>
              <w:left w:val="nil"/>
              <w:bottom w:val="nil"/>
              <w:right w:val="nil"/>
            </w:tcBorders>
            <w:shd w:val="clear" w:color="auto" w:fill="auto"/>
            <w:vAlign w:val="bottom"/>
          </w:tcPr>
          <w:p w14:paraId="2C7A1310" w14:textId="5902CA0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340</w:t>
            </w:r>
          </w:p>
        </w:tc>
        <w:tc>
          <w:tcPr>
            <w:tcW w:w="141" w:type="pct"/>
            <w:tcBorders>
              <w:top w:val="nil"/>
              <w:left w:val="nil"/>
              <w:bottom w:val="nil"/>
              <w:right w:val="nil"/>
            </w:tcBorders>
            <w:shd w:val="clear" w:color="auto" w:fill="auto"/>
            <w:vAlign w:val="bottom"/>
          </w:tcPr>
          <w:p w14:paraId="623A1A23" w14:textId="5B0E72A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92</w:t>
            </w:r>
          </w:p>
        </w:tc>
        <w:tc>
          <w:tcPr>
            <w:tcW w:w="141" w:type="pct"/>
            <w:tcBorders>
              <w:top w:val="nil"/>
              <w:left w:val="nil"/>
              <w:bottom w:val="nil"/>
              <w:right w:val="nil"/>
            </w:tcBorders>
            <w:shd w:val="clear" w:color="auto" w:fill="auto"/>
            <w:vAlign w:val="bottom"/>
          </w:tcPr>
          <w:p w14:paraId="6A099BE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DB01D4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85F230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4CE8F6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360BC3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12224C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5E9141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9B4D2F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90DCCC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174FA7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FB9152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A6E1B7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D1F8B7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E35ACF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C39790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3E5516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F70649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5CFA09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695183DE"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773CDDDF"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7518A85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4E00482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7BDD2C46" w14:textId="0814538C"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4331</w:t>
            </w:r>
          </w:p>
        </w:tc>
      </w:tr>
      <w:tr w:rsidR="00F4063A" w:rsidRPr="003E4580" w14:paraId="065255AE" w14:textId="77777777" w:rsidTr="00F4063A">
        <w:tc>
          <w:tcPr>
            <w:tcW w:w="188" w:type="pct"/>
            <w:tcBorders>
              <w:top w:val="nil"/>
              <w:left w:val="nil"/>
              <w:bottom w:val="nil"/>
              <w:right w:val="nil"/>
            </w:tcBorders>
          </w:tcPr>
          <w:p w14:paraId="4EAF5E64"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12</w:t>
            </w:r>
          </w:p>
        </w:tc>
        <w:tc>
          <w:tcPr>
            <w:tcW w:w="141" w:type="pct"/>
            <w:tcBorders>
              <w:top w:val="nil"/>
              <w:left w:val="nil"/>
              <w:bottom w:val="nil"/>
              <w:right w:val="nil"/>
            </w:tcBorders>
            <w:shd w:val="clear" w:color="auto" w:fill="auto"/>
            <w:vAlign w:val="bottom"/>
          </w:tcPr>
          <w:p w14:paraId="38C50C5A" w14:textId="08C3D94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75</w:t>
            </w:r>
          </w:p>
        </w:tc>
        <w:tc>
          <w:tcPr>
            <w:tcW w:w="141" w:type="pct"/>
            <w:tcBorders>
              <w:top w:val="nil"/>
              <w:left w:val="nil"/>
              <w:bottom w:val="nil"/>
              <w:right w:val="nil"/>
            </w:tcBorders>
            <w:shd w:val="clear" w:color="auto" w:fill="auto"/>
            <w:vAlign w:val="bottom"/>
          </w:tcPr>
          <w:p w14:paraId="7A77B35B" w14:textId="5C72D3C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254</w:t>
            </w:r>
          </w:p>
        </w:tc>
        <w:tc>
          <w:tcPr>
            <w:tcW w:w="141" w:type="pct"/>
            <w:tcBorders>
              <w:top w:val="nil"/>
              <w:left w:val="nil"/>
              <w:bottom w:val="nil"/>
              <w:right w:val="nil"/>
            </w:tcBorders>
            <w:shd w:val="clear" w:color="auto" w:fill="auto"/>
            <w:vAlign w:val="bottom"/>
          </w:tcPr>
          <w:p w14:paraId="5D28A204" w14:textId="3C335D7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384</w:t>
            </w:r>
          </w:p>
        </w:tc>
        <w:tc>
          <w:tcPr>
            <w:tcW w:w="141" w:type="pct"/>
            <w:tcBorders>
              <w:top w:val="nil"/>
              <w:left w:val="nil"/>
              <w:bottom w:val="nil"/>
              <w:right w:val="nil"/>
            </w:tcBorders>
            <w:shd w:val="clear" w:color="auto" w:fill="auto"/>
            <w:vAlign w:val="bottom"/>
          </w:tcPr>
          <w:p w14:paraId="7ADC6C4F" w14:textId="1995BF2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414</w:t>
            </w:r>
          </w:p>
        </w:tc>
        <w:tc>
          <w:tcPr>
            <w:tcW w:w="141" w:type="pct"/>
            <w:tcBorders>
              <w:top w:val="nil"/>
              <w:left w:val="nil"/>
              <w:bottom w:val="nil"/>
              <w:right w:val="nil"/>
            </w:tcBorders>
            <w:shd w:val="clear" w:color="auto" w:fill="auto"/>
            <w:vAlign w:val="bottom"/>
          </w:tcPr>
          <w:p w14:paraId="75341260" w14:textId="20D4017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425</w:t>
            </w:r>
          </w:p>
        </w:tc>
        <w:tc>
          <w:tcPr>
            <w:tcW w:w="141" w:type="pct"/>
            <w:tcBorders>
              <w:top w:val="nil"/>
              <w:left w:val="nil"/>
              <w:bottom w:val="nil"/>
              <w:right w:val="nil"/>
            </w:tcBorders>
            <w:shd w:val="clear" w:color="auto" w:fill="auto"/>
            <w:vAlign w:val="bottom"/>
          </w:tcPr>
          <w:p w14:paraId="69B1DA7E" w14:textId="0C44B60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524</w:t>
            </w:r>
          </w:p>
        </w:tc>
        <w:tc>
          <w:tcPr>
            <w:tcW w:w="141" w:type="pct"/>
            <w:tcBorders>
              <w:top w:val="nil"/>
              <w:left w:val="nil"/>
              <w:bottom w:val="nil"/>
              <w:right w:val="nil"/>
            </w:tcBorders>
            <w:shd w:val="clear" w:color="auto" w:fill="auto"/>
            <w:vAlign w:val="bottom"/>
          </w:tcPr>
          <w:p w14:paraId="67180A15" w14:textId="4306E40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598</w:t>
            </w:r>
          </w:p>
        </w:tc>
        <w:tc>
          <w:tcPr>
            <w:tcW w:w="141" w:type="pct"/>
            <w:tcBorders>
              <w:top w:val="nil"/>
              <w:left w:val="nil"/>
              <w:bottom w:val="nil"/>
              <w:right w:val="nil"/>
            </w:tcBorders>
            <w:shd w:val="clear" w:color="auto" w:fill="auto"/>
            <w:vAlign w:val="bottom"/>
          </w:tcPr>
          <w:p w14:paraId="2047C091" w14:textId="087D6CB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566</w:t>
            </w:r>
          </w:p>
        </w:tc>
        <w:tc>
          <w:tcPr>
            <w:tcW w:w="141" w:type="pct"/>
            <w:tcBorders>
              <w:top w:val="nil"/>
              <w:left w:val="nil"/>
              <w:bottom w:val="nil"/>
              <w:right w:val="nil"/>
            </w:tcBorders>
            <w:shd w:val="clear" w:color="auto" w:fill="auto"/>
            <w:vAlign w:val="bottom"/>
          </w:tcPr>
          <w:p w14:paraId="7BB33498" w14:textId="4EC0FCA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534</w:t>
            </w:r>
          </w:p>
        </w:tc>
        <w:tc>
          <w:tcPr>
            <w:tcW w:w="141" w:type="pct"/>
            <w:tcBorders>
              <w:top w:val="nil"/>
              <w:left w:val="nil"/>
              <w:bottom w:val="nil"/>
              <w:right w:val="nil"/>
            </w:tcBorders>
            <w:shd w:val="clear" w:color="auto" w:fill="auto"/>
            <w:vAlign w:val="bottom"/>
          </w:tcPr>
          <w:p w14:paraId="24F594B8" w14:textId="5CAA624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511</w:t>
            </w:r>
          </w:p>
        </w:tc>
        <w:tc>
          <w:tcPr>
            <w:tcW w:w="141" w:type="pct"/>
            <w:tcBorders>
              <w:top w:val="nil"/>
              <w:left w:val="nil"/>
              <w:bottom w:val="nil"/>
              <w:right w:val="nil"/>
            </w:tcBorders>
            <w:shd w:val="clear" w:color="auto" w:fill="auto"/>
            <w:vAlign w:val="bottom"/>
          </w:tcPr>
          <w:p w14:paraId="7C572717" w14:textId="0F88E0B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354</w:t>
            </w:r>
          </w:p>
        </w:tc>
        <w:tc>
          <w:tcPr>
            <w:tcW w:w="141" w:type="pct"/>
            <w:tcBorders>
              <w:top w:val="nil"/>
              <w:left w:val="nil"/>
              <w:bottom w:val="nil"/>
              <w:right w:val="nil"/>
            </w:tcBorders>
            <w:shd w:val="clear" w:color="auto" w:fill="auto"/>
            <w:vAlign w:val="bottom"/>
          </w:tcPr>
          <w:p w14:paraId="36838BCD" w14:textId="1121725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96</w:t>
            </w:r>
          </w:p>
        </w:tc>
        <w:tc>
          <w:tcPr>
            <w:tcW w:w="141" w:type="pct"/>
            <w:tcBorders>
              <w:top w:val="nil"/>
              <w:left w:val="nil"/>
              <w:bottom w:val="nil"/>
              <w:right w:val="nil"/>
            </w:tcBorders>
            <w:shd w:val="clear" w:color="auto" w:fill="auto"/>
            <w:vAlign w:val="bottom"/>
          </w:tcPr>
          <w:p w14:paraId="6F97076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0048CC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99A9B4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B43772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63E681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32BDCD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4C3536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463A4E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DBB2AB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06333E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8CB1B4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2E358E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6D5740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5CFE9A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444B59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AF6511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691E24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25A1BE0B"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49046B16"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498D029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41A8F4E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09C93065" w14:textId="0ED5E4A0"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4734</w:t>
            </w:r>
          </w:p>
        </w:tc>
      </w:tr>
      <w:tr w:rsidR="00F4063A" w:rsidRPr="003E4580" w14:paraId="5AE795F2" w14:textId="77777777" w:rsidTr="00F4063A">
        <w:tc>
          <w:tcPr>
            <w:tcW w:w="188" w:type="pct"/>
            <w:tcBorders>
              <w:top w:val="nil"/>
              <w:left w:val="nil"/>
              <w:bottom w:val="nil"/>
              <w:right w:val="nil"/>
            </w:tcBorders>
          </w:tcPr>
          <w:p w14:paraId="1FADB686"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13</w:t>
            </w:r>
          </w:p>
        </w:tc>
        <w:tc>
          <w:tcPr>
            <w:tcW w:w="141" w:type="pct"/>
            <w:tcBorders>
              <w:top w:val="nil"/>
              <w:left w:val="nil"/>
              <w:bottom w:val="nil"/>
              <w:right w:val="nil"/>
            </w:tcBorders>
            <w:shd w:val="clear" w:color="auto" w:fill="auto"/>
            <w:vAlign w:val="bottom"/>
          </w:tcPr>
          <w:p w14:paraId="66400300" w14:textId="0049A74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w:t>
            </w:r>
          </w:p>
        </w:tc>
        <w:tc>
          <w:tcPr>
            <w:tcW w:w="141" w:type="pct"/>
            <w:tcBorders>
              <w:top w:val="nil"/>
              <w:left w:val="nil"/>
              <w:bottom w:val="nil"/>
              <w:right w:val="nil"/>
            </w:tcBorders>
            <w:shd w:val="clear" w:color="auto" w:fill="auto"/>
            <w:vAlign w:val="bottom"/>
          </w:tcPr>
          <w:p w14:paraId="40C00C6A" w14:textId="24A1F46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178</w:t>
            </w:r>
          </w:p>
        </w:tc>
        <w:tc>
          <w:tcPr>
            <w:tcW w:w="141" w:type="pct"/>
            <w:tcBorders>
              <w:top w:val="nil"/>
              <w:left w:val="nil"/>
              <w:bottom w:val="nil"/>
              <w:right w:val="nil"/>
            </w:tcBorders>
            <w:shd w:val="clear" w:color="auto" w:fill="auto"/>
            <w:vAlign w:val="bottom"/>
          </w:tcPr>
          <w:p w14:paraId="22A90A30" w14:textId="7428F49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350</w:t>
            </w:r>
          </w:p>
        </w:tc>
        <w:tc>
          <w:tcPr>
            <w:tcW w:w="141" w:type="pct"/>
            <w:tcBorders>
              <w:top w:val="nil"/>
              <w:left w:val="nil"/>
              <w:bottom w:val="nil"/>
              <w:right w:val="nil"/>
            </w:tcBorders>
            <w:shd w:val="clear" w:color="auto" w:fill="auto"/>
            <w:vAlign w:val="bottom"/>
          </w:tcPr>
          <w:p w14:paraId="49F89872" w14:textId="623B6A4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369</w:t>
            </w:r>
          </w:p>
        </w:tc>
        <w:tc>
          <w:tcPr>
            <w:tcW w:w="141" w:type="pct"/>
            <w:tcBorders>
              <w:top w:val="nil"/>
              <w:left w:val="nil"/>
              <w:bottom w:val="nil"/>
              <w:right w:val="nil"/>
            </w:tcBorders>
            <w:shd w:val="clear" w:color="auto" w:fill="auto"/>
            <w:vAlign w:val="bottom"/>
          </w:tcPr>
          <w:p w14:paraId="60FD326A" w14:textId="1C689BD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382</w:t>
            </w:r>
          </w:p>
        </w:tc>
        <w:tc>
          <w:tcPr>
            <w:tcW w:w="141" w:type="pct"/>
            <w:tcBorders>
              <w:top w:val="nil"/>
              <w:left w:val="nil"/>
              <w:bottom w:val="nil"/>
              <w:right w:val="nil"/>
            </w:tcBorders>
            <w:shd w:val="clear" w:color="auto" w:fill="auto"/>
            <w:vAlign w:val="bottom"/>
          </w:tcPr>
          <w:p w14:paraId="6C840703" w14:textId="7A67E6E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443</w:t>
            </w:r>
          </w:p>
        </w:tc>
        <w:tc>
          <w:tcPr>
            <w:tcW w:w="141" w:type="pct"/>
            <w:tcBorders>
              <w:top w:val="nil"/>
              <w:left w:val="nil"/>
              <w:bottom w:val="nil"/>
              <w:right w:val="nil"/>
            </w:tcBorders>
            <w:shd w:val="clear" w:color="auto" w:fill="auto"/>
            <w:vAlign w:val="bottom"/>
          </w:tcPr>
          <w:p w14:paraId="200DFD9F" w14:textId="7F12AC8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546</w:t>
            </w:r>
          </w:p>
        </w:tc>
        <w:tc>
          <w:tcPr>
            <w:tcW w:w="141" w:type="pct"/>
            <w:tcBorders>
              <w:top w:val="nil"/>
              <w:left w:val="nil"/>
              <w:bottom w:val="nil"/>
              <w:right w:val="nil"/>
            </w:tcBorders>
            <w:shd w:val="clear" w:color="auto" w:fill="auto"/>
            <w:vAlign w:val="bottom"/>
          </w:tcPr>
          <w:p w14:paraId="53C7763B" w14:textId="0A72555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623</w:t>
            </w:r>
          </w:p>
        </w:tc>
        <w:tc>
          <w:tcPr>
            <w:tcW w:w="141" w:type="pct"/>
            <w:tcBorders>
              <w:top w:val="nil"/>
              <w:left w:val="nil"/>
              <w:bottom w:val="nil"/>
              <w:right w:val="nil"/>
            </w:tcBorders>
            <w:shd w:val="clear" w:color="auto" w:fill="auto"/>
            <w:vAlign w:val="bottom"/>
          </w:tcPr>
          <w:p w14:paraId="260F9B7D" w14:textId="51F03B8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590</w:t>
            </w:r>
          </w:p>
        </w:tc>
        <w:tc>
          <w:tcPr>
            <w:tcW w:w="141" w:type="pct"/>
            <w:tcBorders>
              <w:top w:val="nil"/>
              <w:left w:val="nil"/>
              <w:bottom w:val="nil"/>
              <w:right w:val="nil"/>
            </w:tcBorders>
            <w:shd w:val="clear" w:color="auto" w:fill="auto"/>
            <w:vAlign w:val="bottom"/>
          </w:tcPr>
          <w:p w14:paraId="3FCCCD06" w14:textId="0829C5E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556</w:t>
            </w:r>
          </w:p>
        </w:tc>
        <w:tc>
          <w:tcPr>
            <w:tcW w:w="141" w:type="pct"/>
            <w:tcBorders>
              <w:top w:val="nil"/>
              <w:left w:val="nil"/>
              <w:bottom w:val="nil"/>
              <w:right w:val="nil"/>
            </w:tcBorders>
            <w:shd w:val="clear" w:color="auto" w:fill="auto"/>
            <w:vAlign w:val="bottom"/>
          </w:tcPr>
          <w:p w14:paraId="2EE22504" w14:textId="459ADAE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532</w:t>
            </w:r>
          </w:p>
        </w:tc>
        <w:tc>
          <w:tcPr>
            <w:tcW w:w="141" w:type="pct"/>
            <w:tcBorders>
              <w:top w:val="nil"/>
              <w:left w:val="nil"/>
              <w:bottom w:val="nil"/>
              <w:right w:val="nil"/>
            </w:tcBorders>
            <w:shd w:val="clear" w:color="auto" w:fill="auto"/>
            <w:vAlign w:val="bottom"/>
          </w:tcPr>
          <w:p w14:paraId="34B2C905" w14:textId="60CDC16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369</w:t>
            </w:r>
          </w:p>
        </w:tc>
        <w:tc>
          <w:tcPr>
            <w:tcW w:w="141" w:type="pct"/>
            <w:tcBorders>
              <w:top w:val="nil"/>
              <w:left w:val="nil"/>
              <w:bottom w:val="nil"/>
              <w:right w:val="nil"/>
            </w:tcBorders>
            <w:shd w:val="clear" w:color="auto" w:fill="auto"/>
            <w:vAlign w:val="bottom"/>
          </w:tcPr>
          <w:p w14:paraId="49D691FE" w14:textId="5080E68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100</w:t>
            </w:r>
          </w:p>
        </w:tc>
        <w:tc>
          <w:tcPr>
            <w:tcW w:w="141" w:type="pct"/>
            <w:tcBorders>
              <w:top w:val="nil"/>
              <w:left w:val="nil"/>
              <w:bottom w:val="nil"/>
              <w:right w:val="nil"/>
            </w:tcBorders>
            <w:shd w:val="clear" w:color="auto" w:fill="auto"/>
            <w:vAlign w:val="bottom"/>
          </w:tcPr>
          <w:p w14:paraId="47AB9A8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D553F4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A68A29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B33407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83E0B5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F462C8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227E12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EF6983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53B905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91E13B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1E6CB0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E071E2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21BFBB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694242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C3C888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94E3CA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697A4A9A"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138CF806"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2213BE3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6A7635F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54018F69" w14:textId="3EB07B88"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5092</w:t>
            </w:r>
          </w:p>
        </w:tc>
      </w:tr>
      <w:tr w:rsidR="00F4063A" w:rsidRPr="003E4580" w14:paraId="4C796E2E" w14:textId="77777777" w:rsidTr="00F4063A">
        <w:tc>
          <w:tcPr>
            <w:tcW w:w="188" w:type="pct"/>
            <w:tcBorders>
              <w:top w:val="nil"/>
              <w:left w:val="nil"/>
              <w:bottom w:val="nil"/>
              <w:right w:val="nil"/>
            </w:tcBorders>
          </w:tcPr>
          <w:p w14:paraId="017046D9"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14</w:t>
            </w:r>
          </w:p>
        </w:tc>
        <w:tc>
          <w:tcPr>
            <w:tcW w:w="141" w:type="pct"/>
            <w:tcBorders>
              <w:top w:val="nil"/>
              <w:left w:val="nil"/>
              <w:bottom w:val="nil"/>
              <w:right w:val="nil"/>
            </w:tcBorders>
            <w:shd w:val="clear" w:color="auto" w:fill="auto"/>
            <w:vAlign w:val="bottom"/>
          </w:tcPr>
          <w:p w14:paraId="4B5AB5D1" w14:textId="742EE7C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w:t>
            </w:r>
          </w:p>
        </w:tc>
        <w:tc>
          <w:tcPr>
            <w:tcW w:w="141" w:type="pct"/>
            <w:tcBorders>
              <w:top w:val="nil"/>
              <w:left w:val="nil"/>
              <w:bottom w:val="nil"/>
              <w:right w:val="nil"/>
            </w:tcBorders>
            <w:shd w:val="clear" w:color="auto" w:fill="auto"/>
            <w:vAlign w:val="bottom"/>
          </w:tcPr>
          <w:p w14:paraId="71FDFB99" w14:textId="467EE6B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128</w:t>
            </w:r>
          </w:p>
        </w:tc>
        <w:tc>
          <w:tcPr>
            <w:tcW w:w="141" w:type="pct"/>
            <w:tcBorders>
              <w:top w:val="nil"/>
              <w:left w:val="nil"/>
              <w:bottom w:val="nil"/>
              <w:right w:val="nil"/>
            </w:tcBorders>
            <w:shd w:val="clear" w:color="auto" w:fill="auto"/>
            <w:vAlign w:val="bottom"/>
          </w:tcPr>
          <w:p w14:paraId="37AA1EBC" w14:textId="0D657BC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245</w:t>
            </w:r>
          </w:p>
        </w:tc>
        <w:tc>
          <w:tcPr>
            <w:tcW w:w="141" w:type="pct"/>
            <w:tcBorders>
              <w:top w:val="nil"/>
              <w:left w:val="nil"/>
              <w:bottom w:val="nil"/>
              <w:right w:val="nil"/>
            </w:tcBorders>
            <w:shd w:val="clear" w:color="auto" w:fill="auto"/>
            <w:vAlign w:val="bottom"/>
          </w:tcPr>
          <w:p w14:paraId="1469D968" w14:textId="0949785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336</w:t>
            </w:r>
          </w:p>
        </w:tc>
        <w:tc>
          <w:tcPr>
            <w:tcW w:w="141" w:type="pct"/>
            <w:tcBorders>
              <w:top w:val="nil"/>
              <w:left w:val="nil"/>
              <w:bottom w:val="nil"/>
              <w:right w:val="nil"/>
            </w:tcBorders>
            <w:shd w:val="clear" w:color="auto" w:fill="auto"/>
            <w:vAlign w:val="bottom"/>
          </w:tcPr>
          <w:p w14:paraId="3BC62CB8" w14:textId="6299E07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340</w:t>
            </w:r>
          </w:p>
        </w:tc>
        <w:tc>
          <w:tcPr>
            <w:tcW w:w="141" w:type="pct"/>
            <w:tcBorders>
              <w:top w:val="nil"/>
              <w:left w:val="nil"/>
              <w:bottom w:val="nil"/>
              <w:right w:val="nil"/>
            </w:tcBorders>
            <w:shd w:val="clear" w:color="auto" w:fill="auto"/>
            <w:vAlign w:val="bottom"/>
          </w:tcPr>
          <w:p w14:paraId="3CAE62B0" w14:textId="5F40ECC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398</w:t>
            </w:r>
          </w:p>
        </w:tc>
        <w:tc>
          <w:tcPr>
            <w:tcW w:w="141" w:type="pct"/>
            <w:tcBorders>
              <w:top w:val="nil"/>
              <w:left w:val="nil"/>
              <w:bottom w:val="nil"/>
              <w:right w:val="nil"/>
            </w:tcBorders>
            <w:shd w:val="clear" w:color="auto" w:fill="auto"/>
            <w:vAlign w:val="bottom"/>
          </w:tcPr>
          <w:p w14:paraId="090CDD99" w14:textId="58C7958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462</w:t>
            </w:r>
          </w:p>
        </w:tc>
        <w:tc>
          <w:tcPr>
            <w:tcW w:w="141" w:type="pct"/>
            <w:tcBorders>
              <w:top w:val="nil"/>
              <w:left w:val="nil"/>
              <w:bottom w:val="nil"/>
              <w:right w:val="nil"/>
            </w:tcBorders>
            <w:shd w:val="clear" w:color="auto" w:fill="auto"/>
            <w:vAlign w:val="bottom"/>
          </w:tcPr>
          <w:p w14:paraId="4D9DDA06" w14:textId="7BBF7D8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569</w:t>
            </w:r>
          </w:p>
        </w:tc>
        <w:tc>
          <w:tcPr>
            <w:tcW w:w="141" w:type="pct"/>
            <w:tcBorders>
              <w:top w:val="nil"/>
              <w:left w:val="nil"/>
              <w:bottom w:val="nil"/>
              <w:right w:val="nil"/>
            </w:tcBorders>
            <w:shd w:val="clear" w:color="auto" w:fill="auto"/>
            <w:vAlign w:val="bottom"/>
          </w:tcPr>
          <w:p w14:paraId="3BC1EECC" w14:textId="7C40AEE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649</w:t>
            </w:r>
          </w:p>
        </w:tc>
        <w:tc>
          <w:tcPr>
            <w:tcW w:w="141" w:type="pct"/>
            <w:tcBorders>
              <w:top w:val="nil"/>
              <w:left w:val="nil"/>
              <w:bottom w:val="nil"/>
              <w:right w:val="nil"/>
            </w:tcBorders>
            <w:shd w:val="clear" w:color="auto" w:fill="auto"/>
            <w:vAlign w:val="bottom"/>
          </w:tcPr>
          <w:p w14:paraId="19F2E10D" w14:textId="7E087C9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615</w:t>
            </w:r>
          </w:p>
        </w:tc>
        <w:tc>
          <w:tcPr>
            <w:tcW w:w="141" w:type="pct"/>
            <w:tcBorders>
              <w:top w:val="nil"/>
              <w:left w:val="nil"/>
              <w:bottom w:val="nil"/>
              <w:right w:val="nil"/>
            </w:tcBorders>
            <w:shd w:val="clear" w:color="auto" w:fill="auto"/>
            <w:vAlign w:val="bottom"/>
          </w:tcPr>
          <w:p w14:paraId="15B07A81" w14:textId="26A1DD5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580</w:t>
            </w:r>
          </w:p>
        </w:tc>
        <w:tc>
          <w:tcPr>
            <w:tcW w:w="141" w:type="pct"/>
            <w:tcBorders>
              <w:top w:val="nil"/>
              <w:left w:val="nil"/>
              <w:bottom w:val="nil"/>
              <w:right w:val="nil"/>
            </w:tcBorders>
            <w:shd w:val="clear" w:color="auto" w:fill="auto"/>
            <w:vAlign w:val="bottom"/>
          </w:tcPr>
          <w:p w14:paraId="2E5864FB" w14:textId="2AB53CE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555</w:t>
            </w:r>
          </w:p>
        </w:tc>
        <w:tc>
          <w:tcPr>
            <w:tcW w:w="141" w:type="pct"/>
            <w:tcBorders>
              <w:top w:val="nil"/>
              <w:left w:val="nil"/>
              <w:bottom w:val="nil"/>
              <w:right w:val="nil"/>
            </w:tcBorders>
            <w:shd w:val="clear" w:color="auto" w:fill="auto"/>
            <w:vAlign w:val="bottom"/>
          </w:tcPr>
          <w:p w14:paraId="1026BAEB" w14:textId="05EF46A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385</w:t>
            </w:r>
          </w:p>
        </w:tc>
        <w:tc>
          <w:tcPr>
            <w:tcW w:w="141" w:type="pct"/>
            <w:tcBorders>
              <w:top w:val="nil"/>
              <w:left w:val="nil"/>
              <w:bottom w:val="nil"/>
              <w:right w:val="nil"/>
            </w:tcBorders>
            <w:shd w:val="clear" w:color="auto" w:fill="auto"/>
            <w:vAlign w:val="bottom"/>
          </w:tcPr>
          <w:p w14:paraId="38DD72A8" w14:textId="47759C5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104</w:t>
            </w:r>
          </w:p>
        </w:tc>
        <w:tc>
          <w:tcPr>
            <w:tcW w:w="141" w:type="pct"/>
            <w:tcBorders>
              <w:top w:val="nil"/>
              <w:left w:val="nil"/>
              <w:bottom w:val="nil"/>
              <w:right w:val="nil"/>
            </w:tcBorders>
            <w:shd w:val="clear" w:color="auto" w:fill="auto"/>
            <w:vAlign w:val="bottom"/>
          </w:tcPr>
          <w:p w14:paraId="2284741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E66871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E5A984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49020A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8425AA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49B746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ACE84A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FC44C6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8B381F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98E320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F21369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837293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73553A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3D7603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8933ED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13DF0A5D"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E9D4B1A"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235722E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60E3A8F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18D55DBA" w14:textId="137FED18"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5417</w:t>
            </w:r>
          </w:p>
        </w:tc>
      </w:tr>
      <w:tr w:rsidR="00F4063A" w:rsidRPr="003E4580" w14:paraId="46892013" w14:textId="77777777" w:rsidTr="00F4063A">
        <w:tc>
          <w:tcPr>
            <w:tcW w:w="188" w:type="pct"/>
            <w:tcBorders>
              <w:top w:val="nil"/>
              <w:left w:val="nil"/>
              <w:bottom w:val="nil"/>
              <w:right w:val="nil"/>
            </w:tcBorders>
          </w:tcPr>
          <w:p w14:paraId="6984AABB"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15</w:t>
            </w:r>
          </w:p>
        </w:tc>
        <w:tc>
          <w:tcPr>
            <w:tcW w:w="141" w:type="pct"/>
            <w:tcBorders>
              <w:top w:val="nil"/>
              <w:left w:val="nil"/>
              <w:bottom w:val="nil"/>
              <w:right w:val="nil"/>
            </w:tcBorders>
            <w:shd w:val="clear" w:color="auto" w:fill="auto"/>
            <w:vAlign w:val="bottom"/>
          </w:tcPr>
          <w:p w14:paraId="2196C7D7" w14:textId="4446218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46</w:t>
            </w:r>
          </w:p>
        </w:tc>
        <w:tc>
          <w:tcPr>
            <w:tcW w:w="141" w:type="pct"/>
            <w:tcBorders>
              <w:top w:val="nil"/>
              <w:left w:val="nil"/>
              <w:bottom w:val="nil"/>
              <w:right w:val="nil"/>
            </w:tcBorders>
            <w:shd w:val="clear" w:color="auto" w:fill="auto"/>
            <w:vAlign w:val="bottom"/>
          </w:tcPr>
          <w:p w14:paraId="307D38E8" w14:textId="51813D7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122</w:t>
            </w:r>
          </w:p>
        </w:tc>
        <w:tc>
          <w:tcPr>
            <w:tcW w:w="141" w:type="pct"/>
            <w:tcBorders>
              <w:top w:val="nil"/>
              <w:left w:val="nil"/>
              <w:bottom w:val="nil"/>
              <w:right w:val="nil"/>
            </w:tcBorders>
            <w:shd w:val="clear" w:color="auto" w:fill="auto"/>
            <w:vAlign w:val="bottom"/>
          </w:tcPr>
          <w:p w14:paraId="4EFCDFCB" w14:textId="6620D18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176</w:t>
            </w:r>
          </w:p>
        </w:tc>
        <w:tc>
          <w:tcPr>
            <w:tcW w:w="141" w:type="pct"/>
            <w:tcBorders>
              <w:top w:val="nil"/>
              <w:left w:val="nil"/>
              <w:bottom w:val="nil"/>
              <w:right w:val="nil"/>
            </w:tcBorders>
            <w:shd w:val="clear" w:color="auto" w:fill="auto"/>
            <w:vAlign w:val="bottom"/>
          </w:tcPr>
          <w:p w14:paraId="56223B79" w14:textId="14122DB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236</w:t>
            </w:r>
          </w:p>
        </w:tc>
        <w:tc>
          <w:tcPr>
            <w:tcW w:w="141" w:type="pct"/>
            <w:tcBorders>
              <w:top w:val="nil"/>
              <w:left w:val="nil"/>
              <w:bottom w:val="nil"/>
              <w:right w:val="nil"/>
            </w:tcBorders>
            <w:shd w:val="clear" w:color="auto" w:fill="auto"/>
            <w:vAlign w:val="bottom"/>
          </w:tcPr>
          <w:p w14:paraId="7A506ACB" w14:textId="186F7B0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310</w:t>
            </w:r>
          </w:p>
        </w:tc>
        <w:tc>
          <w:tcPr>
            <w:tcW w:w="141" w:type="pct"/>
            <w:tcBorders>
              <w:top w:val="nil"/>
              <w:left w:val="nil"/>
              <w:bottom w:val="nil"/>
              <w:right w:val="nil"/>
            </w:tcBorders>
            <w:shd w:val="clear" w:color="auto" w:fill="auto"/>
            <w:vAlign w:val="bottom"/>
          </w:tcPr>
          <w:p w14:paraId="7A1DE5C7" w14:textId="58832A7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355</w:t>
            </w:r>
          </w:p>
        </w:tc>
        <w:tc>
          <w:tcPr>
            <w:tcW w:w="141" w:type="pct"/>
            <w:tcBorders>
              <w:top w:val="nil"/>
              <w:left w:val="nil"/>
              <w:bottom w:val="nil"/>
              <w:right w:val="nil"/>
            </w:tcBorders>
            <w:shd w:val="clear" w:color="auto" w:fill="auto"/>
            <w:vAlign w:val="bottom"/>
          </w:tcPr>
          <w:p w14:paraId="68050332" w14:textId="3AFFE60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415</w:t>
            </w:r>
          </w:p>
        </w:tc>
        <w:tc>
          <w:tcPr>
            <w:tcW w:w="141" w:type="pct"/>
            <w:tcBorders>
              <w:top w:val="nil"/>
              <w:left w:val="nil"/>
              <w:bottom w:val="nil"/>
              <w:right w:val="nil"/>
            </w:tcBorders>
            <w:shd w:val="clear" w:color="auto" w:fill="auto"/>
            <w:vAlign w:val="bottom"/>
          </w:tcPr>
          <w:p w14:paraId="23587167" w14:textId="06285E2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481</w:t>
            </w:r>
          </w:p>
        </w:tc>
        <w:tc>
          <w:tcPr>
            <w:tcW w:w="141" w:type="pct"/>
            <w:tcBorders>
              <w:top w:val="nil"/>
              <w:left w:val="nil"/>
              <w:bottom w:val="nil"/>
              <w:right w:val="nil"/>
            </w:tcBorders>
            <w:shd w:val="clear" w:color="auto" w:fill="auto"/>
            <w:vAlign w:val="bottom"/>
          </w:tcPr>
          <w:p w14:paraId="130346E6" w14:textId="55AFEBA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593</w:t>
            </w:r>
          </w:p>
        </w:tc>
        <w:tc>
          <w:tcPr>
            <w:tcW w:w="141" w:type="pct"/>
            <w:tcBorders>
              <w:top w:val="nil"/>
              <w:left w:val="nil"/>
              <w:bottom w:val="nil"/>
              <w:right w:val="nil"/>
            </w:tcBorders>
            <w:shd w:val="clear" w:color="auto" w:fill="auto"/>
            <w:vAlign w:val="bottom"/>
          </w:tcPr>
          <w:p w14:paraId="7FC3AE28" w14:textId="58F16E4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677</w:t>
            </w:r>
          </w:p>
        </w:tc>
        <w:tc>
          <w:tcPr>
            <w:tcW w:w="141" w:type="pct"/>
            <w:tcBorders>
              <w:top w:val="nil"/>
              <w:left w:val="nil"/>
              <w:bottom w:val="nil"/>
              <w:right w:val="nil"/>
            </w:tcBorders>
            <w:shd w:val="clear" w:color="auto" w:fill="auto"/>
            <w:vAlign w:val="bottom"/>
          </w:tcPr>
          <w:p w14:paraId="10FD351D" w14:textId="58F363A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641</w:t>
            </w:r>
          </w:p>
        </w:tc>
        <w:tc>
          <w:tcPr>
            <w:tcW w:w="141" w:type="pct"/>
            <w:tcBorders>
              <w:top w:val="nil"/>
              <w:left w:val="nil"/>
              <w:bottom w:val="nil"/>
              <w:right w:val="nil"/>
            </w:tcBorders>
            <w:shd w:val="clear" w:color="auto" w:fill="auto"/>
            <w:vAlign w:val="bottom"/>
          </w:tcPr>
          <w:p w14:paraId="5CEB4152" w14:textId="0C4270E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604</w:t>
            </w:r>
          </w:p>
        </w:tc>
        <w:tc>
          <w:tcPr>
            <w:tcW w:w="141" w:type="pct"/>
            <w:tcBorders>
              <w:top w:val="nil"/>
              <w:left w:val="nil"/>
              <w:bottom w:val="nil"/>
              <w:right w:val="nil"/>
            </w:tcBorders>
            <w:shd w:val="clear" w:color="auto" w:fill="auto"/>
            <w:vAlign w:val="bottom"/>
          </w:tcPr>
          <w:p w14:paraId="4835D1F0" w14:textId="6BF338F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578</w:t>
            </w:r>
          </w:p>
        </w:tc>
        <w:tc>
          <w:tcPr>
            <w:tcW w:w="141" w:type="pct"/>
            <w:tcBorders>
              <w:top w:val="nil"/>
              <w:left w:val="nil"/>
              <w:bottom w:val="nil"/>
              <w:right w:val="nil"/>
            </w:tcBorders>
            <w:shd w:val="clear" w:color="auto" w:fill="auto"/>
            <w:vAlign w:val="bottom"/>
          </w:tcPr>
          <w:p w14:paraId="53C3B449" w14:textId="6CDC77A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401</w:t>
            </w:r>
          </w:p>
        </w:tc>
        <w:tc>
          <w:tcPr>
            <w:tcW w:w="141" w:type="pct"/>
            <w:tcBorders>
              <w:top w:val="nil"/>
              <w:left w:val="nil"/>
              <w:bottom w:val="nil"/>
              <w:right w:val="nil"/>
            </w:tcBorders>
            <w:shd w:val="clear" w:color="auto" w:fill="auto"/>
            <w:vAlign w:val="bottom"/>
          </w:tcPr>
          <w:p w14:paraId="15E83508" w14:textId="60E61B8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105</w:t>
            </w:r>
          </w:p>
        </w:tc>
        <w:tc>
          <w:tcPr>
            <w:tcW w:w="141" w:type="pct"/>
            <w:tcBorders>
              <w:top w:val="nil"/>
              <w:left w:val="nil"/>
              <w:bottom w:val="nil"/>
              <w:right w:val="nil"/>
            </w:tcBorders>
            <w:shd w:val="clear" w:color="auto" w:fill="auto"/>
            <w:vAlign w:val="bottom"/>
          </w:tcPr>
          <w:p w14:paraId="0847259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C79AF6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349E57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4F40BA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16FB2D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52D1CF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EBD7D1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675704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261ADE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859941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F94200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09DCAA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073D97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76A3C3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4194D43C"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059EE77A"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3C22F97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24C8B19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42515DD2" w14:textId="2DB77FA5"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5740</w:t>
            </w:r>
          </w:p>
        </w:tc>
      </w:tr>
      <w:tr w:rsidR="00F4063A" w:rsidRPr="003E4580" w14:paraId="3B96CA61" w14:textId="77777777" w:rsidTr="00F4063A">
        <w:tc>
          <w:tcPr>
            <w:tcW w:w="188" w:type="pct"/>
            <w:tcBorders>
              <w:top w:val="nil"/>
              <w:left w:val="nil"/>
              <w:bottom w:val="nil"/>
              <w:right w:val="nil"/>
            </w:tcBorders>
          </w:tcPr>
          <w:p w14:paraId="15A04A21"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16</w:t>
            </w:r>
          </w:p>
        </w:tc>
        <w:tc>
          <w:tcPr>
            <w:tcW w:w="141" w:type="pct"/>
            <w:tcBorders>
              <w:top w:val="nil"/>
              <w:left w:val="nil"/>
              <w:bottom w:val="nil"/>
              <w:right w:val="nil"/>
            </w:tcBorders>
            <w:shd w:val="clear" w:color="auto" w:fill="auto"/>
            <w:vAlign w:val="bottom"/>
          </w:tcPr>
          <w:p w14:paraId="41488391" w14:textId="07CF76F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w:t>
            </w:r>
          </w:p>
        </w:tc>
        <w:tc>
          <w:tcPr>
            <w:tcW w:w="141" w:type="pct"/>
            <w:tcBorders>
              <w:top w:val="nil"/>
              <w:left w:val="nil"/>
              <w:bottom w:val="nil"/>
              <w:right w:val="nil"/>
            </w:tcBorders>
            <w:shd w:val="clear" w:color="auto" w:fill="auto"/>
            <w:vAlign w:val="bottom"/>
          </w:tcPr>
          <w:p w14:paraId="15EC38A1" w14:textId="3D1396C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107</w:t>
            </w:r>
          </w:p>
        </w:tc>
        <w:tc>
          <w:tcPr>
            <w:tcW w:w="141" w:type="pct"/>
            <w:tcBorders>
              <w:top w:val="nil"/>
              <w:left w:val="nil"/>
              <w:bottom w:val="nil"/>
              <w:right w:val="nil"/>
            </w:tcBorders>
            <w:shd w:val="clear" w:color="auto" w:fill="auto"/>
            <w:vAlign w:val="bottom"/>
          </w:tcPr>
          <w:p w14:paraId="224541FF" w14:textId="338C413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168</w:t>
            </w:r>
          </w:p>
        </w:tc>
        <w:tc>
          <w:tcPr>
            <w:tcW w:w="141" w:type="pct"/>
            <w:tcBorders>
              <w:top w:val="nil"/>
              <w:left w:val="nil"/>
              <w:bottom w:val="nil"/>
              <w:right w:val="nil"/>
            </w:tcBorders>
            <w:shd w:val="clear" w:color="auto" w:fill="auto"/>
            <w:vAlign w:val="bottom"/>
          </w:tcPr>
          <w:p w14:paraId="56018E61" w14:textId="26AE843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169</w:t>
            </w:r>
          </w:p>
        </w:tc>
        <w:tc>
          <w:tcPr>
            <w:tcW w:w="141" w:type="pct"/>
            <w:tcBorders>
              <w:top w:val="nil"/>
              <w:left w:val="nil"/>
              <w:bottom w:val="nil"/>
              <w:right w:val="nil"/>
            </w:tcBorders>
            <w:shd w:val="clear" w:color="auto" w:fill="auto"/>
            <w:vAlign w:val="bottom"/>
          </w:tcPr>
          <w:p w14:paraId="14C008AA" w14:textId="101221E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217</w:t>
            </w:r>
          </w:p>
        </w:tc>
        <w:tc>
          <w:tcPr>
            <w:tcW w:w="141" w:type="pct"/>
            <w:tcBorders>
              <w:top w:val="nil"/>
              <w:left w:val="nil"/>
              <w:bottom w:val="nil"/>
              <w:right w:val="nil"/>
            </w:tcBorders>
            <w:shd w:val="clear" w:color="auto" w:fill="auto"/>
            <w:vAlign w:val="bottom"/>
          </w:tcPr>
          <w:p w14:paraId="26192B0A" w14:textId="4121054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323</w:t>
            </w:r>
          </w:p>
        </w:tc>
        <w:tc>
          <w:tcPr>
            <w:tcW w:w="141" w:type="pct"/>
            <w:tcBorders>
              <w:top w:val="nil"/>
              <w:left w:val="nil"/>
              <w:bottom w:val="nil"/>
              <w:right w:val="nil"/>
            </w:tcBorders>
            <w:shd w:val="clear" w:color="auto" w:fill="auto"/>
            <w:vAlign w:val="bottom"/>
          </w:tcPr>
          <w:p w14:paraId="2E94EAD6" w14:textId="2AD4E41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370</w:t>
            </w:r>
          </w:p>
        </w:tc>
        <w:tc>
          <w:tcPr>
            <w:tcW w:w="141" w:type="pct"/>
            <w:tcBorders>
              <w:top w:val="nil"/>
              <w:left w:val="nil"/>
              <w:bottom w:val="nil"/>
              <w:right w:val="nil"/>
            </w:tcBorders>
            <w:shd w:val="clear" w:color="auto" w:fill="auto"/>
            <w:vAlign w:val="bottom"/>
          </w:tcPr>
          <w:p w14:paraId="2201E32B" w14:textId="44400C8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432</w:t>
            </w:r>
          </w:p>
        </w:tc>
        <w:tc>
          <w:tcPr>
            <w:tcW w:w="141" w:type="pct"/>
            <w:tcBorders>
              <w:top w:val="nil"/>
              <w:left w:val="nil"/>
              <w:bottom w:val="nil"/>
              <w:right w:val="nil"/>
            </w:tcBorders>
            <w:shd w:val="clear" w:color="auto" w:fill="auto"/>
            <w:vAlign w:val="bottom"/>
          </w:tcPr>
          <w:p w14:paraId="3D74B0C7" w14:textId="682D17F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502</w:t>
            </w:r>
          </w:p>
        </w:tc>
        <w:tc>
          <w:tcPr>
            <w:tcW w:w="141" w:type="pct"/>
            <w:tcBorders>
              <w:top w:val="nil"/>
              <w:left w:val="nil"/>
              <w:bottom w:val="nil"/>
              <w:right w:val="nil"/>
            </w:tcBorders>
            <w:shd w:val="clear" w:color="auto" w:fill="auto"/>
            <w:vAlign w:val="bottom"/>
          </w:tcPr>
          <w:p w14:paraId="40AE990F" w14:textId="24FC594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618</w:t>
            </w:r>
          </w:p>
        </w:tc>
        <w:tc>
          <w:tcPr>
            <w:tcW w:w="141" w:type="pct"/>
            <w:tcBorders>
              <w:top w:val="nil"/>
              <w:left w:val="nil"/>
              <w:bottom w:val="nil"/>
              <w:right w:val="nil"/>
            </w:tcBorders>
            <w:shd w:val="clear" w:color="auto" w:fill="auto"/>
            <w:vAlign w:val="bottom"/>
          </w:tcPr>
          <w:p w14:paraId="0532BB54" w14:textId="7FFA0C1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705</w:t>
            </w:r>
          </w:p>
        </w:tc>
        <w:tc>
          <w:tcPr>
            <w:tcW w:w="141" w:type="pct"/>
            <w:tcBorders>
              <w:top w:val="nil"/>
              <w:left w:val="nil"/>
              <w:bottom w:val="nil"/>
              <w:right w:val="nil"/>
            </w:tcBorders>
            <w:shd w:val="clear" w:color="auto" w:fill="auto"/>
            <w:vAlign w:val="bottom"/>
          </w:tcPr>
          <w:p w14:paraId="0649480E" w14:textId="7D1A5E6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668</w:t>
            </w:r>
          </w:p>
        </w:tc>
        <w:tc>
          <w:tcPr>
            <w:tcW w:w="141" w:type="pct"/>
            <w:tcBorders>
              <w:top w:val="nil"/>
              <w:left w:val="nil"/>
              <w:bottom w:val="nil"/>
              <w:right w:val="nil"/>
            </w:tcBorders>
            <w:shd w:val="clear" w:color="auto" w:fill="auto"/>
            <w:vAlign w:val="bottom"/>
          </w:tcPr>
          <w:p w14:paraId="445DFFF3" w14:textId="77A536F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630</w:t>
            </w:r>
          </w:p>
        </w:tc>
        <w:tc>
          <w:tcPr>
            <w:tcW w:w="141" w:type="pct"/>
            <w:tcBorders>
              <w:top w:val="nil"/>
              <w:left w:val="nil"/>
              <w:bottom w:val="nil"/>
              <w:right w:val="nil"/>
            </w:tcBorders>
            <w:shd w:val="clear" w:color="auto" w:fill="auto"/>
            <w:vAlign w:val="bottom"/>
          </w:tcPr>
          <w:p w14:paraId="6530F653" w14:textId="18398FF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603</w:t>
            </w:r>
          </w:p>
        </w:tc>
        <w:tc>
          <w:tcPr>
            <w:tcW w:w="141" w:type="pct"/>
            <w:tcBorders>
              <w:top w:val="nil"/>
              <w:left w:val="nil"/>
              <w:bottom w:val="nil"/>
              <w:right w:val="nil"/>
            </w:tcBorders>
            <w:shd w:val="clear" w:color="auto" w:fill="auto"/>
            <w:vAlign w:val="bottom"/>
          </w:tcPr>
          <w:p w14:paraId="2266C152" w14:textId="7355F86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406</w:t>
            </w:r>
          </w:p>
        </w:tc>
        <w:tc>
          <w:tcPr>
            <w:tcW w:w="141" w:type="pct"/>
            <w:tcBorders>
              <w:top w:val="nil"/>
              <w:left w:val="nil"/>
              <w:bottom w:val="nil"/>
              <w:right w:val="nil"/>
            </w:tcBorders>
            <w:shd w:val="clear" w:color="auto" w:fill="auto"/>
            <w:vAlign w:val="bottom"/>
          </w:tcPr>
          <w:p w14:paraId="5B13213B" w14:textId="4426C42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103</w:t>
            </w:r>
          </w:p>
        </w:tc>
        <w:tc>
          <w:tcPr>
            <w:tcW w:w="141" w:type="pct"/>
            <w:tcBorders>
              <w:top w:val="nil"/>
              <w:left w:val="nil"/>
              <w:bottom w:val="nil"/>
              <w:right w:val="nil"/>
            </w:tcBorders>
            <w:shd w:val="clear" w:color="auto" w:fill="auto"/>
            <w:vAlign w:val="bottom"/>
          </w:tcPr>
          <w:p w14:paraId="07EEC85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E88D81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2D701C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D6C599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0B6642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02C112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59A730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13BFBC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536130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683B27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561E29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73F45A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160D0D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6A39B860"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43633203"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4F826F9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59FFA6C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3FAF1A75" w14:textId="73A8B32E"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6059</w:t>
            </w:r>
          </w:p>
        </w:tc>
      </w:tr>
      <w:tr w:rsidR="00F4063A" w:rsidRPr="003E4580" w14:paraId="404F9F1E" w14:textId="77777777" w:rsidTr="00F4063A">
        <w:tc>
          <w:tcPr>
            <w:tcW w:w="188" w:type="pct"/>
            <w:tcBorders>
              <w:top w:val="nil"/>
              <w:left w:val="nil"/>
              <w:bottom w:val="nil"/>
              <w:right w:val="nil"/>
            </w:tcBorders>
          </w:tcPr>
          <w:p w14:paraId="22DEB6D8"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17</w:t>
            </w:r>
          </w:p>
        </w:tc>
        <w:tc>
          <w:tcPr>
            <w:tcW w:w="141" w:type="pct"/>
            <w:tcBorders>
              <w:top w:val="nil"/>
              <w:left w:val="nil"/>
              <w:bottom w:val="nil"/>
              <w:right w:val="nil"/>
            </w:tcBorders>
            <w:shd w:val="clear" w:color="auto" w:fill="auto"/>
            <w:vAlign w:val="bottom"/>
          </w:tcPr>
          <w:p w14:paraId="55193A82" w14:textId="22AB1CB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28</w:t>
            </w:r>
          </w:p>
        </w:tc>
        <w:tc>
          <w:tcPr>
            <w:tcW w:w="141" w:type="pct"/>
            <w:tcBorders>
              <w:top w:val="nil"/>
              <w:left w:val="nil"/>
              <w:bottom w:val="nil"/>
              <w:right w:val="nil"/>
            </w:tcBorders>
            <w:shd w:val="clear" w:color="auto" w:fill="auto"/>
            <w:vAlign w:val="bottom"/>
          </w:tcPr>
          <w:p w14:paraId="43E6765A" w14:textId="1979801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89</w:t>
            </w:r>
          </w:p>
        </w:tc>
        <w:tc>
          <w:tcPr>
            <w:tcW w:w="141" w:type="pct"/>
            <w:tcBorders>
              <w:top w:val="nil"/>
              <w:left w:val="nil"/>
              <w:bottom w:val="nil"/>
              <w:right w:val="nil"/>
            </w:tcBorders>
            <w:shd w:val="clear" w:color="auto" w:fill="auto"/>
            <w:vAlign w:val="bottom"/>
          </w:tcPr>
          <w:p w14:paraId="7B572E76" w14:textId="65346DA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148</w:t>
            </w:r>
          </w:p>
        </w:tc>
        <w:tc>
          <w:tcPr>
            <w:tcW w:w="141" w:type="pct"/>
            <w:tcBorders>
              <w:top w:val="nil"/>
              <w:left w:val="nil"/>
              <w:bottom w:val="nil"/>
              <w:right w:val="nil"/>
            </w:tcBorders>
            <w:shd w:val="clear" w:color="auto" w:fill="auto"/>
            <w:vAlign w:val="bottom"/>
          </w:tcPr>
          <w:p w14:paraId="5A9E67EA" w14:textId="275FF52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161</w:t>
            </w:r>
          </w:p>
        </w:tc>
        <w:tc>
          <w:tcPr>
            <w:tcW w:w="141" w:type="pct"/>
            <w:tcBorders>
              <w:top w:val="nil"/>
              <w:left w:val="nil"/>
              <w:bottom w:val="nil"/>
              <w:right w:val="nil"/>
            </w:tcBorders>
            <w:shd w:val="clear" w:color="auto" w:fill="auto"/>
            <w:vAlign w:val="bottom"/>
          </w:tcPr>
          <w:p w14:paraId="0A057060" w14:textId="274C2C8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156</w:t>
            </w:r>
          </w:p>
        </w:tc>
        <w:tc>
          <w:tcPr>
            <w:tcW w:w="141" w:type="pct"/>
            <w:tcBorders>
              <w:top w:val="nil"/>
              <w:left w:val="nil"/>
              <w:bottom w:val="nil"/>
              <w:right w:val="nil"/>
            </w:tcBorders>
            <w:shd w:val="clear" w:color="auto" w:fill="auto"/>
            <w:vAlign w:val="bottom"/>
          </w:tcPr>
          <w:p w14:paraId="0DB4C9BA" w14:textId="36AF1F5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226</w:t>
            </w:r>
          </w:p>
        </w:tc>
        <w:tc>
          <w:tcPr>
            <w:tcW w:w="141" w:type="pct"/>
            <w:tcBorders>
              <w:top w:val="nil"/>
              <w:left w:val="nil"/>
              <w:bottom w:val="nil"/>
              <w:right w:val="nil"/>
            </w:tcBorders>
            <w:shd w:val="clear" w:color="auto" w:fill="auto"/>
            <w:vAlign w:val="bottom"/>
          </w:tcPr>
          <w:p w14:paraId="6BAB968C" w14:textId="7751CA4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337</w:t>
            </w:r>
          </w:p>
        </w:tc>
        <w:tc>
          <w:tcPr>
            <w:tcW w:w="141" w:type="pct"/>
            <w:tcBorders>
              <w:top w:val="nil"/>
              <w:left w:val="nil"/>
              <w:bottom w:val="nil"/>
              <w:right w:val="nil"/>
            </w:tcBorders>
            <w:shd w:val="clear" w:color="auto" w:fill="auto"/>
            <w:vAlign w:val="bottom"/>
          </w:tcPr>
          <w:p w14:paraId="30BB589E" w14:textId="17CA142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385</w:t>
            </w:r>
          </w:p>
        </w:tc>
        <w:tc>
          <w:tcPr>
            <w:tcW w:w="141" w:type="pct"/>
            <w:tcBorders>
              <w:top w:val="nil"/>
              <w:left w:val="nil"/>
              <w:bottom w:val="nil"/>
              <w:right w:val="nil"/>
            </w:tcBorders>
            <w:shd w:val="clear" w:color="auto" w:fill="auto"/>
            <w:vAlign w:val="bottom"/>
          </w:tcPr>
          <w:p w14:paraId="1E4384A2" w14:textId="3E7420D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451</w:t>
            </w:r>
          </w:p>
        </w:tc>
        <w:tc>
          <w:tcPr>
            <w:tcW w:w="141" w:type="pct"/>
            <w:tcBorders>
              <w:top w:val="nil"/>
              <w:left w:val="nil"/>
              <w:bottom w:val="nil"/>
              <w:right w:val="nil"/>
            </w:tcBorders>
            <w:shd w:val="clear" w:color="auto" w:fill="auto"/>
            <w:vAlign w:val="bottom"/>
          </w:tcPr>
          <w:p w14:paraId="1F440F86" w14:textId="081DB26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523</w:t>
            </w:r>
          </w:p>
        </w:tc>
        <w:tc>
          <w:tcPr>
            <w:tcW w:w="141" w:type="pct"/>
            <w:tcBorders>
              <w:top w:val="nil"/>
              <w:left w:val="nil"/>
              <w:bottom w:val="nil"/>
              <w:right w:val="nil"/>
            </w:tcBorders>
            <w:shd w:val="clear" w:color="auto" w:fill="auto"/>
            <w:vAlign w:val="bottom"/>
          </w:tcPr>
          <w:p w14:paraId="111444E6" w14:textId="7652C7E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644</w:t>
            </w:r>
          </w:p>
        </w:tc>
        <w:tc>
          <w:tcPr>
            <w:tcW w:w="141" w:type="pct"/>
            <w:tcBorders>
              <w:top w:val="nil"/>
              <w:left w:val="nil"/>
              <w:bottom w:val="nil"/>
              <w:right w:val="nil"/>
            </w:tcBorders>
            <w:shd w:val="clear" w:color="auto" w:fill="auto"/>
            <w:vAlign w:val="bottom"/>
          </w:tcPr>
          <w:p w14:paraId="51A3EE64" w14:textId="60CBCD9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735</w:t>
            </w:r>
          </w:p>
        </w:tc>
        <w:tc>
          <w:tcPr>
            <w:tcW w:w="141" w:type="pct"/>
            <w:tcBorders>
              <w:top w:val="nil"/>
              <w:left w:val="nil"/>
              <w:bottom w:val="nil"/>
              <w:right w:val="nil"/>
            </w:tcBorders>
            <w:shd w:val="clear" w:color="auto" w:fill="auto"/>
            <w:vAlign w:val="bottom"/>
          </w:tcPr>
          <w:p w14:paraId="18FD4D12" w14:textId="5E9A721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697</w:t>
            </w:r>
          </w:p>
        </w:tc>
        <w:tc>
          <w:tcPr>
            <w:tcW w:w="141" w:type="pct"/>
            <w:tcBorders>
              <w:top w:val="nil"/>
              <w:left w:val="nil"/>
              <w:bottom w:val="nil"/>
              <w:right w:val="nil"/>
            </w:tcBorders>
            <w:shd w:val="clear" w:color="auto" w:fill="auto"/>
            <w:vAlign w:val="bottom"/>
          </w:tcPr>
          <w:p w14:paraId="48825DBE" w14:textId="66181F7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657</w:t>
            </w:r>
          </w:p>
        </w:tc>
        <w:tc>
          <w:tcPr>
            <w:tcW w:w="141" w:type="pct"/>
            <w:tcBorders>
              <w:top w:val="nil"/>
              <w:left w:val="nil"/>
              <w:bottom w:val="nil"/>
              <w:right w:val="nil"/>
            </w:tcBorders>
            <w:shd w:val="clear" w:color="auto" w:fill="auto"/>
            <w:vAlign w:val="bottom"/>
          </w:tcPr>
          <w:p w14:paraId="4C531053" w14:textId="467C182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610</w:t>
            </w:r>
          </w:p>
        </w:tc>
        <w:tc>
          <w:tcPr>
            <w:tcW w:w="141" w:type="pct"/>
            <w:tcBorders>
              <w:top w:val="nil"/>
              <w:left w:val="nil"/>
              <w:bottom w:val="nil"/>
              <w:right w:val="nil"/>
            </w:tcBorders>
            <w:shd w:val="clear" w:color="auto" w:fill="auto"/>
            <w:vAlign w:val="bottom"/>
          </w:tcPr>
          <w:p w14:paraId="29A612E0" w14:textId="21B6AC8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396</w:t>
            </w:r>
          </w:p>
        </w:tc>
        <w:tc>
          <w:tcPr>
            <w:tcW w:w="141" w:type="pct"/>
            <w:tcBorders>
              <w:top w:val="nil"/>
              <w:left w:val="nil"/>
              <w:bottom w:val="nil"/>
              <w:right w:val="nil"/>
            </w:tcBorders>
            <w:shd w:val="clear" w:color="auto" w:fill="auto"/>
            <w:vAlign w:val="bottom"/>
          </w:tcPr>
          <w:p w14:paraId="632EE33B" w14:textId="7805077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100</w:t>
            </w:r>
          </w:p>
        </w:tc>
        <w:tc>
          <w:tcPr>
            <w:tcW w:w="141" w:type="pct"/>
            <w:tcBorders>
              <w:top w:val="nil"/>
              <w:left w:val="nil"/>
              <w:bottom w:val="nil"/>
              <w:right w:val="nil"/>
            </w:tcBorders>
            <w:shd w:val="clear" w:color="auto" w:fill="auto"/>
            <w:vAlign w:val="bottom"/>
          </w:tcPr>
          <w:p w14:paraId="18D02FB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5C26A4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E74CD0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1E9B90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E6CA36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8C4858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644267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F83D46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F78705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A79F23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34D647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B14368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217D625E"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2336AE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6998964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1DC904E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43CD9165" w14:textId="29EEEE8A"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6343</w:t>
            </w:r>
          </w:p>
        </w:tc>
      </w:tr>
      <w:tr w:rsidR="00F4063A" w:rsidRPr="003E4580" w14:paraId="025FD533" w14:textId="77777777" w:rsidTr="00F4063A">
        <w:tc>
          <w:tcPr>
            <w:tcW w:w="188" w:type="pct"/>
            <w:tcBorders>
              <w:top w:val="nil"/>
              <w:left w:val="nil"/>
              <w:bottom w:val="nil"/>
              <w:right w:val="nil"/>
            </w:tcBorders>
          </w:tcPr>
          <w:p w14:paraId="49980A0E"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18</w:t>
            </w:r>
          </w:p>
        </w:tc>
        <w:tc>
          <w:tcPr>
            <w:tcW w:w="141" w:type="pct"/>
            <w:tcBorders>
              <w:top w:val="nil"/>
              <w:left w:val="nil"/>
              <w:bottom w:val="nil"/>
              <w:right w:val="nil"/>
            </w:tcBorders>
            <w:shd w:val="clear" w:color="auto" w:fill="auto"/>
            <w:vAlign w:val="bottom"/>
          </w:tcPr>
          <w:p w14:paraId="68C691DA" w14:textId="30546D8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28</w:t>
            </w:r>
          </w:p>
        </w:tc>
        <w:tc>
          <w:tcPr>
            <w:tcW w:w="141" w:type="pct"/>
            <w:tcBorders>
              <w:top w:val="nil"/>
              <w:left w:val="nil"/>
              <w:bottom w:val="nil"/>
              <w:right w:val="nil"/>
            </w:tcBorders>
            <w:shd w:val="clear" w:color="auto" w:fill="auto"/>
            <w:vAlign w:val="bottom"/>
          </w:tcPr>
          <w:p w14:paraId="24D63F13" w14:textId="31FB19B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67</w:t>
            </w:r>
          </w:p>
        </w:tc>
        <w:tc>
          <w:tcPr>
            <w:tcW w:w="141" w:type="pct"/>
            <w:tcBorders>
              <w:top w:val="nil"/>
              <w:left w:val="nil"/>
              <w:bottom w:val="nil"/>
              <w:right w:val="nil"/>
            </w:tcBorders>
            <w:shd w:val="clear" w:color="auto" w:fill="auto"/>
            <w:vAlign w:val="bottom"/>
          </w:tcPr>
          <w:p w14:paraId="4A3E7E70" w14:textId="0915EEA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123</w:t>
            </w:r>
          </w:p>
        </w:tc>
        <w:tc>
          <w:tcPr>
            <w:tcW w:w="141" w:type="pct"/>
            <w:tcBorders>
              <w:top w:val="nil"/>
              <w:left w:val="nil"/>
              <w:bottom w:val="nil"/>
              <w:right w:val="nil"/>
            </w:tcBorders>
            <w:shd w:val="clear" w:color="auto" w:fill="auto"/>
            <w:vAlign w:val="bottom"/>
          </w:tcPr>
          <w:p w14:paraId="5A8573EA" w14:textId="297225F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142</w:t>
            </w:r>
          </w:p>
        </w:tc>
        <w:tc>
          <w:tcPr>
            <w:tcW w:w="141" w:type="pct"/>
            <w:tcBorders>
              <w:top w:val="nil"/>
              <w:left w:val="nil"/>
              <w:bottom w:val="nil"/>
              <w:right w:val="nil"/>
            </w:tcBorders>
            <w:shd w:val="clear" w:color="auto" w:fill="auto"/>
            <w:vAlign w:val="bottom"/>
          </w:tcPr>
          <w:p w14:paraId="4CBCC10F" w14:textId="1B2804C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149</w:t>
            </w:r>
          </w:p>
        </w:tc>
        <w:tc>
          <w:tcPr>
            <w:tcW w:w="141" w:type="pct"/>
            <w:tcBorders>
              <w:top w:val="nil"/>
              <w:left w:val="nil"/>
              <w:bottom w:val="nil"/>
              <w:right w:val="nil"/>
            </w:tcBorders>
            <w:shd w:val="clear" w:color="auto" w:fill="auto"/>
            <w:vAlign w:val="bottom"/>
          </w:tcPr>
          <w:p w14:paraId="00472941" w14:textId="059C2B6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163</w:t>
            </w:r>
          </w:p>
        </w:tc>
        <w:tc>
          <w:tcPr>
            <w:tcW w:w="141" w:type="pct"/>
            <w:tcBorders>
              <w:top w:val="nil"/>
              <w:left w:val="nil"/>
              <w:bottom w:val="nil"/>
              <w:right w:val="nil"/>
            </w:tcBorders>
            <w:shd w:val="clear" w:color="auto" w:fill="auto"/>
            <w:vAlign w:val="bottom"/>
          </w:tcPr>
          <w:p w14:paraId="45065D0F" w14:textId="5339AB5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236</w:t>
            </w:r>
          </w:p>
        </w:tc>
        <w:tc>
          <w:tcPr>
            <w:tcW w:w="141" w:type="pct"/>
            <w:tcBorders>
              <w:top w:val="nil"/>
              <w:left w:val="nil"/>
              <w:bottom w:val="nil"/>
              <w:right w:val="nil"/>
            </w:tcBorders>
            <w:shd w:val="clear" w:color="auto" w:fill="auto"/>
            <w:vAlign w:val="bottom"/>
          </w:tcPr>
          <w:p w14:paraId="202CD601" w14:textId="666F06C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351</w:t>
            </w:r>
          </w:p>
        </w:tc>
        <w:tc>
          <w:tcPr>
            <w:tcW w:w="141" w:type="pct"/>
            <w:tcBorders>
              <w:top w:val="nil"/>
              <w:left w:val="nil"/>
              <w:bottom w:val="nil"/>
              <w:right w:val="nil"/>
            </w:tcBorders>
            <w:shd w:val="clear" w:color="auto" w:fill="auto"/>
            <w:vAlign w:val="bottom"/>
          </w:tcPr>
          <w:p w14:paraId="731AA626" w14:textId="4C64599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402</w:t>
            </w:r>
          </w:p>
        </w:tc>
        <w:tc>
          <w:tcPr>
            <w:tcW w:w="141" w:type="pct"/>
            <w:tcBorders>
              <w:top w:val="nil"/>
              <w:left w:val="nil"/>
              <w:bottom w:val="nil"/>
              <w:right w:val="nil"/>
            </w:tcBorders>
            <w:shd w:val="clear" w:color="auto" w:fill="auto"/>
            <w:vAlign w:val="bottom"/>
          </w:tcPr>
          <w:p w14:paraId="6064EC13" w14:textId="40CDA00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470</w:t>
            </w:r>
          </w:p>
        </w:tc>
        <w:tc>
          <w:tcPr>
            <w:tcW w:w="141" w:type="pct"/>
            <w:tcBorders>
              <w:top w:val="nil"/>
              <w:left w:val="nil"/>
              <w:bottom w:val="nil"/>
              <w:right w:val="nil"/>
            </w:tcBorders>
            <w:shd w:val="clear" w:color="auto" w:fill="auto"/>
            <w:vAlign w:val="bottom"/>
          </w:tcPr>
          <w:p w14:paraId="1AC180E0" w14:textId="2B81839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545</w:t>
            </w:r>
          </w:p>
        </w:tc>
        <w:tc>
          <w:tcPr>
            <w:tcW w:w="141" w:type="pct"/>
            <w:tcBorders>
              <w:top w:val="nil"/>
              <w:left w:val="nil"/>
              <w:bottom w:val="nil"/>
              <w:right w:val="nil"/>
            </w:tcBorders>
            <w:shd w:val="clear" w:color="auto" w:fill="auto"/>
            <w:vAlign w:val="bottom"/>
          </w:tcPr>
          <w:p w14:paraId="0C79E167" w14:textId="22A1F72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672</w:t>
            </w:r>
          </w:p>
        </w:tc>
        <w:tc>
          <w:tcPr>
            <w:tcW w:w="141" w:type="pct"/>
            <w:tcBorders>
              <w:top w:val="nil"/>
              <w:left w:val="nil"/>
              <w:bottom w:val="nil"/>
              <w:right w:val="nil"/>
            </w:tcBorders>
            <w:shd w:val="clear" w:color="auto" w:fill="auto"/>
            <w:vAlign w:val="bottom"/>
          </w:tcPr>
          <w:p w14:paraId="3AC8DF98" w14:textId="3A94191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766</w:t>
            </w:r>
          </w:p>
        </w:tc>
        <w:tc>
          <w:tcPr>
            <w:tcW w:w="141" w:type="pct"/>
            <w:tcBorders>
              <w:top w:val="nil"/>
              <w:left w:val="nil"/>
              <w:bottom w:val="nil"/>
              <w:right w:val="nil"/>
            </w:tcBorders>
            <w:shd w:val="clear" w:color="auto" w:fill="auto"/>
            <w:vAlign w:val="bottom"/>
          </w:tcPr>
          <w:p w14:paraId="4736A661" w14:textId="6280234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726</w:t>
            </w:r>
          </w:p>
        </w:tc>
        <w:tc>
          <w:tcPr>
            <w:tcW w:w="141" w:type="pct"/>
            <w:tcBorders>
              <w:top w:val="nil"/>
              <w:left w:val="nil"/>
              <w:bottom w:val="nil"/>
              <w:right w:val="nil"/>
            </w:tcBorders>
            <w:shd w:val="clear" w:color="auto" w:fill="auto"/>
            <w:vAlign w:val="bottom"/>
          </w:tcPr>
          <w:p w14:paraId="1699C11D" w14:textId="68D6453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664</w:t>
            </w:r>
          </w:p>
        </w:tc>
        <w:tc>
          <w:tcPr>
            <w:tcW w:w="141" w:type="pct"/>
            <w:tcBorders>
              <w:top w:val="nil"/>
              <w:left w:val="nil"/>
              <w:bottom w:val="nil"/>
              <w:right w:val="nil"/>
            </w:tcBorders>
            <w:shd w:val="clear" w:color="auto" w:fill="auto"/>
            <w:vAlign w:val="bottom"/>
          </w:tcPr>
          <w:p w14:paraId="23924244" w14:textId="7F293FF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595</w:t>
            </w:r>
          </w:p>
        </w:tc>
        <w:tc>
          <w:tcPr>
            <w:tcW w:w="141" w:type="pct"/>
            <w:tcBorders>
              <w:top w:val="nil"/>
              <w:left w:val="nil"/>
              <w:bottom w:val="nil"/>
              <w:right w:val="nil"/>
            </w:tcBorders>
            <w:shd w:val="clear" w:color="auto" w:fill="auto"/>
            <w:vAlign w:val="bottom"/>
          </w:tcPr>
          <w:p w14:paraId="3D04DE2E" w14:textId="6C86E3E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386</w:t>
            </w:r>
          </w:p>
        </w:tc>
        <w:tc>
          <w:tcPr>
            <w:tcW w:w="141" w:type="pct"/>
            <w:tcBorders>
              <w:top w:val="nil"/>
              <w:left w:val="nil"/>
              <w:bottom w:val="nil"/>
              <w:right w:val="nil"/>
            </w:tcBorders>
            <w:shd w:val="clear" w:color="auto" w:fill="auto"/>
            <w:vAlign w:val="bottom"/>
          </w:tcPr>
          <w:p w14:paraId="7ECC5C61" w14:textId="0DE20FB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97</w:t>
            </w:r>
          </w:p>
        </w:tc>
        <w:tc>
          <w:tcPr>
            <w:tcW w:w="141" w:type="pct"/>
            <w:tcBorders>
              <w:top w:val="nil"/>
              <w:left w:val="nil"/>
              <w:bottom w:val="nil"/>
              <w:right w:val="nil"/>
            </w:tcBorders>
            <w:shd w:val="clear" w:color="auto" w:fill="auto"/>
            <w:vAlign w:val="bottom"/>
          </w:tcPr>
          <w:p w14:paraId="0100F4F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CC3829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375142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D91E2F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0BDA71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6BFEEC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C37A96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E6A047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43A50B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C36CC7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D4E476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6F16C66F"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57C7862F"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1C73AEA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1CFF7CD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1064B426" w14:textId="4E41DD4D"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6582</w:t>
            </w:r>
          </w:p>
        </w:tc>
      </w:tr>
      <w:tr w:rsidR="00F4063A" w:rsidRPr="003E4580" w14:paraId="1E14D0FC" w14:textId="77777777" w:rsidTr="00F4063A">
        <w:tc>
          <w:tcPr>
            <w:tcW w:w="188" w:type="pct"/>
            <w:tcBorders>
              <w:top w:val="nil"/>
              <w:left w:val="nil"/>
              <w:bottom w:val="nil"/>
              <w:right w:val="nil"/>
            </w:tcBorders>
          </w:tcPr>
          <w:p w14:paraId="3182AC44"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19</w:t>
            </w:r>
          </w:p>
        </w:tc>
        <w:tc>
          <w:tcPr>
            <w:tcW w:w="141" w:type="pct"/>
            <w:tcBorders>
              <w:top w:val="nil"/>
              <w:left w:val="nil"/>
              <w:bottom w:val="nil"/>
              <w:right w:val="nil"/>
            </w:tcBorders>
            <w:shd w:val="clear" w:color="auto" w:fill="auto"/>
            <w:vAlign w:val="bottom"/>
          </w:tcPr>
          <w:p w14:paraId="7D178305" w14:textId="694CCE3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27</w:t>
            </w:r>
          </w:p>
        </w:tc>
        <w:tc>
          <w:tcPr>
            <w:tcW w:w="141" w:type="pct"/>
            <w:tcBorders>
              <w:top w:val="nil"/>
              <w:left w:val="nil"/>
              <w:bottom w:val="nil"/>
              <w:right w:val="nil"/>
            </w:tcBorders>
            <w:shd w:val="clear" w:color="auto" w:fill="auto"/>
            <w:vAlign w:val="bottom"/>
          </w:tcPr>
          <w:p w14:paraId="0A0A5141" w14:textId="428EFD9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67</w:t>
            </w:r>
          </w:p>
        </w:tc>
        <w:tc>
          <w:tcPr>
            <w:tcW w:w="141" w:type="pct"/>
            <w:tcBorders>
              <w:top w:val="nil"/>
              <w:left w:val="nil"/>
              <w:bottom w:val="nil"/>
              <w:right w:val="nil"/>
            </w:tcBorders>
            <w:shd w:val="clear" w:color="auto" w:fill="auto"/>
            <w:vAlign w:val="bottom"/>
          </w:tcPr>
          <w:p w14:paraId="48DBD699" w14:textId="02A3C19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92</w:t>
            </w:r>
          </w:p>
        </w:tc>
        <w:tc>
          <w:tcPr>
            <w:tcW w:w="141" w:type="pct"/>
            <w:tcBorders>
              <w:top w:val="nil"/>
              <w:left w:val="nil"/>
              <w:bottom w:val="nil"/>
              <w:right w:val="nil"/>
            </w:tcBorders>
            <w:shd w:val="clear" w:color="auto" w:fill="auto"/>
            <w:vAlign w:val="bottom"/>
          </w:tcPr>
          <w:p w14:paraId="34C476F6" w14:textId="5F46334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118</w:t>
            </w:r>
          </w:p>
        </w:tc>
        <w:tc>
          <w:tcPr>
            <w:tcW w:w="141" w:type="pct"/>
            <w:tcBorders>
              <w:top w:val="nil"/>
              <w:left w:val="nil"/>
              <w:bottom w:val="nil"/>
              <w:right w:val="nil"/>
            </w:tcBorders>
            <w:shd w:val="clear" w:color="auto" w:fill="auto"/>
            <w:vAlign w:val="bottom"/>
          </w:tcPr>
          <w:p w14:paraId="70148ADD" w14:textId="232A86A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131</w:t>
            </w:r>
          </w:p>
        </w:tc>
        <w:tc>
          <w:tcPr>
            <w:tcW w:w="141" w:type="pct"/>
            <w:tcBorders>
              <w:top w:val="nil"/>
              <w:left w:val="nil"/>
              <w:bottom w:val="nil"/>
              <w:right w:val="nil"/>
            </w:tcBorders>
            <w:shd w:val="clear" w:color="auto" w:fill="auto"/>
            <w:vAlign w:val="bottom"/>
          </w:tcPr>
          <w:p w14:paraId="5F2035C5" w14:textId="5E946E5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155</w:t>
            </w:r>
          </w:p>
        </w:tc>
        <w:tc>
          <w:tcPr>
            <w:tcW w:w="141" w:type="pct"/>
            <w:tcBorders>
              <w:top w:val="nil"/>
              <w:left w:val="nil"/>
              <w:bottom w:val="nil"/>
              <w:right w:val="nil"/>
            </w:tcBorders>
            <w:shd w:val="clear" w:color="auto" w:fill="auto"/>
            <w:vAlign w:val="bottom"/>
          </w:tcPr>
          <w:p w14:paraId="71BBBF93" w14:textId="7F59BC4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169</w:t>
            </w:r>
          </w:p>
        </w:tc>
        <w:tc>
          <w:tcPr>
            <w:tcW w:w="141" w:type="pct"/>
            <w:tcBorders>
              <w:top w:val="nil"/>
              <w:left w:val="nil"/>
              <w:bottom w:val="nil"/>
              <w:right w:val="nil"/>
            </w:tcBorders>
            <w:shd w:val="clear" w:color="auto" w:fill="auto"/>
            <w:vAlign w:val="bottom"/>
          </w:tcPr>
          <w:p w14:paraId="4AB151A7" w14:textId="30998E6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246</w:t>
            </w:r>
          </w:p>
        </w:tc>
        <w:tc>
          <w:tcPr>
            <w:tcW w:w="141" w:type="pct"/>
            <w:tcBorders>
              <w:top w:val="nil"/>
              <w:left w:val="nil"/>
              <w:bottom w:val="nil"/>
              <w:right w:val="nil"/>
            </w:tcBorders>
            <w:shd w:val="clear" w:color="auto" w:fill="auto"/>
            <w:vAlign w:val="bottom"/>
          </w:tcPr>
          <w:p w14:paraId="0F965933" w14:textId="0DF889F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366</w:t>
            </w:r>
          </w:p>
        </w:tc>
        <w:tc>
          <w:tcPr>
            <w:tcW w:w="141" w:type="pct"/>
            <w:tcBorders>
              <w:top w:val="nil"/>
              <w:left w:val="nil"/>
              <w:bottom w:val="nil"/>
              <w:right w:val="nil"/>
            </w:tcBorders>
            <w:shd w:val="clear" w:color="auto" w:fill="auto"/>
            <w:vAlign w:val="bottom"/>
          </w:tcPr>
          <w:p w14:paraId="15E8B1BA" w14:textId="12D28BD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419</w:t>
            </w:r>
          </w:p>
        </w:tc>
        <w:tc>
          <w:tcPr>
            <w:tcW w:w="141" w:type="pct"/>
            <w:tcBorders>
              <w:top w:val="nil"/>
              <w:left w:val="nil"/>
              <w:bottom w:val="nil"/>
              <w:right w:val="nil"/>
            </w:tcBorders>
            <w:shd w:val="clear" w:color="auto" w:fill="auto"/>
            <w:vAlign w:val="bottom"/>
          </w:tcPr>
          <w:p w14:paraId="1AF6E8E4" w14:textId="324ADA1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490</w:t>
            </w:r>
          </w:p>
        </w:tc>
        <w:tc>
          <w:tcPr>
            <w:tcW w:w="141" w:type="pct"/>
            <w:tcBorders>
              <w:top w:val="nil"/>
              <w:left w:val="nil"/>
              <w:bottom w:val="nil"/>
              <w:right w:val="nil"/>
            </w:tcBorders>
            <w:shd w:val="clear" w:color="auto" w:fill="auto"/>
            <w:vAlign w:val="bottom"/>
          </w:tcPr>
          <w:p w14:paraId="0D512EC6" w14:textId="7C9EA12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568</w:t>
            </w:r>
          </w:p>
        </w:tc>
        <w:tc>
          <w:tcPr>
            <w:tcW w:w="141" w:type="pct"/>
            <w:tcBorders>
              <w:top w:val="nil"/>
              <w:left w:val="nil"/>
              <w:bottom w:val="nil"/>
              <w:right w:val="nil"/>
            </w:tcBorders>
            <w:shd w:val="clear" w:color="auto" w:fill="auto"/>
            <w:vAlign w:val="bottom"/>
          </w:tcPr>
          <w:p w14:paraId="7E7C2164" w14:textId="6C98BFA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700</w:t>
            </w:r>
          </w:p>
        </w:tc>
        <w:tc>
          <w:tcPr>
            <w:tcW w:w="141" w:type="pct"/>
            <w:tcBorders>
              <w:top w:val="nil"/>
              <w:left w:val="nil"/>
              <w:bottom w:val="nil"/>
              <w:right w:val="nil"/>
            </w:tcBorders>
            <w:shd w:val="clear" w:color="auto" w:fill="auto"/>
            <w:vAlign w:val="bottom"/>
          </w:tcPr>
          <w:p w14:paraId="7B19F3C2" w14:textId="3AFDB1A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799</w:t>
            </w:r>
          </w:p>
        </w:tc>
        <w:tc>
          <w:tcPr>
            <w:tcW w:w="141" w:type="pct"/>
            <w:tcBorders>
              <w:top w:val="nil"/>
              <w:left w:val="nil"/>
              <w:bottom w:val="nil"/>
              <w:right w:val="nil"/>
            </w:tcBorders>
            <w:shd w:val="clear" w:color="auto" w:fill="auto"/>
            <w:vAlign w:val="bottom"/>
          </w:tcPr>
          <w:p w14:paraId="2DA95230" w14:textId="50DEB9A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734</w:t>
            </w:r>
          </w:p>
        </w:tc>
        <w:tc>
          <w:tcPr>
            <w:tcW w:w="141" w:type="pct"/>
            <w:tcBorders>
              <w:top w:val="nil"/>
              <w:left w:val="nil"/>
              <w:bottom w:val="nil"/>
              <w:right w:val="nil"/>
            </w:tcBorders>
            <w:shd w:val="clear" w:color="auto" w:fill="auto"/>
            <w:vAlign w:val="bottom"/>
          </w:tcPr>
          <w:p w14:paraId="53C2C6E4" w14:textId="0B85C51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648</w:t>
            </w:r>
          </w:p>
        </w:tc>
        <w:tc>
          <w:tcPr>
            <w:tcW w:w="141" w:type="pct"/>
            <w:tcBorders>
              <w:top w:val="nil"/>
              <w:left w:val="nil"/>
              <w:bottom w:val="nil"/>
              <w:right w:val="nil"/>
            </w:tcBorders>
            <w:shd w:val="clear" w:color="auto" w:fill="auto"/>
            <w:vAlign w:val="bottom"/>
          </w:tcPr>
          <w:p w14:paraId="7254EF4B" w14:textId="25E5DEE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580</w:t>
            </w:r>
          </w:p>
        </w:tc>
        <w:tc>
          <w:tcPr>
            <w:tcW w:w="141" w:type="pct"/>
            <w:tcBorders>
              <w:top w:val="nil"/>
              <w:left w:val="nil"/>
              <w:bottom w:val="nil"/>
              <w:right w:val="nil"/>
            </w:tcBorders>
            <w:shd w:val="clear" w:color="auto" w:fill="auto"/>
            <w:vAlign w:val="bottom"/>
          </w:tcPr>
          <w:p w14:paraId="3F6D019D" w14:textId="7EA48FC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376</w:t>
            </w:r>
          </w:p>
        </w:tc>
        <w:tc>
          <w:tcPr>
            <w:tcW w:w="141" w:type="pct"/>
            <w:tcBorders>
              <w:top w:val="nil"/>
              <w:left w:val="nil"/>
              <w:bottom w:val="nil"/>
              <w:right w:val="nil"/>
            </w:tcBorders>
            <w:shd w:val="clear" w:color="auto" w:fill="auto"/>
            <w:vAlign w:val="bottom"/>
          </w:tcPr>
          <w:p w14:paraId="53E3B721" w14:textId="0A2C423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95</w:t>
            </w:r>
          </w:p>
        </w:tc>
        <w:tc>
          <w:tcPr>
            <w:tcW w:w="141" w:type="pct"/>
            <w:tcBorders>
              <w:top w:val="nil"/>
              <w:left w:val="nil"/>
              <w:bottom w:val="nil"/>
              <w:right w:val="nil"/>
            </w:tcBorders>
            <w:shd w:val="clear" w:color="auto" w:fill="auto"/>
            <w:vAlign w:val="bottom"/>
          </w:tcPr>
          <w:p w14:paraId="61F557A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C31C79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CC2BEB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61BBB5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0EFB7C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76B053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FB415B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AB1647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269285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73D610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58C03810"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133949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12D7D8A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7D9EF47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5615D18C" w14:textId="4FD3C384"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6780</w:t>
            </w:r>
          </w:p>
        </w:tc>
      </w:tr>
      <w:tr w:rsidR="00F4063A" w:rsidRPr="003E4580" w14:paraId="20990D1C" w14:textId="77777777" w:rsidTr="00F4063A">
        <w:tc>
          <w:tcPr>
            <w:tcW w:w="188" w:type="pct"/>
            <w:tcBorders>
              <w:top w:val="nil"/>
              <w:left w:val="nil"/>
              <w:bottom w:val="nil"/>
              <w:right w:val="nil"/>
            </w:tcBorders>
          </w:tcPr>
          <w:p w14:paraId="1FA22752"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20</w:t>
            </w:r>
          </w:p>
        </w:tc>
        <w:tc>
          <w:tcPr>
            <w:tcW w:w="141" w:type="pct"/>
            <w:tcBorders>
              <w:top w:val="nil"/>
              <w:left w:val="nil"/>
              <w:bottom w:val="nil"/>
              <w:right w:val="nil"/>
            </w:tcBorders>
            <w:shd w:val="clear" w:color="auto" w:fill="auto"/>
            <w:vAlign w:val="bottom"/>
          </w:tcPr>
          <w:p w14:paraId="2ACB2B1D" w14:textId="317BE32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30</w:t>
            </w:r>
          </w:p>
        </w:tc>
        <w:tc>
          <w:tcPr>
            <w:tcW w:w="141" w:type="pct"/>
            <w:tcBorders>
              <w:top w:val="nil"/>
              <w:left w:val="nil"/>
              <w:bottom w:val="nil"/>
              <w:right w:val="nil"/>
            </w:tcBorders>
            <w:shd w:val="clear" w:color="auto" w:fill="auto"/>
            <w:vAlign w:val="bottom"/>
          </w:tcPr>
          <w:p w14:paraId="4F41C576" w14:textId="78C5EAA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63</w:t>
            </w:r>
          </w:p>
        </w:tc>
        <w:tc>
          <w:tcPr>
            <w:tcW w:w="141" w:type="pct"/>
            <w:tcBorders>
              <w:top w:val="nil"/>
              <w:left w:val="nil"/>
              <w:bottom w:val="nil"/>
              <w:right w:val="nil"/>
            </w:tcBorders>
            <w:shd w:val="clear" w:color="auto" w:fill="auto"/>
            <w:vAlign w:val="bottom"/>
          </w:tcPr>
          <w:p w14:paraId="2941161D" w14:textId="5BC86EF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93</w:t>
            </w:r>
          </w:p>
        </w:tc>
        <w:tc>
          <w:tcPr>
            <w:tcW w:w="141" w:type="pct"/>
            <w:tcBorders>
              <w:top w:val="nil"/>
              <w:left w:val="nil"/>
              <w:bottom w:val="nil"/>
              <w:right w:val="nil"/>
            </w:tcBorders>
            <w:shd w:val="clear" w:color="auto" w:fill="auto"/>
            <w:vAlign w:val="bottom"/>
          </w:tcPr>
          <w:p w14:paraId="40FA0CA2" w14:textId="3357149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88</w:t>
            </w:r>
          </w:p>
        </w:tc>
        <w:tc>
          <w:tcPr>
            <w:tcW w:w="141" w:type="pct"/>
            <w:tcBorders>
              <w:top w:val="nil"/>
              <w:left w:val="nil"/>
              <w:bottom w:val="nil"/>
              <w:right w:val="nil"/>
            </w:tcBorders>
            <w:shd w:val="clear" w:color="auto" w:fill="auto"/>
            <w:vAlign w:val="bottom"/>
          </w:tcPr>
          <w:p w14:paraId="53C3823C" w14:textId="2EBCAFA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109</w:t>
            </w:r>
          </w:p>
        </w:tc>
        <w:tc>
          <w:tcPr>
            <w:tcW w:w="141" w:type="pct"/>
            <w:tcBorders>
              <w:top w:val="nil"/>
              <w:left w:val="nil"/>
              <w:bottom w:val="nil"/>
              <w:right w:val="nil"/>
            </w:tcBorders>
            <w:shd w:val="clear" w:color="auto" w:fill="auto"/>
            <w:vAlign w:val="bottom"/>
          </w:tcPr>
          <w:p w14:paraId="0E681A68" w14:textId="319525D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137</w:t>
            </w:r>
          </w:p>
        </w:tc>
        <w:tc>
          <w:tcPr>
            <w:tcW w:w="141" w:type="pct"/>
            <w:tcBorders>
              <w:top w:val="nil"/>
              <w:left w:val="nil"/>
              <w:bottom w:val="nil"/>
              <w:right w:val="nil"/>
            </w:tcBorders>
            <w:shd w:val="clear" w:color="auto" w:fill="auto"/>
            <w:vAlign w:val="bottom"/>
          </w:tcPr>
          <w:p w14:paraId="4AC9BCC1" w14:textId="41DA731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161</w:t>
            </w:r>
          </w:p>
        </w:tc>
        <w:tc>
          <w:tcPr>
            <w:tcW w:w="141" w:type="pct"/>
            <w:tcBorders>
              <w:top w:val="nil"/>
              <w:left w:val="nil"/>
              <w:bottom w:val="nil"/>
              <w:right w:val="nil"/>
            </w:tcBorders>
            <w:shd w:val="clear" w:color="auto" w:fill="auto"/>
            <w:vAlign w:val="bottom"/>
          </w:tcPr>
          <w:p w14:paraId="385B2210" w14:textId="747E111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177</w:t>
            </w:r>
          </w:p>
        </w:tc>
        <w:tc>
          <w:tcPr>
            <w:tcW w:w="141" w:type="pct"/>
            <w:tcBorders>
              <w:top w:val="nil"/>
              <w:left w:val="nil"/>
              <w:bottom w:val="nil"/>
              <w:right w:val="nil"/>
            </w:tcBorders>
            <w:shd w:val="clear" w:color="auto" w:fill="auto"/>
            <w:vAlign w:val="bottom"/>
          </w:tcPr>
          <w:p w14:paraId="1B369383" w14:textId="2362BA7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256</w:t>
            </w:r>
          </w:p>
        </w:tc>
        <w:tc>
          <w:tcPr>
            <w:tcW w:w="141" w:type="pct"/>
            <w:tcBorders>
              <w:top w:val="nil"/>
              <w:left w:val="nil"/>
              <w:bottom w:val="nil"/>
              <w:right w:val="nil"/>
            </w:tcBorders>
            <w:shd w:val="clear" w:color="auto" w:fill="auto"/>
            <w:vAlign w:val="bottom"/>
          </w:tcPr>
          <w:p w14:paraId="17C5B7F3" w14:textId="1D97F45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382</w:t>
            </w:r>
          </w:p>
        </w:tc>
        <w:tc>
          <w:tcPr>
            <w:tcW w:w="141" w:type="pct"/>
            <w:tcBorders>
              <w:top w:val="nil"/>
              <w:left w:val="nil"/>
              <w:bottom w:val="nil"/>
              <w:right w:val="nil"/>
            </w:tcBorders>
            <w:shd w:val="clear" w:color="auto" w:fill="auto"/>
            <w:vAlign w:val="bottom"/>
          </w:tcPr>
          <w:p w14:paraId="172E90F7" w14:textId="6985A5A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436</w:t>
            </w:r>
          </w:p>
        </w:tc>
        <w:tc>
          <w:tcPr>
            <w:tcW w:w="141" w:type="pct"/>
            <w:tcBorders>
              <w:top w:val="nil"/>
              <w:left w:val="nil"/>
              <w:bottom w:val="nil"/>
              <w:right w:val="nil"/>
            </w:tcBorders>
            <w:shd w:val="clear" w:color="auto" w:fill="auto"/>
            <w:vAlign w:val="bottom"/>
          </w:tcPr>
          <w:p w14:paraId="707C033B" w14:textId="47305DF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510</w:t>
            </w:r>
          </w:p>
        </w:tc>
        <w:tc>
          <w:tcPr>
            <w:tcW w:w="141" w:type="pct"/>
            <w:tcBorders>
              <w:top w:val="nil"/>
              <w:left w:val="nil"/>
              <w:bottom w:val="nil"/>
              <w:right w:val="nil"/>
            </w:tcBorders>
            <w:shd w:val="clear" w:color="auto" w:fill="auto"/>
            <w:vAlign w:val="bottom"/>
          </w:tcPr>
          <w:p w14:paraId="6094F4C7" w14:textId="2591C15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592</w:t>
            </w:r>
          </w:p>
        </w:tc>
        <w:tc>
          <w:tcPr>
            <w:tcW w:w="141" w:type="pct"/>
            <w:tcBorders>
              <w:top w:val="nil"/>
              <w:left w:val="nil"/>
              <w:bottom w:val="nil"/>
              <w:right w:val="nil"/>
            </w:tcBorders>
            <w:shd w:val="clear" w:color="auto" w:fill="auto"/>
            <w:vAlign w:val="bottom"/>
          </w:tcPr>
          <w:p w14:paraId="4D7F6A5B" w14:textId="63B2328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730</w:t>
            </w:r>
          </w:p>
        </w:tc>
        <w:tc>
          <w:tcPr>
            <w:tcW w:w="141" w:type="pct"/>
            <w:tcBorders>
              <w:top w:val="nil"/>
              <w:left w:val="nil"/>
              <w:bottom w:val="nil"/>
              <w:right w:val="nil"/>
            </w:tcBorders>
            <w:shd w:val="clear" w:color="auto" w:fill="auto"/>
            <w:vAlign w:val="bottom"/>
          </w:tcPr>
          <w:p w14:paraId="2C200CC3" w14:textId="4649CA7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808</w:t>
            </w:r>
          </w:p>
        </w:tc>
        <w:tc>
          <w:tcPr>
            <w:tcW w:w="141" w:type="pct"/>
            <w:tcBorders>
              <w:top w:val="nil"/>
              <w:left w:val="nil"/>
              <w:bottom w:val="nil"/>
              <w:right w:val="nil"/>
            </w:tcBorders>
            <w:shd w:val="clear" w:color="auto" w:fill="auto"/>
            <w:vAlign w:val="bottom"/>
          </w:tcPr>
          <w:p w14:paraId="6496574D" w14:textId="4DD0F3C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717</w:t>
            </w:r>
          </w:p>
        </w:tc>
        <w:tc>
          <w:tcPr>
            <w:tcW w:w="141" w:type="pct"/>
            <w:tcBorders>
              <w:top w:val="nil"/>
              <w:left w:val="nil"/>
              <w:bottom w:val="nil"/>
              <w:right w:val="nil"/>
            </w:tcBorders>
            <w:shd w:val="clear" w:color="auto" w:fill="auto"/>
            <w:vAlign w:val="bottom"/>
          </w:tcPr>
          <w:p w14:paraId="76A0033B" w14:textId="6424758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632</w:t>
            </w:r>
          </w:p>
        </w:tc>
        <w:tc>
          <w:tcPr>
            <w:tcW w:w="141" w:type="pct"/>
            <w:tcBorders>
              <w:top w:val="nil"/>
              <w:left w:val="nil"/>
              <w:bottom w:val="nil"/>
              <w:right w:val="nil"/>
            </w:tcBorders>
            <w:shd w:val="clear" w:color="auto" w:fill="auto"/>
            <w:vAlign w:val="bottom"/>
          </w:tcPr>
          <w:p w14:paraId="73A8DB9A" w14:textId="65BE89C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564</w:t>
            </w:r>
          </w:p>
        </w:tc>
        <w:tc>
          <w:tcPr>
            <w:tcW w:w="141" w:type="pct"/>
            <w:tcBorders>
              <w:top w:val="nil"/>
              <w:left w:val="nil"/>
              <w:bottom w:val="nil"/>
              <w:right w:val="nil"/>
            </w:tcBorders>
            <w:shd w:val="clear" w:color="auto" w:fill="auto"/>
            <w:vAlign w:val="bottom"/>
          </w:tcPr>
          <w:p w14:paraId="2FFD95D0" w14:textId="59B84BD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365</w:t>
            </w:r>
          </w:p>
        </w:tc>
        <w:tc>
          <w:tcPr>
            <w:tcW w:w="141" w:type="pct"/>
            <w:tcBorders>
              <w:top w:val="nil"/>
              <w:left w:val="nil"/>
              <w:bottom w:val="nil"/>
              <w:right w:val="nil"/>
            </w:tcBorders>
            <w:shd w:val="clear" w:color="auto" w:fill="auto"/>
            <w:vAlign w:val="bottom"/>
          </w:tcPr>
          <w:p w14:paraId="2E691193" w14:textId="0E41776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92</w:t>
            </w:r>
          </w:p>
        </w:tc>
        <w:tc>
          <w:tcPr>
            <w:tcW w:w="141" w:type="pct"/>
            <w:tcBorders>
              <w:top w:val="nil"/>
              <w:left w:val="nil"/>
              <w:bottom w:val="nil"/>
              <w:right w:val="nil"/>
            </w:tcBorders>
            <w:shd w:val="clear" w:color="auto" w:fill="auto"/>
            <w:vAlign w:val="bottom"/>
          </w:tcPr>
          <w:p w14:paraId="0FD3F30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11FC12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A415B3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856393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EDD7E5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245CD5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AE4543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480476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84047C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150FA0AD"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1393C379"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26BEBC6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7E4E347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193EFDBD" w14:textId="0A00720D"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6942</w:t>
            </w:r>
          </w:p>
        </w:tc>
      </w:tr>
      <w:tr w:rsidR="00F4063A" w:rsidRPr="003E4580" w14:paraId="46121F40" w14:textId="77777777" w:rsidTr="00F4063A">
        <w:tc>
          <w:tcPr>
            <w:tcW w:w="188" w:type="pct"/>
            <w:tcBorders>
              <w:top w:val="nil"/>
              <w:left w:val="nil"/>
              <w:bottom w:val="nil"/>
              <w:right w:val="nil"/>
            </w:tcBorders>
          </w:tcPr>
          <w:p w14:paraId="2A98AFA8"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21</w:t>
            </w:r>
          </w:p>
        </w:tc>
        <w:tc>
          <w:tcPr>
            <w:tcW w:w="141" w:type="pct"/>
            <w:tcBorders>
              <w:top w:val="nil"/>
              <w:left w:val="nil"/>
              <w:bottom w:val="nil"/>
              <w:right w:val="nil"/>
            </w:tcBorders>
            <w:shd w:val="clear" w:color="auto" w:fill="auto"/>
            <w:vAlign w:val="bottom"/>
          </w:tcPr>
          <w:p w14:paraId="3E979A9F" w14:textId="17AC781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29</w:t>
            </w:r>
          </w:p>
        </w:tc>
        <w:tc>
          <w:tcPr>
            <w:tcW w:w="141" w:type="pct"/>
            <w:tcBorders>
              <w:top w:val="nil"/>
              <w:left w:val="nil"/>
              <w:bottom w:val="nil"/>
              <w:right w:val="nil"/>
            </w:tcBorders>
            <w:shd w:val="clear" w:color="auto" w:fill="auto"/>
            <w:vAlign w:val="bottom"/>
          </w:tcPr>
          <w:p w14:paraId="59139064" w14:textId="4E88921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70</w:t>
            </w:r>
          </w:p>
        </w:tc>
        <w:tc>
          <w:tcPr>
            <w:tcW w:w="141" w:type="pct"/>
            <w:tcBorders>
              <w:top w:val="nil"/>
              <w:left w:val="nil"/>
              <w:bottom w:val="nil"/>
              <w:right w:val="nil"/>
            </w:tcBorders>
            <w:shd w:val="clear" w:color="auto" w:fill="auto"/>
            <w:vAlign w:val="bottom"/>
          </w:tcPr>
          <w:p w14:paraId="5E9722DE" w14:textId="6859D7A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87</w:t>
            </w:r>
          </w:p>
        </w:tc>
        <w:tc>
          <w:tcPr>
            <w:tcW w:w="141" w:type="pct"/>
            <w:tcBorders>
              <w:top w:val="nil"/>
              <w:left w:val="nil"/>
              <w:bottom w:val="nil"/>
              <w:right w:val="nil"/>
            </w:tcBorders>
            <w:shd w:val="clear" w:color="auto" w:fill="auto"/>
            <w:vAlign w:val="bottom"/>
          </w:tcPr>
          <w:p w14:paraId="672196FB" w14:textId="59B3AE5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89</w:t>
            </w:r>
          </w:p>
        </w:tc>
        <w:tc>
          <w:tcPr>
            <w:tcW w:w="141" w:type="pct"/>
            <w:tcBorders>
              <w:top w:val="nil"/>
              <w:left w:val="nil"/>
              <w:bottom w:val="nil"/>
              <w:right w:val="nil"/>
            </w:tcBorders>
            <w:shd w:val="clear" w:color="auto" w:fill="auto"/>
            <w:vAlign w:val="bottom"/>
          </w:tcPr>
          <w:p w14:paraId="0EAA1073" w14:textId="5D34E73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81</w:t>
            </w:r>
          </w:p>
        </w:tc>
        <w:tc>
          <w:tcPr>
            <w:tcW w:w="141" w:type="pct"/>
            <w:tcBorders>
              <w:top w:val="nil"/>
              <w:left w:val="nil"/>
              <w:bottom w:val="nil"/>
              <w:right w:val="nil"/>
            </w:tcBorders>
            <w:shd w:val="clear" w:color="auto" w:fill="auto"/>
            <w:vAlign w:val="bottom"/>
          </w:tcPr>
          <w:p w14:paraId="2D45C985" w14:textId="17E964D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113</w:t>
            </w:r>
          </w:p>
        </w:tc>
        <w:tc>
          <w:tcPr>
            <w:tcW w:w="141" w:type="pct"/>
            <w:tcBorders>
              <w:top w:val="nil"/>
              <w:left w:val="nil"/>
              <w:bottom w:val="nil"/>
              <w:right w:val="nil"/>
            </w:tcBorders>
            <w:shd w:val="clear" w:color="auto" w:fill="auto"/>
            <w:vAlign w:val="bottom"/>
          </w:tcPr>
          <w:p w14:paraId="6950C091" w14:textId="6FCE609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143</w:t>
            </w:r>
          </w:p>
        </w:tc>
        <w:tc>
          <w:tcPr>
            <w:tcW w:w="141" w:type="pct"/>
            <w:tcBorders>
              <w:top w:val="nil"/>
              <w:left w:val="nil"/>
              <w:bottom w:val="nil"/>
              <w:right w:val="nil"/>
            </w:tcBorders>
            <w:shd w:val="clear" w:color="auto" w:fill="auto"/>
            <w:vAlign w:val="bottom"/>
          </w:tcPr>
          <w:p w14:paraId="59F85EEE" w14:textId="5B5DAFC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168</w:t>
            </w:r>
          </w:p>
        </w:tc>
        <w:tc>
          <w:tcPr>
            <w:tcW w:w="141" w:type="pct"/>
            <w:tcBorders>
              <w:top w:val="nil"/>
              <w:left w:val="nil"/>
              <w:bottom w:val="nil"/>
              <w:right w:val="nil"/>
            </w:tcBorders>
            <w:shd w:val="clear" w:color="auto" w:fill="auto"/>
            <w:vAlign w:val="bottom"/>
          </w:tcPr>
          <w:p w14:paraId="285EABA7" w14:textId="342CE3B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184</w:t>
            </w:r>
          </w:p>
        </w:tc>
        <w:tc>
          <w:tcPr>
            <w:tcW w:w="141" w:type="pct"/>
            <w:tcBorders>
              <w:top w:val="nil"/>
              <w:left w:val="nil"/>
              <w:bottom w:val="nil"/>
              <w:right w:val="nil"/>
            </w:tcBorders>
            <w:shd w:val="clear" w:color="auto" w:fill="auto"/>
            <w:vAlign w:val="bottom"/>
          </w:tcPr>
          <w:p w14:paraId="52EBDB51" w14:textId="3928EAC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267</w:t>
            </w:r>
          </w:p>
        </w:tc>
        <w:tc>
          <w:tcPr>
            <w:tcW w:w="141" w:type="pct"/>
            <w:tcBorders>
              <w:top w:val="nil"/>
              <w:left w:val="nil"/>
              <w:bottom w:val="nil"/>
              <w:right w:val="nil"/>
            </w:tcBorders>
            <w:shd w:val="clear" w:color="auto" w:fill="auto"/>
            <w:vAlign w:val="bottom"/>
          </w:tcPr>
          <w:p w14:paraId="3D498E5D" w14:textId="71C495F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398</w:t>
            </w:r>
          </w:p>
        </w:tc>
        <w:tc>
          <w:tcPr>
            <w:tcW w:w="141" w:type="pct"/>
            <w:tcBorders>
              <w:top w:val="nil"/>
              <w:left w:val="nil"/>
              <w:bottom w:val="nil"/>
              <w:right w:val="nil"/>
            </w:tcBorders>
            <w:shd w:val="clear" w:color="auto" w:fill="auto"/>
            <w:vAlign w:val="bottom"/>
          </w:tcPr>
          <w:p w14:paraId="49E75AC1" w14:textId="1DB9CFE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455</w:t>
            </w:r>
          </w:p>
        </w:tc>
        <w:tc>
          <w:tcPr>
            <w:tcW w:w="141" w:type="pct"/>
            <w:tcBorders>
              <w:top w:val="nil"/>
              <w:left w:val="nil"/>
              <w:bottom w:val="nil"/>
              <w:right w:val="nil"/>
            </w:tcBorders>
            <w:shd w:val="clear" w:color="auto" w:fill="auto"/>
            <w:vAlign w:val="bottom"/>
          </w:tcPr>
          <w:p w14:paraId="4B917734" w14:textId="7C69294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532</w:t>
            </w:r>
          </w:p>
        </w:tc>
        <w:tc>
          <w:tcPr>
            <w:tcW w:w="141" w:type="pct"/>
            <w:tcBorders>
              <w:top w:val="nil"/>
              <w:left w:val="nil"/>
              <w:bottom w:val="nil"/>
              <w:right w:val="nil"/>
            </w:tcBorders>
            <w:shd w:val="clear" w:color="auto" w:fill="auto"/>
            <w:vAlign w:val="bottom"/>
          </w:tcPr>
          <w:p w14:paraId="2696DE9C" w14:textId="6961859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618</w:t>
            </w:r>
          </w:p>
        </w:tc>
        <w:tc>
          <w:tcPr>
            <w:tcW w:w="141" w:type="pct"/>
            <w:tcBorders>
              <w:top w:val="nil"/>
              <w:left w:val="nil"/>
              <w:bottom w:val="nil"/>
              <w:right w:val="nil"/>
            </w:tcBorders>
            <w:shd w:val="clear" w:color="auto" w:fill="auto"/>
            <w:vAlign w:val="bottom"/>
          </w:tcPr>
          <w:p w14:paraId="04E6BC8D" w14:textId="5D50164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738</w:t>
            </w:r>
          </w:p>
        </w:tc>
        <w:tc>
          <w:tcPr>
            <w:tcW w:w="141" w:type="pct"/>
            <w:tcBorders>
              <w:top w:val="nil"/>
              <w:left w:val="nil"/>
              <w:bottom w:val="nil"/>
              <w:right w:val="nil"/>
            </w:tcBorders>
            <w:shd w:val="clear" w:color="auto" w:fill="auto"/>
            <w:vAlign w:val="bottom"/>
          </w:tcPr>
          <w:p w14:paraId="22DC1157" w14:textId="647382C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788</w:t>
            </w:r>
          </w:p>
        </w:tc>
        <w:tc>
          <w:tcPr>
            <w:tcW w:w="141" w:type="pct"/>
            <w:tcBorders>
              <w:top w:val="nil"/>
              <w:left w:val="nil"/>
              <w:bottom w:val="nil"/>
              <w:right w:val="nil"/>
            </w:tcBorders>
            <w:shd w:val="clear" w:color="auto" w:fill="auto"/>
            <w:vAlign w:val="bottom"/>
          </w:tcPr>
          <w:p w14:paraId="6F91FF35" w14:textId="54A1DBE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698</w:t>
            </w:r>
          </w:p>
        </w:tc>
        <w:tc>
          <w:tcPr>
            <w:tcW w:w="141" w:type="pct"/>
            <w:tcBorders>
              <w:top w:val="nil"/>
              <w:left w:val="nil"/>
              <w:bottom w:val="nil"/>
              <w:right w:val="nil"/>
            </w:tcBorders>
            <w:shd w:val="clear" w:color="auto" w:fill="auto"/>
            <w:vAlign w:val="bottom"/>
          </w:tcPr>
          <w:p w14:paraId="4EF894D5" w14:textId="607E139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615</w:t>
            </w:r>
          </w:p>
        </w:tc>
        <w:tc>
          <w:tcPr>
            <w:tcW w:w="141" w:type="pct"/>
            <w:tcBorders>
              <w:top w:val="nil"/>
              <w:left w:val="nil"/>
              <w:bottom w:val="nil"/>
              <w:right w:val="nil"/>
            </w:tcBorders>
            <w:shd w:val="clear" w:color="auto" w:fill="auto"/>
            <w:vAlign w:val="bottom"/>
          </w:tcPr>
          <w:p w14:paraId="31727D88" w14:textId="5FC19C0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548</w:t>
            </w:r>
          </w:p>
        </w:tc>
        <w:tc>
          <w:tcPr>
            <w:tcW w:w="141" w:type="pct"/>
            <w:tcBorders>
              <w:top w:val="nil"/>
              <w:left w:val="nil"/>
              <w:bottom w:val="nil"/>
              <w:right w:val="nil"/>
            </w:tcBorders>
            <w:shd w:val="clear" w:color="auto" w:fill="auto"/>
            <w:vAlign w:val="bottom"/>
          </w:tcPr>
          <w:p w14:paraId="10468F32" w14:textId="218BD08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354</w:t>
            </w:r>
          </w:p>
        </w:tc>
        <w:tc>
          <w:tcPr>
            <w:tcW w:w="141" w:type="pct"/>
            <w:tcBorders>
              <w:top w:val="nil"/>
              <w:left w:val="nil"/>
              <w:bottom w:val="nil"/>
              <w:right w:val="nil"/>
            </w:tcBorders>
            <w:shd w:val="clear" w:color="auto" w:fill="auto"/>
            <w:vAlign w:val="bottom"/>
          </w:tcPr>
          <w:p w14:paraId="7DF01AE5" w14:textId="0BCA801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89</w:t>
            </w:r>
          </w:p>
        </w:tc>
        <w:tc>
          <w:tcPr>
            <w:tcW w:w="141" w:type="pct"/>
            <w:tcBorders>
              <w:top w:val="nil"/>
              <w:left w:val="nil"/>
              <w:bottom w:val="nil"/>
              <w:right w:val="nil"/>
            </w:tcBorders>
            <w:shd w:val="clear" w:color="auto" w:fill="auto"/>
            <w:vAlign w:val="bottom"/>
          </w:tcPr>
          <w:p w14:paraId="7F44CA0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D089FD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EE9588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8F5B67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566C0E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202987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89FB21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1802AA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1CF0D34F"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5DE74F98"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0DE5688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34E751D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293A8BCE" w14:textId="4E24210F"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7066</w:t>
            </w:r>
          </w:p>
        </w:tc>
      </w:tr>
      <w:tr w:rsidR="00F4063A" w:rsidRPr="003E4580" w14:paraId="1267C9CE" w14:textId="77777777" w:rsidTr="00F4063A">
        <w:tc>
          <w:tcPr>
            <w:tcW w:w="188" w:type="pct"/>
            <w:tcBorders>
              <w:top w:val="nil"/>
              <w:left w:val="nil"/>
              <w:bottom w:val="nil"/>
              <w:right w:val="nil"/>
            </w:tcBorders>
          </w:tcPr>
          <w:p w14:paraId="4045A3AE"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22</w:t>
            </w:r>
          </w:p>
        </w:tc>
        <w:tc>
          <w:tcPr>
            <w:tcW w:w="141" w:type="pct"/>
            <w:tcBorders>
              <w:top w:val="nil"/>
              <w:left w:val="nil"/>
              <w:bottom w:val="nil"/>
              <w:right w:val="nil"/>
            </w:tcBorders>
            <w:shd w:val="clear" w:color="auto" w:fill="auto"/>
            <w:vAlign w:val="bottom"/>
          </w:tcPr>
          <w:p w14:paraId="4AA52459" w14:textId="519658F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23</w:t>
            </w:r>
          </w:p>
        </w:tc>
        <w:tc>
          <w:tcPr>
            <w:tcW w:w="141" w:type="pct"/>
            <w:tcBorders>
              <w:top w:val="nil"/>
              <w:left w:val="nil"/>
              <w:bottom w:val="nil"/>
              <w:right w:val="nil"/>
            </w:tcBorders>
            <w:shd w:val="clear" w:color="auto" w:fill="auto"/>
            <w:vAlign w:val="bottom"/>
          </w:tcPr>
          <w:p w14:paraId="3C7057E1" w14:textId="0FDF892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69</w:t>
            </w:r>
          </w:p>
        </w:tc>
        <w:tc>
          <w:tcPr>
            <w:tcW w:w="141" w:type="pct"/>
            <w:tcBorders>
              <w:top w:val="nil"/>
              <w:left w:val="nil"/>
              <w:bottom w:val="nil"/>
              <w:right w:val="nil"/>
            </w:tcBorders>
            <w:shd w:val="clear" w:color="auto" w:fill="auto"/>
            <w:vAlign w:val="bottom"/>
          </w:tcPr>
          <w:p w14:paraId="3CE81BA5" w14:textId="0D9D17A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97</w:t>
            </w:r>
          </w:p>
        </w:tc>
        <w:tc>
          <w:tcPr>
            <w:tcW w:w="141" w:type="pct"/>
            <w:tcBorders>
              <w:top w:val="nil"/>
              <w:left w:val="nil"/>
              <w:bottom w:val="nil"/>
              <w:right w:val="nil"/>
            </w:tcBorders>
            <w:shd w:val="clear" w:color="auto" w:fill="auto"/>
            <w:vAlign w:val="bottom"/>
          </w:tcPr>
          <w:p w14:paraId="2F7958AB" w14:textId="5EA01E0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84</w:t>
            </w:r>
          </w:p>
        </w:tc>
        <w:tc>
          <w:tcPr>
            <w:tcW w:w="141" w:type="pct"/>
            <w:tcBorders>
              <w:top w:val="nil"/>
              <w:left w:val="nil"/>
              <w:bottom w:val="nil"/>
              <w:right w:val="nil"/>
            </w:tcBorders>
            <w:shd w:val="clear" w:color="auto" w:fill="auto"/>
            <w:vAlign w:val="bottom"/>
          </w:tcPr>
          <w:p w14:paraId="5D4B55C9" w14:textId="3FACE8A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82</w:t>
            </w:r>
          </w:p>
        </w:tc>
        <w:tc>
          <w:tcPr>
            <w:tcW w:w="141" w:type="pct"/>
            <w:tcBorders>
              <w:top w:val="nil"/>
              <w:left w:val="nil"/>
              <w:bottom w:val="nil"/>
              <w:right w:val="nil"/>
            </w:tcBorders>
            <w:shd w:val="clear" w:color="auto" w:fill="auto"/>
            <w:vAlign w:val="bottom"/>
          </w:tcPr>
          <w:p w14:paraId="2E26ECAB" w14:textId="3E6BDB3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85</w:t>
            </w:r>
          </w:p>
        </w:tc>
        <w:tc>
          <w:tcPr>
            <w:tcW w:w="141" w:type="pct"/>
            <w:tcBorders>
              <w:top w:val="nil"/>
              <w:left w:val="nil"/>
              <w:bottom w:val="nil"/>
              <w:right w:val="nil"/>
            </w:tcBorders>
            <w:shd w:val="clear" w:color="auto" w:fill="auto"/>
            <w:vAlign w:val="bottom"/>
          </w:tcPr>
          <w:p w14:paraId="26521E23" w14:textId="4AC684A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118</w:t>
            </w:r>
          </w:p>
        </w:tc>
        <w:tc>
          <w:tcPr>
            <w:tcW w:w="141" w:type="pct"/>
            <w:tcBorders>
              <w:top w:val="nil"/>
              <w:left w:val="nil"/>
              <w:bottom w:val="nil"/>
              <w:right w:val="nil"/>
            </w:tcBorders>
            <w:shd w:val="clear" w:color="auto" w:fill="auto"/>
            <w:vAlign w:val="bottom"/>
          </w:tcPr>
          <w:p w14:paraId="375AD92A" w14:textId="3CDCF90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149</w:t>
            </w:r>
          </w:p>
        </w:tc>
        <w:tc>
          <w:tcPr>
            <w:tcW w:w="141" w:type="pct"/>
            <w:tcBorders>
              <w:top w:val="nil"/>
              <w:left w:val="nil"/>
              <w:bottom w:val="nil"/>
              <w:right w:val="nil"/>
            </w:tcBorders>
            <w:shd w:val="clear" w:color="auto" w:fill="auto"/>
            <w:vAlign w:val="bottom"/>
          </w:tcPr>
          <w:p w14:paraId="3349FFCB" w14:textId="044A580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175</w:t>
            </w:r>
          </w:p>
        </w:tc>
        <w:tc>
          <w:tcPr>
            <w:tcW w:w="141" w:type="pct"/>
            <w:tcBorders>
              <w:top w:val="nil"/>
              <w:left w:val="nil"/>
              <w:bottom w:val="nil"/>
              <w:right w:val="nil"/>
            </w:tcBorders>
            <w:shd w:val="clear" w:color="auto" w:fill="auto"/>
            <w:vAlign w:val="bottom"/>
          </w:tcPr>
          <w:p w14:paraId="38E6D8ED" w14:textId="331F361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192</w:t>
            </w:r>
          </w:p>
        </w:tc>
        <w:tc>
          <w:tcPr>
            <w:tcW w:w="141" w:type="pct"/>
            <w:tcBorders>
              <w:top w:val="nil"/>
              <w:left w:val="nil"/>
              <w:bottom w:val="nil"/>
              <w:right w:val="nil"/>
            </w:tcBorders>
            <w:shd w:val="clear" w:color="auto" w:fill="auto"/>
            <w:vAlign w:val="bottom"/>
          </w:tcPr>
          <w:p w14:paraId="0B1CCF32" w14:textId="4F6B09B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279</w:t>
            </w:r>
          </w:p>
        </w:tc>
        <w:tc>
          <w:tcPr>
            <w:tcW w:w="141" w:type="pct"/>
            <w:tcBorders>
              <w:top w:val="nil"/>
              <w:left w:val="nil"/>
              <w:bottom w:val="nil"/>
              <w:right w:val="nil"/>
            </w:tcBorders>
            <w:shd w:val="clear" w:color="auto" w:fill="auto"/>
            <w:vAlign w:val="bottom"/>
          </w:tcPr>
          <w:p w14:paraId="6B45757F" w14:textId="58617B6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415</w:t>
            </w:r>
          </w:p>
        </w:tc>
        <w:tc>
          <w:tcPr>
            <w:tcW w:w="141" w:type="pct"/>
            <w:tcBorders>
              <w:top w:val="nil"/>
              <w:left w:val="nil"/>
              <w:bottom w:val="nil"/>
              <w:right w:val="nil"/>
            </w:tcBorders>
            <w:shd w:val="clear" w:color="auto" w:fill="auto"/>
            <w:vAlign w:val="bottom"/>
          </w:tcPr>
          <w:p w14:paraId="62B97C26" w14:textId="2EC77C1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474</w:t>
            </w:r>
          </w:p>
        </w:tc>
        <w:tc>
          <w:tcPr>
            <w:tcW w:w="141" w:type="pct"/>
            <w:tcBorders>
              <w:top w:val="nil"/>
              <w:left w:val="nil"/>
              <w:bottom w:val="nil"/>
              <w:right w:val="nil"/>
            </w:tcBorders>
            <w:shd w:val="clear" w:color="auto" w:fill="auto"/>
            <w:vAlign w:val="bottom"/>
          </w:tcPr>
          <w:p w14:paraId="00DCB71E" w14:textId="35F0C3F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555</w:t>
            </w:r>
          </w:p>
        </w:tc>
        <w:tc>
          <w:tcPr>
            <w:tcW w:w="141" w:type="pct"/>
            <w:tcBorders>
              <w:top w:val="nil"/>
              <w:left w:val="nil"/>
              <w:bottom w:val="nil"/>
              <w:right w:val="nil"/>
            </w:tcBorders>
            <w:shd w:val="clear" w:color="auto" w:fill="auto"/>
            <w:vAlign w:val="bottom"/>
          </w:tcPr>
          <w:p w14:paraId="2E69B04C" w14:textId="7099CDD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625</w:t>
            </w:r>
          </w:p>
        </w:tc>
        <w:tc>
          <w:tcPr>
            <w:tcW w:w="141" w:type="pct"/>
            <w:tcBorders>
              <w:top w:val="nil"/>
              <w:left w:val="nil"/>
              <w:bottom w:val="nil"/>
              <w:right w:val="nil"/>
            </w:tcBorders>
            <w:shd w:val="clear" w:color="auto" w:fill="auto"/>
            <w:vAlign w:val="bottom"/>
          </w:tcPr>
          <w:p w14:paraId="279D2882" w14:textId="577B84E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720</w:t>
            </w:r>
          </w:p>
        </w:tc>
        <w:tc>
          <w:tcPr>
            <w:tcW w:w="141" w:type="pct"/>
            <w:tcBorders>
              <w:top w:val="nil"/>
              <w:left w:val="nil"/>
              <w:bottom w:val="nil"/>
              <w:right w:val="nil"/>
            </w:tcBorders>
            <w:shd w:val="clear" w:color="auto" w:fill="auto"/>
            <w:vAlign w:val="bottom"/>
          </w:tcPr>
          <w:p w14:paraId="5327BA7C" w14:textId="38A6883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768</w:t>
            </w:r>
          </w:p>
        </w:tc>
        <w:tc>
          <w:tcPr>
            <w:tcW w:w="141" w:type="pct"/>
            <w:tcBorders>
              <w:top w:val="nil"/>
              <w:left w:val="nil"/>
              <w:bottom w:val="nil"/>
              <w:right w:val="nil"/>
            </w:tcBorders>
            <w:shd w:val="clear" w:color="auto" w:fill="auto"/>
            <w:vAlign w:val="bottom"/>
          </w:tcPr>
          <w:p w14:paraId="362A1288" w14:textId="785EDA7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680</w:t>
            </w:r>
          </w:p>
        </w:tc>
        <w:tc>
          <w:tcPr>
            <w:tcW w:w="141" w:type="pct"/>
            <w:tcBorders>
              <w:top w:val="nil"/>
              <w:left w:val="nil"/>
              <w:bottom w:val="nil"/>
              <w:right w:val="nil"/>
            </w:tcBorders>
            <w:shd w:val="clear" w:color="auto" w:fill="auto"/>
            <w:vAlign w:val="bottom"/>
          </w:tcPr>
          <w:p w14:paraId="0715C7B9" w14:textId="69F0328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597</w:t>
            </w:r>
          </w:p>
        </w:tc>
        <w:tc>
          <w:tcPr>
            <w:tcW w:w="141" w:type="pct"/>
            <w:tcBorders>
              <w:top w:val="nil"/>
              <w:left w:val="nil"/>
              <w:bottom w:val="nil"/>
              <w:right w:val="nil"/>
            </w:tcBorders>
            <w:shd w:val="clear" w:color="auto" w:fill="auto"/>
            <w:vAlign w:val="bottom"/>
          </w:tcPr>
          <w:p w14:paraId="699BAF4A" w14:textId="3ECED4C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532</w:t>
            </w:r>
          </w:p>
        </w:tc>
        <w:tc>
          <w:tcPr>
            <w:tcW w:w="141" w:type="pct"/>
            <w:tcBorders>
              <w:top w:val="nil"/>
              <w:left w:val="nil"/>
              <w:bottom w:val="nil"/>
              <w:right w:val="nil"/>
            </w:tcBorders>
            <w:shd w:val="clear" w:color="auto" w:fill="auto"/>
            <w:vAlign w:val="bottom"/>
          </w:tcPr>
          <w:p w14:paraId="14A094BC" w14:textId="1FC5ECE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343</w:t>
            </w:r>
          </w:p>
        </w:tc>
        <w:tc>
          <w:tcPr>
            <w:tcW w:w="141" w:type="pct"/>
            <w:tcBorders>
              <w:top w:val="nil"/>
              <w:left w:val="nil"/>
              <w:bottom w:val="nil"/>
              <w:right w:val="nil"/>
            </w:tcBorders>
            <w:shd w:val="clear" w:color="auto" w:fill="auto"/>
            <w:vAlign w:val="bottom"/>
          </w:tcPr>
          <w:p w14:paraId="6F76A485" w14:textId="071E112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86</w:t>
            </w:r>
          </w:p>
        </w:tc>
        <w:tc>
          <w:tcPr>
            <w:tcW w:w="141" w:type="pct"/>
            <w:tcBorders>
              <w:top w:val="nil"/>
              <w:left w:val="nil"/>
              <w:bottom w:val="nil"/>
              <w:right w:val="nil"/>
            </w:tcBorders>
            <w:shd w:val="clear" w:color="auto" w:fill="auto"/>
            <w:vAlign w:val="bottom"/>
          </w:tcPr>
          <w:p w14:paraId="3592734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E5E743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89E407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A1D170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909986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027682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2D277E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7F4DCDEC"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6E1D91C"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0152E31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63DF7E2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0FF7042C" w14:textId="5B150919"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7148</w:t>
            </w:r>
          </w:p>
        </w:tc>
      </w:tr>
      <w:tr w:rsidR="00F4063A" w:rsidRPr="003E4580" w14:paraId="0D74D538" w14:textId="77777777" w:rsidTr="00F4063A">
        <w:tc>
          <w:tcPr>
            <w:tcW w:w="188" w:type="pct"/>
            <w:tcBorders>
              <w:top w:val="nil"/>
              <w:left w:val="nil"/>
              <w:bottom w:val="nil"/>
              <w:right w:val="nil"/>
            </w:tcBorders>
          </w:tcPr>
          <w:p w14:paraId="32B591B1"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23</w:t>
            </w:r>
          </w:p>
        </w:tc>
        <w:tc>
          <w:tcPr>
            <w:tcW w:w="141" w:type="pct"/>
            <w:tcBorders>
              <w:top w:val="nil"/>
              <w:left w:val="nil"/>
              <w:bottom w:val="nil"/>
              <w:right w:val="nil"/>
            </w:tcBorders>
            <w:shd w:val="clear" w:color="auto" w:fill="auto"/>
            <w:vAlign w:val="bottom"/>
          </w:tcPr>
          <w:p w14:paraId="7AA3136E" w14:textId="67654C8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w:t>
            </w:r>
          </w:p>
        </w:tc>
        <w:tc>
          <w:tcPr>
            <w:tcW w:w="141" w:type="pct"/>
            <w:tcBorders>
              <w:top w:val="nil"/>
              <w:left w:val="nil"/>
              <w:bottom w:val="nil"/>
              <w:right w:val="nil"/>
            </w:tcBorders>
            <w:shd w:val="clear" w:color="auto" w:fill="auto"/>
            <w:vAlign w:val="bottom"/>
          </w:tcPr>
          <w:p w14:paraId="5D2D64E3" w14:textId="3435509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55</w:t>
            </w:r>
          </w:p>
        </w:tc>
        <w:tc>
          <w:tcPr>
            <w:tcW w:w="141" w:type="pct"/>
            <w:tcBorders>
              <w:top w:val="nil"/>
              <w:left w:val="nil"/>
              <w:bottom w:val="nil"/>
              <w:right w:val="nil"/>
            </w:tcBorders>
            <w:shd w:val="clear" w:color="auto" w:fill="auto"/>
            <w:vAlign w:val="bottom"/>
          </w:tcPr>
          <w:p w14:paraId="3184311B" w14:textId="7C61E5F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95</w:t>
            </w:r>
          </w:p>
        </w:tc>
        <w:tc>
          <w:tcPr>
            <w:tcW w:w="141" w:type="pct"/>
            <w:tcBorders>
              <w:top w:val="nil"/>
              <w:left w:val="nil"/>
              <w:bottom w:val="nil"/>
              <w:right w:val="nil"/>
            </w:tcBorders>
            <w:shd w:val="clear" w:color="auto" w:fill="auto"/>
            <w:vAlign w:val="bottom"/>
          </w:tcPr>
          <w:p w14:paraId="375CAE14" w14:textId="52BFC2D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93</w:t>
            </w:r>
          </w:p>
        </w:tc>
        <w:tc>
          <w:tcPr>
            <w:tcW w:w="141" w:type="pct"/>
            <w:tcBorders>
              <w:top w:val="nil"/>
              <w:left w:val="nil"/>
              <w:bottom w:val="nil"/>
              <w:right w:val="nil"/>
            </w:tcBorders>
            <w:shd w:val="clear" w:color="auto" w:fill="auto"/>
            <w:vAlign w:val="bottom"/>
          </w:tcPr>
          <w:p w14:paraId="798F03DD" w14:textId="21A1AB7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77</w:t>
            </w:r>
          </w:p>
        </w:tc>
        <w:tc>
          <w:tcPr>
            <w:tcW w:w="141" w:type="pct"/>
            <w:tcBorders>
              <w:top w:val="nil"/>
              <w:left w:val="nil"/>
              <w:bottom w:val="nil"/>
              <w:right w:val="nil"/>
            </w:tcBorders>
            <w:shd w:val="clear" w:color="auto" w:fill="auto"/>
            <w:vAlign w:val="bottom"/>
          </w:tcPr>
          <w:p w14:paraId="7E9423E0" w14:textId="67C5120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86</w:t>
            </w:r>
          </w:p>
        </w:tc>
        <w:tc>
          <w:tcPr>
            <w:tcW w:w="141" w:type="pct"/>
            <w:tcBorders>
              <w:top w:val="nil"/>
              <w:left w:val="nil"/>
              <w:bottom w:val="nil"/>
              <w:right w:val="nil"/>
            </w:tcBorders>
            <w:shd w:val="clear" w:color="auto" w:fill="auto"/>
            <w:vAlign w:val="bottom"/>
          </w:tcPr>
          <w:p w14:paraId="14314C7A" w14:textId="0E5090A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88</w:t>
            </w:r>
          </w:p>
        </w:tc>
        <w:tc>
          <w:tcPr>
            <w:tcW w:w="141" w:type="pct"/>
            <w:tcBorders>
              <w:top w:val="nil"/>
              <w:left w:val="nil"/>
              <w:bottom w:val="nil"/>
              <w:right w:val="nil"/>
            </w:tcBorders>
            <w:shd w:val="clear" w:color="auto" w:fill="auto"/>
            <w:vAlign w:val="bottom"/>
          </w:tcPr>
          <w:p w14:paraId="424FA0CA" w14:textId="43C9F37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123</w:t>
            </w:r>
          </w:p>
        </w:tc>
        <w:tc>
          <w:tcPr>
            <w:tcW w:w="141" w:type="pct"/>
            <w:tcBorders>
              <w:top w:val="nil"/>
              <w:left w:val="nil"/>
              <w:bottom w:val="nil"/>
              <w:right w:val="nil"/>
            </w:tcBorders>
            <w:shd w:val="clear" w:color="auto" w:fill="auto"/>
            <w:vAlign w:val="bottom"/>
          </w:tcPr>
          <w:p w14:paraId="03D82F44" w14:textId="358D064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155</w:t>
            </w:r>
          </w:p>
        </w:tc>
        <w:tc>
          <w:tcPr>
            <w:tcW w:w="141" w:type="pct"/>
            <w:tcBorders>
              <w:top w:val="nil"/>
              <w:left w:val="nil"/>
              <w:bottom w:val="nil"/>
              <w:right w:val="nil"/>
            </w:tcBorders>
            <w:shd w:val="clear" w:color="auto" w:fill="auto"/>
            <w:vAlign w:val="bottom"/>
          </w:tcPr>
          <w:p w14:paraId="1799FAEE" w14:textId="7E37800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183</w:t>
            </w:r>
          </w:p>
        </w:tc>
        <w:tc>
          <w:tcPr>
            <w:tcW w:w="141" w:type="pct"/>
            <w:tcBorders>
              <w:top w:val="nil"/>
              <w:left w:val="nil"/>
              <w:bottom w:val="nil"/>
              <w:right w:val="nil"/>
            </w:tcBorders>
            <w:shd w:val="clear" w:color="auto" w:fill="auto"/>
            <w:vAlign w:val="bottom"/>
          </w:tcPr>
          <w:p w14:paraId="093C2AEC" w14:textId="323868E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200</w:t>
            </w:r>
          </w:p>
        </w:tc>
        <w:tc>
          <w:tcPr>
            <w:tcW w:w="141" w:type="pct"/>
            <w:tcBorders>
              <w:top w:val="nil"/>
              <w:left w:val="nil"/>
              <w:bottom w:val="nil"/>
              <w:right w:val="nil"/>
            </w:tcBorders>
            <w:shd w:val="clear" w:color="auto" w:fill="auto"/>
            <w:vAlign w:val="bottom"/>
          </w:tcPr>
          <w:p w14:paraId="64474486" w14:textId="391C912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290</w:t>
            </w:r>
          </w:p>
        </w:tc>
        <w:tc>
          <w:tcPr>
            <w:tcW w:w="141" w:type="pct"/>
            <w:tcBorders>
              <w:top w:val="nil"/>
              <w:left w:val="nil"/>
              <w:bottom w:val="nil"/>
              <w:right w:val="nil"/>
            </w:tcBorders>
            <w:shd w:val="clear" w:color="auto" w:fill="auto"/>
            <w:vAlign w:val="bottom"/>
          </w:tcPr>
          <w:p w14:paraId="1D1CA9A4" w14:textId="17FA347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432</w:t>
            </w:r>
          </w:p>
        </w:tc>
        <w:tc>
          <w:tcPr>
            <w:tcW w:w="141" w:type="pct"/>
            <w:tcBorders>
              <w:top w:val="nil"/>
              <w:left w:val="nil"/>
              <w:bottom w:val="nil"/>
              <w:right w:val="nil"/>
            </w:tcBorders>
            <w:shd w:val="clear" w:color="auto" w:fill="auto"/>
            <w:vAlign w:val="bottom"/>
          </w:tcPr>
          <w:p w14:paraId="6FA4ADB3" w14:textId="74BC10F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494</w:t>
            </w:r>
          </w:p>
        </w:tc>
        <w:tc>
          <w:tcPr>
            <w:tcW w:w="141" w:type="pct"/>
            <w:tcBorders>
              <w:top w:val="nil"/>
              <w:left w:val="nil"/>
              <w:bottom w:val="nil"/>
              <w:right w:val="nil"/>
            </w:tcBorders>
            <w:shd w:val="clear" w:color="auto" w:fill="auto"/>
            <w:vAlign w:val="bottom"/>
          </w:tcPr>
          <w:p w14:paraId="1BA8A3EA" w14:textId="6DE311F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561</w:t>
            </w:r>
          </w:p>
        </w:tc>
        <w:tc>
          <w:tcPr>
            <w:tcW w:w="141" w:type="pct"/>
            <w:tcBorders>
              <w:top w:val="nil"/>
              <w:left w:val="nil"/>
              <w:bottom w:val="nil"/>
              <w:right w:val="nil"/>
            </w:tcBorders>
            <w:shd w:val="clear" w:color="auto" w:fill="auto"/>
            <w:vAlign w:val="bottom"/>
          </w:tcPr>
          <w:p w14:paraId="2FA51376" w14:textId="3B34387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610</w:t>
            </w:r>
          </w:p>
        </w:tc>
        <w:tc>
          <w:tcPr>
            <w:tcW w:w="141" w:type="pct"/>
            <w:tcBorders>
              <w:top w:val="nil"/>
              <w:left w:val="nil"/>
              <w:bottom w:val="nil"/>
              <w:right w:val="nil"/>
            </w:tcBorders>
            <w:shd w:val="clear" w:color="auto" w:fill="auto"/>
            <w:vAlign w:val="bottom"/>
          </w:tcPr>
          <w:p w14:paraId="6AE86C55" w14:textId="5D673F6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702</w:t>
            </w:r>
          </w:p>
        </w:tc>
        <w:tc>
          <w:tcPr>
            <w:tcW w:w="141" w:type="pct"/>
            <w:tcBorders>
              <w:top w:val="nil"/>
              <w:left w:val="nil"/>
              <w:bottom w:val="nil"/>
              <w:right w:val="nil"/>
            </w:tcBorders>
            <w:shd w:val="clear" w:color="auto" w:fill="auto"/>
            <w:vAlign w:val="bottom"/>
          </w:tcPr>
          <w:p w14:paraId="7190EA3E" w14:textId="5CF8ADF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748</w:t>
            </w:r>
          </w:p>
        </w:tc>
        <w:tc>
          <w:tcPr>
            <w:tcW w:w="141" w:type="pct"/>
            <w:tcBorders>
              <w:top w:val="nil"/>
              <w:left w:val="nil"/>
              <w:bottom w:val="nil"/>
              <w:right w:val="nil"/>
            </w:tcBorders>
            <w:shd w:val="clear" w:color="auto" w:fill="auto"/>
            <w:vAlign w:val="bottom"/>
          </w:tcPr>
          <w:p w14:paraId="5F7745FB" w14:textId="1D86EB7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661</w:t>
            </w:r>
          </w:p>
        </w:tc>
        <w:tc>
          <w:tcPr>
            <w:tcW w:w="141" w:type="pct"/>
            <w:tcBorders>
              <w:top w:val="nil"/>
              <w:left w:val="nil"/>
              <w:bottom w:val="nil"/>
              <w:right w:val="nil"/>
            </w:tcBorders>
            <w:shd w:val="clear" w:color="auto" w:fill="auto"/>
            <w:vAlign w:val="bottom"/>
          </w:tcPr>
          <w:p w14:paraId="7DC498F4" w14:textId="5C03DDD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580</w:t>
            </w:r>
          </w:p>
        </w:tc>
        <w:tc>
          <w:tcPr>
            <w:tcW w:w="141" w:type="pct"/>
            <w:tcBorders>
              <w:top w:val="nil"/>
              <w:left w:val="nil"/>
              <w:bottom w:val="nil"/>
              <w:right w:val="nil"/>
            </w:tcBorders>
            <w:shd w:val="clear" w:color="auto" w:fill="auto"/>
            <w:vAlign w:val="bottom"/>
          </w:tcPr>
          <w:p w14:paraId="7A2CC29F" w14:textId="1B616D8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515</w:t>
            </w:r>
          </w:p>
        </w:tc>
        <w:tc>
          <w:tcPr>
            <w:tcW w:w="141" w:type="pct"/>
            <w:tcBorders>
              <w:top w:val="nil"/>
              <w:left w:val="nil"/>
              <w:bottom w:val="nil"/>
              <w:right w:val="nil"/>
            </w:tcBorders>
            <w:shd w:val="clear" w:color="auto" w:fill="auto"/>
            <w:vAlign w:val="bottom"/>
          </w:tcPr>
          <w:p w14:paraId="223342E0" w14:textId="03B2816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332</w:t>
            </w:r>
          </w:p>
        </w:tc>
        <w:tc>
          <w:tcPr>
            <w:tcW w:w="141" w:type="pct"/>
            <w:tcBorders>
              <w:top w:val="nil"/>
              <w:left w:val="nil"/>
              <w:bottom w:val="nil"/>
              <w:right w:val="nil"/>
            </w:tcBorders>
            <w:shd w:val="clear" w:color="auto" w:fill="auto"/>
            <w:vAlign w:val="bottom"/>
          </w:tcPr>
          <w:p w14:paraId="2399619F" w14:textId="721BCF5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83</w:t>
            </w:r>
          </w:p>
        </w:tc>
        <w:tc>
          <w:tcPr>
            <w:tcW w:w="141" w:type="pct"/>
            <w:tcBorders>
              <w:top w:val="nil"/>
              <w:left w:val="nil"/>
              <w:bottom w:val="nil"/>
              <w:right w:val="nil"/>
            </w:tcBorders>
            <w:shd w:val="clear" w:color="auto" w:fill="auto"/>
            <w:vAlign w:val="bottom"/>
          </w:tcPr>
          <w:p w14:paraId="4E42C6D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2D3C54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14523F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480AFE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7E8816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DB9933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7351079B"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069DBDB9"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6C8411C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21AB32F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3FCF441D" w14:textId="510AFD51"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7185</w:t>
            </w:r>
          </w:p>
        </w:tc>
      </w:tr>
      <w:tr w:rsidR="00F4063A" w:rsidRPr="003E4580" w14:paraId="60AFCAF5" w14:textId="77777777" w:rsidTr="00F4063A">
        <w:tc>
          <w:tcPr>
            <w:tcW w:w="188" w:type="pct"/>
            <w:tcBorders>
              <w:top w:val="nil"/>
              <w:left w:val="nil"/>
              <w:bottom w:val="nil"/>
              <w:right w:val="nil"/>
            </w:tcBorders>
          </w:tcPr>
          <w:p w14:paraId="56248029"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24</w:t>
            </w:r>
          </w:p>
        </w:tc>
        <w:tc>
          <w:tcPr>
            <w:tcW w:w="141" w:type="pct"/>
            <w:tcBorders>
              <w:top w:val="nil"/>
              <w:left w:val="nil"/>
              <w:bottom w:val="nil"/>
              <w:right w:val="nil"/>
            </w:tcBorders>
            <w:shd w:val="clear" w:color="auto" w:fill="auto"/>
            <w:vAlign w:val="bottom"/>
          </w:tcPr>
          <w:p w14:paraId="51559549" w14:textId="523B980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w:t>
            </w:r>
          </w:p>
        </w:tc>
        <w:tc>
          <w:tcPr>
            <w:tcW w:w="141" w:type="pct"/>
            <w:tcBorders>
              <w:top w:val="nil"/>
              <w:left w:val="nil"/>
              <w:bottom w:val="nil"/>
              <w:right w:val="nil"/>
            </w:tcBorders>
            <w:shd w:val="clear" w:color="auto" w:fill="auto"/>
            <w:vAlign w:val="bottom"/>
          </w:tcPr>
          <w:p w14:paraId="5B4CFD0A" w14:textId="5344D77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w:t>
            </w:r>
          </w:p>
        </w:tc>
        <w:tc>
          <w:tcPr>
            <w:tcW w:w="141" w:type="pct"/>
            <w:tcBorders>
              <w:top w:val="nil"/>
              <w:left w:val="nil"/>
              <w:bottom w:val="nil"/>
              <w:right w:val="nil"/>
            </w:tcBorders>
            <w:shd w:val="clear" w:color="auto" w:fill="auto"/>
            <w:vAlign w:val="bottom"/>
          </w:tcPr>
          <w:p w14:paraId="33945B93" w14:textId="130A67D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76</w:t>
            </w:r>
          </w:p>
        </w:tc>
        <w:tc>
          <w:tcPr>
            <w:tcW w:w="141" w:type="pct"/>
            <w:tcBorders>
              <w:top w:val="nil"/>
              <w:left w:val="nil"/>
              <w:bottom w:val="nil"/>
              <w:right w:val="nil"/>
            </w:tcBorders>
            <w:shd w:val="clear" w:color="auto" w:fill="auto"/>
            <w:vAlign w:val="bottom"/>
          </w:tcPr>
          <w:p w14:paraId="5D89E24E" w14:textId="113E6FC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91</w:t>
            </w:r>
          </w:p>
        </w:tc>
        <w:tc>
          <w:tcPr>
            <w:tcW w:w="141" w:type="pct"/>
            <w:tcBorders>
              <w:top w:val="nil"/>
              <w:left w:val="nil"/>
              <w:bottom w:val="nil"/>
              <w:right w:val="nil"/>
            </w:tcBorders>
            <w:shd w:val="clear" w:color="auto" w:fill="auto"/>
            <w:vAlign w:val="bottom"/>
          </w:tcPr>
          <w:p w14:paraId="0DBBA441" w14:textId="2352385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86</w:t>
            </w:r>
          </w:p>
        </w:tc>
        <w:tc>
          <w:tcPr>
            <w:tcW w:w="141" w:type="pct"/>
            <w:tcBorders>
              <w:top w:val="nil"/>
              <w:left w:val="nil"/>
              <w:bottom w:val="nil"/>
              <w:right w:val="nil"/>
            </w:tcBorders>
            <w:shd w:val="clear" w:color="auto" w:fill="auto"/>
            <w:vAlign w:val="bottom"/>
          </w:tcPr>
          <w:p w14:paraId="729903E3" w14:textId="4B3671C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81</w:t>
            </w:r>
          </w:p>
        </w:tc>
        <w:tc>
          <w:tcPr>
            <w:tcW w:w="141" w:type="pct"/>
            <w:tcBorders>
              <w:top w:val="nil"/>
              <w:left w:val="nil"/>
              <w:bottom w:val="nil"/>
              <w:right w:val="nil"/>
            </w:tcBorders>
            <w:shd w:val="clear" w:color="auto" w:fill="auto"/>
            <w:vAlign w:val="bottom"/>
          </w:tcPr>
          <w:p w14:paraId="73371718" w14:textId="02B8077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89</w:t>
            </w:r>
          </w:p>
        </w:tc>
        <w:tc>
          <w:tcPr>
            <w:tcW w:w="141" w:type="pct"/>
            <w:tcBorders>
              <w:top w:val="nil"/>
              <w:left w:val="nil"/>
              <w:bottom w:val="nil"/>
              <w:right w:val="nil"/>
            </w:tcBorders>
            <w:shd w:val="clear" w:color="auto" w:fill="auto"/>
            <w:vAlign w:val="bottom"/>
          </w:tcPr>
          <w:p w14:paraId="237DE8D5" w14:textId="6901F7E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92</w:t>
            </w:r>
          </w:p>
        </w:tc>
        <w:tc>
          <w:tcPr>
            <w:tcW w:w="141" w:type="pct"/>
            <w:tcBorders>
              <w:top w:val="nil"/>
              <w:left w:val="nil"/>
              <w:bottom w:val="nil"/>
              <w:right w:val="nil"/>
            </w:tcBorders>
            <w:shd w:val="clear" w:color="auto" w:fill="auto"/>
            <w:vAlign w:val="bottom"/>
          </w:tcPr>
          <w:p w14:paraId="305A099F" w14:textId="0B8F425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128</w:t>
            </w:r>
          </w:p>
        </w:tc>
        <w:tc>
          <w:tcPr>
            <w:tcW w:w="141" w:type="pct"/>
            <w:tcBorders>
              <w:top w:val="nil"/>
              <w:left w:val="nil"/>
              <w:bottom w:val="nil"/>
              <w:right w:val="nil"/>
            </w:tcBorders>
            <w:shd w:val="clear" w:color="auto" w:fill="auto"/>
            <w:vAlign w:val="bottom"/>
          </w:tcPr>
          <w:p w14:paraId="092FF53A" w14:textId="11EFE42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162</w:t>
            </w:r>
          </w:p>
        </w:tc>
        <w:tc>
          <w:tcPr>
            <w:tcW w:w="141" w:type="pct"/>
            <w:tcBorders>
              <w:top w:val="nil"/>
              <w:left w:val="nil"/>
              <w:bottom w:val="nil"/>
              <w:right w:val="nil"/>
            </w:tcBorders>
            <w:shd w:val="clear" w:color="auto" w:fill="auto"/>
            <w:vAlign w:val="bottom"/>
          </w:tcPr>
          <w:p w14:paraId="0FDF6B18" w14:textId="3B10BE5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191</w:t>
            </w:r>
          </w:p>
        </w:tc>
        <w:tc>
          <w:tcPr>
            <w:tcW w:w="141" w:type="pct"/>
            <w:tcBorders>
              <w:top w:val="nil"/>
              <w:left w:val="nil"/>
              <w:bottom w:val="nil"/>
              <w:right w:val="nil"/>
            </w:tcBorders>
            <w:shd w:val="clear" w:color="auto" w:fill="auto"/>
            <w:vAlign w:val="bottom"/>
          </w:tcPr>
          <w:p w14:paraId="091C33F7" w14:textId="0C636B2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208</w:t>
            </w:r>
          </w:p>
        </w:tc>
        <w:tc>
          <w:tcPr>
            <w:tcW w:w="141" w:type="pct"/>
            <w:tcBorders>
              <w:top w:val="nil"/>
              <w:left w:val="nil"/>
              <w:bottom w:val="nil"/>
              <w:right w:val="nil"/>
            </w:tcBorders>
            <w:shd w:val="clear" w:color="auto" w:fill="auto"/>
            <w:vAlign w:val="bottom"/>
          </w:tcPr>
          <w:p w14:paraId="1A023FB5" w14:textId="5D124C3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303</w:t>
            </w:r>
          </w:p>
        </w:tc>
        <w:tc>
          <w:tcPr>
            <w:tcW w:w="141" w:type="pct"/>
            <w:tcBorders>
              <w:top w:val="nil"/>
              <w:left w:val="nil"/>
              <w:bottom w:val="nil"/>
              <w:right w:val="nil"/>
            </w:tcBorders>
            <w:shd w:val="clear" w:color="auto" w:fill="auto"/>
            <w:vAlign w:val="bottom"/>
          </w:tcPr>
          <w:p w14:paraId="6352C656" w14:textId="2203021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451</w:t>
            </w:r>
          </w:p>
        </w:tc>
        <w:tc>
          <w:tcPr>
            <w:tcW w:w="141" w:type="pct"/>
            <w:tcBorders>
              <w:top w:val="nil"/>
              <w:left w:val="nil"/>
              <w:bottom w:val="nil"/>
              <w:right w:val="nil"/>
            </w:tcBorders>
            <w:shd w:val="clear" w:color="auto" w:fill="auto"/>
            <w:vAlign w:val="bottom"/>
          </w:tcPr>
          <w:p w14:paraId="798FCB4C" w14:textId="687529D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500</w:t>
            </w:r>
          </w:p>
        </w:tc>
        <w:tc>
          <w:tcPr>
            <w:tcW w:w="141" w:type="pct"/>
            <w:tcBorders>
              <w:top w:val="nil"/>
              <w:left w:val="nil"/>
              <w:bottom w:val="nil"/>
              <w:right w:val="nil"/>
            </w:tcBorders>
            <w:shd w:val="clear" w:color="auto" w:fill="auto"/>
            <w:vAlign w:val="bottom"/>
          </w:tcPr>
          <w:p w14:paraId="1C771EB1" w14:textId="71D2067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547</w:t>
            </w:r>
          </w:p>
        </w:tc>
        <w:tc>
          <w:tcPr>
            <w:tcW w:w="141" w:type="pct"/>
            <w:tcBorders>
              <w:top w:val="nil"/>
              <w:left w:val="nil"/>
              <w:bottom w:val="nil"/>
              <w:right w:val="nil"/>
            </w:tcBorders>
            <w:shd w:val="clear" w:color="auto" w:fill="auto"/>
            <w:vAlign w:val="bottom"/>
          </w:tcPr>
          <w:p w14:paraId="20E13E59" w14:textId="2150329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594</w:t>
            </w:r>
          </w:p>
        </w:tc>
        <w:tc>
          <w:tcPr>
            <w:tcW w:w="141" w:type="pct"/>
            <w:tcBorders>
              <w:top w:val="nil"/>
              <w:left w:val="nil"/>
              <w:bottom w:val="nil"/>
              <w:right w:val="nil"/>
            </w:tcBorders>
            <w:shd w:val="clear" w:color="auto" w:fill="auto"/>
            <w:vAlign w:val="bottom"/>
          </w:tcPr>
          <w:p w14:paraId="7C21B232" w14:textId="1CB1BFD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683</w:t>
            </w:r>
          </w:p>
        </w:tc>
        <w:tc>
          <w:tcPr>
            <w:tcW w:w="141" w:type="pct"/>
            <w:tcBorders>
              <w:top w:val="nil"/>
              <w:left w:val="nil"/>
              <w:bottom w:val="nil"/>
              <w:right w:val="nil"/>
            </w:tcBorders>
            <w:shd w:val="clear" w:color="auto" w:fill="auto"/>
            <w:vAlign w:val="bottom"/>
          </w:tcPr>
          <w:p w14:paraId="33BE2E83" w14:textId="6A18A38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727</w:t>
            </w:r>
          </w:p>
        </w:tc>
        <w:tc>
          <w:tcPr>
            <w:tcW w:w="141" w:type="pct"/>
            <w:tcBorders>
              <w:top w:val="nil"/>
              <w:left w:val="nil"/>
              <w:bottom w:val="nil"/>
              <w:right w:val="nil"/>
            </w:tcBorders>
            <w:shd w:val="clear" w:color="auto" w:fill="auto"/>
            <w:vAlign w:val="bottom"/>
          </w:tcPr>
          <w:p w14:paraId="220B254B" w14:textId="53276BC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641</w:t>
            </w:r>
          </w:p>
        </w:tc>
        <w:tc>
          <w:tcPr>
            <w:tcW w:w="141" w:type="pct"/>
            <w:tcBorders>
              <w:top w:val="nil"/>
              <w:left w:val="nil"/>
              <w:bottom w:val="nil"/>
              <w:right w:val="nil"/>
            </w:tcBorders>
            <w:shd w:val="clear" w:color="auto" w:fill="auto"/>
            <w:vAlign w:val="bottom"/>
          </w:tcPr>
          <w:p w14:paraId="20A26F96" w14:textId="2A5DFF8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561</w:t>
            </w:r>
          </w:p>
        </w:tc>
        <w:tc>
          <w:tcPr>
            <w:tcW w:w="141" w:type="pct"/>
            <w:tcBorders>
              <w:top w:val="nil"/>
              <w:left w:val="nil"/>
              <w:bottom w:val="nil"/>
              <w:right w:val="nil"/>
            </w:tcBorders>
            <w:shd w:val="clear" w:color="auto" w:fill="auto"/>
            <w:vAlign w:val="bottom"/>
          </w:tcPr>
          <w:p w14:paraId="129F8FF5" w14:textId="732139F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498</w:t>
            </w:r>
          </w:p>
        </w:tc>
        <w:tc>
          <w:tcPr>
            <w:tcW w:w="141" w:type="pct"/>
            <w:tcBorders>
              <w:top w:val="nil"/>
              <w:left w:val="nil"/>
              <w:bottom w:val="nil"/>
              <w:right w:val="nil"/>
            </w:tcBorders>
            <w:shd w:val="clear" w:color="auto" w:fill="auto"/>
            <w:vAlign w:val="bottom"/>
          </w:tcPr>
          <w:p w14:paraId="0E6261E7" w14:textId="5CB94A4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320</w:t>
            </w:r>
          </w:p>
        </w:tc>
        <w:tc>
          <w:tcPr>
            <w:tcW w:w="141" w:type="pct"/>
            <w:tcBorders>
              <w:top w:val="nil"/>
              <w:left w:val="nil"/>
              <w:bottom w:val="nil"/>
              <w:right w:val="nil"/>
            </w:tcBorders>
            <w:shd w:val="clear" w:color="auto" w:fill="auto"/>
            <w:vAlign w:val="bottom"/>
          </w:tcPr>
          <w:p w14:paraId="6F52A1B9" w14:textId="4B62D9A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80</w:t>
            </w:r>
          </w:p>
        </w:tc>
        <w:tc>
          <w:tcPr>
            <w:tcW w:w="141" w:type="pct"/>
            <w:tcBorders>
              <w:top w:val="nil"/>
              <w:left w:val="nil"/>
              <w:bottom w:val="nil"/>
              <w:right w:val="nil"/>
            </w:tcBorders>
            <w:shd w:val="clear" w:color="auto" w:fill="auto"/>
            <w:vAlign w:val="bottom"/>
          </w:tcPr>
          <w:p w14:paraId="501328F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A18A2F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E30BFE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F3E3F5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211627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1FFA87D5"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939B6BD"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662471F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1F35BE0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6BC787C0" w14:textId="2DA4E238"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7183</w:t>
            </w:r>
          </w:p>
        </w:tc>
      </w:tr>
      <w:tr w:rsidR="00F4063A" w:rsidRPr="003E4580" w14:paraId="689D4EAC" w14:textId="77777777" w:rsidTr="00F4063A">
        <w:tc>
          <w:tcPr>
            <w:tcW w:w="188" w:type="pct"/>
            <w:tcBorders>
              <w:top w:val="nil"/>
              <w:left w:val="nil"/>
              <w:bottom w:val="nil"/>
              <w:right w:val="nil"/>
            </w:tcBorders>
          </w:tcPr>
          <w:p w14:paraId="5309FCBC"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25</w:t>
            </w:r>
          </w:p>
        </w:tc>
        <w:tc>
          <w:tcPr>
            <w:tcW w:w="141" w:type="pct"/>
            <w:tcBorders>
              <w:top w:val="nil"/>
              <w:left w:val="nil"/>
              <w:bottom w:val="nil"/>
              <w:right w:val="nil"/>
            </w:tcBorders>
            <w:shd w:val="clear" w:color="auto" w:fill="auto"/>
            <w:vAlign w:val="bottom"/>
          </w:tcPr>
          <w:p w14:paraId="41318912" w14:textId="2448842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21</w:t>
            </w:r>
          </w:p>
        </w:tc>
        <w:tc>
          <w:tcPr>
            <w:tcW w:w="141" w:type="pct"/>
            <w:tcBorders>
              <w:top w:val="nil"/>
              <w:left w:val="nil"/>
              <w:bottom w:val="nil"/>
              <w:right w:val="nil"/>
            </w:tcBorders>
            <w:shd w:val="clear" w:color="auto" w:fill="auto"/>
            <w:vAlign w:val="bottom"/>
          </w:tcPr>
          <w:p w14:paraId="24644A0A" w14:textId="0D0198A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w:t>
            </w:r>
          </w:p>
        </w:tc>
        <w:tc>
          <w:tcPr>
            <w:tcW w:w="141" w:type="pct"/>
            <w:tcBorders>
              <w:top w:val="nil"/>
              <w:left w:val="nil"/>
              <w:bottom w:val="nil"/>
              <w:right w:val="nil"/>
            </w:tcBorders>
            <w:shd w:val="clear" w:color="auto" w:fill="auto"/>
            <w:vAlign w:val="bottom"/>
          </w:tcPr>
          <w:p w14:paraId="36791496" w14:textId="11499D5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72</w:t>
            </w:r>
          </w:p>
        </w:tc>
        <w:tc>
          <w:tcPr>
            <w:tcW w:w="141" w:type="pct"/>
            <w:tcBorders>
              <w:top w:val="nil"/>
              <w:left w:val="nil"/>
              <w:bottom w:val="nil"/>
              <w:right w:val="nil"/>
            </w:tcBorders>
            <w:shd w:val="clear" w:color="auto" w:fill="auto"/>
            <w:vAlign w:val="bottom"/>
          </w:tcPr>
          <w:p w14:paraId="5E1785BF" w14:textId="5025598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73</w:t>
            </w:r>
          </w:p>
        </w:tc>
        <w:tc>
          <w:tcPr>
            <w:tcW w:w="141" w:type="pct"/>
            <w:tcBorders>
              <w:top w:val="nil"/>
              <w:left w:val="nil"/>
              <w:bottom w:val="nil"/>
              <w:right w:val="nil"/>
            </w:tcBorders>
            <w:shd w:val="clear" w:color="auto" w:fill="auto"/>
            <w:vAlign w:val="bottom"/>
          </w:tcPr>
          <w:p w14:paraId="4772E6A0" w14:textId="43E7C0B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84</w:t>
            </w:r>
          </w:p>
        </w:tc>
        <w:tc>
          <w:tcPr>
            <w:tcW w:w="141" w:type="pct"/>
            <w:tcBorders>
              <w:top w:val="nil"/>
              <w:left w:val="nil"/>
              <w:bottom w:val="nil"/>
              <w:right w:val="nil"/>
            </w:tcBorders>
            <w:shd w:val="clear" w:color="auto" w:fill="auto"/>
            <w:vAlign w:val="bottom"/>
          </w:tcPr>
          <w:p w14:paraId="1E0653BB" w14:textId="4E46030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89</w:t>
            </w:r>
          </w:p>
        </w:tc>
        <w:tc>
          <w:tcPr>
            <w:tcW w:w="141" w:type="pct"/>
            <w:tcBorders>
              <w:top w:val="nil"/>
              <w:left w:val="nil"/>
              <w:bottom w:val="nil"/>
              <w:right w:val="nil"/>
            </w:tcBorders>
            <w:shd w:val="clear" w:color="auto" w:fill="auto"/>
            <w:vAlign w:val="bottom"/>
          </w:tcPr>
          <w:p w14:paraId="73C6EAF9" w14:textId="6EEFEC7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84</w:t>
            </w:r>
          </w:p>
        </w:tc>
        <w:tc>
          <w:tcPr>
            <w:tcW w:w="141" w:type="pct"/>
            <w:tcBorders>
              <w:top w:val="nil"/>
              <w:left w:val="nil"/>
              <w:bottom w:val="nil"/>
              <w:right w:val="nil"/>
            </w:tcBorders>
            <w:shd w:val="clear" w:color="auto" w:fill="auto"/>
            <w:vAlign w:val="bottom"/>
          </w:tcPr>
          <w:p w14:paraId="31313B95" w14:textId="054FED9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93</w:t>
            </w:r>
          </w:p>
        </w:tc>
        <w:tc>
          <w:tcPr>
            <w:tcW w:w="141" w:type="pct"/>
            <w:tcBorders>
              <w:top w:val="nil"/>
              <w:left w:val="nil"/>
              <w:bottom w:val="nil"/>
              <w:right w:val="nil"/>
            </w:tcBorders>
            <w:shd w:val="clear" w:color="auto" w:fill="auto"/>
            <w:vAlign w:val="bottom"/>
          </w:tcPr>
          <w:p w14:paraId="48C796F9" w14:textId="665AC20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96</w:t>
            </w:r>
          </w:p>
        </w:tc>
        <w:tc>
          <w:tcPr>
            <w:tcW w:w="141" w:type="pct"/>
            <w:tcBorders>
              <w:top w:val="nil"/>
              <w:left w:val="nil"/>
              <w:bottom w:val="nil"/>
              <w:right w:val="nil"/>
            </w:tcBorders>
            <w:shd w:val="clear" w:color="auto" w:fill="auto"/>
            <w:vAlign w:val="bottom"/>
          </w:tcPr>
          <w:p w14:paraId="2BF7B21D" w14:textId="42D1556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134</w:t>
            </w:r>
          </w:p>
        </w:tc>
        <w:tc>
          <w:tcPr>
            <w:tcW w:w="141" w:type="pct"/>
            <w:tcBorders>
              <w:top w:val="nil"/>
              <w:left w:val="nil"/>
              <w:bottom w:val="nil"/>
              <w:right w:val="nil"/>
            </w:tcBorders>
            <w:shd w:val="clear" w:color="auto" w:fill="auto"/>
            <w:vAlign w:val="bottom"/>
          </w:tcPr>
          <w:p w14:paraId="5878CC57" w14:textId="73C68E0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168</w:t>
            </w:r>
          </w:p>
        </w:tc>
        <w:tc>
          <w:tcPr>
            <w:tcW w:w="141" w:type="pct"/>
            <w:tcBorders>
              <w:top w:val="nil"/>
              <w:left w:val="nil"/>
              <w:bottom w:val="nil"/>
              <w:right w:val="nil"/>
            </w:tcBorders>
            <w:shd w:val="clear" w:color="auto" w:fill="auto"/>
            <w:vAlign w:val="bottom"/>
          </w:tcPr>
          <w:p w14:paraId="2D43FC39" w14:textId="2344CB6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199</w:t>
            </w:r>
          </w:p>
        </w:tc>
        <w:tc>
          <w:tcPr>
            <w:tcW w:w="141" w:type="pct"/>
            <w:tcBorders>
              <w:top w:val="nil"/>
              <w:left w:val="nil"/>
              <w:bottom w:val="nil"/>
              <w:right w:val="nil"/>
            </w:tcBorders>
            <w:shd w:val="clear" w:color="auto" w:fill="auto"/>
            <w:vAlign w:val="bottom"/>
          </w:tcPr>
          <w:p w14:paraId="242FEFA6" w14:textId="213B6B3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217</w:t>
            </w:r>
          </w:p>
        </w:tc>
        <w:tc>
          <w:tcPr>
            <w:tcW w:w="141" w:type="pct"/>
            <w:tcBorders>
              <w:top w:val="nil"/>
              <w:left w:val="nil"/>
              <w:bottom w:val="nil"/>
              <w:right w:val="nil"/>
            </w:tcBorders>
            <w:shd w:val="clear" w:color="auto" w:fill="auto"/>
            <w:vAlign w:val="bottom"/>
          </w:tcPr>
          <w:p w14:paraId="5E097E15" w14:textId="7F8CACB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316</w:t>
            </w:r>
          </w:p>
        </w:tc>
        <w:tc>
          <w:tcPr>
            <w:tcW w:w="141" w:type="pct"/>
            <w:tcBorders>
              <w:top w:val="nil"/>
              <w:left w:val="nil"/>
              <w:bottom w:val="nil"/>
              <w:right w:val="nil"/>
            </w:tcBorders>
            <w:shd w:val="clear" w:color="auto" w:fill="auto"/>
            <w:vAlign w:val="bottom"/>
          </w:tcPr>
          <w:p w14:paraId="2D36D01C" w14:textId="52CAC7D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456</w:t>
            </w:r>
          </w:p>
        </w:tc>
        <w:tc>
          <w:tcPr>
            <w:tcW w:w="141" w:type="pct"/>
            <w:tcBorders>
              <w:top w:val="nil"/>
              <w:left w:val="nil"/>
              <w:bottom w:val="nil"/>
              <w:right w:val="nil"/>
            </w:tcBorders>
            <w:shd w:val="clear" w:color="auto" w:fill="auto"/>
            <w:vAlign w:val="bottom"/>
          </w:tcPr>
          <w:p w14:paraId="2ADA8BE7" w14:textId="48624BF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488</w:t>
            </w:r>
          </w:p>
        </w:tc>
        <w:tc>
          <w:tcPr>
            <w:tcW w:w="141" w:type="pct"/>
            <w:tcBorders>
              <w:top w:val="nil"/>
              <w:left w:val="nil"/>
              <w:bottom w:val="nil"/>
              <w:right w:val="nil"/>
            </w:tcBorders>
            <w:shd w:val="clear" w:color="auto" w:fill="auto"/>
            <w:vAlign w:val="bottom"/>
          </w:tcPr>
          <w:p w14:paraId="1D35EC92" w14:textId="7E09250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534</w:t>
            </w:r>
          </w:p>
        </w:tc>
        <w:tc>
          <w:tcPr>
            <w:tcW w:w="141" w:type="pct"/>
            <w:tcBorders>
              <w:top w:val="nil"/>
              <w:left w:val="nil"/>
              <w:bottom w:val="nil"/>
              <w:right w:val="nil"/>
            </w:tcBorders>
            <w:shd w:val="clear" w:color="auto" w:fill="auto"/>
            <w:vAlign w:val="bottom"/>
          </w:tcPr>
          <w:p w14:paraId="38C153BD" w14:textId="3FDEB01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578</w:t>
            </w:r>
          </w:p>
        </w:tc>
        <w:tc>
          <w:tcPr>
            <w:tcW w:w="141" w:type="pct"/>
            <w:tcBorders>
              <w:top w:val="nil"/>
              <w:left w:val="nil"/>
              <w:bottom w:val="nil"/>
              <w:right w:val="nil"/>
            </w:tcBorders>
            <w:shd w:val="clear" w:color="auto" w:fill="auto"/>
            <w:vAlign w:val="bottom"/>
          </w:tcPr>
          <w:p w14:paraId="6BB64410" w14:textId="5D16833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664</w:t>
            </w:r>
          </w:p>
        </w:tc>
        <w:tc>
          <w:tcPr>
            <w:tcW w:w="141" w:type="pct"/>
            <w:tcBorders>
              <w:top w:val="nil"/>
              <w:left w:val="nil"/>
              <w:bottom w:val="nil"/>
              <w:right w:val="nil"/>
            </w:tcBorders>
            <w:shd w:val="clear" w:color="auto" w:fill="auto"/>
            <w:vAlign w:val="bottom"/>
          </w:tcPr>
          <w:p w14:paraId="4A5E01D0" w14:textId="43B5213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705</w:t>
            </w:r>
          </w:p>
        </w:tc>
        <w:tc>
          <w:tcPr>
            <w:tcW w:w="141" w:type="pct"/>
            <w:tcBorders>
              <w:top w:val="nil"/>
              <w:left w:val="nil"/>
              <w:bottom w:val="nil"/>
              <w:right w:val="nil"/>
            </w:tcBorders>
            <w:shd w:val="clear" w:color="auto" w:fill="auto"/>
            <w:vAlign w:val="bottom"/>
          </w:tcPr>
          <w:p w14:paraId="137866E6" w14:textId="7C4B305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621</w:t>
            </w:r>
          </w:p>
        </w:tc>
        <w:tc>
          <w:tcPr>
            <w:tcW w:w="141" w:type="pct"/>
            <w:tcBorders>
              <w:top w:val="nil"/>
              <w:left w:val="nil"/>
              <w:bottom w:val="nil"/>
              <w:right w:val="nil"/>
            </w:tcBorders>
            <w:shd w:val="clear" w:color="auto" w:fill="auto"/>
            <w:vAlign w:val="bottom"/>
          </w:tcPr>
          <w:p w14:paraId="0D105355" w14:textId="6B8BA1E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543</w:t>
            </w:r>
          </w:p>
        </w:tc>
        <w:tc>
          <w:tcPr>
            <w:tcW w:w="141" w:type="pct"/>
            <w:tcBorders>
              <w:top w:val="nil"/>
              <w:left w:val="nil"/>
              <w:bottom w:val="nil"/>
              <w:right w:val="nil"/>
            </w:tcBorders>
            <w:shd w:val="clear" w:color="auto" w:fill="auto"/>
            <w:vAlign w:val="bottom"/>
          </w:tcPr>
          <w:p w14:paraId="4659AC2F" w14:textId="66CFCCD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481</w:t>
            </w:r>
          </w:p>
        </w:tc>
        <w:tc>
          <w:tcPr>
            <w:tcW w:w="141" w:type="pct"/>
            <w:tcBorders>
              <w:top w:val="nil"/>
              <w:left w:val="nil"/>
              <w:bottom w:val="nil"/>
              <w:right w:val="nil"/>
            </w:tcBorders>
            <w:shd w:val="clear" w:color="auto" w:fill="auto"/>
            <w:vAlign w:val="bottom"/>
          </w:tcPr>
          <w:p w14:paraId="792F6BC6" w14:textId="4CF2933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308</w:t>
            </w:r>
          </w:p>
        </w:tc>
        <w:tc>
          <w:tcPr>
            <w:tcW w:w="141" w:type="pct"/>
            <w:tcBorders>
              <w:top w:val="nil"/>
              <w:left w:val="nil"/>
              <w:bottom w:val="nil"/>
              <w:right w:val="nil"/>
            </w:tcBorders>
            <w:shd w:val="clear" w:color="auto" w:fill="auto"/>
            <w:vAlign w:val="bottom"/>
          </w:tcPr>
          <w:p w14:paraId="2B468FEE" w14:textId="1107BFB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77</w:t>
            </w:r>
          </w:p>
        </w:tc>
        <w:tc>
          <w:tcPr>
            <w:tcW w:w="141" w:type="pct"/>
            <w:tcBorders>
              <w:top w:val="nil"/>
              <w:left w:val="nil"/>
              <w:bottom w:val="nil"/>
              <w:right w:val="nil"/>
            </w:tcBorders>
            <w:shd w:val="clear" w:color="auto" w:fill="auto"/>
            <w:vAlign w:val="bottom"/>
          </w:tcPr>
          <w:p w14:paraId="4D0C60D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EEB3D7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1A0FA2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7A8BB5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0F282CBD"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1348F540"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70F560A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1088EC2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6FD8BB7B" w14:textId="2987575C"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7151</w:t>
            </w:r>
          </w:p>
        </w:tc>
      </w:tr>
      <w:tr w:rsidR="00F4063A" w:rsidRPr="003E4580" w14:paraId="34151ED7" w14:textId="77777777" w:rsidTr="00F4063A">
        <w:tc>
          <w:tcPr>
            <w:tcW w:w="188" w:type="pct"/>
            <w:tcBorders>
              <w:top w:val="nil"/>
              <w:left w:val="nil"/>
              <w:bottom w:val="nil"/>
              <w:right w:val="nil"/>
            </w:tcBorders>
          </w:tcPr>
          <w:p w14:paraId="75E01963"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26</w:t>
            </w:r>
          </w:p>
        </w:tc>
        <w:tc>
          <w:tcPr>
            <w:tcW w:w="141" w:type="pct"/>
            <w:tcBorders>
              <w:top w:val="nil"/>
              <w:left w:val="nil"/>
              <w:bottom w:val="nil"/>
              <w:right w:val="nil"/>
            </w:tcBorders>
            <w:shd w:val="clear" w:color="auto" w:fill="auto"/>
            <w:vAlign w:val="bottom"/>
          </w:tcPr>
          <w:p w14:paraId="313AE34D" w14:textId="2CD838C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18</w:t>
            </w:r>
          </w:p>
        </w:tc>
        <w:tc>
          <w:tcPr>
            <w:tcW w:w="141" w:type="pct"/>
            <w:tcBorders>
              <w:top w:val="nil"/>
              <w:left w:val="nil"/>
              <w:bottom w:val="nil"/>
              <w:right w:val="nil"/>
            </w:tcBorders>
            <w:shd w:val="clear" w:color="auto" w:fill="auto"/>
            <w:vAlign w:val="bottom"/>
          </w:tcPr>
          <w:p w14:paraId="3B2ED006" w14:textId="7E078C3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50</w:t>
            </w:r>
          </w:p>
        </w:tc>
        <w:tc>
          <w:tcPr>
            <w:tcW w:w="141" w:type="pct"/>
            <w:tcBorders>
              <w:top w:val="nil"/>
              <w:left w:val="nil"/>
              <w:bottom w:val="nil"/>
              <w:right w:val="nil"/>
            </w:tcBorders>
            <w:shd w:val="clear" w:color="auto" w:fill="auto"/>
            <w:vAlign w:val="bottom"/>
          </w:tcPr>
          <w:p w14:paraId="0DEF41DC" w14:textId="029A732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72</w:t>
            </w:r>
          </w:p>
        </w:tc>
        <w:tc>
          <w:tcPr>
            <w:tcW w:w="141" w:type="pct"/>
            <w:tcBorders>
              <w:top w:val="nil"/>
              <w:left w:val="nil"/>
              <w:bottom w:val="nil"/>
              <w:right w:val="nil"/>
            </w:tcBorders>
            <w:shd w:val="clear" w:color="auto" w:fill="auto"/>
            <w:vAlign w:val="bottom"/>
          </w:tcPr>
          <w:p w14:paraId="2EBE59EF" w14:textId="7A410F2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69</w:t>
            </w:r>
          </w:p>
        </w:tc>
        <w:tc>
          <w:tcPr>
            <w:tcW w:w="141" w:type="pct"/>
            <w:tcBorders>
              <w:top w:val="nil"/>
              <w:left w:val="nil"/>
              <w:bottom w:val="nil"/>
              <w:right w:val="nil"/>
            </w:tcBorders>
            <w:shd w:val="clear" w:color="auto" w:fill="auto"/>
            <w:vAlign w:val="bottom"/>
          </w:tcPr>
          <w:p w14:paraId="578CE477" w14:textId="2CEF903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67</w:t>
            </w:r>
          </w:p>
        </w:tc>
        <w:tc>
          <w:tcPr>
            <w:tcW w:w="141" w:type="pct"/>
            <w:tcBorders>
              <w:top w:val="nil"/>
              <w:left w:val="nil"/>
              <w:bottom w:val="nil"/>
              <w:right w:val="nil"/>
            </w:tcBorders>
            <w:shd w:val="clear" w:color="auto" w:fill="auto"/>
            <w:vAlign w:val="bottom"/>
          </w:tcPr>
          <w:p w14:paraId="53257D60" w14:textId="16C8DA7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88</w:t>
            </w:r>
          </w:p>
        </w:tc>
        <w:tc>
          <w:tcPr>
            <w:tcW w:w="141" w:type="pct"/>
            <w:tcBorders>
              <w:top w:val="nil"/>
              <w:left w:val="nil"/>
              <w:bottom w:val="nil"/>
              <w:right w:val="nil"/>
            </w:tcBorders>
            <w:shd w:val="clear" w:color="auto" w:fill="auto"/>
            <w:vAlign w:val="bottom"/>
          </w:tcPr>
          <w:p w14:paraId="6047A50A" w14:textId="327278C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93</w:t>
            </w:r>
          </w:p>
        </w:tc>
        <w:tc>
          <w:tcPr>
            <w:tcW w:w="141" w:type="pct"/>
            <w:tcBorders>
              <w:top w:val="nil"/>
              <w:left w:val="nil"/>
              <w:bottom w:val="nil"/>
              <w:right w:val="nil"/>
            </w:tcBorders>
            <w:shd w:val="clear" w:color="auto" w:fill="auto"/>
            <w:vAlign w:val="bottom"/>
          </w:tcPr>
          <w:p w14:paraId="37935051" w14:textId="6C911B5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88</w:t>
            </w:r>
          </w:p>
        </w:tc>
        <w:tc>
          <w:tcPr>
            <w:tcW w:w="141" w:type="pct"/>
            <w:tcBorders>
              <w:top w:val="nil"/>
              <w:left w:val="nil"/>
              <w:bottom w:val="nil"/>
              <w:right w:val="nil"/>
            </w:tcBorders>
            <w:shd w:val="clear" w:color="auto" w:fill="auto"/>
            <w:vAlign w:val="bottom"/>
          </w:tcPr>
          <w:p w14:paraId="297D0B8B" w14:textId="15D22A9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97</w:t>
            </w:r>
          </w:p>
        </w:tc>
        <w:tc>
          <w:tcPr>
            <w:tcW w:w="141" w:type="pct"/>
            <w:tcBorders>
              <w:top w:val="nil"/>
              <w:left w:val="nil"/>
              <w:bottom w:val="nil"/>
              <w:right w:val="nil"/>
            </w:tcBorders>
            <w:shd w:val="clear" w:color="auto" w:fill="auto"/>
            <w:vAlign w:val="bottom"/>
          </w:tcPr>
          <w:p w14:paraId="3D309E5A" w14:textId="3AB91BB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100</w:t>
            </w:r>
          </w:p>
        </w:tc>
        <w:tc>
          <w:tcPr>
            <w:tcW w:w="141" w:type="pct"/>
            <w:tcBorders>
              <w:top w:val="nil"/>
              <w:left w:val="nil"/>
              <w:bottom w:val="nil"/>
              <w:right w:val="nil"/>
            </w:tcBorders>
            <w:shd w:val="clear" w:color="auto" w:fill="auto"/>
            <w:vAlign w:val="bottom"/>
          </w:tcPr>
          <w:p w14:paraId="0D37A7C8" w14:textId="6A68A65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139</w:t>
            </w:r>
          </w:p>
        </w:tc>
        <w:tc>
          <w:tcPr>
            <w:tcW w:w="141" w:type="pct"/>
            <w:tcBorders>
              <w:top w:val="nil"/>
              <w:left w:val="nil"/>
              <w:bottom w:val="nil"/>
              <w:right w:val="nil"/>
            </w:tcBorders>
            <w:shd w:val="clear" w:color="auto" w:fill="auto"/>
            <w:vAlign w:val="bottom"/>
          </w:tcPr>
          <w:p w14:paraId="2B2C6944" w14:textId="4BC29BF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176</w:t>
            </w:r>
          </w:p>
        </w:tc>
        <w:tc>
          <w:tcPr>
            <w:tcW w:w="141" w:type="pct"/>
            <w:tcBorders>
              <w:top w:val="nil"/>
              <w:left w:val="nil"/>
              <w:bottom w:val="nil"/>
              <w:right w:val="nil"/>
            </w:tcBorders>
            <w:shd w:val="clear" w:color="auto" w:fill="auto"/>
            <w:vAlign w:val="bottom"/>
          </w:tcPr>
          <w:p w14:paraId="61CF25BA" w14:textId="03E73C3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207</w:t>
            </w:r>
          </w:p>
        </w:tc>
        <w:tc>
          <w:tcPr>
            <w:tcW w:w="141" w:type="pct"/>
            <w:tcBorders>
              <w:top w:val="nil"/>
              <w:left w:val="nil"/>
              <w:bottom w:val="nil"/>
              <w:right w:val="nil"/>
            </w:tcBorders>
            <w:shd w:val="clear" w:color="auto" w:fill="auto"/>
            <w:vAlign w:val="bottom"/>
          </w:tcPr>
          <w:p w14:paraId="62E72A1C" w14:textId="58FCB9E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226</w:t>
            </w:r>
          </w:p>
        </w:tc>
        <w:tc>
          <w:tcPr>
            <w:tcW w:w="141" w:type="pct"/>
            <w:tcBorders>
              <w:top w:val="nil"/>
              <w:left w:val="nil"/>
              <w:bottom w:val="nil"/>
              <w:right w:val="nil"/>
            </w:tcBorders>
            <w:shd w:val="clear" w:color="auto" w:fill="auto"/>
            <w:vAlign w:val="bottom"/>
          </w:tcPr>
          <w:p w14:paraId="59475055" w14:textId="7274C32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319</w:t>
            </w:r>
          </w:p>
        </w:tc>
        <w:tc>
          <w:tcPr>
            <w:tcW w:w="141" w:type="pct"/>
            <w:tcBorders>
              <w:top w:val="nil"/>
              <w:left w:val="nil"/>
              <w:bottom w:val="nil"/>
              <w:right w:val="nil"/>
            </w:tcBorders>
            <w:shd w:val="clear" w:color="auto" w:fill="auto"/>
            <w:vAlign w:val="bottom"/>
          </w:tcPr>
          <w:p w14:paraId="1FE1B6C1" w14:textId="046FD97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445</w:t>
            </w:r>
          </w:p>
        </w:tc>
        <w:tc>
          <w:tcPr>
            <w:tcW w:w="141" w:type="pct"/>
            <w:tcBorders>
              <w:top w:val="nil"/>
              <w:left w:val="nil"/>
              <w:bottom w:val="nil"/>
              <w:right w:val="nil"/>
            </w:tcBorders>
            <w:shd w:val="clear" w:color="auto" w:fill="auto"/>
            <w:vAlign w:val="bottom"/>
          </w:tcPr>
          <w:p w14:paraId="312CD6D7" w14:textId="51F7189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475</w:t>
            </w:r>
          </w:p>
        </w:tc>
        <w:tc>
          <w:tcPr>
            <w:tcW w:w="141" w:type="pct"/>
            <w:tcBorders>
              <w:top w:val="nil"/>
              <w:left w:val="nil"/>
              <w:bottom w:val="nil"/>
              <w:right w:val="nil"/>
            </w:tcBorders>
            <w:shd w:val="clear" w:color="auto" w:fill="auto"/>
            <w:vAlign w:val="bottom"/>
          </w:tcPr>
          <w:p w14:paraId="203ACFF2" w14:textId="0F76B7E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519</w:t>
            </w:r>
          </w:p>
        </w:tc>
        <w:tc>
          <w:tcPr>
            <w:tcW w:w="141" w:type="pct"/>
            <w:tcBorders>
              <w:top w:val="nil"/>
              <w:left w:val="nil"/>
              <w:bottom w:val="nil"/>
              <w:right w:val="nil"/>
            </w:tcBorders>
            <w:shd w:val="clear" w:color="auto" w:fill="auto"/>
            <w:vAlign w:val="bottom"/>
          </w:tcPr>
          <w:p w14:paraId="0B484897" w14:textId="58795C4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562</w:t>
            </w:r>
          </w:p>
        </w:tc>
        <w:tc>
          <w:tcPr>
            <w:tcW w:w="141" w:type="pct"/>
            <w:tcBorders>
              <w:top w:val="nil"/>
              <w:left w:val="nil"/>
              <w:bottom w:val="nil"/>
              <w:right w:val="nil"/>
            </w:tcBorders>
            <w:shd w:val="clear" w:color="auto" w:fill="auto"/>
            <w:vAlign w:val="bottom"/>
          </w:tcPr>
          <w:p w14:paraId="6F157BE1" w14:textId="42D6D1D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644</w:t>
            </w:r>
          </w:p>
        </w:tc>
        <w:tc>
          <w:tcPr>
            <w:tcW w:w="141" w:type="pct"/>
            <w:tcBorders>
              <w:top w:val="nil"/>
              <w:left w:val="nil"/>
              <w:bottom w:val="nil"/>
              <w:right w:val="nil"/>
            </w:tcBorders>
            <w:shd w:val="clear" w:color="auto" w:fill="auto"/>
            <w:vAlign w:val="bottom"/>
          </w:tcPr>
          <w:p w14:paraId="263E5B54" w14:textId="463CCCB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683</w:t>
            </w:r>
          </w:p>
        </w:tc>
        <w:tc>
          <w:tcPr>
            <w:tcW w:w="141" w:type="pct"/>
            <w:tcBorders>
              <w:top w:val="nil"/>
              <w:left w:val="nil"/>
              <w:bottom w:val="nil"/>
              <w:right w:val="nil"/>
            </w:tcBorders>
            <w:shd w:val="clear" w:color="auto" w:fill="auto"/>
            <w:vAlign w:val="bottom"/>
          </w:tcPr>
          <w:p w14:paraId="41427145" w14:textId="58A6264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600</w:t>
            </w:r>
          </w:p>
        </w:tc>
        <w:tc>
          <w:tcPr>
            <w:tcW w:w="141" w:type="pct"/>
            <w:tcBorders>
              <w:top w:val="nil"/>
              <w:left w:val="nil"/>
              <w:bottom w:val="nil"/>
              <w:right w:val="nil"/>
            </w:tcBorders>
            <w:shd w:val="clear" w:color="auto" w:fill="auto"/>
            <w:vAlign w:val="bottom"/>
          </w:tcPr>
          <w:p w14:paraId="2D00300C" w14:textId="7917397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524</w:t>
            </w:r>
          </w:p>
        </w:tc>
        <w:tc>
          <w:tcPr>
            <w:tcW w:w="141" w:type="pct"/>
            <w:tcBorders>
              <w:top w:val="nil"/>
              <w:left w:val="nil"/>
              <w:bottom w:val="nil"/>
              <w:right w:val="nil"/>
            </w:tcBorders>
            <w:shd w:val="clear" w:color="auto" w:fill="auto"/>
            <w:vAlign w:val="bottom"/>
          </w:tcPr>
          <w:p w14:paraId="7B3FF6E0" w14:textId="0B05B6D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463</w:t>
            </w:r>
          </w:p>
        </w:tc>
        <w:tc>
          <w:tcPr>
            <w:tcW w:w="141" w:type="pct"/>
            <w:tcBorders>
              <w:top w:val="nil"/>
              <w:left w:val="nil"/>
              <w:bottom w:val="nil"/>
              <w:right w:val="nil"/>
            </w:tcBorders>
            <w:shd w:val="clear" w:color="auto" w:fill="auto"/>
            <w:vAlign w:val="bottom"/>
          </w:tcPr>
          <w:p w14:paraId="5FEEEA41" w14:textId="75436F8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296</w:t>
            </w:r>
          </w:p>
        </w:tc>
        <w:tc>
          <w:tcPr>
            <w:tcW w:w="141" w:type="pct"/>
            <w:tcBorders>
              <w:top w:val="nil"/>
              <w:left w:val="nil"/>
              <w:bottom w:val="nil"/>
              <w:right w:val="nil"/>
            </w:tcBorders>
            <w:shd w:val="clear" w:color="auto" w:fill="auto"/>
            <w:vAlign w:val="bottom"/>
          </w:tcPr>
          <w:p w14:paraId="6B9DBB9E" w14:textId="356590D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73</w:t>
            </w:r>
          </w:p>
        </w:tc>
        <w:tc>
          <w:tcPr>
            <w:tcW w:w="141" w:type="pct"/>
            <w:tcBorders>
              <w:top w:val="nil"/>
              <w:left w:val="nil"/>
              <w:bottom w:val="nil"/>
              <w:right w:val="nil"/>
            </w:tcBorders>
            <w:shd w:val="clear" w:color="auto" w:fill="auto"/>
            <w:vAlign w:val="bottom"/>
          </w:tcPr>
          <w:p w14:paraId="1D338DD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DD54B3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AB4771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5848B671"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788C0322"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2E6139B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62F11AB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569BDA5E" w14:textId="482F362B"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7092</w:t>
            </w:r>
          </w:p>
        </w:tc>
      </w:tr>
      <w:tr w:rsidR="00F4063A" w:rsidRPr="003E4580" w14:paraId="5A0836A2" w14:textId="77777777" w:rsidTr="00F4063A">
        <w:tc>
          <w:tcPr>
            <w:tcW w:w="188" w:type="pct"/>
            <w:tcBorders>
              <w:top w:val="nil"/>
              <w:left w:val="nil"/>
              <w:bottom w:val="nil"/>
              <w:right w:val="nil"/>
            </w:tcBorders>
          </w:tcPr>
          <w:p w14:paraId="294CFE04"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27</w:t>
            </w:r>
          </w:p>
        </w:tc>
        <w:tc>
          <w:tcPr>
            <w:tcW w:w="141" w:type="pct"/>
            <w:tcBorders>
              <w:top w:val="nil"/>
              <w:left w:val="nil"/>
              <w:bottom w:val="nil"/>
              <w:right w:val="nil"/>
            </w:tcBorders>
            <w:shd w:val="clear" w:color="auto" w:fill="auto"/>
            <w:vAlign w:val="bottom"/>
          </w:tcPr>
          <w:p w14:paraId="09B9A61D" w14:textId="7D7D0D6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13</w:t>
            </w:r>
          </w:p>
        </w:tc>
        <w:tc>
          <w:tcPr>
            <w:tcW w:w="141" w:type="pct"/>
            <w:tcBorders>
              <w:top w:val="nil"/>
              <w:left w:val="nil"/>
              <w:bottom w:val="nil"/>
              <w:right w:val="nil"/>
            </w:tcBorders>
            <w:shd w:val="clear" w:color="auto" w:fill="auto"/>
            <w:vAlign w:val="bottom"/>
          </w:tcPr>
          <w:p w14:paraId="32266507" w14:textId="4178572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42</w:t>
            </w:r>
          </w:p>
        </w:tc>
        <w:tc>
          <w:tcPr>
            <w:tcW w:w="141" w:type="pct"/>
            <w:tcBorders>
              <w:top w:val="nil"/>
              <w:left w:val="nil"/>
              <w:bottom w:val="nil"/>
              <w:right w:val="nil"/>
            </w:tcBorders>
            <w:shd w:val="clear" w:color="auto" w:fill="auto"/>
            <w:vAlign w:val="bottom"/>
          </w:tcPr>
          <w:p w14:paraId="05FE83C1" w14:textId="40B43D1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69</w:t>
            </w:r>
          </w:p>
        </w:tc>
        <w:tc>
          <w:tcPr>
            <w:tcW w:w="141" w:type="pct"/>
            <w:tcBorders>
              <w:top w:val="nil"/>
              <w:left w:val="nil"/>
              <w:bottom w:val="nil"/>
              <w:right w:val="nil"/>
            </w:tcBorders>
            <w:shd w:val="clear" w:color="auto" w:fill="auto"/>
            <w:vAlign w:val="bottom"/>
          </w:tcPr>
          <w:p w14:paraId="10113E29" w14:textId="5D99B2D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69</w:t>
            </w:r>
          </w:p>
        </w:tc>
        <w:tc>
          <w:tcPr>
            <w:tcW w:w="141" w:type="pct"/>
            <w:tcBorders>
              <w:top w:val="nil"/>
              <w:left w:val="nil"/>
              <w:bottom w:val="nil"/>
              <w:right w:val="nil"/>
            </w:tcBorders>
            <w:shd w:val="clear" w:color="auto" w:fill="auto"/>
            <w:vAlign w:val="bottom"/>
          </w:tcPr>
          <w:p w14:paraId="008A6378" w14:textId="6C6DCC9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64</w:t>
            </w:r>
          </w:p>
        </w:tc>
        <w:tc>
          <w:tcPr>
            <w:tcW w:w="141" w:type="pct"/>
            <w:tcBorders>
              <w:top w:val="nil"/>
              <w:left w:val="nil"/>
              <w:bottom w:val="nil"/>
              <w:right w:val="nil"/>
            </w:tcBorders>
            <w:shd w:val="clear" w:color="auto" w:fill="auto"/>
            <w:vAlign w:val="bottom"/>
          </w:tcPr>
          <w:p w14:paraId="5816AB63" w14:textId="2587723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70</w:t>
            </w:r>
          </w:p>
        </w:tc>
        <w:tc>
          <w:tcPr>
            <w:tcW w:w="141" w:type="pct"/>
            <w:tcBorders>
              <w:top w:val="nil"/>
              <w:left w:val="nil"/>
              <w:bottom w:val="nil"/>
              <w:right w:val="nil"/>
            </w:tcBorders>
            <w:shd w:val="clear" w:color="auto" w:fill="auto"/>
            <w:vAlign w:val="bottom"/>
          </w:tcPr>
          <w:p w14:paraId="78B9E907" w14:textId="5836402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91</w:t>
            </w:r>
          </w:p>
        </w:tc>
        <w:tc>
          <w:tcPr>
            <w:tcW w:w="141" w:type="pct"/>
            <w:tcBorders>
              <w:top w:val="nil"/>
              <w:left w:val="nil"/>
              <w:bottom w:val="nil"/>
              <w:right w:val="nil"/>
            </w:tcBorders>
            <w:shd w:val="clear" w:color="auto" w:fill="auto"/>
            <w:vAlign w:val="bottom"/>
          </w:tcPr>
          <w:p w14:paraId="0F2DA4B6" w14:textId="34475E7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97</w:t>
            </w:r>
          </w:p>
        </w:tc>
        <w:tc>
          <w:tcPr>
            <w:tcW w:w="141" w:type="pct"/>
            <w:tcBorders>
              <w:top w:val="nil"/>
              <w:left w:val="nil"/>
              <w:bottom w:val="nil"/>
              <w:right w:val="nil"/>
            </w:tcBorders>
            <w:shd w:val="clear" w:color="auto" w:fill="auto"/>
            <w:vAlign w:val="bottom"/>
          </w:tcPr>
          <w:p w14:paraId="651494A2" w14:textId="3100270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91</w:t>
            </w:r>
          </w:p>
        </w:tc>
        <w:tc>
          <w:tcPr>
            <w:tcW w:w="141" w:type="pct"/>
            <w:tcBorders>
              <w:top w:val="nil"/>
              <w:left w:val="nil"/>
              <w:bottom w:val="nil"/>
              <w:right w:val="nil"/>
            </w:tcBorders>
            <w:shd w:val="clear" w:color="auto" w:fill="auto"/>
            <w:vAlign w:val="bottom"/>
          </w:tcPr>
          <w:p w14:paraId="619705BB" w14:textId="6DE697B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101</w:t>
            </w:r>
          </w:p>
        </w:tc>
        <w:tc>
          <w:tcPr>
            <w:tcW w:w="141" w:type="pct"/>
            <w:tcBorders>
              <w:top w:val="nil"/>
              <w:left w:val="nil"/>
              <w:bottom w:val="nil"/>
              <w:right w:val="nil"/>
            </w:tcBorders>
            <w:shd w:val="clear" w:color="auto" w:fill="auto"/>
            <w:vAlign w:val="bottom"/>
          </w:tcPr>
          <w:p w14:paraId="79C3D2F0" w14:textId="4257A66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104</w:t>
            </w:r>
          </w:p>
        </w:tc>
        <w:tc>
          <w:tcPr>
            <w:tcW w:w="141" w:type="pct"/>
            <w:tcBorders>
              <w:top w:val="nil"/>
              <w:left w:val="nil"/>
              <w:bottom w:val="nil"/>
              <w:right w:val="nil"/>
            </w:tcBorders>
            <w:shd w:val="clear" w:color="auto" w:fill="auto"/>
            <w:vAlign w:val="bottom"/>
          </w:tcPr>
          <w:p w14:paraId="688032A0" w14:textId="379732D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145</w:t>
            </w:r>
          </w:p>
        </w:tc>
        <w:tc>
          <w:tcPr>
            <w:tcW w:w="141" w:type="pct"/>
            <w:tcBorders>
              <w:top w:val="nil"/>
              <w:left w:val="nil"/>
              <w:bottom w:val="nil"/>
              <w:right w:val="nil"/>
            </w:tcBorders>
            <w:shd w:val="clear" w:color="auto" w:fill="auto"/>
            <w:vAlign w:val="bottom"/>
          </w:tcPr>
          <w:p w14:paraId="192324A1" w14:textId="3E86BDF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183</w:t>
            </w:r>
          </w:p>
        </w:tc>
        <w:tc>
          <w:tcPr>
            <w:tcW w:w="141" w:type="pct"/>
            <w:tcBorders>
              <w:top w:val="nil"/>
              <w:left w:val="nil"/>
              <w:bottom w:val="nil"/>
              <w:right w:val="nil"/>
            </w:tcBorders>
            <w:shd w:val="clear" w:color="auto" w:fill="auto"/>
            <w:vAlign w:val="bottom"/>
          </w:tcPr>
          <w:p w14:paraId="7440FBAB" w14:textId="5231C43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216</w:t>
            </w:r>
          </w:p>
        </w:tc>
        <w:tc>
          <w:tcPr>
            <w:tcW w:w="141" w:type="pct"/>
            <w:tcBorders>
              <w:top w:val="nil"/>
              <w:left w:val="nil"/>
              <w:bottom w:val="nil"/>
              <w:right w:val="nil"/>
            </w:tcBorders>
            <w:shd w:val="clear" w:color="auto" w:fill="auto"/>
            <w:vAlign w:val="bottom"/>
          </w:tcPr>
          <w:p w14:paraId="7C03BE63" w14:textId="5A40F02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229</w:t>
            </w:r>
          </w:p>
        </w:tc>
        <w:tc>
          <w:tcPr>
            <w:tcW w:w="141" w:type="pct"/>
            <w:tcBorders>
              <w:top w:val="nil"/>
              <w:left w:val="nil"/>
              <w:bottom w:val="nil"/>
              <w:right w:val="nil"/>
            </w:tcBorders>
            <w:shd w:val="clear" w:color="auto" w:fill="auto"/>
            <w:vAlign w:val="bottom"/>
          </w:tcPr>
          <w:p w14:paraId="36ABD221" w14:textId="084B072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311</w:t>
            </w:r>
          </w:p>
        </w:tc>
        <w:tc>
          <w:tcPr>
            <w:tcW w:w="141" w:type="pct"/>
            <w:tcBorders>
              <w:top w:val="nil"/>
              <w:left w:val="nil"/>
              <w:bottom w:val="nil"/>
              <w:right w:val="nil"/>
            </w:tcBorders>
            <w:shd w:val="clear" w:color="auto" w:fill="auto"/>
            <w:vAlign w:val="bottom"/>
          </w:tcPr>
          <w:p w14:paraId="78A900B2" w14:textId="415D3E7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433</w:t>
            </w:r>
          </w:p>
        </w:tc>
        <w:tc>
          <w:tcPr>
            <w:tcW w:w="141" w:type="pct"/>
            <w:tcBorders>
              <w:top w:val="nil"/>
              <w:left w:val="nil"/>
              <w:bottom w:val="nil"/>
              <w:right w:val="nil"/>
            </w:tcBorders>
            <w:shd w:val="clear" w:color="auto" w:fill="auto"/>
            <w:vAlign w:val="bottom"/>
          </w:tcPr>
          <w:p w14:paraId="068C9C29" w14:textId="31329EB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463</w:t>
            </w:r>
          </w:p>
        </w:tc>
        <w:tc>
          <w:tcPr>
            <w:tcW w:w="141" w:type="pct"/>
            <w:tcBorders>
              <w:top w:val="nil"/>
              <w:left w:val="nil"/>
              <w:bottom w:val="nil"/>
              <w:right w:val="nil"/>
            </w:tcBorders>
            <w:shd w:val="clear" w:color="auto" w:fill="auto"/>
            <w:vAlign w:val="bottom"/>
          </w:tcPr>
          <w:p w14:paraId="5B4F8F29" w14:textId="7DFFCED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505</w:t>
            </w:r>
          </w:p>
        </w:tc>
        <w:tc>
          <w:tcPr>
            <w:tcW w:w="141" w:type="pct"/>
            <w:tcBorders>
              <w:top w:val="nil"/>
              <w:left w:val="nil"/>
              <w:bottom w:val="nil"/>
              <w:right w:val="nil"/>
            </w:tcBorders>
            <w:shd w:val="clear" w:color="auto" w:fill="auto"/>
            <w:vAlign w:val="bottom"/>
          </w:tcPr>
          <w:p w14:paraId="1633EF90" w14:textId="59AFBBD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545</w:t>
            </w:r>
          </w:p>
        </w:tc>
        <w:tc>
          <w:tcPr>
            <w:tcW w:w="141" w:type="pct"/>
            <w:tcBorders>
              <w:top w:val="nil"/>
              <w:left w:val="nil"/>
              <w:bottom w:val="nil"/>
              <w:right w:val="nil"/>
            </w:tcBorders>
            <w:shd w:val="clear" w:color="auto" w:fill="auto"/>
            <w:vAlign w:val="bottom"/>
          </w:tcPr>
          <w:p w14:paraId="617A2EB8" w14:textId="45C612E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624</w:t>
            </w:r>
          </w:p>
        </w:tc>
        <w:tc>
          <w:tcPr>
            <w:tcW w:w="141" w:type="pct"/>
            <w:tcBorders>
              <w:top w:val="nil"/>
              <w:left w:val="nil"/>
              <w:bottom w:val="nil"/>
              <w:right w:val="nil"/>
            </w:tcBorders>
            <w:shd w:val="clear" w:color="auto" w:fill="auto"/>
            <w:vAlign w:val="bottom"/>
          </w:tcPr>
          <w:p w14:paraId="275F26A8" w14:textId="5AD0F68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660</w:t>
            </w:r>
          </w:p>
        </w:tc>
        <w:tc>
          <w:tcPr>
            <w:tcW w:w="141" w:type="pct"/>
            <w:tcBorders>
              <w:top w:val="nil"/>
              <w:left w:val="nil"/>
              <w:bottom w:val="nil"/>
              <w:right w:val="nil"/>
            </w:tcBorders>
            <w:shd w:val="clear" w:color="auto" w:fill="auto"/>
            <w:vAlign w:val="bottom"/>
          </w:tcPr>
          <w:p w14:paraId="085ABE65" w14:textId="6409633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579</w:t>
            </w:r>
          </w:p>
        </w:tc>
        <w:tc>
          <w:tcPr>
            <w:tcW w:w="141" w:type="pct"/>
            <w:tcBorders>
              <w:top w:val="nil"/>
              <w:left w:val="nil"/>
              <w:bottom w:val="nil"/>
              <w:right w:val="nil"/>
            </w:tcBorders>
            <w:shd w:val="clear" w:color="auto" w:fill="auto"/>
            <w:vAlign w:val="bottom"/>
          </w:tcPr>
          <w:p w14:paraId="1C46E77C" w14:textId="5730C18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504</w:t>
            </w:r>
          </w:p>
        </w:tc>
        <w:tc>
          <w:tcPr>
            <w:tcW w:w="141" w:type="pct"/>
            <w:tcBorders>
              <w:top w:val="nil"/>
              <w:left w:val="nil"/>
              <w:bottom w:val="nil"/>
              <w:right w:val="nil"/>
            </w:tcBorders>
            <w:shd w:val="clear" w:color="auto" w:fill="auto"/>
            <w:vAlign w:val="bottom"/>
          </w:tcPr>
          <w:p w14:paraId="672B3BC3" w14:textId="047D0B8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444</w:t>
            </w:r>
          </w:p>
        </w:tc>
        <w:tc>
          <w:tcPr>
            <w:tcW w:w="141" w:type="pct"/>
            <w:tcBorders>
              <w:top w:val="nil"/>
              <w:left w:val="nil"/>
              <w:bottom w:val="nil"/>
              <w:right w:val="nil"/>
            </w:tcBorders>
            <w:shd w:val="clear" w:color="auto" w:fill="auto"/>
            <w:vAlign w:val="bottom"/>
          </w:tcPr>
          <w:p w14:paraId="00A09F21" w14:textId="70D044F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283</w:t>
            </w:r>
          </w:p>
        </w:tc>
        <w:tc>
          <w:tcPr>
            <w:tcW w:w="141" w:type="pct"/>
            <w:tcBorders>
              <w:top w:val="nil"/>
              <w:left w:val="nil"/>
              <w:bottom w:val="nil"/>
              <w:right w:val="nil"/>
            </w:tcBorders>
            <w:shd w:val="clear" w:color="auto" w:fill="auto"/>
            <w:vAlign w:val="bottom"/>
          </w:tcPr>
          <w:p w14:paraId="2D056F0F" w14:textId="00F2264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70</w:t>
            </w:r>
          </w:p>
        </w:tc>
        <w:tc>
          <w:tcPr>
            <w:tcW w:w="141" w:type="pct"/>
            <w:tcBorders>
              <w:top w:val="nil"/>
              <w:left w:val="nil"/>
              <w:bottom w:val="nil"/>
              <w:right w:val="nil"/>
            </w:tcBorders>
            <w:shd w:val="clear" w:color="auto" w:fill="auto"/>
            <w:vAlign w:val="bottom"/>
          </w:tcPr>
          <w:p w14:paraId="4482638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930DF3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42EF0BF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7AA6F79"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10835B0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1A4744B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3B237339" w14:textId="563DEFFA"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7006</w:t>
            </w:r>
          </w:p>
        </w:tc>
      </w:tr>
      <w:tr w:rsidR="00F4063A" w:rsidRPr="003E4580" w14:paraId="54E96943" w14:textId="77777777" w:rsidTr="00F4063A">
        <w:tc>
          <w:tcPr>
            <w:tcW w:w="188" w:type="pct"/>
            <w:tcBorders>
              <w:top w:val="nil"/>
              <w:left w:val="nil"/>
              <w:bottom w:val="nil"/>
              <w:right w:val="nil"/>
            </w:tcBorders>
          </w:tcPr>
          <w:p w14:paraId="0824D865"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28</w:t>
            </w:r>
          </w:p>
        </w:tc>
        <w:tc>
          <w:tcPr>
            <w:tcW w:w="141" w:type="pct"/>
            <w:tcBorders>
              <w:top w:val="nil"/>
              <w:left w:val="nil"/>
              <w:bottom w:val="nil"/>
              <w:right w:val="nil"/>
            </w:tcBorders>
            <w:shd w:val="clear" w:color="auto" w:fill="auto"/>
            <w:vAlign w:val="bottom"/>
          </w:tcPr>
          <w:p w14:paraId="088E519E" w14:textId="4B4FE1A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12</w:t>
            </w:r>
          </w:p>
        </w:tc>
        <w:tc>
          <w:tcPr>
            <w:tcW w:w="141" w:type="pct"/>
            <w:tcBorders>
              <w:top w:val="nil"/>
              <w:left w:val="nil"/>
              <w:bottom w:val="nil"/>
              <w:right w:val="nil"/>
            </w:tcBorders>
            <w:shd w:val="clear" w:color="auto" w:fill="auto"/>
            <w:vAlign w:val="bottom"/>
          </w:tcPr>
          <w:p w14:paraId="56DDD358" w14:textId="5290A11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w:t>
            </w:r>
          </w:p>
        </w:tc>
        <w:tc>
          <w:tcPr>
            <w:tcW w:w="141" w:type="pct"/>
            <w:tcBorders>
              <w:top w:val="nil"/>
              <w:left w:val="nil"/>
              <w:bottom w:val="nil"/>
              <w:right w:val="nil"/>
            </w:tcBorders>
            <w:shd w:val="clear" w:color="auto" w:fill="auto"/>
            <w:vAlign w:val="bottom"/>
          </w:tcPr>
          <w:p w14:paraId="1701B29C" w14:textId="11814FB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58</w:t>
            </w:r>
          </w:p>
        </w:tc>
        <w:tc>
          <w:tcPr>
            <w:tcW w:w="141" w:type="pct"/>
            <w:tcBorders>
              <w:top w:val="nil"/>
              <w:left w:val="nil"/>
              <w:bottom w:val="nil"/>
              <w:right w:val="nil"/>
            </w:tcBorders>
            <w:shd w:val="clear" w:color="auto" w:fill="auto"/>
            <w:vAlign w:val="bottom"/>
          </w:tcPr>
          <w:p w14:paraId="372DC3C5" w14:textId="28DB0CB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w:t>
            </w:r>
          </w:p>
        </w:tc>
        <w:tc>
          <w:tcPr>
            <w:tcW w:w="141" w:type="pct"/>
            <w:tcBorders>
              <w:top w:val="nil"/>
              <w:left w:val="nil"/>
              <w:bottom w:val="nil"/>
              <w:right w:val="nil"/>
            </w:tcBorders>
            <w:shd w:val="clear" w:color="auto" w:fill="auto"/>
            <w:vAlign w:val="bottom"/>
          </w:tcPr>
          <w:p w14:paraId="71BC1FC6" w14:textId="7682E8D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63</w:t>
            </w:r>
          </w:p>
        </w:tc>
        <w:tc>
          <w:tcPr>
            <w:tcW w:w="141" w:type="pct"/>
            <w:tcBorders>
              <w:top w:val="nil"/>
              <w:left w:val="nil"/>
              <w:bottom w:val="nil"/>
              <w:right w:val="nil"/>
            </w:tcBorders>
            <w:shd w:val="clear" w:color="auto" w:fill="auto"/>
            <w:vAlign w:val="bottom"/>
          </w:tcPr>
          <w:p w14:paraId="591BEC82" w14:textId="1D8F3AA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w:t>
            </w:r>
          </w:p>
        </w:tc>
        <w:tc>
          <w:tcPr>
            <w:tcW w:w="141" w:type="pct"/>
            <w:tcBorders>
              <w:top w:val="nil"/>
              <w:left w:val="nil"/>
              <w:bottom w:val="nil"/>
              <w:right w:val="nil"/>
            </w:tcBorders>
            <w:shd w:val="clear" w:color="auto" w:fill="auto"/>
            <w:vAlign w:val="bottom"/>
          </w:tcPr>
          <w:p w14:paraId="1F4D218D" w14:textId="1AC980F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73</w:t>
            </w:r>
          </w:p>
        </w:tc>
        <w:tc>
          <w:tcPr>
            <w:tcW w:w="141" w:type="pct"/>
            <w:tcBorders>
              <w:top w:val="nil"/>
              <w:left w:val="nil"/>
              <w:bottom w:val="nil"/>
              <w:right w:val="nil"/>
            </w:tcBorders>
            <w:shd w:val="clear" w:color="auto" w:fill="auto"/>
            <w:vAlign w:val="bottom"/>
          </w:tcPr>
          <w:p w14:paraId="6D0CEE65" w14:textId="3F665AD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95</w:t>
            </w:r>
          </w:p>
        </w:tc>
        <w:tc>
          <w:tcPr>
            <w:tcW w:w="141" w:type="pct"/>
            <w:tcBorders>
              <w:top w:val="nil"/>
              <w:left w:val="nil"/>
              <w:bottom w:val="nil"/>
              <w:right w:val="nil"/>
            </w:tcBorders>
            <w:shd w:val="clear" w:color="auto" w:fill="auto"/>
            <w:vAlign w:val="bottom"/>
          </w:tcPr>
          <w:p w14:paraId="2422802B" w14:textId="54B7469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101</w:t>
            </w:r>
          </w:p>
        </w:tc>
        <w:tc>
          <w:tcPr>
            <w:tcW w:w="141" w:type="pct"/>
            <w:tcBorders>
              <w:top w:val="nil"/>
              <w:left w:val="nil"/>
              <w:bottom w:val="nil"/>
              <w:right w:val="nil"/>
            </w:tcBorders>
            <w:shd w:val="clear" w:color="auto" w:fill="auto"/>
            <w:vAlign w:val="bottom"/>
          </w:tcPr>
          <w:p w14:paraId="5A9BC59D" w14:textId="161BE4F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95</w:t>
            </w:r>
          </w:p>
        </w:tc>
        <w:tc>
          <w:tcPr>
            <w:tcW w:w="141" w:type="pct"/>
            <w:tcBorders>
              <w:top w:val="nil"/>
              <w:left w:val="nil"/>
              <w:bottom w:val="nil"/>
              <w:right w:val="nil"/>
            </w:tcBorders>
            <w:shd w:val="clear" w:color="auto" w:fill="auto"/>
            <w:vAlign w:val="bottom"/>
          </w:tcPr>
          <w:p w14:paraId="24F909A1" w14:textId="472B0CC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105</w:t>
            </w:r>
          </w:p>
        </w:tc>
        <w:tc>
          <w:tcPr>
            <w:tcW w:w="141" w:type="pct"/>
            <w:tcBorders>
              <w:top w:val="nil"/>
              <w:left w:val="nil"/>
              <w:bottom w:val="nil"/>
              <w:right w:val="nil"/>
            </w:tcBorders>
            <w:shd w:val="clear" w:color="auto" w:fill="auto"/>
            <w:vAlign w:val="bottom"/>
          </w:tcPr>
          <w:p w14:paraId="00F3270E" w14:textId="5996FC1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109</w:t>
            </w:r>
          </w:p>
        </w:tc>
        <w:tc>
          <w:tcPr>
            <w:tcW w:w="141" w:type="pct"/>
            <w:tcBorders>
              <w:top w:val="nil"/>
              <w:left w:val="nil"/>
              <w:bottom w:val="nil"/>
              <w:right w:val="nil"/>
            </w:tcBorders>
            <w:shd w:val="clear" w:color="auto" w:fill="auto"/>
            <w:vAlign w:val="bottom"/>
          </w:tcPr>
          <w:p w14:paraId="0B2DF518" w14:textId="10522CF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151</w:t>
            </w:r>
          </w:p>
        </w:tc>
        <w:tc>
          <w:tcPr>
            <w:tcW w:w="141" w:type="pct"/>
            <w:tcBorders>
              <w:top w:val="nil"/>
              <w:left w:val="nil"/>
              <w:bottom w:val="nil"/>
              <w:right w:val="nil"/>
            </w:tcBorders>
            <w:shd w:val="clear" w:color="auto" w:fill="auto"/>
            <w:vAlign w:val="bottom"/>
          </w:tcPr>
          <w:p w14:paraId="7D204540" w14:textId="3B92D59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191</w:t>
            </w:r>
          </w:p>
        </w:tc>
        <w:tc>
          <w:tcPr>
            <w:tcW w:w="141" w:type="pct"/>
            <w:tcBorders>
              <w:top w:val="nil"/>
              <w:left w:val="nil"/>
              <w:bottom w:val="nil"/>
              <w:right w:val="nil"/>
            </w:tcBorders>
            <w:shd w:val="clear" w:color="auto" w:fill="auto"/>
            <w:vAlign w:val="bottom"/>
          </w:tcPr>
          <w:p w14:paraId="5A0DA20B" w14:textId="0B18087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218</w:t>
            </w:r>
          </w:p>
        </w:tc>
        <w:tc>
          <w:tcPr>
            <w:tcW w:w="141" w:type="pct"/>
            <w:tcBorders>
              <w:top w:val="nil"/>
              <w:left w:val="nil"/>
              <w:bottom w:val="nil"/>
              <w:right w:val="nil"/>
            </w:tcBorders>
            <w:shd w:val="clear" w:color="auto" w:fill="auto"/>
            <w:vAlign w:val="bottom"/>
          </w:tcPr>
          <w:p w14:paraId="580E76E8" w14:textId="3409D9E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224</w:t>
            </w:r>
          </w:p>
        </w:tc>
        <w:tc>
          <w:tcPr>
            <w:tcW w:w="141" w:type="pct"/>
            <w:tcBorders>
              <w:top w:val="nil"/>
              <w:left w:val="nil"/>
              <w:bottom w:val="nil"/>
              <w:right w:val="nil"/>
            </w:tcBorders>
            <w:shd w:val="clear" w:color="auto" w:fill="auto"/>
            <w:vAlign w:val="bottom"/>
          </w:tcPr>
          <w:p w14:paraId="3DF4863C" w14:textId="78F96BD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304</w:t>
            </w:r>
          </w:p>
        </w:tc>
        <w:tc>
          <w:tcPr>
            <w:tcW w:w="141" w:type="pct"/>
            <w:tcBorders>
              <w:top w:val="nil"/>
              <w:left w:val="nil"/>
              <w:bottom w:val="nil"/>
              <w:right w:val="nil"/>
            </w:tcBorders>
            <w:shd w:val="clear" w:color="auto" w:fill="auto"/>
            <w:vAlign w:val="bottom"/>
          </w:tcPr>
          <w:p w14:paraId="68CE9179" w14:textId="13AB6A7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422</w:t>
            </w:r>
          </w:p>
        </w:tc>
        <w:tc>
          <w:tcPr>
            <w:tcW w:w="141" w:type="pct"/>
            <w:tcBorders>
              <w:top w:val="nil"/>
              <w:left w:val="nil"/>
              <w:bottom w:val="nil"/>
              <w:right w:val="nil"/>
            </w:tcBorders>
            <w:shd w:val="clear" w:color="auto" w:fill="auto"/>
            <w:vAlign w:val="bottom"/>
          </w:tcPr>
          <w:p w14:paraId="57AFBB74" w14:textId="3220B3E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450</w:t>
            </w:r>
          </w:p>
        </w:tc>
        <w:tc>
          <w:tcPr>
            <w:tcW w:w="141" w:type="pct"/>
            <w:tcBorders>
              <w:top w:val="nil"/>
              <w:left w:val="nil"/>
              <w:bottom w:val="nil"/>
              <w:right w:val="nil"/>
            </w:tcBorders>
            <w:shd w:val="clear" w:color="auto" w:fill="auto"/>
            <w:vAlign w:val="bottom"/>
          </w:tcPr>
          <w:p w14:paraId="0BB72B95" w14:textId="2BA22F6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490</w:t>
            </w:r>
          </w:p>
        </w:tc>
        <w:tc>
          <w:tcPr>
            <w:tcW w:w="141" w:type="pct"/>
            <w:tcBorders>
              <w:top w:val="nil"/>
              <w:left w:val="nil"/>
              <w:bottom w:val="nil"/>
              <w:right w:val="nil"/>
            </w:tcBorders>
            <w:shd w:val="clear" w:color="auto" w:fill="auto"/>
            <w:vAlign w:val="bottom"/>
          </w:tcPr>
          <w:p w14:paraId="0D0FAFD3" w14:textId="0801931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528</w:t>
            </w:r>
          </w:p>
        </w:tc>
        <w:tc>
          <w:tcPr>
            <w:tcW w:w="141" w:type="pct"/>
            <w:tcBorders>
              <w:top w:val="nil"/>
              <w:left w:val="nil"/>
              <w:bottom w:val="nil"/>
              <w:right w:val="nil"/>
            </w:tcBorders>
            <w:shd w:val="clear" w:color="auto" w:fill="auto"/>
            <w:vAlign w:val="bottom"/>
          </w:tcPr>
          <w:p w14:paraId="2DD8EA13" w14:textId="3F7542F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603</w:t>
            </w:r>
          </w:p>
        </w:tc>
        <w:tc>
          <w:tcPr>
            <w:tcW w:w="141" w:type="pct"/>
            <w:tcBorders>
              <w:top w:val="nil"/>
              <w:left w:val="nil"/>
              <w:bottom w:val="nil"/>
              <w:right w:val="nil"/>
            </w:tcBorders>
            <w:shd w:val="clear" w:color="auto" w:fill="auto"/>
            <w:vAlign w:val="bottom"/>
          </w:tcPr>
          <w:p w14:paraId="7598AC1F" w14:textId="10977EA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637</w:t>
            </w:r>
          </w:p>
        </w:tc>
        <w:tc>
          <w:tcPr>
            <w:tcW w:w="141" w:type="pct"/>
            <w:tcBorders>
              <w:top w:val="nil"/>
              <w:left w:val="nil"/>
              <w:bottom w:val="nil"/>
              <w:right w:val="nil"/>
            </w:tcBorders>
            <w:shd w:val="clear" w:color="auto" w:fill="auto"/>
            <w:vAlign w:val="bottom"/>
          </w:tcPr>
          <w:p w14:paraId="7D101D90" w14:textId="61A06B7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557</w:t>
            </w:r>
          </w:p>
        </w:tc>
        <w:tc>
          <w:tcPr>
            <w:tcW w:w="141" w:type="pct"/>
            <w:tcBorders>
              <w:top w:val="nil"/>
              <w:left w:val="nil"/>
              <w:bottom w:val="nil"/>
              <w:right w:val="nil"/>
            </w:tcBorders>
            <w:shd w:val="clear" w:color="auto" w:fill="auto"/>
            <w:vAlign w:val="bottom"/>
          </w:tcPr>
          <w:p w14:paraId="6E4B2AB3" w14:textId="6246C55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484</w:t>
            </w:r>
          </w:p>
        </w:tc>
        <w:tc>
          <w:tcPr>
            <w:tcW w:w="141" w:type="pct"/>
            <w:tcBorders>
              <w:top w:val="nil"/>
              <w:left w:val="nil"/>
              <w:bottom w:val="nil"/>
              <w:right w:val="nil"/>
            </w:tcBorders>
            <w:shd w:val="clear" w:color="auto" w:fill="auto"/>
            <w:vAlign w:val="bottom"/>
          </w:tcPr>
          <w:p w14:paraId="54B20BF0" w14:textId="7EB89EC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425</w:t>
            </w:r>
          </w:p>
        </w:tc>
        <w:tc>
          <w:tcPr>
            <w:tcW w:w="141" w:type="pct"/>
            <w:tcBorders>
              <w:top w:val="nil"/>
              <w:left w:val="nil"/>
              <w:bottom w:val="nil"/>
              <w:right w:val="nil"/>
            </w:tcBorders>
            <w:shd w:val="clear" w:color="auto" w:fill="auto"/>
            <w:vAlign w:val="bottom"/>
          </w:tcPr>
          <w:p w14:paraId="4D80DA37" w14:textId="0BAF8F9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270</w:t>
            </w:r>
          </w:p>
        </w:tc>
        <w:tc>
          <w:tcPr>
            <w:tcW w:w="141" w:type="pct"/>
            <w:tcBorders>
              <w:top w:val="nil"/>
              <w:left w:val="nil"/>
              <w:bottom w:val="nil"/>
              <w:right w:val="nil"/>
            </w:tcBorders>
            <w:shd w:val="clear" w:color="auto" w:fill="auto"/>
            <w:vAlign w:val="bottom"/>
          </w:tcPr>
          <w:p w14:paraId="63405CA0" w14:textId="6925156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w:t>
            </w:r>
          </w:p>
        </w:tc>
        <w:tc>
          <w:tcPr>
            <w:tcW w:w="141" w:type="pct"/>
            <w:tcBorders>
              <w:top w:val="nil"/>
              <w:left w:val="nil"/>
              <w:bottom w:val="nil"/>
              <w:right w:val="nil"/>
            </w:tcBorders>
            <w:shd w:val="clear" w:color="auto" w:fill="auto"/>
            <w:vAlign w:val="bottom"/>
          </w:tcPr>
          <w:p w14:paraId="372E4E8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06865F51"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C035F98"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58773AC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71161E1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788D0443" w14:textId="212C3A4A"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6895</w:t>
            </w:r>
          </w:p>
        </w:tc>
      </w:tr>
      <w:tr w:rsidR="00F4063A" w:rsidRPr="003E4580" w14:paraId="31CC334F" w14:textId="77777777" w:rsidTr="00F4063A">
        <w:tc>
          <w:tcPr>
            <w:tcW w:w="188" w:type="pct"/>
            <w:tcBorders>
              <w:top w:val="nil"/>
              <w:left w:val="nil"/>
              <w:bottom w:val="nil"/>
              <w:right w:val="nil"/>
            </w:tcBorders>
          </w:tcPr>
          <w:p w14:paraId="197810F9"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28</w:t>
            </w:r>
          </w:p>
        </w:tc>
        <w:tc>
          <w:tcPr>
            <w:tcW w:w="141" w:type="pct"/>
            <w:tcBorders>
              <w:top w:val="nil"/>
              <w:left w:val="nil"/>
              <w:bottom w:val="nil"/>
              <w:right w:val="nil"/>
            </w:tcBorders>
            <w:shd w:val="clear" w:color="auto" w:fill="auto"/>
            <w:vAlign w:val="bottom"/>
          </w:tcPr>
          <w:p w14:paraId="2E2FEDEF" w14:textId="172C958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w:t>
            </w:r>
          </w:p>
        </w:tc>
        <w:tc>
          <w:tcPr>
            <w:tcW w:w="141" w:type="pct"/>
            <w:tcBorders>
              <w:top w:val="nil"/>
              <w:left w:val="nil"/>
              <w:bottom w:val="nil"/>
              <w:right w:val="nil"/>
            </w:tcBorders>
            <w:shd w:val="clear" w:color="auto" w:fill="auto"/>
            <w:vAlign w:val="bottom"/>
          </w:tcPr>
          <w:p w14:paraId="7FC7BC9E" w14:textId="2471C9F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28</w:t>
            </w:r>
          </w:p>
        </w:tc>
        <w:tc>
          <w:tcPr>
            <w:tcW w:w="141" w:type="pct"/>
            <w:tcBorders>
              <w:top w:val="nil"/>
              <w:left w:val="nil"/>
              <w:bottom w:val="nil"/>
              <w:right w:val="nil"/>
            </w:tcBorders>
            <w:shd w:val="clear" w:color="auto" w:fill="auto"/>
            <w:vAlign w:val="bottom"/>
          </w:tcPr>
          <w:p w14:paraId="2C9BEE96" w14:textId="3C5CF13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42</w:t>
            </w:r>
          </w:p>
        </w:tc>
        <w:tc>
          <w:tcPr>
            <w:tcW w:w="141" w:type="pct"/>
            <w:tcBorders>
              <w:top w:val="nil"/>
              <w:left w:val="nil"/>
              <w:bottom w:val="nil"/>
              <w:right w:val="nil"/>
            </w:tcBorders>
            <w:shd w:val="clear" w:color="auto" w:fill="auto"/>
            <w:vAlign w:val="bottom"/>
          </w:tcPr>
          <w:p w14:paraId="751CCDA0" w14:textId="549F0D4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w:t>
            </w:r>
          </w:p>
        </w:tc>
        <w:tc>
          <w:tcPr>
            <w:tcW w:w="141" w:type="pct"/>
            <w:tcBorders>
              <w:top w:val="nil"/>
              <w:left w:val="nil"/>
              <w:bottom w:val="nil"/>
              <w:right w:val="nil"/>
            </w:tcBorders>
            <w:shd w:val="clear" w:color="auto" w:fill="auto"/>
            <w:vAlign w:val="bottom"/>
          </w:tcPr>
          <w:p w14:paraId="6D096ADC" w14:textId="74CCE9A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61</w:t>
            </w:r>
          </w:p>
        </w:tc>
        <w:tc>
          <w:tcPr>
            <w:tcW w:w="141" w:type="pct"/>
            <w:tcBorders>
              <w:top w:val="nil"/>
              <w:left w:val="nil"/>
              <w:bottom w:val="nil"/>
              <w:right w:val="nil"/>
            </w:tcBorders>
            <w:shd w:val="clear" w:color="auto" w:fill="auto"/>
            <w:vAlign w:val="bottom"/>
          </w:tcPr>
          <w:p w14:paraId="1D555DF4" w14:textId="1EE2ED5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w:t>
            </w:r>
          </w:p>
        </w:tc>
        <w:tc>
          <w:tcPr>
            <w:tcW w:w="141" w:type="pct"/>
            <w:tcBorders>
              <w:top w:val="nil"/>
              <w:left w:val="nil"/>
              <w:bottom w:val="nil"/>
              <w:right w:val="nil"/>
            </w:tcBorders>
            <w:shd w:val="clear" w:color="auto" w:fill="auto"/>
            <w:vAlign w:val="bottom"/>
          </w:tcPr>
          <w:p w14:paraId="6F021FFF" w14:textId="02B700B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69</w:t>
            </w:r>
          </w:p>
        </w:tc>
        <w:tc>
          <w:tcPr>
            <w:tcW w:w="141" w:type="pct"/>
            <w:tcBorders>
              <w:top w:val="nil"/>
              <w:left w:val="nil"/>
              <w:bottom w:val="nil"/>
              <w:right w:val="nil"/>
            </w:tcBorders>
            <w:shd w:val="clear" w:color="auto" w:fill="auto"/>
            <w:vAlign w:val="bottom"/>
          </w:tcPr>
          <w:p w14:paraId="3F9268FB" w14:textId="41A2259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76</w:t>
            </w:r>
          </w:p>
        </w:tc>
        <w:tc>
          <w:tcPr>
            <w:tcW w:w="141" w:type="pct"/>
            <w:tcBorders>
              <w:top w:val="nil"/>
              <w:left w:val="nil"/>
              <w:bottom w:val="nil"/>
              <w:right w:val="nil"/>
            </w:tcBorders>
            <w:shd w:val="clear" w:color="auto" w:fill="auto"/>
            <w:vAlign w:val="bottom"/>
          </w:tcPr>
          <w:p w14:paraId="6ED23C06" w14:textId="048A1BC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99</w:t>
            </w:r>
          </w:p>
        </w:tc>
        <w:tc>
          <w:tcPr>
            <w:tcW w:w="141" w:type="pct"/>
            <w:tcBorders>
              <w:top w:val="nil"/>
              <w:left w:val="nil"/>
              <w:bottom w:val="nil"/>
              <w:right w:val="nil"/>
            </w:tcBorders>
            <w:shd w:val="clear" w:color="auto" w:fill="auto"/>
            <w:vAlign w:val="bottom"/>
          </w:tcPr>
          <w:p w14:paraId="1255A007" w14:textId="4157A78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106</w:t>
            </w:r>
          </w:p>
        </w:tc>
        <w:tc>
          <w:tcPr>
            <w:tcW w:w="141" w:type="pct"/>
            <w:tcBorders>
              <w:top w:val="nil"/>
              <w:left w:val="nil"/>
              <w:bottom w:val="nil"/>
              <w:right w:val="nil"/>
            </w:tcBorders>
            <w:shd w:val="clear" w:color="auto" w:fill="auto"/>
            <w:vAlign w:val="bottom"/>
          </w:tcPr>
          <w:p w14:paraId="79E8EB1B" w14:textId="5AC3063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99</w:t>
            </w:r>
          </w:p>
        </w:tc>
        <w:tc>
          <w:tcPr>
            <w:tcW w:w="141" w:type="pct"/>
            <w:tcBorders>
              <w:top w:val="nil"/>
              <w:left w:val="nil"/>
              <w:bottom w:val="nil"/>
              <w:right w:val="nil"/>
            </w:tcBorders>
            <w:shd w:val="clear" w:color="auto" w:fill="auto"/>
            <w:vAlign w:val="bottom"/>
          </w:tcPr>
          <w:p w14:paraId="77905E58" w14:textId="06D3395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110</w:t>
            </w:r>
          </w:p>
        </w:tc>
        <w:tc>
          <w:tcPr>
            <w:tcW w:w="141" w:type="pct"/>
            <w:tcBorders>
              <w:top w:val="nil"/>
              <w:left w:val="nil"/>
              <w:bottom w:val="nil"/>
              <w:right w:val="nil"/>
            </w:tcBorders>
            <w:shd w:val="clear" w:color="auto" w:fill="auto"/>
            <w:vAlign w:val="bottom"/>
          </w:tcPr>
          <w:p w14:paraId="788059C4" w14:textId="704B76A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113</w:t>
            </w:r>
          </w:p>
        </w:tc>
        <w:tc>
          <w:tcPr>
            <w:tcW w:w="141" w:type="pct"/>
            <w:tcBorders>
              <w:top w:val="nil"/>
              <w:left w:val="nil"/>
              <w:bottom w:val="nil"/>
              <w:right w:val="nil"/>
            </w:tcBorders>
            <w:shd w:val="clear" w:color="auto" w:fill="auto"/>
            <w:vAlign w:val="bottom"/>
          </w:tcPr>
          <w:p w14:paraId="6F00A185" w14:textId="1A13B96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158</w:t>
            </w:r>
          </w:p>
        </w:tc>
        <w:tc>
          <w:tcPr>
            <w:tcW w:w="141" w:type="pct"/>
            <w:tcBorders>
              <w:top w:val="nil"/>
              <w:left w:val="nil"/>
              <w:bottom w:val="nil"/>
              <w:right w:val="nil"/>
            </w:tcBorders>
            <w:shd w:val="clear" w:color="auto" w:fill="auto"/>
            <w:vAlign w:val="bottom"/>
          </w:tcPr>
          <w:p w14:paraId="06416C1F" w14:textId="01BCDBC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193</w:t>
            </w:r>
          </w:p>
        </w:tc>
        <w:tc>
          <w:tcPr>
            <w:tcW w:w="141" w:type="pct"/>
            <w:tcBorders>
              <w:top w:val="nil"/>
              <w:left w:val="nil"/>
              <w:bottom w:val="nil"/>
              <w:right w:val="nil"/>
            </w:tcBorders>
            <w:shd w:val="clear" w:color="auto" w:fill="auto"/>
            <w:vAlign w:val="bottom"/>
          </w:tcPr>
          <w:p w14:paraId="16DD9E08" w14:textId="4547DA4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213</w:t>
            </w:r>
          </w:p>
        </w:tc>
        <w:tc>
          <w:tcPr>
            <w:tcW w:w="141" w:type="pct"/>
            <w:tcBorders>
              <w:top w:val="nil"/>
              <w:left w:val="nil"/>
              <w:bottom w:val="nil"/>
              <w:right w:val="nil"/>
            </w:tcBorders>
            <w:shd w:val="clear" w:color="auto" w:fill="auto"/>
            <w:vAlign w:val="bottom"/>
          </w:tcPr>
          <w:p w14:paraId="4F04584C" w14:textId="708CA03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218</w:t>
            </w:r>
          </w:p>
        </w:tc>
        <w:tc>
          <w:tcPr>
            <w:tcW w:w="141" w:type="pct"/>
            <w:tcBorders>
              <w:top w:val="nil"/>
              <w:left w:val="nil"/>
              <w:bottom w:val="nil"/>
              <w:right w:val="nil"/>
            </w:tcBorders>
            <w:shd w:val="clear" w:color="auto" w:fill="auto"/>
            <w:vAlign w:val="bottom"/>
          </w:tcPr>
          <w:p w14:paraId="74BC28B5" w14:textId="5DEC56F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295</w:t>
            </w:r>
          </w:p>
        </w:tc>
        <w:tc>
          <w:tcPr>
            <w:tcW w:w="141" w:type="pct"/>
            <w:tcBorders>
              <w:top w:val="nil"/>
              <w:left w:val="nil"/>
              <w:bottom w:val="nil"/>
              <w:right w:val="nil"/>
            </w:tcBorders>
            <w:shd w:val="clear" w:color="auto" w:fill="auto"/>
            <w:vAlign w:val="bottom"/>
          </w:tcPr>
          <w:p w14:paraId="7172A46F" w14:textId="4ED0557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410</w:t>
            </w:r>
          </w:p>
        </w:tc>
        <w:tc>
          <w:tcPr>
            <w:tcW w:w="141" w:type="pct"/>
            <w:tcBorders>
              <w:top w:val="nil"/>
              <w:left w:val="nil"/>
              <w:bottom w:val="nil"/>
              <w:right w:val="nil"/>
            </w:tcBorders>
            <w:shd w:val="clear" w:color="auto" w:fill="auto"/>
            <w:vAlign w:val="bottom"/>
          </w:tcPr>
          <w:p w14:paraId="561B19C1" w14:textId="296B57A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436</w:t>
            </w:r>
          </w:p>
        </w:tc>
        <w:tc>
          <w:tcPr>
            <w:tcW w:w="141" w:type="pct"/>
            <w:tcBorders>
              <w:top w:val="nil"/>
              <w:left w:val="nil"/>
              <w:bottom w:val="nil"/>
              <w:right w:val="nil"/>
            </w:tcBorders>
            <w:shd w:val="clear" w:color="auto" w:fill="auto"/>
            <w:vAlign w:val="bottom"/>
          </w:tcPr>
          <w:p w14:paraId="68B7DC73" w14:textId="160E559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474</w:t>
            </w:r>
          </w:p>
        </w:tc>
        <w:tc>
          <w:tcPr>
            <w:tcW w:w="141" w:type="pct"/>
            <w:tcBorders>
              <w:top w:val="nil"/>
              <w:left w:val="nil"/>
              <w:bottom w:val="nil"/>
              <w:right w:val="nil"/>
            </w:tcBorders>
            <w:shd w:val="clear" w:color="auto" w:fill="auto"/>
            <w:vAlign w:val="bottom"/>
          </w:tcPr>
          <w:p w14:paraId="709111B9" w14:textId="3EF67D5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510</w:t>
            </w:r>
          </w:p>
        </w:tc>
        <w:tc>
          <w:tcPr>
            <w:tcW w:w="141" w:type="pct"/>
            <w:tcBorders>
              <w:top w:val="nil"/>
              <w:left w:val="nil"/>
              <w:bottom w:val="nil"/>
              <w:right w:val="nil"/>
            </w:tcBorders>
            <w:shd w:val="clear" w:color="auto" w:fill="auto"/>
            <w:vAlign w:val="bottom"/>
          </w:tcPr>
          <w:p w14:paraId="0861E045" w14:textId="1133334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582</w:t>
            </w:r>
          </w:p>
        </w:tc>
        <w:tc>
          <w:tcPr>
            <w:tcW w:w="141" w:type="pct"/>
            <w:tcBorders>
              <w:top w:val="nil"/>
              <w:left w:val="nil"/>
              <w:bottom w:val="nil"/>
              <w:right w:val="nil"/>
            </w:tcBorders>
            <w:shd w:val="clear" w:color="auto" w:fill="auto"/>
            <w:vAlign w:val="bottom"/>
          </w:tcPr>
          <w:p w14:paraId="2DE5667F" w14:textId="7442AE8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613</w:t>
            </w:r>
          </w:p>
        </w:tc>
        <w:tc>
          <w:tcPr>
            <w:tcW w:w="141" w:type="pct"/>
            <w:tcBorders>
              <w:top w:val="nil"/>
              <w:left w:val="nil"/>
              <w:bottom w:val="nil"/>
              <w:right w:val="nil"/>
            </w:tcBorders>
            <w:shd w:val="clear" w:color="auto" w:fill="auto"/>
            <w:vAlign w:val="bottom"/>
          </w:tcPr>
          <w:p w14:paraId="5499EF27" w14:textId="504B612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535</w:t>
            </w:r>
          </w:p>
        </w:tc>
        <w:tc>
          <w:tcPr>
            <w:tcW w:w="141" w:type="pct"/>
            <w:tcBorders>
              <w:top w:val="nil"/>
              <w:left w:val="nil"/>
              <w:bottom w:val="nil"/>
              <w:right w:val="nil"/>
            </w:tcBorders>
            <w:shd w:val="clear" w:color="auto" w:fill="auto"/>
            <w:vAlign w:val="bottom"/>
          </w:tcPr>
          <w:p w14:paraId="30787CEA" w14:textId="4260067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463</w:t>
            </w:r>
          </w:p>
        </w:tc>
        <w:tc>
          <w:tcPr>
            <w:tcW w:w="141" w:type="pct"/>
            <w:tcBorders>
              <w:top w:val="nil"/>
              <w:left w:val="nil"/>
              <w:bottom w:val="nil"/>
              <w:right w:val="nil"/>
            </w:tcBorders>
            <w:shd w:val="clear" w:color="auto" w:fill="auto"/>
            <w:vAlign w:val="bottom"/>
          </w:tcPr>
          <w:p w14:paraId="195CFD5E" w14:textId="78E5211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406</w:t>
            </w:r>
          </w:p>
        </w:tc>
        <w:tc>
          <w:tcPr>
            <w:tcW w:w="141" w:type="pct"/>
            <w:tcBorders>
              <w:top w:val="nil"/>
              <w:left w:val="nil"/>
              <w:bottom w:val="nil"/>
              <w:right w:val="nil"/>
            </w:tcBorders>
            <w:shd w:val="clear" w:color="auto" w:fill="auto"/>
            <w:vAlign w:val="bottom"/>
          </w:tcPr>
          <w:p w14:paraId="1F70C941" w14:textId="0933D7C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257</w:t>
            </w:r>
          </w:p>
        </w:tc>
        <w:tc>
          <w:tcPr>
            <w:tcW w:w="141" w:type="pct"/>
            <w:tcBorders>
              <w:top w:val="nil"/>
              <w:left w:val="nil"/>
              <w:bottom w:val="nil"/>
              <w:right w:val="nil"/>
            </w:tcBorders>
            <w:shd w:val="clear" w:color="auto" w:fill="auto"/>
            <w:vAlign w:val="bottom"/>
          </w:tcPr>
          <w:p w14:paraId="44E58EBE" w14:textId="24E9FEE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63</w:t>
            </w:r>
          </w:p>
        </w:tc>
        <w:tc>
          <w:tcPr>
            <w:tcW w:w="100" w:type="pct"/>
            <w:tcBorders>
              <w:top w:val="nil"/>
              <w:left w:val="nil"/>
              <w:bottom w:val="nil"/>
              <w:right w:val="nil"/>
            </w:tcBorders>
          </w:tcPr>
          <w:p w14:paraId="35A1D77B"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1CD455F7"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18F294C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2D41C0E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4E912884" w14:textId="38C4F503"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6762</w:t>
            </w:r>
          </w:p>
        </w:tc>
      </w:tr>
      <w:tr w:rsidR="00F4063A" w:rsidRPr="003E4580" w14:paraId="4A512E2A" w14:textId="77777777" w:rsidTr="00F4063A">
        <w:tc>
          <w:tcPr>
            <w:tcW w:w="188" w:type="pct"/>
            <w:tcBorders>
              <w:top w:val="nil"/>
              <w:left w:val="nil"/>
              <w:bottom w:val="nil"/>
              <w:right w:val="nil"/>
            </w:tcBorders>
          </w:tcPr>
          <w:p w14:paraId="01D931FF"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30</w:t>
            </w:r>
          </w:p>
        </w:tc>
        <w:tc>
          <w:tcPr>
            <w:tcW w:w="141" w:type="pct"/>
            <w:tcBorders>
              <w:top w:val="nil"/>
              <w:left w:val="nil"/>
              <w:bottom w:val="nil"/>
              <w:right w:val="nil"/>
            </w:tcBorders>
            <w:shd w:val="clear" w:color="auto" w:fill="auto"/>
            <w:vAlign w:val="bottom"/>
          </w:tcPr>
          <w:p w14:paraId="045FC461" w14:textId="742D9B5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w:t>
            </w:r>
          </w:p>
        </w:tc>
        <w:tc>
          <w:tcPr>
            <w:tcW w:w="141" w:type="pct"/>
            <w:tcBorders>
              <w:top w:val="nil"/>
              <w:left w:val="nil"/>
              <w:bottom w:val="nil"/>
              <w:right w:val="nil"/>
            </w:tcBorders>
            <w:shd w:val="clear" w:color="auto" w:fill="auto"/>
            <w:vAlign w:val="bottom"/>
          </w:tcPr>
          <w:p w14:paraId="68FD6E51" w14:textId="14AD3E7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24</w:t>
            </w:r>
          </w:p>
        </w:tc>
        <w:tc>
          <w:tcPr>
            <w:tcW w:w="141" w:type="pct"/>
            <w:tcBorders>
              <w:top w:val="nil"/>
              <w:left w:val="nil"/>
              <w:bottom w:val="nil"/>
              <w:right w:val="nil"/>
            </w:tcBorders>
            <w:shd w:val="clear" w:color="auto" w:fill="auto"/>
            <w:vAlign w:val="bottom"/>
          </w:tcPr>
          <w:p w14:paraId="5D7E0948" w14:textId="5540FC7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w:t>
            </w:r>
          </w:p>
        </w:tc>
        <w:tc>
          <w:tcPr>
            <w:tcW w:w="141" w:type="pct"/>
            <w:tcBorders>
              <w:top w:val="nil"/>
              <w:left w:val="nil"/>
              <w:bottom w:val="nil"/>
              <w:right w:val="nil"/>
            </w:tcBorders>
            <w:shd w:val="clear" w:color="auto" w:fill="auto"/>
            <w:vAlign w:val="bottom"/>
          </w:tcPr>
          <w:p w14:paraId="47370757" w14:textId="392260C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41</w:t>
            </w:r>
          </w:p>
        </w:tc>
        <w:tc>
          <w:tcPr>
            <w:tcW w:w="141" w:type="pct"/>
            <w:tcBorders>
              <w:top w:val="nil"/>
              <w:left w:val="nil"/>
              <w:bottom w:val="nil"/>
              <w:right w:val="nil"/>
            </w:tcBorders>
            <w:shd w:val="clear" w:color="auto" w:fill="auto"/>
            <w:vAlign w:val="bottom"/>
          </w:tcPr>
          <w:p w14:paraId="25217BEF" w14:textId="76E6D22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w:t>
            </w:r>
          </w:p>
        </w:tc>
        <w:tc>
          <w:tcPr>
            <w:tcW w:w="141" w:type="pct"/>
            <w:tcBorders>
              <w:top w:val="nil"/>
              <w:left w:val="nil"/>
              <w:bottom w:val="nil"/>
              <w:right w:val="nil"/>
            </w:tcBorders>
            <w:shd w:val="clear" w:color="auto" w:fill="auto"/>
            <w:vAlign w:val="bottom"/>
          </w:tcPr>
          <w:p w14:paraId="109C45CF" w14:textId="3D2EC11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64</w:t>
            </w:r>
          </w:p>
        </w:tc>
        <w:tc>
          <w:tcPr>
            <w:tcW w:w="141" w:type="pct"/>
            <w:tcBorders>
              <w:top w:val="nil"/>
              <w:left w:val="nil"/>
              <w:bottom w:val="nil"/>
              <w:right w:val="nil"/>
            </w:tcBorders>
            <w:shd w:val="clear" w:color="auto" w:fill="auto"/>
            <w:vAlign w:val="bottom"/>
          </w:tcPr>
          <w:p w14:paraId="562EE2B3" w14:textId="45B385C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69</w:t>
            </w:r>
          </w:p>
        </w:tc>
        <w:tc>
          <w:tcPr>
            <w:tcW w:w="141" w:type="pct"/>
            <w:tcBorders>
              <w:top w:val="nil"/>
              <w:left w:val="nil"/>
              <w:bottom w:val="nil"/>
              <w:right w:val="nil"/>
            </w:tcBorders>
            <w:shd w:val="clear" w:color="auto" w:fill="auto"/>
            <w:vAlign w:val="bottom"/>
          </w:tcPr>
          <w:p w14:paraId="5FBBD853" w14:textId="131FC9A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72</w:t>
            </w:r>
          </w:p>
        </w:tc>
        <w:tc>
          <w:tcPr>
            <w:tcW w:w="141" w:type="pct"/>
            <w:tcBorders>
              <w:top w:val="nil"/>
              <w:left w:val="nil"/>
              <w:bottom w:val="nil"/>
              <w:right w:val="nil"/>
            </w:tcBorders>
            <w:shd w:val="clear" w:color="auto" w:fill="auto"/>
            <w:vAlign w:val="bottom"/>
          </w:tcPr>
          <w:p w14:paraId="4466C630" w14:textId="45880BD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79</w:t>
            </w:r>
          </w:p>
        </w:tc>
        <w:tc>
          <w:tcPr>
            <w:tcW w:w="141" w:type="pct"/>
            <w:tcBorders>
              <w:top w:val="nil"/>
              <w:left w:val="nil"/>
              <w:bottom w:val="nil"/>
              <w:right w:val="nil"/>
            </w:tcBorders>
            <w:shd w:val="clear" w:color="auto" w:fill="auto"/>
            <w:vAlign w:val="bottom"/>
          </w:tcPr>
          <w:p w14:paraId="35CDF7B4" w14:textId="0F3C3BB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103</w:t>
            </w:r>
          </w:p>
        </w:tc>
        <w:tc>
          <w:tcPr>
            <w:tcW w:w="141" w:type="pct"/>
            <w:tcBorders>
              <w:top w:val="nil"/>
              <w:left w:val="nil"/>
              <w:bottom w:val="nil"/>
              <w:right w:val="nil"/>
            </w:tcBorders>
            <w:shd w:val="clear" w:color="auto" w:fill="auto"/>
            <w:vAlign w:val="bottom"/>
          </w:tcPr>
          <w:p w14:paraId="39A48D2E" w14:textId="14CA81F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110</w:t>
            </w:r>
          </w:p>
        </w:tc>
        <w:tc>
          <w:tcPr>
            <w:tcW w:w="141" w:type="pct"/>
            <w:tcBorders>
              <w:top w:val="nil"/>
              <w:left w:val="nil"/>
              <w:bottom w:val="nil"/>
              <w:right w:val="nil"/>
            </w:tcBorders>
            <w:shd w:val="clear" w:color="auto" w:fill="auto"/>
            <w:vAlign w:val="bottom"/>
          </w:tcPr>
          <w:p w14:paraId="78C900EA" w14:textId="37E8AEF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103</w:t>
            </w:r>
          </w:p>
        </w:tc>
        <w:tc>
          <w:tcPr>
            <w:tcW w:w="141" w:type="pct"/>
            <w:tcBorders>
              <w:top w:val="nil"/>
              <w:left w:val="nil"/>
              <w:bottom w:val="nil"/>
              <w:right w:val="nil"/>
            </w:tcBorders>
            <w:shd w:val="clear" w:color="auto" w:fill="auto"/>
            <w:vAlign w:val="bottom"/>
          </w:tcPr>
          <w:p w14:paraId="5234FDBA" w14:textId="748CB8C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114</w:t>
            </w:r>
          </w:p>
        </w:tc>
        <w:tc>
          <w:tcPr>
            <w:tcW w:w="141" w:type="pct"/>
            <w:tcBorders>
              <w:top w:val="nil"/>
              <w:left w:val="nil"/>
              <w:bottom w:val="nil"/>
              <w:right w:val="nil"/>
            </w:tcBorders>
            <w:shd w:val="clear" w:color="auto" w:fill="auto"/>
            <w:vAlign w:val="bottom"/>
          </w:tcPr>
          <w:p w14:paraId="55F6B7FD" w14:textId="5598B67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118</w:t>
            </w:r>
          </w:p>
        </w:tc>
        <w:tc>
          <w:tcPr>
            <w:tcW w:w="141" w:type="pct"/>
            <w:tcBorders>
              <w:top w:val="nil"/>
              <w:left w:val="nil"/>
              <w:bottom w:val="nil"/>
              <w:right w:val="nil"/>
            </w:tcBorders>
            <w:shd w:val="clear" w:color="auto" w:fill="auto"/>
            <w:vAlign w:val="bottom"/>
          </w:tcPr>
          <w:p w14:paraId="74FD4291" w14:textId="5E9C612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160</w:t>
            </w:r>
          </w:p>
        </w:tc>
        <w:tc>
          <w:tcPr>
            <w:tcW w:w="141" w:type="pct"/>
            <w:tcBorders>
              <w:top w:val="nil"/>
              <w:left w:val="nil"/>
              <w:bottom w:val="nil"/>
              <w:right w:val="nil"/>
            </w:tcBorders>
            <w:shd w:val="clear" w:color="auto" w:fill="auto"/>
            <w:vAlign w:val="bottom"/>
          </w:tcPr>
          <w:p w14:paraId="32EFB6D4" w14:textId="3048B77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188</w:t>
            </w:r>
          </w:p>
        </w:tc>
        <w:tc>
          <w:tcPr>
            <w:tcW w:w="141" w:type="pct"/>
            <w:tcBorders>
              <w:top w:val="nil"/>
              <w:left w:val="nil"/>
              <w:bottom w:val="nil"/>
              <w:right w:val="nil"/>
            </w:tcBorders>
            <w:shd w:val="clear" w:color="auto" w:fill="auto"/>
            <w:vAlign w:val="bottom"/>
          </w:tcPr>
          <w:p w14:paraId="3145AA20" w14:textId="70B2377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208</w:t>
            </w:r>
          </w:p>
        </w:tc>
        <w:tc>
          <w:tcPr>
            <w:tcW w:w="141" w:type="pct"/>
            <w:tcBorders>
              <w:top w:val="nil"/>
              <w:left w:val="nil"/>
              <w:bottom w:val="nil"/>
              <w:right w:val="nil"/>
            </w:tcBorders>
            <w:shd w:val="clear" w:color="auto" w:fill="auto"/>
            <w:vAlign w:val="bottom"/>
          </w:tcPr>
          <w:p w14:paraId="589C4F90" w14:textId="000628F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212</w:t>
            </w:r>
          </w:p>
        </w:tc>
        <w:tc>
          <w:tcPr>
            <w:tcW w:w="141" w:type="pct"/>
            <w:tcBorders>
              <w:top w:val="nil"/>
              <w:left w:val="nil"/>
              <w:bottom w:val="nil"/>
              <w:right w:val="nil"/>
            </w:tcBorders>
            <w:shd w:val="clear" w:color="auto" w:fill="auto"/>
            <w:vAlign w:val="bottom"/>
          </w:tcPr>
          <w:p w14:paraId="7FA51B27" w14:textId="075E850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287</w:t>
            </w:r>
          </w:p>
        </w:tc>
        <w:tc>
          <w:tcPr>
            <w:tcW w:w="141" w:type="pct"/>
            <w:tcBorders>
              <w:top w:val="nil"/>
              <w:left w:val="nil"/>
              <w:bottom w:val="nil"/>
              <w:right w:val="nil"/>
            </w:tcBorders>
            <w:shd w:val="clear" w:color="auto" w:fill="auto"/>
            <w:vAlign w:val="bottom"/>
          </w:tcPr>
          <w:p w14:paraId="7C0FB12F" w14:textId="5022AD6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398</w:t>
            </w:r>
          </w:p>
        </w:tc>
        <w:tc>
          <w:tcPr>
            <w:tcW w:w="141" w:type="pct"/>
            <w:tcBorders>
              <w:top w:val="nil"/>
              <w:left w:val="nil"/>
              <w:bottom w:val="nil"/>
              <w:right w:val="nil"/>
            </w:tcBorders>
            <w:shd w:val="clear" w:color="auto" w:fill="auto"/>
            <w:vAlign w:val="bottom"/>
          </w:tcPr>
          <w:p w14:paraId="010D4865" w14:textId="5D62DE3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423</w:t>
            </w:r>
          </w:p>
        </w:tc>
        <w:tc>
          <w:tcPr>
            <w:tcW w:w="141" w:type="pct"/>
            <w:tcBorders>
              <w:top w:val="nil"/>
              <w:left w:val="nil"/>
              <w:bottom w:val="nil"/>
              <w:right w:val="nil"/>
            </w:tcBorders>
            <w:shd w:val="clear" w:color="auto" w:fill="auto"/>
            <w:vAlign w:val="bottom"/>
          </w:tcPr>
          <w:p w14:paraId="759F08F4" w14:textId="34F4BD0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458</w:t>
            </w:r>
          </w:p>
        </w:tc>
        <w:tc>
          <w:tcPr>
            <w:tcW w:w="141" w:type="pct"/>
            <w:tcBorders>
              <w:top w:val="nil"/>
              <w:left w:val="nil"/>
              <w:bottom w:val="nil"/>
              <w:right w:val="nil"/>
            </w:tcBorders>
            <w:shd w:val="clear" w:color="auto" w:fill="auto"/>
            <w:vAlign w:val="bottom"/>
          </w:tcPr>
          <w:p w14:paraId="712776AB" w14:textId="2C047A7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492</w:t>
            </w:r>
          </w:p>
        </w:tc>
        <w:tc>
          <w:tcPr>
            <w:tcW w:w="141" w:type="pct"/>
            <w:tcBorders>
              <w:top w:val="nil"/>
              <w:left w:val="nil"/>
              <w:bottom w:val="nil"/>
              <w:right w:val="nil"/>
            </w:tcBorders>
            <w:shd w:val="clear" w:color="auto" w:fill="auto"/>
            <w:vAlign w:val="bottom"/>
          </w:tcPr>
          <w:p w14:paraId="1200776F" w14:textId="42DB785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560</w:t>
            </w:r>
          </w:p>
        </w:tc>
        <w:tc>
          <w:tcPr>
            <w:tcW w:w="141" w:type="pct"/>
            <w:tcBorders>
              <w:top w:val="nil"/>
              <w:left w:val="nil"/>
              <w:bottom w:val="nil"/>
              <w:right w:val="nil"/>
            </w:tcBorders>
            <w:shd w:val="clear" w:color="auto" w:fill="auto"/>
            <w:vAlign w:val="bottom"/>
          </w:tcPr>
          <w:p w14:paraId="36F293CC" w14:textId="78A5135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588</w:t>
            </w:r>
          </w:p>
        </w:tc>
        <w:tc>
          <w:tcPr>
            <w:tcW w:w="141" w:type="pct"/>
            <w:tcBorders>
              <w:top w:val="nil"/>
              <w:left w:val="nil"/>
              <w:bottom w:val="nil"/>
              <w:right w:val="nil"/>
            </w:tcBorders>
            <w:shd w:val="clear" w:color="auto" w:fill="auto"/>
            <w:vAlign w:val="bottom"/>
          </w:tcPr>
          <w:p w14:paraId="131CD4F9" w14:textId="1AF4A58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512</w:t>
            </w:r>
          </w:p>
        </w:tc>
        <w:tc>
          <w:tcPr>
            <w:tcW w:w="141" w:type="pct"/>
            <w:tcBorders>
              <w:top w:val="nil"/>
              <w:left w:val="nil"/>
              <w:bottom w:val="nil"/>
              <w:right w:val="nil"/>
            </w:tcBorders>
            <w:shd w:val="clear" w:color="auto" w:fill="auto"/>
            <w:vAlign w:val="bottom"/>
          </w:tcPr>
          <w:p w14:paraId="54232275" w14:textId="367F38C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442</w:t>
            </w:r>
          </w:p>
        </w:tc>
        <w:tc>
          <w:tcPr>
            <w:tcW w:w="141" w:type="pct"/>
            <w:tcBorders>
              <w:top w:val="nil"/>
              <w:left w:val="nil"/>
              <w:bottom w:val="nil"/>
              <w:right w:val="nil"/>
            </w:tcBorders>
            <w:shd w:val="clear" w:color="auto" w:fill="auto"/>
            <w:vAlign w:val="bottom"/>
          </w:tcPr>
          <w:p w14:paraId="62EDBFB7" w14:textId="49B148F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386</w:t>
            </w:r>
          </w:p>
        </w:tc>
        <w:tc>
          <w:tcPr>
            <w:tcW w:w="141" w:type="pct"/>
            <w:tcBorders>
              <w:top w:val="nil"/>
              <w:left w:val="nil"/>
              <w:bottom w:val="nil"/>
              <w:right w:val="nil"/>
            </w:tcBorders>
            <w:shd w:val="clear" w:color="auto" w:fill="auto"/>
            <w:vAlign w:val="bottom"/>
          </w:tcPr>
          <w:p w14:paraId="55E0A7D2" w14:textId="3148E11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243</w:t>
            </w:r>
          </w:p>
        </w:tc>
        <w:tc>
          <w:tcPr>
            <w:tcW w:w="100" w:type="pct"/>
            <w:tcBorders>
              <w:top w:val="nil"/>
              <w:left w:val="nil"/>
              <w:bottom w:val="nil"/>
              <w:right w:val="nil"/>
            </w:tcBorders>
          </w:tcPr>
          <w:p w14:paraId="2693030D"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70E8C271"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2C78562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1F8DB54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1A6FB3CB" w14:textId="76F83C8B"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6612</w:t>
            </w:r>
          </w:p>
        </w:tc>
      </w:tr>
      <w:tr w:rsidR="00F4063A" w:rsidRPr="003E4580" w14:paraId="304FA8A0" w14:textId="77777777" w:rsidTr="00F4063A">
        <w:tc>
          <w:tcPr>
            <w:tcW w:w="188" w:type="pct"/>
            <w:tcBorders>
              <w:top w:val="nil"/>
              <w:left w:val="nil"/>
              <w:bottom w:val="nil"/>
              <w:right w:val="nil"/>
            </w:tcBorders>
          </w:tcPr>
          <w:p w14:paraId="2764DCAC"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31</w:t>
            </w:r>
          </w:p>
        </w:tc>
        <w:tc>
          <w:tcPr>
            <w:tcW w:w="141" w:type="pct"/>
            <w:tcBorders>
              <w:top w:val="nil"/>
              <w:left w:val="nil"/>
              <w:bottom w:val="nil"/>
              <w:right w:val="nil"/>
            </w:tcBorders>
            <w:shd w:val="clear" w:color="auto" w:fill="auto"/>
            <w:vAlign w:val="bottom"/>
          </w:tcPr>
          <w:p w14:paraId="63727D09" w14:textId="1019470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w:t>
            </w:r>
          </w:p>
        </w:tc>
        <w:tc>
          <w:tcPr>
            <w:tcW w:w="141" w:type="pct"/>
            <w:tcBorders>
              <w:top w:val="nil"/>
              <w:left w:val="nil"/>
              <w:bottom w:val="nil"/>
              <w:right w:val="nil"/>
            </w:tcBorders>
            <w:shd w:val="clear" w:color="auto" w:fill="auto"/>
            <w:vAlign w:val="bottom"/>
          </w:tcPr>
          <w:p w14:paraId="3A33B835" w14:textId="34C608F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18</w:t>
            </w:r>
          </w:p>
        </w:tc>
        <w:tc>
          <w:tcPr>
            <w:tcW w:w="141" w:type="pct"/>
            <w:tcBorders>
              <w:top w:val="nil"/>
              <w:left w:val="nil"/>
              <w:bottom w:val="nil"/>
              <w:right w:val="nil"/>
            </w:tcBorders>
            <w:shd w:val="clear" w:color="auto" w:fill="auto"/>
            <w:vAlign w:val="bottom"/>
          </w:tcPr>
          <w:p w14:paraId="6D2E9F58" w14:textId="2C51F10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33</w:t>
            </w:r>
          </w:p>
        </w:tc>
        <w:tc>
          <w:tcPr>
            <w:tcW w:w="141" w:type="pct"/>
            <w:tcBorders>
              <w:top w:val="nil"/>
              <w:left w:val="nil"/>
              <w:bottom w:val="nil"/>
              <w:right w:val="nil"/>
            </w:tcBorders>
            <w:shd w:val="clear" w:color="auto" w:fill="auto"/>
            <w:vAlign w:val="bottom"/>
          </w:tcPr>
          <w:p w14:paraId="30A3E7DC" w14:textId="5E97529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37</w:t>
            </w:r>
          </w:p>
        </w:tc>
        <w:tc>
          <w:tcPr>
            <w:tcW w:w="141" w:type="pct"/>
            <w:tcBorders>
              <w:top w:val="nil"/>
              <w:left w:val="nil"/>
              <w:bottom w:val="nil"/>
              <w:right w:val="nil"/>
            </w:tcBorders>
            <w:shd w:val="clear" w:color="auto" w:fill="auto"/>
            <w:vAlign w:val="bottom"/>
          </w:tcPr>
          <w:p w14:paraId="1B02A430" w14:textId="6E48FAB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w:t>
            </w:r>
          </w:p>
        </w:tc>
        <w:tc>
          <w:tcPr>
            <w:tcW w:w="141" w:type="pct"/>
            <w:tcBorders>
              <w:top w:val="nil"/>
              <w:left w:val="nil"/>
              <w:bottom w:val="nil"/>
              <w:right w:val="nil"/>
            </w:tcBorders>
            <w:shd w:val="clear" w:color="auto" w:fill="auto"/>
            <w:vAlign w:val="bottom"/>
          </w:tcPr>
          <w:p w14:paraId="4F6180EE" w14:textId="6FE32FF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w:t>
            </w:r>
          </w:p>
        </w:tc>
        <w:tc>
          <w:tcPr>
            <w:tcW w:w="141" w:type="pct"/>
            <w:tcBorders>
              <w:top w:val="nil"/>
              <w:left w:val="nil"/>
              <w:bottom w:val="nil"/>
              <w:right w:val="nil"/>
            </w:tcBorders>
            <w:shd w:val="clear" w:color="auto" w:fill="auto"/>
            <w:vAlign w:val="bottom"/>
          </w:tcPr>
          <w:p w14:paraId="6A9C0CD7" w14:textId="79B313D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w:t>
            </w:r>
          </w:p>
        </w:tc>
        <w:tc>
          <w:tcPr>
            <w:tcW w:w="141" w:type="pct"/>
            <w:tcBorders>
              <w:top w:val="nil"/>
              <w:left w:val="nil"/>
              <w:bottom w:val="nil"/>
              <w:right w:val="nil"/>
            </w:tcBorders>
            <w:shd w:val="clear" w:color="auto" w:fill="auto"/>
            <w:vAlign w:val="bottom"/>
          </w:tcPr>
          <w:p w14:paraId="7FA580E6" w14:textId="660C9FC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72</w:t>
            </w:r>
          </w:p>
        </w:tc>
        <w:tc>
          <w:tcPr>
            <w:tcW w:w="141" w:type="pct"/>
            <w:tcBorders>
              <w:top w:val="nil"/>
              <w:left w:val="nil"/>
              <w:bottom w:val="nil"/>
              <w:right w:val="nil"/>
            </w:tcBorders>
            <w:shd w:val="clear" w:color="auto" w:fill="auto"/>
            <w:vAlign w:val="bottom"/>
          </w:tcPr>
          <w:p w14:paraId="0B4EEDDF" w14:textId="0D5A879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75</w:t>
            </w:r>
          </w:p>
        </w:tc>
        <w:tc>
          <w:tcPr>
            <w:tcW w:w="141" w:type="pct"/>
            <w:tcBorders>
              <w:top w:val="nil"/>
              <w:left w:val="nil"/>
              <w:bottom w:val="nil"/>
              <w:right w:val="nil"/>
            </w:tcBorders>
            <w:shd w:val="clear" w:color="auto" w:fill="auto"/>
            <w:vAlign w:val="bottom"/>
          </w:tcPr>
          <w:p w14:paraId="6E08304B" w14:textId="650F52D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82</w:t>
            </w:r>
          </w:p>
        </w:tc>
        <w:tc>
          <w:tcPr>
            <w:tcW w:w="141" w:type="pct"/>
            <w:tcBorders>
              <w:top w:val="nil"/>
              <w:left w:val="nil"/>
              <w:bottom w:val="nil"/>
              <w:right w:val="nil"/>
            </w:tcBorders>
            <w:shd w:val="clear" w:color="auto" w:fill="auto"/>
            <w:vAlign w:val="bottom"/>
          </w:tcPr>
          <w:p w14:paraId="4B31947F" w14:textId="17EAC0E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108</w:t>
            </w:r>
          </w:p>
        </w:tc>
        <w:tc>
          <w:tcPr>
            <w:tcW w:w="141" w:type="pct"/>
            <w:tcBorders>
              <w:top w:val="nil"/>
              <w:left w:val="nil"/>
              <w:bottom w:val="nil"/>
              <w:right w:val="nil"/>
            </w:tcBorders>
            <w:shd w:val="clear" w:color="auto" w:fill="auto"/>
            <w:vAlign w:val="bottom"/>
          </w:tcPr>
          <w:p w14:paraId="481AB1AA" w14:textId="23F8195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115</w:t>
            </w:r>
          </w:p>
        </w:tc>
        <w:tc>
          <w:tcPr>
            <w:tcW w:w="141" w:type="pct"/>
            <w:tcBorders>
              <w:top w:val="nil"/>
              <w:left w:val="nil"/>
              <w:bottom w:val="nil"/>
              <w:right w:val="nil"/>
            </w:tcBorders>
            <w:shd w:val="clear" w:color="auto" w:fill="auto"/>
            <w:vAlign w:val="bottom"/>
          </w:tcPr>
          <w:p w14:paraId="431EA551" w14:textId="7FF1F9B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108</w:t>
            </w:r>
          </w:p>
        </w:tc>
        <w:tc>
          <w:tcPr>
            <w:tcW w:w="141" w:type="pct"/>
            <w:tcBorders>
              <w:top w:val="nil"/>
              <w:left w:val="nil"/>
              <w:bottom w:val="nil"/>
              <w:right w:val="nil"/>
            </w:tcBorders>
            <w:shd w:val="clear" w:color="auto" w:fill="auto"/>
            <w:vAlign w:val="bottom"/>
          </w:tcPr>
          <w:p w14:paraId="09B8F71C" w14:textId="010702F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119</w:t>
            </w:r>
          </w:p>
        </w:tc>
        <w:tc>
          <w:tcPr>
            <w:tcW w:w="141" w:type="pct"/>
            <w:tcBorders>
              <w:top w:val="nil"/>
              <w:left w:val="nil"/>
              <w:bottom w:val="nil"/>
              <w:right w:val="nil"/>
            </w:tcBorders>
            <w:shd w:val="clear" w:color="auto" w:fill="auto"/>
            <w:vAlign w:val="bottom"/>
          </w:tcPr>
          <w:p w14:paraId="17ECA91E" w14:textId="050A34E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120</w:t>
            </w:r>
          </w:p>
        </w:tc>
        <w:tc>
          <w:tcPr>
            <w:tcW w:w="141" w:type="pct"/>
            <w:tcBorders>
              <w:top w:val="nil"/>
              <w:left w:val="nil"/>
              <w:bottom w:val="nil"/>
              <w:right w:val="nil"/>
            </w:tcBorders>
            <w:shd w:val="clear" w:color="auto" w:fill="auto"/>
            <w:vAlign w:val="bottom"/>
          </w:tcPr>
          <w:p w14:paraId="6D20A35C" w14:textId="739CFE2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156</w:t>
            </w:r>
          </w:p>
        </w:tc>
        <w:tc>
          <w:tcPr>
            <w:tcW w:w="141" w:type="pct"/>
            <w:tcBorders>
              <w:top w:val="nil"/>
              <w:left w:val="nil"/>
              <w:bottom w:val="nil"/>
              <w:right w:val="nil"/>
            </w:tcBorders>
            <w:shd w:val="clear" w:color="auto" w:fill="auto"/>
            <w:vAlign w:val="bottom"/>
          </w:tcPr>
          <w:p w14:paraId="1827FADC" w14:textId="68CE066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184</w:t>
            </w:r>
          </w:p>
        </w:tc>
        <w:tc>
          <w:tcPr>
            <w:tcW w:w="141" w:type="pct"/>
            <w:tcBorders>
              <w:top w:val="nil"/>
              <w:left w:val="nil"/>
              <w:bottom w:val="nil"/>
              <w:right w:val="nil"/>
            </w:tcBorders>
            <w:shd w:val="clear" w:color="auto" w:fill="auto"/>
            <w:vAlign w:val="bottom"/>
          </w:tcPr>
          <w:p w14:paraId="50CF75E7" w14:textId="42D8398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202</w:t>
            </w:r>
          </w:p>
        </w:tc>
        <w:tc>
          <w:tcPr>
            <w:tcW w:w="141" w:type="pct"/>
            <w:tcBorders>
              <w:top w:val="nil"/>
              <w:left w:val="nil"/>
              <w:bottom w:val="nil"/>
              <w:right w:val="nil"/>
            </w:tcBorders>
            <w:shd w:val="clear" w:color="auto" w:fill="auto"/>
            <w:vAlign w:val="bottom"/>
          </w:tcPr>
          <w:p w14:paraId="41EB10A9" w14:textId="7C235B3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206</w:t>
            </w:r>
          </w:p>
        </w:tc>
        <w:tc>
          <w:tcPr>
            <w:tcW w:w="141" w:type="pct"/>
            <w:tcBorders>
              <w:top w:val="nil"/>
              <w:left w:val="nil"/>
              <w:bottom w:val="nil"/>
              <w:right w:val="nil"/>
            </w:tcBorders>
            <w:shd w:val="clear" w:color="auto" w:fill="auto"/>
            <w:vAlign w:val="bottom"/>
          </w:tcPr>
          <w:p w14:paraId="71EAF2E4" w14:textId="736F13C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279</w:t>
            </w:r>
          </w:p>
        </w:tc>
        <w:tc>
          <w:tcPr>
            <w:tcW w:w="141" w:type="pct"/>
            <w:tcBorders>
              <w:top w:val="nil"/>
              <w:left w:val="nil"/>
              <w:bottom w:val="nil"/>
              <w:right w:val="nil"/>
            </w:tcBorders>
            <w:shd w:val="clear" w:color="auto" w:fill="auto"/>
            <w:vAlign w:val="bottom"/>
          </w:tcPr>
          <w:p w14:paraId="5D750A50" w14:textId="0756F8E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385</w:t>
            </w:r>
          </w:p>
        </w:tc>
        <w:tc>
          <w:tcPr>
            <w:tcW w:w="141" w:type="pct"/>
            <w:tcBorders>
              <w:top w:val="nil"/>
              <w:left w:val="nil"/>
              <w:bottom w:val="nil"/>
              <w:right w:val="nil"/>
            </w:tcBorders>
            <w:shd w:val="clear" w:color="auto" w:fill="auto"/>
            <w:vAlign w:val="bottom"/>
          </w:tcPr>
          <w:p w14:paraId="6E199812" w14:textId="2E96E17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408</w:t>
            </w:r>
          </w:p>
        </w:tc>
        <w:tc>
          <w:tcPr>
            <w:tcW w:w="141" w:type="pct"/>
            <w:tcBorders>
              <w:top w:val="nil"/>
              <w:left w:val="nil"/>
              <w:bottom w:val="nil"/>
              <w:right w:val="nil"/>
            </w:tcBorders>
            <w:shd w:val="clear" w:color="auto" w:fill="auto"/>
            <w:vAlign w:val="bottom"/>
          </w:tcPr>
          <w:p w14:paraId="66EBD1CA" w14:textId="6D54C3F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442</w:t>
            </w:r>
          </w:p>
        </w:tc>
        <w:tc>
          <w:tcPr>
            <w:tcW w:w="141" w:type="pct"/>
            <w:tcBorders>
              <w:top w:val="nil"/>
              <w:left w:val="nil"/>
              <w:bottom w:val="nil"/>
              <w:right w:val="nil"/>
            </w:tcBorders>
            <w:shd w:val="clear" w:color="auto" w:fill="auto"/>
            <w:vAlign w:val="bottom"/>
          </w:tcPr>
          <w:p w14:paraId="7FDC17E8" w14:textId="67EE888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474</w:t>
            </w:r>
          </w:p>
        </w:tc>
        <w:tc>
          <w:tcPr>
            <w:tcW w:w="141" w:type="pct"/>
            <w:tcBorders>
              <w:top w:val="nil"/>
              <w:left w:val="nil"/>
              <w:bottom w:val="nil"/>
              <w:right w:val="nil"/>
            </w:tcBorders>
            <w:shd w:val="clear" w:color="auto" w:fill="auto"/>
            <w:vAlign w:val="bottom"/>
          </w:tcPr>
          <w:p w14:paraId="398E2434" w14:textId="44F7E2D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538</w:t>
            </w:r>
          </w:p>
        </w:tc>
        <w:tc>
          <w:tcPr>
            <w:tcW w:w="141" w:type="pct"/>
            <w:tcBorders>
              <w:top w:val="nil"/>
              <w:left w:val="nil"/>
              <w:bottom w:val="nil"/>
              <w:right w:val="nil"/>
            </w:tcBorders>
            <w:shd w:val="clear" w:color="auto" w:fill="auto"/>
            <w:vAlign w:val="bottom"/>
          </w:tcPr>
          <w:p w14:paraId="1D0FC1B9" w14:textId="3A06677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563</w:t>
            </w:r>
          </w:p>
        </w:tc>
        <w:tc>
          <w:tcPr>
            <w:tcW w:w="141" w:type="pct"/>
            <w:tcBorders>
              <w:top w:val="nil"/>
              <w:left w:val="nil"/>
              <w:bottom w:val="nil"/>
              <w:right w:val="nil"/>
            </w:tcBorders>
            <w:shd w:val="clear" w:color="auto" w:fill="auto"/>
            <w:vAlign w:val="bottom"/>
          </w:tcPr>
          <w:p w14:paraId="0087A017" w14:textId="22BBA6E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489</w:t>
            </w:r>
          </w:p>
        </w:tc>
        <w:tc>
          <w:tcPr>
            <w:tcW w:w="141" w:type="pct"/>
            <w:tcBorders>
              <w:top w:val="nil"/>
              <w:left w:val="nil"/>
              <w:bottom w:val="nil"/>
              <w:right w:val="nil"/>
            </w:tcBorders>
            <w:shd w:val="clear" w:color="auto" w:fill="auto"/>
            <w:vAlign w:val="bottom"/>
          </w:tcPr>
          <w:p w14:paraId="6E154993" w14:textId="13FEDCF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420</w:t>
            </w:r>
          </w:p>
        </w:tc>
        <w:tc>
          <w:tcPr>
            <w:tcW w:w="141" w:type="pct"/>
            <w:tcBorders>
              <w:top w:val="nil"/>
              <w:left w:val="nil"/>
              <w:bottom w:val="nil"/>
              <w:right w:val="nil"/>
            </w:tcBorders>
            <w:shd w:val="clear" w:color="auto" w:fill="auto"/>
            <w:vAlign w:val="bottom"/>
          </w:tcPr>
          <w:p w14:paraId="41B48796" w14:textId="33708D0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365</w:t>
            </w:r>
          </w:p>
        </w:tc>
        <w:tc>
          <w:tcPr>
            <w:tcW w:w="100" w:type="pct"/>
            <w:tcBorders>
              <w:top w:val="nil"/>
              <w:left w:val="nil"/>
              <w:bottom w:val="nil"/>
              <w:right w:val="nil"/>
            </w:tcBorders>
          </w:tcPr>
          <w:p w14:paraId="45C25C2F"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4C5756FB"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4DB0C83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11FD57B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3F1C0098" w14:textId="2C379323"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6446</w:t>
            </w:r>
          </w:p>
        </w:tc>
      </w:tr>
      <w:tr w:rsidR="00F4063A" w:rsidRPr="003E4580" w14:paraId="0BB45733" w14:textId="77777777" w:rsidTr="00F4063A">
        <w:tc>
          <w:tcPr>
            <w:tcW w:w="188" w:type="pct"/>
            <w:tcBorders>
              <w:top w:val="nil"/>
              <w:left w:val="nil"/>
              <w:bottom w:val="nil"/>
              <w:right w:val="nil"/>
            </w:tcBorders>
          </w:tcPr>
          <w:p w14:paraId="7B04E10E"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32</w:t>
            </w:r>
          </w:p>
        </w:tc>
        <w:tc>
          <w:tcPr>
            <w:tcW w:w="141" w:type="pct"/>
            <w:tcBorders>
              <w:top w:val="nil"/>
              <w:left w:val="nil"/>
              <w:bottom w:val="nil"/>
              <w:right w:val="nil"/>
            </w:tcBorders>
            <w:shd w:val="clear" w:color="auto" w:fill="auto"/>
            <w:vAlign w:val="bottom"/>
          </w:tcPr>
          <w:p w14:paraId="053ADB9D" w14:textId="00C6583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3E07BD86" w14:textId="54329F2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w:t>
            </w:r>
          </w:p>
        </w:tc>
        <w:tc>
          <w:tcPr>
            <w:tcW w:w="141" w:type="pct"/>
            <w:tcBorders>
              <w:top w:val="nil"/>
              <w:left w:val="nil"/>
              <w:bottom w:val="nil"/>
              <w:right w:val="nil"/>
            </w:tcBorders>
            <w:shd w:val="clear" w:color="auto" w:fill="auto"/>
            <w:vAlign w:val="bottom"/>
          </w:tcPr>
          <w:p w14:paraId="49FE8CF4" w14:textId="350F7F7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25</w:t>
            </w:r>
          </w:p>
        </w:tc>
        <w:tc>
          <w:tcPr>
            <w:tcW w:w="141" w:type="pct"/>
            <w:tcBorders>
              <w:top w:val="nil"/>
              <w:left w:val="nil"/>
              <w:bottom w:val="nil"/>
              <w:right w:val="nil"/>
            </w:tcBorders>
            <w:shd w:val="clear" w:color="auto" w:fill="auto"/>
            <w:vAlign w:val="bottom"/>
          </w:tcPr>
          <w:p w14:paraId="45724D39" w14:textId="2E99F2A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32</w:t>
            </w:r>
          </w:p>
        </w:tc>
        <w:tc>
          <w:tcPr>
            <w:tcW w:w="141" w:type="pct"/>
            <w:tcBorders>
              <w:top w:val="nil"/>
              <w:left w:val="nil"/>
              <w:bottom w:val="nil"/>
              <w:right w:val="nil"/>
            </w:tcBorders>
            <w:shd w:val="clear" w:color="auto" w:fill="auto"/>
            <w:vAlign w:val="bottom"/>
          </w:tcPr>
          <w:p w14:paraId="4D0962B7" w14:textId="62FF35F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34</w:t>
            </w:r>
          </w:p>
        </w:tc>
        <w:tc>
          <w:tcPr>
            <w:tcW w:w="141" w:type="pct"/>
            <w:tcBorders>
              <w:top w:val="nil"/>
              <w:left w:val="nil"/>
              <w:bottom w:val="nil"/>
              <w:right w:val="nil"/>
            </w:tcBorders>
            <w:shd w:val="clear" w:color="auto" w:fill="auto"/>
            <w:vAlign w:val="bottom"/>
          </w:tcPr>
          <w:p w14:paraId="7C1CEC9B" w14:textId="74C5C5A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39</w:t>
            </w:r>
          </w:p>
        </w:tc>
        <w:tc>
          <w:tcPr>
            <w:tcW w:w="141" w:type="pct"/>
            <w:tcBorders>
              <w:top w:val="nil"/>
              <w:left w:val="nil"/>
              <w:bottom w:val="nil"/>
              <w:right w:val="nil"/>
            </w:tcBorders>
            <w:shd w:val="clear" w:color="auto" w:fill="auto"/>
            <w:vAlign w:val="bottom"/>
          </w:tcPr>
          <w:p w14:paraId="7CADE640" w14:textId="623D051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56</w:t>
            </w:r>
          </w:p>
        </w:tc>
        <w:tc>
          <w:tcPr>
            <w:tcW w:w="141" w:type="pct"/>
            <w:tcBorders>
              <w:top w:val="nil"/>
              <w:left w:val="nil"/>
              <w:bottom w:val="nil"/>
              <w:right w:val="nil"/>
            </w:tcBorders>
            <w:shd w:val="clear" w:color="auto" w:fill="auto"/>
            <w:vAlign w:val="bottom"/>
          </w:tcPr>
          <w:p w14:paraId="36670D7A" w14:textId="59FA1B33"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69</w:t>
            </w:r>
          </w:p>
        </w:tc>
        <w:tc>
          <w:tcPr>
            <w:tcW w:w="141" w:type="pct"/>
            <w:tcBorders>
              <w:top w:val="nil"/>
              <w:left w:val="nil"/>
              <w:bottom w:val="nil"/>
              <w:right w:val="nil"/>
            </w:tcBorders>
            <w:shd w:val="clear" w:color="auto" w:fill="auto"/>
            <w:vAlign w:val="bottom"/>
          </w:tcPr>
          <w:p w14:paraId="2A7CCE46" w14:textId="6AF2626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75</w:t>
            </w:r>
          </w:p>
        </w:tc>
        <w:tc>
          <w:tcPr>
            <w:tcW w:w="141" w:type="pct"/>
            <w:tcBorders>
              <w:top w:val="nil"/>
              <w:left w:val="nil"/>
              <w:bottom w:val="nil"/>
              <w:right w:val="nil"/>
            </w:tcBorders>
            <w:shd w:val="clear" w:color="auto" w:fill="auto"/>
            <w:vAlign w:val="bottom"/>
          </w:tcPr>
          <w:p w14:paraId="11021BD0" w14:textId="6FB69C7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78</w:t>
            </w:r>
          </w:p>
        </w:tc>
        <w:tc>
          <w:tcPr>
            <w:tcW w:w="141" w:type="pct"/>
            <w:tcBorders>
              <w:top w:val="nil"/>
              <w:left w:val="nil"/>
              <w:bottom w:val="nil"/>
              <w:right w:val="nil"/>
            </w:tcBorders>
            <w:shd w:val="clear" w:color="auto" w:fill="auto"/>
            <w:vAlign w:val="bottom"/>
          </w:tcPr>
          <w:p w14:paraId="18F1BFE0" w14:textId="4B9DED0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86</w:t>
            </w:r>
          </w:p>
        </w:tc>
        <w:tc>
          <w:tcPr>
            <w:tcW w:w="141" w:type="pct"/>
            <w:tcBorders>
              <w:top w:val="nil"/>
              <w:left w:val="nil"/>
              <w:bottom w:val="nil"/>
              <w:right w:val="nil"/>
            </w:tcBorders>
            <w:shd w:val="clear" w:color="auto" w:fill="auto"/>
            <w:vAlign w:val="bottom"/>
          </w:tcPr>
          <w:p w14:paraId="0D5AA887" w14:textId="049B175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112</w:t>
            </w:r>
          </w:p>
        </w:tc>
        <w:tc>
          <w:tcPr>
            <w:tcW w:w="141" w:type="pct"/>
            <w:tcBorders>
              <w:top w:val="nil"/>
              <w:left w:val="nil"/>
              <w:bottom w:val="nil"/>
              <w:right w:val="nil"/>
            </w:tcBorders>
            <w:shd w:val="clear" w:color="auto" w:fill="auto"/>
            <w:vAlign w:val="bottom"/>
          </w:tcPr>
          <w:p w14:paraId="6A0006B3" w14:textId="4CDBFAE3"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120</w:t>
            </w:r>
          </w:p>
        </w:tc>
        <w:tc>
          <w:tcPr>
            <w:tcW w:w="141" w:type="pct"/>
            <w:tcBorders>
              <w:top w:val="nil"/>
              <w:left w:val="nil"/>
              <w:bottom w:val="nil"/>
              <w:right w:val="nil"/>
            </w:tcBorders>
            <w:shd w:val="clear" w:color="auto" w:fill="auto"/>
            <w:vAlign w:val="bottom"/>
          </w:tcPr>
          <w:p w14:paraId="1E0E020E" w14:textId="2E34C7D5"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112</w:t>
            </w:r>
          </w:p>
        </w:tc>
        <w:tc>
          <w:tcPr>
            <w:tcW w:w="141" w:type="pct"/>
            <w:tcBorders>
              <w:top w:val="nil"/>
              <w:left w:val="nil"/>
              <w:bottom w:val="nil"/>
              <w:right w:val="nil"/>
            </w:tcBorders>
            <w:shd w:val="clear" w:color="auto" w:fill="auto"/>
            <w:vAlign w:val="bottom"/>
          </w:tcPr>
          <w:p w14:paraId="1A71A4AF" w14:textId="39E30966"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121</w:t>
            </w:r>
          </w:p>
        </w:tc>
        <w:tc>
          <w:tcPr>
            <w:tcW w:w="141" w:type="pct"/>
            <w:tcBorders>
              <w:top w:val="nil"/>
              <w:left w:val="nil"/>
              <w:bottom w:val="nil"/>
              <w:right w:val="nil"/>
            </w:tcBorders>
            <w:shd w:val="clear" w:color="auto" w:fill="auto"/>
            <w:vAlign w:val="bottom"/>
          </w:tcPr>
          <w:p w14:paraId="14C7A000" w14:textId="55EC71C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117</w:t>
            </w:r>
          </w:p>
        </w:tc>
        <w:tc>
          <w:tcPr>
            <w:tcW w:w="141" w:type="pct"/>
            <w:tcBorders>
              <w:top w:val="nil"/>
              <w:left w:val="nil"/>
              <w:bottom w:val="nil"/>
              <w:right w:val="nil"/>
            </w:tcBorders>
            <w:shd w:val="clear" w:color="auto" w:fill="auto"/>
            <w:vAlign w:val="bottom"/>
          </w:tcPr>
          <w:p w14:paraId="4951CBFC" w14:textId="6AD5FCC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152</w:t>
            </w:r>
          </w:p>
        </w:tc>
        <w:tc>
          <w:tcPr>
            <w:tcW w:w="141" w:type="pct"/>
            <w:tcBorders>
              <w:top w:val="nil"/>
              <w:left w:val="nil"/>
              <w:bottom w:val="nil"/>
              <w:right w:val="nil"/>
            </w:tcBorders>
            <w:shd w:val="clear" w:color="auto" w:fill="auto"/>
            <w:vAlign w:val="bottom"/>
          </w:tcPr>
          <w:p w14:paraId="620B4DEC" w14:textId="2E4FCA3E"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179</w:t>
            </w:r>
          </w:p>
        </w:tc>
        <w:tc>
          <w:tcPr>
            <w:tcW w:w="141" w:type="pct"/>
            <w:tcBorders>
              <w:top w:val="nil"/>
              <w:left w:val="nil"/>
              <w:bottom w:val="nil"/>
              <w:right w:val="nil"/>
            </w:tcBorders>
            <w:shd w:val="clear" w:color="auto" w:fill="auto"/>
            <w:vAlign w:val="bottom"/>
          </w:tcPr>
          <w:p w14:paraId="66B94C98" w14:textId="460E85E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196</w:t>
            </w:r>
          </w:p>
        </w:tc>
        <w:tc>
          <w:tcPr>
            <w:tcW w:w="141" w:type="pct"/>
            <w:tcBorders>
              <w:top w:val="nil"/>
              <w:left w:val="nil"/>
              <w:bottom w:val="nil"/>
              <w:right w:val="nil"/>
            </w:tcBorders>
            <w:shd w:val="clear" w:color="auto" w:fill="auto"/>
            <w:vAlign w:val="bottom"/>
          </w:tcPr>
          <w:p w14:paraId="6DBC58B4" w14:textId="3634303C"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200</w:t>
            </w:r>
          </w:p>
        </w:tc>
        <w:tc>
          <w:tcPr>
            <w:tcW w:w="141" w:type="pct"/>
            <w:tcBorders>
              <w:top w:val="nil"/>
              <w:left w:val="nil"/>
              <w:bottom w:val="nil"/>
              <w:right w:val="nil"/>
            </w:tcBorders>
            <w:shd w:val="clear" w:color="auto" w:fill="auto"/>
            <w:vAlign w:val="bottom"/>
          </w:tcPr>
          <w:p w14:paraId="6DA3EA66" w14:textId="0B2B398E"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270</w:t>
            </w:r>
          </w:p>
        </w:tc>
        <w:tc>
          <w:tcPr>
            <w:tcW w:w="141" w:type="pct"/>
            <w:tcBorders>
              <w:top w:val="nil"/>
              <w:left w:val="nil"/>
              <w:bottom w:val="nil"/>
              <w:right w:val="nil"/>
            </w:tcBorders>
            <w:shd w:val="clear" w:color="auto" w:fill="auto"/>
            <w:vAlign w:val="bottom"/>
          </w:tcPr>
          <w:p w14:paraId="44643262" w14:textId="144BA23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372</w:t>
            </w:r>
          </w:p>
        </w:tc>
        <w:tc>
          <w:tcPr>
            <w:tcW w:w="141" w:type="pct"/>
            <w:tcBorders>
              <w:top w:val="nil"/>
              <w:left w:val="nil"/>
              <w:bottom w:val="nil"/>
              <w:right w:val="nil"/>
            </w:tcBorders>
            <w:shd w:val="clear" w:color="auto" w:fill="auto"/>
            <w:vAlign w:val="bottom"/>
          </w:tcPr>
          <w:p w14:paraId="52ED9FA9" w14:textId="349A5F6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394</w:t>
            </w:r>
          </w:p>
        </w:tc>
        <w:tc>
          <w:tcPr>
            <w:tcW w:w="141" w:type="pct"/>
            <w:tcBorders>
              <w:top w:val="nil"/>
              <w:left w:val="nil"/>
              <w:bottom w:val="nil"/>
              <w:right w:val="nil"/>
            </w:tcBorders>
            <w:shd w:val="clear" w:color="auto" w:fill="auto"/>
            <w:vAlign w:val="bottom"/>
          </w:tcPr>
          <w:p w14:paraId="0112E9DE" w14:textId="214B13A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426</w:t>
            </w:r>
          </w:p>
        </w:tc>
        <w:tc>
          <w:tcPr>
            <w:tcW w:w="141" w:type="pct"/>
            <w:tcBorders>
              <w:top w:val="nil"/>
              <w:left w:val="nil"/>
              <w:bottom w:val="nil"/>
              <w:right w:val="nil"/>
            </w:tcBorders>
            <w:shd w:val="clear" w:color="auto" w:fill="auto"/>
            <w:vAlign w:val="bottom"/>
          </w:tcPr>
          <w:p w14:paraId="4DA2AA76" w14:textId="583E3666"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455</w:t>
            </w:r>
          </w:p>
        </w:tc>
        <w:tc>
          <w:tcPr>
            <w:tcW w:w="141" w:type="pct"/>
            <w:tcBorders>
              <w:top w:val="nil"/>
              <w:left w:val="nil"/>
              <w:bottom w:val="nil"/>
              <w:right w:val="nil"/>
            </w:tcBorders>
            <w:shd w:val="clear" w:color="auto" w:fill="auto"/>
            <w:vAlign w:val="bottom"/>
          </w:tcPr>
          <w:p w14:paraId="74724F46" w14:textId="6DFDBAE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515</w:t>
            </w:r>
          </w:p>
        </w:tc>
        <w:tc>
          <w:tcPr>
            <w:tcW w:w="141" w:type="pct"/>
            <w:tcBorders>
              <w:top w:val="nil"/>
              <w:left w:val="nil"/>
              <w:bottom w:val="nil"/>
              <w:right w:val="nil"/>
            </w:tcBorders>
            <w:shd w:val="clear" w:color="auto" w:fill="auto"/>
            <w:vAlign w:val="bottom"/>
          </w:tcPr>
          <w:p w14:paraId="60583700" w14:textId="39F88BC2"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537</w:t>
            </w:r>
          </w:p>
        </w:tc>
        <w:tc>
          <w:tcPr>
            <w:tcW w:w="141" w:type="pct"/>
            <w:tcBorders>
              <w:top w:val="nil"/>
              <w:left w:val="nil"/>
              <w:bottom w:val="nil"/>
              <w:right w:val="nil"/>
            </w:tcBorders>
            <w:shd w:val="clear" w:color="auto" w:fill="auto"/>
            <w:vAlign w:val="bottom"/>
          </w:tcPr>
          <w:p w14:paraId="3342DD88" w14:textId="0F1668EC"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464</w:t>
            </w:r>
          </w:p>
        </w:tc>
        <w:tc>
          <w:tcPr>
            <w:tcW w:w="141" w:type="pct"/>
            <w:tcBorders>
              <w:top w:val="nil"/>
              <w:left w:val="nil"/>
              <w:bottom w:val="nil"/>
              <w:right w:val="nil"/>
            </w:tcBorders>
            <w:shd w:val="clear" w:color="auto" w:fill="auto"/>
            <w:vAlign w:val="bottom"/>
          </w:tcPr>
          <w:p w14:paraId="27397EC7" w14:textId="69C3D83C"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398</w:t>
            </w:r>
          </w:p>
        </w:tc>
        <w:tc>
          <w:tcPr>
            <w:tcW w:w="100" w:type="pct"/>
            <w:tcBorders>
              <w:top w:val="nil"/>
              <w:left w:val="nil"/>
              <w:bottom w:val="nil"/>
              <w:right w:val="nil"/>
            </w:tcBorders>
          </w:tcPr>
          <w:p w14:paraId="63C15FFF"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0C8CB353"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0CC82A08" w14:textId="2E65FD0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29" w:type="pct"/>
            <w:tcBorders>
              <w:top w:val="nil"/>
              <w:left w:val="nil"/>
              <w:bottom w:val="nil"/>
              <w:right w:val="single" w:sz="6" w:space="0" w:color="auto"/>
            </w:tcBorders>
            <w:shd w:val="clear" w:color="auto" w:fill="auto"/>
            <w:vAlign w:val="bottom"/>
          </w:tcPr>
          <w:p w14:paraId="76013531" w14:textId="19A9400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253" w:type="pct"/>
            <w:tcBorders>
              <w:top w:val="nil"/>
              <w:left w:val="single" w:sz="6" w:space="0" w:color="auto"/>
              <w:bottom w:val="nil"/>
              <w:right w:val="single" w:sz="6" w:space="0" w:color="auto"/>
            </w:tcBorders>
            <w:shd w:val="clear" w:color="auto" w:fill="auto"/>
            <w:vAlign w:val="bottom"/>
          </w:tcPr>
          <w:p w14:paraId="27629329" w14:textId="6B147C41"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6261</w:t>
            </w:r>
          </w:p>
        </w:tc>
      </w:tr>
      <w:tr w:rsidR="00F4063A" w:rsidRPr="003E4580" w14:paraId="12D5958A" w14:textId="77777777" w:rsidTr="00F4063A">
        <w:tc>
          <w:tcPr>
            <w:tcW w:w="188" w:type="pct"/>
            <w:tcBorders>
              <w:top w:val="nil"/>
              <w:left w:val="nil"/>
              <w:bottom w:val="nil"/>
              <w:right w:val="nil"/>
            </w:tcBorders>
          </w:tcPr>
          <w:p w14:paraId="2082080F"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33</w:t>
            </w:r>
          </w:p>
        </w:tc>
        <w:tc>
          <w:tcPr>
            <w:tcW w:w="141" w:type="pct"/>
            <w:tcBorders>
              <w:top w:val="nil"/>
              <w:left w:val="nil"/>
              <w:bottom w:val="nil"/>
              <w:right w:val="nil"/>
            </w:tcBorders>
            <w:shd w:val="clear" w:color="auto" w:fill="auto"/>
            <w:vAlign w:val="bottom"/>
          </w:tcPr>
          <w:p w14:paraId="377BFAB2" w14:textId="73C5B57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2A4D50F0" w14:textId="02CEAE2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7326CB98" w14:textId="4DFC02F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23</w:t>
            </w:r>
          </w:p>
        </w:tc>
        <w:tc>
          <w:tcPr>
            <w:tcW w:w="141" w:type="pct"/>
            <w:tcBorders>
              <w:top w:val="nil"/>
              <w:left w:val="nil"/>
              <w:bottom w:val="nil"/>
              <w:right w:val="nil"/>
            </w:tcBorders>
            <w:shd w:val="clear" w:color="auto" w:fill="auto"/>
            <w:vAlign w:val="bottom"/>
          </w:tcPr>
          <w:p w14:paraId="325D8034" w14:textId="580B37D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24</w:t>
            </w:r>
          </w:p>
        </w:tc>
        <w:tc>
          <w:tcPr>
            <w:tcW w:w="141" w:type="pct"/>
            <w:tcBorders>
              <w:top w:val="nil"/>
              <w:left w:val="nil"/>
              <w:bottom w:val="nil"/>
              <w:right w:val="nil"/>
            </w:tcBorders>
            <w:shd w:val="clear" w:color="auto" w:fill="auto"/>
            <w:vAlign w:val="bottom"/>
          </w:tcPr>
          <w:p w14:paraId="480C19A4" w14:textId="416A301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29</w:t>
            </w:r>
          </w:p>
        </w:tc>
        <w:tc>
          <w:tcPr>
            <w:tcW w:w="141" w:type="pct"/>
            <w:tcBorders>
              <w:top w:val="nil"/>
              <w:left w:val="nil"/>
              <w:bottom w:val="nil"/>
              <w:right w:val="nil"/>
            </w:tcBorders>
            <w:shd w:val="clear" w:color="auto" w:fill="auto"/>
            <w:vAlign w:val="bottom"/>
          </w:tcPr>
          <w:p w14:paraId="13407EC0" w14:textId="517521F6"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36</w:t>
            </w:r>
          </w:p>
        </w:tc>
        <w:tc>
          <w:tcPr>
            <w:tcW w:w="141" w:type="pct"/>
            <w:tcBorders>
              <w:top w:val="nil"/>
              <w:left w:val="nil"/>
              <w:bottom w:val="nil"/>
              <w:right w:val="nil"/>
            </w:tcBorders>
            <w:shd w:val="clear" w:color="auto" w:fill="auto"/>
            <w:vAlign w:val="bottom"/>
          </w:tcPr>
          <w:p w14:paraId="2C4B3AE2" w14:textId="15A4AF0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41</w:t>
            </w:r>
          </w:p>
        </w:tc>
        <w:tc>
          <w:tcPr>
            <w:tcW w:w="141" w:type="pct"/>
            <w:tcBorders>
              <w:top w:val="nil"/>
              <w:left w:val="nil"/>
              <w:bottom w:val="nil"/>
              <w:right w:val="nil"/>
            </w:tcBorders>
            <w:shd w:val="clear" w:color="auto" w:fill="auto"/>
            <w:vAlign w:val="bottom"/>
          </w:tcPr>
          <w:p w14:paraId="5D1EAD3E" w14:textId="69DBCFD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58</w:t>
            </w:r>
          </w:p>
        </w:tc>
        <w:tc>
          <w:tcPr>
            <w:tcW w:w="141" w:type="pct"/>
            <w:tcBorders>
              <w:top w:val="nil"/>
              <w:left w:val="nil"/>
              <w:bottom w:val="nil"/>
              <w:right w:val="nil"/>
            </w:tcBorders>
            <w:shd w:val="clear" w:color="auto" w:fill="auto"/>
            <w:vAlign w:val="bottom"/>
          </w:tcPr>
          <w:p w14:paraId="7CE905C0" w14:textId="30C1A10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72</w:t>
            </w:r>
          </w:p>
        </w:tc>
        <w:tc>
          <w:tcPr>
            <w:tcW w:w="141" w:type="pct"/>
            <w:tcBorders>
              <w:top w:val="nil"/>
              <w:left w:val="nil"/>
              <w:bottom w:val="nil"/>
              <w:right w:val="nil"/>
            </w:tcBorders>
            <w:shd w:val="clear" w:color="auto" w:fill="auto"/>
            <w:vAlign w:val="bottom"/>
          </w:tcPr>
          <w:p w14:paraId="128E9BFA" w14:textId="0F4B8AA6"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78</w:t>
            </w:r>
          </w:p>
        </w:tc>
        <w:tc>
          <w:tcPr>
            <w:tcW w:w="141" w:type="pct"/>
            <w:tcBorders>
              <w:top w:val="nil"/>
              <w:left w:val="nil"/>
              <w:bottom w:val="nil"/>
              <w:right w:val="nil"/>
            </w:tcBorders>
            <w:shd w:val="clear" w:color="auto" w:fill="auto"/>
            <w:vAlign w:val="bottom"/>
          </w:tcPr>
          <w:p w14:paraId="040277CD" w14:textId="6012B481"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81</w:t>
            </w:r>
          </w:p>
        </w:tc>
        <w:tc>
          <w:tcPr>
            <w:tcW w:w="141" w:type="pct"/>
            <w:tcBorders>
              <w:top w:val="nil"/>
              <w:left w:val="nil"/>
              <w:bottom w:val="nil"/>
              <w:right w:val="nil"/>
            </w:tcBorders>
            <w:shd w:val="clear" w:color="auto" w:fill="auto"/>
            <w:vAlign w:val="bottom"/>
          </w:tcPr>
          <w:p w14:paraId="6DBAACDE" w14:textId="48A3AD8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90</w:t>
            </w:r>
          </w:p>
        </w:tc>
        <w:tc>
          <w:tcPr>
            <w:tcW w:w="141" w:type="pct"/>
            <w:tcBorders>
              <w:top w:val="nil"/>
              <w:left w:val="nil"/>
              <w:bottom w:val="nil"/>
              <w:right w:val="nil"/>
            </w:tcBorders>
            <w:shd w:val="clear" w:color="auto" w:fill="auto"/>
            <w:vAlign w:val="bottom"/>
          </w:tcPr>
          <w:p w14:paraId="2D869FBC" w14:textId="4A44E6C3"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117</w:t>
            </w:r>
          </w:p>
        </w:tc>
        <w:tc>
          <w:tcPr>
            <w:tcW w:w="141" w:type="pct"/>
            <w:tcBorders>
              <w:top w:val="nil"/>
              <w:left w:val="nil"/>
              <w:bottom w:val="nil"/>
              <w:right w:val="nil"/>
            </w:tcBorders>
            <w:shd w:val="clear" w:color="auto" w:fill="auto"/>
            <w:vAlign w:val="bottom"/>
          </w:tcPr>
          <w:p w14:paraId="20AAB61B" w14:textId="5055B50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125</w:t>
            </w:r>
          </w:p>
        </w:tc>
        <w:tc>
          <w:tcPr>
            <w:tcW w:w="141" w:type="pct"/>
            <w:tcBorders>
              <w:top w:val="nil"/>
              <w:left w:val="nil"/>
              <w:bottom w:val="nil"/>
              <w:right w:val="nil"/>
            </w:tcBorders>
            <w:shd w:val="clear" w:color="auto" w:fill="auto"/>
            <w:vAlign w:val="bottom"/>
          </w:tcPr>
          <w:p w14:paraId="5018F63C" w14:textId="030FE1B6"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114</w:t>
            </w:r>
          </w:p>
        </w:tc>
        <w:tc>
          <w:tcPr>
            <w:tcW w:w="141" w:type="pct"/>
            <w:tcBorders>
              <w:top w:val="nil"/>
              <w:left w:val="nil"/>
              <w:bottom w:val="nil"/>
              <w:right w:val="nil"/>
            </w:tcBorders>
            <w:shd w:val="clear" w:color="auto" w:fill="auto"/>
            <w:vAlign w:val="bottom"/>
          </w:tcPr>
          <w:p w14:paraId="68AB4020" w14:textId="1352ADC1"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118</w:t>
            </w:r>
          </w:p>
        </w:tc>
        <w:tc>
          <w:tcPr>
            <w:tcW w:w="141" w:type="pct"/>
            <w:tcBorders>
              <w:top w:val="nil"/>
              <w:left w:val="nil"/>
              <w:bottom w:val="nil"/>
              <w:right w:val="nil"/>
            </w:tcBorders>
            <w:shd w:val="clear" w:color="auto" w:fill="auto"/>
            <w:vAlign w:val="bottom"/>
          </w:tcPr>
          <w:p w14:paraId="0CC7EDC9" w14:textId="65E0862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114</w:t>
            </w:r>
          </w:p>
        </w:tc>
        <w:tc>
          <w:tcPr>
            <w:tcW w:w="141" w:type="pct"/>
            <w:tcBorders>
              <w:top w:val="nil"/>
              <w:left w:val="nil"/>
              <w:bottom w:val="nil"/>
              <w:right w:val="nil"/>
            </w:tcBorders>
            <w:shd w:val="clear" w:color="auto" w:fill="auto"/>
            <w:vAlign w:val="bottom"/>
          </w:tcPr>
          <w:p w14:paraId="6CF9E98B" w14:textId="71876A1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148</w:t>
            </w:r>
          </w:p>
        </w:tc>
        <w:tc>
          <w:tcPr>
            <w:tcW w:w="141" w:type="pct"/>
            <w:tcBorders>
              <w:top w:val="nil"/>
              <w:left w:val="nil"/>
              <w:bottom w:val="nil"/>
              <w:right w:val="nil"/>
            </w:tcBorders>
            <w:shd w:val="clear" w:color="auto" w:fill="auto"/>
            <w:vAlign w:val="bottom"/>
          </w:tcPr>
          <w:p w14:paraId="4A817C2C" w14:textId="72FF0CF0"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174</w:t>
            </w:r>
          </w:p>
        </w:tc>
        <w:tc>
          <w:tcPr>
            <w:tcW w:w="141" w:type="pct"/>
            <w:tcBorders>
              <w:top w:val="nil"/>
              <w:left w:val="nil"/>
              <w:bottom w:val="nil"/>
              <w:right w:val="nil"/>
            </w:tcBorders>
            <w:shd w:val="clear" w:color="auto" w:fill="auto"/>
            <w:vAlign w:val="bottom"/>
          </w:tcPr>
          <w:p w14:paraId="6485756E" w14:textId="3DA03FC2"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191</w:t>
            </w:r>
          </w:p>
        </w:tc>
        <w:tc>
          <w:tcPr>
            <w:tcW w:w="141" w:type="pct"/>
            <w:tcBorders>
              <w:top w:val="nil"/>
              <w:left w:val="nil"/>
              <w:bottom w:val="nil"/>
              <w:right w:val="nil"/>
            </w:tcBorders>
            <w:shd w:val="clear" w:color="auto" w:fill="auto"/>
            <w:vAlign w:val="bottom"/>
          </w:tcPr>
          <w:p w14:paraId="6EF6E7CE" w14:textId="47BAD6F5"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194</w:t>
            </w:r>
          </w:p>
        </w:tc>
        <w:tc>
          <w:tcPr>
            <w:tcW w:w="141" w:type="pct"/>
            <w:tcBorders>
              <w:top w:val="nil"/>
              <w:left w:val="nil"/>
              <w:bottom w:val="nil"/>
              <w:right w:val="nil"/>
            </w:tcBorders>
            <w:shd w:val="clear" w:color="auto" w:fill="auto"/>
            <w:vAlign w:val="bottom"/>
          </w:tcPr>
          <w:p w14:paraId="1127CACA" w14:textId="65D55AE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261</w:t>
            </w:r>
          </w:p>
        </w:tc>
        <w:tc>
          <w:tcPr>
            <w:tcW w:w="141" w:type="pct"/>
            <w:tcBorders>
              <w:top w:val="nil"/>
              <w:left w:val="nil"/>
              <w:bottom w:val="nil"/>
              <w:right w:val="nil"/>
            </w:tcBorders>
            <w:shd w:val="clear" w:color="auto" w:fill="auto"/>
            <w:vAlign w:val="bottom"/>
          </w:tcPr>
          <w:p w14:paraId="3E9B7216" w14:textId="450D5152"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359</w:t>
            </w:r>
          </w:p>
        </w:tc>
        <w:tc>
          <w:tcPr>
            <w:tcW w:w="141" w:type="pct"/>
            <w:tcBorders>
              <w:top w:val="nil"/>
              <w:left w:val="nil"/>
              <w:bottom w:val="nil"/>
              <w:right w:val="nil"/>
            </w:tcBorders>
            <w:shd w:val="clear" w:color="auto" w:fill="auto"/>
            <w:vAlign w:val="bottom"/>
          </w:tcPr>
          <w:p w14:paraId="6C749380" w14:textId="2AF584DE"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379</w:t>
            </w:r>
          </w:p>
        </w:tc>
        <w:tc>
          <w:tcPr>
            <w:tcW w:w="141" w:type="pct"/>
            <w:tcBorders>
              <w:top w:val="nil"/>
              <w:left w:val="nil"/>
              <w:bottom w:val="nil"/>
              <w:right w:val="nil"/>
            </w:tcBorders>
            <w:shd w:val="clear" w:color="auto" w:fill="auto"/>
            <w:vAlign w:val="bottom"/>
          </w:tcPr>
          <w:p w14:paraId="4F4B89B7" w14:textId="27F6F6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409</w:t>
            </w:r>
          </w:p>
        </w:tc>
        <w:tc>
          <w:tcPr>
            <w:tcW w:w="141" w:type="pct"/>
            <w:tcBorders>
              <w:top w:val="nil"/>
              <w:left w:val="nil"/>
              <w:bottom w:val="nil"/>
              <w:right w:val="nil"/>
            </w:tcBorders>
            <w:shd w:val="clear" w:color="auto" w:fill="auto"/>
            <w:vAlign w:val="bottom"/>
          </w:tcPr>
          <w:p w14:paraId="1FEF00D5" w14:textId="4D98D5D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435</w:t>
            </w:r>
          </w:p>
        </w:tc>
        <w:tc>
          <w:tcPr>
            <w:tcW w:w="141" w:type="pct"/>
            <w:tcBorders>
              <w:top w:val="nil"/>
              <w:left w:val="nil"/>
              <w:bottom w:val="nil"/>
              <w:right w:val="nil"/>
            </w:tcBorders>
            <w:shd w:val="clear" w:color="auto" w:fill="auto"/>
            <w:vAlign w:val="bottom"/>
          </w:tcPr>
          <w:p w14:paraId="2EFFAC91" w14:textId="7B51B8F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491</w:t>
            </w:r>
          </w:p>
        </w:tc>
        <w:tc>
          <w:tcPr>
            <w:tcW w:w="141" w:type="pct"/>
            <w:tcBorders>
              <w:top w:val="nil"/>
              <w:left w:val="nil"/>
              <w:bottom w:val="nil"/>
              <w:right w:val="nil"/>
            </w:tcBorders>
            <w:shd w:val="clear" w:color="auto" w:fill="auto"/>
            <w:vAlign w:val="bottom"/>
          </w:tcPr>
          <w:p w14:paraId="218C1191" w14:textId="09316CE5"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511</w:t>
            </w:r>
          </w:p>
        </w:tc>
        <w:tc>
          <w:tcPr>
            <w:tcW w:w="141" w:type="pct"/>
            <w:tcBorders>
              <w:top w:val="nil"/>
              <w:left w:val="nil"/>
              <w:bottom w:val="nil"/>
              <w:right w:val="nil"/>
            </w:tcBorders>
            <w:shd w:val="clear" w:color="auto" w:fill="auto"/>
            <w:vAlign w:val="bottom"/>
          </w:tcPr>
          <w:p w14:paraId="158AA7D1" w14:textId="482B313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440</w:t>
            </w:r>
          </w:p>
        </w:tc>
        <w:tc>
          <w:tcPr>
            <w:tcW w:w="100" w:type="pct"/>
            <w:tcBorders>
              <w:top w:val="nil"/>
              <w:left w:val="nil"/>
              <w:bottom w:val="nil"/>
              <w:right w:val="nil"/>
            </w:tcBorders>
          </w:tcPr>
          <w:p w14:paraId="0354C2FD"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5C9110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6D9EADA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7B77EEE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4314DFAC" w14:textId="0BEFC1F4"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6055</w:t>
            </w:r>
          </w:p>
        </w:tc>
      </w:tr>
      <w:tr w:rsidR="00F4063A" w:rsidRPr="003E4580" w14:paraId="5BC71666" w14:textId="77777777" w:rsidTr="00F4063A">
        <w:tc>
          <w:tcPr>
            <w:tcW w:w="188" w:type="pct"/>
            <w:tcBorders>
              <w:top w:val="nil"/>
              <w:left w:val="nil"/>
              <w:bottom w:val="nil"/>
              <w:right w:val="nil"/>
            </w:tcBorders>
          </w:tcPr>
          <w:p w14:paraId="26D6909F"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34</w:t>
            </w:r>
          </w:p>
        </w:tc>
        <w:tc>
          <w:tcPr>
            <w:tcW w:w="141" w:type="pct"/>
            <w:tcBorders>
              <w:top w:val="nil"/>
              <w:left w:val="nil"/>
              <w:bottom w:val="nil"/>
              <w:right w:val="nil"/>
            </w:tcBorders>
            <w:shd w:val="clear" w:color="auto" w:fill="auto"/>
            <w:vAlign w:val="bottom"/>
          </w:tcPr>
          <w:p w14:paraId="1076F42A" w14:textId="21C394E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3E819EEA" w14:textId="67355F9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0DBA3E91" w14:textId="05A17B6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3CFF060F" w14:textId="1F08CE5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w:t>
            </w:r>
          </w:p>
        </w:tc>
        <w:tc>
          <w:tcPr>
            <w:tcW w:w="141" w:type="pct"/>
            <w:tcBorders>
              <w:top w:val="nil"/>
              <w:left w:val="nil"/>
              <w:bottom w:val="nil"/>
              <w:right w:val="nil"/>
            </w:tcBorders>
            <w:shd w:val="clear" w:color="auto" w:fill="auto"/>
            <w:vAlign w:val="bottom"/>
          </w:tcPr>
          <w:p w14:paraId="1E984EEF" w14:textId="2FE03C2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w:t>
            </w:r>
          </w:p>
        </w:tc>
        <w:tc>
          <w:tcPr>
            <w:tcW w:w="141" w:type="pct"/>
            <w:tcBorders>
              <w:top w:val="nil"/>
              <w:left w:val="nil"/>
              <w:bottom w:val="nil"/>
              <w:right w:val="nil"/>
            </w:tcBorders>
            <w:shd w:val="clear" w:color="auto" w:fill="auto"/>
            <w:vAlign w:val="bottom"/>
          </w:tcPr>
          <w:p w14:paraId="5418E65D" w14:textId="485A0773"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31</w:t>
            </w:r>
          </w:p>
        </w:tc>
        <w:tc>
          <w:tcPr>
            <w:tcW w:w="141" w:type="pct"/>
            <w:tcBorders>
              <w:top w:val="nil"/>
              <w:left w:val="nil"/>
              <w:bottom w:val="nil"/>
              <w:right w:val="nil"/>
            </w:tcBorders>
            <w:shd w:val="clear" w:color="auto" w:fill="auto"/>
            <w:vAlign w:val="bottom"/>
          </w:tcPr>
          <w:p w14:paraId="5A4A58D2" w14:textId="40DCA6E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37</w:t>
            </w:r>
          </w:p>
        </w:tc>
        <w:tc>
          <w:tcPr>
            <w:tcW w:w="141" w:type="pct"/>
            <w:tcBorders>
              <w:top w:val="nil"/>
              <w:left w:val="nil"/>
              <w:bottom w:val="nil"/>
              <w:right w:val="nil"/>
            </w:tcBorders>
            <w:shd w:val="clear" w:color="auto" w:fill="auto"/>
            <w:vAlign w:val="bottom"/>
          </w:tcPr>
          <w:p w14:paraId="713E64BA" w14:textId="6BFC143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43</w:t>
            </w:r>
          </w:p>
        </w:tc>
        <w:tc>
          <w:tcPr>
            <w:tcW w:w="141" w:type="pct"/>
            <w:tcBorders>
              <w:top w:val="nil"/>
              <w:left w:val="nil"/>
              <w:bottom w:val="nil"/>
              <w:right w:val="nil"/>
            </w:tcBorders>
            <w:shd w:val="clear" w:color="auto" w:fill="auto"/>
            <w:vAlign w:val="bottom"/>
          </w:tcPr>
          <w:p w14:paraId="01AB17C1" w14:textId="40A00DB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61</w:t>
            </w:r>
          </w:p>
        </w:tc>
        <w:tc>
          <w:tcPr>
            <w:tcW w:w="141" w:type="pct"/>
            <w:tcBorders>
              <w:top w:val="nil"/>
              <w:left w:val="nil"/>
              <w:bottom w:val="nil"/>
              <w:right w:val="nil"/>
            </w:tcBorders>
            <w:shd w:val="clear" w:color="auto" w:fill="auto"/>
            <w:vAlign w:val="bottom"/>
          </w:tcPr>
          <w:p w14:paraId="1BBAF50C" w14:textId="573C1FC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75</w:t>
            </w:r>
          </w:p>
        </w:tc>
        <w:tc>
          <w:tcPr>
            <w:tcW w:w="141" w:type="pct"/>
            <w:tcBorders>
              <w:top w:val="nil"/>
              <w:left w:val="nil"/>
              <w:bottom w:val="nil"/>
              <w:right w:val="nil"/>
            </w:tcBorders>
            <w:shd w:val="clear" w:color="auto" w:fill="auto"/>
            <w:vAlign w:val="bottom"/>
          </w:tcPr>
          <w:p w14:paraId="6E578E19" w14:textId="389C8C8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81</w:t>
            </w:r>
          </w:p>
        </w:tc>
        <w:tc>
          <w:tcPr>
            <w:tcW w:w="141" w:type="pct"/>
            <w:tcBorders>
              <w:top w:val="nil"/>
              <w:left w:val="nil"/>
              <w:bottom w:val="nil"/>
              <w:right w:val="nil"/>
            </w:tcBorders>
            <w:shd w:val="clear" w:color="auto" w:fill="auto"/>
            <w:vAlign w:val="bottom"/>
          </w:tcPr>
          <w:p w14:paraId="2FF34387" w14:textId="68C90D4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85</w:t>
            </w:r>
          </w:p>
        </w:tc>
        <w:tc>
          <w:tcPr>
            <w:tcW w:w="141" w:type="pct"/>
            <w:tcBorders>
              <w:top w:val="nil"/>
              <w:left w:val="nil"/>
              <w:bottom w:val="nil"/>
              <w:right w:val="nil"/>
            </w:tcBorders>
            <w:shd w:val="clear" w:color="auto" w:fill="auto"/>
            <w:vAlign w:val="bottom"/>
          </w:tcPr>
          <w:p w14:paraId="227261FE" w14:textId="041074D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93</w:t>
            </w:r>
          </w:p>
        </w:tc>
        <w:tc>
          <w:tcPr>
            <w:tcW w:w="141" w:type="pct"/>
            <w:tcBorders>
              <w:top w:val="nil"/>
              <w:left w:val="nil"/>
              <w:bottom w:val="nil"/>
              <w:right w:val="nil"/>
            </w:tcBorders>
            <w:shd w:val="clear" w:color="auto" w:fill="auto"/>
            <w:vAlign w:val="bottom"/>
          </w:tcPr>
          <w:p w14:paraId="19261FD9" w14:textId="065FB14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122</w:t>
            </w:r>
          </w:p>
        </w:tc>
        <w:tc>
          <w:tcPr>
            <w:tcW w:w="141" w:type="pct"/>
            <w:tcBorders>
              <w:top w:val="nil"/>
              <w:left w:val="nil"/>
              <w:bottom w:val="nil"/>
              <w:right w:val="nil"/>
            </w:tcBorders>
            <w:shd w:val="clear" w:color="auto" w:fill="auto"/>
            <w:vAlign w:val="bottom"/>
          </w:tcPr>
          <w:p w14:paraId="66A081C0" w14:textId="2020C1B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126</w:t>
            </w:r>
          </w:p>
        </w:tc>
        <w:tc>
          <w:tcPr>
            <w:tcW w:w="141" w:type="pct"/>
            <w:tcBorders>
              <w:top w:val="nil"/>
              <w:left w:val="nil"/>
              <w:bottom w:val="nil"/>
              <w:right w:val="nil"/>
            </w:tcBorders>
            <w:shd w:val="clear" w:color="auto" w:fill="auto"/>
            <w:vAlign w:val="bottom"/>
          </w:tcPr>
          <w:p w14:paraId="369E8C40" w14:textId="23B469E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111</w:t>
            </w:r>
          </w:p>
        </w:tc>
        <w:tc>
          <w:tcPr>
            <w:tcW w:w="141" w:type="pct"/>
            <w:tcBorders>
              <w:top w:val="nil"/>
              <w:left w:val="nil"/>
              <w:bottom w:val="nil"/>
              <w:right w:val="nil"/>
            </w:tcBorders>
            <w:shd w:val="clear" w:color="auto" w:fill="auto"/>
            <w:vAlign w:val="bottom"/>
          </w:tcPr>
          <w:p w14:paraId="7B77437F" w14:textId="5B50071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115</w:t>
            </w:r>
          </w:p>
        </w:tc>
        <w:tc>
          <w:tcPr>
            <w:tcW w:w="141" w:type="pct"/>
            <w:tcBorders>
              <w:top w:val="nil"/>
              <w:left w:val="nil"/>
              <w:bottom w:val="nil"/>
              <w:right w:val="nil"/>
            </w:tcBorders>
            <w:shd w:val="clear" w:color="auto" w:fill="auto"/>
            <w:vAlign w:val="bottom"/>
          </w:tcPr>
          <w:p w14:paraId="29654D95" w14:textId="282C78A3"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111</w:t>
            </w:r>
          </w:p>
        </w:tc>
        <w:tc>
          <w:tcPr>
            <w:tcW w:w="141" w:type="pct"/>
            <w:tcBorders>
              <w:top w:val="nil"/>
              <w:left w:val="nil"/>
              <w:bottom w:val="nil"/>
              <w:right w:val="nil"/>
            </w:tcBorders>
            <w:shd w:val="clear" w:color="auto" w:fill="auto"/>
            <w:vAlign w:val="bottom"/>
          </w:tcPr>
          <w:p w14:paraId="2E5E1D14" w14:textId="4D1CCE0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144</w:t>
            </w:r>
          </w:p>
        </w:tc>
        <w:tc>
          <w:tcPr>
            <w:tcW w:w="141" w:type="pct"/>
            <w:tcBorders>
              <w:top w:val="nil"/>
              <w:left w:val="nil"/>
              <w:bottom w:val="nil"/>
              <w:right w:val="nil"/>
            </w:tcBorders>
            <w:shd w:val="clear" w:color="auto" w:fill="auto"/>
            <w:vAlign w:val="bottom"/>
          </w:tcPr>
          <w:p w14:paraId="6B8E5AD6" w14:textId="65196B1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168</w:t>
            </w:r>
          </w:p>
        </w:tc>
        <w:tc>
          <w:tcPr>
            <w:tcW w:w="141" w:type="pct"/>
            <w:tcBorders>
              <w:top w:val="nil"/>
              <w:left w:val="nil"/>
              <w:bottom w:val="nil"/>
              <w:right w:val="nil"/>
            </w:tcBorders>
            <w:shd w:val="clear" w:color="auto" w:fill="auto"/>
            <w:vAlign w:val="bottom"/>
          </w:tcPr>
          <w:p w14:paraId="4F3FA406" w14:textId="1B2F1FB0"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185</w:t>
            </w:r>
          </w:p>
        </w:tc>
        <w:tc>
          <w:tcPr>
            <w:tcW w:w="141" w:type="pct"/>
            <w:tcBorders>
              <w:top w:val="nil"/>
              <w:left w:val="nil"/>
              <w:bottom w:val="nil"/>
              <w:right w:val="nil"/>
            </w:tcBorders>
            <w:shd w:val="clear" w:color="auto" w:fill="auto"/>
            <w:vAlign w:val="bottom"/>
          </w:tcPr>
          <w:p w14:paraId="578463C1" w14:textId="79DF68D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187</w:t>
            </w:r>
          </w:p>
        </w:tc>
        <w:tc>
          <w:tcPr>
            <w:tcW w:w="141" w:type="pct"/>
            <w:tcBorders>
              <w:top w:val="nil"/>
              <w:left w:val="nil"/>
              <w:bottom w:val="nil"/>
              <w:right w:val="nil"/>
            </w:tcBorders>
            <w:shd w:val="clear" w:color="auto" w:fill="auto"/>
            <w:vAlign w:val="bottom"/>
          </w:tcPr>
          <w:p w14:paraId="0CF3BA55" w14:textId="0AC6125E"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252</w:t>
            </w:r>
          </w:p>
        </w:tc>
        <w:tc>
          <w:tcPr>
            <w:tcW w:w="141" w:type="pct"/>
            <w:tcBorders>
              <w:top w:val="nil"/>
              <w:left w:val="nil"/>
              <w:bottom w:val="nil"/>
              <w:right w:val="nil"/>
            </w:tcBorders>
            <w:shd w:val="clear" w:color="auto" w:fill="auto"/>
            <w:vAlign w:val="bottom"/>
          </w:tcPr>
          <w:p w14:paraId="7D4012D6" w14:textId="6BBB693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346</w:t>
            </w:r>
          </w:p>
        </w:tc>
        <w:tc>
          <w:tcPr>
            <w:tcW w:w="141" w:type="pct"/>
            <w:tcBorders>
              <w:top w:val="nil"/>
              <w:left w:val="nil"/>
              <w:bottom w:val="nil"/>
              <w:right w:val="nil"/>
            </w:tcBorders>
            <w:shd w:val="clear" w:color="auto" w:fill="auto"/>
            <w:vAlign w:val="bottom"/>
          </w:tcPr>
          <w:p w14:paraId="1E1F9248" w14:textId="0FBFCD8E"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364</w:t>
            </w:r>
          </w:p>
        </w:tc>
        <w:tc>
          <w:tcPr>
            <w:tcW w:w="141" w:type="pct"/>
            <w:tcBorders>
              <w:top w:val="nil"/>
              <w:left w:val="nil"/>
              <w:bottom w:val="nil"/>
              <w:right w:val="nil"/>
            </w:tcBorders>
            <w:shd w:val="clear" w:color="auto" w:fill="auto"/>
            <w:vAlign w:val="bottom"/>
          </w:tcPr>
          <w:p w14:paraId="3C3B956B" w14:textId="3C53C7C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391</w:t>
            </w:r>
          </w:p>
        </w:tc>
        <w:tc>
          <w:tcPr>
            <w:tcW w:w="141" w:type="pct"/>
            <w:tcBorders>
              <w:top w:val="nil"/>
              <w:left w:val="nil"/>
              <w:bottom w:val="nil"/>
              <w:right w:val="nil"/>
            </w:tcBorders>
            <w:shd w:val="clear" w:color="auto" w:fill="auto"/>
            <w:vAlign w:val="bottom"/>
          </w:tcPr>
          <w:p w14:paraId="54E00BBA" w14:textId="7525294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416</w:t>
            </w:r>
          </w:p>
        </w:tc>
        <w:tc>
          <w:tcPr>
            <w:tcW w:w="141" w:type="pct"/>
            <w:tcBorders>
              <w:top w:val="nil"/>
              <w:left w:val="nil"/>
              <w:bottom w:val="nil"/>
              <w:right w:val="nil"/>
            </w:tcBorders>
            <w:shd w:val="clear" w:color="auto" w:fill="auto"/>
            <w:vAlign w:val="bottom"/>
          </w:tcPr>
          <w:p w14:paraId="322EC0F4" w14:textId="2DADD49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467</w:t>
            </w:r>
          </w:p>
        </w:tc>
        <w:tc>
          <w:tcPr>
            <w:tcW w:w="141" w:type="pct"/>
            <w:tcBorders>
              <w:top w:val="nil"/>
              <w:left w:val="nil"/>
              <w:bottom w:val="nil"/>
              <w:right w:val="nil"/>
            </w:tcBorders>
            <w:shd w:val="clear" w:color="auto" w:fill="auto"/>
            <w:vAlign w:val="bottom"/>
          </w:tcPr>
          <w:p w14:paraId="46AD1713" w14:textId="00C1CDD3"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484</w:t>
            </w:r>
          </w:p>
        </w:tc>
        <w:tc>
          <w:tcPr>
            <w:tcW w:w="100" w:type="pct"/>
            <w:tcBorders>
              <w:top w:val="nil"/>
              <w:left w:val="nil"/>
              <w:bottom w:val="nil"/>
              <w:right w:val="nil"/>
            </w:tcBorders>
          </w:tcPr>
          <w:p w14:paraId="795B03D9"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33AF94C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71EB03A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5FF7554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2E8FC00A" w14:textId="07F05655"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5833</w:t>
            </w:r>
          </w:p>
        </w:tc>
      </w:tr>
      <w:tr w:rsidR="00F4063A" w:rsidRPr="003E4580" w14:paraId="1B7BC7A8" w14:textId="77777777" w:rsidTr="00F4063A">
        <w:tc>
          <w:tcPr>
            <w:tcW w:w="188" w:type="pct"/>
            <w:tcBorders>
              <w:top w:val="nil"/>
              <w:left w:val="nil"/>
              <w:bottom w:val="nil"/>
              <w:right w:val="nil"/>
            </w:tcBorders>
          </w:tcPr>
          <w:p w14:paraId="7FB32DED"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35</w:t>
            </w:r>
          </w:p>
        </w:tc>
        <w:tc>
          <w:tcPr>
            <w:tcW w:w="141" w:type="pct"/>
            <w:tcBorders>
              <w:top w:val="nil"/>
              <w:left w:val="nil"/>
              <w:bottom w:val="nil"/>
              <w:right w:val="nil"/>
            </w:tcBorders>
            <w:shd w:val="clear" w:color="auto" w:fill="auto"/>
            <w:vAlign w:val="bottom"/>
          </w:tcPr>
          <w:p w14:paraId="17F5EC5D" w14:textId="4870F45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50796AA6" w14:textId="3059B83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5CFD4B5A" w14:textId="7CFC17C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7C40AEDB" w14:textId="6E29F1C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58810EBA" w14:textId="5A2E600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20</w:t>
            </w:r>
          </w:p>
        </w:tc>
        <w:tc>
          <w:tcPr>
            <w:tcW w:w="141" w:type="pct"/>
            <w:tcBorders>
              <w:top w:val="nil"/>
              <w:left w:val="nil"/>
              <w:bottom w:val="nil"/>
              <w:right w:val="nil"/>
            </w:tcBorders>
            <w:shd w:val="clear" w:color="auto" w:fill="auto"/>
            <w:vAlign w:val="bottom"/>
          </w:tcPr>
          <w:p w14:paraId="6A1EE97B" w14:textId="4C3D762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23</w:t>
            </w:r>
          </w:p>
        </w:tc>
        <w:tc>
          <w:tcPr>
            <w:tcW w:w="141" w:type="pct"/>
            <w:tcBorders>
              <w:top w:val="nil"/>
              <w:left w:val="nil"/>
              <w:bottom w:val="nil"/>
              <w:right w:val="nil"/>
            </w:tcBorders>
            <w:shd w:val="clear" w:color="auto" w:fill="auto"/>
            <w:vAlign w:val="bottom"/>
          </w:tcPr>
          <w:p w14:paraId="3EF013D0" w14:textId="6CEAD7DC"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32</w:t>
            </w:r>
          </w:p>
        </w:tc>
        <w:tc>
          <w:tcPr>
            <w:tcW w:w="141" w:type="pct"/>
            <w:tcBorders>
              <w:top w:val="nil"/>
              <w:left w:val="nil"/>
              <w:bottom w:val="nil"/>
              <w:right w:val="nil"/>
            </w:tcBorders>
            <w:shd w:val="clear" w:color="auto" w:fill="auto"/>
            <w:vAlign w:val="bottom"/>
          </w:tcPr>
          <w:p w14:paraId="1B34DD45" w14:textId="08681261"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39</w:t>
            </w:r>
          </w:p>
        </w:tc>
        <w:tc>
          <w:tcPr>
            <w:tcW w:w="141" w:type="pct"/>
            <w:tcBorders>
              <w:top w:val="nil"/>
              <w:left w:val="nil"/>
              <w:bottom w:val="nil"/>
              <w:right w:val="nil"/>
            </w:tcBorders>
            <w:shd w:val="clear" w:color="auto" w:fill="auto"/>
            <w:vAlign w:val="bottom"/>
          </w:tcPr>
          <w:p w14:paraId="56195736" w14:textId="1B95C5A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44</w:t>
            </w:r>
          </w:p>
        </w:tc>
        <w:tc>
          <w:tcPr>
            <w:tcW w:w="141" w:type="pct"/>
            <w:tcBorders>
              <w:top w:val="nil"/>
              <w:left w:val="nil"/>
              <w:bottom w:val="nil"/>
              <w:right w:val="nil"/>
            </w:tcBorders>
            <w:shd w:val="clear" w:color="auto" w:fill="auto"/>
            <w:vAlign w:val="bottom"/>
          </w:tcPr>
          <w:p w14:paraId="2533A6D5" w14:textId="5BCCEDF6"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63</w:t>
            </w:r>
          </w:p>
        </w:tc>
        <w:tc>
          <w:tcPr>
            <w:tcW w:w="141" w:type="pct"/>
            <w:tcBorders>
              <w:top w:val="nil"/>
              <w:left w:val="nil"/>
              <w:bottom w:val="nil"/>
              <w:right w:val="nil"/>
            </w:tcBorders>
            <w:shd w:val="clear" w:color="auto" w:fill="auto"/>
            <w:vAlign w:val="bottom"/>
          </w:tcPr>
          <w:p w14:paraId="499408A7" w14:textId="5FD1E316"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78</w:t>
            </w:r>
          </w:p>
        </w:tc>
        <w:tc>
          <w:tcPr>
            <w:tcW w:w="141" w:type="pct"/>
            <w:tcBorders>
              <w:top w:val="nil"/>
              <w:left w:val="nil"/>
              <w:bottom w:val="nil"/>
              <w:right w:val="nil"/>
            </w:tcBorders>
            <w:shd w:val="clear" w:color="auto" w:fill="auto"/>
            <w:vAlign w:val="bottom"/>
          </w:tcPr>
          <w:p w14:paraId="4F1CCF40" w14:textId="1201B25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85</w:t>
            </w:r>
          </w:p>
        </w:tc>
        <w:tc>
          <w:tcPr>
            <w:tcW w:w="141" w:type="pct"/>
            <w:tcBorders>
              <w:top w:val="nil"/>
              <w:left w:val="nil"/>
              <w:bottom w:val="nil"/>
              <w:right w:val="nil"/>
            </w:tcBorders>
            <w:shd w:val="clear" w:color="auto" w:fill="auto"/>
            <w:vAlign w:val="bottom"/>
          </w:tcPr>
          <w:p w14:paraId="1F47A943" w14:textId="662363E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88</w:t>
            </w:r>
          </w:p>
        </w:tc>
        <w:tc>
          <w:tcPr>
            <w:tcW w:w="141" w:type="pct"/>
            <w:tcBorders>
              <w:top w:val="nil"/>
              <w:left w:val="nil"/>
              <w:bottom w:val="nil"/>
              <w:right w:val="nil"/>
            </w:tcBorders>
            <w:shd w:val="clear" w:color="auto" w:fill="auto"/>
            <w:vAlign w:val="bottom"/>
          </w:tcPr>
          <w:p w14:paraId="1B352F1B" w14:textId="76BDA7B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97</w:t>
            </w:r>
          </w:p>
        </w:tc>
        <w:tc>
          <w:tcPr>
            <w:tcW w:w="141" w:type="pct"/>
            <w:tcBorders>
              <w:top w:val="nil"/>
              <w:left w:val="nil"/>
              <w:bottom w:val="nil"/>
              <w:right w:val="nil"/>
            </w:tcBorders>
            <w:shd w:val="clear" w:color="auto" w:fill="auto"/>
            <w:vAlign w:val="bottom"/>
          </w:tcPr>
          <w:p w14:paraId="625CE863" w14:textId="64D89DF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124</w:t>
            </w:r>
          </w:p>
        </w:tc>
        <w:tc>
          <w:tcPr>
            <w:tcW w:w="141" w:type="pct"/>
            <w:tcBorders>
              <w:top w:val="nil"/>
              <w:left w:val="nil"/>
              <w:bottom w:val="nil"/>
              <w:right w:val="nil"/>
            </w:tcBorders>
            <w:shd w:val="clear" w:color="auto" w:fill="auto"/>
            <w:vAlign w:val="bottom"/>
          </w:tcPr>
          <w:p w14:paraId="214C060B" w14:textId="65307E91"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123</w:t>
            </w:r>
          </w:p>
        </w:tc>
        <w:tc>
          <w:tcPr>
            <w:tcW w:w="141" w:type="pct"/>
            <w:tcBorders>
              <w:top w:val="nil"/>
              <w:left w:val="nil"/>
              <w:bottom w:val="nil"/>
              <w:right w:val="nil"/>
            </w:tcBorders>
            <w:shd w:val="clear" w:color="auto" w:fill="auto"/>
            <w:vAlign w:val="bottom"/>
          </w:tcPr>
          <w:p w14:paraId="7C9092EF" w14:textId="1074743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108</w:t>
            </w:r>
          </w:p>
        </w:tc>
        <w:tc>
          <w:tcPr>
            <w:tcW w:w="141" w:type="pct"/>
            <w:tcBorders>
              <w:top w:val="nil"/>
              <w:left w:val="nil"/>
              <w:bottom w:val="nil"/>
              <w:right w:val="nil"/>
            </w:tcBorders>
            <w:shd w:val="clear" w:color="auto" w:fill="auto"/>
            <w:vAlign w:val="bottom"/>
          </w:tcPr>
          <w:p w14:paraId="5161CAD7" w14:textId="5E9B3F4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112</w:t>
            </w:r>
          </w:p>
        </w:tc>
        <w:tc>
          <w:tcPr>
            <w:tcW w:w="141" w:type="pct"/>
            <w:tcBorders>
              <w:top w:val="nil"/>
              <w:left w:val="nil"/>
              <w:bottom w:val="nil"/>
              <w:right w:val="nil"/>
            </w:tcBorders>
            <w:shd w:val="clear" w:color="auto" w:fill="auto"/>
            <w:vAlign w:val="bottom"/>
          </w:tcPr>
          <w:p w14:paraId="2FAF893A" w14:textId="04D6F30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108</w:t>
            </w:r>
          </w:p>
        </w:tc>
        <w:tc>
          <w:tcPr>
            <w:tcW w:w="141" w:type="pct"/>
            <w:tcBorders>
              <w:top w:val="nil"/>
              <w:left w:val="nil"/>
              <w:bottom w:val="nil"/>
              <w:right w:val="nil"/>
            </w:tcBorders>
            <w:shd w:val="clear" w:color="auto" w:fill="auto"/>
            <w:vAlign w:val="bottom"/>
          </w:tcPr>
          <w:p w14:paraId="7C3037DB" w14:textId="453595B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139</w:t>
            </w:r>
          </w:p>
        </w:tc>
        <w:tc>
          <w:tcPr>
            <w:tcW w:w="141" w:type="pct"/>
            <w:tcBorders>
              <w:top w:val="nil"/>
              <w:left w:val="nil"/>
              <w:bottom w:val="nil"/>
              <w:right w:val="nil"/>
            </w:tcBorders>
            <w:shd w:val="clear" w:color="auto" w:fill="auto"/>
            <w:vAlign w:val="bottom"/>
          </w:tcPr>
          <w:p w14:paraId="60DBB8D4" w14:textId="33BDE00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163</w:t>
            </w:r>
          </w:p>
        </w:tc>
        <w:tc>
          <w:tcPr>
            <w:tcW w:w="141" w:type="pct"/>
            <w:tcBorders>
              <w:top w:val="nil"/>
              <w:left w:val="nil"/>
              <w:bottom w:val="nil"/>
              <w:right w:val="nil"/>
            </w:tcBorders>
            <w:shd w:val="clear" w:color="auto" w:fill="auto"/>
            <w:vAlign w:val="bottom"/>
          </w:tcPr>
          <w:p w14:paraId="684E88FC" w14:textId="1648561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178</w:t>
            </w:r>
          </w:p>
        </w:tc>
        <w:tc>
          <w:tcPr>
            <w:tcW w:w="141" w:type="pct"/>
            <w:tcBorders>
              <w:top w:val="nil"/>
              <w:left w:val="nil"/>
              <w:bottom w:val="nil"/>
              <w:right w:val="nil"/>
            </w:tcBorders>
            <w:shd w:val="clear" w:color="auto" w:fill="auto"/>
            <w:vAlign w:val="bottom"/>
          </w:tcPr>
          <w:p w14:paraId="27EA21EF" w14:textId="701C941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181</w:t>
            </w:r>
          </w:p>
        </w:tc>
        <w:tc>
          <w:tcPr>
            <w:tcW w:w="141" w:type="pct"/>
            <w:tcBorders>
              <w:top w:val="nil"/>
              <w:left w:val="nil"/>
              <w:bottom w:val="nil"/>
              <w:right w:val="nil"/>
            </w:tcBorders>
            <w:shd w:val="clear" w:color="auto" w:fill="auto"/>
            <w:vAlign w:val="bottom"/>
          </w:tcPr>
          <w:p w14:paraId="5C24A75D" w14:textId="136B06D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242</w:t>
            </w:r>
          </w:p>
        </w:tc>
        <w:tc>
          <w:tcPr>
            <w:tcW w:w="141" w:type="pct"/>
            <w:tcBorders>
              <w:top w:val="nil"/>
              <w:left w:val="nil"/>
              <w:bottom w:val="nil"/>
              <w:right w:val="nil"/>
            </w:tcBorders>
            <w:shd w:val="clear" w:color="auto" w:fill="auto"/>
            <w:vAlign w:val="bottom"/>
          </w:tcPr>
          <w:p w14:paraId="053576F3" w14:textId="0BF2F62C"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332</w:t>
            </w:r>
          </w:p>
        </w:tc>
        <w:tc>
          <w:tcPr>
            <w:tcW w:w="141" w:type="pct"/>
            <w:tcBorders>
              <w:top w:val="nil"/>
              <w:left w:val="nil"/>
              <w:bottom w:val="nil"/>
              <w:right w:val="nil"/>
            </w:tcBorders>
            <w:shd w:val="clear" w:color="auto" w:fill="auto"/>
            <w:vAlign w:val="bottom"/>
          </w:tcPr>
          <w:p w14:paraId="6F210BC9" w14:textId="3AE35AC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348</w:t>
            </w:r>
          </w:p>
        </w:tc>
        <w:tc>
          <w:tcPr>
            <w:tcW w:w="141" w:type="pct"/>
            <w:tcBorders>
              <w:top w:val="nil"/>
              <w:left w:val="nil"/>
              <w:bottom w:val="nil"/>
              <w:right w:val="nil"/>
            </w:tcBorders>
            <w:shd w:val="clear" w:color="auto" w:fill="auto"/>
            <w:vAlign w:val="bottom"/>
          </w:tcPr>
          <w:p w14:paraId="61CE111C" w14:textId="3F1EE52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373</w:t>
            </w:r>
          </w:p>
        </w:tc>
        <w:tc>
          <w:tcPr>
            <w:tcW w:w="141" w:type="pct"/>
            <w:tcBorders>
              <w:top w:val="nil"/>
              <w:left w:val="nil"/>
              <w:bottom w:val="nil"/>
              <w:right w:val="nil"/>
            </w:tcBorders>
            <w:shd w:val="clear" w:color="auto" w:fill="auto"/>
            <w:vAlign w:val="bottom"/>
          </w:tcPr>
          <w:p w14:paraId="39733903" w14:textId="1F49E6F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395</w:t>
            </w:r>
          </w:p>
        </w:tc>
        <w:tc>
          <w:tcPr>
            <w:tcW w:w="141" w:type="pct"/>
            <w:tcBorders>
              <w:top w:val="nil"/>
              <w:left w:val="nil"/>
              <w:bottom w:val="nil"/>
              <w:right w:val="nil"/>
            </w:tcBorders>
            <w:shd w:val="clear" w:color="auto" w:fill="auto"/>
            <w:vAlign w:val="bottom"/>
          </w:tcPr>
          <w:p w14:paraId="145EF9C4" w14:textId="712EEE8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442</w:t>
            </w:r>
          </w:p>
        </w:tc>
        <w:tc>
          <w:tcPr>
            <w:tcW w:w="100" w:type="pct"/>
            <w:tcBorders>
              <w:top w:val="nil"/>
              <w:left w:val="nil"/>
              <w:bottom w:val="nil"/>
              <w:right w:val="nil"/>
            </w:tcBorders>
          </w:tcPr>
          <w:p w14:paraId="1AA0873B"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1B70B0A9"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4D360F2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2DEFF0C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68F50989" w14:textId="2A2CA032"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5599</w:t>
            </w:r>
          </w:p>
        </w:tc>
      </w:tr>
      <w:tr w:rsidR="00F4063A" w:rsidRPr="003E4580" w14:paraId="10386C74" w14:textId="77777777" w:rsidTr="00F4063A">
        <w:tc>
          <w:tcPr>
            <w:tcW w:w="188" w:type="pct"/>
            <w:tcBorders>
              <w:top w:val="nil"/>
              <w:left w:val="nil"/>
              <w:bottom w:val="nil"/>
              <w:right w:val="nil"/>
            </w:tcBorders>
          </w:tcPr>
          <w:p w14:paraId="76A7274F"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36</w:t>
            </w:r>
          </w:p>
        </w:tc>
        <w:tc>
          <w:tcPr>
            <w:tcW w:w="141" w:type="pct"/>
            <w:tcBorders>
              <w:top w:val="nil"/>
              <w:left w:val="nil"/>
              <w:bottom w:val="nil"/>
              <w:right w:val="nil"/>
            </w:tcBorders>
            <w:shd w:val="clear" w:color="auto" w:fill="auto"/>
            <w:vAlign w:val="bottom"/>
          </w:tcPr>
          <w:p w14:paraId="059BF325" w14:textId="4027A21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4ACB8637" w14:textId="4B81741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7CE8D986" w14:textId="404F713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0BEDD8F4" w14:textId="42B83E0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3EA8B214" w14:textId="3130589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68C46DE6" w14:textId="02DABE12"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21</w:t>
            </w:r>
          </w:p>
        </w:tc>
        <w:tc>
          <w:tcPr>
            <w:tcW w:w="141" w:type="pct"/>
            <w:tcBorders>
              <w:top w:val="nil"/>
              <w:left w:val="nil"/>
              <w:bottom w:val="nil"/>
              <w:right w:val="nil"/>
            </w:tcBorders>
            <w:shd w:val="clear" w:color="auto" w:fill="auto"/>
            <w:vAlign w:val="bottom"/>
          </w:tcPr>
          <w:p w14:paraId="52B8F914" w14:textId="1CBA61F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24</w:t>
            </w:r>
          </w:p>
        </w:tc>
        <w:tc>
          <w:tcPr>
            <w:tcW w:w="141" w:type="pct"/>
            <w:tcBorders>
              <w:top w:val="nil"/>
              <w:left w:val="nil"/>
              <w:bottom w:val="nil"/>
              <w:right w:val="nil"/>
            </w:tcBorders>
            <w:shd w:val="clear" w:color="auto" w:fill="auto"/>
            <w:vAlign w:val="bottom"/>
          </w:tcPr>
          <w:p w14:paraId="1D385D05" w14:textId="354D7875"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33</w:t>
            </w:r>
          </w:p>
        </w:tc>
        <w:tc>
          <w:tcPr>
            <w:tcW w:w="141" w:type="pct"/>
            <w:tcBorders>
              <w:top w:val="nil"/>
              <w:left w:val="nil"/>
              <w:bottom w:val="nil"/>
              <w:right w:val="nil"/>
            </w:tcBorders>
            <w:shd w:val="clear" w:color="auto" w:fill="auto"/>
            <w:vAlign w:val="bottom"/>
          </w:tcPr>
          <w:p w14:paraId="165539BF" w14:textId="7812F9A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40</w:t>
            </w:r>
          </w:p>
        </w:tc>
        <w:tc>
          <w:tcPr>
            <w:tcW w:w="141" w:type="pct"/>
            <w:tcBorders>
              <w:top w:val="nil"/>
              <w:left w:val="nil"/>
              <w:bottom w:val="nil"/>
              <w:right w:val="nil"/>
            </w:tcBorders>
            <w:shd w:val="clear" w:color="auto" w:fill="auto"/>
            <w:vAlign w:val="bottom"/>
          </w:tcPr>
          <w:p w14:paraId="5E951F50" w14:textId="0B00F4C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46</w:t>
            </w:r>
          </w:p>
        </w:tc>
        <w:tc>
          <w:tcPr>
            <w:tcW w:w="141" w:type="pct"/>
            <w:tcBorders>
              <w:top w:val="nil"/>
              <w:left w:val="nil"/>
              <w:bottom w:val="nil"/>
              <w:right w:val="nil"/>
            </w:tcBorders>
            <w:shd w:val="clear" w:color="auto" w:fill="auto"/>
            <w:vAlign w:val="bottom"/>
          </w:tcPr>
          <w:p w14:paraId="19DF327B" w14:textId="3EBC5B0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66</w:t>
            </w:r>
          </w:p>
        </w:tc>
        <w:tc>
          <w:tcPr>
            <w:tcW w:w="141" w:type="pct"/>
            <w:tcBorders>
              <w:top w:val="nil"/>
              <w:left w:val="nil"/>
              <w:bottom w:val="nil"/>
              <w:right w:val="nil"/>
            </w:tcBorders>
            <w:shd w:val="clear" w:color="auto" w:fill="auto"/>
            <w:vAlign w:val="bottom"/>
          </w:tcPr>
          <w:p w14:paraId="22A05A2C" w14:textId="5AFCED5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82</w:t>
            </w:r>
          </w:p>
        </w:tc>
        <w:tc>
          <w:tcPr>
            <w:tcW w:w="141" w:type="pct"/>
            <w:tcBorders>
              <w:top w:val="nil"/>
              <w:left w:val="nil"/>
              <w:bottom w:val="nil"/>
              <w:right w:val="nil"/>
            </w:tcBorders>
            <w:shd w:val="clear" w:color="auto" w:fill="auto"/>
            <w:vAlign w:val="bottom"/>
          </w:tcPr>
          <w:p w14:paraId="7CB01A61" w14:textId="342AF01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88</w:t>
            </w:r>
          </w:p>
        </w:tc>
        <w:tc>
          <w:tcPr>
            <w:tcW w:w="141" w:type="pct"/>
            <w:tcBorders>
              <w:top w:val="nil"/>
              <w:left w:val="nil"/>
              <w:bottom w:val="nil"/>
              <w:right w:val="nil"/>
            </w:tcBorders>
            <w:shd w:val="clear" w:color="auto" w:fill="auto"/>
            <w:vAlign w:val="bottom"/>
          </w:tcPr>
          <w:p w14:paraId="0AF0F79F" w14:textId="6E4A4E8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92</w:t>
            </w:r>
          </w:p>
        </w:tc>
        <w:tc>
          <w:tcPr>
            <w:tcW w:w="141" w:type="pct"/>
            <w:tcBorders>
              <w:top w:val="nil"/>
              <w:left w:val="nil"/>
              <w:bottom w:val="nil"/>
              <w:right w:val="nil"/>
            </w:tcBorders>
            <w:shd w:val="clear" w:color="auto" w:fill="auto"/>
            <w:vAlign w:val="bottom"/>
          </w:tcPr>
          <w:p w14:paraId="59585651" w14:textId="33B310D2"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98</w:t>
            </w:r>
          </w:p>
        </w:tc>
        <w:tc>
          <w:tcPr>
            <w:tcW w:w="141" w:type="pct"/>
            <w:tcBorders>
              <w:top w:val="nil"/>
              <w:left w:val="nil"/>
              <w:bottom w:val="nil"/>
              <w:right w:val="nil"/>
            </w:tcBorders>
            <w:shd w:val="clear" w:color="auto" w:fill="auto"/>
            <w:vAlign w:val="bottom"/>
          </w:tcPr>
          <w:p w14:paraId="2CF44D2D" w14:textId="77990D4C"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121</w:t>
            </w:r>
          </w:p>
        </w:tc>
        <w:tc>
          <w:tcPr>
            <w:tcW w:w="141" w:type="pct"/>
            <w:tcBorders>
              <w:top w:val="nil"/>
              <w:left w:val="nil"/>
              <w:bottom w:val="nil"/>
              <w:right w:val="nil"/>
            </w:tcBorders>
            <w:shd w:val="clear" w:color="auto" w:fill="auto"/>
            <w:vAlign w:val="bottom"/>
          </w:tcPr>
          <w:p w14:paraId="33417278" w14:textId="45A0019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120</w:t>
            </w:r>
          </w:p>
        </w:tc>
        <w:tc>
          <w:tcPr>
            <w:tcW w:w="141" w:type="pct"/>
            <w:tcBorders>
              <w:top w:val="nil"/>
              <w:left w:val="nil"/>
              <w:bottom w:val="nil"/>
              <w:right w:val="nil"/>
            </w:tcBorders>
            <w:shd w:val="clear" w:color="auto" w:fill="auto"/>
            <w:vAlign w:val="bottom"/>
          </w:tcPr>
          <w:p w14:paraId="70D12521" w14:textId="266AB82E"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105</w:t>
            </w:r>
          </w:p>
        </w:tc>
        <w:tc>
          <w:tcPr>
            <w:tcW w:w="141" w:type="pct"/>
            <w:tcBorders>
              <w:top w:val="nil"/>
              <w:left w:val="nil"/>
              <w:bottom w:val="nil"/>
              <w:right w:val="nil"/>
            </w:tcBorders>
            <w:shd w:val="clear" w:color="auto" w:fill="auto"/>
            <w:vAlign w:val="bottom"/>
          </w:tcPr>
          <w:p w14:paraId="228A6464" w14:textId="672895E0"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108</w:t>
            </w:r>
          </w:p>
        </w:tc>
        <w:tc>
          <w:tcPr>
            <w:tcW w:w="141" w:type="pct"/>
            <w:tcBorders>
              <w:top w:val="nil"/>
              <w:left w:val="nil"/>
              <w:bottom w:val="nil"/>
              <w:right w:val="nil"/>
            </w:tcBorders>
            <w:shd w:val="clear" w:color="auto" w:fill="auto"/>
            <w:vAlign w:val="bottom"/>
          </w:tcPr>
          <w:p w14:paraId="323A1E7B" w14:textId="1B0A9210"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104</w:t>
            </w:r>
          </w:p>
        </w:tc>
        <w:tc>
          <w:tcPr>
            <w:tcW w:w="141" w:type="pct"/>
            <w:tcBorders>
              <w:top w:val="nil"/>
              <w:left w:val="nil"/>
              <w:bottom w:val="nil"/>
              <w:right w:val="nil"/>
            </w:tcBorders>
            <w:shd w:val="clear" w:color="auto" w:fill="auto"/>
            <w:vAlign w:val="bottom"/>
          </w:tcPr>
          <w:p w14:paraId="7AB01977" w14:textId="7F922190"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135</w:t>
            </w:r>
          </w:p>
        </w:tc>
        <w:tc>
          <w:tcPr>
            <w:tcW w:w="141" w:type="pct"/>
            <w:tcBorders>
              <w:top w:val="nil"/>
              <w:left w:val="nil"/>
              <w:bottom w:val="nil"/>
              <w:right w:val="nil"/>
            </w:tcBorders>
            <w:shd w:val="clear" w:color="auto" w:fill="auto"/>
            <w:vAlign w:val="bottom"/>
          </w:tcPr>
          <w:p w14:paraId="50CDE0B1" w14:textId="241E828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158</w:t>
            </w:r>
          </w:p>
        </w:tc>
        <w:tc>
          <w:tcPr>
            <w:tcW w:w="141" w:type="pct"/>
            <w:tcBorders>
              <w:top w:val="nil"/>
              <w:left w:val="nil"/>
              <w:bottom w:val="nil"/>
              <w:right w:val="nil"/>
            </w:tcBorders>
            <w:shd w:val="clear" w:color="auto" w:fill="auto"/>
            <w:vAlign w:val="bottom"/>
          </w:tcPr>
          <w:p w14:paraId="0531C6E3" w14:textId="41826091"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172</w:t>
            </w:r>
          </w:p>
        </w:tc>
        <w:tc>
          <w:tcPr>
            <w:tcW w:w="141" w:type="pct"/>
            <w:tcBorders>
              <w:top w:val="nil"/>
              <w:left w:val="nil"/>
              <w:bottom w:val="nil"/>
              <w:right w:val="nil"/>
            </w:tcBorders>
            <w:shd w:val="clear" w:color="auto" w:fill="auto"/>
            <w:vAlign w:val="bottom"/>
          </w:tcPr>
          <w:p w14:paraId="61A7AB1C" w14:textId="41BF6741"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174</w:t>
            </w:r>
          </w:p>
        </w:tc>
        <w:tc>
          <w:tcPr>
            <w:tcW w:w="141" w:type="pct"/>
            <w:tcBorders>
              <w:top w:val="nil"/>
              <w:left w:val="nil"/>
              <w:bottom w:val="nil"/>
              <w:right w:val="nil"/>
            </w:tcBorders>
            <w:shd w:val="clear" w:color="auto" w:fill="auto"/>
            <w:vAlign w:val="bottom"/>
          </w:tcPr>
          <w:p w14:paraId="785C374C" w14:textId="66E8F483"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232</w:t>
            </w:r>
          </w:p>
        </w:tc>
        <w:tc>
          <w:tcPr>
            <w:tcW w:w="141" w:type="pct"/>
            <w:tcBorders>
              <w:top w:val="nil"/>
              <w:left w:val="nil"/>
              <w:bottom w:val="nil"/>
              <w:right w:val="nil"/>
            </w:tcBorders>
            <w:shd w:val="clear" w:color="auto" w:fill="auto"/>
            <w:vAlign w:val="bottom"/>
          </w:tcPr>
          <w:p w14:paraId="04C24E8E" w14:textId="255B1FB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318</w:t>
            </w:r>
          </w:p>
        </w:tc>
        <w:tc>
          <w:tcPr>
            <w:tcW w:w="141" w:type="pct"/>
            <w:tcBorders>
              <w:top w:val="nil"/>
              <w:left w:val="nil"/>
              <w:bottom w:val="nil"/>
              <w:right w:val="nil"/>
            </w:tcBorders>
            <w:shd w:val="clear" w:color="auto" w:fill="auto"/>
            <w:vAlign w:val="bottom"/>
          </w:tcPr>
          <w:p w14:paraId="2D4C5F73" w14:textId="33DCC4A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332</w:t>
            </w:r>
          </w:p>
        </w:tc>
        <w:tc>
          <w:tcPr>
            <w:tcW w:w="141" w:type="pct"/>
            <w:tcBorders>
              <w:top w:val="nil"/>
              <w:left w:val="nil"/>
              <w:bottom w:val="nil"/>
              <w:right w:val="nil"/>
            </w:tcBorders>
            <w:shd w:val="clear" w:color="auto" w:fill="auto"/>
            <w:vAlign w:val="bottom"/>
          </w:tcPr>
          <w:p w14:paraId="65F68BA7" w14:textId="37717A0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355</w:t>
            </w:r>
          </w:p>
        </w:tc>
        <w:tc>
          <w:tcPr>
            <w:tcW w:w="141" w:type="pct"/>
            <w:tcBorders>
              <w:top w:val="nil"/>
              <w:left w:val="nil"/>
              <w:bottom w:val="nil"/>
              <w:right w:val="nil"/>
            </w:tcBorders>
            <w:shd w:val="clear" w:color="auto" w:fill="auto"/>
            <w:vAlign w:val="bottom"/>
          </w:tcPr>
          <w:p w14:paraId="3E586D72" w14:textId="176381A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374</w:t>
            </w:r>
          </w:p>
        </w:tc>
        <w:tc>
          <w:tcPr>
            <w:tcW w:w="100" w:type="pct"/>
            <w:tcBorders>
              <w:top w:val="nil"/>
              <w:left w:val="nil"/>
              <w:bottom w:val="nil"/>
              <w:right w:val="nil"/>
            </w:tcBorders>
          </w:tcPr>
          <w:p w14:paraId="616B77D8"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72E1739B"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4E1CEEDA" w14:textId="1A4FF8B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36</w:t>
            </w:r>
          </w:p>
        </w:tc>
        <w:tc>
          <w:tcPr>
            <w:tcW w:w="129" w:type="pct"/>
            <w:tcBorders>
              <w:top w:val="nil"/>
              <w:left w:val="nil"/>
              <w:bottom w:val="nil"/>
              <w:right w:val="single" w:sz="6" w:space="0" w:color="auto"/>
            </w:tcBorders>
            <w:shd w:val="clear" w:color="auto" w:fill="auto"/>
            <w:vAlign w:val="bottom"/>
          </w:tcPr>
          <w:p w14:paraId="4704109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01FE34B3" w14:textId="0D0A632D"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5355</w:t>
            </w:r>
          </w:p>
        </w:tc>
      </w:tr>
      <w:tr w:rsidR="00F830FB" w:rsidRPr="003E4580" w14:paraId="5D557DBE" w14:textId="77777777" w:rsidTr="00F4063A">
        <w:tc>
          <w:tcPr>
            <w:tcW w:w="188" w:type="pct"/>
            <w:tcBorders>
              <w:top w:val="nil"/>
              <w:left w:val="nil"/>
              <w:bottom w:val="single" w:sz="6" w:space="0" w:color="auto"/>
              <w:right w:val="nil"/>
            </w:tcBorders>
          </w:tcPr>
          <w:p w14:paraId="5FA5652C"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37</w:t>
            </w:r>
          </w:p>
        </w:tc>
        <w:tc>
          <w:tcPr>
            <w:tcW w:w="141" w:type="pct"/>
            <w:tcBorders>
              <w:top w:val="nil"/>
              <w:left w:val="nil"/>
              <w:bottom w:val="single" w:sz="6" w:space="0" w:color="auto"/>
              <w:right w:val="nil"/>
            </w:tcBorders>
            <w:shd w:val="clear" w:color="auto" w:fill="auto"/>
            <w:vAlign w:val="bottom"/>
          </w:tcPr>
          <w:p w14:paraId="67274151" w14:textId="26C3DF6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single" w:sz="6" w:space="0" w:color="auto"/>
              <w:right w:val="nil"/>
            </w:tcBorders>
            <w:shd w:val="clear" w:color="auto" w:fill="auto"/>
            <w:vAlign w:val="bottom"/>
          </w:tcPr>
          <w:p w14:paraId="6801B5B0" w14:textId="435ECCA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single" w:sz="6" w:space="0" w:color="auto"/>
              <w:right w:val="nil"/>
            </w:tcBorders>
            <w:shd w:val="clear" w:color="auto" w:fill="auto"/>
            <w:vAlign w:val="bottom"/>
          </w:tcPr>
          <w:p w14:paraId="24A4050B" w14:textId="26DF33F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single" w:sz="6" w:space="0" w:color="auto"/>
              <w:right w:val="nil"/>
            </w:tcBorders>
            <w:shd w:val="clear" w:color="auto" w:fill="auto"/>
            <w:vAlign w:val="bottom"/>
          </w:tcPr>
          <w:p w14:paraId="4362443F" w14:textId="5BDA1F4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single" w:sz="6" w:space="0" w:color="auto"/>
              <w:right w:val="nil"/>
            </w:tcBorders>
            <w:shd w:val="clear" w:color="auto" w:fill="auto"/>
            <w:vAlign w:val="bottom"/>
          </w:tcPr>
          <w:p w14:paraId="2BE10924" w14:textId="59EF446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single" w:sz="6" w:space="0" w:color="auto"/>
              <w:right w:val="nil"/>
            </w:tcBorders>
            <w:shd w:val="clear" w:color="auto" w:fill="auto"/>
            <w:vAlign w:val="bottom"/>
          </w:tcPr>
          <w:p w14:paraId="73288543" w14:textId="11F945D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0</w:t>
            </w:r>
          </w:p>
        </w:tc>
        <w:tc>
          <w:tcPr>
            <w:tcW w:w="141" w:type="pct"/>
            <w:tcBorders>
              <w:top w:val="nil"/>
              <w:left w:val="nil"/>
              <w:bottom w:val="single" w:sz="6" w:space="0" w:color="auto"/>
              <w:right w:val="nil"/>
            </w:tcBorders>
            <w:shd w:val="clear" w:color="auto" w:fill="auto"/>
            <w:vAlign w:val="bottom"/>
          </w:tcPr>
          <w:p w14:paraId="748D5DB6" w14:textId="22FA2E4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22</w:t>
            </w:r>
          </w:p>
        </w:tc>
        <w:tc>
          <w:tcPr>
            <w:tcW w:w="141" w:type="pct"/>
            <w:tcBorders>
              <w:top w:val="nil"/>
              <w:left w:val="nil"/>
              <w:bottom w:val="single" w:sz="6" w:space="0" w:color="auto"/>
              <w:right w:val="nil"/>
            </w:tcBorders>
            <w:shd w:val="clear" w:color="auto" w:fill="auto"/>
            <w:vAlign w:val="bottom"/>
          </w:tcPr>
          <w:p w14:paraId="6E51116A" w14:textId="72CEA226"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25</w:t>
            </w:r>
          </w:p>
        </w:tc>
        <w:tc>
          <w:tcPr>
            <w:tcW w:w="141" w:type="pct"/>
            <w:tcBorders>
              <w:top w:val="nil"/>
              <w:left w:val="nil"/>
              <w:bottom w:val="single" w:sz="6" w:space="0" w:color="auto"/>
              <w:right w:val="nil"/>
            </w:tcBorders>
            <w:shd w:val="clear" w:color="auto" w:fill="auto"/>
            <w:vAlign w:val="bottom"/>
          </w:tcPr>
          <w:p w14:paraId="37160AEA" w14:textId="7C2F80C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35</w:t>
            </w:r>
          </w:p>
        </w:tc>
        <w:tc>
          <w:tcPr>
            <w:tcW w:w="141" w:type="pct"/>
            <w:tcBorders>
              <w:top w:val="nil"/>
              <w:left w:val="nil"/>
              <w:bottom w:val="single" w:sz="6" w:space="0" w:color="auto"/>
              <w:right w:val="nil"/>
            </w:tcBorders>
            <w:shd w:val="clear" w:color="auto" w:fill="auto"/>
            <w:vAlign w:val="bottom"/>
          </w:tcPr>
          <w:p w14:paraId="63AD9324" w14:textId="456BCDD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42</w:t>
            </w:r>
          </w:p>
        </w:tc>
        <w:tc>
          <w:tcPr>
            <w:tcW w:w="141" w:type="pct"/>
            <w:tcBorders>
              <w:top w:val="nil"/>
              <w:left w:val="nil"/>
              <w:bottom w:val="single" w:sz="6" w:space="0" w:color="auto"/>
              <w:right w:val="nil"/>
            </w:tcBorders>
            <w:shd w:val="clear" w:color="auto" w:fill="auto"/>
            <w:vAlign w:val="bottom"/>
          </w:tcPr>
          <w:p w14:paraId="14F2A7A5" w14:textId="53C5C8C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48</w:t>
            </w:r>
          </w:p>
        </w:tc>
        <w:tc>
          <w:tcPr>
            <w:tcW w:w="141" w:type="pct"/>
            <w:tcBorders>
              <w:top w:val="nil"/>
              <w:left w:val="nil"/>
              <w:bottom w:val="single" w:sz="6" w:space="0" w:color="auto"/>
              <w:right w:val="nil"/>
            </w:tcBorders>
            <w:shd w:val="clear" w:color="auto" w:fill="auto"/>
            <w:vAlign w:val="bottom"/>
          </w:tcPr>
          <w:p w14:paraId="3C161712" w14:textId="65B4D2FC"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69</w:t>
            </w:r>
          </w:p>
        </w:tc>
        <w:tc>
          <w:tcPr>
            <w:tcW w:w="141" w:type="pct"/>
            <w:tcBorders>
              <w:top w:val="nil"/>
              <w:left w:val="nil"/>
              <w:bottom w:val="single" w:sz="6" w:space="0" w:color="auto"/>
              <w:right w:val="nil"/>
            </w:tcBorders>
            <w:shd w:val="clear" w:color="auto" w:fill="auto"/>
            <w:vAlign w:val="bottom"/>
          </w:tcPr>
          <w:p w14:paraId="367FD4DF" w14:textId="650EF313"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85</w:t>
            </w:r>
          </w:p>
        </w:tc>
        <w:tc>
          <w:tcPr>
            <w:tcW w:w="141" w:type="pct"/>
            <w:tcBorders>
              <w:top w:val="nil"/>
              <w:left w:val="nil"/>
              <w:bottom w:val="single" w:sz="6" w:space="0" w:color="auto"/>
              <w:right w:val="nil"/>
            </w:tcBorders>
            <w:shd w:val="clear" w:color="auto" w:fill="auto"/>
            <w:vAlign w:val="bottom"/>
          </w:tcPr>
          <w:p w14:paraId="611645DA" w14:textId="098FFE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92</w:t>
            </w:r>
          </w:p>
        </w:tc>
        <w:tc>
          <w:tcPr>
            <w:tcW w:w="141" w:type="pct"/>
            <w:tcBorders>
              <w:top w:val="nil"/>
              <w:left w:val="nil"/>
              <w:bottom w:val="single" w:sz="6" w:space="0" w:color="auto"/>
              <w:right w:val="nil"/>
            </w:tcBorders>
            <w:shd w:val="clear" w:color="auto" w:fill="auto"/>
            <w:vAlign w:val="bottom"/>
          </w:tcPr>
          <w:p w14:paraId="2E82AA0B" w14:textId="7421D78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93</w:t>
            </w:r>
          </w:p>
        </w:tc>
        <w:tc>
          <w:tcPr>
            <w:tcW w:w="141" w:type="pct"/>
            <w:tcBorders>
              <w:top w:val="nil"/>
              <w:left w:val="nil"/>
              <w:bottom w:val="single" w:sz="6" w:space="0" w:color="auto"/>
              <w:right w:val="nil"/>
            </w:tcBorders>
            <w:shd w:val="clear" w:color="auto" w:fill="auto"/>
            <w:vAlign w:val="bottom"/>
          </w:tcPr>
          <w:p w14:paraId="65C22669" w14:textId="5156F82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96</w:t>
            </w:r>
          </w:p>
        </w:tc>
        <w:tc>
          <w:tcPr>
            <w:tcW w:w="141" w:type="pct"/>
            <w:tcBorders>
              <w:top w:val="nil"/>
              <w:left w:val="nil"/>
              <w:bottom w:val="single" w:sz="6" w:space="0" w:color="auto"/>
              <w:right w:val="nil"/>
            </w:tcBorders>
            <w:shd w:val="clear" w:color="auto" w:fill="auto"/>
            <w:vAlign w:val="bottom"/>
          </w:tcPr>
          <w:p w14:paraId="64486FBF" w14:textId="107B491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118</w:t>
            </w:r>
          </w:p>
        </w:tc>
        <w:tc>
          <w:tcPr>
            <w:tcW w:w="141" w:type="pct"/>
            <w:tcBorders>
              <w:top w:val="nil"/>
              <w:left w:val="nil"/>
              <w:bottom w:val="single" w:sz="6" w:space="0" w:color="auto"/>
              <w:right w:val="nil"/>
            </w:tcBorders>
            <w:shd w:val="clear" w:color="auto" w:fill="auto"/>
            <w:vAlign w:val="bottom"/>
          </w:tcPr>
          <w:p w14:paraId="49F3D7EA" w14:textId="64AFA50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117</w:t>
            </w:r>
          </w:p>
        </w:tc>
        <w:tc>
          <w:tcPr>
            <w:tcW w:w="141" w:type="pct"/>
            <w:tcBorders>
              <w:top w:val="nil"/>
              <w:left w:val="nil"/>
              <w:bottom w:val="single" w:sz="6" w:space="0" w:color="auto"/>
              <w:right w:val="nil"/>
            </w:tcBorders>
            <w:shd w:val="clear" w:color="auto" w:fill="auto"/>
            <w:vAlign w:val="bottom"/>
          </w:tcPr>
          <w:p w14:paraId="2AAF0A92" w14:textId="415C2902"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102</w:t>
            </w:r>
          </w:p>
        </w:tc>
        <w:tc>
          <w:tcPr>
            <w:tcW w:w="141" w:type="pct"/>
            <w:tcBorders>
              <w:top w:val="nil"/>
              <w:left w:val="nil"/>
              <w:bottom w:val="single" w:sz="6" w:space="0" w:color="auto"/>
              <w:right w:val="nil"/>
            </w:tcBorders>
            <w:shd w:val="clear" w:color="auto" w:fill="auto"/>
            <w:vAlign w:val="bottom"/>
          </w:tcPr>
          <w:p w14:paraId="18353F5C" w14:textId="079E158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105</w:t>
            </w:r>
          </w:p>
        </w:tc>
        <w:tc>
          <w:tcPr>
            <w:tcW w:w="141" w:type="pct"/>
            <w:tcBorders>
              <w:top w:val="nil"/>
              <w:left w:val="nil"/>
              <w:bottom w:val="single" w:sz="6" w:space="0" w:color="auto"/>
              <w:right w:val="nil"/>
            </w:tcBorders>
            <w:shd w:val="clear" w:color="auto" w:fill="auto"/>
            <w:vAlign w:val="bottom"/>
          </w:tcPr>
          <w:p w14:paraId="4DCC685D" w14:textId="56ACDA25"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101</w:t>
            </w:r>
          </w:p>
        </w:tc>
        <w:tc>
          <w:tcPr>
            <w:tcW w:w="141" w:type="pct"/>
            <w:tcBorders>
              <w:top w:val="nil"/>
              <w:left w:val="nil"/>
              <w:bottom w:val="single" w:sz="6" w:space="0" w:color="auto"/>
              <w:right w:val="nil"/>
            </w:tcBorders>
            <w:shd w:val="clear" w:color="auto" w:fill="auto"/>
            <w:vAlign w:val="bottom"/>
          </w:tcPr>
          <w:p w14:paraId="35CC9D9D" w14:textId="4039B22E"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130</w:t>
            </w:r>
          </w:p>
        </w:tc>
        <w:tc>
          <w:tcPr>
            <w:tcW w:w="141" w:type="pct"/>
            <w:tcBorders>
              <w:top w:val="nil"/>
              <w:left w:val="nil"/>
              <w:bottom w:val="single" w:sz="6" w:space="0" w:color="auto"/>
              <w:right w:val="nil"/>
            </w:tcBorders>
            <w:shd w:val="clear" w:color="auto" w:fill="auto"/>
            <w:vAlign w:val="bottom"/>
          </w:tcPr>
          <w:p w14:paraId="05C7641C" w14:textId="0075686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152</w:t>
            </w:r>
          </w:p>
        </w:tc>
        <w:tc>
          <w:tcPr>
            <w:tcW w:w="141" w:type="pct"/>
            <w:tcBorders>
              <w:top w:val="nil"/>
              <w:left w:val="nil"/>
              <w:bottom w:val="single" w:sz="6" w:space="0" w:color="auto"/>
              <w:right w:val="nil"/>
            </w:tcBorders>
            <w:shd w:val="clear" w:color="auto" w:fill="auto"/>
            <w:vAlign w:val="bottom"/>
          </w:tcPr>
          <w:p w14:paraId="4D583201" w14:textId="3332FB2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166</w:t>
            </w:r>
          </w:p>
        </w:tc>
        <w:tc>
          <w:tcPr>
            <w:tcW w:w="141" w:type="pct"/>
            <w:tcBorders>
              <w:top w:val="nil"/>
              <w:left w:val="nil"/>
              <w:bottom w:val="single" w:sz="6" w:space="0" w:color="auto"/>
              <w:right w:val="nil"/>
            </w:tcBorders>
            <w:shd w:val="clear" w:color="auto" w:fill="auto"/>
            <w:vAlign w:val="bottom"/>
          </w:tcPr>
          <w:p w14:paraId="4B83342B" w14:textId="45D9E8C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167</w:t>
            </w:r>
          </w:p>
        </w:tc>
        <w:tc>
          <w:tcPr>
            <w:tcW w:w="141" w:type="pct"/>
            <w:tcBorders>
              <w:top w:val="nil"/>
              <w:left w:val="nil"/>
              <w:bottom w:val="single" w:sz="6" w:space="0" w:color="auto"/>
              <w:right w:val="nil"/>
            </w:tcBorders>
            <w:shd w:val="clear" w:color="auto" w:fill="auto"/>
            <w:vAlign w:val="bottom"/>
          </w:tcPr>
          <w:p w14:paraId="03752D5E" w14:textId="15F3152E"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222</w:t>
            </w:r>
          </w:p>
        </w:tc>
        <w:tc>
          <w:tcPr>
            <w:tcW w:w="141" w:type="pct"/>
            <w:tcBorders>
              <w:top w:val="nil"/>
              <w:left w:val="nil"/>
              <w:bottom w:val="single" w:sz="6" w:space="0" w:color="auto"/>
              <w:right w:val="nil"/>
            </w:tcBorders>
            <w:shd w:val="clear" w:color="auto" w:fill="auto"/>
            <w:vAlign w:val="bottom"/>
          </w:tcPr>
          <w:p w14:paraId="415A1729" w14:textId="29803C2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303</w:t>
            </w:r>
          </w:p>
        </w:tc>
        <w:tc>
          <w:tcPr>
            <w:tcW w:w="141" w:type="pct"/>
            <w:tcBorders>
              <w:top w:val="nil"/>
              <w:left w:val="nil"/>
              <w:bottom w:val="single" w:sz="6" w:space="0" w:color="auto"/>
              <w:right w:val="nil"/>
            </w:tcBorders>
            <w:shd w:val="clear" w:color="auto" w:fill="auto"/>
            <w:vAlign w:val="bottom"/>
          </w:tcPr>
          <w:p w14:paraId="38375996" w14:textId="3791B2F0"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316</w:t>
            </w:r>
          </w:p>
        </w:tc>
        <w:tc>
          <w:tcPr>
            <w:tcW w:w="141" w:type="pct"/>
            <w:tcBorders>
              <w:top w:val="nil"/>
              <w:left w:val="nil"/>
              <w:bottom w:val="single" w:sz="6" w:space="0" w:color="auto"/>
              <w:right w:val="nil"/>
            </w:tcBorders>
            <w:shd w:val="clear" w:color="auto" w:fill="auto"/>
            <w:vAlign w:val="bottom"/>
          </w:tcPr>
          <w:p w14:paraId="3E74933A" w14:textId="6B8A6F2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336</w:t>
            </w:r>
          </w:p>
        </w:tc>
        <w:tc>
          <w:tcPr>
            <w:tcW w:w="100" w:type="pct"/>
            <w:tcBorders>
              <w:top w:val="nil"/>
              <w:left w:val="nil"/>
              <w:bottom w:val="single" w:sz="6" w:space="0" w:color="auto"/>
              <w:right w:val="nil"/>
            </w:tcBorders>
          </w:tcPr>
          <w:p w14:paraId="1940F9B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single" w:sz="6" w:space="0" w:color="auto"/>
              <w:right w:val="nil"/>
            </w:tcBorders>
          </w:tcPr>
          <w:p w14:paraId="6CB83BDD"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single" w:sz="6" w:space="0" w:color="auto"/>
              <w:right w:val="nil"/>
            </w:tcBorders>
            <w:shd w:val="clear" w:color="auto" w:fill="auto"/>
            <w:vAlign w:val="bottom"/>
          </w:tcPr>
          <w:p w14:paraId="72DD8671" w14:textId="0906394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138</w:t>
            </w:r>
          </w:p>
        </w:tc>
        <w:tc>
          <w:tcPr>
            <w:tcW w:w="129" w:type="pct"/>
            <w:tcBorders>
              <w:top w:val="nil"/>
              <w:left w:val="nil"/>
              <w:bottom w:val="single" w:sz="6" w:space="0" w:color="auto"/>
              <w:right w:val="single" w:sz="6" w:space="0" w:color="auto"/>
            </w:tcBorders>
            <w:shd w:val="clear" w:color="auto" w:fill="auto"/>
            <w:vAlign w:val="bottom"/>
          </w:tcPr>
          <w:p w14:paraId="377B9250" w14:textId="4ECF879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w:t>
            </w:r>
          </w:p>
        </w:tc>
        <w:tc>
          <w:tcPr>
            <w:tcW w:w="253" w:type="pct"/>
            <w:tcBorders>
              <w:top w:val="nil"/>
              <w:left w:val="single" w:sz="6" w:space="0" w:color="auto"/>
              <w:bottom w:val="single" w:sz="6" w:space="0" w:color="auto"/>
              <w:right w:val="single" w:sz="6" w:space="0" w:color="auto"/>
            </w:tcBorders>
            <w:shd w:val="clear" w:color="auto" w:fill="auto"/>
            <w:vAlign w:val="bottom"/>
          </w:tcPr>
          <w:p w14:paraId="1AA8EB3F" w14:textId="628B73FC"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5099</w:t>
            </w:r>
          </w:p>
        </w:tc>
      </w:tr>
    </w:tbl>
    <w:p w14:paraId="500BB8D6" w14:textId="3D0D8D8B" w:rsidR="005E29AD" w:rsidRPr="003E4580" w:rsidRDefault="005E29AD" w:rsidP="004551C6">
      <w:pPr>
        <w:rPr>
          <w:sz w:val="16"/>
        </w:rPr>
      </w:pPr>
    </w:p>
    <w:p w14:paraId="6199726E" w14:textId="77777777" w:rsidR="00B04B1E" w:rsidRPr="003E4580" w:rsidRDefault="00B04B1E" w:rsidP="004551C6">
      <w:pPr>
        <w:sectPr w:rsidR="00B04B1E" w:rsidRPr="003E4580" w:rsidSect="009F1B54">
          <w:pgSz w:w="16838" w:h="11906" w:orient="landscape" w:code="9"/>
          <w:pgMar w:top="1021" w:right="1021" w:bottom="1021" w:left="1021" w:header="510" w:footer="567" w:gutter="0"/>
          <w:cols w:space="708"/>
          <w:docGrid w:linePitch="360"/>
        </w:sectPr>
      </w:pPr>
    </w:p>
    <w:p w14:paraId="4BFBD474" w14:textId="72754A5C" w:rsidR="00B04B1E" w:rsidRPr="003E4580" w:rsidRDefault="00B04B1E" w:rsidP="00CB0804">
      <w:pPr>
        <w:pStyle w:val="ListParagraph"/>
        <w:numPr>
          <w:ilvl w:val="0"/>
          <w:numId w:val="21"/>
        </w:numPr>
        <w:rPr>
          <w:rFonts w:asciiTheme="minorHAnsi" w:hAnsiTheme="minorHAnsi" w:cstheme="minorHAnsi"/>
          <w:sz w:val="20"/>
          <w:szCs w:val="20"/>
        </w:rPr>
      </w:pPr>
      <w:r w:rsidRPr="003E4580">
        <w:rPr>
          <w:rFonts w:asciiTheme="minorHAnsi" w:hAnsiTheme="minorHAnsi" w:cstheme="minorHAnsi"/>
          <w:sz w:val="20"/>
          <w:szCs w:val="20"/>
        </w:rPr>
        <w:lastRenderedPageBreak/>
        <w:t>From the number of crashed affected determined in the previous step, the trauma alleviated by Option 2 by year as the product of effectiveness for each trauma type and the impact of the technology</w:t>
      </w:r>
      <w:r w:rsidR="001C0B42" w:rsidRPr="003E4580">
        <w:rPr>
          <w:rFonts w:asciiTheme="minorHAnsi" w:hAnsiTheme="minorHAnsi" w:cstheme="minorHAnsi"/>
          <w:sz w:val="20"/>
          <w:szCs w:val="20"/>
        </w:rPr>
        <w:t xml:space="preserve"> is determined</w:t>
      </w:r>
      <w:r w:rsidRPr="003E4580">
        <w:rPr>
          <w:rFonts w:asciiTheme="minorHAnsi" w:hAnsiTheme="minorHAnsi" w:cstheme="minorHAnsi"/>
          <w:sz w:val="20"/>
          <w:szCs w:val="20"/>
        </w:rPr>
        <w:t>:</w:t>
      </w:r>
    </w:p>
    <w:tbl>
      <w:tblPr>
        <w:tblW w:w="0" w:type="auto"/>
        <w:jc w:val="center"/>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624"/>
        <w:gridCol w:w="720"/>
        <w:gridCol w:w="774"/>
      </w:tblGrid>
      <w:tr w:rsidR="001C0B42" w:rsidRPr="003E4580" w14:paraId="230FF18D" w14:textId="77777777" w:rsidTr="00735D96">
        <w:trPr>
          <w:trHeight w:val="481"/>
          <w:jc w:val="center"/>
        </w:trPr>
        <w:tc>
          <w:tcPr>
            <w:tcW w:w="622" w:type="dxa"/>
            <w:vMerge w:val="restart"/>
            <w:shd w:val="clear" w:color="auto" w:fill="C6D9F1"/>
            <w:vAlign w:val="center"/>
          </w:tcPr>
          <w:p w14:paraId="429A0AED" w14:textId="77777777" w:rsidR="001C0B42" w:rsidRPr="003E4580" w:rsidRDefault="001C0B42" w:rsidP="001C0B42">
            <w:pPr>
              <w:suppressAutoHyphens w:val="0"/>
              <w:spacing w:before="0" w:after="0"/>
              <w:jc w:val="center"/>
              <w:rPr>
                <w:rFonts w:eastAsia="Times New Roman" w:cstheme="minorHAnsi"/>
                <w:b/>
                <w:bCs/>
                <w:color w:val="auto"/>
                <w:kern w:val="0"/>
                <w:lang w:eastAsia="en-AU"/>
              </w:rPr>
            </w:pPr>
            <w:r w:rsidRPr="003E4580">
              <w:rPr>
                <w:rFonts w:eastAsia="Times New Roman" w:cstheme="minorHAnsi"/>
                <w:b/>
                <w:bCs/>
                <w:color w:val="auto"/>
                <w:kern w:val="0"/>
                <w:lang w:eastAsia="en-AU"/>
              </w:rPr>
              <w:t>Year</w:t>
            </w:r>
          </w:p>
        </w:tc>
        <w:tc>
          <w:tcPr>
            <w:tcW w:w="2118" w:type="dxa"/>
            <w:gridSpan w:val="3"/>
            <w:shd w:val="clear" w:color="auto" w:fill="C6D9F1"/>
            <w:vAlign w:val="center"/>
          </w:tcPr>
          <w:p w14:paraId="78CB1C77" w14:textId="7A7A8153" w:rsidR="001C0B42" w:rsidRPr="003E4580" w:rsidRDefault="001C0B42" w:rsidP="00AE6164">
            <w:pPr>
              <w:suppressAutoHyphens w:val="0"/>
              <w:spacing w:before="0" w:after="200" w:line="276" w:lineRule="auto"/>
              <w:jc w:val="center"/>
              <w:rPr>
                <w:rFonts w:eastAsia="Times New Roman" w:cstheme="minorHAnsi"/>
                <w:b/>
                <w:color w:val="auto"/>
                <w:kern w:val="0"/>
                <w:lang w:eastAsia="en-AU"/>
              </w:rPr>
            </w:pPr>
            <w:r w:rsidRPr="003E4580">
              <w:rPr>
                <w:rFonts w:eastAsia="Times New Roman" w:cstheme="minorHAnsi"/>
                <w:b/>
                <w:color w:val="auto"/>
                <w:kern w:val="0"/>
                <w:lang w:eastAsia="en-AU"/>
              </w:rPr>
              <w:t xml:space="preserve">Option </w:t>
            </w:r>
            <w:r w:rsidR="00AE6164" w:rsidRPr="003E4580">
              <w:rPr>
                <w:rFonts w:eastAsia="Times New Roman" w:cstheme="minorHAnsi"/>
                <w:b/>
                <w:color w:val="auto"/>
                <w:kern w:val="0"/>
                <w:lang w:eastAsia="en-AU"/>
              </w:rPr>
              <w:t>2</w:t>
            </w:r>
          </w:p>
        </w:tc>
      </w:tr>
      <w:tr w:rsidR="001C0B42" w:rsidRPr="003E4580" w14:paraId="08FE4035" w14:textId="77777777" w:rsidTr="00735D96">
        <w:trPr>
          <w:trHeight w:val="481"/>
          <w:jc w:val="center"/>
        </w:trPr>
        <w:tc>
          <w:tcPr>
            <w:tcW w:w="622" w:type="dxa"/>
            <w:vMerge/>
            <w:shd w:val="clear" w:color="auto" w:fill="C6D9F1"/>
          </w:tcPr>
          <w:p w14:paraId="35B26C7D" w14:textId="77777777" w:rsidR="001C0B42" w:rsidRPr="003E4580" w:rsidRDefault="001C0B42" w:rsidP="001C0B42">
            <w:pPr>
              <w:suppressAutoHyphens w:val="0"/>
              <w:spacing w:before="0" w:after="0"/>
              <w:jc w:val="center"/>
              <w:rPr>
                <w:rFonts w:eastAsia="Times New Roman" w:cstheme="minorHAnsi"/>
                <w:b/>
                <w:bCs/>
                <w:color w:val="auto"/>
                <w:kern w:val="0"/>
                <w:lang w:eastAsia="en-AU"/>
              </w:rPr>
            </w:pPr>
          </w:p>
        </w:tc>
        <w:tc>
          <w:tcPr>
            <w:tcW w:w="624" w:type="dxa"/>
            <w:shd w:val="clear" w:color="auto" w:fill="C6D9F1"/>
            <w:vAlign w:val="center"/>
          </w:tcPr>
          <w:p w14:paraId="39B45724" w14:textId="77777777" w:rsidR="001C0B42" w:rsidRPr="003E4580" w:rsidRDefault="001C0B42" w:rsidP="001C0B42">
            <w:pPr>
              <w:suppressAutoHyphens w:val="0"/>
              <w:spacing w:before="0" w:after="200" w:line="276" w:lineRule="auto"/>
              <w:jc w:val="center"/>
              <w:rPr>
                <w:rFonts w:eastAsia="Times New Roman" w:cstheme="minorHAnsi"/>
                <w:b/>
                <w:color w:val="auto"/>
                <w:kern w:val="0"/>
                <w:lang w:eastAsia="en-AU"/>
              </w:rPr>
            </w:pPr>
            <w:r w:rsidRPr="003E4580">
              <w:rPr>
                <w:rFonts w:eastAsia="Calibri" w:cstheme="minorHAnsi"/>
                <w:b/>
                <w:bCs/>
                <w:color w:val="auto"/>
                <w:kern w:val="0"/>
              </w:rPr>
              <w:t>Fatal</w:t>
            </w:r>
          </w:p>
        </w:tc>
        <w:tc>
          <w:tcPr>
            <w:tcW w:w="720" w:type="dxa"/>
            <w:shd w:val="clear" w:color="auto" w:fill="C6D9F1"/>
            <w:vAlign w:val="center"/>
          </w:tcPr>
          <w:p w14:paraId="567FC8E8" w14:textId="77777777" w:rsidR="001C0B42" w:rsidRPr="003E4580" w:rsidRDefault="001C0B42" w:rsidP="001C0B42">
            <w:pPr>
              <w:suppressAutoHyphens w:val="0"/>
              <w:spacing w:before="0" w:after="200" w:line="276" w:lineRule="auto"/>
              <w:jc w:val="center"/>
              <w:rPr>
                <w:rFonts w:eastAsia="Times New Roman" w:cstheme="minorHAnsi"/>
                <w:b/>
                <w:color w:val="auto"/>
                <w:kern w:val="0"/>
                <w:lang w:eastAsia="en-AU"/>
              </w:rPr>
            </w:pPr>
            <w:r w:rsidRPr="003E4580">
              <w:rPr>
                <w:rFonts w:eastAsia="Calibri" w:cstheme="minorHAnsi"/>
                <w:b/>
                <w:bCs/>
                <w:color w:val="auto"/>
                <w:kern w:val="0"/>
              </w:rPr>
              <w:t>Major</w:t>
            </w:r>
          </w:p>
        </w:tc>
        <w:tc>
          <w:tcPr>
            <w:tcW w:w="774" w:type="dxa"/>
            <w:shd w:val="clear" w:color="auto" w:fill="C6D9F1"/>
            <w:vAlign w:val="center"/>
          </w:tcPr>
          <w:p w14:paraId="7F4B5B65" w14:textId="77777777" w:rsidR="001C0B42" w:rsidRPr="003E4580" w:rsidRDefault="001C0B42" w:rsidP="001C0B42">
            <w:pPr>
              <w:suppressAutoHyphens w:val="0"/>
              <w:spacing w:before="0" w:after="200" w:line="276" w:lineRule="auto"/>
              <w:jc w:val="center"/>
              <w:rPr>
                <w:rFonts w:eastAsia="Times New Roman" w:cstheme="minorHAnsi"/>
                <w:b/>
                <w:color w:val="auto"/>
                <w:kern w:val="0"/>
                <w:lang w:eastAsia="en-AU"/>
              </w:rPr>
            </w:pPr>
            <w:r w:rsidRPr="003E4580">
              <w:rPr>
                <w:rFonts w:eastAsia="Calibri" w:cstheme="minorHAnsi"/>
                <w:b/>
                <w:bCs/>
                <w:color w:val="auto"/>
                <w:kern w:val="0"/>
              </w:rPr>
              <w:t>Minor</w:t>
            </w:r>
          </w:p>
        </w:tc>
      </w:tr>
      <w:tr w:rsidR="001C0B42" w:rsidRPr="003E4580" w14:paraId="011DB60F" w14:textId="77777777" w:rsidTr="00735D96">
        <w:trPr>
          <w:trHeight w:hRule="exact" w:val="284"/>
          <w:jc w:val="center"/>
        </w:trPr>
        <w:tc>
          <w:tcPr>
            <w:tcW w:w="622" w:type="dxa"/>
          </w:tcPr>
          <w:p w14:paraId="7D14C470"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2024</w:t>
            </w:r>
          </w:p>
        </w:tc>
        <w:tc>
          <w:tcPr>
            <w:tcW w:w="624" w:type="dxa"/>
            <w:vAlign w:val="bottom"/>
          </w:tcPr>
          <w:p w14:paraId="058AFB32"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0.40</w:t>
            </w:r>
          </w:p>
        </w:tc>
        <w:tc>
          <w:tcPr>
            <w:tcW w:w="720" w:type="dxa"/>
            <w:vAlign w:val="bottom"/>
          </w:tcPr>
          <w:p w14:paraId="3FD35148"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11.08</w:t>
            </w:r>
          </w:p>
        </w:tc>
        <w:tc>
          <w:tcPr>
            <w:tcW w:w="774" w:type="dxa"/>
            <w:vAlign w:val="bottom"/>
          </w:tcPr>
          <w:p w14:paraId="28E1FFC3"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34.48</w:t>
            </w:r>
          </w:p>
        </w:tc>
      </w:tr>
      <w:tr w:rsidR="001C0B42" w:rsidRPr="003E4580" w14:paraId="4A3CE1DC" w14:textId="77777777" w:rsidTr="00735D96">
        <w:trPr>
          <w:trHeight w:hRule="exact" w:val="284"/>
          <w:jc w:val="center"/>
        </w:trPr>
        <w:tc>
          <w:tcPr>
            <w:tcW w:w="622" w:type="dxa"/>
          </w:tcPr>
          <w:p w14:paraId="6BDE053C"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2025</w:t>
            </w:r>
          </w:p>
        </w:tc>
        <w:tc>
          <w:tcPr>
            <w:tcW w:w="624" w:type="dxa"/>
            <w:vAlign w:val="bottom"/>
          </w:tcPr>
          <w:p w14:paraId="697F75E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0.61</w:t>
            </w:r>
          </w:p>
        </w:tc>
        <w:tc>
          <w:tcPr>
            <w:tcW w:w="720" w:type="dxa"/>
            <w:vAlign w:val="bottom"/>
          </w:tcPr>
          <w:p w14:paraId="59DC2059"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16.76</w:t>
            </w:r>
          </w:p>
        </w:tc>
        <w:tc>
          <w:tcPr>
            <w:tcW w:w="774" w:type="dxa"/>
            <w:vAlign w:val="bottom"/>
          </w:tcPr>
          <w:p w14:paraId="6CD1DDF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52.16</w:t>
            </w:r>
          </w:p>
        </w:tc>
      </w:tr>
      <w:tr w:rsidR="001C0B42" w:rsidRPr="003E4580" w14:paraId="04ACDE3F" w14:textId="77777777" w:rsidTr="00735D96">
        <w:trPr>
          <w:trHeight w:hRule="exact" w:val="284"/>
          <w:jc w:val="center"/>
        </w:trPr>
        <w:tc>
          <w:tcPr>
            <w:tcW w:w="622" w:type="dxa"/>
          </w:tcPr>
          <w:p w14:paraId="1CB19774"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2026</w:t>
            </w:r>
          </w:p>
        </w:tc>
        <w:tc>
          <w:tcPr>
            <w:tcW w:w="624" w:type="dxa"/>
            <w:vAlign w:val="bottom"/>
          </w:tcPr>
          <w:p w14:paraId="52485DA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0.81</w:t>
            </w:r>
          </w:p>
        </w:tc>
        <w:tc>
          <w:tcPr>
            <w:tcW w:w="720" w:type="dxa"/>
            <w:vAlign w:val="bottom"/>
          </w:tcPr>
          <w:p w14:paraId="3D3DBA7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22.23</w:t>
            </w:r>
          </w:p>
        </w:tc>
        <w:tc>
          <w:tcPr>
            <w:tcW w:w="774" w:type="dxa"/>
            <w:vAlign w:val="bottom"/>
          </w:tcPr>
          <w:p w14:paraId="0427C493"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69.16</w:t>
            </w:r>
          </w:p>
        </w:tc>
      </w:tr>
      <w:tr w:rsidR="001C0B42" w:rsidRPr="003E4580" w14:paraId="2CD85BEF" w14:textId="77777777" w:rsidTr="00735D96">
        <w:trPr>
          <w:trHeight w:hRule="exact" w:val="284"/>
          <w:jc w:val="center"/>
        </w:trPr>
        <w:tc>
          <w:tcPr>
            <w:tcW w:w="622" w:type="dxa"/>
          </w:tcPr>
          <w:p w14:paraId="76D6DC1E"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2027</w:t>
            </w:r>
          </w:p>
        </w:tc>
        <w:tc>
          <w:tcPr>
            <w:tcW w:w="624" w:type="dxa"/>
            <w:vAlign w:val="bottom"/>
          </w:tcPr>
          <w:p w14:paraId="05635689"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1.00</w:t>
            </w:r>
          </w:p>
        </w:tc>
        <w:tc>
          <w:tcPr>
            <w:tcW w:w="720" w:type="dxa"/>
            <w:vAlign w:val="bottom"/>
          </w:tcPr>
          <w:p w14:paraId="4EFB7AE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27.41</w:t>
            </w:r>
          </w:p>
        </w:tc>
        <w:tc>
          <w:tcPr>
            <w:tcW w:w="774" w:type="dxa"/>
            <w:vAlign w:val="bottom"/>
          </w:tcPr>
          <w:p w14:paraId="20A674B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85.28</w:t>
            </w:r>
          </w:p>
        </w:tc>
      </w:tr>
      <w:tr w:rsidR="001C0B42" w:rsidRPr="003E4580" w14:paraId="3C4959AF" w14:textId="77777777" w:rsidTr="00735D96">
        <w:trPr>
          <w:trHeight w:hRule="exact" w:val="284"/>
          <w:jc w:val="center"/>
        </w:trPr>
        <w:tc>
          <w:tcPr>
            <w:tcW w:w="622" w:type="dxa"/>
          </w:tcPr>
          <w:p w14:paraId="034BB64C"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2028</w:t>
            </w:r>
          </w:p>
        </w:tc>
        <w:tc>
          <w:tcPr>
            <w:tcW w:w="624" w:type="dxa"/>
            <w:vAlign w:val="bottom"/>
          </w:tcPr>
          <w:p w14:paraId="5B810EE9"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1.18</w:t>
            </w:r>
          </w:p>
        </w:tc>
        <w:tc>
          <w:tcPr>
            <w:tcW w:w="720" w:type="dxa"/>
            <w:vAlign w:val="bottom"/>
          </w:tcPr>
          <w:p w14:paraId="0125F22A"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32.38</w:t>
            </w:r>
          </w:p>
        </w:tc>
        <w:tc>
          <w:tcPr>
            <w:tcW w:w="774" w:type="dxa"/>
            <w:vAlign w:val="bottom"/>
          </w:tcPr>
          <w:p w14:paraId="27C7EFD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100.76</w:t>
            </w:r>
          </w:p>
        </w:tc>
      </w:tr>
      <w:tr w:rsidR="001C0B42" w:rsidRPr="003E4580" w14:paraId="75F8B715" w14:textId="77777777" w:rsidTr="00735D96">
        <w:trPr>
          <w:trHeight w:hRule="exact" w:val="284"/>
          <w:jc w:val="center"/>
        </w:trPr>
        <w:tc>
          <w:tcPr>
            <w:tcW w:w="622" w:type="dxa"/>
          </w:tcPr>
          <w:p w14:paraId="65026B99"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2029</w:t>
            </w:r>
          </w:p>
        </w:tc>
        <w:tc>
          <w:tcPr>
            <w:tcW w:w="624" w:type="dxa"/>
            <w:vAlign w:val="bottom"/>
          </w:tcPr>
          <w:p w14:paraId="08C51CD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1.35</w:t>
            </w:r>
          </w:p>
        </w:tc>
        <w:tc>
          <w:tcPr>
            <w:tcW w:w="720" w:type="dxa"/>
            <w:vAlign w:val="bottom"/>
          </w:tcPr>
          <w:p w14:paraId="0CF01C3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37.13</w:t>
            </w:r>
          </w:p>
        </w:tc>
        <w:tc>
          <w:tcPr>
            <w:tcW w:w="774" w:type="dxa"/>
            <w:vAlign w:val="bottom"/>
          </w:tcPr>
          <w:p w14:paraId="7277B8C8"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115.53</w:t>
            </w:r>
          </w:p>
        </w:tc>
      </w:tr>
      <w:tr w:rsidR="001C0B42" w:rsidRPr="003E4580" w14:paraId="07796863" w14:textId="77777777" w:rsidTr="00735D96">
        <w:trPr>
          <w:trHeight w:hRule="exact" w:val="284"/>
          <w:jc w:val="center"/>
        </w:trPr>
        <w:tc>
          <w:tcPr>
            <w:tcW w:w="622" w:type="dxa"/>
          </w:tcPr>
          <w:p w14:paraId="61948628"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2030</w:t>
            </w:r>
          </w:p>
        </w:tc>
        <w:tc>
          <w:tcPr>
            <w:tcW w:w="624" w:type="dxa"/>
            <w:vAlign w:val="bottom"/>
          </w:tcPr>
          <w:p w14:paraId="544437A4"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1.51</w:t>
            </w:r>
          </w:p>
        </w:tc>
        <w:tc>
          <w:tcPr>
            <w:tcW w:w="720" w:type="dxa"/>
            <w:vAlign w:val="bottom"/>
          </w:tcPr>
          <w:p w14:paraId="5817821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41.42</w:t>
            </w:r>
          </w:p>
        </w:tc>
        <w:tc>
          <w:tcPr>
            <w:tcW w:w="774" w:type="dxa"/>
            <w:vAlign w:val="bottom"/>
          </w:tcPr>
          <w:p w14:paraId="18E79630"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128.89</w:t>
            </w:r>
          </w:p>
        </w:tc>
      </w:tr>
      <w:tr w:rsidR="001C0B42" w:rsidRPr="003E4580" w14:paraId="0ED2A07D" w14:textId="77777777" w:rsidTr="00735D96">
        <w:trPr>
          <w:trHeight w:hRule="exact" w:val="284"/>
          <w:jc w:val="center"/>
        </w:trPr>
        <w:tc>
          <w:tcPr>
            <w:tcW w:w="622" w:type="dxa"/>
          </w:tcPr>
          <w:p w14:paraId="57A6533D"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2031</w:t>
            </w:r>
          </w:p>
        </w:tc>
        <w:tc>
          <w:tcPr>
            <w:tcW w:w="624" w:type="dxa"/>
            <w:vAlign w:val="bottom"/>
          </w:tcPr>
          <w:p w14:paraId="015D9D8A"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1.64</w:t>
            </w:r>
          </w:p>
        </w:tc>
        <w:tc>
          <w:tcPr>
            <w:tcW w:w="720" w:type="dxa"/>
            <w:vAlign w:val="bottom"/>
          </w:tcPr>
          <w:p w14:paraId="7F7162AA"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45.21</w:t>
            </w:r>
          </w:p>
        </w:tc>
        <w:tc>
          <w:tcPr>
            <w:tcW w:w="774" w:type="dxa"/>
            <w:vAlign w:val="bottom"/>
          </w:tcPr>
          <w:p w14:paraId="3BE3020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140.67</w:t>
            </w:r>
          </w:p>
        </w:tc>
      </w:tr>
      <w:tr w:rsidR="001C0B42" w:rsidRPr="003E4580" w14:paraId="42F89BB7" w14:textId="77777777" w:rsidTr="00735D96">
        <w:trPr>
          <w:trHeight w:hRule="exact" w:val="284"/>
          <w:jc w:val="center"/>
        </w:trPr>
        <w:tc>
          <w:tcPr>
            <w:tcW w:w="622" w:type="dxa"/>
          </w:tcPr>
          <w:p w14:paraId="4163A73D"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2032</w:t>
            </w:r>
          </w:p>
        </w:tc>
        <w:tc>
          <w:tcPr>
            <w:tcW w:w="624" w:type="dxa"/>
            <w:vAlign w:val="bottom"/>
          </w:tcPr>
          <w:p w14:paraId="0F125DF1"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1.77</w:t>
            </w:r>
          </w:p>
        </w:tc>
        <w:tc>
          <w:tcPr>
            <w:tcW w:w="720" w:type="dxa"/>
            <w:vAlign w:val="bottom"/>
          </w:tcPr>
          <w:p w14:paraId="4EAA9F4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48.64</w:t>
            </w:r>
          </w:p>
        </w:tc>
        <w:tc>
          <w:tcPr>
            <w:tcW w:w="774" w:type="dxa"/>
            <w:vAlign w:val="bottom"/>
          </w:tcPr>
          <w:p w14:paraId="02AD072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151.37</w:t>
            </w:r>
          </w:p>
        </w:tc>
      </w:tr>
      <w:tr w:rsidR="001C0B42" w:rsidRPr="003E4580" w14:paraId="5E8B2A4E" w14:textId="77777777" w:rsidTr="00735D96">
        <w:trPr>
          <w:trHeight w:hRule="exact" w:val="284"/>
          <w:jc w:val="center"/>
        </w:trPr>
        <w:tc>
          <w:tcPr>
            <w:tcW w:w="622" w:type="dxa"/>
          </w:tcPr>
          <w:p w14:paraId="567AA3EF"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2033</w:t>
            </w:r>
          </w:p>
        </w:tc>
        <w:tc>
          <w:tcPr>
            <w:tcW w:w="624" w:type="dxa"/>
            <w:vAlign w:val="bottom"/>
          </w:tcPr>
          <w:p w14:paraId="1C70A48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1.89</w:t>
            </w:r>
          </w:p>
        </w:tc>
        <w:tc>
          <w:tcPr>
            <w:tcW w:w="720" w:type="dxa"/>
            <w:vAlign w:val="bottom"/>
          </w:tcPr>
          <w:p w14:paraId="28648C1C"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51.94</w:t>
            </w:r>
          </w:p>
        </w:tc>
        <w:tc>
          <w:tcPr>
            <w:tcW w:w="774" w:type="dxa"/>
            <w:vAlign w:val="bottom"/>
          </w:tcPr>
          <w:p w14:paraId="345FE970"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161.64</w:t>
            </w:r>
          </w:p>
        </w:tc>
      </w:tr>
      <w:tr w:rsidR="001C0B42" w:rsidRPr="003E4580" w14:paraId="63DFBF39" w14:textId="77777777" w:rsidTr="00735D96">
        <w:trPr>
          <w:trHeight w:hRule="exact" w:val="284"/>
          <w:jc w:val="center"/>
        </w:trPr>
        <w:tc>
          <w:tcPr>
            <w:tcW w:w="622" w:type="dxa"/>
          </w:tcPr>
          <w:p w14:paraId="1BE2CA28"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2034</w:t>
            </w:r>
          </w:p>
        </w:tc>
        <w:tc>
          <w:tcPr>
            <w:tcW w:w="624" w:type="dxa"/>
            <w:vAlign w:val="bottom"/>
          </w:tcPr>
          <w:p w14:paraId="57C568A1"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2.01</w:t>
            </w:r>
          </w:p>
        </w:tc>
        <w:tc>
          <w:tcPr>
            <w:tcW w:w="720" w:type="dxa"/>
            <w:vAlign w:val="bottom"/>
          </w:tcPr>
          <w:p w14:paraId="4B4BC570"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55.26</w:t>
            </w:r>
          </w:p>
        </w:tc>
        <w:tc>
          <w:tcPr>
            <w:tcW w:w="774" w:type="dxa"/>
            <w:vAlign w:val="bottom"/>
          </w:tcPr>
          <w:p w14:paraId="34E22CDC"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171.97</w:t>
            </w:r>
          </w:p>
        </w:tc>
      </w:tr>
      <w:tr w:rsidR="001C0B42" w:rsidRPr="003E4580" w14:paraId="05B499E2" w14:textId="77777777" w:rsidTr="00735D96">
        <w:trPr>
          <w:trHeight w:hRule="exact" w:val="284"/>
          <w:jc w:val="center"/>
        </w:trPr>
        <w:tc>
          <w:tcPr>
            <w:tcW w:w="622" w:type="dxa"/>
          </w:tcPr>
          <w:p w14:paraId="19B7DC9B"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2035</w:t>
            </w:r>
          </w:p>
        </w:tc>
        <w:tc>
          <w:tcPr>
            <w:tcW w:w="624" w:type="dxa"/>
            <w:vAlign w:val="bottom"/>
          </w:tcPr>
          <w:p w14:paraId="71EAB9F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2.13</w:t>
            </w:r>
          </w:p>
        </w:tc>
        <w:tc>
          <w:tcPr>
            <w:tcW w:w="720" w:type="dxa"/>
            <w:vAlign w:val="bottom"/>
          </w:tcPr>
          <w:p w14:paraId="54EDD0BD"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58.64</w:t>
            </w:r>
          </w:p>
        </w:tc>
        <w:tc>
          <w:tcPr>
            <w:tcW w:w="774" w:type="dxa"/>
            <w:vAlign w:val="bottom"/>
          </w:tcPr>
          <w:p w14:paraId="426DB48F"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182.49</w:t>
            </w:r>
          </w:p>
        </w:tc>
      </w:tr>
      <w:tr w:rsidR="001C0B42" w:rsidRPr="003E4580" w14:paraId="50F1820F" w14:textId="77777777" w:rsidTr="00735D96">
        <w:trPr>
          <w:trHeight w:hRule="exact" w:val="284"/>
          <w:jc w:val="center"/>
        </w:trPr>
        <w:tc>
          <w:tcPr>
            <w:tcW w:w="622" w:type="dxa"/>
          </w:tcPr>
          <w:p w14:paraId="7C8034F6"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2036</w:t>
            </w:r>
          </w:p>
        </w:tc>
        <w:tc>
          <w:tcPr>
            <w:tcW w:w="624" w:type="dxa"/>
            <w:vAlign w:val="bottom"/>
          </w:tcPr>
          <w:p w14:paraId="5CF10642"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2.25</w:t>
            </w:r>
          </w:p>
        </w:tc>
        <w:tc>
          <w:tcPr>
            <w:tcW w:w="720" w:type="dxa"/>
            <w:vAlign w:val="bottom"/>
          </w:tcPr>
          <w:p w14:paraId="258A025F"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61.90</w:t>
            </w:r>
          </w:p>
        </w:tc>
        <w:tc>
          <w:tcPr>
            <w:tcW w:w="774" w:type="dxa"/>
            <w:vAlign w:val="bottom"/>
          </w:tcPr>
          <w:p w14:paraId="3A89BBAC"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192.63</w:t>
            </w:r>
          </w:p>
        </w:tc>
      </w:tr>
      <w:tr w:rsidR="001C0B42" w:rsidRPr="003E4580" w14:paraId="07792AEF" w14:textId="77777777" w:rsidTr="00735D96">
        <w:trPr>
          <w:trHeight w:hRule="exact" w:val="284"/>
          <w:jc w:val="center"/>
        </w:trPr>
        <w:tc>
          <w:tcPr>
            <w:tcW w:w="622" w:type="dxa"/>
          </w:tcPr>
          <w:p w14:paraId="5C176BB7"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2037</w:t>
            </w:r>
          </w:p>
        </w:tc>
        <w:tc>
          <w:tcPr>
            <w:tcW w:w="624" w:type="dxa"/>
            <w:vAlign w:val="bottom"/>
          </w:tcPr>
          <w:p w14:paraId="0B970A32"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2.36</w:t>
            </w:r>
          </w:p>
        </w:tc>
        <w:tc>
          <w:tcPr>
            <w:tcW w:w="720" w:type="dxa"/>
            <w:vAlign w:val="bottom"/>
          </w:tcPr>
          <w:p w14:paraId="3C6EC87A"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64.77</w:t>
            </w:r>
          </w:p>
        </w:tc>
        <w:tc>
          <w:tcPr>
            <w:tcW w:w="774" w:type="dxa"/>
            <w:vAlign w:val="bottom"/>
          </w:tcPr>
          <w:p w14:paraId="010DBF86"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201.55</w:t>
            </w:r>
          </w:p>
        </w:tc>
      </w:tr>
      <w:tr w:rsidR="001C0B42" w:rsidRPr="003E4580" w14:paraId="11987C00" w14:textId="77777777" w:rsidTr="00735D96">
        <w:trPr>
          <w:trHeight w:hRule="exact" w:val="284"/>
          <w:jc w:val="center"/>
        </w:trPr>
        <w:tc>
          <w:tcPr>
            <w:tcW w:w="622" w:type="dxa"/>
          </w:tcPr>
          <w:p w14:paraId="4E70CF97"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2038</w:t>
            </w:r>
          </w:p>
        </w:tc>
        <w:tc>
          <w:tcPr>
            <w:tcW w:w="624" w:type="dxa"/>
            <w:vAlign w:val="bottom"/>
          </w:tcPr>
          <w:p w14:paraId="18C0A3E8"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2.44</w:t>
            </w:r>
          </w:p>
        </w:tc>
        <w:tc>
          <w:tcPr>
            <w:tcW w:w="720" w:type="dxa"/>
            <w:vAlign w:val="bottom"/>
          </w:tcPr>
          <w:p w14:paraId="315CB92C"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67.14</w:t>
            </w:r>
          </w:p>
        </w:tc>
        <w:tc>
          <w:tcPr>
            <w:tcW w:w="774" w:type="dxa"/>
            <w:vAlign w:val="bottom"/>
          </w:tcPr>
          <w:p w14:paraId="4D38A82C"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208.93</w:t>
            </w:r>
          </w:p>
        </w:tc>
      </w:tr>
      <w:tr w:rsidR="001C0B42" w:rsidRPr="003E4580" w14:paraId="6893B794" w14:textId="77777777" w:rsidTr="00735D96">
        <w:trPr>
          <w:trHeight w:hRule="exact" w:val="284"/>
          <w:jc w:val="center"/>
        </w:trPr>
        <w:tc>
          <w:tcPr>
            <w:tcW w:w="622" w:type="dxa"/>
          </w:tcPr>
          <w:p w14:paraId="21D9C193"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2039</w:t>
            </w:r>
          </w:p>
        </w:tc>
        <w:tc>
          <w:tcPr>
            <w:tcW w:w="624" w:type="dxa"/>
            <w:vAlign w:val="bottom"/>
          </w:tcPr>
          <w:p w14:paraId="12A3A45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2.51</w:t>
            </w:r>
          </w:p>
        </w:tc>
        <w:tc>
          <w:tcPr>
            <w:tcW w:w="720" w:type="dxa"/>
            <w:vAlign w:val="bottom"/>
          </w:tcPr>
          <w:p w14:paraId="2AE40F2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69.01</w:t>
            </w:r>
          </w:p>
        </w:tc>
        <w:tc>
          <w:tcPr>
            <w:tcW w:w="774" w:type="dxa"/>
            <w:vAlign w:val="bottom"/>
          </w:tcPr>
          <w:p w14:paraId="0A25D61C"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214.76</w:t>
            </w:r>
          </w:p>
        </w:tc>
      </w:tr>
      <w:tr w:rsidR="001C0B42" w:rsidRPr="003E4580" w14:paraId="539CDC3D" w14:textId="77777777" w:rsidTr="00735D96">
        <w:trPr>
          <w:trHeight w:hRule="exact" w:val="284"/>
          <w:jc w:val="center"/>
        </w:trPr>
        <w:tc>
          <w:tcPr>
            <w:tcW w:w="622" w:type="dxa"/>
          </w:tcPr>
          <w:p w14:paraId="05F68694"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2040</w:t>
            </w:r>
          </w:p>
        </w:tc>
        <w:tc>
          <w:tcPr>
            <w:tcW w:w="624" w:type="dxa"/>
            <w:vAlign w:val="bottom"/>
          </w:tcPr>
          <w:p w14:paraId="43616ABD"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2.56</w:t>
            </w:r>
          </w:p>
        </w:tc>
        <w:tc>
          <w:tcPr>
            <w:tcW w:w="720" w:type="dxa"/>
            <w:vAlign w:val="bottom"/>
          </w:tcPr>
          <w:p w14:paraId="0B489AB9"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70.45</w:t>
            </w:r>
          </w:p>
        </w:tc>
        <w:tc>
          <w:tcPr>
            <w:tcW w:w="774" w:type="dxa"/>
            <w:vAlign w:val="bottom"/>
          </w:tcPr>
          <w:p w14:paraId="7B645850"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219.24</w:t>
            </w:r>
          </w:p>
        </w:tc>
      </w:tr>
      <w:tr w:rsidR="001C0B42" w:rsidRPr="003E4580" w14:paraId="4431DBCF" w14:textId="77777777" w:rsidTr="00735D96">
        <w:trPr>
          <w:trHeight w:hRule="exact" w:val="284"/>
          <w:jc w:val="center"/>
        </w:trPr>
        <w:tc>
          <w:tcPr>
            <w:tcW w:w="622" w:type="dxa"/>
          </w:tcPr>
          <w:p w14:paraId="43B9EEA5"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2041</w:t>
            </w:r>
          </w:p>
        </w:tc>
        <w:tc>
          <w:tcPr>
            <w:tcW w:w="624" w:type="dxa"/>
            <w:vAlign w:val="bottom"/>
          </w:tcPr>
          <w:p w14:paraId="0B74B31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2.60</w:t>
            </w:r>
          </w:p>
        </w:tc>
        <w:tc>
          <w:tcPr>
            <w:tcW w:w="720" w:type="dxa"/>
            <w:vAlign w:val="bottom"/>
          </w:tcPr>
          <w:p w14:paraId="170740EA"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71.46</w:t>
            </w:r>
          </w:p>
        </w:tc>
        <w:tc>
          <w:tcPr>
            <w:tcW w:w="774" w:type="dxa"/>
            <w:vAlign w:val="bottom"/>
          </w:tcPr>
          <w:p w14:paraId="0C52166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222.38</w:t>
            </w:r>
          </w:p>
        </w:tc>
      </w:tr>
      <w:tr w:rsidR="001C0B42" w:rsidRPr="003E4580" w14:paraId="42CA2A21" w14:textId="77777777" w:rsidTr="00735D96">
        <w:trPr>
          <w:trHeight w:hRule="exact" w:val="284"/>
          <w:jc w:val="center"/>
        </w:trPr>
        <w:tc>
          <w:tcPr>
            <w:tcW w:w="622" w:type="dxa"/>
          </w:tcPr>
          <w:p w14:paraId="47CA7A1A"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2042</w:t>
            </w:r>
          </w:p>
        </w:tc>
        <w:tc>
          <w:tcPr>
            <w:tcW w:w="624" w:type="dxa"/>
            <w:vAlign w:val="bottom"/>
          </w:tcPr>
          <w:p w14:paraId="1858E4E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2.62</w:t>
            </w:r>
          </w:p>
        </w:tc>
        <w:tc>
          <w:tcPr>
            <w:tcW w:w="720" w:type="dxa"/>
            <w:vAlign w:val="bottom"/>
          </w:tcPr>
          <w:p w14:paraId="25533D0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72.01</w:t>
            </w:r>
          </w:p>
        </w:tc>
        <w:tc>
          <w:tcPr>
            <w:tcW w:w="774" w:type="dxa"/>
            <w:vAlign w:val="bottom"/>
          </w:tcPr>
          <w:p w14:paraId="055902B9"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224.07</w:t>
            </w:r>
          </w:p>
        </w:tc>
      </w:tr>
      <w:tr w:rsidR="001C0B42" w:rsidRPr="003E4580" w14:paraId="31022708" w14:textId="77777777" w:rsidTr="00735D96">
        <w:trPr>
          <w:trHeight w:hRule="exact" w:val="284"/>
          <w:jc w:val="center"/>
        </w:trPr>
        <w:tc>
          <w:tcPr>
            <w:tcW w:w="622" w:type="dxa"/>
          </w:tcPr>
          <w:p w14:paraId="60BF134C"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2043</w:t>
            </w:r>
          </w:p>
        </w:tc>
        <w:tc>
          <w:tcPr>
            <w:tcW w:w="624" w:type="dxa"/>
            <w:vAlign w:val="bottom"/>
          </w:tcPr>
          <w:p w14:paraId="54A4943D"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2.62</w:t>
            </w:r>
          </w:p>
        </w:tc>
        <w:tc>
          <w:tcPr>
            <w:tcW w:w="720" w:type="dxa"/>
            <w:vAlign w:val="bottom"/>
          </w:tcPr>
          <w:p w14:paraId="48D7BF2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72.09</w:t>
            </w:r>
          </w:p>
        </w:tc>
        <w:tc>
          <w:tcPr>
            <w:tcW w:w="774" w:type="dxa"/>
            <w:vAlign w:val="bottom"/>
          </w:tcPr>
          <w:p w14:paraId="17CD109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224.34</w:t>
            </w:r>
          </w:p>
        </w:tc>
      </w:tr>
      <w:tr w:rsidR="001C0B42" w:rsidRPr="003E4580" w14:paraId="0FE503B9" w14:textId="77777777" w:rsidTr="00735D96">
        <w:trPr>
          <w:trHeight w:hRule="exact" w:val="284"/>
          <w:jc w:val="center"/>
        </w:trPr>
        <w:tc>
          <w:tcPr>
            <w:tcW w:w="622" w:type="dxa"/>
          </w:tcPr>
          <w:p w14:paraId="3AA01DE5"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2044</w:t>
            </w:r>
          </w:p>
        </w:tc>
        <w:tc>
          <w:tcPr>
            <w:tcW w:w="624" w:type="dxa"/>
            <w:vAlign w:val="bottom"/>
          </w:tcPr>
          <w:p w14:paraId="4B79820F"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2.61</w:t>
            </w:r>
          </w:p>
        </w:tc>
        <w:tc>
          <w:tcPr>
            <w:tcW w:w="720" w:type="dxa"/>
            <w:vAlign w:val="bottom"/>
          </w:tcPr>
          <w:p w14:paraId="0F7F4880"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71.82</w:t>
            </w:r>
          </w:p>
        </w:tc>
        <w:tc>
          <w:tcPr>
            <w:tcW w:w="774" w:type="dxa"/>
            <w:vAlign w:val="bottom"/>
          </w:tcPr>
          <w:p w14:paraId="210D222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223.49</w:t>
            </w:r>
          </w:p>
        </w:tc>
      </w:tr>
      <w:tr w:rsidR="001C0B42" w:rsidRPr="003E4580" w14:paraId="33FF68EC" w14:textId="77777777" w:rsidTr="00735D96">
        <w:trPr>
          <w:trHeight w:hRule="exact" w:val="284"/>
          <w:jc w:val="center"/>
        </w:trPr>
        <w:tc>
          <w:tcPr>
            <w:tcW w:w="622" w:type="dxa"/>
          </w:tcPr>
          <w:p w14:paraId="5FCC8ED8"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2045</w:t>
            </w:r>
          </w:p>
        </w:tc>
        <w:tc>
          <w:tcPr>
            <w:tcW w:w="624" w:type="dxa"/>
            <w:vAlign w:val="bottom"/>
          </w:tcPr>
          <w:p w14:paraId="624F388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2.59</w:t>
            </w:r>
          </w:p>
        </w:tc>
        <w:tc>
          <w:tcPr>
            <w:tcW w:w="720" w:type="dxa"/>
            <w:vAlign w:val="bottom"/>
          </w:tcPr>
          <w:p w14:paraId="14387CE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71.32</w:t>
            </w:r>
          </w:p>
        </w:tc>
        <w:tc>
          <w:tcPr>
            <w:tcW w:w="774" w:type="dxa"/>
            <w:vAlign w:val="bottom"/>
          </w:tcPr>
          <w:p w14:paraId="561D1019"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221.92</w:t>
            </w:r>
          </w:p>
        </w:tc>
      </w:tr>
      <w:tr w:rsidR="001C0B42" w:rsidRPr="003E4580" w14:paraId="7CB77A4A" w14:textId="77777777" w:rsidTr="00735D96">
        <w:trPr>
          <w:trHeight w:hRule="exact" w:val="284"/>
          <w:jc w:val="center"/>
        </w:trPr>
        <w:tc>
          <w:tcPr>
            <w:tcW w:w="622" w:type="dxa"/>
          </w:tcPr>
          <w:p w14:paraId="6868F767"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2046</w:t>
            </w:r>
          </w:p>
        </w:tc>
        <w:tc>
          <w:tcPr>
            <w:tcW w:w="624" w:type="dxa"/>
            <w:vAlign w:val="bottom"/>
          </w:tcPr>
          <w:p w14:paraId="78CC81C3"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2.57</w:t>
            </w:r>
          </w:p>
        </w:tc>
        <w:tc>
          <w:tcPr>
            <w:tcW w:w="720" w:type="dxa"/>
            <w:vAlign w:val="bottom"/>
          </w:tcPr>
          <w:p w14:paraId="589B09A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70.61</w:t>
            </w:r>
          </w:p>
        </w:tc>
        <w:tc>
          <w:tcPr>
            <w:tcW w:w="774" w:type="dxa"/>
            <w:vAlign w:val="bottom"/>
          </w:tcPr>
          <w:p w14:paraId="4ECF2B28"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219.73</w:t>
            </w:r>
          </w:p>
        </w:tc>
      </w:tr>
      <w:tr w:rsidR="001C0B42" w:rsidRPr="003E4580" w14:paraId="5852E5FF" w14:textId="77777777" w:rsidTr="00735D96">
        <w:trPr>
          <w:trHeight w:hRule="exact" w:val="284"/>
          <w:jc w:val="center"/>
        </w:trPr>
        <w:tc>
          <w:tcPr>
            <w:tcW w:w="622" w:type="dxa"/>
          </w:tcPr>
          <w:p w14:paraId="25DB6424"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2047</w:t>
            </w:r>
          </w:p>
        </w:tc>
        <w:tc>
          <w:tcPr>
            <w:tcW w:w="624" w:type="dxa"/>
            <w:vAlign w:val="bottom"/>
          </w:tcPr>
          <w:p w14:paraId="4B24E116"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2.53</w:t>
            </w:r>
          </w:p>
        </w:tc>
        <w:tc>
          <w:tcPr>
            <w:tcW w:w="720" w:type="dxa"/>
            <w:vAlign w:val="bottom"/>
          </w:tcPr>
          <w:p w14:paraId="60DBD48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69.66</w:t>
            </w:r>
          </w:p>
        </w:tc>
        <w:tc>
          <w:tcPr>
            <w:tcW w:w="774" w:type="dxa"/>
            <w:vAlign w:val="bottom"/>
          </w:tcPr>
          <w:p w14:paraId="6C74CFC0"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216.78</w:t>
            </w:r>
          </w:p>
        </w:tc>
      </w:tr>
      <w:tr w:rsidR="001C0B42" w:rsidRPr="003E4580" w14:paraId="66125FA3" w14:textId="77777777" w:rsidTr="00735D96">
        <w:trPr>
          <w:trHeight w:hRule="exact" w:val="284"/>
          <w:jc w:val="center"/>
        </w:trPr>
        <w:tc>
          <w:tcPr>
            <w:tcW w:w="622" w:type="dxa"/>
          </w:tcPr>
          <w:p w14:paraId="7F4E3B2E"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2048</w:t>
            </w:r>
          </w:p>
        </w:tc>
        <w:tc>
          <w:tcPr>
            <w:tcW w:w="624" w:type="dxa"/>
            <w:vAlign w:val="bottom"/>
          </w:tcPr>
          <w:p w14:paraId="114337E2"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2.49</w:t>
            </w:r>
          </w:p>
        </w:tc>
        <w:tc>
          <w:tcPr>
            <w:tcW w:w="720" w:type="dxa"/>
            <w:vAlign w:val="bottom"/>
          </w:tcPr>
          <w:p w14:paraId="5AC3881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68.48</w:t>
            </w:r>
          </w:p>
        </w:tc>
        <w:tc>
          <w:tcPr>
            <w:tcW w:w="774" w:type="dxa"/>
            <w:vAlign w:val="bottom"/>
          </w:tcPr>
          <w:p w14:paraId="1A486333"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213.09</w:t>
            </w:r>
          </w:p>
        </w:tc>
      </w:tr>
      <w:tr w:rsidR="001C0B42" w:rsidRPr="003E4580" w14:paraId="72EFD03B" w14:textId="77777777" w:rsidTr="00735D96">
        <w:trPr>
          <w:trHeight w:hRule="exact" w:val="284"/>
          <w:jc w:val="center"/>
        </w:trPr>
        <w:tc>
          <w:tcPr>
            <w:tcW w:w="622" w:type="dxa"/>
          </w:tcPr>
          <w:p w14:paraId="69EBCE53"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2049</w:t>
            </w:r>
          </w:p>
        </w:tc>
        <w:tc>
          <w:tcPr>
            <w:tcW w:w="624" w:type="dxa"/>
            <w:vAlign w:val="bottom"/>
          </w:tcPr>
          <w:p w14:paraId="53E345E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2.44</w:t>
            </w:r>
          </w:p>
        </w:tc>
        <w:tc>
          <w:tcPr>
            <w:tcW w:w="720" w:type="dxa"/>
            <w:vAlign w:val="bottom"/>
          </w:tcPr>
          <w:p w14:paraId="50FE8C7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67.10</w:t>
            </w:r>
          </w:p>
        </w:tc>
        <w:tc>
          <w:tcPr>
            <w:tcW w:w="774" w:type="dxa"/>
            <w:vAlign w:val="bottom"/>
          </w:tcPr>
          <w:p w14:paraId="505F4BE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208.79</w:t>
            </w:r>
          </w:p>
        </w:tc>
      </w:tr>
      <w:tr w:rsidR="001C0B42" w:rsidRPr="003E4580" w14:paraId="59D08F9C" w14:textId="77777777" w:rsidTr="00735D96">
        <w:trPr>
          <w:trHeight w:hRule="exact" w:val="284"/>
          <w:jc w:val="center"/>
        </w:trPr>
        <w:tc>
          <w:tcPr>
            <w:tcW w:w="622" w:type="dxa"/>
          </w:tcPr>
          <w:p w14:paraId="7514562D"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2050</w:t>
            </w:r>
          </w:p>
        </w:tc>
        <w:tc>
          <w:tcPr>
            <w:tcW w:w="624" w:type="dxa"/>
            <w:vAlign w:val="bottom"/>
          </w:tcPr>
          <w:p w14:paraId="3F11C53A"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2.38</w:t>
            </w:r>
          </w:p>
        </w:tc>
        <w:tc>
          <w:tcPr>
            <w:tcW w:w="720" w:type="dxa"/>
            <w:vAlign w:val="bottom"/>
          </w:tcPr>
          <w:p w14:paraId="27C817F1"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65.55</w:t>
            </w:r>
          </w:p>
        </w:tc>
        <w:tc>
          <w:tcPr>
            <w:tcW w:w="774" w:type="dxa"/>
            <w:vAlign w:val="bottom"/>
          </w:tcPr>
          <w:p w14:paraId="424B322C"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203.98</w:t>
            </w:r>
          </w:p>
        </w:tc>
      </w:tr>
      <w:tr w:rsidR="001C0B42" w:rsidRPr="003E4580" w14:paraId="2B7071D1" w14:textId="77777777" w:rsidTr="00735D96">
        <w:trPr>
          <w:trHeight w:hRule="exact" w:val="284"/>
          <w:jc w:val="center"/>
        </w:trPr>
        <w:tc>
          <w:tcPr>
            <w:tcW w:w="622" w:type="dxa"/>
          </w:tcPr>
          <w:p w14:paraId="31223468"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2051</w:t>
            </w:r>
          </w:p>
        </w:tc>
        <w:tc>
          <w:tcPr>
            <w:tcW w:w="624" w:type="dxa"/>
            <w:vAlign w:val="bottom"/>
          </w:tcPr>
          <w:p w14:paraId="37D08748"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2.32</w:t>
            </w:r>
          </w:p>
        </w:tc>
        <w:tc>
          <w:tcPr>
            <w:tcW w:w="720" w:type="dxa"/>
            <w:vAlign w:val="bottom"/>
          </w:tcPr>
          <w:p w14:paraId="55E2A7B0"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63.85</w:t>
            </w:r>
          </w:p>
        </w:tc>
        <w:tc>
          <w:tcPr>
            <w:tcW w:w="774" w:type="dxa"/>
            <w:vAlign w:val="bottom"/>
          </w:tcPr>
          <w:p w14:paraId="7347FAE1"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198.68</w:t>
            </w:r>
          </w:p>
        </w:tc>
      </w:tr>
      <w:tr w:rsidR="001C0B42" w:rsidRPr="003E4580" w14:paraId="52290C30" w14:textId="77777777" w:rsidTr="00735D96">
        <w:trPr>
          <w:trHeight w:hRule="exact" w:val="284"/>
          <w:jc w:val="center"/>
        </w:trPr>
        <w:tc>
          <w:tcPr>
            <w:tcW w:w="622" w:type="dxa"/>
          </w:tcPr>
          <w:p w14:paraId="13CB1DF2"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2052</w:t>
            </w:r>
          </w:p>
        </w:tc>
        <w:tc>
          <w:tcPr>
            <w:tcW w:w="624" w:type="dxa"/>
            <w:vAlign w:val="bottom"/>
          </w:tcPr>
          <w:p w14:paraId="2B80D3F4"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2.25</w:t>
            </w:r>
          </w:p>
        </w:tc>
        <w:tc>
          <w:tcPr>
            <w:tcW w:w="720" w:type="dxa"/>
            <w:vAlign w:val="bottom"/>
          </w:tcPr>
          <w:p w14:paraId="085001E6"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61.94</w:t>
            </w:r>
          </w:p>
        </w:tc>
        <w:tc>
          <w:tcPr>
            <w:tcW w:w="774" w:type="dxa"/>
            <w:vAlign w:val="bottom"/>
          </w:tcPr>
          <w:p w14:paraId="00658842"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192.74</w:t>
            </w:r>
          </w:p>
        </w:tc>
      </w:tr>
      <w:tr w:rsidR="001C0B42" w:rsidRPr="003E4580" w14:paraId="211937EF" w14:textId="77777777" w:rsidTr="00735D96">
        <w:trPr>
          <w:trHeight w:hRule="exact" w:val="284"/>
          <w:jc w:val="center"/>
        </w:trPr>
        <w:tc>
          <w:tcPr>
            <w:tcW w:w="622" w:type="dxa"/>
          </w:tcPr>
          <w:p w14:paraId="0BC580D5"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2053</w:t>
            </w:r>
          </w:p>
        </w:tc>
        <w:tc>
          <w:tcPr>
            <w:tcW w:w="624" w:type="dxa"/>
            <w:vAlign w:val="bottom"/>
          </w:tcPr>
          <w:p w14:paraId="4109F65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2.18</w:t>
            </w:r>
          </w:p>
        </w:tc>
        <w:tc>
          <w:tcPr>
            <w:tcW w:w="720" w:type="dxa"/>
            <w:vAlign w:val="bottom"/>
          </w:tcPr>
          <w:p w14:paraId="363BE7F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59.82</w:t>
            </w:r>
          </w:p>
        </w:tc>
        <w:tc>
          <w:tcPr>
            <w:tcW w:w="774" w:type="dxa"/>
            <w:vAlign w:val="bottom"/>
          </w:tcPr>
          <w:p w14:paraId="333F5E81"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186.15</w:t>
            </w:r>
          </w:p>
        </w:tc>
      </w:tr>
      <w:tr w:rsidR="001C0B42" w:rsidRPr="003E4580" w14:paraId="44BA9507" w14:textId="77777777" w:rsidTr="00735D96">
        <w:trPr>
          <w:trHeight w:hRule="exact" w:val="284"/>
          <w:jc w:val="center"/>
        </w:trPr>
        <w:tc>
          <w:tcPr>
            <w:tcW w:w="622" w:type="dxa"/>
          </w:tcPr>
          <w:p w14:paraId="5F8380B9"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2054</w:t>
            </w:r>
          </w:p>
        </w:tc>
        <w:tc>
          <w:tcPr>
            <w:tcW w:w="624" w:type="dxa"/>
            <w:vAlign w:val="bottom"/>
          </w:tcPr>
          <w:p w14:paraId="53369D6D"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2.09</w:t>
            </w:r>
          </w:p>
        </w:tc>
        <w:tc>
          <w:tcPr>
            <w:tcW w:w="720" w:type="dxa"/>
            <w:vAlign w:val="bottom"/>
          </w:tcPr>
          <w:p w14:paraId="714239B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57.53</w:t>
            </w:r>
          </w:p>
        </w:tc>
        <w:tc>
          <w:tcPr>
            <w:tcW w:w="774" w:type="dxa"/>
            <w:vAlign w:val="bottom"/>
          </w:tcPr>
          <w:p w14:paraId="14ACD02A"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179.03</w:t>
            </w:r>
          </w:p>
        </w:tc>
      </w:tr>
      <w:tr w:rsidR="001C0B42" w:rsidRPr="003E4580" w14:paraId="1944558D" w14:textId="77777777" w:rsidTr="00735D96">
        <w:trPr>
          <w:trHeight w:hRule="exact" w:val="284"/>
          <w:jc w:val="center"/>
        </w:trPr>
        <w:tc>
          <w:tcPr>
            <w:tcW w:w="622" w:type="dxa"/>
          </w:tcPr>
          <w:p w14:paraId="44F4091B"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2055</w:t>
            </w:r>
          </w:p>
        </w:tc>
        <w:tc>
          <w:tcPr>
            <w:tcW w:w="624" w:type="dxa"/>
            <w:vAlign w:val="bottom"/>
          </w:tcPr>
          <w:p w14:paraId="31DD1E21"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2.01</w:t>
            </w:r>
          </w:p>
        </w:tc>
        <w:tc>
          <w:tcPr>
            <w:tcW w:w="720" w:type="dxa"/>
            <w:vAlign w:val="bottom"/>
          </w:tcPr>
          <w:p w14:paraId="0AD9B67A"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55.13</w:t>
            </w:r>
          </w:p>
        </w:tc>
        <w:tc>
          <w:tcPr>
            <w:tcW w:w="774" w:type="dxa"/>
            <w:vAlign w:val="bottom"/>
          </w:tcPr>
          <w:p w14:paraId="5D3A1BA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171.54</w:t>
            </w:r>
          </w:p>
        </w:tc>
      </w:tr>
      <w:tr w:rsidR="001C0B42" w:rsidRPr="003E4580" w14:paraId="29148648" w14:textId="77777777" w:rsidTr="00735D96">
        <w:trPr>
          <w:trHeight w:hRule="exact" w:val="284"/>
          <w:jc w:val="center"/>
        </w:trPr>
        <w:tc>
          <w:tcPr>
            <w:tcW w:w="622" w:type="dxa"/>
          </w:tcPr>
          <w:p w14:paraId="6D92C14F"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2056</w:t>
            </w:r>
          </w:p>
        </w:tc>
        <w:tc>
          <w:tcPr>
            <w:tcW w:w="624" w:type="dxa"/>
            <w:vAlign w:val="bottom"/>
          </w:tcPr>
          <w:p w14:paraId="0EA6C049"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1.91</w:t>
            </w:r>
          </w:p>
        </w:tc>
        <w:tc>
          <w:tcPr>
            <w:tcW w:w="720" w:type="dxa"/>
            <w:vAlign w:val="bottom"/>
          </w:tcPr>
          <w:p w14:paraId="2E2B674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52.62</w:t>
            </w:r>
          </w:p>
        </w:tc>
        <w:tc>
          <w:tcPr>
            <w:tcW w:w="774" w:type="dxa"/>
            <w:vAlign w:val="bottom"/>
          </w:tcPr>
          <w:p w14:paraId="5226799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163.73</w:t>
            </w:r>
          </w:p>
        </w:tc>
      </w:tr>
      <w:tr w:rsidR="001C0B42" w:rsidRPr="003E4580" w14:paraId="623A907D" w14:textId="77777777" w:rsidTr="00735D96">
        <w:trPr>
          <w:trHeight w:hRule="exact" w:val="284"/>
          <w:jc w:val="center"/>
        </w:trPr>
        <w:tc>
          <w:tcPr>
            <w:tcW w:w="622" w:type="dxa"/>
          </w:tcPr>
          <w:p w14:paraId="13703081"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2057</w:t>
            </w:r>
          </w:p>
        </w:tc>
        <w:tc>
          <w:tcPr>
            <w:tcW w:w="624" w:type="dxa"/>
            <w:vAlign w:val="bottom"/>
          </w:tcPr>
          <w:p w14:paraId="79498FA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1.82</w:t>
            </w:r>
          </w:p>
        </w:tc>
        <w:tc>
          <w:tcPr>
            <w:tcW w:w="720" w:type="dxa"/>
            <w:vAlign w:val="bottom"/>
          </w:tcPr>
          <w:p w14:paraId="1619ED64"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49.99</w:t>
            </w:r>
          </w:p>
        </w:tc>
        <w:tc>
          <w:tcPr>
            <w:tcW w:w="774" w:type="dxa"/>
            <w:vAlign w:val="bottom"/>
          </w:tcPr>
          <w:p w14:paraId="7BB4CD72"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155.55</w:t>
            </w:r>
          </w:p>
        </w:tc>
      </w:tr>
      <w:tr w:rsidR="001C0B42" w:rsidRPr="003E4580" w14:paraId="4AAA551F" w14:textId="77777777" w:rsidTr="00735D96">
        <w:trPr>
          <w:trHeight w:hRule="exact" w:val="284"/>
          <w:jc w:val="center"/>
        </w:trPr>
        <w:tc>
          <w:tcPr>
            <w:tcW w:w="622" w:type="dxa"/>
          </w:tcPr>
          <w:p w14:paraId="7BC5F1D5"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2058</w:t>
            </w:r>
          </w:p>
        </w:tc>
        <w:tc>
          <w:tcPr>
            <w:tcW w:w="624" w:type="dxa"/>
            <w:vAlign w:val="bottom"/>
          </w:tcPr>
          <w:p w14:paraId="0BF8E358"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1.72</w:t>
            </w:r>
          </w:p>
        </w:tc>
        <w:tc>
          <w:tcPr>
            <w:tcW w:w="720" w:type="dxa"/>
            <w:vAlign w:val="bottom"/>
          </w:tcPr>
          <w:p w14:paraId="66366229"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47.24</w:t>
            </w:r>
          </w:p>
        </w:tc>
        <w:tc>
          <w:tcPr>
            <w:tcW w:w="774" w:type="dxa"/>
            <w:vAlign w:val="bottom"/>
          </w:tcPr>
          <w:p w14:paraId="4F60ABC4"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146.99</w:t>
            </w:r>
          </w:p>
        </w:tc>
      </w:tr>
    </w:tbl>
    <w:p w14:paraId="7C35E05B" w14:textId="4E8BFBF3" w:rsidR="00ED009B" w:rsidRPr="003E4580" w:rsidRDefault="00ED009B" w:rsidP="00ED009B">
      <w:pPr>
        <w:pStyle w:val="ListParagraph"/>
        <w:numPr>
          <w:ilvl w:val="0"/>
          <w:numId w:val="21"/>
        </w:numPr>
        <w:rPr>
          <w:rFonts w:asciiTheme="minorHAnsi" w:hAnsiTheme="minorHAnsi" w:cstheme="minorHAnsi"/>
          <w:sz w:val="20"/>
          <w:szCs w:val="20"/>
        </w:rPr>
        <w:sectPr w:rsidR="00ED009B" w:rsidRPr="003E4580" w:rsidSect="001C0B42">
          <w:pgSz w:w="11906" w:h="16838" w:code="9"/>
          <w:pgMar w:top="1021" w:right="1021" w:bottom="1021" w:left="1021" w:header="510" w:footer="567" w:gutter="0"/>
          <w:cols w:space="708"/>
          <w:docGrid w:linePitch="360"/>
        </w:sectPr>
      </w:pPr>
      <w:r w:rsidRPr="003E4580">
        <w:rPr>
          <w:rFonts w:asciiTheme="minorHAnsi" w:hAnsiTheme="minorHAnsi" w:cstheme="minorHAnsi"/>
          <w:sz w:val="20"/>
          <w:szCs w:val="20"/>
        </w:rPr>
        <w:t>From demographic information provided by MUARC (MUARC, 2019) and the totals established in step 9, the typical age of a sensitive fatality was used to determine the cost to society due to loss of life according to the Willingness to Pay (WTP) method. The typical cost of a serious and minor injury was established using methods outlined in BITRE Report 102.</w:t>
      </w:r>
    </w:p>
    <w:p w14:paraId="07A34515" w14:textId="05383F4D" w:rsidR="00ED009B" w:rsidRPr="003E4580" w:rsidRDefault="00ED009B" w:rsidP="00ED009B">
      <w:pPr>
        <w:pStyle w:val="ListParagraph"/>
        <w:numPr>
          <w:ilvl w:val="0"/>
          <w:numId w:val="21"/>
        </w:numPr>
        <w:rPr>
          <w:rFonts w:asciiTheme="minorHAnsi" w:hAnsiTheme="minorHAnsi" w:cstheme="minorHAnsi"/>
          <w:sz w:val="20"/>
          <w:szCs w:val="20"/>
        </w:rPr>
      </w:pPr>
      <w:r w:rsidRPr="003E4580">
        <w:rPr>
          <w:rFonts w:asciiTheme="minorHAnsi" w:hAnsiTheme="minorHAnsi" w:cstheme="minorHAnsi"/>
          <w:sz w:val="20"/>
          <w:szCs w:val="20"/>
        </w:rPr>
        <w:lastRenderedPageBreak/>
        <w:t>Summary plot for Option 2 by year:</w:t>
      </w:r>
    </w:p>
    <w:p w14:paraId="59E10F37" w14:textId="50FC7B62" w:rsidR="00ED009B" w:rsidRPr="003E4580" w:rsidRDefault="00ED009B" w:rsidP="00FE2D46">
      <w:pPr>
        <w:jc w:val="center"/>
        <w:rPr>
          <w:rFonts w:cstheme="minorHAnsi"/>
        </w:rPr>
      </w:pPr>
      <w:bookmarkStart w:id="87" w:name="_GoBack"/>
      <w:r w:rsidRPr="003E4580">
        <w:rPr>
          <w:rFonts w:cstheme="minorHAnsi"/>
          <w:noProof/>
          <w:lang w:eastAsia="en-AU"/>
        </w:rPr>
        <w:drawing>
          <wp:inline distT="0" distB="0" distL="0" distR="0" wp14:anchorId="4180381B" wp14:editId="4BE1C373">
            <wp:extent cx="3908323" cy="2289927"/>
            <wp:effectExtent l="0" t="0" r="0" b="0"/>
            <wp:docPr id="21" name="Picture 21" descr="Summary plot for Option 2 by year showing Benefit, cost and benefit-cost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16019" cy="2294436"/>
                    </a:xfrm>
                    <a:prstGeom prst="rect">
                      <a:avLst/>
                    </a:prstGeom>
                    <a:noFill/>
                  </pic:spPr>
                </pic:pic>
              </a:graphicData>
            </a:graphic>
          </wp:inline>
        </w:drawing>
      </w:r>
      <w:bookmarkEnd w:id="87"/>
    </w:p>
    <w:p w14:paraId="03C3047B" w14:textId="77777777" w:rsidR="00ED009B" w:rsidRPr="003E4580" w:rsidRDefault="00ED009B" w:rsidP="00B04B1E"/>
    <w:p w14:paraId="28F441E7" w14:textId="77777777" w:rsidR="00CB0804" w:rsidRPr="003E4580" w:rsidRDefault="00CB0804">
      <w:pPr>
        <w:sectPr w:rsidR="00CB0804" w:rsidRPr="003E4580" w:rsidSect="001C0B42">
          <w:pgSz w:w="11906" w:h="16838" w:code="9"/>
          <w:pgMar w:top="1021" w:right="1021" w:bottom="1021" w:left="1021" w:header="510" w:footer="567" w:gutter="0"/>
          <w:cols w:space="708"/>
          <w:docGrid w:linePitch="360"/>
        </w:sectPr>
      </w:pPr>
    </w:p>
    <w:p w14:paraId="3FA9B87C" w14:textId="77777777" w:rsidR="008A23AD" w:rsidRPr="003E4580" w:rsidRDefault="00762DE0" w:rsidP="008A23AD">
      <w:pPr>
        <w:pStyle w:val="AppendixHeading1"/>
      </w:pPr>
      <w:bookmarkStart w:id="88" w:name="_Toc146894906"/>
      <w:r w:rsidRPr="003E4580">
        <w:lastRenderedPageBreak/>
        <w:t>Acronyms and abbreviations</w:t>
      </w:r>
      <w:bookmarkEnd w:id="88"/>
    </w:p>
    <w:p w14:paraId="6D174E9A" w14:textId="77777777" w:rsidR="00FD318B" w:rsidRPr="003E4580" w:rsidRDefault="00FD318B" w:rsidP="000B46D4">
      <w:pPr>
        <w:pStyle w:val="Glossarylist"/>
        <w:rPr>
          <w:rFonts w:asciiTheme="minorHAnsi" w:hAnsiTheme="minorHAnsi" w:cstheme="minorHAnsi"/>
          <w:sz w:val="20"/>
          <w:szCs w:val="20"/>
        </w:rPr>
      </w:pPr>
      <w:r w:rsidRPr="003E4580">
        <w:rPr>
          <w:rFonts w:asciiTheme="minorHAnsi" w:hAnsiTheme="minorHAnsi" w:cstheme="minorHAnsi"/>
          <w:sz w:val="20"/>
          <w:szCs w:val="20"/>
        </w:rPr>
        <w:t>ABS</w:t>
      </w:r>
      <w:r w:rsidRPr="003E4580">
        <w:rPr>
          <w:rFonts w:asciiTheme="minorHAnsi" w:hAnsiTheme="minorHAnsi" w:cstheme="minorHAnsi"/>
          <w:sz w:val="20"/>
          <w:szCs w:val="20"/>
        </w:rPr>
        <w:tab/>
        <w:t>Antilock Brake System</w:t>
      </w:r>
    </w:p>
    <w:p w14:paraId="322F56D1" w14:textId="77777777" w:rsidR="00FD318B" w:rsidRPr="003E4580" w:rsidRDefault="00FD318B" w:rsidP="00A9793F">
      <w:pPr>
        <w:pStyle w:val="Glossarylist"/>
        <w:rPr>
          <w:rFonts w:asciiTheme="minorHAnsi" w:hAnsiTheme="minorHAnsi" w:cstheme="minorHAnsi"/>
          <w:sz w:val="20"/>
          <w:szCs w:val="20"/>
        </w:rPr>
      </w:pPr>
      <w:r w:rsidRPr="003E4580">
        <w:rPr>
          <w:rFonts w:asciiTheme="minorHAnsi" w:hAnsiTheme="minorHAnsi" w:cstheme="minorHAnsi"/>
          <w:sz w:val="20"/>
          <w:szCs w:val="20"/>
        </w:rPr>
        <w:t>AEB/AEBS</w:t>
      </w:r>
      <w:r w:rsidRPr="003E4580">
        <w:rPr>
          <w:rFonts w:asciiTheme="minorHAnsi" w:hAnsiTheme="minorHAnsi" w:cstheme="minorHAnsi"/>
          <w:sz w:val="20"/>
          <w:szCs w:val="20"/>
        </w:rPr>
        <w:tab/>
        <w:t>Autonomous (Advanced) Emergency Braking (System)</w:t>
      </w:r>
    </w:p>
    <w:p w14:paraId="5D2266EB" w14:textId="77777777" w:rsidR="00C766D1" w:rsidRPr="003E4580" w:rsidRDefault="00C766D1" w:rsidP="007B6EB1">
      <w:pPr>
        <w:pStyle w:val="Glossarylist"/>
        <w:rPr>
          <w:rFonts w:asciiTheme="minorHAnsi" w:hAnsiTheme="minorHAnsi" w:cstheme="minorHAnsi"/>
          <w:sz w:val="20"/>
          <w:szCs w:val="20"/>
        </w:rPr>
      </w:pPr>
      <w:r w:rsidRPr="003E4580">
        <w:rPr>
          <w:rFonts w:asciiTheme="minorHAnsi" w:hAnsiTheme="minorHAnsi" w:cstheme="minorHAnsi"/>
          <w:sz w:val="20"/>
          <w:szCs w:val="20"/>
        </w:rPr>
        <w:t>ADAS</w:t>
      </w:r>
      <w:r w:rsidRPr="003E4580">
        <w:rPr>
          <w:rFonts w:asciiTheme="minorHAnsi" w:hAnsiTheme="minorHAnsi" w:cstheme="minorHAnsi"/>
          <w:sz w:val="20"/>
          <w:szCs w:val="20"/>
        </w:rPr>
        <w:tab/>
        <w:t>Advanced Driver Assistance Systems</w:t>
      </w:r>
    </w:p>
    <w:p w14:paraId="0BD31ACB" w14:textId="77777777" w:rsidR="00FD318B" w:rsidRPr="003E4580" w:rsidRDefault="00FD318B" w:rsidP="007B6EB1">
      <w:pPr>
        <w:pStyle w:val="Glossarylist"/>
        <w:rPr>
          <w:rFonts w:asciiTheme="minorHAnsi" w:hAnsiTheme="minorHAnsi" w:cstheme="minorHAnsi"/>
          <w:sz w:val="20"/>
          <w:szCs w:val="20"/>
        </w:rPr>
      </w:pPr>
      <w:r w:rsidRPr="003E4580">
        <w:rPr>
          <w:rFonts w:asciiTheme="minorHAnsi" w:hAnsiTheme="minorHAnsi" w:cstheme="minorHAnsi"/>
          <w:sz w:val="20"/>
          <w:szCs w:val="20"/>
        </w:rPr>
        <w:t>ADR</w:t>
      </w:r>
      <w:r w:rsidRPr="003E4580">
        <w:rPr>
          <w:rFonts w:asciiTheme="minorHAnsi" w:hAnsiTheme="minorHAnsi" w:cstheme="minorHAnsi"/>
          <w:sz w:val="20"/>
          <w:szCs w:val="20"/>
        </w:rPr>
        <w:tab/>
        <w:t>Australian Design Rule</w:t>
      </w:r>
    </w:p>
    <w:p w14:paraId="3CB793EB" w14:textId="77777777" w:rsidR="00FD318B" w:rsidRPr="003E4580" w:rsidRDefault="00FD318B" w:rsidP="006E37EF">
      <w:pPr>
        <w:pStyle w:val="Glossarylist"/>
        <w:rPr>
          <w:rFonts w:asciiTheme="minorHAnsi" w:hAnsiTheme="minorHAnsi" w:cstheme="minorHAnsi"/>
          <w:sz w:val="20"/>
          <w:szCs w:val="20"/>
        </w:rPr>
      </w:pPr>
      <w:r w:rsidRPr="003E4580">
        <w:rPr>
          <w:rFonts w:asciiTheme="minorHAnsi" w:hAnsiTheme="minorHAnsi" w:cstheme="minorHAnsi"/>
          <w:sz w:val="20"/>
          <w:szCs w:val="20"/>
        </w:rPr>
        <w:t>ALRTA</w:t>
      </w:r>
      <w:r w:rsidRPr="003E4580">
        <w:rPr>
          <w:rFonts w:asciiTheme="minorHAnsi" w:hAnsiTheme="minorHAnsi" w:cstheme="minorHAnsi"/>
          <w:sz w:val="20"/>
          <w:szCs w:val="20"/>
        </w:rPr>
        <w:tab/>
        <w:t>Australian Livestock and Rural Transporters Association</w:t>
      </w:r>
    </w:p>
    <w:p w14:paraId="69B284B9" w14:textId="77777777" w:rsidR="00FD318B" w:rsidRPr="003E4580" w:rsidRDefault="00FD318B" w:rsidP="006E37EF">
      <w:pPr>
        <w:pStyle w:val="Glossarylist"/>
        <w:rPr>
          <w:rFonts w:asciiTheme="minorHAnsi" w:hAnsiTheme="minorHAnsi" w:cstheme="minorHAnsi"/>
          <w:sz w:val="20"/>
          <w:szCs w:val="20"/>
        </w:rPr>
      </w:pPr>
      <w:r w:rsidRPr="003E4580">
        <w:rPr>
          <w:rFonts w:asciiTheme="minorHAnsi" w:hAnsiTheme="minorHAnsi" w:cstheme="minorHAnsi"/>
          <w:sz w:val="20"/>
          <w:szCs w:val="20"/>
        </w:rPr>
        <w:t>ARTSA</w:t>
      </w:r>
      <w:r w:rsidRPr="003E4580">
        <w:rPr>
          <w:rFonts w:asciiTheme="minorHAnsi" w:hAnsiTheme="minorHAnsi" w:cstheme="minorHAnsi"/>
          <w:sz w:val="20"/>
          <w:szCs w:val="20"/>
        </w:rPr>
        <w:tab/>
        <w:t>Australian Road Transport Suppliers Association</w:t>
      </w:r>
    </w:p>
    <w:p w14:paraId="009A8BB2" w14:textId="77777777" w:rsidR="00FD318B" w:rsidRPr="003E4580" w:rsidRDefault="00FD318B" w:rsidP="001A7411">
      <w:pPr>
        <w:pStyle w:val="Glossarylist"/>
        <w:rPr>
          <w:rFonts w:asciiTheme="minorHAnsi" w:hAnsiTheme="minorHAnsi" w:cstheme="minorHAnsi"/>
          <w:sz w:val="20"/>
          <w:szCs w:val="20"/>
        </w:rPr>
      </w:pPr>
      <w:r w:rsidRPr="003E4580">
        <w:rPr>
          <w:rFonts w:asciiTheme="minorHAnsi" w:hAnsiTheme="minorHAnsi" w:cstheme="minorHAnsi"/>
          <w:sz w:val="20"/>
          <w:szCs w:val="20"/>
        </w:rPr>
        <w:t>BAU</w:t>
      </w:r>
      <w:r w:rsidRPr="003E4580">
        <w:rPr>
          <w:rFonts w:asciiTheme="minorHAnsi" w:hAnsiTheme="minorHAnsi" w:cstheme="minorHAnsi"/>
          <w:sz w:val="20"/>
          <w:szCs w:val="20"/>
        </w:rPr>
        <w:tab/>
        <w:t>Business as Usual</w:t>
      </w:r>
    </w:p>
    <w:p w14:paraId="43EDE103" w14:textId="77777777" w:rsidR="00FD318B" w:rsidRPr="003E4580" w:rsidRDefault="00FD318B" w:rsidP="001A7411">
      <w:pPr>
        <w:pStyle w:val="Glossarylist"/>
        <w:rPr>
          <w:rFonts w:asciiTheme="minorHAnsi" w:hAnsiTheme="minorHAnsi" w:cstheme="minorHAnsi"/>
          <w:sz w:val="20"/>
          <w:szCs w:val="20"/>
        </w:rPr>
      </w:pPr>
      <w:r w:rsidRPr="003E4580">
        <w:rPr>
          <w:rFonts w:asciiTheme="minorHAnsi" w:hAnsiTheme="minorHAnsi" w:cstheme="minorHAnsi"/>
          <w:sz w:val="20"/>
          <w:szCs w:val="20"/>
        </w:rPr>
        <w:t>BCR</w:t>
      </w:r>
      <w:r w:rsidRPr="003E4580">
        <w:rPr>
          <w:rFonts w:asciiTheme="minorHAnsi" w:hAnsiTheme="minorHAnsi" w:cstheme="minorHAnsi"/>
          <w:sz w:val="20"/>
          <w:szCs w:val="20"/>
        </w:rPr>
        <w:tab/>
        <w:t>Benefit-Cost Ratio</w:t>
      </w:r>
    </w:p>
    <w:p w14:paraId="17DE1685" w14:textId="77777777" w:rsidR="00FD318B" w:rsidRPr="003E4580" w:rsidRDefault="00FD318B" w:rsidP="001A7411">
      <w:pPr>
        <w:pStyle w:val="Glossarylist"/>
        <w:rPr>
          <w:rFonts w:asciiTheme="minorHAnsi" w:hAnsiTheme="minorHAnsi" w:cstheme="minorHAnsi"/>
          <w:sz w:val="20"/>
          <w:szCs w:val="20"/>
        </w:rPr>
      </w:pPr>
      <w:r w:rsidRPr="003E4580">
        <w:rPr>
          <w:rFonts w:asciiTheme="minorHAnsi" w:hAnsiTheme="minorHAnsi" w:cstheme="minorHAnsi"/>
          <w:sz w:val="20"/>
          <w:szCs w:val="20"/>
        </w:rPr>
        <w:t>BIC</w:t>
      </w:r>
      <w:r w:rsidRPr="003E4580">
        <w:rPr>
          <w:rFonts w:asciiTheme="minorHAnsi" w:hAnsiTheme="minorHAnsi" w:cstheme="minorHAnsi"/>
          <w:sz w:val="20"/>
          <w:szCs w:val="20"/>
        </w:rPr>
        <w:tab/>
        <w:t>Bus Industry Confederation</w:t>
      </w:r>
    </w:p>
    <w:p w14:paraId="3E12B6DF" w14:textId="77777777" w:rsidR="00FD318B" w:rsidRPr="003E4580" w:rsidRDefault="00FD318B" w:rsidP="00BF05E5">
      <w:pPr>
        <w:pStyle w:val="Glossarylist"/>
        <w:rPr>
          <w:rFonts w:asciiTheme="minorHAnsi" w:hAnsiTheme="minorHAnsi" w:cstheme="minorHAnsi"/>
          <w:sz w:val="20"/>
          <w:szCs w:val="20"/>
        </w:rPr>
      </w:pPr>
      <w:r w:rsidRPr="003E4580">
        <w:rPr>
          <w:rFonts w:asciiTheme="minorHAnsi" w:hAnsiTheme="minorHAnsi" w:cstheme="minorHAnsi"/>
          <w:sz w:val="20"/>
          <w:szCs w:val="20"/>
        </w:rPr>
        <w:t>BITRE</w:t>
      </w:r>
      <w:r w:rsidRPr="003E4580">
        <w:rPr>
          <w:rFonts w:asciiTheme="minorHAnsi" w:hAnsiTheme="minorHAnsi" w:cstheme="minorHAnsi"/>
          <w:sz w:val="20"/>
          <w:szCs w:val="20"/>
        </w:rPr>
        <w:tab/>
        <w:t>Bureau of Infrastructure, Transport and Regional Economics</w:t>
      </w:r>
    </w:p>
    <w:p w14:paraId="6EFE5895" w14:textId="77777777" w:rsidR="00B410E5" w:rsidRPr="003E4580" w:rsidRDefault="00B410E5" w:rsidP="00BF05E5">
      <w:pPr>
        <w:pStyle w:val="Glossarylist"/>
        <w:rPr>
          <w:rFonts w:asciiTheme="minorHAnsi" w:hAnsiTheme="minorHAnsi" w:cstheme="minorHAnsi"/>
          <w:sz w:val="20"/>
          <w:szCs w:val="20"/>
        </w:rPr>
      </w:pPr>
      <w:r w:rsidRPr="003E4580">
        <w:rPr>
          <w:rFonts w:asciiTheme="minorHAnsi" w:hAnsiTheme="minorHAnsi" w:cstheme="minorHAnsi"/>
          <w:sz w:val="20"/>
          <w:szCs w:val="20"/>
        </w:rPr>
        <w:t>BSW</w:t>
      </w:r>
      <w:r w:rsidRPr="003E4580">
        <w:rPr>
          <w:rFonts w:asciiTheme="minorHAnsi" w:hAnsiTheme="minorHAnsi" w:cstheme="minorHAnsi"/>
          <w:sz w:val="20"/>
          <w:szCs w:val="20"/>
        </w:rPr>
        <w:tab/>
        <w:t>Blind Spot Warning</w:t>
      </w:r>
    </w:p>
    <w:p w14:paraId="2E994896" w14:textId="77777777" w:rsidR="00FD318B" w:rsidRPr="003E4580" w:rsidRDefault="00FD318B" w:rsidP="00BF05E5">
      <w:pPr>
        <w:pStyle w:val="Glossarylist"/>
        <w:rPr>
          <w:rFonts w:asciiTheme="minorHAnsi" w:hAnsiTheme="minorHAnsi" w:cstheme="minorHAnsi"/>
          <w:sz w:val="20"/>
          <w:szCs w:val="20"/>
        </w:rPr>
      </w:pPr>
      <w:r w:rsidRPr="003E4580">
        <w:rPr>
          <w:rFonts w:asciiTheme="minorHAnsi" w:hAnsiTheme="minorHAnsi" w:cstheme="minorHAnsi"/>
          <w:sz w:val="20"/>
          <w:szCs w:val="20"/>
        </w:rPr>
        <w:t>BTE</w:t>
      </w:r>
      <w:r w:rsidRPr="003E4580">
        <w:rPr>
          <w:rFonts w:asciiTheme="minorHAnsi" w:hAnsiTheme="minorHAnsi" w:cstheme="minorHAnsi"/>
          <w:sz w:val="20"/>
          <w:szCs w:val="20"/>
        </w:rPr>
        <w:tab/>
        <w:t>Bureau of Transport Economics (now BITRE)</w:t>
      </w:r>
    </w:p>
    <w:p w14:paraId="49827117" w14:textId="77777777" w:rsidR="00FD318B" w:rsidRPr="003E4580" w:rsidRDefault="00FD318B" w:rsidP="00FD17AC">
      <w:pPr>
        <w:pStyle w:val="Glossarylist"/>
        <w:rPr>
          <w:rFonts w:asciiTheme="minorHAnsi" w:hAnsiTheme="minorHAnsi" w:cstheme="minorHAnsi"/>
          <w:sz w:val="20"/>
          <w:szCs w:val="20"/>
        </w:rPr>
      </w:pPr>
      <w:r w:rsidRPr="003E4580">
        <w:rPr>
          <w:rFonts w:asciiTheme="minorHAnsi" w:hAnsiTheme="minorHAnsi" w:cstheme="minorHAnsi"/>
          <w:sz w:val="20"/>
          <w:szCs w:val="20"/>
        </w:rPr>
        <w:t>CCA</w:t>
      </w:r>
      <w:r w:rsidRPr="003E4580">
        <w:rPr>
          <w:rFonts w:asciiTheme="minorHAnsi" w:hAnsiTheme="minorHAnsi" w:cstheme="minorHAnsi"/>
          <w:sz w:val="20"/>
          <w:szCs w:val="20"/>
        </w:rPr>
        <w:tab/>
        <w:t>Competition and Consumer Act 2010</w:t>
      </w:r>
    </w:p>
    <w:p w14:paraId="2C396DF3" w14:textId="77777777" w:rsidR="00FD318B" w:rsidRPr="003E4580" w:rsidRDefault="00FD318B" w:rsidP="00FD17AC">
      <w:pPr>
        <w:pStyle w:val="Glossarylist"/>
        <w:rPr>
          <w:rFonts w:asciiTheme="minorHAnsi" w:hAnsiTheme="minorHAnsi" w:cstheme="minorHAnsi"/>
          <w:sz w:val="20"/>
          <w:szCs w:val="20"/>
        </w:rPr>
      </w:pPr>
      <w:r w:rsidRPr="003E4580">
        <w:rPr>
          <w:rFonts w:asciiTheme="minorHAnsi" w:hAnsiTheme="minorHAnsi" w:cstheme="minorHAnsi"/>
          <w:sz w:val="20"/>
          <w:szCs w:val="20"/>
        </w:rPr>
        <w:t>CEO</w:t>
      </w:r>
      <w:r w:rsidRPr="003E4580">
        <w:rPr>
          <w:rFonts w:asciiTheme="minorHAnsi" w:hAnsiTheme="minorHAnsi" w:cstheme="minorHAnsi"/>
          <w:sz w:val="20"/>
          <w:szCs w:val="20"/>
        </w:rPr>
        <w:tab/>
        <w:t>Chief Executive Officer</w:t>
      </w:r>
    </w:p>
    <w:p w14:paraId="323BE104" w14:textId="77777777" w:rsidR="00FD318B" w:rsidRPr="003E4580" w:rsidRDefault="00FD318B" w:rsidP="00FD17AC">
      <w:pPr>
        <w:pStyle w:val="Glossarylist"/>
        <w:rPr>
          <w:rFonts w:asciiTheme="minorHAnsi" w:hAnsiTheme="minorHAnsi" w:cstheme="minorHAnsi"/>
          <w:sz w:val="20"/>
          <w:szCs w:val="20"/>
        </w:rPr>
      </w:pPr>
      <w:r w:rsidRPr="003E4580">
        <w:rPr>
          <w:rFonts w:asciiTheme="minorHAnsi" w:hAnsiTheme="minorHAnsi" w:cstheme="minorHAnsi"/>
          <w:sz w:val="20"/>
          <w:szCs w:val="20"/>
        </w:rPr>
        <w:t>C’th</w:t>
      </w:r>
      <w:r w:rsidRPr="003E4580">
        <w:rPr>
          <w:rFonts w:asciiTheme="minorHAnsi" w:hAnsiTheme="minorHAnsi" w:cstheme="minorHAnsi"/>
          <w:sz w:val="20"/>
          <w:szCs w:val="20"/>
        </w:rPr>
        <w:tab/>
        <w:t>Commonwealth</w:t>
      </w:r>
    </w:p>
    <w:p w14:paraId="3E3412D9" w14:textId="77777777" w:rsidR="00FD318B" w:rsidRPr="003E4580" w:rsidRDefault="00FD318B" w:rsidP="00FD17AC">
      <w:pPr>
        <w:pStyle w:val="Glossarylist"/>
        <w:rPr>
          <w:rFonts w:asciiTheme="minorHAnsi" w:hAnsiTheme="minorHAnsi" w:cstheme="minorHAnsi"/>
          <w:sz w:val="20"/>
          <w:szCs w:val="20"/>
        </w:rPr>
      </w:pPr>
      <w:r w:rsidRPr="003E4580">
        <w:rPr>
          <w:rFonts w:asciiTheme="minorHAnsi" w:hAnsiTheme="minorHAnsi" w:cstheme="minorHAnsi"/>
          <w:sz w:val="20"/>
          <w:szCs w:val="20"/>
        </w:rPr>
        <w:t>CVIAA</w:t>
      </w:r>
      <w:r w:rsidRPr="003E4580">
        <w:rPr>
          <w:rFonts w:asciiTheme="minorHAnsi" w:hAnsiTheme="minorHAnsi" w:cstheme="minorHAnsi"/>
          <w:sz w:val="20"/>
          <w:szCs w:val="20"/>
        </w:rPr>
        <w:tab/>
        <w:t>Commercial Vehicle Industry Association Australia</w:t>
      </w:r>
    </w:p>
    <w:p w14:paraId="6EC3D1BE" w14:textId="77777777" w:rsidR="00FD318B" w:rsidRPr="003E4580" w:rsidRDefault="00FD318B" w:rsidP="00FD17AC">
      <w:pPr>
        <w:pStyle w:val="Glossarylist"/>
        <w:rPr>
          <w:rFonts w:asciiTheme="minorHAnsi" w:hAnsiTheme="minorHAnsi" w:cstheme="minorHAnsi"/>
          <w:sz w:val="20"/>
          <w:szCs w:val="20"/>
        </w:rPr>
      </w:pPr>
      <w:r w:rsidRPr="003E4580">
        <w:rPr>
          <w:rFonts w:asciiTheme="minorHAnsi" w:hAnsiTheme="minorHAnsi" w:cstheme="minorHAnsi"/>
          <w:sz w:val="20"/>
          <w:szCs w:val="20"/>
        </w:rPr>
        <w:t>EPA</w:t>
      </w:r>
      <w:r w:rsidRPr="003E4580">
        <w:rPr>
          <w:rFonts w:asciiTheme="minorHAnsi" w:hAnsiTheme="minorHAnsi" w:cstheme="minorHAnsi"/>
          <w:sz w:val="20"/>
          <w:szCs w:val="20"/>
        </w:rPr>
        <w:tab/>
        <w:t>Environment Protection Authority</w:t>
      </w:r>
    </w:p>
    <w:p w14:paraId="695247BA" w14:textId="77777777" w:rsidR="00FD318B" w:rsidRPr="003E4580" w:rsidRDefault="00FD318B" w:rsidP="00FD17AC">
      <w:pPr>
        <w:pStyle w:val="Glossarylist"/>
        <w:rPr>
          <w:rFonts w:asciiTheme="minorHAnsi" w:hAnsiTheme="minorHAnsi" w:cstheme="minorHAnsi"/>
          <w:sz w:val="20"/>
          <w:szCs w:val="20"/>
        </w:rPr>
      </w:pPr>
      <w:r w:rsidRPr="003E4580">
        <w:rPr>
          <w:rFonts w:asciiTheme="minorHAnsi" w:hAnsiTheme="minorHAnsi" w:cstheme="minorHAnsi"/>
          <w:sz w:val="20"/>
          <w:szCs w:val="20"/>
        </w:rPr>
        <w:t>ESC</w:t>
      </w:r>
      <w:r w:rsidRPr="003E4580">
        <w:rPr>
          <w:rFonts w:asciiTheme="minorHAnsi" w:hAnsiTheme="minorHAnsi" w:cstheme="minorHAnsi"/>
          <w:sz w:val="20"/>
          <w:szCs w:val="20"/>
        </w:rPr>
        <w:tab/>
        <w:t>Electronic Stability Control</w:t>
      </w:r>
    </w:p>
    <w:p w14:paraId="1496A561" w14:textId="77777777" w:rsidR="005E2E77" w:rsidRPr="003E4580" w:rsidRDefault="005E2E77" w:rsidP="00FD17AC">
      <w:pPr>
        <w:pStyle w:val="Glossarylist"/>
        <w:rPr>
          <w:rFonts w:asciiTheme="minorHAnsi" w:hAnsiTheme="minorHAnsi" w:cstheme="minorHAnsi"/>
          <w:sz w:val="20"/>
          <w:szCs w:val="20"/>
        </w:rPr>
      </w:pPr>
      <w:r w:rsidRPr="003E4580">
        <w:rPr>
          <w:rFonts w:asciiTheme="minorHAnsi" w:hAnsiTheme="minorHAnsi" w:cstheme="minorHAnsi"/>
          <w:sz w:val="20"/>
          <w:szCs w:val="20"/>
        </w:rPr>
        <w:t>EU GSR</w:t>
      </w:r>
      <w:r w:rsidRPr="003E4580">
        <w:rPr>
          <w:rFonts w:asciiTheme="minorHAnsi" w:hAnsiTheme="minorHAnsi" w:cstheme="minorHAnsi"/>
          <w:sz w:val="20"/>
          <w:szCs w:val="20"/>
        </w:rPr>
        <w:tab/>
        <w:t>European Union General Safety Regulation</w:t>
      </w:r>
    </w:p>
    <w:p w14:paraId="725348E9" w14:textId="77777777" w:rsidR="00B410E5" w:rsidRPr="003E4580" w:rsidRDefault="00B410E5" w:rsidP="00FD17AC">
      <w:pPr>
        <w:pStyle w:val="Glossarylist"/>
        <w:rPr>
          <w:rFonts w:asciiTheme="minorHAnsi" w:hAnsiTheme="minorHAnsi" w:cstheme="minorHAnsi"/>
          <w:sz w:val="20"/>
          <w:szCs w:val="20"/>
        </w:rPr>
      </w:pPr>
      <w:r w:rsidRPr="003E4580">
        <w:rPr>
          <w:rFonts w:asciiTheme="minorHAnsi" w:hAnsiTheme="minorHAnsi" w:cstheme="minorHAnsi"/>
          <w:sz w:val="20"/>
          <w:szCs w:val="20"/>
        </w:rPr>
        <w:t>FCW</w:t>
      </w:r>
      <w:r w:rsidRPr="003E4580">
        <w:rPr>
          <w:rFonts w:asciiTheme="minorHAnsi" w:hAnsiTheme="minorHAnsi" w:cstheme="minorHAnsi"/>
          <w:sz w:val="20"/>
          <w:szCs w:val="20"/>
        </w:rPr>
        <w:tab/>
        <w:t>Forward Collision Warning</w:t>
      </w:r>
    </w:p>
    <w:p w14:paraId="00210836" w14:textId="77777777" w:rsidR="00FD318B" w:rsidRPr="003E4580" w:rsidRDefault="00FD318B" w:rsidP="00FF46B0">
      <w:pPr>
        <w:pStyle w:val="Glossarylist"/>
        <w:rPr>
          <w:rFonts w:asciiTheme="minorHAnsi" w:hAnsiTheme="minorHAnsi" w:cstheme="minorHAnsi"/>
          <w:sz w:val="20"/>
          <w:szCs w:val="20"/>
        </w:rPr>
      </w:pPr>
      <w:r w:rsidRPr="003E4580">
        <w:rPr>
          <w:rFonts w:asciiTheme="minorHAnsi" w:hAnsiTheme="minorHAnsi" w:cstheme="minorHAnsi"/>
          <w:sz w:val="20"/>
          <w:szCs w:val="20"/>
        </w:rPr>
        <w:t>FMVSS</w:t>
      </w:r>
      <w:r w:rsidRPr="003E4580">
        <w:rPr>
          <w:rFonts w:asciiTheme="minorHAnsi" w:hAnsiTheme="minorHAnsi" w:cstheme="minorHAnsi"/>
          <w:sz w:val="20"/>
          <w:szCs w:val="20"/>
        </w:rPr>
        <w:tab/>
        <w:t>Federal Motor Vehicle Safety Standard</w:t>
      </w:r>
    </w:p>
    <w:p w14:paraId="0E44B2F2" w14:textId="77777777" w:rsidR="00FD318B" w:rsidRPr="003E4580" w:rsidRDefault="00FD318B" w:rsidP="00583199">
      <w:pPr>
        <w:pStyle w:val="Glossarylist"/>
        <w:rPr>
          <w:rFonts w:asciiTheme="minorHAnsi" w:hAnsiTheme="minorHAnsi" w:cstheme="minorHAnsi"/>
          <w:sz w:val="20"/>
          <w:szCs w:val="20"/>
        </w:rPr>
      </w:pPr>
      <w:r w:rsidRPr="003E4580">
        <w:rPr>
          <w:rFonts w:asciiTheme="minorHAnsi" w:hAnsiTheme="minorHAnsi" w:cstheme="minorHAnsi"/>
          <w:sz w:val="20"/>
          <w:szCs w:val="20"/>
        </w:rPr>
        <w:t>GVM</w:t>
      </w:r>
      <w:r w:rsidRPr="003E4580">
        <w:rPr>
          <w:rFonts w:asciiTheme="minorHAnsi" w:hAnsiTheme="minorHAnsi" w:cstheme="minorHAnsi"/>
          <w:sz w:val="20"/>
          <w:szCs w:val="20"/>
        </w:rPr>
        <w:tab/>
        <w:t>Gross Vehicle Mass</w:t>
      </w:r>
    </w:p>
    <w:p w14:paraId="7C91B1A6" w14:textId="77777777" w:rsidR="00A13FC1" w:rsidRPr="003E4580" w:rsidRDefault="00A13FC1" w:rsidP="00583199">
      <w:pPr>
        <w:pStyle w:val="Glossarylist"/>
        <w:rPr>
          <w:rFonts w:asciiTheme="minorHAnsi" w:hAnsiTheme="minorHAnsi" w:cstheme="minorHAnsi"/>
          <w:sz w:val="20"/>
          <w:szCs w:val="20"/>
        </w:rPr>
      </w:pPr>
      <w:r w:rsidRPr="003E4580">
        <w:rPr>
          <w:rFonts w:asciiTheme="minorHAnsi" w:hAnsiTheme="minorHAnsi" w:cstheme="minorHAnsi"/>
          <w:sz w:val="20"/>
          <w:szCs w:val="20"/>
        </w:rPr>
        <w:t>ISA</w:t>
      </w:r>
      <w:r w:rsidRPr="003E4580">
        <w:rPr>
          <w:rFonts w:asciiTheme="minorHAnsi" w:hAnsiTheme="minorHAnsi" w:cstheme="minorHAnsi"/>
          <w:sz w:val="20"/>
          <w:szCs w:val="20"/>
        </w:rPr>
        <w:tab/>
        <w:t>Intelligent Speed Assist</w:t>
      </w:r>
    </w:p>
    <w:p w14:paraId="4679A105" w14:textId="1E4AE637" w:rsidR="0098344D" w:rsidRPr="003E4580" w:rsidRDefault="0098344D" w:rsidP="00990E26">
      <w:pPr>
        <w:pStyle w:val="Glossarylist"/>
        <w:rPr>
          <w:rFonts w:asciiTheme="minorHAnsi" w:hAnsiTheme="minorHAnsi" w:cstheme="minorHAnsi"/>
          <w:sz w:val="20"/>
          <w:szCs w:val="20"/>
        </w:rPr>
      </w:pPr>
      <w:r w:rsidRPr="003E4580">
        <w:rPr>
          <w:rFonts w:asciiTheme="minorHAnsi" w:hAnsiTheme="minorHAnsi" w:cstheme="minorHAnsi"/>
          <w:sz w:val="20"/>
          <w:szCs w:val="20"/>
        </w:rPr>
        <w:t>ITMM</w:t>
      </w:r>
      <w:r w:rsidRPr="003E4580">
        <w:rPr>
          <w:rFonts w:asciiTheme="minorHAnsi" w:hAnsiTheme="minorHAnsi" w:cstheme="minorHAnsi"/>
          <w:sz w:val="20"/>
          <w:szCs w:val="20"/>
        </w:rPr>
        <w:tab/>
        <w:t>Infrastructure and Transport Ministers Meeting</w:t>
      </w:r>
    </w:p>
    <w:p w14:paraId="57776EA8" w14:textId="1A3AD9A1" w:rsidR="0098344D" w:rsidRPr="003E4580" w:rsidRDefault="0098344D"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ITSOC</w:t>
      </w:r>
      <w:r w:rsidRPr="003E4580">
        <w:rPr>
          <w:rFonts w:asciiTheme="minorHAnsi" w:hAnsiTheme="minorHAnsi" w:cstheme="minorHAnsi"/>
          <w:sz w:val="20"/>
          <w:szCs w:val="20"/>
        </w:rPr>
        <w:tab/>
        <w:t>Infrastructure and Transport Senior Officials’ Committee</w:t>
      </w:r>
    </w:p>
    <w:p w14:paraId="7C591D4D" w14:textId="6E1930F1"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LDWS</w:t>
      </w:r>
      <w:r w:rsidRPr="003E4580">
        <w:rPr>
          <w:rFonts w:asciiTheme="minorHAnsi" w:hAnsiTheme="minorHAnsi" w:cstheme="minorHAnsi"/>
          <w:sz w:val="20"/>
          <w:szCs w:val="20"/>
        </w:rPr>
        <w:tab/>
        <w:t>Lane Departure Warning System</w:t>
      </w:r>
    </w:p>
    <w:p w14:paraId="01C609E3" w14:textId="77777777" w:rsidR="00A13FC1" w:rsidRPr="003E4580" w:rsidRDefault="00A13FC1"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LKA</w:t>
      </w:r>
      <w:r w:rsidRPr="003E4580">
        <w:rPr>
          <w:rFonts w:asciiTheme="minorHAnsi" w:hAnsiTheme="minorHAnsi" w:cstheme="minorHAnsi"/>
          <w:sz w:val="20"/>
          <w:szCs w:val="20"/>
        </w:rPr>
        <w:tab/>
        <w:t>Lane Keep Assist</w:t>
      </w:r>
    </w:p>
    <w:p w14:paraId="25760722"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MUARC</w:t>
      </w:r>
      <w:r w:rsidRPr="003E4580">
        <w:rPr>
          <w:rFonts w:asciiTheme="minorHAnsi" w:hAnsiTheme="minorHAnsi" w:cstheme="minorHAnsi"/>
          <w:sz w:val="20"/>
          <w:szCs w:val="20"/>
        </w:rPr>
        <w:tab/>
        <w:t>Monash University Accident Research Centre</w:t>
      </w:r>
    </w:p>
    <w:p w14:paraId="3BFC69A3"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MVSA</w:t>
      </w:r>
      <w:r w:rsidRPr="003E4580">
        <w:rPr>
          <w:rFonts w:asciiTheme="minorHAnsi" w:hAnsiTheme="minorHAnsi" w:cstheme="minorHAnsi"/>
          <w:sz w:val="20"/>
          <w:szCs w:val="20"/>
        </w:rPr>
        <w:tab/>
        <w:t>Motor Vehicle Standards Act 1989</w:t>
      </w:r>
    </w:p>
    <w:p w14:paraId="5D6D6B3A"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NHTSA</w:t>
      </w:r>
      <w:r w:rsidRPr="003E4580">
        <w:rPr>
          <w:rFonts w:asciiTheme="minorHAnsi" w:hAnsiTheme="minorHAnsi" w:cstheme="minorHAnsi"/>
          <w:sz w:val="20"/>
          <w:szCs w:val="20"/>
        </w:rPr>
        <w:tab/>
        <w:t>National Highway Traffic Safety Administration</w:t>
      </w:r>
    </w:p>
    <w:p w14:paraId="49B7882E"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NPV</w:t>
      </w:r>
      <w:r w:rsidRPr="003E4580">
        <w:rPr>
          <w:rFonts w:asciiTheme="minorHAnsi" w:hAnsiTheme="minorHAnsi" w:cstheme="minorHAnsi"/>
          <w:sz w:val="20"/>
          <w:szCs w:val="20"/>
        </w:rPr>
        <w:tab/>
        <w:t>Net Present Value</w:t>
      </w:r>
    </w:p>
    <w:p w14:paraId="20F02D12"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NRSS</w:t>
      </w:r>
      <w:r w:rsidRPr="003E4580">
        <w:rPr>
          <w:rFonts w:asciiTheme="minorHAnsi" w:hAnsiTheme="minorHAnsi" w:cstheme="minorHAnsi"/>
          <w:sz w:val="20"/>
          <w:szCs w:val="20"/>
        </w:rPr>
        <w:tab/>
        <w:t>National Road Safety Strategy 2021-2030</w:t>
      </w:r>
    </w:p>
    <w:p w14:paraId="38FDD5A5"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NTARC</w:t>
      </w:r>
      <w:r w:rsidRPr="003E4580">
        <w:rPr>
          <w:rFonts w:asciiTheme="minorHAnsi" w:hAnsiTheme="minorHAnsi" w:cstheme="minorHAnsi"/>
          <w:sz w:val="20"/>
          <w:szCs w:val="20"/>
        </w:rPr>
        <w:tab/>
        <w:t>National Truck Accident Research Centre</w:t>
      </w:r>
    </w:p>
    <w:p w14:paraId="7CF9E711"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NTC</w:t>
      </w:r>
      <w:r w:rsidRPr="003E4580">
        <w:rPr>
          <w:rFonts w:asciiTheme="minorHAnsi" w:hAnsiTheme="minorHAnsi" w:cstheme="minorHAnsi"/>
          <w:sz w:val="20"/>
          <w:szCs w:val="20"/>
        </w:rPr>
        <w:tab/>
        <w:t>National Transport Commission</w:t>
      </w:r>
    </w:p>
    <w:p w14:paraId="1A2265FF" w14:textId="77777777" w:rsidR="00B410E5" w:rsidRPr="003E4580" w:rsidRDefault="00B410E5"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OEM</w:t>
      </w:r>
      <w:r w:rsidRPr="003E4580">
        <w:rPr>
          <w:rFonts w:asciiTheme="minorHAnsi" w:hAnsiTheme="minorHAnsi" w:cstheme="minorHAnsi"/>
          <w:sz w:val="20"/>
          <w:szCs w:val="20"/>
        </w:rPr>
        <w:tab/>
        <w:t>Original Equipment Manufacturer</w:t>
      </w:r>
    </w:p>
    <w:p w14:paraId="34AFB3FD"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OBPR</w:t>
      </w:r>
      <w:r w:rsidRPr="003E4580">
        <w:rPr>
          <w:rFonts w:asciiTheme="minorHAnsi" w:hAnsiTheme="minorHAnsi" w:cstheme="minorHAnsi"/>
          <w:sz w:val="20"/>
          <w:szCs w:val="20"/>
        </w:rPr>
        <w:tab/>
        <w:t>Office of Best Practice Regulation</w:t>
      </w:r>
    </w:p>
    <w:p w14:paraId="5398CE45" w14:textId="77777777" w:rsidR="00C766D1" w:rsidRPr="003E4580" w:rsidRDefault="00C766D1"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ORS</w:t>
      </w:r>
      <w:r w:rsidRPr="003E4580">
        <w:rPr>
          <w:rFonts w:asciiTheme="minorHAnsi" w:hAnsiTheme="minorHAnsi" w:cstheme="minorHAnsi"/>
          <w:sz w:val="20"/>
          <w:szCs w:val="20"/>
        </w:rPr>
        <w:tab/>
        <w:t>Office of Road Safety</w:t>
      </w:r>
    </w:p>
    <w:p w14:paraId="282E1358"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PBS</w:t>
      </w:r>
      <w:r w:rsidRPr="003E4580">
        <w:rPr>
          <w:rFonts w:asciiTheme="minorHAnsi" w:hAnsiTheme="minorHAnsi" w:cstheme="minorHAnsi"/>
          <w:sz w:val="20"/>
          <w:szCs w:val="20"/>
        </w:rPr>
        <w:tab/>
        <w:t>Performance Based Standards</w:t>
      </w:r>
    </w:p>
    <w:p w14:paraId="0AA8EE7D"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RBM</w:t>
      </w:r>
      <w:r w:rsidRPr="003E4580">
        <w:rPr>
          <w:rFonts w:asciiTheme="minorHAnsi" w:hAnsiTheme="minorHAnsi" w:cstheme="minorHAnsi"/>
          <w:sz w:val="20"/>
          <w:szCs w:val="20"/>
        </w:rPr>
        <w:tab/>
        <w:t>Regulatory Burden Measurement</w:t>
      </w:r>
    </w:p>
    <w:p w14:paraId="0DD1EAE2"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RIS</w:t>
      </w:r>
      <w:r w:rsidRPr="003E4580">
        <w:rPr>
          <w:rFonts w:asciiTheme="minorHAnsi" w:hAnsiTheme="minorHAnsi" w:cstheme="minorHAnsi"/>
          <w:sz w:val="20"/>
          <w:szCs w:val="20"/>
        </w:rPr>
        <w:tab/>
        <w:t>Regulation Impact Statement</w:t>
      </w:r>
    </w:p>
    <w:p w14:paraId="492C9FCA"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lastRenderedPageBreak/>
        <w:t>RSC</w:t>
      </w:r>
      <w:r w:rsidRPr="003E4580">
        <w:rPr>
          <w:rFonts w:asciiTheme="minorHAnsi" w:hAnsiTheme="minorHAnsi" w:cstheme="minorHAnsi"/>
          <w:sz w:val="20"/>
          <w:szCs w:val="20"/>
        </w:rPr>
        <w:tab/>
        <w:t>Roll Stability Control</w:t>
      </w:r>
    </w:p>
    <w:p w14:paraId="4FFAF15B"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RVSA</w:t>
      </w:r>
      <w:r w:rsidRPr="003E4580">
        <w:rPr>
          <w:rFonts w:asciiTheme="minorHAnsi" w:hAnsiTheme="minorHAnsi" w:cstheme="minorHAnsi"/>
          <w:sz w:val="20"/>
          <w:szCs w:val="20"/>
        </w:rPr>
        <w:tab/>
        <w:t>Road Vehicles Standards Act 2018</w:t>
      </w:r>
    </w:p>
    <w:p w14:paraId="690A1C41"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SCA</w:t>
      </w:r>
      <w:r w:rsidRPr="003E4580">
        <w:rPr>
          <w:rFonts w:asciiTheme="minorHAnsi" w:hAnsiTheme="minorHAnsi" w:cstheme="minorHAnsi"/>
          <w:sz w:val="20"/>
          <w:szCs w:val="20"/>
        </w:rPr>
        <w:tab/>
        <w:t xml:space="preserve">Side Curtain Airbag </w:t>
      </w:r>
    </w:p>
    <w:p w14:paraId="43EACE8B"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SPECTS</w:t>
      </w:r>
      <w:r w:rsidRPr="003E4580">
        <w:rPr>
          <w:rFonts w:asciiTheme="minorHAnsi" w:hAnsiTheme="minorHAnsi" w:cstheme="minorHAnsi"/>
          <w:sz w:val="20"/>
          <w:szCs w:val="20"/>
        </w:rPr>
        <w:tab/>
        <w:t>Safety, Productivity &amp; Environment Construction Transport Scheme</w:t>
      </w:r>
    </w:p>
    <w:p w14:paraId="220277AD"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SVSEG</w:t>
      </w:r>
      <w:r w:rsidRPr="003E4580">
        <w:rPr>
          <w:rFonts w:asciiTheme="minorHAnsi" w:hAnsiTheme="minorHAnsi" w:cstheme="minorHAnsi"/>
          <w:sz w:val="20"/>
          <w:szCs w:val="20"/>
        </w:rPr>
        <w:tab/>
        <w:t>Strategic Vehicle Safety and Environment Group</w:t>
      </w:r>
    </w:p>
    <w:p w14:paraId="53B5DEC5"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TfNSW</w:t>
      </w:r>
      <w:r w:rsidRPr="003E4580">
        <w:rPr>
          <w:rFonts w:asciiTheme="minorHAnsi" w:hAnsiTheme="minorHAnsi" w:cstheme="minorHAnsi"/>
          <w:sz w:val="20"/>
          <w:szCs w:val="20"/>
        </w:rPr>
        <w:tab/>
        <w:t>Transport for New South Wales</w:t>
      </w:r>
    </w:p>
    <w:p w14:paraId="03300AE1"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TIC</w:t>
      </w:r>
      <w:r w:rsidRPr="003E4580">
        <w:rPr>
          <w:rFonts w:asciiTheme="minorHAnsi" w:hAnsiTheme="minorHAnsi" w:cstheme="minorHAnsi"/>
          <w:sz w:val="20"/>
          <w:szCs w:val="20"/>
        </w:rPr>
        <w:tab/>
        <w:t>Truck Industry Council</w:t>
      </w:r>
    </w:p>
    <w:p w14:paraId="651E0F03"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TISOC</w:t>
      </w:r>
      <w:r w:rsidRPr="003E4580">
        <w:rPr>
          <w:rFonts w:asciiTheme="minorHAnsi" w:hAnsiTheme="minorHAnsi" w:cstheme="minorHAnsi"/>
          <w:sz w:val="20"/>
          <w:szCs w:val="20"/>
        </w:rPr>
        <w:tab/>
        <w:t>Transport and Infrastructure Senior Officials’ Committee</w:t>
      </w:r>
    </w:p>
    <w:p w14:paraId="4D32C58D"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TLG</w:t>
      </w:r>
      <w:r w:rsidRPr="003E4580">
        <w:rPr>
          <w:rFonts w:asciiTheme="minorHAnsi" w:hAnsiTheme="minorHAnsi" w:cstheme="minorHAnsi"/>
          <w:sz w:val="20"/>
          <w:szCs w:val="20"/>
        </w:rPr>
        <w:tab/>
        <w:t>Technical Liaison Group</w:t>
      </w:r>
    </w:p>
    <w:p w14:paraId="2FD18C70"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UN</w:t>
      </w:r>
      <w:r w:rsidRPr="003E4580">
        <w:rPr>
          <w:rFonts w:asciiTheme="minorHAnsi" w:hAnsiTheme="minorHAnsi" w:cstheme="minorHAnsi"/>
          <w:sz w:val="20"/>
          <w:szCs w:val="20"/>
        </w:rPr>
        <w:tab/>
        <w:t>United Nations</w:t>
      </w:r>
    </w:p>
    <w:p w14:paraId="150572D7"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US</w:t>
      </w:r>
      <w:r w:rsidRPr="003E4580">
        <w:rPr>
          <w:rFonts w:asciiTheme="minorHAnsi" w:hAnsiTheme="minorHAnsi" w:cstheme="minorHAnsi"/>
          <w:sz w:val="20"/>
          <w:szCs w:val="20"/>
        </w:rPr>
        <w:tab/>
        <w:t>United States</w:t>
      </w:r>
    </w:p>
    <w:p w14:paraId="0D1366E5" w14:textId="77777777" w:rsidR="008278F8" w:rsidRPr="003E4580" w:rsidRDefault="00FD318B" w:rsidP="00D6429D">
      <w:pPr>
        <w:pStyle w:val="Glossarylist"/>
        <w:rPr>
          <w:rFonts w:asciiTheme="minorHAnsi" w:hAnsiTheme="minorHAnsi" w:cstheme="minorHAnsi"/>
          <w:sz w:val="20"/>
          <w:szCs w:val="20"/>
        </w:rPr>
      </w:pPr>
      <w:r w:rsidRPr="003E4580">
        <w:rPr>
          <w:rFonts w:asciiTheme="minorHAnsi" w:hAnsiTheme="minorHAnsi" w:cstheme="minorHAnsi"/>
          <w:sz w:val="20"/>
          <w:szCs w:val="20"/>
        </w:rPr>
        <w:t>WP.29</w:t>
      </w:r>
      <w:r w:rsidRPr="003E4580">
        <w:rPr>
          <w:rFonts w:asciiTheme="minorHAnsi" w:hAnsiTheme="minorHAnsi" w:cstheme="minorHAnsi"/>
          <w:sz w:val="20"/>
          <w:szCs w:val="20"/>
        </w:rPr>
        <w:tab/>
        <w:t>UN World Forum for the Harmonization of Vehicle Regulations</w:t>
      </w:r>
    </w:p>
    <w:p w14:paraId="3C5F08ED" w14:textId="77777777" w:rsidR="00D6429D" w:rsidRPr="003E4580" w:rsidRDefault="00D6429D" w:rsidP="008A23AD">
      <w:pPr>
        <w:sectPr w:rsidR="00D6429D" w:rsidRPr="003E4580" w:rsidSect="00D87AD8">
          <w:pgSz w:w="11906" w:h="16838" w:code="9"/>
          <w:pgMar w:top="1021" w:right="1021" w:bottom="1021" w:left="1021" w:header="510" w:footer="567" w:gutter="0"/>
          <w:cols w:space="708"/>
          <w:docGrid w:linePitch="360"/>
        </w:sectPr>
      </w:pPr>
    </w:p>
    <w:p w14:paraId="24E64C9B" w14:textId="77777777" w:rsidR="00762DE0" w:rsidRPr="003E4580" w:rsidRDefault="00762DE0" w:rsidP="00762DE0">
      <w:pPr>
        <w:pStyle w:val="AppendixHeading1"/>
      </w:pPr>
      <w:bookmarkStart w:id="89" w:name="_Toc146894907"/>
      <w:r w:rsidRPr="003E4580">
        <w:lastRenderedPageBreak/>
        <w:t>Glossary of terms</w:t>
      </w:r>
      <w:bookmarkEnd w:id="89"/>
    </w:p>
    <w:p w14:paraId="3215AE5A"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1958 Agreement</w:t>
      </w:r>
      <w:r w:rsidRPr="003E4580">
        <w:rPr>
          <w:rFonts w:eastAsia="Calibri" w:cstheme="minorHAnsi"/>
          <w:color w:val="auto"/>
          <w:kern w:val="0"/>
        </w:rPr>
        <w:tab/>
        <w:t>UN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of March 1958.</w:t>
      </w:r>
    </w:p>
    <w:p w14:paraId="04CE7696"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1998 Agreement</w:t>
      </w:r>
      <w:r w:rsidRPr="003E4580">
        <w:rPr>
          <w:rFonts w:eastAsia="Calibri" w:cstheme="minorHAnsi"/>
          <w:color w:val="auto"/>
          <w:kern w:val="0"/>
        </w:rPr>
        <w:tab/>
        <w:t>UN Agreement Concerning the Establishing of Global Technical Regulations for Wheeled Vehicles, Equipment and Parts which can be Fitted and/or be Used on Wheeled Vehicles, of June 1998.</w:t>
      </w:r>
    </w:p>
    <w:p w14:paraId="7FA7FB55" w14:textId="77777777" w:rsidR="00DA29A0" w:rsidRPr="003E4580" w:rsidRDefault="00DA29A0" w:rsidP="00DA29A0">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Advanced Driver Assistance</w:t>
      </w:r>
      <w:r w:rsidRPr="003E4580">
        <w:rPr>
          <w:rFonts w:eastAsia="Calibri" w:cstheme="minorHAnsi"/>
          <w:color w:val="auto"/>
          <w:kern w:val="0"/>
        </w:rPr>
        <w:tab/>
        <w:t>Safety systems that work automatically to assist a driver in avoiding or</w:t>
      </w:r>
    </w:p>
    <w:p w14:paraId="6A61D779" w14:textId="77777777" w:rsidR="00DA29A0" w:rsidRPr="003E4580" w:rsidRDefault="00DA29A0" w:rsidP="00DA29A0">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 xml:space="preserve">Systems (ADAS) </w:t>
      </w:r>
      <w:r w:rsidRPr="003E4580">
        <w:rPr>
          <w:rFonts w:eastAsia="Calibri" w:cstheme="minorHAnsi"/>
          <w:color w:val="auto"/>
          <w:kern w:val="0"/>
        </w:rPr>
        <w:tab/>
        <w:t>mitigating the effects of a crash.</w:t>
      </w:r>
    </w:p>
    <w:p w14:paraId="469436DE"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 xml:space="preserve">Autonomous (Automatic) </w:t>
      </w:r>
      <w:r w:rsidRPr="003E4580">
        <w:rPr>
          <w:rFonts w:eastAsia="Calibri" w:cstheme="minorHAnsi"/>
          <w:color w:val="auto"/>
          <w:kern w:val="0"/>
        </w:rPr>
        <w:tab/>
        <w:t xml:space="preserve">A combination of a vision-sensing control system and actuators </w:t>
      </w:r>
    </w:p>
    <w:p w14:paraId="3F09AA6E"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 xml:space="preserve">Emergency Braking (AEB) </w:t>
      </w:r>
      <w:r w:rsidRPr="003E4580">
        <w:rPr>
          <w:rFonts w:eastAsia="Calibri" w:cstheme="minorHAnsi"/>
          <w:color w:val="auto"/>
          <w:kern w:val="0"/>
        </w:rPr>
        <w:tab/>
        <w:t>that forms a safety system which is designed in specific conditions to reduce the severity of an accident or avoid a collision altogether by taking control of the vehicle braking from the driver.</w:t>
      </w:r>
    </w:p>
    <w:p w14:paraId="70DC183F"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Antilock Brake System (ABS)</w:t>
      </w:r>
      <w:r w:rsidRPr="003E4580">
        <w:rPr>
          <w:rFonts w:eastAsia="Calibri" w:cstheme="minorHAnsi"/>
          <w:color w:val="auto"/>
          <w:kern w:val="0"/>
        </w:rPr>
        <w:tab/>
        <w:t>A portion of a service brake system that automatically controls the degree of rotational wheel slip relative to the road at one or more road wheels of the vehicle during braking.</w:t>
      </w:r>
    </w:p>
    <w:p w14:paraId="469B245E"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Benefit-Cost Ratio (BCR)</w:t>
      </w:r>
      <w:r w:rsidRPr="003E4580">
        <w:rPr>
          <w:rFonts w:eastAsia="Calibri" w:cstheme="minorHAnsi"/>
          <w:color w:val="auto"/>
          <w:kern w:val="0"/>
        </w:rPr>
        <w:tab/>
        <w:t>The ratio of expected total (gross) benefits to expected total costs (in terms of their present monetary value) for a change of policy relative to business as usual.</w:t>
      </w:r>
    </w:p>
    <w:p w14:paraId="48CF112D"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Bus (or Omnibus)</w:t>
      </w:r>
      <w:r w:rsidRPr="003E4580">
        <w:rPr>
          <w:rFonts w:eastAsia="Calibri" w:cstheme="minorHAnsi"/>
          <w:color w:val="auto"/>
          <w:kern w:val="0"/>
        </w:rPr>
        <w:tab/>
        <w:t>A passenger vehicle having more than 9 seating positions, including that of the driver.</w:t>
      </w:r>
    </w:p>
    <w:p w14:paraId="4AD2BBD2"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Certification</w:t>
      </w:r>
      <w:r w:rsidRPr="003E4580">
        <w:rPr>
          <w:rFonts w:eastAsia="Calibri" w:cstheme="minorHAnsi"/>
          <w:color w:val="auto"/>
          <w:kern w:val="0"/>
        </w:rPr>
        <w:tab/>
        <w:t>Assessment of compliance to the requirements of a regulation/standard. Can relate to parts, sub-assemblies, or a whole vehicle.</w:t>
      </w:r>
    </w:p>
    <w:p w14:paraId="117C4447"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Crash</w:t>
      </w:r>
      <w:r w:rsidRPr="003E4580">
        <w:rPr>
          <w:rFonts w:eastAsia="Calibri" w:cstheme="minorHAnsi"/>
          <w:color w:val="auto"/>
          <w:kern w:val="0"/>
        </w:rPr>
        <w:tab/>
        <w:t>Any apparently unpremeditated event reported to police, or other relevant authority, and resulting in death, injury or property damage attributable to the movement of a road vehicle on a public road.</w:t>
      </w:r>
    </w:p>
    <w:p w14:paraId="67541B3A"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Discount Rate</w:t>
      </w:r>
      <w:r w:rsidRPr="003E4580">
        <w:rPr>
          <w:rFonts w:eastAsia="Calibri" w:cstheme="minorHAnsi"/>
          <w:color w:val="auto"/>
          <w:kern w:val="0"/>
        </w:rPr>
        <w:tab/>
        <w:t>A rate of interest used to translate costs which will be incurred and benefits which will be received across future years into present day values.</w:t>
      </w:r>
    </w:p>
    <w:p w14:paraId="20A56C32"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Fatal Crash</w:t>
      </w:r>
      <w:r w:rsidRPr="003E4580">
        <w:rPr>
          <w:rFonts w:eastAsia="Calibri" w:cstheme="minorHAnsi"/>
          <w:color w:val="auto"/>
          <w:kern w:val="0"/>
        </w:rPr>
        <w:tab/>
        <w:t>A crash for which there is at least one death.</w:t>
      </w:r>
    </w:p>
    <w:p w14:paraId="053471C4"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Gross Vehicle Mass (GVM)</w:t>
      </w:r>
      <w:r w:rsidRPr="003E4580">
        <w:rPr>
          <w:rFonts w:eastAsia="Calibri" w:cstheme="minorHAnsi"/>
          <w:color w:val="auto"/>
          <w:kern w:val="0"/>
        </w:rPr>
        <w:tab/>
        <w:t>The maximum laden mass of a motor vehicle as specified by the manufacturer.</w:t>
      </w:r>
    </w:p>
    <w:p w14:paraId="47FD1723"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Light Vehicle</w:t>
      </w:r>
      <w:r w:rsidRPr="003E4580">
        <w:rPr>
          <w:rFonts w:eastAsia="Calibri" w:cstheme="minorHAnsi"/>
          <w:color w:val="auto"/>
          <w:kern w:val="0"/>
        </w:rPr>
        <w:tab/>
        <w:t>For the purposes of this RIS, any vehicle in a category (or equivalent ADR category) covered by UN Regulation No. 152.</w:t>
      </w:r>
    </w:p>
    <w:p w14:paraId="536D76A0"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Hospitalised Injury</w:t>
      </w:r>
      <w:r w:rsidRPr="003E4580">
        <w:rPr>
          <w:rFonts w:eastAsia="Calibri" w:cstheme="minorHAnsi"/>
          <w:color w:val="auto"/>
          <w:kern w:val="0"/>
        </w:rPr>
        <w:tab/>
        <w:t>A person admitted to hospital from a crash occurring in traffic.  Traffic excludes off-road and unknown location.</w:t>
      </w:r>
    </w:p>
    <w:p w14:paraId="296CBAF5" w14:textId="358CFF68" w:rsidR="00A23BA0" w:rsidRPr="003E4580" w:rsidRDefault="00A23BA0" w:rsidP="00A23BA0">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 xml:space="preserve">Lane Departure Warning System </w:t>
      </w:r>
      <w:r w:rsidR="000B46D4" w:rsidRPr="003E4580">
        <w:rPr>
          <w:rFonts w:eastAsia="Calibri" w:cstheme="minorHAnsi"/>
          <w:color w:val="auto"/>
          <w:kern w:val="0"/>
        </w:rPr>
        <w:tab/>
      </w:r>
      <w:r w:rsidRPr="003E4580">
        <w:rPr>
          <w:rFonts w:eastAsia="Calibri" w:cstheme="minorHAnsi"/>
          <w:color w:val="auto"/>
          <w:kern w:val="0"/>
        </w:rPr>
        <w:t xml:space="preserve">Provide a warning to the driver when the vehicle unintentionally drifts outside  </w:t>
      </w:r>
    </w:p>
    <w:p w14:paraId="4B4D12E2" w14:textId="77777777" w:rsidR="00A23BA0" w:rsidRPr="003E4580" w:rsidRDefault="00A23BA0" w:rsidP="00A23BA0">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(LDWS)</w:t>
      </w:r>
      <w:r w:rsidRPr="003E4580">
        <w:rPr>
          <w:rFonts w:eastAsia="Calibri" w:cstheme="minorHAnsi"/>
          <w:color w:val="auto"/>
          <w:kern w:val="0"/>
        </w:rPr>
        <w:tab/>
        <w:t>of the lane.</w:t>
      </w:r>
    </w:p>
    <w:p w14:paraId="66DA45AF"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Lane Keep Assist</w:t>
      </w:r>
      <w:r w:rsidRPr="003E4580">
        <w:rPr>
          <w:rFonts w:eastAsia="Calibri" w:cstheme="minorHAnsi"/>
          <w:color w:val="auto"/>
          <w:kern w:val="0"/>
        </w:rPr>
        <w:tab/>
        <w:t xml:space="preserve">Provides steering input to help keep the vehicle in the middle of a </w:t>
      </w:r>
    </w:p>
    <w:p w14:paraId="5EB045C1"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(LKA)</w:t>
      </w:r>
      <w:r w:rsidRPr="003E4580">
        <w:rPr>
          <w:rFonts w:eastAsia="Calibri" w:cstheme="minorHAnsi"/>
          <w:color w:val="auto"/>
          <w:kern w:val="0"/>
        </w:rPr>
        <w:tab/>
        <w:t>detected lane and provides visual and tactile alerts if the vehicle is detected drifting out of the lane.</w:t>
      </w:r>
    </w:p>
    <w:p w14:paraId="2B70EEA2"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Net Benefit</w:t>
      </w:r>
      <w:r w:rsidRPr="003E4580">
        <w:rPr>
          <w:rFonts w:eastAsia="Calibri" w:cstheme="minorHAnsi"/>
          <w:color w:val="auto"/>
          <w:kern w:val="0"/>
        </w:rPr>
        <w:tab/>
        <w:t>The sum of expected benefits (in monetary terms), less expected costs associated with a change of policy relative to business as usual.</w:t>
      </w:r>
    </w:p>
    <w:p w14:paraId="267F7773"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lastRenderedPageBreak/>
        <w:t>Net Present Value (NPV)</w:t>
      </w:r>
      <w:r w:rsidRPr="003E4580">
        <w:rPr>
          <w:rFonts w:eastAsia="Calibri" w:cstheme="minorHAnsi"/>
          <w:color w:val="auto"/>
          <w:kern w:val="0"/>
        </w:rPr>
        <w:tab/>
        <w:t>The difference between the present economic value (determined using an appropriate discount rate) of all expected benefits and costs over time due to a change of policy relative to business as usual.</w:t>
      </w:r>
    </w:p>
    <w:p w14:paraId="03162BE8"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Road Crash Fatality</w:t>
      </w:r>
      <w:r w:rsidRPr="003E4580">
        <w:rPr>
          <w:rFonts w:eastAsia="Calibri" w:cstheme="minorHAnsi"/>
          <w:color w:val="auto"/>
          <w:kern w:val="0"/>
        </w:rPr>
        <w:tab/>
        <w:t>A person who dies within 30 days of a crash as a result of injuries received in that crash.</w:t>
      </w:r>
    </w:p>
    <w:p w14:paraId="049F0E72"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Rear-end Crash</w:t>
      </w:r>
      <w:r w:rsidRPr="003E4580">
        <w:rPr>
          <w:rFonts w:eastAsia="Calibri" w:cstheme="minorHAnsi"/>
          <w:color w:val="auto"/>
          <w:kern w:val="0"/>
        </w:rPr>
        <w:tab/>
        <w:t>Denotes a scenario involving two vehicles, where the second vehicle strikes the rear of the first vehicle.</w:t>
      </w:r>
    </w:p>
    <w:p w14:paraId="64F9D081"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Type Approval</w:t>
      </w:r>
      <w:r w:rsidRPr="003E4580">
        <w:rPr>
          <w:rFonts w:eastAsia="Calibri" w:cstheme="minorHAnsi"/>
          <w:color w:val="auto"/>
          <w:kern w:val="0"/>
        </w:rPr>
        <w:tab/>
        <w:t>Written approval of an authority/body that a vehicle type (i.e., model design) satisfies specific technical requirements.</w:t>
      </w:r>
    </w:p>
    <w:p w14:paraId="5EC0D253" w14:textId="77777777" w:rsidR="00167D04" w:rsidRPr="003E4580" w:rsidRDefault="00167D04" w:rsidP="00167D04">
      <w:pPr>
        <w:suppressAutoHyphens w:val="0"/>
        <w:spacing w:before="0" w:after="0" w:line="300" w:lineRule="auto"/>
        <w:rPr>
          <w:rFonts w:ascii="Times New Roman" w:eastAsia="Calibri" w:hAnsi="Times New Roman" w:cs="Times New Roman"/>
          <w:color w:val="auto"/>
          <w:kern w:val="0"/>
          <w:sz w:val="22"/>
          <w:szCs w:val="22"/>
        </w:rPr>
        <w:sectPr w:rsidR="00167D04" w:rsidRPr="003E4580" w:rsidSect="00D87AD8">
          <w:pgSz w:w="11906" w:h="16838" w:code="9"/>
          <w:pgMar w:top="1021" w:right="1021" w:bottom="1021" w:left="1021" w:header="510" w:footer="567" w:gutter="0"/>
          <w:cols w:space="708"/>
          <w:docGrid w:linePitch="360"/>
        </w:sectPr>
      </w:pPr>
    </w:p>
    <w:p w14:paraId="2651932B" w14:textId="77777777" w:rsidR="00A11244" w:rsidRPr="003E4580" w:rsidRDefault="00A11244" w:rsidP="00A11244">
      <w:pPr>
        <w:pStyle w:val="AppendixHeading1"/>
      </w:pPr>
      <w:bookmarkStart w:id="90" w:name="_Toc146894908"/>
      <w:r w:rsidRPr="003E4580">
        <w:lastRenderedPageBreak/>
        <w:t>Heavy vehicle categories</w:t>
      </w:r>
      <w:bookmarkEnd w:id="90"/>
    </w:p>
    <w:p w14:paraId="2287AA5F" w14:textId="77777777" w:rsidR="00A11244" w:rsidRPr="003E4580" w:rsidRDefault="00A11244" w:rsidP="00A11244">
      <w:r w:rsidRPr="003E4580">
        <w:t>A two-character vehicle category code is shown for each vehicle category. This code is used to designate the relevant vehicles in the national standards, as represented by the ADRs, and in related documentation.</w:t>
      </w:r>
    </w:p>
    <w:p w14:paraId="499FB882" w14:textId="77777777" w:rsidR="00A11244" w:rsidRPr="003E4580" w:rsidRDefault="00A11244" w:rsidP="00A11244">
      <w:r w:rsidRPr="003E4580">
        <w:t>The categories listed below are those relevant to vehicles greater than 4.5 tonnes ‘</w:t>
      </w:r>
      <w:r w:rsidRPr="003E4580">
        <w:rPr>
          <w:i/>
        </w:rPr>
        <w:t>Gross Vehicle Mass</w:t>
      </w:r>
      <w:r w:rsidRPr="003E4580">
        <w:t>’ and trailers greater than 4.5 tonnes Gross Trailer Mass (Heavy Vehicles).</w:t>
      </w:r>
    </w:p>
    <w:p w14:paraId="0F761D55" w14:textId="77777777" w:rsidR="00A11244" w:rsidRPr="003E4580" w:rsidRDefault="00A11244" w:rsidP="00A11244">
      <w:pPr>
        <w:rPr>
          <w:b/>
        </w:rPr>
      </w:pPr>
      <w:r w:rsidRPr="003E4580">
        <w:rPr>
          <w:b/>
        </w:rPr>
        <w:t>OMNIBUSES (M)</w:t>
      </w:r>
    </w:p>
    <w:p w14:paraId="41501202" w14:textId="77777777" w:rsidR="00A11244" w:rsidRPr="003E4580" w:rsidRDefault="00A11244" w:rsidP="00A11244">
      <w:r w:rsidRPr="003E4580">
        <w:t>A passenger vehicle having more than 9 seating positions, including that of the driver.</w:t>
      </w:r>
    </w:p>
    <w:p w14:paraId="37CF9F2F" w14:textId="77777777" w:rsidR="00A11244" w:rsidRPr="003E4580" w:rsidRDefault="00A11244" w:rsidP="00A11244">
      <w:r w:rsidRPr="003E4580">
        <w:t>An omnibus comprising 2 or more non-separable but articulated units shall be considered as a single vehicle.</w:t>
      </w:r>
    </w:p>
    <w:p w14:paraId="331A9A5A" w14:textId="77777777" w:rsidR="00A11244" w:rsidRPr="003E4580" w:rsidRDefault="00A11244" w:rsidP="00A11244">
      <w:pPr>
        <w:rPr>
          <w:b/>
        </w:rPr>
      </w:pPr>
      <w:r w:rsidRPr="003E4580">
        <w:rPr>
          <w:b/>
        </w:rPr>
        <w:t>LIGHT OMNIBUS (MD)</w:t>
      </w:r>
    </w:p>
    <w:p w14:paraId="1EA04517" w14:textId="77777777" w:rsidR="00A11244" w:rsidRPr="003E4580" w:rsidRDefault="00A11244" w:rsidP="00A11244">
      <w:r w:rsidRPr="003E4580">
        <w:t>An omnibus with a ‘</w:t>
      </w:r>
      <w:r w:rsidRPr="003E4580">
        <w:rPr>
          <w:i/>
        </w:rPr>
        <w:t>Gross Vehicle Mass</w:t>
      </w:r>
      <w:r w:rsidRPr="003E4580">
        <w:t>’ not exceeding 5.0 tonnes.</w:t>
      </w:r>
    </w:p>
    <w:p w14:paraId="05874765" w14:textId="77777777" w:rsidR="00A11244" w:rsidRPr="003E4580" w:rsidRDefault="00A11244" w:rsidP="00A11244">
      <w:r w:rsidRPr="003E4580">
        <w:t>Sub-category MD1 – up to 3.5 tonnes ‘</w:t>
      </w:r>
      <w:r w:rsidRPr="003E4580">
        <w:rPr>
          <w:i/>
        </w:rPr>
        <w:t>Gross Vehicle Mass</w:t>
      </w:r>
      <w:r w:rsidRPr="003E4580">
        <w:t>’</w:t>
      </w:r>
    </w:p>
    <w:p w14:paraId="31CA9E79" w14:textId="77777777" w:rsidR="00A11244" w:rsidRPr="003E4580" w:rsidRDefault="00A11244" w:rsidP="00A11244">
      <w:pPr>
        <w:ind w:left="720"/>
      </w:pPr>
      <w:r w:rsidRPr="003E4580">
        <w:t>MD2 – up to 3.5 tonnes ‘Gross Vehicle Mass’</w:t>
      </w:r>
    </w:p>
    <w:p w14:paraId="452E44F3" w14:textId="77777777" w:rsidR="00A11244" w:rsidRPr="003E4580" w:rsidRDefault="00A11244" w:rsidP="00A11244">
      <w:pPr>
        <w:ind w:left="720"/>
      </w:pPr>
      <w:r w:rsidRPr="003E4580">
        <w:t>MD3 – over 3.5 tonnes, up to 4.5 tonnes ‘</w:t>
      </w:r>
      <w:r w:rsidRPr="003E4580">
        <w:rPr>
          <w:i/>
        </w:rPr>
        <w:t>Gross Vehicle Mass</w:t>
      </w:r>
      <w:r w:rsidRPr="003E4580">
        <w:t>’</w:t>
      </w:r>
    </w:p>
    <w:p w14:paraId="1B17F293" w14:textId="77777777" w:rsidR="00A11244" w:rsidRPr="003E4580" w:rsidRDefault="00A11244" w:rsidP="00A11244">
      <w:pPr>
        <w:ind w:left="720"/>
      </w:pPr>
      <w:r w:rsidRPr="003E4580">
        <w:t>MD4 – over 4.5 tonnes, up to 5 tonnes ‘</w:t>
      </w:r>
      <w:r w:rsidRPr="003E4580">
        <w:rPr>
          <w:i/>
        </w:rPr>
        <w:t>Gross Vehicle Mass</w:t>
      </w:r>
      <w:r w:rsidRPr="003E4580">
        <w:t>’</w:t>
      </w:r>
    </w:p>
    <w:p w14:paraId="00C1B225" w14:textId="77777777" w:rsidR="00A11244" w:rsidRPr="003E4580" w:rsidRDefault="00A11244" w:rsidP="00A11244">
      <w:pPr>
        <w:ind w:left="720"/>
      </w:pPr>
      <w:r w:rsidRPr="003E4580">
        <w:t>MD5 – up to 2.7 tonnes ‘</w:t>
      </w:r>
      <w:r w:rsidRPr="003E4580">
        <w:rPr>
          <w:i/>
        </w:rPr>
        <w:t>Gross Vehicle Mass</w:t>
      </w:r>
      <w:r w:rsidRPr="003E4580">
        <w:t>’</w:t>
      </w:r>
    </w:p>
    <w:p w14:paraId="21DBE686" w14:textId="77777777" w:rsidR="00A11244" w:rsidRPr="003E4580" w:rsidRDefault="00A11244" w:rsidP="00A11244">
      <w:pPr>
        <w:ind w:left="720"/>
      </w:pPr>
      <w:r w:rsidRPr="003E4580">
        <w:t>MD6 – over 2.7 tonnes, up to 5 tonnes ‘</w:t>
      </w:r>
      <w:r w:rsidRPr="003E4580">
        <w:rPr>
          <w:i/>
        </w:rPr>
        <w:t>Gross Vehicle Mass</w:t>
      </w:r>
      <w:r w:rsidRPr="003E4580">
        <w:t>’</w:t>
      </w:r>
    </w:p>
    <w:p w14:paraId="0C275530" w14:textId="77777777" w:rsidR="00A11244" w:rsidRPr="003E4580" w:rsidRDefault="00A11244" w:rsidP="00A11244">
      <w:pPr>
        <w:rPr>
          <w:b/>
        </w:rPr>
      </w:pPr>
      <w:r w:rsidRPr="003E4580">
        <w:rPr>
          <w:b/>
        </w:rPr>
        <w:t>HEAVY OMNIBUS (ME)</w:t>
      </w:r>
    </w:p>
    <w:p w14:paraId="5BFBBB62" w14:textId="77777777" w:rsidR="00A11244" w:rsidRPr="003E4580" w:rsidRDefault="00A11244" w:rsidP="00A11244">
      <w:r w:rsidRPr="003E4580">
        <w:t>An omnibus with a ‘</w:t>
      </w:r>
      <w:r w:rsidRPr="003E4580">
        <w:rPr>
          <w:i/>
        </w:rPr>
        <w:t>Gross Vehicle Mass</w:t>
      </w:r>
      <w:r w:rsidRPr="003E4580">
        <w:t>’ exceeding 5.0 tonnes.</w:t>
      </w:r>
    </w:p>
    <w:p w14:paraId="635095D9" w14:textId="77777777" w:rsidR="00A11244" w:rsidRPr="003E4580" w:rsidRDefault="00A11244" w:rsidP="00A11244">
      <w:pPr>
        <w:rPr>
          <w:b/>
        </w:rPr>
      </w:pPr>
      <w:r w:rsidRPr="003E4580">
        <w:rPr>
          <w:b/>
        </w:rPr>
        <w:t>GOODS VEHICLES (N)</w:t>
      </w:r>
    </w:p>
    <w:p w14:paraId="259195ED" w14:textId="77777777" w:rsidR="00A11244" w:rsidRPr="003E4580" w:rsidRDefault="00A11244" w:rsidP="00A11244">
      <w:r w:rsidRPr="003E4580">
        <w:t>A motor vehicle constructed primarily for the carriage of goods and having at least 4 wheels; or 3 wheels and a ‘</w:t>
      </w:r>
      <w:r w:rsidRPr="003E4580">
        <w:rPr>
          <w:i/>
        </w:rPr>
        <w:t>Gross Vehicle Mass</w:t>
      </w:r>
      <w:r w:rsidRPr="003E4580">
        <w:t>’ exceeding 1.0 tonne.</w:t>
      </w:r>
    </w:p>
    <w:p w14:paraId="5D3174BF" w14:textId="77777777" w:rsidR="00A11244" w:rsidRPr="003E4580" w:rsidRDefault="00A11244" w:rsidP="00A11244">
      <w:r w:rsidRPr="003E4580">
        <w:t>A vehicle constructed for both the carriage of persons and the carriage of good shall be considered to be primarily for the carriage of goods if the number of seating positions times 68 kg is less than 50 per cent of the difference between the ‘</w:t>
      </w:r>
      <w:r w:rsidRPr="003E4580">
        <w:rPr>
          <w:i/>
        </w:rPr>
        <w:t>Gross Vehicle Mass</w:t>
      </w:r>
      <w:r w:rsidRPr="003E4580">
        <w:t>‘ and the ‘</w:t>
      </w:r>
      <w:r w:rsidRPr="003E4580">
        <w:rPr>
          <w:i/>
        </w:rPr>
        <w:t>Unladen Mass</w:t>
      </w:r>
      <w:r w:rsidRPr="003E4580">
        <w:t>‘.</w:t>
      </w:r>
    </w:p>
    <w:p w14:paraId="4D58A072" w14:textId="77777777" w:rsidR="00A11244" w:rsidRPr="003E4580" w:rsidRDefault="00A11244" w:rsidP="00A11244">
      <w:r w:rsidRPr="003E4580">
        <w:t>The equipment and installations carried on certain special-purpose vehicles not designed for the carriage of passengers (crane vehicles, workshop vehicles, publicity vehicles, etc.) are regarded as being equivalent to goods for the purposes of this definition.</w:t>
      </w:r>
    </w:p>
    <w:p w14:paraId="5C10262E" w14:textId="77777777" w:rsidR="00A11244" w:rsidRPr="003E4580" w:rsidRDefault="00A11244" w:rsidP="00A11244">
      <w:r w:rsidRPr="003E4580">
        <w:t>A goods vehicle comprising two or more non-separable but articulated units shall be considered as a single vehicle.</w:t>
      </w:r>
    </w:p>
    <w:p w14:paraId="72959AB5" w14:textId="77777777" w:rsidR="00A11244" w:rsidRPr="003E4580" w:rsidRDefault="00A11244" w:rsidP="00A11244">
      <w:pPr>
        <w:rPr>
          <w:b/>
        </w:rPr>
      </w:pPr>
      <w:r w:rsidRPr="003E4580">
        <w:rPr>
          <w:b/>
        </w:rPr>
        <w:t>MEDIUM GOODS VEHICLE (NB)</w:t>
      </w:r>
    </w:p>
    <w:p w14:paraId="705D1673" w14:textId="77777777" w:rsidR="00A11244" w:rsidRPr="003E4580" w:rsidRDefault="00A11244" w:rsidP="00A11244">
      <w:r w:rsidRPr="003E4580">
        <w:t>A goods vehicle with a ‘</w:t>
      </w:r>
      <w:r w:rsidRPr="003E4580">
        <w:rPr>
          <w:i/>
        </w:rPr>
        <w:t>Gross Vehicle Mass</w:t>
      </w:r>
      <w:r w:rsidRPr="003E4580">
        <w:t>’ exceeding 3.5 tonnes but not exceeding 12.0 tonnes.</w:t>
      </w:r>
    </w:p>
    <w:p w14:paraId="3E332DFE" w14:textId="77777777" w:rsidR="00A11244" w:rsidRPr="003E4580" w:rsidRDefault="00A11244" w:rsidP="00A11244">
      <w:r w:rsidRPr="003E4580">
        <w:t>Sub-category NB1 – over 3.5 tonnes, up to 4.5 tonnes ‘</w:t>
      </w:r>
      <w:r w:rsidRPr="003E4580">
        <w:rPr>
          <w:i/>
        </w:rPr>
        <w:t>Gross Vehicle Mass</w:t>
      </w:r>
      <w:r w:rsidRPr="003E4580">
        <w:t>’</w:t>
      </w:r>
    </w:p>
    <w:p w14:paraId="4C78389F" w14:textId="77777777" w:rsidR="00A11244" w:rsidRPr="003E4580" w:rsidRDefault="00A11244" w:rsidP="00A11244">
      <w:pPr>
        <w:ind w:left="720"/>
      </w:pPr>
      <w:r w:rsidRPr="003E4580">
        <w:t>NB2 – over 4.5 tonnes, up to 12 tonnes ‘</w:t>
      </w:r>
      <w:r w:rsidRPr="003E4580">
        <w:rPr>
          <w:i/>
        </w:rPr>
        <w:t>Gross Vehicle Mass</w:t>
      </w:r>
      <w:r w:rsidRPr="003E4580">
        <w:t>’</w:t>
      </w:r>
    </w:p>
    <w:p w14:paraId="3B211350" w14:textId="77777777" w:rsidR="00A11244" w:rsidRPr="003E4580" w:rsidRDefault="00A11244" w:rsidP="00A11244">
      <w:pPr>
        <w:rPr>
          <w:b/>
        </w:rPr>
      </w:pPr>
      <w:r w:rsidRPr="003E4580">
        <w:rPr>
          <w:b/>
        </w:rPr>
        <w:t>HEAVY GOODS VEHICLE (NC)</w:t>
      </w:r>
    </w:p>
    <w:p w14:paraId="38D87CEE" w14:textId="77777777" w:rsidR="00C35E4A" w:rsidRPr="003E4580" w:rsidRDefault="00A11244" w:rsidP="00BB0E7E">
      <w:r w:rsidRPr="003E4580">
        <w:t>A goods vehicle with a ‘</w:t>
      </w:r>
      <w:r w:rsidRPr="003E4580">
        <w:rPr>
          <w:i/>
        </w:rPr>
        <w:t>Gross Vehicle Mass</w:t>
      </w:r>
      <w:r w:rsidRPr="003E4580">
        <w:t>’ exceeding 12.0 tonnes.</w:t>
      </w:r>
    </w:p>
    <w:p w14:paraId="39A20E3A" w14:textId="62D8A058" w:rsidR="00C35E4A" w:rsidRPr="003E4580" w:rsidRDefault="00C35E4A" w:rsidP="00C35E4A">
      <w:pPr>
        <w:pStyle w:val="AppendixHeading1"/>
      </w:pPr>
      <w:bookmarkStart w:id="91" w:name="_Toc146894909"/>
      <w:r w:rsidRPr="003E4580">
        <w:lastRenderedPageBreak/>
        <w:t>Public Comment Summary</w:t>
      </w:r>
      <w:bookmarkEnd w:id="91"/>
    </w:p>
    <w:tbl>
      <w:tblPr>
        <w:tblStyle w:val="Table-Style33"/>
        <w:tblW w:w="5000" w:type="pct"/>
        <w:tblInd w:w="0" w:type="dxa"/>
        <w:tblLook w:val="04A0" w:firstRow="1" w:lastRow="0" w:firstColumn="1" w:lastColumn="0" w:noHBand="0" w:noVBand="1"/>
      </w:tblPr>
      <w:tblGrid>
        <w:gridCol w:w="1513"/>
        <w:gridCol w:w="1121"/>
        <w:gridCol w:w="3593"/>
        <w:gridCol w:w="3617"/>
      </w:tblGrid>
      <w:tr w:rsidR="00C35E4A" w:rsidRPr="003E4580" w14:paraId="259D2202" w14:textId="77777777" w:rsidTr="008360E0">
        <w:trPr>
          <w:cnfStyle w:val="100000000000" w:firstRow="1" w:lastRow="0" w:firstColumn="0" w:lastColumn="0" w:oddVBand="0" w:evenVBand="0" w:oddHBand="0" w:evenHBand="0" w:firstRowFirstColumn="0" w:firstRowLastColumn="0" w:lastRowFirstColumn="0" w:lastRowLastColumn="0"/>
        </w:trPr>
        <w:tc>
          <w:tcPr>
            <w:tcW w:w="768" w:type="pct"/>
            <w:tcBorders>
              <w:top w:val="single" w:sz="8" w:space="0" w:color="FFFFFF"/>
              <w:left w:val="single" w:sz="8" w:space="0" w:color="FFFFFF"/>
              <w:bottom w:val="single" w:sz="8" w:space="0" w:color="FFFFFF"/>
            </w:tcBorders>
          </w:tcPr>
          <w:p w14:paraId="635A5CED" w14:textId="77777777" w:rsidR="00C35E4A" w:rsidRPr="003E4580" w:rsidRDefault="00C35E4A" w:rsidP="00387C1C">
            <w:pPr>
              <w:spacing w:before="60" w:beforeAutospacing="0" w:afterAutospacing="0"/>
              <w:jc w:val="center"/>
              <w:rPr>
                <w:rFonts w:ascii="Times New Roman" w:hAnsi="Times New Roman" w:cs="Times New Roman"/>
                <w:color w:val="FFFFFF" w:themeColor="background1"/>
                <w:sz w:val="22"/>
                <w:lang w:eastAsia="en-AU"/>
              </w:rPr>
            </w:pPr>
            <w:r w:rsidRPr="003E4580">
              <w:rPr>
                <w:rFonts w:ascii="Times New Roman" w:hAnsi="Times New Roman" w:cs="Times New Roman"/>
                <w:color w:val="FFFFFF" w:themeColor="background1"/>
                <w:sz w:val="22"/>
                <w:lang w:eastAsia="en-AU"/>
              </w:rPr>
              <w:t>Correspondent</w:t>
            </w:r>
          </w:p>
        </w:tc>
        <w:tc>
          <w:tcPr>
            <w:tcW w:w="569" w:type="pct"/>
            <w:tcBorders>
              <w:top w:val="single" w:sz="8" w:space="0" w:color="FFFFFF"/>
              <w:bottom w:val="single" w:sz="8" w:space="0" w:color="FFFFFF"/>
            </w:tcBorders>
          </w:tcPr>
          <w:p w14:paraId="1CABDD6C" w14:textId="77777777" w:rsidR="00C35E4A" w:rsidRPr="003E4580" w:rsidRDefault="00C35E4A" w:rsidP="00387C1C">
            <w:pPr>
              <w:spacing w:before="60" w:beforeAutospacing="0" w:afterAutospacing="0"/>
              <w:jc w:val="center"/>
              <w:rPr>
                <w:rFonts w:ascii="Times New Roman" w:hAnsi="Times New Roman" w:cs="Times New Roman"/>
                <w:color w:val="FFFFFF" w:themeColor="background1"/>
                <w:sz w:val="22"/>
                <w:lang w:eastAsia="en-AU"/>
              </w:rPr>
            </w:pPr>
            <w:r w:rsidRPr="003E4580">
              <w:rPr>
                <w:rFonts w:ascii="Times New Roman" w:hAnsi="Times New Roman" w:cs="Times New Roman"/>
                <w:color w:val="FFFFFF" w:themeColor="background1"/>
                <w:sz w:val="22"/>
                <w:lang w:eastAsia="en-AU"/>
              </w:rPr>
              <w:t>Supported Option</w:t>
            </w:r>
          </w:p>
        </w:tc>
        <w:tc>
          <w:tcPr>
            <w:tcW w:w="1825" w:type="pct"/>
            <w:tcBorders>
              <w:top w:val="single" w:sz="8" w:space="0" w:color="FFFFFF"/>
              <w:bottom w:val="single" w:sz="8" w:space="0" w:color="FFFFFF"/>
            </w:tcBorders>
          </w:tcPr>
          <w:p w14:paraId="085A2C3D" w14:textId="77777777" w:rsidR="00C35E4A" w:rsidRPr="003E4580" w:rsidRDefault="00C35E4A" w:rsidP="00387C1C">
            <w:pPr>
              <w:spacing w:before="60" w:beforeAutospacing="0" w:afterAutospacing="0"/>
              <w:jc w:val="center"/>
              <w:rPr>
                <w:rFonts w:ascii="Times New Roman" w:hAnsi="Times New Roman" w:cs="Times New Roman"/>
                <w:color w:val="FFFFFF" w:themeColor="background1"/>
                <w:sz w:val="22"/>
                <w:lang w:eastAsia="en-AU"/>
              </w:rPr>
            </w:pPr>
            <w:r w:rsidRPr="003E4580">
              <w:rPr>
                <w:rFonts w:ascii="Times New Roman" w:hAnsi="Times New Roman" w:cs="Times New Roman"/>
                <w:color w:val="FFFFFF" w:themeColor="background1"/>
                <w:sz w:val="22"/>
                <w:lang w:eastAsia="en-AU"/>
              </w:rPr>
              <w:t>Comments</w:t>
            </w:r>
          </w:p>
        </w:tc>
        <w:tc>
          <w:tcPr>
            <w:tcW w:w="1837" w:type="pct"/>
            <w:tcBorders>
              <w:top w:val="single" w:sz="8" w:space="0" w:color="FFFFFF"/>
              <w:bottom w:val="single" w:sz="8" w:space="0" w:color="FFFFFF"/>
              <w:right w:val="single" w:sz="8" w:space="0" w:color="FFFFFF"/>
            </w:tcBorders>
          </w:tcPr>
          <w:p w14:paraId="065FD5E3" w14:textId="77777777" w:rsidR="00C35E4A" w:rsidRPr="003E4580" w:rsidRDefault="00C35E4A" w:rsidP="00387C1C">
            <w:pPr>
              <w:spacing w:before="60" w:beforeAutospacing="0" w:afterAutospacing="0"/>
              <w:jc w:val="center"/>
              <w:rPr>
                <w:rFonts w:ascii="Times New Roman" w:hAnsi="Times New Roman" w:cs="Times New Roman"/>
                <w:color w:val="FFFFFF" w:themeColor="background1"/>
                <w:sz w:val="22"/>
                <w:lang w:eastAsia="en-AU"/>
              </w:rPr>
            </w:pPr>
            <w:r w:rsidRPr="003E4580">
              <w:rPr>
                <w:rFonts w:ascii="Times New Roman" w:hAnsi="Times New Roman" w:cs="Times New Roman"/>
                <w:color w:val="FFFFFF" w:themeColor="background1"/>
                <w:sz w:val="22"/>
                <w:lang w:eastAsia="en-AU"/>
              </w:rPr>
              <w:t>Departmental Response</w:t>
            </w:r>
          </w:p>
        </w:tc>
      </w:tr>
      <w:tr w:rsidR="00C35E4A" w:rsidRPr="003E4580" w14:paraId="6B40A7CC" w14:textId="77777777" w:rsidTr="008360E0">
        <w:tc>
          <w:tcPr>
            <w:tcW w:w="768" w:type="pct"/>
            <w:tcBorders>
              <w:top w:val="single" w:sz="8" w:space="0" w:color="FFFFFF"/>
              <w:left w:val="single" w:sz="8" w:space="0" w:color="FFFFFF"/>
              <w:bottom w:val="single" w:sz="8" w:space="0" w:color="FFFFFF"/>
              <w:right w:val="single" w:sz="8" w:space="0" w:color="FFFFFF"/>
            </w:tcBorders>
          </w:tcPr>
          <w:p w14:paraId="182E7794" w14:textId="77777777" w:rsidR="00C35E4A" w:rsidRPr="003E4580" w:rsidRDefault="00C35E4A" w:rsidP="00387C1C">
            <w:pPr>
              <w:rPr>
                <w:rFonts w:ascii="Times New Roman" w:hAnsi="Times New Roman"/>
              </w:rPr>
            </w:pPr>
            <w:r w:rsidRPr="003E4580">
              <w:rPr>
                <w:rFonts w:ascii="Times New Roman" w:hAnsi="Times New Roman"/>
              </w:rPr>
              <w:t>Adam Brighouse</w:t>
            </w:r>
          </w:p>
        </w:tc>
        <w:tc>
          <w:tcPr>
            <w:tcW w:w="569" w:type="pct"/>
            <w:tcBorders>
              <w:top w:val="single" w:sz="8" w:space="0" w:color="FFFFFF"/>
              <w:left w:val="single" w:sz="8" w:space="0" w:color="FFFFFF"/>
              <w:bottom w:val="single" w:sz="8" w:space="0" w:color="FFFFFF"/>
              <w:right w:val="single" w:sz="8" w:space="0" w:color="FFFFFF"/>
            </w:tcBorders>
          </w:tcPr>
          <w:p w14:paraId="49AE1BDE" w14:textId="77777777" w:rsidR="00C35E4A" w:rsidRPr="003E4580" w:rsidRDefault="00C35E4A" w:rsidP="00387C1C">
            <w:pPr>
              <w:jc w:val="center"/>
              <w:rPr>
                <w:rFonts w:ascii="Times New Roman" w:hAnsi="Times New Roman"/>
                <w:lang w:eastAsia="en-AU"/>
              </w:rPr>
            </w:pPr>
            <w:r w:rsidRPr="003E4580">
              <w:rPr>
                <w:rFonts w:ascii="Times New Roman" w:hAnsi="Times New Roman"/>
                <w:lang w:eastAsia="en-AU"/>
              </w:rPr>
              <w:t>Option 2</w:t>
            </w:r>
          </w:p>
        </w:tc>
        <w:tc>
          <w:tcPr>
            <w:tcW w:w="1825" w:type="pct"/>
            <w:tcBorders>
              <w:top w:val="single" w:sz="8" w:space="0" w:color="FFFFFF"/>
              <w:left w:val="single" w:sz="8" w:space="0" w:color="FFFFFF"/>
              <w:bottom w:val="single" w:sz="8" w:space="0" w:color="FFFFFF"/>
              <w:right w:val="single" w:sz="8" w:space="0" w:color="FFFFFF"/>
            </w:tcBorders>
            <w:vAlign w:val="center"/>
          </w:tcPr>
          <w:p w14:paraId="376FE8D8" w14:textId="77777777" w:rsidR="00C35E4A" w:rsidRPr="003E4580" w:rsidRDefault="00C35E4A" w:rsidP="008360E0">
            <w:pPr>
              <w:pStyle w:val="ListParagraph"/>
              <w:numPr>
                <w:ilvl w:val="0"/>
                <w:numId w:val="31"/>
              </w:numPr>
              <w:textAlignment w:val="auto"/>
              <w:rPr>
                <w:rFonts w:ascii="Times New Roman" w:hAnsi="Times New Roman" w:cs="Times New Roman"/>
                <w:lang w:eastAsia="en-AU"/>
              </w:rPr>
            </w:pPr>
            <w:r w:rsidRPr="003E4580">
              <w:rPr>
                <w:rFonts w:ascii="Times New Roman" w:hAnsi="Times New Roman" w:cs="Times New Roman"/>
              </w:rPr>
              <w:t>Supports mandating LDWS for all heavy vehicles. (Option 2)</w:t>
            </w:r>
          </w:p>
        </w:tc>
        <w:tc>
          <w:tcPr>
            <w:tcW w:w="1837" w:type="pct"/>
            <w:tcBorders>
              <w:top w:val="single" w:sz="8" w:space="0" w:color="FFFFFF"/>
              <w:left w:val="single" w:sz="8" w:space="0" w:color="FFFFFF"/>
              <w:bottom w:val="single" w:sz="8" w:space="0" w:color="FFFFFF"/>
              <w:right w:val="single" w:sz="8" w:space="0" w:color="FFFFFF"/>
            </w:tcBorders>
          </w:tcPr>
          <w:p w14:paraId="5B446E19" w14:textId="77777777" w:rsidR="00C35E4A" w:rsidRPr="003E4580" w:rsidRDefault="00C35E4A" w:rsidP="008360E0">
            <w:pPr>
              <w:pStyle w:val="ListParagraph"/>
              <w:numPr>
                <w:ilvl w:val="0"/>
                <w:numId w:val="32"/>
              </w:numPr>
              <w:textAlignment w:val="auto"/>
              <w:rPr>
                <w:rFonts w:ascii="Times New Roman" w:hAnsi="Times New Roman" w:cs="Times New Roman"/>
                <w:lang w:eastAsia="en-AU"/>
              </w:rPr>
            </w:pPr>
            <w:r w:rsidRPr="003E4580">
              <w:rPr>
                <w:rFonts w:ascii="Times New Roman" w:hAnsi="Times New Roman" w:cs="Times New Roman"/>
                <w:lang w:eastAsia="en-AU"/>
              </w:rPr>
              <w:t>Agreed</w:t>
            </w:r>
          </w:p>
        </w:tc>
      </w:tr>
      <w:tr w:rsidR="00C35E4A" w:rsidRPr="003E4580" w14:paraId="24E0D278" w14:textId="77777777" w:rsidTr="008360E0">
        <w:tc>
          <w:tcPr>
            <w:tcW w:w="768" w:type="pct"/>
            <w:tcBorders>
              <w:top w:val="single" w:sz="8" w:space="0" w:color="FFFFFF"/>
              <w:left w:val="single" w:sz="8" w:space="0" w:color="FFFFFF"/>
              <w:bottom w:val="single" w:sz="8" w:space="0" w:color="FFFFFF"/>
              <w:right w:val="single" w:sz="8" w:space="0" w:color="FFFFFF"/>
            </w:tcBorders>
          </w:tcPr>
          <w:p w14:paraId="2A721A79" w14:textId="77777777" w:rsidR="00C35E4A" w:rsidRPr="003E4580" w:rsidRDefault="00C35E4A" w:rsidP="00387C1C">
            <w:pPr>
              <w:rPr>
                <w:rFonts w:ascii="Times New Roman" w:hAnsi="Times New Roman"/>
              </w:rPr>
            </w:pPr>
            <w:r w:rsidRPr="003E4580">
              <w:rPr>
                <w:rFonts w:ascii="Times New Roman" w:hAnsi="Times New Roman"/>
              </w:rPr>
              <w:t>Bicycle Network</w:t>
            </w:r>
          </w:p>
        </w:tc>
        <w:tc>
          <w:tcPr>
            <w:tcW w:w="569" w:type="pct"/>
            <w:tcBorders>
              <w:top w:val="single" w:sz="8" w:space="0" w:color="FFFFFF"/>
              <w:left w:val="single" w:sz="8" w:space="0" w:color="FFFFFF"/>
              <w:bottom w:val="single" w:sz="8" w:space="0" w:color="FFFFFF"/>
              <w:right w:val="single" w:sz="8" w:space="0" w:color="FFFFFF"/>
            </w:tcBorders>
          </w:tcPr>
          <w:p w14:paraId="766E5405" w14:textId="77777777" w:rsidR="00C35E4A" w:rsidRPr="003E4580" w:rsidRDefault="00C35E4A" w:rsidP="00387C1C">
            <w:pPr>
              <w:jc w:val="center"/>
              <w:rPr>
                <w:rFonts w:ascii="Times New Roman" w:hAnsi="Times New Roman"/>
                <w:strike/>
                <w:lang w:eastAsia="en-AU"/>
              </w:rPr>
            </w:pPr>
            <w:r w:rsidRPr="003E4580">
              <w:rPr>
                <w:rFonts w:ascii="Times New Roman" w:hAnsi="Times New Roman"/>
                <w:lang w:eastAsia="en-AU"/>
              </w:rPr>
              <w:t>Option 2</w:t>
            </w:r>
          </w:p>
        </w:tc>
        <w:tc>
          <w:tcPr>
            <w:tcW w:w="1825" w:type="pct"/>
            <w:tcBorders>
              <w:top w:val="single" w:sz="8" w:space="0" w:color="FFFFFF"/>
              <w:left w:val="single" w:sz="8" w:space="0" w:color="FFFFFF"/>
              <w:bottom w:val="single" w:sz="8" w:space="0" w:color="FFFFFF"/>
              <w:right w:val="single" w:sz="8" w:space="0" w:color="FFFFFF"/>
            </w:tcBorders>
          </w:tcPr>
          <w:p w14:paraId="019A2946" w14:textId="77777777" w:rsidR="00C35E4A" w:rsidRPr="003E4580" w:rsidRDefault="00C35E4A" w:rsidP="008360E0">
            <w:pPr>
              <w:pStyle w:val="ListParagraph"/>
              <w:numPr>
                <w:ilvl w:val="0"/>
                <w:numId w:val="33"/>
              </w:numPr>
              <w:textAlignment w:val="auto"/>
              <w:rPr>
                <w:rFonts w:ascii="Times New Roman" w:hAnsi="Times New Roman" w:cs="Times New Roman"/>
                <w:lang w:eastAsia="en-AU"/>
              </w:rPr>
            </w:pPr>
            <w:r w:rsidRPr="003E4580">
              <w:rPr>
                <w:rFonts w:ascii="Times New Roman" w:hAnsi="Times New Roman" w:cs="Times New Roman"/>
                <w:lang w:eastAsia="en-AU"/>
              </w:rPr>
              <w:t>Supports mandating LDWS for all heavy vehicles. (Option 2)</w:t>
            </w:r>
          </w:p>
          <w:p w14:paraId="122E13D0" w14:textId="77777777" w:rsidR="00C35E4A" w:rsidRPr="003E4580" w:rsidRDefault="00C35E4A" w:rsidP="008360E0">
            <w:pPr>
              <w:pStyle w:val="ListParagraph"/>
              <w:numPr>
                <w:ilvl w:val="0"/>
                <w:numId w:val="33"/>
              </w:numPr>
              <w:textAlignment w:val="auto"/>
              <w:rPr>
                <w:rFonts w:ascii="Times New Roman" w:hAnsi="Times New Roman" w:cs="Times New Roman"/>
                <w:lang w:eastAsia="en-AU"/>
              </w:rPr>
            </w:pPr>
            <w:r w:rsidRPr="003E4580">
              <w:rPr>
                <w:rFonts w:ascii="Times New Roman" w:hAnsi="Times New Roman" w:cs="Times New Roman"/>
                <w:lang w:eastAsia="en-AU"/>
              </w:rPr>
              <w:t>Highlights that 1 in 5 rider fatalities involve a heavy vehicle and notes that this statistic has not changed in over 20 years.</w:t>
            </w:r>
          </w:p>
          <w:p w14:paraId="0CBABA94" w14:textId="77777777" w:rsidR="00C35E4A" w:rsidRPr="003E4580" w:rsidRDefault="00C35E4A" w:rsidP="008360E0">
            <w:pPr>
              <w:pStyle w:val="ListParagraph"/>
              <w:numPr>
                <w:ilvl w:val="0"/>
                <w:numId w:val="33"/>
              </w:numPr>
              <w:textAlignment w:val="auto"/>
              <w:rPr>
                <w:rFonts w:ascii="Times New Roman" w:hAnsi="Times New Roman" w:cs="Times New Roman"/>
                <w:lang w:eastAsia="en-AU"/>
              </w:rPr>
            </w:pPr>
            <w:r w:rsidRPr="003E4580">
              <w:rPr>
                <w:rFonts w:ascii="Times New Roman" w:hAnsi="Times New Roman" w:cs="Times New Roman"/>
                <w:lang w:eastAsia="en-AU"/>
              </w:rPr>
              <w:t>Bicycle network proposes the Department examine the case for Blind Spot Information Systems (BSIS) and exit warning technologies to be fitted as mandatory for all vehicles.</w:t>
            </w:r>
          </w:p>
        </w:tc>
        <w:tc>
          <w:tcPr>
            <w:tcW w:w="1837" w:type="pct"/>
            <w:tcBorders>
              <w:top w:val="single" w:sz="8" w:space="0" w:color="FFFFFF"/>
              <w:left w:val="single" w:sz="8" w:space="0" w:color="FFFFFF"/>
              <w:bottom w:val="single" w:sz="8" w:space="0" w:color="FFFFFF"/>
              <w:right w:val="single" w:sz="8" w:space="0" w:color="FFFFFF"/>
            </w:tcBorders>
          </w:tcPr>
          <w:p w14:paraId="72947E97" w14:textId="77777777" w:rsidR="00C35E4A" w:rsidRPr="003E4580" w:rsidRDefault="00C35E4A" w:rsidP="008360E0">
            <w:pPr>
              <w:pStyle w:val="ListParagraph"/>
              <w:numPr>
                <w:ilvl w:val="0"/>
                <w:numId w:val="42"/>
              </w:numPr>
              <w:textAlignment w:val="auto"/>
              <w:rPr>
                <w:rFonts w:ascii="Times New Roman" w:hAnsi="Times New Roman" w:cs="Times New Roman"/>
                <w:lang w:eastAsia="en-AU"/>
              </w:rPr>
            </w:pPr>
            <w:r w:rsidRPr="003E4580">
              <w:rPr>
                <w:rFonts w:ascii="Times New Roman" w:hAnsi="Times New Roman" w:cs="Times New Roman"/>
                <w:lang w:eastAsia="en-AU"/>
              </w:rPr>
              <w:t>Agreed</w:t>
            </w:r>
          </w:p>
          <w:p w14:paraId="45C95F9A" w14:textId="336DF6B7" w:rsidR="00C35E4A" w:rsidRPr="003E4580" w:rsidRDefault="00BE593B" w:rsidP="008360E0">
            <w:pPr>
              <w:pStyle w:val="ListParagraph"/>
              <w:numPr>
                <w:ilvl w:val="0"/>
                <w:numId w:val="42"/>
              </w:numPr>
              <w:textAlignment w:val="auto"/>
              <w:rPr>
                <w:rFonts w:ascii="Times New Roman" w:hAnsi="Times New Roman" w:cs="Times New Roman"/>
                <w:lang w:eastAsia="en-AU"/>
              </w:rPr>
            </w:pPr>
            <w:r w:rsidRPr="003E4580">
              <w:rPr>
                <w:rFonts w:ascii="Times New Roman" w:hAnsi="Times New Roman" w:cs="Times New Roman"/>
                <w:lang w:eastAsia="en-AU"/>
              </w:rPr>
              <w:t>Noted</w:t>
            </w:r>
          </w:p>
          <w:p w14:paraId="59657906" w14:textId="1C9EAC1D" w:rsidR="00C35E4A" w:rsidRPr="003E4580" w:rsidRDefault="00C35E4A" w:rsidP="008360E0">
            <w:pPr>
              <w:pStyle w:val="ListParagraph"/>
              <w:numPr>
                <w:ilvl w:val="0"/>
                <w:numId w:val="42"/>
              </w:numPr>
              <w:textAlignment w:val="auto"/>
              <w:rPr>
                <w:rFonts w:ascii="Times New Roman" w:hAnsi="Times New Roman" w:cs="Times New Roman"/>
                <w:lang w:eastAsia="en-AU"/>
              </w:rPr>
            </w:pPr>
            <w:r w:rsidRPr="003E4580">
              <w:rPr>
                <w:rFonts w:ascii="Times New Roman" w:hAnsi="Times New Roman" w:cs="Times New Roman"/>
                <w:lang w:eastAsia="en-AU"/>
              </w:rPr>
              <w:t xml:space="preserve">Noted, the Department values the input of its stakeholders and will consider the case to introduce these safety technologies in line with the ADR work program, National Road Safety Strategy and National Road Safety Action Plans. BSIS is part of the Safer Freight Vehicles </w:t>
            </w:r>
            <w:r w:rsidR="00BE593B" w:rsidRPr="003E4580">
              <w:rPr>
                <w:rFonts w:ascii="Times New Roman" w:hAnsi="Times New Roman" w:cs="Times New Roman"/>
                <w:lang w:eastAsia="en-AU"/>
              </w:rPr>
              <w:t>package</w:t>
            </w:r>
            <w:r w:rsidRPr="003E4580">
              <w:rPr>
                <w:rFonts w:ascii="Times New Roman" w:hAnsi="Times New Roman" w:cs="Times New Roman"/>
                <w:lang w:eastAsia="en-AU"/>
              </w:rPr>
              <w:t>.</w:t>
            </w:r>
          </w:p>
        </w:tc>
      </w:tr>
      <w:tr w:rsidR="00C35E4A" w:rsidRPr="003E4580" w14:paraId="51A7456C" w14:textId="77777777" w:rsidTr="008360E0">
        <w:tc>
          <w:tcPr>
            <w:tcW w:w="768" w:type="pct"/>
            <w:tcBorders>
              <w:top w:val="single" w:sz="8" w:space="0" w:color="FFFFFF"/>
              <w:left w:val="single" w:sz="8" w:space="0" w:color="FFFFFF"/>
              <w:bottom w:val="single" w:sz="8" w:space="0" w:color="FFFFFF"/>
              <w:right w:val="single" w:sz="8" w:space="0" w:color="FFFFFF"/>
            </w:tcBorders>
          </w:tcPr>
          <w:p w14:paraId="5FF6FFA9" w14:textId="77777777" w:rsidR="00C35E4A" w:rsidRPr="003E4580" w:rsidRDefault="00C35E4A" w:rsidP="00387C1C">
            <w:pPr>
              <w:rPr>
                <w:rFonts w:ascii="Times New Roman" w:hAnsi="Times New Roman"/>
              </w:rPr>
            </w:pPr>
            <w:r w:rsidRPr="003E4580">
              <w:rPr>
                <w:rFonts w:ascii="Times New Roman" w:hAnsi="Times New Roman"/>
              </w:rPr>
              <w:t>Anonymous</w:t>
            </w:r>
          </w:p>
        </w:tc>
        <w:tc>
          <w:tcPr>
            <w:tcW w:w="569" w:type="pct"/>
            <w:tcBorders>
              <w:top w:val="single" w:sz="8" w:space="0" w:color="FFFFFF"/>
              <w:left w:val="single" w:sz="8" w:space="0" w:color="FFFFFF"/>
              <w:bottom w:val="single" w:sz="8" w:space="0" w:color="FFFFFF"/>
              <w:right w:val="single" w:sz="8" w:space="0" w:color="FFFFFF"/>
            </w:tcBorders>
          </w:tcPr>
          <w:p w14:paraId="21BAEDD5" w14:textId="77777777" w:rsidR="00C35E4A" w:rsidRPr="003E4580" w:rsidRDefault="00C35E4A" w:rsidP="00387C1C">
            <w:pPr>
              <w:jc w:val="center"/>
              <w:rPr>
                <w:rFonts w:ascii="Times New Roman" w:hAnsi="Times New Roman"/>
                <w:lang w:eastAsia="en-AU"/>
              </w:rPr>
            </w:pPr>
            <w:r w:rsidRPr="003E4580">
              <w:rPr>
                <w:rFonts w:ascii="Times New Roman" w:hAnsi="Times New Roman"/>
                <w:lang w:eastAsia="en-AU"/>
              </w:rPr>
              <w:t>Option 2</w:t>
            </w:r>
          </w:p>
        </w:tc>
        <w:tc>
          <w:tcPr>
            <w:tcW w:w="1825" w:type="pct"/>
            <w:tcBorders>
              <w:top w:val="single" w:sz="8" w:space="0" w:color="FFFFFF"/>
              <w:left w:val="single" w:sz="8" w:space="0" w:color="FFFFFF"/>
              <w:bottom w:val="single" w:sz="8" w:space="0" w:color="FFFFFF"/>
              <w:right w:val="single" w:sz="8" w:space="0" w:color="FFFFFF"/>
            </w:tcBorders>
          </w:tcPr>
          <w:p w14:paraId="1B42CC63" w14:textId="77777777" w:rsidR="00C35E4A" w:rsidRPr="003E4580" w:rsidRDefault="00C35E4A" w:rsidP="008360E0">
            <w:pPr>
              <w:pStyle w:val="ListParagraph"/>
              <w:numPr>
                <w:ilvl w:val="0"/>
                <w:numId w:val="34"/>
              </w:numPr>
              <w:textAlignment w:val="auto"/>
              <w:rPr>
                <w:rFonts w:ascii="Times New Roman" w:hAnsi="Times New Roman" w:cs="Times New Roman"/>
                <w:lang w:eastAsia="en-AU"/>
              </w:rPr>
            </w:pPr>
            <w:r w:rsidRPr="003E4580">
              <w:rPr>
                <w:rFonts w:ascii="Times New Roman" w:hAnsi="Times New Roman" w:cs="Times New Roman"/>
              </w:rPr>
              <w:t>Supports mandating LDWS for all heavy vehicles. (Option 2)</w:t>
            </w:r>
          </w:p>
          <w:p w14:paraId="6CA7BACB" w14:textId="77777777" w:rsidR="00C35E4A" w:rsidRPr="003E4580" w:rsidRDefault="00C35E4A" w:rsidP="008360E0">
            <w:pPr>
              <w:pStyle w:val="ListParagraph"/>
              <w:numPr>
                <w:ilvl w:val="0"/>
                <w:numId w:val="34"/>
              </w:numPr>
              <w:textAlignment w:val="auto"/>
              <w:rPr>
                <w:rFonts w:ascii="Times New Roman" w:hAnsi="Times New Roman" w:cs="Times New Roman"/>
                <w:lang w:eastAsia="en-AU"/>
              </w:rPr>
            </w:pPr>
            <w:r w:rsidRPr="003E4580">
              <w:rPr>
                <w:rFonts w:ascii="Times New Roman" w:hAnsi="Times New Roman" w:cs="Times New Roman"/>
                <w:lang w:eastAsia="en-AU"/>
              </w:rPr>
              <w:t>Recommended the Department consider avenues to retrofit heavy vehicles with forward collision warning and LDWS to reduce fatalities and injuries further.</w:t>
            </w:r>
          </w:p>
          <w:p w14:paraId="79B5ECDD" w14:textId="77777777" w:rsidR="00C35E4A" w:rsidRPr="003E4580" w:rsidRDefault="00C35E4A" w:rsidP="008360E0">
            <w:pPr>
              <w:pStyle w:val="ListParagraph"/>
              <w:numPr>
                <w:ilvl w:val="0"/>
                <w:numId w:val="34"/>
              </w:numPr>
              <w:textAlignment w:val="auto"/>
              <w:rPr>
                <w:rFonts w:ascii="Times New Roman" w:hAnsi="Times New Roman" w:cs="Times New Roman"/>
                <w:lang w:eastAsia="en-AU"/>
              </w:rPr>
            </w:pPr>
            <w:r w:rsidRPr="003E4580">
              <w:rPr>
                <w:rFonts w:ascii="Times New Roman" w:hAnsi="Times New Roman" w:cs="Times New Roman"/>
                <w:lang w:eastAsia="en-AU"/>
              </w:rPr>
              <w:t>Suggested increasing the speed of uptake of new safety technologies into ADRs for pedestrian and cyclist warning.</w:t>
            </w:r>
          </w:p>
          <w:p w14:paraId="534CC282" w14:textId="77777777" w:rsidR="00C35E4A" w:rsidRPr="003E4580" w:rsidRDefault="00C35E4A" w:rsidP="008360E0">
            <w:pPr>
              <w:pStyle w:val="ListParagraph"/>
              <w:numPr>
                <w:ilvl w:val="0"/>
                <w:numId w:val="34"/>
              </w:numPr>
              <w:textAlignment w:val="auto"/>
              <w:rPr>
                <w:rFonts w:ascii="Times New Roman" w:hAnsi="Times New Roman" w:cs="Times New Roman"/>
                <w:lang w:eastAsia="en-AU"/>
              </w:rPr>
            </w:pPr>
            <w:r w:rsidRPr="003E4580">
              <w:rPr>
                <w:rFonts w:ascii="Times New Roman" w:hAnsi="Times New Roman" w:cs="Times New Roman"/>
                <w:lang w:eastAsia="en-AU"/>
              </w:rPr>
              <w:t xml:space="preserve">Supported ADRs for more advanced technologies along with having them as default ‘on’. </w:t>
            </w:r>
          </w:p>
          <w:p w14:paraId="42CEE88B" w14:textId="77777777" w:rsidR="00C35E4A" w:rsidRPr="003E4580" w:rsidRDefault="00C35E4A" w:rsidP="008360E0">
            <w:pPr>
              <w:pStyle w:val="ListParagraph"/>
              <w:numPr>
                <w:ilvl w:val="0"/>
                <w:numId w:val="34"/>
              </w:numPr>
              <w:textAlignment w:val="auto"/>
              <w:rPr>
                <w:rFonts w:ascii="Times New Roman" w:hAnsi="Times New Roman" w:cs="Times New Roman"/>
                <w:lang w:eastAsia="en-AU"/>
              </w:rPr>
            </w:pPr>
            <w:r w:rsidRPr="003E4580">
              <w:rPr>
                <w:rFonts w:ascii="Times New Roman" w:hAnsi="Times New Roman" w:cs="Times New Roman"/>
                <w:lang w:eastAsia="en-AU"/>
              </w:rPr>
              <w:t>Recommended more consumer awareness surrounding these technologies.</w:t>
            </w:r>
          </w:p>
        </w:tc>
        <w:tc>
          <w:tcPr>
            <w:tcW w:w="1837" w:type="pct"/>
            <w:tcBorders>
              <w:top w:val="single" w:sz="8" w:space="0" w:color="FFFFFF"/>
              <w:left w:val="single" w:sz="8" w:space="0" w:color="FFFFFF"/>
              <w:bottom w:val="single" w:sz="8" w:space="0" w:color="FFFFFF"/>
              <w:right w:val="single" w:sz="8" w:space="0" w:color="FFFFFF"/>
            </w:tcBorders>
          </w:tcPr>
          <w:p w14:paraId="16BBE4E1" w14:textId="77777777" w:rsidR="00C35E4A" w:rsidRPr="003E4580" w:rsidRDefault="00C35E4A" w:rsidP="008360E0">
            <w:pPr>
              <w:pStyle w:val="ListParagraph"/>
              <w:numPr>
                <w:ilvl w:val="0"/>
                <w:numId w:val="36"/>
              </w:numPr>
              <w:textAlignment w:val="auto"/>
              <w:rPr>
                <w:rFonts w:ascii="Times New Roman" w:hAnsi="Times New Roman" w:cs="Times New Roman"/>
                <w:lang w:eastAsia="en-AU"/>
              </w:rPr>
            </w:pPr>
            <w:r w:rsidRPr="003E4580">
              <w:rPr>
                <w:rFonts w:ascii="Times New Roman" w:hAnsi="Times New Roman" w:cs="Times New Roman"/>
                <w:lang w:eastAsia="en-AU"/>
              </w:rPr>
              <w:t>Agreed</w:t>
            </w:r>
          </w:p>
          <w:p w14:paraId="4148510C" w14:textId="77777777" w:rsidR="00C35E4A" w:rsidRPr="003E4580" w:rsidRDefault="00C35E4A" w:rsidP="008360E0">
            <w:pPr>
              <w:pStyle w:val="ListParagraph"/>
              <w:numPr>
                <w:ilvl w:val="0"/>
                <w:numId w:val="36"/>
              </w:numPr>
              <w:textAlignment w:val="auto"/>
              <w:rPr>
                <w:rFonts w:ascii="Times New Roman" w:hAnsi="Times New Roman" w:cs="Times New Roman"/>
                <w:lang w:eastAsia="en-AU"/>
              </w:rPr>
            </w:pPr>
            <w:r w:rsidRPr="003E4580">
              <w:rPr>
                <w:rFonts w:ascii="Times New Roman" w:hAnsi="Times New Roman" w:cs="Times New Roman"/>
                <w:lang w:eastAsia="en-AU"/>
              </w:rPr>
              <w:t>Noted. The ADRs apply to vehicles when first supplied to the Australian market. In-service modification and their safety is the responsibility of the state and territory road authorities.</w:t>
            </w:r>
          </w:p>
          <w:p w14:paraId="0E5A13E0" w14:textId="523B34C2" w:rsidR="00C35E4A" w:rsidRPr="003E4580" w:rsidRDefault="00C35E4A" w:rsidP="008360E0">
            <w:pPr>
              <w:pStyle w:val="ListParagraph"/>
              <w:numPr>
                <w:ilvl w:val="0"/>
                <w:numId w:val="36"/>
              </w:numPr>
              <w:textAlignment w:val="auto"/>
              <w:rPr>
                <w:rFonts w:ascii="Times New Roman" w:hAnsi="Times New Roman" w:cs="Times New Roman"/>
                <w:lang w:eastAsia="en-AU"/>
              </w:rPr>
            </w:pPr>
            <w:r w:rsidRPr="003E4580">
              <w:rPr>
                <w:rFonts w:ascii="Times New Roman" w:hAnsi="Times New Roman" w:cs="Times New Roman"/>
                <w:lang w:eastAsia="en-AU"/>
              </w:rPr>
              <w:t xml:space="preserve">Noted. </w:t>
            </w:r>
            <w:r w:rsidR="00D94A09" w:rsidRPr="003E4580">
              <w:rPr>
                <w:rFonts w:ascii="Times New Roman" w:hAnsi="Times New Roman" w:cs="Times New Roman"/>
                <w:lang w:eastAsia="en-AU"/>
              </w:rPr>
              <w:t>A new ADR</w:t>
            </w:r>
            <w:r w:rsidRPr="003E4580">
              <w:rPr>
                <w:rFonts w:ascii="Times New Roman" w:hAnsi="Times New Roman" w:cs="Times New Roman"/>
                <w:lang w:eastAsia="en-AU"/>
              </w:rPr>
              <w:t xml:space="preserve"> for Reversing Aids to ensure the safety of pedestrians in reversing incidents</w:t>
            </w:r>
            <w:r w:rsidR="00D94A09" w:rsidRPr="003E4580">
              <w:rPr>
                <w:rFonts w:ascii="Times New Roman" w:hAnsi="Times New Roman" w:cs="Times New Roman"/>
                <w:lang w:eastAsia="en-AU"/>
              </w:rPr>
              <w:t xml:space="preserve"> was implemented in June 2023</w:t>
            </w:r>
            <w:r w:rsidRPr="003E4580">
              <w:rPr>
                <w:rFonts w:ascii="Times New Roman" w:hAnsi="Times New Roman" w:cs="Times New Roman"/>
                <w:lang w:eastAsia="en-AU"/>
              </w:rPr>
              <w:t xml:space="preserve">. BSIS is part of the Safer Freight Vehicles </w:t>
            </w:r>
            <w:r w:rsidR="00BE593B" w:rsidRPr="003E4580">
              <w:rPr>
                <w:rFonts w:ascii="Times New Roman" w:hAnsi="Times New Roman" w:cs="Times New Roman"/>
                <w:lang w:eastAsia="en-AU"/>
              </w:rPr>
              <w:t>package</w:t>
            </w:r>
            <w:r w:rsidRPr="003E4580">
              <w:rPr>
                <w:rFonts w:ascii="Times New Roman" w:hAnsi="Times New Roman" w:cs="Times New Roman"/>
                <w:lang w:eastAsia="en-AU"/>
              </w:rPr>
              <w:t>.</w:t>
            </w:r>
          </w:p>
          <w:p w14:paraId="30B93C09" w14:textId="77777777" w:rsidR="00C35E4A" w:rsidRPr="003E4580" w:rsidRDefault="00C35E4A" w:rsidP="008360E0">
            <w:pPr>
              <w:pStyle w:val="ListParagraph"/>
              <w:numPr>
                <w:ilvl w:val="0"/>
                <w:numId w:val="36"/>
              </w:numPr>
              <w:textAlignment w:val="auto"/>
              <w:rPr>
                <w:rFonts w:ascii="Times New Roman" w:hAnsi="Times New Roman" w:cs="Times New Roman"/>
                <w:lang w:eastAsia="en-AU"/>
              </w:rPr>
            </w:pPr>
            <w:r w:rsidRPr="003E4580">
              <w:rPr>
                <w:rFonts w:ascii="Times New Roman" w:hAnsi="Times New Roman" w:cs="Times New Roman"/>
                <w:lang w:eastAsia="en-AU"/>
              </w:rPr>
              <w:t>Noted.</w:t>
            </w:r>
          </w:p>
          <w:p w14:paraId="4D40FFEF" w14:textId="77777777" w:rsidR="00C35E4A" w:rsidRPr="003E4580" w:rsidRDefault="00C35E4A" w:rsidP="008360E0">
            <w:pPr>
              <w:pStyle w:val="ListParagraph"/>
              <w:numPr>
                <w:ilvl w:val="0"/>
                <w:numId w:val="36"/>
              </w:numPr>
              <w:textAlignment w:val="auto"/>
              <w:rPr>
                <w:rFonts w:ascii="Times New Roman" w:hAnsi="Times New Roman" w:cs="Times New Roman"/>
                <w:lang w:eastAsia="en-AU"/>
              </w:rPr>
            </w:pPr>
            <w:r w:rsidRPr="003E4580">
              <w:rPr>
                <w:rFonts w:ascii="Times New Roman" w:hAnsi="Times New Roman" w:cs="Times New Roman"/>
                <w:lang w:eastAsia="en-AU"/>
              </w:rPr>
              <w:t xml:space="preserve">The Department will work with state and territory governments, road safety advocates and organisations, such as ANCAP to expand its advocacy and community education activities on LDWS. As part of its community education and advocacy role, ANCAP has conducted a number of community engagement activities to promote and explain the availability, function, benefits and limitations of ADAS </w:t>
            </w:r>
            <w:r w:rsidRPr="003E4580">
              <w:rPr>
                <w:rFonts w:ascii="Times New Roman" w:hAnsi="Times New Roman" w:cs="Times New Roman"/>
                <w:lang w:eastAsia="en-AU"/>
              </w:rPr>
              <w:lastRenderedPageBreak/>
              <w:t>currently available on new vehicles.</w:t>
            </w:r>
          </w:p>
        </w:tc>
      </w:tr>
      <w:tr w:rsidR="00C35E4A" w:rsidRPr="003E4580" w14:paraId="0127D158" w14:textId="77777777" w:rsidTr="008360E0">
        <w:tc>
          <w:tcPr>
            <w:tcW w:w="768" w:type="pct"/>
            <w:tcBorders>
              <w:top w:val="single" w:sz="8" w:space="0" w:color="FFFFFF"/>
              <w:left w:val="single" w:sz="8" w:space="0" w:color="FFFFFF"/>
              <w:bottom w:val="single" w:sz="8" w:space="0" w:color="FFFFFF"/>
              <w:right w:val="single" w:sz="8" w:space="0" w:color="FFFFFF"/>
            </w:tcBorders>
          </w:tcPr>
          <w:p w14:paraId="191F12A8" w14:textId="77777777" w:rsidR="00C35E4A" w:rsidRPr="003E4580" w:rsidRDefault="00C35E4A" w:rsidP="00387C1C">
            <w:pPr>
              <w:rPr>
                <w:rFonts w:ascii="Times New Roman" w:hAnsi="Times New Roman"/>
              </w:rPr>
            </w:pPr>
            <w:r w:rsidRPr="003E4580">
              <w:rPr>
                <w:rFonts w:ascii="Times New Roman" w:hAnsi="Times New Roman"/>
              </w:rPr>
              <w:lastRenderedPageBreak/>
              <w:t>Anonymous</w:t>
            </w:r>
          </w:p>
        </w:tc>
        <w:tc>
          <w:tcPr>
            <w:tcW w:w="569" w:type="pct"/>
            <w:tcBorders>
              <w:top w:val="single" w:sz="8" w:space="0" w:color="FFFFFF"/>
              <w:left w:val="single" w:sz="8" w:space="0" w:color="FFFFFF"/>
              <w:bottom w:val="single" w:sz="8" w:space="0" w:color="FFFFFF"/>
              <w:right w:val="single" w:sz="8" w:space="0" w:color="FFFFFF"/>
            </w:tcBorders>
          </w:tcPr>
          <w:p w14:paraId="581B8960" w14:textId="77777777" w:rsidR="00C35E4A" w:rsidRPr="003E4580" w:rsidRDefault="00C35E4A" w:rsidP="00387C1C">
            <w:pPr>
              <w:jc w:val="center"/>
              <w:rPr>
                <w:rFonts w:ascii="Times New Roman" w:hAnsi="Times New Roman"/>
                <w:lang w:eastAsia="en-AU"/>
              </w:rPr>
            </w:pPr>
            <w:r w:rsidRPr="003E4580">
              <w:rPr>
                <w:rFonts w:ascii="Times New Roman" w:hAnsi="Times New Roman"/>
                <w:lang w:eastAsia="en-AU"/>
              </w:rPr>
              <w:t>Option 1</w:t>
            </w:r>
          </w:p>
        </w:tc>
        <w:tc>
          <w:tcPr>
            <w:tcW w:w="1825" w:type="pct"/>
            <w:tcBorders>
              <w:top w:val="single" w:sz="8" w:space="0" w:color="FFFFFF"/>
              <w:left w:val="single" w:sz="8" w:space="0" w:color="FFFFFF"/>
              <w:bottom w:val="single" w:sz="8" w:space="0" w:color="FFFFFF"/>
              <w:right w:val="single" w:sz="8" w:space="0" w:color="FFFFFF"/>
            </w:tcBorders>
          </w:tcPr>
          <w:p w14:paraId="3372199E" w14:textId="77777777" w:rsidR="00C35E4A" w:rsidRPr="003E4580" w:rsidRDefault="00C35E4A" w:rsidP="008360E0">
            <w:pPr>
              <w:pStyle w:val="ListParagraph"/>
              <w:numPr>
                <w:ilvl w:val="0"/>
                <w:numId w:val="46"/>
              </w:numPr>
              <w:textAlignment w:val="auto"/>
              <w:rPr>
                <w:rFonts w:ascii="Times New Roman" w:hAnsi="Times New Roman" w:cs="Times New Roman"/>
                <w:lang w:eastAsia="en-AU"/>
              </w:rPr>
            </w:pPr>
            <w:r w:rsidRPr="003E4580">
              <w:rPr>
                <w:rFonts w:ascii="Times New Roman" w:hAnsi="Times New Roman" w:cs="Times New Roman"/>
                <w:lang w:eastAsia="en-AU"/>
              </w:rPr>
              <w:t>Does not support mandating LDWS for all heavy vehicles. (Option 1)</w:t>
            </w:r>
          </w:p>
          <w:p w14:paraId="3B4D91E6" w14:textId="5B16DF2B" w:rsidR="00C35E4A" w:rsidRPr="003E4580" w:rsidRDefault="000629E8" w:rsidP="008360E0">
            <w:pPr>
              <w:pStyle w:val="ListParagraph"/>
              <w:numPr>
                <w:ilvl w:val="0"/>
                <w:numId w:val="46"/>
              </w:numPr>
              <w:textAlignment w:val="auto"/>
              <w:rPr>
                <w:rFonts w:ascii="Times New Roman" w:hAnsi="Times New Roman" w:cs="Times New Roman"/>
                <w:lang w:eastAsia="en-AU"/>
              </w:rPr>
            </w:pPr>
            <w:r w:rsidRPr="003E4580">
              <w:rPr>
                <w:rFonts w:ascii="Times New Roman" w:hAnsi="Times New Roman" w:cs="Times New Roman"/>
                <w:lang w:eastAsia="en-AU"/>
              </w:rPr>
              <w:t>Not supported by the evidence presented in the Consultation IA.</w:t>
            </w:r>
          </w:p>
          <w:p w14:paraId="29E2F3AE" w14:textId="77777777" w:rsidR="00C35E4A" w:rsidRPr="003E4580" w:rsidRDefault="00C35E4A" w:rsidP="008360E0">
            <w:pPr>
              <w:pStyle w:val="ListParagraph"/>
              <w:numPr>
                <w:ilvl w:val="0"/>
                <w:numId w:val="46"/>
              </w:numPr>
              <w:textAlignment w:val="auto"/>
              <w:rPr>
                <w:rFonts w:ascii="Times New Roman" w:hAnsi="Times New Roman" w:cs="Times New Roman"/>
                <w:lang w:eastAsia="en-AU"/>
              </w:rPr>
            </w:pPr>
            <w:r w:rsidRPr="003E4580">
              <w:rPr>
                <w:rFonts w:ascii="Times New Roman" w:hAnsi="Times New Roman" w:cs="Times New Roman"/>
                <w:lang w:eastAsia="en-AU"/>
              </w:rPr>
              <w:t>Believes an exemption for NB category vehicles designed for off-road use should apply.</w:t>
            </w:r>
          </w:p>
          <w:p w14:paraId="02AB2CDC" w14:textId="29F1942B" w:rsidR="00C35E4A" w:rsidRPr="003E4580" w:rsidRDefault="00C35E4A" w:rsidP="008360E0">
            <w:pPr>
              <w:pStyle w:val="ListParagraph"/>
              <w:numPr>
                <w:ilvl w:val="0"/>
                <w:numId w:val="46"/>
              </w:numPr>
              <w:textAlignment w:val="auto"/>
              <w:rPr>
                <w:rFonts w:ascii="Times New Roman" w:hAnsi="Times New Roman" w:cs="Times New Roman"/>
                <w:lang w:eastAsia="en-AU"/>
              </w:rPr>
            </w:pPr>
            <w:r w:rsidRPr="003E4580">
              <w:rPr>
                <w:rFonts w:ascii="Times New Roman" w:hAnsi="Times New Roman" w:cs="Times New Roman"/>
                <w:lang w:eastAsia="en-AU"/>
              </w:rPr>
              <w:t>Expressed concerns that cost estimates in the BCA seem low.</w:t>
            </w:r>
            <w:r w:rsidR="000629E8" w:rsidRPr="003E4580">
              <w:rPr>
                <w:rFonts w:ascii="Times New Roman" w:hAnsi="Times New Roman" w:cs="Times New Roman"/>
                <w:lang w:eastAsia="en-AU"/>
              </w:rPr>
              <w:t xml:space="preserve"> (</w:t>
            </w:r>
            <w:r w:rsidR="000629E8" w:rsidRPr="003E4580">
              <w:rPr>
                <w:rFonts w:ascii="Times New Roman" w:hAnsi="Times New Roman" w:cs="Times New Roman"/>
                <w:i/>
                <w:lang w:eastAsia="en-AU"/>
              </w:rPr>
              <w:t>No alternative costs were provided by submitter.)</w:t>
            </w:r>
          </w:p>
          <w:p w14:paraId="7BE4B4CE" w14:textId="77777777" w:rsidR="00C35E4A" w:rsidRPr="003E4580" w:rsidRDefault="00C35E4A" w:rsidP="008360E0">
            <w:pPr>
              <w:pStyle w:val="ListParagraph"/>
              <w:numPr>
                <w:ilvl w:val="0"/>
                <w:numId w:val="46"/>
              </w:numPr>
              <w:textAlignment w:val="auto"/>
              <w:rPr>
                <w:rFonts w:ascii="Times New Roman" w:hAnsi="Times New Roman" w:cs="Times New Roman"/>
                <w:lang w:eastAsia="en-AU"/>
              </w:rPr>
            </w:pPr>
            <w:r w:rsidRPr="003E4580">
              <w:rPr>
                <w:rFonts w:ascii="Times New Roman" w:hAnsi="Times New Roman" w:cs="Times New Roman"/>
                <w:lang w:eastAsia="en-AU"/>
              </w:rPr>
              <w:t>Believes the default ‘on’ setting should be reconsidered due to potential driver annoyance resulting in adverse effects on safety.</w:t>
            </w:r>
          </w:p>
          <w:p w14:paraId="0FF94E95" w14:textId="77777777" w:rsidR="00C35E4A" w:rsidRPr="003E4580" w:rsidRDefault="00C35E4A" w:rsidP="008360E0">
            <w:pPr>
              <w:pStyle w:val="ListParagraph"/>
              <w:numPr>
                <w:ilvl w:val="0"/>
                <w:numId w:val="46"/>
              </w:numPr>
              <w:textAlignment w:val="auto"/>
              <w:rPr>
                <w:rFonts w:ascii="Times New Roman" w:hAnsi="Times New Roman" w:cs="Times New Roman"/>
                <w:lang w:eastAsia="en-AU"/>
              </w:rPr>
            </w:pPr>
            <w:r w:rsidRPr="003E4580">
              <w:rPr>
                <w:rFonts w:ascii="Times New Roman" w:hAnsi="Times New Roman" w:cs="Times New Roman"/>
                <w:lang w:eastAsia="en-AU"/>
              </w:rPr>
              <w:t>Recommends 2 years lead time on implementation once the ADR is signed if the preferred option is to mandate an ADR.</w:t>
            </w:r>
          </w:p>
        </w:tc>
        <w:tc>
          <w:tcPr>
            <w:tcW w:w="1837" w:type="pct"/>
            <w:tcBorders>
              <w:top w:val="single" w:sz="8" w:space="0" w:color="FFFFFF"/>
              <w:left w:val="single" w:sz="8" w:space="0" w:color="FFFFFF"/>
              <w:bottom w:val="single" w:sz="8" w:space="0" w:color="FFFFFF"/>
              <w:right w:val="single" w:sz="8" w:space="0" w:color="FFFFFF"/>
            </w:tcBorders>
          </w:tcPr>
          <w:p w14:paraId="6A486B64" w14:textId="77777777" w:rsidR="00C35E4A" w:rsidRPr="003E4580" w:rsidRDefault="00C35E4A" w:rsidP="008360E0">
            <w:pPr>
              <w:pStyle w:val="ListParagraph"/>
              <w:numPr>
                <w:ilvl w:val="0"/>
                <w:numId w:val="37"/>
              </w:numPr>
              <w:textAlignment w:val="auto"/>
              <w:rPr>
                <w:rFonts w:ascii="Times New Roman" w:hAnsi="Times New Roman" w:cs="Times New Roman"/>
                <w:lang w:eastAsia="en-AU"/>
              </w:rPr>
            </w:pPr>
            <w:r w:rsidRPr="003E4580">
              <w:rPr>
                <w:rFonts w:ascii="Times New Roman" w:hAnsi="Times New Roman" w:cs="Times New Roman"/>
                <w:lang w:eastAsia="en-AU"/>
              </w:rPr>
              <w:t>Noted</w:t>
            </w:r>
          </w:p>
          <w:p w14:paraId="774CBD2E" w14:textId="29F8C174" w:rsidR="00C35E4A" w:rsidRPr="003E4580" w:rsidRDefault="00C35E4A" w:rsidP="008360E0">
            <w:pPr>
              <w:pStyle w:val="ListParagraph"/>
              <w:numPr>
                <w:ilvl w:val="0"/>
                <w:numId w:val="37"/>
              </w:numPr>
              <w:textAlignment w:val="auto"/>
              <w:rPr>
                <w:rFonts w:ascii="Times New Roman" w:hAnsi="Times New Roman" w:cs="Times New Roman"/>
                <w:lang w:eastAsia="en-AU"/>
              </w:rPr>
            </w:pPr>
            <w:r w:rsidRPr="003E4580">
              <w:rPr>
                <w:rFonts w:ascii="Times New Roman" w:hAnsi="Times New Roman" w:cs="Times New Roman"/>
                <w:lang w:eastAsia="en-AU"/>
              </w:rPr>
              <w:t xml:space="preserve">It was noted in this </w:t>
            </w:r>
            <w:r w:rsidR="000629E8" w:rsidRPr="003E4580">
              <w:rPr>
                <w:rFonts w:ascii="Times New Roman" w:hAnsi="Times New Roman" w:cs="Times New Roman"/>
                <w:lang w:eastAsia="en-AU"/>
              </w:rPr>
              <w:t>IA</w:t>
            </w:r>
            <w:r w:rsidRPr="003E4580">
              <w:rPr>
                <w:rFonts w:ascii="Times New Roman" w:hAnsi="Times New Roman" w:cs="Times New Roman"/>
                <w:lang w:eastAsia="en-AU"/>
              </w:rPr>
              <w:t xml:space="preserve"> that fitment of LDWS has been increasing steadily in recent years. However, currently LDWS perform differently depending on the manufacturer and not all vehicles fitted with LDWS will meet all the injury risk derived performance requirements of UN R130. It is these performance based limits that will deliver the large majority of benefits outlined in this </w:t>
            </w:r>
            <w:r w:rsidR="00D009F3" w:rsidRPr="003E4580">
              <w:rPr>
                <w:rFonts w:ascii="Times New Roman" w:hAnsi="Times New Roman" w:cs="Times New Roman"/>
                <w:lang w:eastAsia="en-AU"/>
              </w:rPr>
              <w:t>IA</w:t>
            </w:r>
            <w:r w:rsidRPr="003E4580">
              <w:rPr>
                <w:rFonts w:ascii="Times New Roman" w:hAnsi="Times New Roman" w:cs="Times New Roman"/>
                <w:lang w:eastAsia="en-AU"/>
              </w:rPr>
              <w:t>.</w:t>
            </w:r>
          </w:p>
          <w:p w14:paraId="56029674" w14:textId="77777777" w:rsidR="00C35E4A" w:rsidRPr="003E4580" w:rsidRDefault="00C35E4A" w:rsidP="008360E0">
            <w:pPr>
              <w:pStyle w:val="ListParagraph"/>
              <w:numPr>
                <w:ilvl w:val="0"/>
                <w:numId w:val="37"/>
              </w:numPr>
              <w:textAlignment w:val="auto"/>
              <w:rPr>
                <w:rFonts w:ascii="Times New Roman" w:hAnsi="Times New Roman" w:cs="Times New Roman"/>
                <w:lang w:eastAsia="en-AU"/>
              </w:rPr>
            </w:pPr>
            <w:r w:rsidRPr="003E4580">
              <w:rPr>
                <w:rFonts w:ascii="Times New Roman" w:hAnsi="Times New Roman" w:cs="Times New Roman"/>
                <w:lang w:eastAsia="en-AU"/>
              </w:rPr>
              <w:t>Noted. Exemptions are clearly set out in the ADR, as consulted on separately with stakeholders to implement the recommended option.</w:t>
            </w:r>
          </w:p>
          <w:p w14:paraId="3C52CD03" w14:textId="3E4B5DB1" w:rsidR="00C35E4A" w:rsidRPr="003E4580" w:rsidRDefault="00C35E4A" w:rsidP="008360E0">
            <w:pPr>
              <w:pStyle w:val="ListParagraph"/>
              <w:numPr>
                <w:ilvl w:val="0"/>
                <w:numId w:val="37"/>
              </w:numPr>
              <w:textAlignment w:val="auto"/>
              <w:rPr>
                <w:rFonts w:ascii="Times New Roman" w:hAnsi="Times New Roman" w:cs="Times New Roman"/>
                <w:lang w:eastAsia="en-AU"/>
              </w:rPr>
            </w:pPr>
            <w:r w:rsidRPr="003E4580">
              <w:rPr>
                <w:rFonts w:ascii="Times New Roman" w:hAnsi="Times New Roman" w:cs="Times New Roman"/>
                <w:lang w:eastAsia="en-AU"/>
              </w:rPr>
              <w:t xml:space="preserve">Noted. While new safety technologies can be expensive, progressive fitment and increased production lowers the price of the technology over time. Therefore, while there may be some initial increases in pricing on specific models, this will usually be absorbed into the price of the vehicle during its production life. The Department consulted with industry on costs, existing and projected fitment rates prior to developing the consultation </w:t>
            </w:r>
            <w:r w:rsidR="00D009F3" w:rsidRPr="003E4580">
              <w:rPr>
                <w:rFonts w:ascii="Times New Roman" w:hAnsi="Times New Roman" w:cs="Times New Roman"/>
                <w:lang w:eastAsia="en-AU"/>
              </w:rPr>
              <w:t>IA</w:t>
            </w:r>
            <w:r w:rsidRPr="003E4580">
              <w:rPr>
                <w:rFonts w:ascii="Times New Roman" w:hAnsi="Times New Roman" w:cs="Times New Roman"/>
                <w:lang w:eastAsia="en-AU"/>
              </w:rPr>
              <w:t xml:space="preserve">. Post-consultation dialogue with the heavy vehicle industry have resolved these matters further and the final </w:t>
            </w:r>
            <w:r w:rsidR="00D009F3" w:rsidRPr="003E4580">
              <w:rPr>
                <w:rFonts w:ascii="Times New Roman" w:hAnsi="Times New Roman" w:cs="Times New Roman"/>
                <w:lang w:eastAsia="en-AU"/>
              </w:rPr>
              <w:t>IA</w:t>
            </w:r>
            <w:r w:rsidRPr="003E4580">
              <w:rPr>
                <w:rFonts w:ascii="Times New Roman" w:hAnsi="Times New Roman" w:cs="Times New Roman"/>
                <w:lang w:eastAsia="en-AU"/>
              </w:rPr>
              <w:t xml:space="preserve"> BCA outcomes have been adjusted to reflect this. </w:t>
            </w:r>
          </w:p>
          <w:p w14:paraId="4F8FC302" w14:textId="77777777" w:rsidR="00C35E4A" w:rsidRPr="003E4580" w:rsidRDefault="00C35E4A" w:rsidP="008360E0">
            <w:pPr>
              <w:pStyle w:val="ListParagraph"/>
              <w:numPr>
                <w:ilvl w:val="0"/>
                <w:numId w:val="37"/>
              </w:numPr>
              <w:textAlignment w:val="auto"/>
              <w:rPr>
                <w:rFonts w:ascii="Times New Roman" w:hAnsi="Times New Roman" w:cs="Times New Roman"/>
                <w:lang w:eastAsia="en-AU"/>
              </w:rPr>
            </w:pPr>
            <w:r w:rsidRPr="003E4580">
              <w:rPr>
                <w:rFonts w:ascii="Times New Roman" w:hAnsi="Times New Roman" w:cs="Times New Roman"/>
                <w:lang w:eastAsia="en-AU"/>
              </w:rPr>
              <w:t>Noted. The Department engages at the UN working groups to influence UN regulations through future amendments.</w:t>
            </w:r>
          </w:p>
          <w:p w14:paraId="5938F22D" w14:textId="77777777" w:rsidR="00C35E4A" w:rsidRPr="003E4580" w:rsidRDefault="00C35E4A" w:rsidP="008360E0">
            <w:pPr>
              <w:pStyle w:val="ListParagraph"/>
              <w:numPr>
                <w:ilvl w:val="0"/>
                <w:numId w:val="37"/>
              </w:numPr>
              <w:textAlignment w:val="auto"/>
              <w:rPr>
                <w:rFonts w:ascii="Times New Roman" w:hAnsi="Times New Roman" w:cs="Times New Roman"/>
                <w:lang w:eastAsia="en-AU"/>
              </w:rPr>
            </w:pPr>
            <w:r w:rsidRPr="003E4580">
              <w:rPr>
                <w:rFonts w:ascii="Times New Roman" w:hAnsi="Times New Roman" w:cs="Times New Roman"/>
                <w:lang w:eastAsia="en-AU"/>
              </w:rPr>
              <w:t xml:space="preserve">Noted. Final implementation dates will be determined as part of </w:t>
            </w:r>
            <w:r w:rsidRPr="003E4580">
              <w:rPr>
                <w:rFonts w:ascii="Times New Roman" w:hAnsi="Times New Roman" w:cs="Times New Roman"/>
                <w:lang w:eastAsia="en-AU"/>
              </w:rPr>
              <w:lastRenderedPageBreak/>
              <w:t>the ADR, following further consultation by the Department with industry and decision by the Minister.</w:t>
            </w:r>
          </w:p>
          <w:p w14:paraId="78AF8901" w14:textId="77777777" w:rsidR="00C35E4A" w:rsidRPr="003E4580" w:rsidRDefault="00C35E4A" w:rsidP="00387C1C">
            <w:pPr>
              <w:pStyle w:val="ListParagraph"/>
              <w:ind w:left="360"/>
              <w:rPr>
                <w:rFonts w:ascii="Times New Roman" w:hAnsi="Times New Roman" w:cs="Times New Roman"/>
                <w:lang w:eastAsia="en-AU"/>
              </w:rPr>
            </w:pPr>
          </w:p>
        </w:tc>
      </w:tr>
      <w:tr w:rsidR="00C35E4A" w:rsidRPr="003E4580" w14:paraId="4379C271" w14:textId="77777777" w:rsidTr="008360E0">
        <w:tc>
          <w:tcPr>
            <w:tcW w:w="768" w:type="pct"/>
            <w:tcBorders>
              <w:top w:val="single" w:sz="8" w:space="0" w:color="FFFFFF"/>
              <w:left w:val="single" w:sz="8" w:space="0" w:color="FFFFFF"/>
              <w:bottom w:val="single" w:sz="8" w:space="0" w:color="FFFFFF"/>
              <w:right w:val="single" w:sz="8" w:space="0" w:color="FFFFFF"/>
            </w:tcBorders>
          </w:tcPr>
          <w:p w14:paraId="6F96D8AF" w14:textId="77777777" w:rsidR="00C35E4A" w:rsidRPr="003E4580" w:rsidRDefault="00C35E4A" w:rsidP="00387C1C">
            <w:pPr>
              <w:rPr>
                <w:rFonts w:ascii="Times New Roman" w:hAnsi="Times New Roman"/>
              </w:rPr>
            </w:pPr>
            <w:r w:rsidRPr="003E4580">
              <w:rPr>
                <w:rFonts w:ascii="Times New Roman" w:hAnsi="Times New Roman"/>
              </w:rPr>
              <w:lastRenderedPageBreak/>
              <w:t>Truck Industry Council (TIC)</w:t>
            </w:r>
          </w:p>
        </w:tc>
        <w:tc>
          <w:tcPr>
            <w:tcW w:w="569" w:type="pct"/>
            <w:tcBorders>
              <w:top w:val="single" w:sz="8" w:space="0" w:color="FFFFFF"/>
              <w:left w:val="single" w:sz="8" w:space="0" w:color="FFFFFF"/>
              <w:bottom w:val="single" w:sz="8" w:space="0" w:color="FFFFFF"/>
              <w:right w:val="single" w:sz="8" w:space="0" w:color="FFFFFF"/>
            </w:tcBorders>
          </w:tcPr>
          <w:p w14:paraId="0903A8DD" w14:textId="77777777" w:rsidR="00C35E4A" w:rsidRPr="003E4580" w:rsidRDefault="00C35E4A" w:rsidP="00387C1C">
            <w:pPr>
              <w:jc w:val="center"/>
              <w:rPr>
                <w:rFonts w:ascii="Times New Roman" w:hAnsi="Times New Roman"/>
              </w:rPr>
            </w:pPr>
            <w:r w:rsidRPr="003E4580">
              <w:rPr>
                <w:rFonts w:ascii="Times New Roman" w:hAnsi="Times New Roman"/>
                <w:lang w:eastAsia="en-AU"/>
              </w:rPr>
              <w:t>Option 2</w:t>
            </w:r>
          </w:p>
        </w:tc>
        <w:tc>
          <w:tcPr>
            <w:tcW w:w="1825" w:type="pct"/>
            <w:tcBorders>
              <w:top w:val="single" w:sz="8" w:space="0" w:color="FFFFFF"/>
              <w:left w:val="single" w:sz="8" w:space="0" w:color="FFFFFF"/>
              <w:bottom w:val="single" w:sz="8" w:space="0" w:color="FFFFFF"/>
              <w:right w:val="single" w:sz="8" w:space="0" w:color="FFFFFF"/>
            </w:tcBorders>
            <w:vAlign w:val="center"/>
          </w:tcPr>
          <w:p w14:paraId="6C71EBE4" w14:textId="77777777"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rPr>
              <w:t>Supports mandating LDWS for all heavy vehicles. (Option 2)</w:t>
            </w:r>
          </w:p>
          <w:p w14:paraId="69738036" w14:textId="38AA8B51"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 xml:space="preserve">TIC suggests that the </w:t>
            </w:r>
            <w:r w:rsidR="0051381B" w:rsidRPr="003E4580">
              <w:rPr>
                <w:rFonts w:ascii="Times New Roman" w:hAnsi="Times New Roman" w:cs="Times New Roman"/>
                <w:lang w:eastAsia="en-AU"/>
              </w:rPr>
              <w:t>IA</w:t>
            </w:r>
            <w:r w:rsidRPr="003E4580">
              <w:rPr>
                <w:rFonts w:ascii="Times New Roman" w:hAnsi="Times New Roman" w:cs="Times New Roman"/>
                <w:lang w:eastAsia="en-AU"/>
              </w:rPr>
              <w:t xml:space="preserve"> for the ADR 99/00 be amended to acknowledge that not all heavy vehicles are driven by professionals.</w:t>
            </w:r>
          </w:p>
          <w:p w14:paraId="0F0A9786" w14:textId="6D0F79EB"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TIC note</w:t>
            </w:r>
            <w:r w:rsidR="00BE593B" w:rsidRPr="003E4580">
              <w:rPr>
                <w:rFonts w:ascii="Times New Roman" w:hAnsi="Times New Roman" w:cs="Times New Roman"/>
                <w:lang w:eastAsia="en-AU"/>
              </w:rPr>
              <w:t>d</w:t>
            </w:r>
            <w:r w:rsidRPr="003E4580">
              <w:rPr>
                <w:rFonts w:ascii="Times New Roman" w:hAnsi="Times New Roman" w:cs="Times New Roman"/>
                <w:lang w:eastAsia="en-AU"/>
              </w:rPr>
              <w:t xml:space="preserve"> that on Page 6 of the ES, there is an incorrect reference to “reversing technologies” that should be changed to “lane departure warning systems”.</w:t>
            </w:r>
          </w:p>
          <w:p w14:paraId="2463A57B" w14:textId="49EC7B13"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TIC recommend</w:t>
            </w:r>
            <w:r w:rsidR="00D94A09" w:rsidRPr="003E4580">
              <w:rPr>
                <w:rFonts w:ascii="Times New Roman" w:hAnsi="Times New Roman" w:cs="Times New Roman"/>
                <w:lang w:eastAsia="en-AU"/>
              </w:rPr>
              <w:t>ed</w:t>
            </w:r>
            <w:r w:rsidRPr="003E4580">
              <w:rPr>
                <w:rFonts w:ascii="Times New Roman" w:hAnsi="Times New Roman" w:cs="Times New Roman"/>
                <w:lang w:eastAsia="en-AU"/>
              </w:rPr>
              <w:t xml:space="preserve"> delineating the different forms of freight task and avoid the generalization used at the bottom of page 10 of the </w:t>
            </w:r>
            <w:r w:rsidR="00D009F3" w:rsidRPr="003E4580">
              <w:rPr>
                <w:rFonts w:ascii="Times New Roman" w:hAnsi="Times New Roman" w:cs="Times New Roman"/>
                <w:lang w:eastAsia="en-AU"/>
              </w:rPr>
              <w:t>Consultation IA</w:t>
            </w:r>
            <w:r w:rsidRPr="003E4580">
              <w:rPr>
                <w:rFonts w:ascii="Times New Roman" w:hAnsi="Times New Roman" w:cs="Times New Roman"/>
                <w:lang w:eastAsia="en-AU"/>
              </w:rPr>
              <w:t>, to better characterise freight volumes in their respective freight task types.</w:t>
            </w:r>
          </w:p>
          <w:p w14:paraId="1DD02332" w14:textId="01FA4C35"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TIC suggest</w:t>
            </w:r>
            <w:r w:rsidR="00D94A09" w:rsidRPr="003E4580">
              <w:rPr>
                <w:rFonts w:ascii="Times New Roman" w:hAnsi="Times New Roman" w:cs="Times New Roman"/>
                <w:lang w:eastAsia="en-AU"/>
              </w:rPr>
              <w:t>ed</w:t>
            </w:r>
            <w:r w:rsidRPr="003E4580">
              <w:rPr>
                <w:rFonts w:ascii="Times New Roman" w:hAnsi="Times New Roman" w:cs="Times New Roman"/>
                <w:lang w:eastAsia="en-AU"/>
              </w:rPr>
              <w:t xml:space="preserve"> rewriting the statement regarding ”steering shudder” on Page 20 of the </w:t>
            </w:r>
            <w:r w:rsidR="00D009F3" w:rsidRPr="003E4580">
              <w:rPr>
                <w:rFonts w:ascii="Times New Roman" w:hAnsi="Times New Roman" w:cs="Times New Roman"/>
                <w:lang w:eastAsia="en-AU"/>
              </w:rPr>
              <w:t>Consultation IA</w:t>
            </w:r>
            <w:r w:rsidRPr="003E4580">
              <w:rPr>
                <w:rFonts w:ascii="Times New Roman" w:hAnsi="Times New Roman" w:cs="Times New Roman"/>
                <w:lang w:eastAsia="en-AU"/>
              </w:rPr>
              <w:t xml:space="preserve"> to better clarify and reflect the need for LDWS to have two forms of driver warnings. They suggest removing any implication that certain techniques of warning are preferred or necessary.</w:t>
            </w:r>
          </w:p>
          <w:p w14:paraId="54E301E4" w14:textId="1CC7DBEE"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TIC suggest</w:t>
            </w:r>
            <w:r w:rsidR="00D94A09" w:rsidRPr="003E4580">
              <w:rPr>
                <w:rFonts w:ascii="Times New Roman" w:hAnsi="Times New Roman" w:cs="Times New Roman"/>
                <w:lang w:eastAsia="en-AU"/>
              </w:rPr>
              <w:t>ed</w:t>
            </w:r>
            <w:r w:rsidRPr="003E4580">
              <w:rPr>
                <w:rFonts w:ascii="Times New Roman" w:hAnsi="Times New Roman" w:cs="Times New Roman"/>
                <w:lang w:eastAsia="en-AU"/>
              </w:rPr>
              <w:t xml:space="preserve"> revising the BAU to show that LDWS are sub-systems of a majority of AEB systems. They note</w:t>
            </w:r>
            <w:r w:rsidR="00D94A09" w:rsidRPr="003E4580">
              <w:rPr>
                <w:rFonts w:ascii="Times New Roman" w:hAnsi="Times New Roman" w:cs="Times New Roman"/>
                <w:lang w:eastAsia="en-AU"/>
              </w:rPr>
              <w:t>d</w:t>
            </w:r>
            <w:r w:rsidRPr="003E4580">
              <w:rPr>
                <w:rFonts w:ascii="Times New Roman" w:hAnsi="Times New Roman" w:cs="Times New Roman"/>
                <w:lang w:eastAsia="en-AU"/>
              </w:rPr>
              <w:t xml:space="preserve"> that the mandating of ADR 97/00 will drive automatic adoption of LDWS, which will result in higher fitment rates that would mean mandating ADR 99/00 would be of little value.</w:t>
            </w:r>
          </w:p>
          <w:p w14:paraId="23CC61AB" w14:textId="344A2370"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TIC suggest</w:t>
            </w:r>
            <w:r w:rsidR="00D94A09" w:rsidRPr="003E4580">
              <w:rPr>
                <w:rFonts w:ascii="Times New Roman" w:hAnsi="Times New Roman" w:cs="Times New Roman"/>
                <w:lang w:eastAsia="en-AU"/>
              </w:rPr>
              <w:t>ed</w:t>
            </w:r>
            <w:r w:rsidRPr="003E4580">
              <w:rPr>
                <w:rFonts w:ascii="Times New Roman" w:hAnsi="Times New Roman" w:cs="Times New Roman"/>
                <w:lang w:eastAsia="en-AU"/>
              </w:rPr>
              <w:t xml:space="preserve"> that the ADR 99/00 </w:t>
            </w:r>
            <w:r w:rsidR="00D009F3" w:rsidRPr="003E4580">
              <w:rPr>
                <w:rFonts w:ascii="Times New Roman" w:hAnsi="Times New Roman" w:cs="Times New Roman"/>
                <w:lang w:eastAsia="en-AU"/>
              </w:rPr>
              <w:t>Consultation IA</w:t>
            </w:r>
            <w:r w:rsidRPr="003E4580">
              <w:rPr>
                <w:rFonts w:ascii="Times New Roman" w:hAnsi="Times New Roman" w:cs="Times New Roman"/>
                <w:lang w:eastAsia="en-AU"/>
              </w:rPr>
              <w:t xml:space="preserve"> must </w:t>
            </w:r>
            <w:r w:rsidRPr="003E4580">
              <w:rPr>
                <w:rFonts w:ascii="Times New Roman" w:hAnsi="Times New Roman" w:cs="Times New Roman"/>
                <w:lang w:eastAsia="en-AU"/>
              </w:rPr>
              <w:lastRenderedPageBreak/>
              <w:t>clearly state actual performance requirements of ADR 99/00.</w:t>
            </w:r>
          </w:p>
          <w:p w14:paraId="72CBAECA" w14:textId="4463C766"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 xml:space="preserve">TIC </w:t>
            </w:r>
            <w:r w:rsidR="00D94A09" w:rsidRPr="003E4580">
              <w:rPr>
                <w:rFonts w:ascii="Times New Roman" w:hAnsi="Times New Roman" w:cs="Times New Roman"/>
                <w:lang w:eastAsia="en-AU"/>
              </w:rPr>
              <w:t xml:space="preserve">stated that </w:t>
            </w:r>
            <w:r w:rsidRPr="003E4580">
              <w:rPr>
                <w:rFonts w:ascii="Times New Roman" w:hAnsi="Times New Roman" w:cs="Times New Roman"/>
                <w:lang w:eastAsia="en-AU"/>
              </w:rPr>
              <w:t xml:space="preserve">the </w:t>
            </w:r>
            <w:r w:rsidR="00D009F3" w:rsidRPr="003E4580">
              <w:rPr>
                <w:rFonts w:ascii="Times New Roman" w:hAnsi="Times New Roman" w:cs="Times New Roman"/>
                <w:lang w:eastAsia="en-AU"/>
              </w:rPr>
              <w:t>Consultation IA</w:t>
            </w:r>
            <w:r w:rsidRPr="003E4580">
              <w:rPr>
                <w:rFonts w:ascii="Times New Roman" w:hAnsi="Times New Roman" w:cs="Times New Roman"/>
                <w:lang w:eastAsia="en-AU"/>
              </w:rPr>
              <w:t xml:space="preserve"> must clearly detail federal, State, Territory and Local governments need to develop line markings and surrounding regulations that align with European standards so that European vehicles can provide a maximum safety benefit on Australian roads.</w:t>
            </w:r>
          </w:p>
          <w:p w14:paraId="0AFD7B24" w14:textId="42E5747D"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 xml:space="preserve">TIC </w:t>
            </w:r>
            <w:r w:rsidR="00D94A09" w:rsidRPr="003E4580">
              <w:rPr>
                <w:rFonts w:ascii="Times New Roman" w:hAnsi="Times New Roman" w:cs="Times New Roman"/>
                <w:lang w:eastAsia="en-AU"/>
              </w:rPr>
              <w:t xml:space="preserve">thought </w:t>
            </w:r>
            <w:r w:rsidRPr="003E4580">
              <w:rPr>
                <w:rFonts w:ascii="Times New Roman" w:hAnsi="Times New Roman" w:cs="Times New Roman"/>
                <w:lang w:eastAsia="en-AU"/>
              </w:rPr>
              <w:t>the BCR assumptions should be clarified, in particular what percentage of roads LDWS is believed to be effective on.</w:t>
            </w:r>
          </w:p>
          <w:p w14:paraId="3969BC04" w14:textId="77B2B07B"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 xml:space="preserve">TIC </w:t>
            </w:r>
            <w:r w:rsidR="00D94A09" w:rsidRPr="003E4580">
              <w:rPr>
                <w:rFonts w:ascii="Times New Roman" w:hAnsi="Times New Roman" w:cs="Times New Roman"/>
                <w:lang w:eastAsia="en-AU"/>
              </w:rPr>
              <w:t xml:space="preserve">thought </w:t>
            </w:r>
            <w:r w:rsidRPr="003E4580">
              <w:rPr>
                <w:rFonts w:ascii="Times New Roman" w:hAnsi="Times New Roman" w:cs="Times New Roman"/>
                <w:lang w:eastAsia="en-AU"/>
              </w:rPr>
              <w:t>that LDWS on light vehicles, is of higher importance and time sensitivity than LDWS on heavy vehicles.</w:t>
            </w:r>
          </w:p>
          <w:p w14:paraId="285EB82D" w14:textId="1D294D0E"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 xml:space="preserve">TIC </w:t>
            </w:r>
            <w:r w:rsidR="00D94A09" w:rsidRPr="003E4580">
              <w:rPr>
                <w:rFonts w:ascii="Times New Roman" w:hAnsi="Times New Roman" w:cs="Times New Roman"/>
                <w:lang w:eastAsia="en-AU"/>
              </w:rPr>
              <w:t xml:space="preserve">requested </w:t>
            </w:r>
            <w:r w:rsidRPr="003E4580">
              <w:rPr>
                <w:rFonts w:ascii="Times New Roman" w:hAnsi="Times New Roman" w:cs="Times New Roman"/>
                <w:lang w:eastAsia="en-AU"/>
              </w:rPr>
              <w:t>the costings for LDWS for heavy vehicles should be revised, justified and reshared for review.</w:t>
            </w:r>
          </w:p>
          <w:p w14:paraId="54CC5E34" w14:textId="547DDAFE"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 xml:space="preserve">TIC </w:t>
            </w:r>
            <w:r w:rsidR="00D94A09" w:rsidRPr="003E4580">
              <w:rPr>
                <w:rFonts w:ascii="Times New Roman" w:hAnsi="Times New Roman" w:cs="Times New Roman"/>
                <w:lang w:eastAsia="en-AU"/>
              </w:rPr>
              <w:t xml:space="preserve">suggested greater </w:t>
            </w:r>
            <w:r w:rsidRPr="003E4580">
              <w:rPr>
                <w:rFonts w:ascii="Times New Roman" w:hAnsi="Times New Roman" w:cs="Times New Roman"/>
                <w:lang w:eastAsia="en-AU"/>
              </w:rPr>
              <w:t>clarity surrounding applicability requirements in ADR 99/00. For vehicles over 2.5m wide and up to and including 2.5m wide, they believe clarity is needed for applicability dates and vehicle exemptions.</w:t>
            </w:r>
          </w:p>
          <w:p w14:paraId="3F46D226" w14:textId="3461DFFB"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TIC suggest</w:t>
            </w:r>
            <w:r w:rsidR="00D94A09" w:rsidRPr="003E4580">
              <w:rPr>
                <w:rFonts w:ascii="Times New Roman" w:hAnsi="Times New Roman" w:cs="Times New Roman"/>
                <w:lang w:eastAsia="en-AU"/>
              </w:rPr>
              <w:t>ed</w:t>
            </w:r>
            <w:r w:rsidRPr="003E4580">
              <w:rPr>
                <w:rFonts w:ascii="Times New Roman" w:hAnsi="Times New Roman" w:cs="Times New Roman"/>
                <w:lang w:eastAsia="en-AU"/>
              </w:rPr>
              <w:t xml:space="preserve"> re-naming the standard to; Vehicle Standard (Lane Departure Warning Systems) 2022, to more appropriately reflect the correct year.</w:t>
            </w:r>
          </w:p>
          <w:p w14:paraId="1AF8CCCE" w14:textId="77777777"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Recommended ADR99/00 implementation timings be amended as follows:</w:t>
            </w:r>
          </w:p>
          <w:p w14:paraId="55D5BBDF" w14:textId="11F01B31" w:rsidR="00C35E4A" w:rsidRPr="003E4580" w:rsidRDefault="00C35E4A" w:rsidP="008360E0">
            <w:pPr>
              <w:pStyle w:val="ListParagraph"/>
              <w:numPr>
                <w:ilvl w:val="1"/>
                <w:numId w:val="39"/>
              </w:numPr>
              <w:textAlignment w:val="auto"/>
              <w:rPr>
                <w:rFonts w:ascii="Times New Roman" w:hAnsi="Times New Roman" w:cs="Times New Roman"/>
                <w:lang w:eastAsia="en-AU"/>
              </w:rPr>
            </w:pPr>
            <w:r w:rsidRPr="003E4580">
              <w:rPr>
                <w:rFonts w:ascii="Times New Roman" w:hAnsi="Times New Roman" w:cs="Times New Roman"/>
                <w:lang w:eastAsia="en-AU"/>
              </w:rPr>
              <w:t xml:space="preserve">Clause 3.3.1 - 1 November 2024 for NEW model vehicles (no change to the </w:t>
            </w:r>
            <w:r w:rsidR="00D009F3" w:rsidRPr="003E4580">
              <w:rPr>
                <w:rFonts w:ascii="Times New Roman" w:hAnsi="Times New Roman" w:cs="Times New Roman"/>
                <w:lang w:eastAsia="en-AU"/>
              </w:rPr>
              <w:lastRenderedPageBreak/>
              <w:t>Consultation IA</w:t>
            </w:r>
            <w:r w:rsidRPr="003E4580">
              <w:rPr>
                <w:rFonts w:ascii="Times New Roman" w:hAnsi="Times New Roman" w:cs="Times New Roman"/>
                <w:lang w:eastAsia="en-AU"/>
              </w:rPr>
              <w:t xml:space="preserve"> recommendation)</w:t>
            </w:r>
          </w:p>
          <w:p w14:paraId="03954D55" w14:textId="77777777" w:rsidR="00C35E4A" w:rsidRPr="003E4580" w:rsidRDefault="00C35E4A" w:rsidP="008360E0">
            <w:pPr>
              <w:pStyle w:val="ListParagraph"/>
              <w:numPr>
                <w:ilvl w:val="1"/>
                <w:numId w:val="39"/>
              </w:numPr>
              <w:textAlignment w:val="auto"/>
              <w:rPr>
                <w:rFonts w:ascii="Times New Roman" w:hAnsi="Times New Roman" w:cs="Times New Roman"/>
                <w:lang w:eastAsia="en-AU"/>
              </w:rPr>
            </w:pPr>
            <w:r w:rsidRPr="003E4580">
              <w:rPr>
                <w:rFonts w:ascii="Times New Roman" w:hAnsi="Times New Roman" w:cs="Times New Roman"/>
                <w:lang w:eastAsia="en-AU"/>
              </w:rPr>
              <w:t>Clause 3.3.2 - 1 February 2027 for ALL vehicles</w:t>
            </w:r>
          </w:p>
          <w:p w14:paraId="11C457E6" w14:textId="77777777"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Recommended the introduction dates would need to ensure that a minimum of two (2) years from the ADR gazettal date for the introduction on NEW model trucks and a minimum of three (3) years from the ADR gazettal date for the introduction on ALL model trucks.</w:t>
            </w:r>
          </w:p>
          <w:p w14:paraId="346CD7DD" w14:textId="369A74AD"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TIC recommend that ADR 99/00 must specifically detail the line marking test specifications that the LDWS system must meet. They also suggest removing all line markings from Annex 3</w:t>
            </w:r>
            <w:r w:rsidR="00D94A09" w:rsidRPr="003E4580">
              <w:rPr>
                <w:rFonts w:ascii="Times New Roman" w:hAnsi="Times New Roman" w:cs="Times New Roman"/>
                <w:lang w:eastAsia="en-AU"/>
              </w:rPr>
              <w:t xml:space="preserve"> of UN R 130</w:t>
            </w:r>
            <w:r w:rsidRPr="003E4580">
              <w:rPr>
                <w:rFonts w:ascii="Times New Roman" w:hAnsi="Times New Roman" w:cs="Times New Roman"/>
                <w:lang w:eastAsia="en-AU"/>
              </w:rPr>
              <w:t xml:space="preserve"> that are not applicable to Australia.</w:t>
            </w:r>
          </w:p>
        </w:tc>
        <w:tc>
          <w:tcPr>
            <w:tcW w:w="1837" w:type="pct"/>
            <w:tcBorders>
              <w:top w:val="single" w:sz="8" w:space="0" w:color="FFFFFF"/>
              <w:left w:val="single" w:sz="8" w:space="0" w:color="FFFFFF"/>
              <w:bottom w:val="single" w:sz="8" w:space="0" w:color="FFFFFF"/>
              <w:right w:val="single" w:sz="8" w:space="0" w:color="FFFFFF"/>
            </w:tcBorders>
          </w:tcPr>
          <w:p w14:paraId="4EA213CC" w14:textId="77777777"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lastRenderedPageBreak/>
              <w:t>Agreed.</w:t>
            </w:r>
          </w:p>
          <w:p w14:paraId="3ADE6322" w14:textId="708A47AA"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 xml:space="preserve">Noted. The </w:t>
            </w:r>
            <w:r w:rsidR="0051381B" w:rsidRPr="003E4580">
              <w:rPr>
                <w:rFonts w:ascii="Times New Roman" w:hAnsi="Times New Roman" w:cs="Times New Roman"/>
                <w:lang w:eastAsia="en-AU"/>
              </w:rPr>
              <w:t xml:space="preserve">IA </w:t>
            </w:r>
            <w:r w:rsidRPr="003E4580">
              <w:rPr>
                <w:rFonts w:ascii="Times New Roman" w:hAnsi="Times New Roman" w:cs="Times New Roman"/>
                <w:lang w:eastAsia="en-AU"/>
              </w:rPr>
              <w:t>has been revised to reflect this.</w:t>
            </w:r>
          </w:p>
          <w:p w14:paraId="008DEA05" w14:textId="77777777"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Noted. See above.</w:t>
            </w:r>
          </w:p>
          <w:p w14:paraId="5F576D0C" w14:textId="173304BE"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 xml:space="preserve">Noted. The Final </w:t>
            </w:r>
            <w:r w:rsidR="000629E8" w:rsidRPr="003E4580">
              <w:rPr>
                <w:rFonts w:ascii="Times New Roman" w:hAnsi="Times New Roman" w:cs="Times New Roman"/>
                <w:lang w:eastAsia="en-AU"/>
              </w:rPr>
              <w:t>IA</w:t>
            </w:r>
            <w:r w:rsidRPr="003E4580">
              <w:rPr>
                <w:rFonts w:ascii="Times New Roman" w:hAnsi="Times New Roman" w:cs="Times New Roman"/>
                <w:lang w:eastAsia="en-AU"/>
              </w:rPr>
              <w:t xml:space="preserve"> </w:t>
            </w:r>
            <w:r w:rsidR="00D94A09" w:rsidRPr="003E4580">
              <w:rPr>
                <w:rFonts w:ascii="Times New Roman" w:hAnsi="Times New Roman" w:cs="Times New Roman"/>
                <w:lang w:eastAsia="en-AU"/>
              </w:rPr>
              <w:t>has been updated to state</w:t>
            </w:r>
            <w:r w:rsidRPr="003E4580">
              <w:rPr>
                <w:rFonts w:ascii="Times New Roman" w:hAnsi="Times New Roman" w:cs="Times New Roman"/>
                <w:lang w:eastAsia="en-AU"/>
              </w:rPr>
              <w:t xml:space="preserve"> that while the overall road freight task may have been reduced during the COVID pandemic, the urban/metro road freight task increased.</w:t>
            </w:r>
          </w:p>
          <w:p w14:paraId="37FF5E25" w14:textId="77777777"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Noted.</w:t>
            </w:r>
          </w:p>
          <w:p w14:paraId="5ACB8F40" w14:textId="332F9BAD"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 xml:space="preserve">Noted. The Department consulted with industry on costs, existing and projected fitment rates prior to developing the </w:t>
            </w:r>
            <w:r w:rsidR="00D009F3" w:rsidRPr="003E4580">
              <w:rPr>
                <w:rFonts w:ascii="Times New Roman" w:hAnsi="Times New Roman" w:cs="Times New Roman"/>
                <w:lang w:eastAsia="en-AU"/>
              </w:rPr>
              <w:t>C</w:t>
            </w:r>
            <w:r w:rsidRPr="003E4580">
              <w:rPr>
                <w:rFonts w:ascii="Times New Roman" w:hAnsi="Times New Roman" w:cs="Times New Roman"/>
                <w:lang w:eastAsia="en-AU"/>
              </w:rPr>
              <w:t xml:space="preserve">onsultation </w:t>
            </w:r>
            <w:r w:rsidR="00D009F3" w:rsidRPr="003E4580">
              <w:rPr>
                <w:rFonts w:ascii="Times New Roman" w:hAnsi="Times New Roman" w:cs="Times New Roman"/>
                <w:lang w:eastAsia="en-AU"/>
              </w:rPr>
              <w:t>IA</w:t>
            </w:r>
            <w:r w:rsidRPr="003E4580">
              <w:rPr>
                <w:rFonts w:ascii="Times New Roman" w:hAnsi="Times New Roman" w:cs="Times New Roman"/>
                <w:lang w:eastAsia="en-AU"/>
              </w:rPr>
              <w:t xml:space="preserve">. The analysis in the </w:t>
            </w:r>
            <w:r w:rsidR="00D009F3" w:rsidRPr="003E4580">
              <w:rPr>
                <w:rFonts w:ascii="Times New Roman" w:hAnsi="Times New Roman" w:cs="Times New Roman"/>
                <w:lang w:eastAsia="en-AU"/>
              </w:rPr>
              <w:t>Consultation IA</w:t>
            </w:r>
            <w:r w:rsidRPr="003E4580">
              <w:rPr>
                <w:rFonts w:ascii="Times New Roman" w:hAnsi="Times New Roman" w:cs="Times New Roman"/>
                <w:lang w:eastAsia="en-AU"/>
              </w:rPr>
              <w:t xml:space="preserve"> identified and accounted for heavy vehicles fitted with AEBS and LDWS. Post-consultation dialogue with the heavy vehicle industry have resolved these matters with regard to the BCA and the final </w:t>
            </w:r>
            <w:r w:rsidR="00D009F3" w:rsidRPr="003E4580">
              <w:rPr>
                <w:rFonts w:ascii="Times New Roman" w:hAnsi="Times New Roman" w:cs="Times New Roman"/>
                <w:lang w:eastAsia="en-AU"/>
              </w:rPr>
              <w:t>IA</w:t>
            </w:r>
            <w:r w:rsidRPr="003E4580">
              <w:rPr>
                <w:rFonts w:ascii="Times New Roman" w:hAnsi="Times New Roman" w:cs="Times New Roman"/>
                <w:lang w:eastAsia="en-AU"/>
              </w:rPr>
              <w:t xml:space="preserve"> BCA outcomes have been adjusted to reflect this.</w:t>
            </w:r>
          </w:p>
          <w:p w14:paraId="4E4373F9" w14:textId="6D7D1FE2"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Noted. Appendix</w:t>
            </w:r>
            <w:r w:rsidR="00BE593B" w:rsidRPr="003E4580">
              <w:rPr>
                <w:rFonts w:ascii="Times New Roman" w:hAnsi="Times New Roman" w:cs="Times New Roman"/>
                <w:lang w:eastAsia="en-AU"/>
              </w:rPr>
              <w:t xml:space="preserve"> D</w:t>
            </w:r>
            <w:r w:rsidRPr="003E4580">
              <w:rPr>
                <w:rFonts w:ascii="Times New Roman" w:hAnsi="Times New Roman" w:cs="Times New Roman"/>
                <w:lang w:eastAsia="en-AU"/>
              </w:rPr>
              <w:t xml:space="preserve"> in the Final </w:t>
            </w:r>
            <w:r w:rsidR="00D009F3" w:rsidRPr="003E4580">
              <w:rPr>
                <w:rFonts w:ascii="Times New Roman" w:hAnsi="Times New Roman" w:cs="Times New Roman"/>
                <w:lang w:eastAsia="en-AU"/>
              </w:rPr>
              <w:t>IA</w:t>
            </w:r>
            <w:r w:rsidRPr="003E4580">
              <w:rPr>
                <w:rFonts w:ascii="Times New Roman" w:hAnsi="Times New Roman" w:cs="Times New Roman"/>
                <w:lang w:eastAsia="en-AU"/>
              </w:rPr>
              <w:t xml:space="preserve"> details the specific performance requirements of ADR 99/00.</w:t>
            </w:r>
          </w:p>
          <w:p w14:paraId="0CC4FC9D" w14:textId="0DF57C1C" w:rsidR="00C35E4A" w:rsidRPr="003E4580" w:rsidRDefault="000629E8"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The Austroads report (AP-R578-18) documents a project undertaken to achieve national harmonisation through the development of national performance specification/criteria for pavement markings.</w:t>
            </w:r>
          </w:p>
          <w:p w14:paraId="7C1BCEC0" w14:textId="1B49A453"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 xml:space="preserve">Post-consultation dialogue with TIC have informed the original BCA conducted in the </w:t>
            </w:r>
            <w:r w:rsidR="00D009F3" w:rsidRPr="003E4580">
              <w:rPr>
                <w:rFonts w:ascii="Times New Roman" w:hAnsi="Times New Roman" w:cs="Times New Roman"/>
                <w:lang w:eastAsia="en-AU"/>
              </w:rPr>
              <w:t>C</w:t>
            </w:r>
            <w:r w:rsidRPr="003E4580">
              <w:rPr>
                <w:rFonts w:ascii="Times New Roman" w:hAnsi="Times New Roman" w:cs="Times New Roman"/>
                <w:lang w:eastAsia="en-AU"/>
              </w:rPr>
              <w:t xml:space="preserve">onsultation </w:t>
            </w:r>
            <w:r w:rsidR="00D009F3" w:rsidRPr="003E4580">
              <w:rPr>
                <w:rFonts w:ascii="Times New Roman" w:hAnsi="Times New Roman" w:cs="Times New Roman"/>
                <w:lang w:eastAsia="en-AU"/>
              </w:rPr>
              <w:t>IA</w:t>
            </w:r>
            <w:r w:rsidRPr="003E4580">
              <w:rPr>
                <w:rFonts w:ascii="Times New Roman" w:hAnsi="Times New Roman" w:cs="Times New Roman"/>
                <w:lang w:eastAsia="en-AU"/>
              </w:rPr>
              <w:t xml:space="preserve"> with regard to effectiveness of the LDWS and </w:t>
            </w:r>
            <w:r w:rsidRPr="003E4580">
              <w:rPr>
                <w:rFonts w:ascii="Times New Roman" w:hAnsi="Times New Roman" w:cs="Times New Roman"/>
                <w:lang w:eastAsia="en-AU"/>
              </w:rPr>
              <w:lastRenderedPageBreak/>
              <w:t xml:space="preserve">Australian roads. TIC agreed the BCA conducted was approximately in the right direction however </w:t>
            </w:r>
            <w:r w:rsidR="00D94A09" w:rsidRPr="003E4580">
              <w:rPr>
                <w:rFonts w:ascii="Times New Roman" w:hAnsi="Times New Roman" w:cs="Times New Roman"/>
                <w:lang w:eastAsia="en-AU"/>
              </w:rPr>
              <w:t xml:space="preserve">requested </w:t>
            </w:r>
            <w:r w:rsidRPr="003E4580">
              <w:rPr>
                <w:rFonts w:ascii="Times New Roman" w:hAnsi="Times New Roman" w:cs="Times New Roman"/>
                <w:lang w:eastAsia="en-AU"/>
              </w:rPr>
              <w:t>a revision to consider lane marking effectiveness and their impact on benefits derived.</w:t>
            </w:r>
          </w:p>
          <w:p w14:paraId="51D79309" w14:textId="1B7C56DB"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Noted.</w:t>
            </w:r>
            <w:r w:rsidR="001928DC" w:rsidRPr="003E4580">
              <w:rPr>
                <w:rFonts w:ascii="Times New Roman" w:hAnsi="Times New Roman" w:cs="Times New Roman"/>
                <w:lang w:eastAsia="en-AU"/>
              </w:rPr>
              <w:t xml:space="preserve"> The Department is examining the case to introduce Emergency Lane Keep Systems (ELKS) in Australia for light vehi</w:t>
            </w:r>
            <w:r w:rsidR="00D009F3" w:rsidRPr="003E4580">
              <w:rPr>
                <w:rFonts w:ascii="Times New Roman" w:hAnsi="Times New Roman" w:cs="Times New Roman"/>
                <w:lang w:eastAsia="en-AU"/>
              </w:rPr>
              <w:t>c</w:t>
            </w:r>
            <w:r w:rsidR="001928DC" w:rsidRPr="003E4580">
              <w:rPr>
                <w:rFonts w:ascii="Times New Roman" w:hAnsi="Times New Roman" w:cs="Times New Roman"/>
                <w:lang w:eastAsia="en-AU"/>
              </w:rPr>
              <w:t>les.</w:t>
            </w:r>
          </w:p>
          <w:p w14:paraId="5630A0B4" w14:textId="77777777"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See 9 above.</w:t>
            </w:r>
          </w:p>
          <w:p w14:paraId="2291EA77" w14:textId="77777777"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Noted. Post-consultation dialogue with TIC revealed their preference for a delayed implementation date for ADR 99/00. Final implementation dates will be determined as part of the ADR, following further consultation by the Department with industry and decision by the Minister.</w:t>
            </w:r>
          </w:p>
          <w:p w14:paraId="52DC9F3C" w14:textId="4D59DE1B"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A</w:t>
            </w:r>
            <w:r w:rsidR="001928DC" w:rsidRPr="003E4580">
              <w:rPr>
                <w:rFonts w:ascii="Times New Roman" w:hAnsi="Times New Roman" w:cs="Times New Roman"/>
                <w:lang w:eastAsia="en-AU"/>
              </w:rPr>
              <w:t>greed. The revised ES and ADR 99/00 both have been updated to 2023.</w:t>
            </w:r>
          </w:p>
          <w:p w14:paraId="74D5AFFD" w14:textId="77777777"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Noted. See 12.</w:t>
            </w:r>
          </w:p>
          <w:p w14:paraId="44CD6C07" w14:textId="77777777"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Noted. See 12.</w:t>
            </w:r>
          </w:p>
          <w:p w14:paraId="17B630C5" w14:textId="7331B993" w:rsidR="00C35E4A" w:rsidRPr="003E4580" w:rsidRDefault="001928DC"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 xml:space="preserve">In 2022, the Department consulted with local government councils building and designing roads and the heavy and light vehicle peak bodies to develop a proposal for the UN expert working group to include Australian highway lane markings in the Annex to UN R130 (GRVA-16-10). In addition, the Department has amended ADR 99/00 to include Australian lane markings in Appendix </w:t>
            </w:r>
            <w:r w:rsidR="00024C48" w:rsidRPr="003E4580">
              <w:rPr>
                <w:rFonts w:ascii="Times New Roman" w:hAnsi="Times New Roman" w:cs="Times New Roman"/>
                <w:lang w:eastAsia="en-AU"/>
              </w:rPr>
              <w:t>C</w:t>
            </w:r>
            <w:r w:rsidRPr="003E4580">
              <w:rPr>
                <w:rFonts w:ascii="Times New Roman" w:hAnsi="Times New Roman" w:cs="Times New Roman"/>
                <w:lang w:eastAsia="en-AU"/>
              </w:rPr>
              <w:t>.</w:t>
            </w:r>
          </w:p>
        </w:tc>
      </w:tr>
      <w:tr w:rsidR="00C35E4A" w:rsidRPr="003E4580" w14:paraId="3D090158" w14:textId="77777777" w:rsidTr="008360E0">
        <w:tc>
          <w:tcPr>
            <w:tcW w:w="768" w:type="pct"/>
            <w:tcBorders>
              <w:top w:val="single" w:sz="8" w:space="0" w:color="FFFFFF"/>
              <w:left w:val="single" w:sz="8" w:space="0" w:color="FFFFFF"/>
              <w:bottom w:val="single" w:sz="8" w:space="0" w:color="FFFFFF"/>
              <w:right w:val="single" w:sz="8" w:space="0" w:color="FFFFFF"/>
            </w:tcBorders>
          </w:tcPr>
          <w:p w14:paraId="312550D4" w14:textId="77777777" w:rsidR="00C35E4A" w:rsidRPr="003E4580" w:rsidRDefault="00C35E4A" w:rsidP="00387C1C">
            <w:pPr>
              <w:rPr>
                <w:rFonts w:ascii="Times New Roman" w:hAnsi="Times New Roman"/>
              </w:rPr>
            </w:pPr>
            <w:r w:rsidRPr="003E4580">
              <w:rPr>
                <w:rFonts w:ascii="Times New Roman" w:hAnsi="Times New Roman"/>
              </w:rPr>
              <w:lastRenderedPageBreak/>
              <w:t>Anonymous</w:t>
            </w:r>
          </w:p>
        </w:tc>
        <w:tc>
          <w:tcPr>
            <w:tcW w:w="569" w:type="pct"/>
            <w:tcBorders>
              <w:top w:val="single" w:sz="8" w:space="0" w:color="FFFFFF"/>
              <w:left w:val="single" w:sz="8" w:space="0" w:color="FFFFFF"/>
              <w:bottom w:val="single" w:sz="8" w:space="0" w:color="FFFFFF"/>
              <w:right w:val="single" w:sz="8" w:space="0" w:color="FFFFFF"/>
            </w:tcBorders>
          </w:tcPr>
          <w:p w14:paraId="7F9A9E71" w14:textId="77777777" w:rsidR="00C35E4A" w:rsidRPr="003E4580" w:rsidRDefault="00C35E4A" w:rsidP="00387C1C">
            <w:pPr>
              <w:jc w:val="center"/>
              <w:rPr>
                <w:rFonts w:ascii="Times New Roman" w:hAnsi="Times New Roman"/>
              </w:rPr>
            </w:pPr>
            <w:r w:rsidRPr="003E4580">
              <w:rPr>
                <w:rFonts w:ascii="Times New Roman" w:hAnsi="Times New Roman"/>
                <w:lang w:eastAsia="en-AU"/>
              </w:rPr>
              <w:t>Option 2</w:t>
            </w:r>
          </w:p>
        </w:tc>
        <w:tc>
          <w:tcPr>
            <w:tcW w:w="1825" w:type="pct"/>
            <w:tcBorders>
              <w:top w:val="single" w:sz="8" w:space="0" w:color="FFFFFF"/>
              <w:left w:val="single" w:sz="8" w:space="0" w:color="FFFFFF"/>
              <w:bottom w:val="single" w:sz="8" w:space="0" w:color="FFFFFF"/>
              <w:right w:val="single" w:sz="8" w:space="0" w:color="FFFFFF"/>
            </w:tcBorders>
            <w:vAlign w:val="center"/>
          </w:tcPr>
          <w:p w14:paraId="69BD558D" w14:textId="77777777" w:rsidR="00C35E4A" w:rsidRPr="003E4580" w:rsidRDefault="00C35E4A" w:rsidP="008360E0">
            <w:pPr>
              <w:pStyle w:val="ListParagraph"/>
              <w:numPr>
                <w:ilvl w:val="0"/>
                <w:numId w:val="35"/>
              </w:numPr>
              <w:textAlignment w:val="auto"/>
              <w:rPr>
                <w:rFonts w:ascii="Times New Roman" w:hAnsi="Times New Roman" w:cs="Times New Roman"/>
                <w:lang w:eastAsia="en-AU"/>
              </w:rPr>
            </w:pPr>
            <w:r w:rsidRPr="003E4580">
              <w:rPr>
                <w:rFonts w:ascii="Times New Roman" w:hAnsi="Times New Roman" w:cs="Times New Roman"/>
              </w:rPr>
              <w:t>Supports mandating LDWS for all heavy vehicles. (Option 2)</w:t>
            </w:r>
          </w:p>
        </w:tc>
        <w:tc>
          <w:tcPr>
            <w:tcW w:w="1837" w:type="pct"/>
            <w:tcBorders>
              <w:top w:val="single" w:sz="8" w:space="0" w:color="FFFFFF"/>
              <w:left w:val="single" w:sz="8" w:space="0" w:color="FFFFFF"/>
              <w:bottom w:val="single" w:sz="8" w:space="0" w:color="FFFFFF"/>
              <w:right w:val="single" w:sz="8" w:space="0" w:color="FFFFFF"/>
            </w:tcBorders>
          </w:tcPr>
          <w:p w14:paraId="1F87EFD8" w14:textId="77777777" w:rsidR="00C35E4A" w:rsidRPr="003E4580" w:rsidRDefault="00C35E4A" w:rsidP="008360E0">
            <w:pPr>
              <w:pStyle w:val="ListParagraph"/>
              <w:numPr>
                <w:ilvl w:val="0"/>
                <w:numId w:val="38"/>
              </w:numPr>
              <w:textAlignment w:val="auto"/>
              <w:rPr>
                <w:rFonts w:ascii="Times New Roman" w:hAnsi="Times New Roman" w:cs="Times New Roman"/>
                <w:lang w:eastAsia="en-AU"/>
              </w:rPr>
            </w:pPr>
            <w:r w:rsidRPr="003E4580">
              <w:rPr>
                <w:rFonts w:ascii="Times New Roman" w:hAnsi="Times New Roman" w:cs="Times New Roman"/>
                <w:lang w:eastAsia="en-AU"/>
              </w:rPr>
              <w:t>Agreed</w:t>
            </w:r>
          </w:p>
        </w:tc>
      </w:tr>
      <w:tr w:rsidR="00C35E4A" w:rsidRPr="003E4580" w14:paraId="47B3872C" w14:textId="77777777" w:rsidTr="008360E0">
        <w:tc>
          <w:tcPr>
            <w:tcW w:w="768" w:type="pct"/>
            <w:tcBorders>
              <w:top w:val="single" w:sz="8" w:space="0" w:color="FFFFFF"/>
              <w:left w:val="single" w:sz="8" w:space="0" w:color="FFFFFF"/>
              <w:bottom w:val="single" w:sz="8" w:space="0" w:color="FFFFFF"/>
              <w:right w:val="single" w:sz="8" w:space="0" w:color="FFFFFF"/>
            </w:tcBorders>
          </w:tcPr>
          <w:p w14:paraId="1D855893" w14:textId="77777777" w:rsidR="00C35E4A" w:rsidRPr="003E4580" w:rsidRDefault="00C35E4A" w:rsidP="00387C1C">
            <w:pPr>
              <w:rPr>
                <w:rFonts w:ascii="Times New Roman" w:hAnsi="Times New Roman"/>
              </w:rPr>
            </w:pPr>
            <w:r w:rsidRPr="003E4580">
              <w:rPr>
                <w:rFonts w:ascii="Times New Roman" w:hAnsi="Times New Roman"/>
              </w:rPr>
              <w:t>Gas Energy Australia</w:t>
            </w:r>
          </w:p>
        </w:tc>
        <w:tc>
          <w:tcPr>
            <w:tcW w:w="569" w:type="pct"/>
            <w:tcBorders>
              <w:top w:val="single" w:sz="8" w:space="0" w:color="FFFFFF"/>
              <w:left w:val="single" w:sz="8" w:space="0" w:color="FFFFFF"/>
              <w:bottom w:val="single" w:sz="8" w:space="0" w:color="FFFFFF"/>
              <w:right w:val="single" w:sz="8" w:space="0" w:color="FFFFFF"/>
            </w:tcBorders>
          </w:tcPr>
          <w:p w14:paraId="1FA3BD72" w14:textId="77777777" w:rsidR="00C35E4A" w:rsidRPr="003E4580" w:rsidRDefault="00C35E4A" w:rsidP="00387C1C">
            <w:pPr>
              <w:jc w:val="center"/>
              <w:rPr>
                <w:rFonts w:ascii="Times New Roman" w:hAnsi="Times New Roman"/>
              </w:rPr>
            </w:pPr>
            <w:r w:rsidRPr="003E4580">
              <w:rPr>
                <w:rFonts w:ascii="Times New Roman" w:hAnsi="Times New Roman"/>
                <w:lang w:eastAsia="en-AU"/>
              </w:rPr>
              <w:t>Option 2</w:t>
            </w:r>
          </w:p>
        </w:tc>
        <w:tc>
          <w:tcPr>
            <w:tcW w:w="1825" w:type="pct"/>
            <w:tcBorders>
              <w:top w:val="single" w:sz="8" w:space="0" w:color="FFFFFF"/>
              <w:left w:val="single" w:sz="8" w:space="0" w:color="FFFFFF"/>
              <w:bottom w:val="single" w:sz="8" w:space="0" w:color="FFFFFF"/>
              <w:right w:val="single" w:sz="8" w:space="0" w:color="FFFFFF"/>
            </w:tcBorders>
            <w:vAlign w:val="center"/>
          </w:tcPr>
          <w:p w14:paraId="67A7812C" w14:textId="77777777" w:rsidR="00C35E4A" w:rsidRPr="003E4580" w:rsidRDefault="00C35E4A" w:rsidP="008360E0">
            <w:pPr>
              <w:pStyle w:val="ListParagraph"/>
              <w:numPr>
                <w:ilvl w:val="0"/>
                <w:numId w:val="40"/>
              </w:numPr>
              <w:textAlignment w:val="auto"/>
              <w:rPr>
                <w:rFonts w:ascii="Times New Roman" w:hAnsi="Times New Roman" w:cs="Times New Roman"/>
                <w:lang w:eastAsia="en-AU"/>
              </w:rPr>
            </w:pPr>
            <w:r w:rsidRPr="003E4580">
              <w:rPr>
                <w:rFonts w:ascii="Times New Roman" w:hAnsi="Times New Roman" w:cs="Times New Roman"/>
              </w:rPr>
              <w:t>Supports mandating LDWS for all heavy vehicles. (Option 2)</w:t>
            </w:r>
          </w:p>
          <w:p w14:paraId="20136F1F" w14:textId="77777777" w:rsidR="00C35E4A" w:rsidRPr="003E4580" w:rsidRDefault="00C35E4A" w:rsidP="008360E0">
            <w:pPr>
              <w:pStyle w:val="ListParagraph"/>
              <w:numPr>
                <w:ilvl w:val="0"/>
                <w:numId w:val="40"/>
              </w:numPr>
              <w:textAlignment w:val="auto"/>
              <w:rPr>
                <w:rFonts w:ascii="Times New Roman" w:hAnsi="Times New Roman" w:cs="Times New Roman"/>
                <w:lang w:eastAsia="en-AU"/>
              </w:rPr>
            </w:pPr>
            <w:r w:rsidRPr="003E4580">
              <w:rPr>
                <w:rFonts w:ascii="Times New Roman" w:hAnsi="Times New Roman" w:cs="Times New Roman"/>
                <w:lang w:eastAsia="en-AU"/>
              </w:rPr>
              <w:t>GEA notes that mandatory adoption of trusted safety technology is important not only for the heavy vehicle industry but all road users.</w:t>
            </w:r>
          </w:p>
          <w:p w14:paraId="249AAE96" w14:textId="77777777" w:rsidR="00C35E4A" w:rsidRPr="003E4580" w:rsidRDefault="00C35E4A" w:rsidP="008360E0">
            <w:pPr>
              <w:pStyle w:val="ListParagraph"/>
              <w:numPr>
                <w:ilvl w:val="0"/>
                <w:numId w:val="40"/>
              </w:numPr>
              <w:textAlignment w:val="auto"/>
              <w:rPr>
                <w:rFonts w:ascii="Times New Roman" w:hAnsi="Times New Roman" w:cs="Times New Roman"/>
                <w:lang w:eastAsia="en-AU"/>
              </w:rPr>
            </w:pPr>
            <w:r w:rsidRPr="003E4580">
              <w:rPr>
                <w:rFonts w:ascii="Times New Roman" w:hAnsi="Times New Roman" w:cs="Times New Roman"/>
                <w:lang w:eastAsia="en-AU"/>
              </w:rPr>
              <w:t>GEA supports the proposed implementation timing.</w:t>
            </w:r>
          </w:p>
        </w:tc>
        <w:tc>
          <w:tcPr>
            <w:tcW w:w="1837" w:type="pct"/>
            <w:tcBorders>
              <w:top w:val="single" w:sz="8" w:space="0" w:color="FFFFFF"/>
              <w:left w:val="single" w:sz="8" w:space="0" w:color="FFFFFF"/>
              <w:bottom w:val="single" w:sz="8" w:space="0" w:color="FFFFFF"/>
              <w:right w:val="single" w:sz="8" w:space="0" w:color="FFFFFF"/>
            </w:tcBorders>
          </w:tcPr>
          <w:p w14:paraId="5D287E6B" w14:textId="77777777" w:rsidR="00C35E4A" w:rsidRPr="003E4580" w:rsidRDefault="00C35E4A" w:rsidP="008360E0">
            <w:pPr>
              <w:pStyle w:val="ListParagraph"/>
              <w:numPr>
                <w:ilvl w:val="0"/>
                <w:numId w:val="41"/>
              </w:numPr>
              <w:textAlignment w:val="auto"/>
              <w:rPr>
                <w:rFonts w:ascii="Times New Roman" w:hAnsi="Times New Roman" w:cs="Times New Roman"/>
                <w:lang w:eastAsia="en-AU"/>
              </w:rPr>
            </w:pPr>
            <w:r w:rsidRPr="003E4580">
              <w:rPr>
                <w:rFonts w:ascii="Times New Roman" w:hAnsi="Times New Roman" w:cs="Times New Roman"/>
                <w:lang w:eastAsia="en-AU"/>
              </w:rPr>
              <w:t>Agreed</w:t>
            </w:r>
          </w:p>
          <w:p w14:paraId="7586A51C" w14:textId="77777777" w:rsidR="00C35E4A" w:rsidRPr="003E4580" w:rsidRDefault="00C35E4A" w:rsidP="008360E0">
            <w:pPr>
              <w:pStyle w:val="ListParagraph"/>
              <w:numPr>
                <w:ilvl w:val="0"/>
                <w:numId w:val="41"/>
              </w:numPr>
              <w:textAlignment w:val="auto"/>
              <w:rPr>
                <w:rFonts w:ascii="Times New Roman" w:hAnsi="Times New Roman" w:cs="Times New Roman"/>
                <w:lang w:eastAsia="en-AU"/>
              </w:rPr>
            </w:pPr>
            <w:r w:rsidRPr="003E4580">
              <w:rPr>
                <w:rFonts w:ascii="Times New Roman" w:hAnsi="Times New Roman" w:cs="Times New Roman"/>
                <w:lang w:eastAsia="en-AU"/>
              </w:rPr>
              <w:t>Agreed</w:t>
            </w:r>
          </w:p>
          <w:p w14:paraId="497925FF" w14:textId="77777777" w:rsidR="00C35E4A" w:rsidRPr="003E4580" w:rsidRDefault="00C35E4A" w:rsidP="008360E0">
            <w:pPr>
              <w:pStyle w:val="ListParagraph"/>
              <w:numPr>
                <w:ilvl w:val="0"/>
                <w:numId w:val="41"/>
              </w:numPr>
              <w:textAlignment w:val="auto"/>
              <w:rPr>
                <w:rFonts w:ascii="Times New Roman" w:hAnsi="Times New Roman" w:cs="Times New Roman"/>
                <w:lang w:eastAsia="en-AU"/>
              </w:rPr>
            </w:pPr>
            <w:r w:rsidRPr="003E4580">
              <w:rPr>
                <w:rFonts w:ascii="Times New Roman" w:hAnsi="Times New Roman" w:cs="Times New Roman"/>
                <w:lang w:eastAsia="en-AU"/>
              </w:rPr>
              <w:t>Noted.</w:t>
            </w:r>
            <w:r w:rsidRPr="003E4580">
              <w:t xml:space="preserve"> </w:t>
            </w:r>
            <w:r w:rsidRPr="003E4580">
              <w:rPr>
                <w:rFonts w:ascii="Times New Roman" w:hAnsi="Times New Roman" w:cs="Times New Roman"/>
                <w:lang w:eastAsia="en-AU"/>
              </w:rPr>
              <w:t>Final implementation dates will be determined as part of the ADR, following further consultation by the Department with industry and decision by the Minister.</w:t>
            </w:r>
          </w:p>
        </w:tc>
      </w:tr>
      <w:tr w:rsidR="00C35E4A" w:rsidRPr="003E4580" w14:paraId="40A3B161" w14:textId="77777777" w:rsidTr="008360E0">
        <w:tc>
          <w:tcPr>
            <w:tcW w:w="768" w:type="pct"/>
            <w:tcBorders>
              <w:top w:val="single" w:sz="8" w:space="0" w:color="FFFFFF"/>
              <w:left w:val="single" w:sz="8" w:space="0" w:color="FFFFFF"/>
              <w:bottom w:val="single" w:sz="8" w:space="0" w:color="FFFFFF"/>
              <w:right w:val="single" w:sz="8" w:space="0" w:color="FFFFFF"/>
            </w:tcBorders>
          </w:tcPr>
          <w:p w14:paraId="4D556D2A" w14:textId="77777777" w:rsidR="00C35E4A" w:rsidRPr="003E4580" w:rsidRDefault="00C35E4A" w:rsidP="00387C1C">
            <w:pPr>
              <w:rPr>
                <w:rFonts w:ascii="Times New Roman" w:hAnsi="Times New Roman"/>
              </w:rPr>
            </w:pPr>
            <w:r w:rsidRPr="003E4580">
              <w:rPr>
                <w:rFonts w:ascii="Times New Roman" w:hAnsi="Times New Roman"/>
              </w:rPr>
              <w:t>Fiat Chrysler Automobiles (FCA)</w:t>
            </w:r>
          </w:p>
        </w:tc>
        <w:tc>
          <w:tcPr>
            <w:tcW w:w="569" w:type="pct"/>
            <w:tcBorders>
              <w:top w:val="single" w:sz="8" w:space="0" w:color="FFFFFF"/>
              <w:left w:val="single" w:sz="8" w:space="0" w:color="FFFFFF"/>
              <w:bottom w:val="single" w:sz="8" w:space="0" w:color="FFFFFF"/>
              <w:right w:val="single" w:sz="8" w:space="0" w:color="FFFFFF"/>
            </w:tcBorders>
          </w:tcPr>
          <w:p w14:paraId="6149B75A" w14:textId="77777777" w:rsidR="00C35E4A" w:rsidRPr="003E4580" w:rsidRDefault="00C35E4A" w:rsidP="00387C1C">
            <w:pPr>
              <w:jc w:val="center"/>
              <w:rPr>
                <w:rFonts w:ascii="Times New Roman" w:hAnsi="Times New Roman"/>
              </w:rPr>
            </w:pPr>
            <w:r w:rsidRPr="003E4580">
              <w:rPr>
                <w:rFonts w:ascii="Times New Roman" w:hAnsi="Times New Roman"/>
                <w:lang w:eastAsia="en-AU"/>
              </w:rPr>
              <w:t>Option 2</w:t>
            </w:r>
          </w:p>
        </w:tc>
        <w:tc>
          <w:tcPr>
            <w:tcW w:w="1825" w:type="pct"/>
            <w:tcBorders>
              <w:top w:val="single" w:sz="8" w:space="0" w:color="FFFFFF"/>
              <w:left w:val="single" w:sz="8" w:space="0" w:color="FFFFFF"/>
              <w:bottom w:val="single" w:sz="8" w:space="0" w:color="FFFFFF"/>
              <w:right w:val="single" w:sz="8" w:space="0" w:color="FFFFFF"/>
            </w:tcBorders>
          </w:tcPr>
          <w:p w14:paraId="640BE264" w14:textId="77777777" w:rsidR="00C35E4A" w:rsidRPr="003E4580" w:rsidRDefault="00C35E4A" w:rsidP="008360E0">
            <w:pPr>
              <w:pStyle w:val="ListParagraph"/>
              <w:numPr>
                <w:ilvl w:val="0"/>
                <w:numId w:val="43"/>
              </w:numPr>
              <w:textAlignment w:val="auto"/>
              <w:rPr>
                <w:rFonts w:ascii="Times New Roman" w:hAnsi="Times New Roman" w:cs="Times New Roman"/>
                <w:lang w:eastAsia="en-AU"/>
              </w:rPr>
            </w:pPr>
            <w:r w:rsidRPr="003E4580">
              <w:rPr>
                <w:rFonts w:ascii="Times New Roman" w:hAnsi="Times New Roman" w:cs="Times New Roman"/>
              </w:rPr>
              <w:t>Supports mandating LDWS for all heavy vehicles. (Option 2)</w:t>
            </w:r>
          </w:p>
          <w:p w14:paraId="36F90958" w14:textId="77777777" w:rsidR="00C35E4A" w:rsidRPr="003E4580" w:rsidRDefault="00C35E4A" w:rsidP="008360E0">
            <w:pPr>
              <w:pStyle w:val="ListParagraph"/>
              <w:numPr>
                <w:ilvl w:val="0"/>
                <w:numId w:val="43"/>
              </w:numPr>
              <w:textAlignment w:val="auto"/>
              <w:rPr>
                <w:rFonts w:ascii="Times New Roman" w:hAnsi="Times New Roman" w:cs="Times New Roman"/>
                <w:lang w:eastAsia="en-AU"/>
              </w:rPr>
            </w:pPr>
            <w:r w:rsidRPr="003E4580">
              <w:rPr>
                <w:rFonts w:ascii="Times New Roman" w:hAnsi="Times New Roman" w:cs="Times New Roman"/>
                <w:lang w:eastAsia="en-AU"/>
              </w:rPr>
              <w:t>FCA recommends removing references to AS 1746.2:2009, and instead include applicable Australian line markings in an appendix to ADR 99/00.</w:t>
            </w:r>
          </w:p>
          <w:p w14:paraId="0AE847D8" w14:textId="77777777" w:rsidR="00C35E4A" w:rsidRPr="003E4580" w:rsidRDefault="00C35E4A" w:rsidP="008360E0">
            <w:pPr>
              <w:pStyle w:val="ListParagraph"/>
              <w:numPr>
                <w:ilvl w:val="0"/>
                <w:numId w:val="43"/>
              </w:numPr>
              <w:textAlignment w:val="auto"/>
              <w:rPr>
                <w:rFonts w:ascii="Times New Roman" w:hAnsi="Times New Roman" w:cs="Times New Roman"/>
                <w:lang w:eastAsia="en-AU"/>
              </w:rPr>
            </w:pPr>
            <w:r w:rsidRPr="003E4580">
              <w:rPr>
                <w:rFonts w:ascii="Times New Roman" w:hAnsi="Times New Roman" w:cs="Times New Roman"/>
                <w:lang w:eastAsia="en-AU"/>
              </w:rPr>
              <w:t>FCA suggests revising ADR 99/00 to allow for UN R130 approvals, and that UN R130 test results can be supplemented with simulations showing compliance with Australian lane markings.</w:t>
            </w:r>
          </w:p>
        </w:tc>
        <w:tc>
          <w:tcPr>
            <w:tcW w:w="1837" w:type="pct"/>
            <w:tcBorders>
              <w:top w:val="single" w:sz="8" w:space="0" w:color="FFFFFF"/>
              <w:left w:val="single" w:sz="8" w:space="0" w:color="FFFFFF"/>
              <w:bottom w:val="single" w:sz="8" w:space="0" w:color="FFFFFF"/>
              <w:right w:val="single" w:sz="8" w:space="0" w:color="FFFFFF"/>
            </w:tcBorders>
          </w:tcPr>
          <w:p w14:paraId="0C18D8E7" w14:textId="77777777" w:rsidR="00C35E4A" w:rsidRPr="003E4580" w:rsidRDefault="00C35E4A" w:rsidP="008360E0">
            <w:pPr>
              <w:pStyle w:val="ListParagraph"/>
              <w:numPr>
                <w:ilvl w:val="0"/>
                <w:numId w:val="44"/>
              </w:numPr>
              <w:textAlignment w:val="auto"/>
              <w:rPr>
                <w:rFonts w:ascii="Times New Roman" w:hAnsi="Times New Roman" w:cs="Times New Roman"/>
                <w:lang w:eastAsia="en-AU"/>
              </w:rPr>
            </w:pPr>
            <w:r w:rsidRPr="003E4580">
              <w:rPr>
                <w:rFonts w:ascii="Times New Roman" w:hAnsi="Times New Roman" w:cs="Times New Roman"/>
                <w:lang w:eastAsia="en-AU"/>
              </w:rPr>
              <w:t>Agreed.</w:t>
            </w:r>
          </w:p>
          <w:p w14:paraId="3045C892" w14:textId="220D04C5" w:rsidR="00C35E4A" w:rsidRPr="003E4580" w:rsidRDefault="00C35E4A" w:rsidP="008360E0">
            <w:pPr>
              <w:pStyle w:val="ListParagraph"/>
              <w:numPr>
                <w:ilvl w:val="0"/>
                <w:numId w:val="44"/>
              </w:numPr>
              <w:textAlignment w:val="auto"/>
              <w:rPr>
                <w:rFonts w:ascii="Times New Roman" w:hAnsi="Times New Roman" w:cs="Times New Roman"/>
                <w:lang w:eastAsia="en-AU"/>
              </w:rPr>
            </w:pPr>
            <w:r w:rsidRPr="003E4580">
              <w:rPr>
                <w:rFonts w:ascii="Times New Roman" w:hAnsi="Times New Roman" w:cs="Times New Roman"/>
                <w:lang w:eastAsia="en-AU"/>
              </w:rPr>
              <w:t xml:space="preserve">Noted. </w:t>
            </w:r>
            <w:r w:rsidR="008360E0" w:rsidRPr="003E4580">
              <w:rPr>
                <w:rFonts w:ascii="Times New Roman" w:hAnsi="Times New Roman" w:cs="Times New Roman"/>
                <w:lang w:eastAsia="en-AU"/>
              </w:rPr>
              <w:t xml:space="preserve">In 2022, the Department consulted with local government councils building and designing roads and the heavy and light vehicle peak bodies to develop a proposal for the UN expert working group to include Australian highway lane markings in the Annex to UN R130 (GRVA-16-10). In addition, the Department has amended ADR 99/00 to include only Australian lane markings in Appendix </w:t>
            </w:r>
            <w:r w:rsidR="00024C48" w:rsidRPr="003E4580">
              <w:rPr>
                <w:rFonts w:ascii="Times New Roman" w:hAnsi="Times New Roman" w:cs="Times New Roman"/>
                <w:lang w:eastAsia="en-AU"/>
              </w:rPr>
              <w:t>C</w:t>
            </w:r>
          </w:p>
          <w:p w14:paraId="002C5ACA" w14:textId="77777777" w:rsidR="00C35E4A" w:rsidRPr="003E4580" w:rsidRDefault="00C35E4A" w:rsidP="008360E0">
            <w:pPr>
              <w:pStyle w:val="ListParagraph"/>
              <w:numPr>
                <w:ilvl w:val="0"/>
                <w:numId w:val="44"/>
              </w:numPr>
              <w:textAlignment w:val="auto"/>
              <w:rPr>
                <w:rFonts w:ascii="Times New Roman" w:hAnsi="Times New Roman" w:cs="Times New Roman"/>
                <w:lang w:eastAsia="en-AU"/>
              </w:rPr>
            </w:pPr>
            <w:r w:rsidRPr="003E4580">
              <w:rPr>
                <w:rFonts w:ascii="Times New Roman" w:hAnsi="Times New Roman" w:cs="Times New Roman"/>
                <w:lang w:eastAsia="en-AU"/>
              </w:rPr>
              <w:lastRenderedPageBreak/>
              <w:t>Noted. See above.</w:t>
            </w:r>
          </w:p>
        </w:tc>
      </w:tr>
    </w:tbl>
    <w:p w14:paraId="66392D2A" w14:textId="2478B38D" w:rsidR="00C35E4A" w:rsidRPr="003E4580" w:rsidRDefault="00C35E4A" w:rsidP="008360E0"/>
    <w:sectPr w:rsidR="00C35E4A" w:rsidRPr="003E4580" w:rsidSect="00C35E4A">
      <w:pgSz w:w="11906" w:h="16838" w:code="9"/>
      <w:pgMar w:top="1021" w:right="1021" w:bottom="1021" w:left="1021"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D7DEB" w14:textId="77777777" w:rsidR="00650BD5" w:rsidRDefault="00650BD5" w:rsidP="008456D5">
      <w:pPr>
        <w:spacing w:before="0" w:after="0"/>
      </w:pPr>
      <w:r>
        <w:separator/>
      </w:r>
    </w:p>
  </w:endnote>
  <w:endnote w:type="continuationSeparator" w:id="0">
    <w:p w14:paraId="45E62DC8" w14:textId="77777777" w:rsidR="00650BD5" w:rsidRDefault="00650BD5"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D65BE" w14:textId="77777777" w:rsidR="00650BD5" w:rsidRDefault="00650BD5" w:rsidP="00E50D64">
    <w:pPr>
      <w:pStyle w:val="Footer"/>
      <w:spacing w:before="720"/>
      <w:jc w:val="right"/>
    </w:pPr>
    <w:r>
      <w:rPr>
        <w:noProof/>
        <w:lang w:eastAsia="en-AU"/>
      </w:rPr>
      <mc:AlternateContent>
        <mc:Choice Requires="wps">
          <w:drawing>
            <wp:anchor distT="0" distB="0" distL="114300" distR="114300" simplePos="0" relativeHeight="251676672" behindDoc="1" locked="1" layoutInCell="1" allowOverlap="1" wp14:anchorId="579114AE" wp14:editId="32565DCC">
              <wp:simplePos x="0" y="0"/>
              <wp:positionH relativeFrom="page">
                <wp:align>left</wp:align>
              </wp:positionH>
              <wp:positionV relativeFrom="page">
                <wp:align>bottom</wp:align>
              </wp:positionV>
              <wp:extent cx="1007280" cy="539280"/>
              <wp:effectExtent l="0" t="0" r="2540" b="0"/>
              <wp:wrapNone/>
              <wp:docPr id="16" name="Text Box 1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5F3F99C5" w14:textId="7F42645C" w:rsidR="00650BD5" w:rsidRPr="007A05BE" w:rsidRDefault="00650BD5"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9114AE" id="_x0000_t202" coordsize="21600,21600" o:spt="202" path="m,l,21600r21600,l21600,xe">
              <v:stroke joinstyle="miter"/>
              <v:path gradientshapeok="t" o:connecttype="rect"/>
            </v:shapetype>
            <v:shape id="Text Box 16" o:spid="_x0000_s1026" type="#_x0000_t202" style="position:absolute;left:0;text-align:left;margin-left:0;margin-top:0;width:79.3pt;height:42.45pt;z-index:-2516398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5F3F99C5" w14:textId="7F42645C" w:rsidR="00650BD5" w:rsidRPr="007A05BE" w:rsidRDefault="00650BD5"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5648" behindDoc="1" locked="1" layoutInCell="1" allowOverlap="1" wp14:anchorId="0AC811F9" wp14:editId="365931A7">
              <wp:simplePos x="0" y="0"/>
              <wp:positionH relativeFrom="page">
                <wp:align>left</wp:align>
              </wp:positionH>
              <wp:positionV relativeFrom="page">
                <wp:align>bottom</wp:align>
              </wp:positionV>
              <wp:extent cx="4320000" cy="539280"/>
              <wp:effectExtent l="0" t="0" r="4445" b="0"/>
              <wp:wrapNone/>
              <wp:docPr id="18" name="Text Box 1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p w14:paraId="283FA2CA" w14:textId="01E91B37" w:rsidR="00650BD5" w:rsidRDefault="00650BD5" w:rsidP="00E50D64">
                          <w:pPr>
                            <w:pStyle w:val="Footer"/>
                          </w:pPr>
                          <w:r>
                            <w:t>REDUCING HEAVY VEHICLE LANE DEPARTURE CRASHES</w:t>
                          </w:r>
                        </w:p>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811F9" id="_x0000_t202" coordsize="21600,21600" o:spt="202" path="m,l,21600r21600,l21600,xe">
              <v:stroke joinstyle="miter"/>
              <v:path gradientshapeok="t" o:connecttype="rect"/>
            </v:shapetype>
            <v:shape id="Text Box 18" o:spid="_x0000_s1027" type="#_x0000_t202" style="position:absolute;left:0;text-align:left;margin-left:0;margin-top:0;width:340.15pt;height:42.45pt;z-index:-2516408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CZQIAAKoEAAAOAAAAZHJzL2Uyb0RvYy54bWysVN9v2jAQfp+0/8HyOyQQoCkiVNCOaVLV&#10;VmqnPhvHgUiJ7dmGhE373/fZIXTq9jTtxTnfne/H991lcdPWFTkKY0slMzoaxpQIyVVeyl1Gv75s&#10;Bikl1jGZs0pJkdGTsPRm+fHDotFzMVZ7VeXCEASRdt7ojO6d0/MosnwvamaHSgsJY6FMzRyuZhfl&#10;hjWIXlfROI5nUaNMro3iwlpo7zojXYb4RSG4eywKKxypMoraXDhNOLf+jJYLNt8ZpvclP5fB/qGK&#10;mpUSSS+h7phj5GDKP0LVJTfKqsINuaojVRQlF6EHdDOK33XzvGdahF4AjtUXmOz/C8sfjk+GlDm4&#10;A1OS1eDoRbSOrFVLoPI94Xpv3VnquvpxO0qTu6vNbLCeXKeDSbJOBteTdD0YXY3T9XS8Ws0+TX56&#10;dKO391Gj7Twk9PQE8Vkju2uRDAV4d6+3UPpsbWFq/wVKBHbQd7pQ5kvkUE4STEEME4dtmlyP08Ap&#10;svavtbHus1A18UJGDUYidMWOaKorsHfxyaTalFUVxqKSpMnoLJnG4cHFguCVRGdvtXrJtdu2A7Lv&#10;Y6vyE9ozqps6q/mmRA33zLonZjBmKBur4x5xFJVCLnWWKNkr8/1veu8P9mGlpMHYZtR+OzAjKKm+&#10;SMzFKI7TgIcLV2QwvbANQjLr8JKH+lZhKUbYT82D6J1d1YuFUfUrlmvlE8LEJEfajG578dZ1e4Tl&#10;5GK1Ck4Yas3cvXzW3If2gHpwX9pXZvSZAQfuHlQ/22z+jojOt6NidXCqKANLHuIO0DPyWIgwXefl&#10;9Rv3+z14vf1ilr8AAAD//wMAUEsDBBQABgAIAAAAIQAgahVW3gAAAAQBAAAPAAAAZHJzL2Rvd25y&#10;ZXYueG1sTI/NTsMwEITvSH0Ha5G4IOoUSpWGOBXl58AJ0fbQoxtv46jxOsROG3h6Fi7lstJoRjPf&#10;5ovBNeKIXag9KZiMExBIpTc1VQo269ebFESImoxuPKGCLwywKEYXuc6MP9EHHlexElxCIdMKbIxt&#10;JmUoLTodxr5FYm/vO6cjy66SptMnLneNvE2SmXS6Jl6wusUni+Vh1TsFb7Le3798L+e9SbeT9/bT&#10;bq+fl0pdXQ6PDyAiDvEchl98RoeCmXa+JxNEo4AfiX+XvVma3IHYKUinc5BFLv/DFz8AAAD//wMA&#10;UEsBAi0AFAAGAAgAAAAhALaDOJL+AAAA4QEAABMAAAAAAAAAAAAAAAAAAAAAAFtDb250ZW50X1R5&#10;cGVzXS54bWxQSwECLQAUAAYACAAAACEAOP0h/9YAAACUAQAACwAAAAAAAAAAAAAAAAAvAQAAX3Jl&#10;bHMvLnJlbHNQSwECLQAUAAYACAAAACEA/kBDgmUCAACqBAAADgAAAAAAAAAAAAAAAAAuAgAAZHJz&#10;L2Uyb0RvYy54bWxQSwECLQAUAAYACAAAACEAIGoVVt4AAAAEAQAADwAAAAAAAAAAAAAAAAC/BAAA&#10;ZHJzL2Rvd25yZXYueG1sUEsFBgAAAAAEAAQA8wAAAMoFAAAAAA==&#10;" filled="f" stroked="f" strokeweight=".5pt">
              <v:textbox inset="28mm,0,0,10mm">
                <w:txbxContent>
                  <w:p w14:paraId="283FA2CA" w14:textId="01E91B37" w:rsidR="00650BD5" w:rsidRDefault="00650BD5" w:rsidP="00E50D64">
                    <w:pPr>
                      <w:pStyle w:val="Footer"/>
                    </w:pPr>
                    <w:r>
                      <w:t>REDUCING HEAVY VEHICLE LANE DEPARTURE CRASHES</w:t>
                    </w:r>
                  </w:p>
                </w:txbxContent>
              </v:textbox>
              <w10:wrap anchorx="page" anchory="page"/>
              <w10:anchorlock/>
            </v:shape>
          </w:pict>
        </mc:Fallback>
      </mc:AlternateContent>
    </w:r>
    <w:r>
      <w:rPr>
        <w:noProof/>
        <w:lang w:eastAsia="en-AU"/>
      </w:rPr>
      <w:drawing>
        <wp:anchor distT="0" distB="0" distL="114300" distR="114300" simplePos="0" relativeHeight="251674624" behindDoc="1" locked="1" layoutInCell="1" allowOverlap="1" wp14:anchorId="42C959FF" wp14:editId="5466C9CC">
          <wp:simplePos x="0" y="0"/>
          <wp:positionH relativeFrom="page">
            <wp:align>right</wp:align>
          </wp:positionH>
          <wp:positionV relativeFrom="page">
            <wp:align>bottom</wp:align>
          </wp:positionV>
          <wp:extent cx="10692000" cy="183240"/>
          <wp:effectExtent l="0" t="0" r="0" b="7620"/>
          <wp:wrapNone/>
          <wp:docPr id="19" name="Picture 1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3970D" w14:textId="77777777" w:rsidR="00650BD5" w:rsidRDefault="00650BD5" w:rsidP="00546218">
    <w:pPr>
      <w:pStyle w:val="Footer"/>
      <w:spacing w:before="720"/>
    </w:pPr>
    <w:r>
      <w:rPr>
        <w:noProof/>
        <w:lang w:eastAsia="en-AU"/>
      </w:rPr>
      <mc:AlternateContent>
        <mc:Choice Requires="wps">
          <w:drawing>
            <wp:anchor distT="0" distB="0" distL="114300" distR="114300" simplePos="0" relativeHeight="251662336" behindDoc="1" locked="1" layoutInCell="1" allowOverlap="1" wp14:anchorId="1019BC83" wp14:editId="6C80ED1A">
              <wp:simplePos x="0" y="0"/>
              <wp:positionH relativeFrom="page">
                <wp:align>right</wp:align>
              </wp:positionH>
              <wp:positionV relativeFrom="page">
                <wp:align>bottom</wp:align>
              </wp:positionV>
              <wp:extent cx="1007640" cy="539640"/>
              <wp:effectExtent l="0" t="0" r="0" b="0"/>
              <wp:wrapNone/>
              <wp:docPr id="4" name="Text Box 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51B63F37" w14:textId="7690CCFA" w:rsidR="00650BD5" w:rsidRPr="007A05BE" w:rsidRDefault="00650BD5"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19BC83" id="_x0000_t202" coordsize="21600,21600" o:spt="202" path="m,l,21600r21600,l21600,xe">
              <v:stroke joinstyle="miter"/>
              <v:path gradientshapeok="t" o:connecttype="rect"/>
            </v:shapetype>
            <v:shape id="Text Box 4" o:spid="_x0000_s1028" type="#_x0000_t202" style="position:absolute;margin-left:28.15pt;margin-top:0;width:79.35pt;height:42.5pt;z-index:-2516541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61hwIAABEFAAAOAAAAZHJzL2Uyb0RvYy54bWysVFFv2jAQfp+0/2D5HRIgBBoRKihjmlS1&#10;lcrUZ+M4JVLi82xDwqb+952dBKZuD9O0hzjnu/P5vvvuvLhtqpKchDYFyJSOhiElQnLICvma0q+7&#10;7WBOibFMZqwEKVJ6FobeLj9+WNQqEWM4QJkJTTCINEmtUnqwViVBYPhBVMwMQQmJxhx0xSxu9WuQ&#10;aVZj9KoMxmEYBzXoTGngwhjUblojXfr4eS64fcxzIywpU4q5Wb9qv+7dGiwXLHnVTB0K3qXB/iGL&#10;ihUSL72E2jDLyFEXv4WqCq7BQG6HHKoA8rzgwmNANKPwHZrnA1PCY8HiGHUpk/l/YfnD6UmTIktp&#10;RIlkFVK0E40la2hI5BHh7t5Yh83pPaYfd6P5ZDPbxoN1dDMfRJP1ZHATzdeD0Ww8X0/Hq1X8KXpz&#10;pzPBE/xAM1ucRF9g1Pwdgo5rV5tZcI1DyYkhnyPHXuDz6v8+06BWJvHAXBt48VkhStsgqu6Y0xtU&#10;OlxNriv3RzYI2rFNzpfWcJi5OxSGszhCE0fbdHLj5Pb2/rTSxn4WUBEnpFRj6/n6sRMm1br2Lu4y&#10;CduiLH37lZLUKY0n09AfuFgQWikR2TVXJ9lm33jCxi4Bp9lDdkZ4GtruNopvC8zhnhn7xDS2M6aN&#10;I2ofcclLwLugkyg5gP7+J73zR47QSkmN45FS8+3ItKCk/CKx/9ws9YL2QhzNwxDVe7+bxLjBnTxW&#10;d+C5IpiXF1GrbdmLuYbqBWd45e5DE5Mcb03pvhfvbDuu+AZwsVp5J5wdxey9fFbYSCNfNVfbXfPC&#10;tOoIsEjdA/QjxJJ3PLS+LROro4W88CRd69kVHufON1f3RrjB/nXvva4v2fInAAAA//8DAFBLAwQU&#10;AAYACAAAACEARenxuNwAAAAEAQAADwAAAGRycy9kb3ducmV2LnhtbEyPQUvDQBCF74L/YRnBS7G7&#10;CtEQMykiCAqitJb2us2OSUh2Nuxu2+ivd+tFLwOP93jvm3Ix2UEcyIfOMcL1XIEgrp3puEFYfzxd&#10;5SBC1Gz04JgQvijAojo/K3Vh3JGXdFjFRqQSDoVGaGMcCylD3ZLVYe5G4uR9Om91TNI30nh9TOV2&#10;kDdK3UqrO04LrR7psaW6X+0tQv8WfL6lTG26af36/d7Pnl/kDPHyYnq4BxFpin9hOOEndKgS087t&#10;2QQxIKRH4u89eVl+B2KHkGcKZFXK//DVDwAAAP//AwBQSwECLQAUAAYACAAAACEAtoM4kv4AAADh&#10;AQAAEwAAAAAAAAAAAAAAAAAAAAAAW0NvbnRlbnRfVHlwZXNdLnhtbFBLAQItABQABgAIAAAAIQA4&#10;/SH/1gAAAJQBAAALAAAAAAAAAAAAAAAAAC8BAABfcmVscy8ucmVsc1BLAQItABQABgAIAAAAIQCt&#10;rS61hwIAABEFAAAOAAAAAAAAAAAAAAAAAC4CAABkcnMvZTJvRG9jLnhtbFBLAQItABQABgAIAAAA&#10;IQBF6fG43AAAAAQBAAAPAAAAAAAAAAAAAAAAAOEEAABkcnMvZG93bnJldi54bWxQSwUGAAAAAAQA&#10;BADzAAAA6gUAAAAA&#10;" filled="f" stroked="f" strokeweight=".5pt">
              <v:textbox inset="0,0,18mm,10mm">
                <w:txbxContent>
                  <w:p w14:paraId="51B63F37" w14:textId="7690CCFA" w:rsidR="00650BD5" w:rsidRPr="007A05BE" w:rsidRDefault="00650BD5"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0288" behindDoc="1" locked="1" layoutInCell="1" allowOverlap="1" wp14:anchorId="2A2D9DB2" wp14:editId="0CCE3555">
              <wp:simplePos x="0" y="0"/>
              <wp:positionH relativeFrom="page">
                <wp:align>right</wp:align>
              </wp:positionH>
              <wp:positionV relativeFrom="page">
                <wp:align>bottom</wp:align>
              </wp:positionV>
              <wp:extent cx="4320000" cy="539640"/>
              <wp:effectExtent l="0" t="0" r="0" b="0"/>
              <wp:wrapNone/>
              <wp:docPr id="3" name="Text Box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4BA01C04" w14:textId="489DDAE6" w:rsidR="00650BD5" w:rsidRDefault="00650BD5" w:rsidP="007A05BE">
                          <w:pPr>
                            <w:pStyle w:val="Footer"/>
                            <w:jc w:val="right"/>
                          </w:pPr>
                          <w:r>
                            <w:t>REDUCING HEAVY VEHICLE LANE DEPARTURE CRASHES</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D9DB2" id="_x0000_t202" coordsize="21600,21600" o:spt="202" path="m,l,21600r21600,l21600,xe">
              <v:stroke joinstyle="miter"/>
              <v:path gradientshapeok="t" o:connecttype="rect"/>
            </v:shapetype>
            <v:shape id="Text Box 3" o:spid="_x0000_s1029" type="#_x0000_t202" style="position:absolute;margin-left:288.95pt;margin-top:0;width:340.15pt;height:42.5pt;z-index:-2516561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CeaAIAAKgEAAAOAAAAZHJzL2Uyb0RvYy54bWysVEuP2jAQvlfqf7B8hwQCWUCEFY9SVUK7&#10;K0G1Z+M4JFLicW1DQqv+946dwFbbnqpenPHMeB7ffJP5Y1OV5CK0KUAmdNAPKRGSQ1rIU0K/Hra9&#10;CSXGMpmyEqRI6FUY+rj4+GFeq5kYQg5lKjTBINLMapXQ3Fo1CwLDc1Ex0wclJBoz0BWzeNWnINWs&#10;xuhVGQzDMA5q0KnSwIUxqN20Rrrw8bNMcPucZUZYUiYUa7P+1P48ujNYzNnspJnKC96Vwf6hiooV&#10;EpPeQ22YZeSsiz9CVQXXYCCzfQ5VAFlWcOF7wG4G4btu9jlTwveC4Bh1h8n8v7D86fKiSZEmNKJE&#10;sgpHdBCNJStoSOQ7wtvOWNeb0/uefqwHk2jzsI17q9F00htFq6g3HU1WvcHDcLIaD5fL+NPop8M2&#10;8K/8+6BWZubTueF4ca8wt20wF1LHuTu9QaXL1mS6cl/EiKAdh3e9D8xVwlE5ipADIZo42sbRNB75&#10;iWLW22uljf0soCJOSKhGQviu2AWLagu8ubhkErZFWXpSlJLUCY2jcegf3C0YvJTY2VutTrLNselg&#10;7Po4QnrF9jS0nDOKbwusYceMfWEaSYZl4+LYZzyyEjAXdBIlOejvf9M7f5w9WimpkbQJNd/OTAtK&#10;yi8SWeEYfhO0FwZhOPEIHf01ilu85LlaA67EALdTcS/iW23Lm5hpqF5xtZYuIZqY5Jg2ocebuLbt&#10;FuFqcrFceiektGJ2J/eKu9AOUAfuoXllWnUTsDi7J7gxm83eDaL1bUexPFvICj8lB3ELaIc8roNn&#10;V7e6bt9+v3uvtx/M4hcAAAD//wMAUEsDBBQABgAIAAAAIQD6tAqD2gAAAAQBAAAPAAAAZHJzL2Rv&#10;d25yZXYueG1sTI/BTsMwEETvSPyDtZW4UbsFShTiVBUSNw6kcOnNjTdxVHttxW6b8vUYLvSy0mhG&#10;M2+r9eQsO+EYB08SFnMBDKn1eqBewtfn230BLCZFWllPKOGCEdb17U2lSu3P1OBpm3qWSyiWSoJJ&#10;KZScx9agU3HuA1L2Oj86lbIce65Hdc7lzvKlECvu1EB5waiArwbbw/boJDT2Ay/dZvm8+35/PIjQ&#10;hcbQTsq72bR5AZZwSv9h+MXP6FBnpr0/ko7MSsiPpL+bvVUhHoDtJRRPAnhd8Wv4+gcAAP//AwBQ&#10;SwECLQAUAAYACAAAACEAtoM4kv4AAADhAQAAEwAAAAAAAAAAAAAAAAAAAAAAW0NvbnRlbnRfVHlw&#10;ZXNdLnhtbFBLAQItABQABgAIAAAAIQA4/SH/1gAAAJQBAAALAAAAAAAAAAAAAAAAAC8BAABfcmVs&#10;cy8ucmVsc1BLAQItABQABgAIAAAAIQBXU6CeaAIAAKgEAAAOAAAAAAAAAAAAAAAAAC4CAABkcnMv&#10;ZTJvRG9jLnhtbFBLAQItABQABgAIAAAAIQD6tAqD2gAAAAQBAAAPAAAAAAAAAAAAAAAAAMIEAABk&#10;cnMvZG93bnJldi54bWxQSwUGAAAAAAQABADzAAAAyQUAAAAA&#10;" filled="f" stroked="f" strokeweight=".5pt">
              <v:textbox inset="0,0,28mm,10mm">
                <w:txbxContent>
                  <w:p w14:paraId="4BA01C04" w14:textId="489DDAE6" w:rsidR="00650BD5" w:rsidRDefault="00650BD5" w:rsidP="007A05BE">
                    <w:pPr>
                      <w:pStyle w:val="Footer"/>
                      <w:jc w:val="right"/>
                    </w:pPr>
                    <w:r>
                      <w:t>REDUCING HEAVY VEHICLE LANE DEPARTURE CRASHES</w:t>
                    </w:r>
                  </w:p>
                </w:txbxContent>
              </v:textbox>
              <w10:wrap anchorx="page" anchory="page"/>
              <w10:anchorlock/>
            </v:shape>
          </w:pict>
        </mc:Fallback>
      </mc:AlternateContent>
    </w:r>
    <w:r>
      <w:rPr>
        <w:noProof/>
        <w:lang w:eastAsia="en-AU"/>
      </w:rPr>
      <w:drawing>
        <wp:anchor distT="0" distB="0" distL="114300" distR="114300" simplePos="0" relativeHeight="251659264" behindDoc="1" locked="1" layoutInCell="1" allowOverlap="1" wp14:anchorId="405EC479" wp14:editId="5C8ACF6B">
          <wp:simplePos x="0" y="0"/>
          <wp:positionH relativeFrom="page">
            <wp:align>right</wp:align>
          </wp:positionH>
          <wp:positionV relativeFrom="page">
            <wp:align>bottom</wp:align>
          </wp:positionV>
          <wp:extent cx="10692000" cy="183240"/>
          <wp:effectExtent l="0" t="0" r="0" b="7620"/>
          <wp:wrapNone/>
          <wp:docPr id="2" name="Picture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3A420" w14:textId="77777777" w:rsidR="00B758BD" w:rsidRDefault="00B758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1D9F7" w14:textId="77777777" w:rsidR="00650BD5" w:rsidRDefault="00650BD5" w:rsidP="00546218">
    <w:pPr>
      <w:pStyle w:val="Footer"/>
      <w:spacing w:before="720"/>
    </w:pPr>
    <w:r>
      <w:rPr>
        <w:noProof/>
        <w:lang w:eastAsia="en-AU"/>
      </w:rPr>
      <mc:AlternateContent>
        <mc:Choice Requires="wps">
          <w:drawing>
            <wp:anchor distT="0" distB="0" distL="114300" distR="114300" simplePos="0" relativeHeight="251672576" behindDoc="1" locked="1" layoutInCell="1" allowOverlap="1" wp14:anchorId="49CACDCD" wp14:editId="556193B4">
              <wp:simplePos x="0" y="0"/>
              <wp:positionH relativeFrom="page">
                <wp:posOffset>6552565</wp:posOffset>
              </wp:positionH>
              <wp:positionV relativeFrom="page">
                <wp:posOffset>10153015</wp:posOffset>
              </wp:positionV>
              <wp:extent cx="1007110" cy="539115"/>
              <wp:effectExtent l="0" t="0" r="0" b="0"/>
              <wp:wrapNone/>
              <wp:docPr id="11" name="Text Box 1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1007110" cy="539115"/>
                      </a:xfrm>
                      <a:prstGeom prst="rect">
                        <a:avLst/>
                      </a:prstGeom>
                      <a:noFill/>
                      <a:ln w="6350">
                        <a:noFill/>
                      </a:ln>
                    </wps:spPr>
                    <wps:txbx>
                      <w:txbxContent>
                        <w:p w14:paraId="6A0C93C8" w14:textId="5DC3C9C5" w:rsidR="00650BD5" w:rsidRPr="007A05BE" w:rsidRDefault="00650BD5"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BF64CF">
                            <w:rPr>
                              <w:rStyle w:val="PageNumber"/>
                              <w:noProof/>
                            </w:rPr>
                            <w:t>72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ACDCD" id="_x0000_t202" coordsize="21600,21600" o:spt="202" path="m,l,21600r21600,l21600,xe">
              <v:stroke joinstyle="miter"/>
              <v:path gradientshapeok="t" o:connecttype="rect"/>
            </v:shapetype>
            <v:shape id="Text Box 11" o:spid="_x0000_s1030" type="#_x0000_t202" style="position:absolute;margin-left:515.95pt;margin-top:799.45pt;width:79.3pt;height:42.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aTZgIAAKkEAAAOAAAAZHJzL2Uyb0RvYy54bWysVMtu2zAQvBfoPxC8O5L8im1EDuykLgoE&#10;SQCnyJmmqFiARLIkbckt+u8dUpJdpD0VvVD7IHd3dnZ1c9tUJTkKYwslU5pcxZQIyVVWyLeUfn3Z&#10;DGaUWMdkxkolRUpPwtLb5ccPN7VeiKHaqzIThiCItItap3TvnF5EkeV7UTF7pbSQcObKVMxBNW9R&#10;ZliN6FUZDeN4GtXKZNooLqyF9b510mWIn+eCu6c8t8KRMqWozYXThHPnz2h5wxZvhul9wbsy2D9U&#10;UbFCIuk51D1zjBxM8UeoquBGWZW7K66qSOV5wUXAADRJ/A7Nds+0CFjQHKvPbbL/Lyx/PD4bUmTg&#10;LqFEsgocvYjGkbVqCEweE9QH6zqpRfXjLpmN7q8308F6PJ8NxqP1aDAfz9aD5Ho4W0+Gq9X00/in&#10;7250eR/V2i5CQk9PELca2V2DZCjAX/d2C6PP1uSm8l90icAP+k5nynyJ3D+K4+skgYvDNxnNk2TS&#10;Ze1fa2PdZ6Eq4oWUGoxEQMWOANUW2F/xyaTaFGUZxqKUpE7pdDSJw4OzB5BKCWSXWr3kml0TGjnu&#10;cexUdgI8o9qps5pvCtTwwKx7ZgZjhrKxOu4JR14q5FKdRMleme9/s/v7YB9eSmqMbUrttwMzgpLy&#10;i8Rc+BnvBROE6XgWxzDvgjaaQoEmD9Wdwk6AdNQVRFiNK3sxN6p6xW6tfD64mOTImtJdL965do2w&#10;m1ysVuESZloz9yC3mvvQvp++ty/NKzO6I8CBukfVjzZbvOOhvdsysTo4lReBJN/htp9d47EPYbi6&#10;3fUL97sebl3+MMtfAAAA//8DAFBLAwQUAAYACAAAACEALHHwJOMAAAAPAQAADwAAAGRycy9kb3du&#10;cmV2LnhtbEyPUUvDMBSF3wX/Q7iCL8MldXSktekQQVAQh3Nsr1lzbUubpDTZVv313j3p2zncw7nf&#10;KVaT7dkJx9B6pyCZC2DoKm9aVyvYfj7fSWAhamd07x0q+MYAq/L6qtC58Wf3gadNrBmVuJBrBU2M&#10;Q855qBq0Osz9gI5uX360OpIda25GfaZy2/N7IZbc6tbRh0YP+NRg1W2OVkH3Hka5x1Ts2mn79rPu&#10;Zi+vfKbU7c30+AAs4hT/wnDBJ3Qoiengj84E1pMXiySjLKk0k6QumSQTKbADqaVcSOBlwf/vKH8B&#10;AAD//wMAUEsBAi0AFAAGAAgAAAAhALaDOJL+AAAA4QEAABMAAAAAAAAAAAAAAAAAAAAAAFtDb250&#10;ZW50X1R5cGVzXS54bWxQSwECLQAUAAYACAAAACEAOP0h/9YAAACUAQAACwAAAAAAAAAAAAAAAAAv&#10;AQAAX3JlbHMvLnJlbHNQSwECLQAUAAYACAAAACEAU4Z2k2YCAACpBAAADgAAAAAAAAAAAAAAAAAu&#10;AgAAZHJzL2Uyb0RvYy54bWxQSwECLQAUAAYACAAAACEALHHwJOMAAAAPAQAADwAAAAAAAAAAAAAA&#10;AADABAAAZHJzL2Rvd25yZXYueG1sUEsFBgAAAAAEAAQA8wAAANAFAAAAAA==&#10;" filled="f" stroked="f" strokeweight=".5pt">
              <v:textbox inset="0,0,18mm,10mm">
                <w:txbxContent>
                  <w:p w14:paraId="6A0C93C8" w14:textId="5DC3C9C5" w:rsidR="00650BD5" w:rsidRPr="007A05BE" w:rsidRDefault="00650BD5"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BF64CF">
                      <w:rPr>
                        <w:rStyle w:val="PageNumber"/>
                        <w:noProof/>
                      </w:rPr>
                      <w:t>72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1552" behindDoc="1" locked="1" layoutInCell="1" allowOverlap="1" wp14:anchorId="0ECDC67F" wp14:editId="07C96CDA">
              <wp:simplePos x="0" y="0"/>
              <wp:positionH relativeFrom="page">
                <wp:align>right</wp:align>
              </wp:positionH>
              <wp:positionV relativeFrom="page">
                <wp:align>bottom</wp:align>
              </wp:positionV>
              <wp:extent cx="4320000" cy="539640"/>
              <wp:effectExtent l="0" t="0" r="0" b="0"/>
              <wp:wrapNone/>
              <wp:docPr id="12" name="Text Box 1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13C3EF50" w14:textId="33DB9AE2" w:rsidR="00650BD5" w:rsidRDefault="00650BD5" w:rsidP="00546218">
                          <w:pPr>
                            <w:pStyle w:val="Footer"/>
                            <w:jc w:val="right"/>
                          </w:pPr>
                          <w:r>
                            <w:t>REDUCING HEAVY VEHICLE LANE DEPARTURE CRASHES</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DC67F" id="Text Box 12" o:spid="_x0000_s1031" type="#_x0000_t202" style="position:absolute;margin-left:288.95pt;margin-top:0;width:340.15pt;height:42.5pt;z-index:-2516449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QZZgIAAKoEAAAOAAAAZHJzL2Uyb0RvYy54bWysVN9v2jAQfp+0/8HyOyQQoIAIFZQxTara&#10;SmXqs3GcEimxPduQsGn/+z47hE7dnqa9OOe78/34vrssbpuqJCdhbKFkSgf9mBIhucoK+ZrSr7tt&#10;b0qJdUxmrFRSpPQsLL1dfvywqPVcDNVBlZkwBEGkndc6pQfn9DyKLD+Iitm+0kLCmCtTMYereY0y&#10;w2pEr8poGMeTqFYm00ZxYS20m9ZIlyF+ngvuHvPcCkfKlKI2F04Tzr0/o+WCzV8N04eCX8pg/1BF&#10;xQqJpNdQG+YYOZrij1BVwY2yKnd9rqpI5XnBRegB3Qzid908H5gWoReAY/UVJvv/wvKH05MhRQbu&#10;hpRIVoGjnWgcWauGQOV7wvXeuovUdvXjbjBNNjfbSW89mk17o2Sd9Gaj6bo3uBlO1+PhajX5NPrp&#10;0Y3e3ke1tvOQ0NMTxGeN7K5BMhTg3b3eQumzNbmp/BcoEdhB3/lKmS+RQzlKMAUxTBy2cTKbjAKn&#10;yNq91sa6z0JVxAspNRiJ0BU7oam2wM7FJ5NqW5RlGItSkjqlk2QchwdXC4KXEp291eol1+ybAOS4&#10;62OvsjPaM6qdOqv5tkAN98y6J2YwZigbq+MeceSlQi51kSg5KPP9b3rvD/ZhpaTG2KbUfjsyIygp&#10;v0jMhZ/xTjBBGMTxNCC0D9dk0uIlj9WdwlIMsJ+aBxFvjSs7MTeqesFyrXxCmJjkSJvSfSfeuXaP&#10;sJxcrFbBCUOtmbuXz5r70B5QD+6ueWFGXxhw4O5BdbPN5u+IaH1bKlZHp/IisOQhbgG9II+FCNN1&#10;WV6/cb/fg9fbL2b5CwAA//8DAFBLAwQUAAYACAAAACEA+rQKg9oAAAAEAQAADwAAAGRycy9kb3du&#10;cmV2LnhtbEyPwU7DMBBE70j8g7WVuFG7BUoU4lQVEjcOpHDpzY03cVR7bcVum/L1GC70stJoRjNv&#10;q/XkLDvhGAdPEhZzAQyp9XqgXsLX59t9ASwmRVpZTyjhghHW9e1NpUrtz9TgaZt6lksolkqCSSmU&#10;nMfWoFNx7gNS9jo/OpWyHHuuR3XO5c7ypRAr7tRAecGogK8G28P26CQ09gMv3Wb5vPt+fzyI0IXG&#10;0E7Ku9m0eQGWcEr/YfjFz+hQZ6a9P5KOzErIj6S/m71VIR6A7SUUTwJ4XfFr+PoHAAD//wMAUEsB&#10;Ai0AFAAGAAgAAAAhALaDOJL+AAAA4QEAABMAAAAAAAAAAAAAAAAAAAAAAFtDb250ZW50X1R5cGVz&#10;XS54bWxQSwECLQAUAAYACAAAACEAOP0h/9YAAACUAQAACwAAAAAAAAAAAAAAAAAvAQAAX3JlbHMv&#10;LnJlbHNQSwECLQAUAAYACAAAACEA/9e0GWYCAACqBAAADgAAAAAAAAAAAAAAAAAuAgAAZHJzL2Uy&#10;b0RvYy54bWxQSwECLQAUAAYACAAAACEA+rQKg9oAAAAEAQAADwAAAAAAAAAAAAAAAADABAAAZHJz&#10;L2Rvd25yZXYueG1sUEsFBgAAAAAEAAQA8wAAAMcFAAAAAA==&#10;" filled="f" stroked="f" strokeweight=".5pt">
              <v:textbox inset="0,0,28mm,10mm">
                <w:txbxContent>
                  <w:p w14:paraId="13C3EF50" w14:textId="33DB9AE2" w:rsidR="00650BD5" w:rsidRDefault="00650BD5" w:rsidP="00546218">
                    <w:pPr>
                      <w:pStyle w:val="Footer"/>
                      <w:jc w:val="right"/>
                    </w:pPr>
                    <w:r>
                      <w:t>REDUCING HEAVY VEHICLE LANE DEPARTURE CRASHES</w:t>
                    </w:r>
                  </w:p>
                </w:txbxContent>
              </v:textbox>
              <w10:wrap anchorx="page" anchory="page"/>
              <w10:anchorlock/>
            </v:shape>
          </w:pict>
        </mc:Fallback>
      </mc:AlternateContent>
    </w:r>
    <w:r>
      <w:rPr>
        <w:noProof/>
        <w:lang w:eastAsia="en-AU"/>
      </w:rPr>
      <w:drawing>
        <wp:anchor distT="0" distB="0" distL="114300" distR="114300" simplePos="0" relativeHeight="251670528" behindDoc="1" locked="1" layoutInCell="1" allowOverlap="1" wp14:anchorId="70037F84" wp14:editId="68C279D9">
          <wp:simplePos x="0" y="0"/>
          <wp:positionH relativeFrom="page">
            <wp:posOffset>-3121660</wp:posOffset>
          </wp:positionH>
          <wp:positionV relativeFrom="page">
            <wp:posOffset>10501630</wp:posOffset>
          </wp:positionV>
          <wp:extent cx="10691495" cy="182880"/>
          <wp:effectExtent l="0" t="0" r="1905" b="0"/>
          <wp:wrapNone/>
          <wp:docPr id="6" name="Picture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1495" cy="18288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CF0F9" w14:textId="77777777" w:rsidR="00650BD5" w:rsidRDefault="00650BD5" w:rsidP="00546218">
    <w:pPr>
      <w:pStyle w:val="Footer"/>
      <w:spacing w:before="720"/>
    </w:pPr>
    <w:r>
      <w:rPr>
        <w:noProof/>
        <w:lang w:eastAsia="en-AU"/>
      </w:rPr>
      <mc:AlternateContent>
        <mc:Choice Requires="wps">
          <w:drawing>
            <wp:anchor distT="0" distB="0" distL="114300" distR="114300" simplePos="0" relativeHeight="251668480" behindDoc="1" locked="1" layoutInCell="1" allowOverlap="1" wp14:anchorId="1941D0E8" wp14:editId="16FDFF8A">
              <wp:simplePos x="0" y="0"/>
              <wp:positionH relativeFrom="page">
                <wp:align>right</wp:align>
              </wp:positionH>
              <wp:positionV relativeFrom="page">
                <wp:align>bottom</wp:align>
              </wp:positionV>
              <wp:extent cx="1007640" cy="539640"/>
              <wp:effectExtent l="0" t="0" r="0" b="0"/>
              <wp:wrapNone/>
              <wp:docPr id="8" name="Text Box 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1BED4683" w14:textId="188FD669" w:rsidR="00650BD5" w:rsidRPr="007A05BE" w:rsidRDefault="00650BD5"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41D0E8" id="_x0000_t202" coordsize="21600,21600" o:spt="202" path="m,l,21600r21600,l21600,xe">
              <v:stroke joinstyle="miter"/>
              <v:path gradientshapeok="t" o:connecttype="rect"/>
            </v:shapetype>
            <v:shape id="Text Box 8" o:spid="_x0000_s1032" type="#_x0000_t202" style="position:absolute;margin-left:28.15pt;margin-top:0;width:79.35pt;height:42.5pt;z-index:-2516480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WdhgIAABEFAAAOAAAAZHJzL2Uyb0RvYy54bWysVE1v2zAMvQ/YfxB0T+x8Oa4Rp0iaZRhQ&#10;tAWaoWdFlhsDtqhJSuxs6H8fJdvJ0O0wDDtYpkiK4uMjtbhtqpKchDYFyJSOhiElQnLICvma0q+7&#10;7SCmxFgmM1aCFCk9C0Nvlx8/LGqViDEcoMyEJhhEmqRWKT1Yq5IgMPwgKmaGoIREYw66Yha3+jXI&#10;NKsxelUG4zCMghp0pjRwYQxqN62RLn38PBfcPua5EZaUKcXcrF+1X/duDZYLlrxqpg4F79Jg/5BF&#10;xQqJl15CbZhl5KiL30JVBddgILdDDlUAeV5w4TEgmlH4Ds3zgSnhsWBxjLqUyfy/sPzh9KRJkaUU&#10;iZKsQop2orFkDQ2JPSLc3RvrsDm9x/TjbhRPNvNtNFhPb+LBdLKeDG6m8Xowmo/j9Wy8WkWfpm/u&#10;dCZ4gh9oZouT6AuMmr9D0HHtajMPrnEoOTHkc+TYC3xe/d9nGtTKJB6YawMvPitEaRtE1R1zeoNK&#10;h6vJdeX+yAZBO7bJ+dIaDjN3h8JwHk3RxNE2m9w4ub29P620sZ8FVMQJKdXYer5+7IRJta69i7tM&#10;wrYoS99+pSR1SqPJLPQHLhaEVkpEds3VSbbZN56wyCXgNHvIzghPQ9vdRvFtgTncM2OfmMZ2xrRx&#10;RO0jLnkJeBd0EiUH0N//pHf+yBFaKalxPFJqvh2ZFpSUXyT2n5ulXtBeiKZxGKJ673eTCDe4k8fq&#10;DjxXBPPyImq1LXsx11C94Ayv3H1oYpLjrSnd9+KdbccV3wAuVivvhLOjmL2XzwobaeSr5mq7a16Y&#10;Vh0BFql7gH6EWPKOh9a3ZWJ1tJAXnqRrPbvC49z55ureCDfYv+691/UlW/4EAAD//wMAUEsDBBQA&#10;BgAIAAAAIQBF6fG43AAAAAQBAAAPAAAAZHJzL2Rvd25yZXYueG1sTI9BS8NAEIXvgv9hGcFLsbsK&#10;0RAzKSIICqK0lva6zY5JSHY27G7b6K9360UvA4/3eO+bcjHZQRzIh84xwvVcgSCunem4QVh/PF3l&#10;IELUbPTgmBC+KMCiOj8rdWHckZd0WMVGpBIOhUZoYxwLKUPdktVh7kbi5H06b3VM0jfSeH1M5XaQ&#10;N0rdSqs7TgutHumxpbpf7S1C/xZ8vqVMbbpp/fr93s+eX+QM8fJiergHEWmKf2E44Sd0qBLTzu3Z&#10;BDEgpEfi7z15WX4HYoeQZwpkVcr/8NUPAAAA//8DAFBLAQItABQABgAIAAAAIQC2gziS/gAAAOEB&#10;AAATAAAAAAAAAAAAAAAAAAAAAABbQ29udGVudF9UeXBlc10ueG1sUEsBAi0AFAAGAAgAAAAhADj9&#10;If/WAAAAlAEAAAsAAAAAAAAAAAAAAAAALwEAAF9yZWxzLy5yZWxzUEsBAi0AFAAGAAgAAAAhAMLg&#10;xZ2GAgAAEQUAAA4AAAAAAAAAAAAAAAAALgIAAGRycy9lMm9Eb2MueG1sUEsBAi0AFAAGAAgAAAAh&#10;AEXp8bjcAAAABAEAAA8AAAAAAAAAAAAAAAAA4AQAAGRycy9kb3ducmV2LnhtbFBLBQYAAAAABAAE&#10;APMAAADpBQAAAAA=&#10;" filled="f" stroked="f" strokeweight=".5pt">
              <v:textbox inset="0,0,18mm,10mm">
                <w:txbxContent>
                  <w:p w14:paraId="1BED4683" w14:textId="188FD669" w:rsidR="00650BD5" w:rsidRPr="007A05BE" w:rsidRDefault="00650BD5"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7456" behindDoc="1" locked="1" layoutInCell="1" allowOverlap="1" wp14:anchorId="22E1088E" wp14:editId="1E2C07E7">
              <wp:simplePos x="0" y="0"/>
              <wp:positionH relativeFrom="page">
                <wp:align>right</wp:align>
              </wp:positionH>
              <wp:positionV relativeFrom="page">
                <wp:align>bottom</wp:align>
              </wp:positionV>
              <wp:extent cx="4320000" cy="539640"/>
              <wp:effectExtent l="0" t="0" r="0" b="0"/>
              <wp:wrapNone/>
              <wp:docPr id="9" name="Text Box 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190116D9" w14:textId="27C4DBFC" w:rsidR="00650BD5" w:rsidRDefault="00650BD5" w:rsidP="00546218">
                          <w:pPr>
                            <w:pStyle w:val="Footer"/>
                            <w:jc w:val="right"/>
                          </w:pPr>
                          <w:r>
                            <w:t>REDUCING HEAVY VEHICLE LANE DEPARTURE CRASHES</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1088E" id="_x0000_t202" coordsize="21600,21600" o:spt="202" path="m,l,21600r21600,l21600,xe">
              <v:stroke joinstyle="miter"/>
              <v:path gradientshapeok="t" o:connecttype="rect"/>
            </v:shapetype>
            <v:shape id="Text Box 9" o:spid="_x0000_s1033" type="#_x0000_t202" style="position:absolute;margin-left:288.95pt;margin-top:0;width:340.15pt;height:42.5pt;z-index:-25164902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X1aAIAAKgEAAAOAAAAZHJzL2Uyb0RvYy54bWysVEuP2jAQvlfqf7B8hwQSniKsApSq0mp3&#10;Jaj2bBwHIiUe1zYktOp/79ghbLXtqerFGc+M5/HNN1k8NFVJLkKbAmRCB/2QEiE5ZIU8JvTrftub&#10;UmIskxkrQYqEXoWhD8uPHxa1moshnKDMhCYYRJp5rRJ6slbNg8Dwk6iY6YMSEo056IpZvOpjkGlW&#10;Y/SqDIZhOA5q0JnSwIUxqN20Rrr08fNccPuc50ZYUiYUa7P+1P48uDNYLtj8qJk6FfxWBvuHKipW&#10;SEx6D7VhlpGzLv4IVRVcg4Hc9jlUAeR5wYXvAbsZhO+62Z2YEr4XBMeoO0zm/4XlT5cXTYosoTNK&#10;JKtwRHvRWLKChsx8R3h7NNb15vS+px/rwTTaTLbj3iqeTXtxtIp6s3i66g0mw+lqNEzT8af4p8M2&#10;8K/8+6BWZu7TueF4cacwt20wF1LHuTu9QaXL1uS6cl/EiKAdh3e9D8xVwlEZR8iBEE0cbaNoNo79&#10;RDFr91ppYz8LqIgTEqqREL4rdsGi2gI7F5dMwrYoS0+KUpI6oeNoFPoHdwsGLyV29lark2xzaDyM&#10;k66PA2RXbE9Dyzmj+LbAGh6ZsS9MI8mwbFwc+4xHXgLmgptEyQn097/pnT/OHq2U1EjahJpvZ6YF&#10;JeUXiaxwDO8E7YVBGE49Qgd/jcYtXvJcrQFXYoDbqbgX8a22ZSfmGqpXXK3UJUQTkxzTJvTQiWvb&#10;bhGuJhdp6p2Q0orZR7lT3IV2gDpw980r0+o2AYuze4KO2Wz+bhCtbzuK9GwhL/yUHMQtoDfkcR08&#10;u26r6/bt97v3evvBLH8BAAD//wMAUEsDBBQABgAIAAAAIQD6tAqD2gAAAAQBAAAPAAAAZHJzL2Rv&#10;d25yZXYueG1sTI/BTsMwEETvSPyDtZW4UbsFShTiVBUSNw6kcOnNjTdxVHttxW6b8vUYLvSy0mhG&#10;M2+r9eQsO+EYB08SFnMBDKn1eqBewtfn230BLCZFWllPKOGCEdb17U2lSu3P1OBpm3qWSyiWSoJJ&#10;KZScx9agU3HuA1L2Oj86lbIce65Hdc7lzvKlECvu1EB5waiArwbbw/boJDT2Ay/dZvm8+35/PIjQ&#10;hcbQTsq72bR5AZZwSv9h+MXP6FBnpr0/ko7MSsiPpL+bvVUhHoDtJRRPAnhd8Wv4+gcAAP//AwBQ&#10;SwECLQAUAAYACAAAACEAtoM4kv4AAADhAQAAEwAAAAAAAAAAAAAAAAAAAAAAW0NvbnRlbnRfVHlw&#10;ZXNdLnhtbFBLAQItABQABgAIAAAAIQA4/SH/1gAAAJQBAAALAAAAAAAAAAAAAAAAAC8BAABfcmVs&#10;cy8ucmVsc1BLAQItABQABgAIAAAAIQDGSEX1aAIAAKgEAAAOAAAAAAAAAAAAAAAAAC4CAABkcnMv&#10;ZTJvRG9jLnhtbFBLAQItABQABgAIAAAAIQD6tAqD2gAAAAQBAAAPAAAAAAAAAAAAAAAAAMIEAABk&#10;cnMvZG93bnJldi54bWxQSwUGAAAAAAQABADzAAAAyQUAAAAA&#10;" filled="f" stroked="f" strokeweight=".5pt">
              <v:textbox inset="0,0,28mm,10mm">
                <w:txbxContent>
                  <w:p w14:paraId="190116D9" w14:textId="27C4DBFC" w:rsidR="00650BD5" w:rsidRDefault="00650BD5" w:rsidP="00546218">
                    <w:pPr>
                      <w:pStyle w:val="Footer"/>
                      <w:jc w:val="right"/>
                    </w:pPr>
                    <w:r>
                      <w:t>REDUCING HEAVY VEHICLE LANE DEPARTURE CRASHES</w:t>
                    </w:r>
                  </w:p>
                </w:txbxContent>
              </v:textbox>
              <w10:wrap anchorx="page" anchory="page"/>
              <w10:anchorlock/>
            </v:shape>
          </w:pict>
        </mc:Fallback>
      </mc:AlternateContent>
    </w:r>
    <w:r>
      <w:rPr>
        <w:noProof/>
        <w:lang w:eastAsia="en-AU"/>
      </w:rPr>
      <w:drawing>
        <wp:anchor distT="0" distB="0" distL="114300" distR="114300" simplePos="0" relativeHeight="251666432" behindDoc="1" locked="1" layoutInCell="1" allowOverlap="1" wp14:anchorId="022EECBC" wp14:editId="7A46A80F">
          <wp:simplePos x="0" y="0"/>
          <wp:positionH relativeFrom="page">
            <wp:align>right</wp:align>
          </wp:positionH>
          <wp:positionV relativeFrom="page">
            <wp:align>bottom</wp:align>
          </wp:positionV>
          <wp:extent cx="10692000" cy="183240"/>
          <wp:effectExtent l="0" t="0" r="0" b="7620"/>
          <wp:wrapNone/>
          <wp:docPr id="7" name="Picture 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00761" w14:textId="77777777" w:rsidR="00650BD5" w:rsidRPr="005912BE" w:rsidRDefault="00650BD5" w:rsidP="005912BE">
      <w:pPr>
        <w:spacing w:before="300"/>
        <w:rPr>
          <w:color w:val="4BB3B5" w:themeColor="accent2"/>
        </w:rPr>
      </w:pPr>
      <w:r>
        <w:rPr>
          <w:color w:val="4BB3B5" w:themeColor="accent2"/>
        </w:rPr>
        <w:t>----------</w:t>
      </w:r>
    </w:p>
  </w:footnote>
  <w:footnote w:type="continuationSeparator" w:id="0">
    <w:p w14:paraId="5178B3BD" w14:textId="77777777" w:rsidR="00650BD5" w:rsidRDefault="00650BD5" w:rsidP="008456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AF203" w14:textId="1269EC39" w:rsidR="00650BD5" w:rsidRDefault="00BF64CF" w:rsidP="00D87AD8">
    <w:pPr>
      <w:pStyle w:val="Header"/>
      <w:spacing w:after="1320"/>
      <w:jc w:val="left"/>
    </w:pPr>
    <w:r>
      <w:fldChar w:fldCharType="begin"/>
    </w:r>
    <w:r>
      <w:instrText xml:space="preserve"> STYLEREF  "Heading 1"  \* MERGEFORMAT </w:instrText>
    </w:r>
    <w:r>
      <w:fldChar w:fldCharType="separate"/>
    </w:r>
    <w:r w:rsidR="00650BD5">
      <w:rPr>
        <w:noProof/>
      </w:rPr>
      <w:t>Executive Summary</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2C754" w14:textId="77777777" w:rsidR="00650BD5" w:rsidRDefault="00650BD5"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5E030" w14:textId="77777777" w:rsidR="00B758BD" w:rsidRDefault="00B758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C7FDB" w14:textId="77777777" w:rsidR="00650BD5" w:rsidRPr="005912BE" w:rsidRDefault="00650BD5" w:rsidP="005912BE">
    <w:pPr>
      <w:pStyle w:val="Header"/>
      <w:spacing w:after="132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F1748" w14:textId="77777777" w:rsidR="00650BD5" w:rsidRDefault="00650BD5" w:rsidP="00546218">
    <w:pPr>
      <w:pStyle w:val="Header"/>
      <w:spacing w:after="132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E783C" w14:textId="4A7ADE9F" w:rsidR="00650BD5" w:rsidRPr="002D7327" w:rsidRDefault="00650BD5" w:rsidP="005912BE">
    <w:pPr>
      <w:pStyle w:val="Header"/>
      <w:spacing w:after="1320"/>
      <w:rPr>
        <w:lang w:val="en-US"/>
      </w:rPr>
    </w:pPr>
    <w:r>
      <w:rPr>
        <w:lang w:val="en-US"/>
      </w:rPr>
      <w:t xml:space="preserve">Impact Assessment - Final - </w:t>
    </w:r>
    <w:r w:rsidRPr="002D7327">
      <w:rPr>
        <w:lang w:val="en-US"/>
      </w:rPr>
      <w:t>Department of Infra</w:t>
    </w:r>
    <w:r>
      <w:rPr>
        <w:lang w:val="en-US"/>
      </w:rPr>
      <w:t>structure, Transport, Regional Development, Communications and the Arts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B403B" w14:textId="58D2674D" w:rsidR="00650BD5" w:rsidRDefault="00BF64CF" w:rsidP="005912BE">
    <w:pPr>
      <w:pStyle w:val="Header"/>
      <w:spacing w:after="1320"/>
    </w:pPr>
    <w:r>
      <w:fldChar w:fldCharType="begin"/>
    </w:r>
    <w:r>
      <w:instrText xml:space="preserve"> STYLEREF  "Heading 1"  \* MERGEFORMAT </w:instrText>
    </w:r>
    <w:r>
      <w:fldChar w:fldCharType="separate"/>
    </w:r>
    <w:r w:rsidR="00650BD5">
      <w:rPr>
        <w:noProof/>
      </w:rPr>
      <w:t>Executive Summary</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144B9"/>
    <w:multiLevelType w:val="hybridMultilevel"/>
    <w:tmpl w:val="1D603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1E7A6E"/>
    <w:multiLevelType w:val="multilevel"/>
    <w:tmpl w:val="AC7A6284"/>
    <w:styleLink w:val="Appendices"/>
    <w:lvl w:ilvl="0">
      <w:start w:val="1"/>
      <w:numFmt w:val="decimal"/>
      <w:suff w:val="space"/>
      <w:lvlText w:val="Appendix %1 —"/>
      <w:lvlJc w:val="left"/>
      <w:pPr>
        <w:ind w:left="1871" w:hanging="1871"/>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621AED"/>
    <w:multiLevelType w:val="multilevel"/>
    <w:tmpl w:val="C2EED61A"/>
    <w:numStyleLink w:val="NumberedHeadings"/>
  </w:abstractNum>
  <w:abstractNum w:abstractNumId="4" w15:restartNumberingAfterBreak="0">
    <w:nsid w:val="0E016AAE"/>
    <w:multiLevelType w:val="hybridMultilevel"/>
    <w:tmpl w:val="B2026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E031C0"/>
    <w:multiLevelType w:val="hybridMultilevel"/>
    <w:tmpl w:val="F048B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A64F7A"/>
    <w:multiLevelType w:val="hybridMultilevel"/>
    <w:tmpl w:val="81727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5D101B"/>
    <w:multiLevelType w:val="hybridMultilevel"/>
    <w:tmpl w:val="DCAC6F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910908"/>
    <w:multiLevelType w:val="hybridMultilevel"/>
    <w:tmpl w:val="1D603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6612B95"/>
    <w:multiLevelType w:val="hybridMultilevel"/>
    <w:tmpl w:val="1D603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8287EAC"/>
    <w:multiLevelType w:val="hybridMultilevel"/>
    <w:tmpl w:val="C7628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AC5CDB"/>
    <w:multiLevelType w:val="hybridMultilevel"/>
    <w:tmpl w:val="EC341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E472D7"/>
    <w:multiLevelType w:val="hybridMultilevel"/>
    <w:tmpl w:val="D362D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F52B8C"/>
    <w:multiLevelType w:val="hybridMultilevel"/>
    <w:tmpl w:val="808A8CB2"/>
    <w:lvl w:ilvl="0" w:tplc="086ECC00">
      <w:start w:val="1"/>
      <w:numFmt w:val="decimal"/>
      <w:pStyle w:val="Appendix-Heading"/>
      <w:suff w:val="nothing"/>
      <w:lvlText w:val="Appendix %1"/>
      <w:lvlJc w:val="left"/>
      <w:pPr>
        <w:ind w:left="1474" w:hanging="1474"/>
      </w:pPr>
      <w:rPr>
        <w:rFonts w:ascii="Cambria" w:hAnsi="Cambria" w:cs="Times New Roman"/>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2104" w:hanging="360"/>
      </w:pPr>
    </w:lvl>
    <w:lvl w:ilvl="2" w:tplc="0C09001B" w:tentative="1">
      <w:start w:val="1"/>
      <w:numFmt w:val="lowerRoman"/>
      <w:lvlText w:val="%3."/>
      <w:lvlJc w:val="right"/>
      <w:pPr>
        <w:ind w:left="-1384" w:hanging="180"/>
      </w:pPr>
    </w:lvl>
    <w:lvl w:ilvl="3" w:tplc="0C09000F" w:tentative="1">
      <w:start w:val="1"/>
      <w:numFmt w:val="decimal"/>
      <w:lvlText w:val="%4."/>
      <w:lvlJc w:val="left"/>
      <w:pPr>
        <w:ind w:left="-664" w:hanging="360"/>
      </w:pPr>
    </w:lvl>
    <w:lvl w:ilvl="4" w:tplc="0C090019" w:tentative="1">
      <w:start w:val="1"/>
      <w:numFmt w:val="lowerLetter"/>
      <w:lvlText w:val="%5."/>
      <w:lvlJc w:val="left"/>
      <w:pPr>
        <w:ind w:left="56" w:hanging="360"/>
      </w:pPr>
    </w:lvl>
    <w:lvl w:ilvl="5" w:tplc="0C09001B" w:tentative="1">
      <w:start w:val="1"/>
      <w:numFmt w:val="lowerRoman"/>
      <w:lvlText w:val="%6."/>
      <w:lvlJc w:val="right"/>
      <w:pPr>
        <w:ind w:left="776" w:hanging="180"/>
      </w:pPr>
    </w:lvl>
    <w:lvl w:ilvl="6" w:tplc="0C09000F" w:tentative="1">
      <w:start w:val="1"/>
      <w:numFmt w:val="decimal"/>
      <w:lvlText w:val="%7."/>
      <w:lvlJc w:val="left"/>
      <w:pPr>
        <w:ind w:left="1496" w:hanging="360"/>
      </w:pPr>
    </w:lvl>
    <w:lvl w:ilvl="7" w:tplc="0C090019" w:tentative="1">
      <w:start w:val="1"/>
      <w:numFmt w:val="lowerLetter"/>
      <w:lvlText w:val="%8."/>
      <w:lvlJc w:val="left"/>
      <w:pPr>
        <w:ind w:left="2216" w:hanging="360"/>
      </w:pPr>
    </w:lvl>
    <w:lvl w:ilvl="8" w:tplc="0C09001B" w:tentative="1">
      <w:start w:val="1"/>
      <w:numFmt w:val="lowerRoman"/>
      <w:lvlText w:val="%9."/>
      <w:lvlJc w:val="right"/>
      <w:pPr>
        <w:ind w:left="2936" w:hanging="180"/>
      </w:pPr>
    </w:lvl>
  </w:abstractNum>
  <w:abstractNum w:abstractNumId="14" w15:restartNumberingAfterBreak="0">
    <w:nsid w:val="26D158BE"/>
    <w:multiLevelType w:val="hybridMultilevel"/>
    <w:tmpl w:val="B6E4EA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7076FB8"/>
    <w:multiLevelType w:val="hybridMultilevel"/>
    <w:tmpl w:val="B6E4EA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7F21CC8"/>
    <w:multiLevelType w:val="hybridMultilevel"/>
    <w:tmpl w:val="1D603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8AF6F97"/>
    <w:multiLevelType w:val="hybridMultilevel"/>
    <w:tmpl w:val="65AA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834CDB"/>
    <w:multiLevelType w:val="hybridMultilevel"/>
    <w:tmpl w:val="ECBCABB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E257B18"/>
    <w:multiLevelType w:val="hybridMultilevel"/>
    <w:tmpl w:val="3FFCF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F9495A"/>
    <w:multiLevelType w:val="hybridMultilevel"/>
    <w:tmpl w:val="9E12A92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1BE05DA"/>
    <w:multiLevelType w:val="hybridMultilevel"/>
    <w:tmpl w:val="1D603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4E03CA8"/>
    <w:multiLevelType w:val="hybridMultilevel"/>
    <w:tmpl w:val="8F924AB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3AA51938"/>
    <w:multiLevelType w:val="multilevel"/>
    <w:tmpl w:val="298C34E4"/>
    <w:numStyleLink w:val="AppendixNumbers"/>
  </w:abstractNum>
  <w:abstractNum w:abstractNumId="25" w15:restartNumberingAfterBreak="0">
    <w:nsid w:val="3D260C71"/>
    <w:multiLevelType w:val="hybridMultilevel"/>
    <w:tmpl w:val="F000D892"/>
    <w:lvl w:ilvl="0" w:tplc="0C090001">
      <w:start w:val="1"/>
      <w:numFmt w:val="lowerRoman"/>
      <w:pStyle w:val="ListParagraphIndent1"/>
      <w:lvlText w:val="%1."/>
      <w:lvlJc w:val="right"/>
      <w:pPr>
        <w:ind w:left="360" w:hanging="360"/>
      </w:pPr>
    </w:lvl>
    <w:lvl w:ilvl="1" w:tplc="0C090003" w:tentative="1">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2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43FD7EF6"/>
    <w:multiLevelType w:val="hybridMultilevel"/>
    <w:tmpl w:val="EDDCD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451B1A"/>
    <w:multiLevelType w:val="hybridMultilevel"/>
    <w:tmpl w:val="E0A22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8A303C"/>
    <w:multiLevelType w:val="hybridMultilevel"/>
    <w:tmpl w:val="661254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8B51B0E"/>
    <w:multiLevelType w:val="hybridMultilevel"/>
    <w:tmpl w:val="BEB4969C"/>
    <w:lvl w:ilvl="0" w:tplc="414C5748">
      <w:start w:val="1"/>
      <w:numFmt w:val="decimal"/>
      <w:pStyle w:val="Heading71"/>
      <w:suff w:val="nothing"/>
      <w:lvlText w:val="Appendix %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06A362D"/>
    <w:multiLevelType w:val="hybridMultilevel"/>
    <w:tmpl w:val="C5DE7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0C31A03"/>
    <w:multiLevelType w:val="hybridMultilevel"/>
    <w:tmpl w:val="1D603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2AB1F23"/>
    <w:multiLevelType w:val="hybridMultilevel"/>
    <w:tmpl w:val="4552A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0060DC"/>
    <w:multiLevelType w:val="hybridMultilevel"/>
    <w:tmpl w:val="647EB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F7506F"/>
    <w:multiLevelType w:val="multilevel"/>
    <w:tmpl w:val="7882B440"/>
    <w:lvl w:ilvl="0">
      <w:start w:val="1"/>
      <w:numFmt w:val="decimal"/>
      <w:pStyle w:val="MainHeadding"/>
      <w:lvlText w:val="%1."/>
      <w:lvlJc w:val="left"/>
      <w:pPr>
        <w:tabs>
          <w:tab w:val="num" w:pos="851"/>
        </w:tabs>
        <w:ind w:left="851" w:hanging="851"/>
      </w:pPr>
      <w:rPr>
        <w:rFonts w:hint="default"/>
      </w:rPr>
    </w:lvl>
    <w:lvl w:ilvl="1">
      <w:start w:val="1"/>
      <w:numFmt w:val="decimal"/>
      <w:pStyle w:val="Subsection"/>
      <w:lvlText w:val="%1.%2."/>
      <w:lvlJc w:val="left"/>
      <w:pPr>
        <w:tabs>
          <w:tab w:val="num" w:pos="3545"/>
        </w:tabs>
        <w:ind w:left="3545" w:hanging="851"/>
      </w:pPr>
      <w:rPr>
        <w:rFonts w:hint="default"/>
      </w:rPr>
    </w:lvl>
    <w:lvl w:ilvl="2">
      <w:start w:val="1"/>
      <w:numFmt w:val="decimal"/>
      <w:pStyle w:val="Subsubsection"/>
      <w:lvlText w:val="%1.%2.%3."/>
      <w:lvlJc w:val="left"/>
      <w:pPr>
        <w:tabs>
          <w:tab w:val="num" w:pos="851"/>
        </w:tabs>
        <w:ind w:left="851" w:hanging="851"/>
      </w:pPr>
      <w:rPr>
        <w:rFonts w:hint="default"/>
      </w:rPr>
    </w:lvl>
    <w:lvl w:ilvl="3">
      <w:start w:val="1"/>
      <w:numFmt w:val="decimal"/>
      <w:pStyle w:val="Subsubsubsection"/>
      <w:lvlText w:val="%1.%2.%3.%4."/>
      <w:lvlJc w:val="left"/>
      <w:pPr>
        <w:tabs>
          <w:tab w:val="num" w:pos="851"/>
        </w:tabs>
        <w:ind w:left="851" w:hanging="851"/>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37" w15:restartNumberingAfterBreak="0">
    <w:nsid w:val="5AA35698"/>
    <w:multiLevelType w:val="hybridMultilevel"/>
    <w:tmpl w:val="0A1646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F191989"/>
    <w:multiLevelType w:val="hybridMultilevel"/>
    <w:tmpl w:val="9A66E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7A5905"/>
    <w:multiLevelType w:val="hybridMultilevel"/>
    <w:tmpl w:val="C4C41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6D71EA"/>
    <w:multiLevelType w:val="hybridMultilevel"/>
    <w:tmpl w:val="C33C7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4A3D55"/>
    <w:multiLevelType w:val="hybridMultilevel"/>
    <w:tmpl w:val="1D603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FC9445F"/>
    <w:multiLevelType w:val="hybridMultilevel"/>
    <w:tmpl w:val="6068F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B141D3"/>
    <w:multiLevelType w:val="hybridMultilevel"/>
    <w:tmpl w:val="4CF489E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6F43BA0"/>
    <w:multiLevelType w:val="hybridMultilevel"/>
    <w:tmpl w:val="F6A6F6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7"/>
  </w:num>
  <w:num w:numId="2">
    <w:abstractNumId w:val="46"/>
  </w:num>
  <w:num w:numId="3">
    <w:abstractNumId w:val="1"/>
  </w:num>
  <w:num w:numId="4">
    <w:abstractNumId w:val="26"/>
  </w:num>
  <w:num w:numId="5">
    <w:abstractNumId w:val="3"/>
  </w:num>
  <w:num w:numId="6">
    <w:abstractNumId w:val="21"/>
  </w:num>
  <w:num w:numId="7">
    <w:abstractNumId w:val="24"/>
  </w:num>
  <w:num w:numId="8">
    <w:abstractNumId w:val="38"/>
  </w:num>
  <w:num w:numId="9">
    <w:abstractNumId w:val="40"/>
  </w:num>
  <w:num w:numId="10">
    <w:abstractNumId w:val="5"/>
  </w:num>
  <w:num w:numId="11">
    <w:abstractNumId w:val="4"/>
  </w:num>
  <w:num w:numId="12">
    <w:abstractNumId w:val="12"/>
  </w:num>
  <w:num w:numId="13">
    <w:abstractNumId w:val="17"/>
  </w:num>
  <w:num w:numId="14">
    <w:abstractNumId w:val="41"/>
  </w:num>
  <w:num w:numId="15">
    <w:abstractNumId w:val="43"/>
  </w:num>
  <w:num w:numId="16">
    <w:abstractNumId w:val="35"/>
  </w:num>
  <w:num w:numId="17">
    <w:abstractNumId w:val="39"/>
  </w:num>
  <w:num w:numId="18">
    <w:abstractNumId w:val="19"/>
  </w:num>
  <w:num w:numId="19">
    <w:abstractNumId w:val="29"/>
  </w:num>
  <w:num w:numId="20">
    <w:abstractNumId w:val="34"/>
  </w:num>
  <w:num w:numId="21">
    <w:abstractNumId w:val="7"/>
  </w:num>
  <w:num w:numId="22">
    <w:abstractNumId w:val="6"/>
  </w:num>
  <w:num w:numId="23">
    <w:abstractNumId w:val="10"/>
  </w:num>
  <w:num w:numId="24">
    <w:abstractNumId w:val="23"/>
  </w:num>
  <w:num w:numId="25">
    <w:abstractNumId w:val="36"/>
  </w:num>
  <w:num w:numId="26">
    <w:abstractNumId w:val="25"/>
  </w:num>
  <w:num w:numId="27">
    <w:abstractNumId w:val="2"/>
  </w:num>
  <w:num w:numId="28">
    <w:abstractNumId w:val="13"/>
  </w:num>
  <w:num w:numId="29">
    <w:abstractNumId w:val="31"/>
  </w:num>
  <w:num w:numId="30">
    <w:abstractNumId w:val="28"/>
  </w:num>
  <w:num w:numId="31">
    <w:abstractNumId w:val="15"/>
  </w:num>
  <w:num w:numId="32">
    <w:abstractNumId w:val="8"/>
  </w:num>
  <w:num w:numId="33">
    <w:abstractNumId w:val="32"/>
  </w:num>
  <w:num w:numId="34">
    <w:abstractNumId w:val="9"/>
  </w:num>
  <w:num w:numId="35">
    <w:abstractNumId w:val="14"/>
  </w:num>
  <w:num w:numId="36">
    <w:abstractNumId w:val="22"/>
  </w:num>
  <w:num w:numId="37">
    <w:abstractNumId w:val="16"/>
  </w:num>
  <w:num w:numId="38">
    <w:abstractNumId w:val="42"/>
  </w:num>
  <w:num w:numId="39">
    <w:abstractNumId w:val="44"/>
  </w:num>
  <w:num w:numId="40">
    <w:abstractNumId w:val="45"/>
  </w:num>
  <w:num w:numId="41">
    <w:abstractNumId w:val="30"/>
  </w:num>
  <w:num w:numId="42">
    <w:abstractNumId w:val="37"/>
  </w:num>
  <w:num w:numId="43">
    <w:abstractNumId w:val="18"/>
  </w:num>
  <w:num w:numId="44">
    <w:abstractNumId w:val="20"/>
  </w:num>
  <w:num w:numId="45">
    <w:abstractNumId w:val="0"/>
  </w:num>
  <w:num w:numId="46">
    <w:abstractNumId w:val="33"/>
  </w:num>
  <w:num w:numId="47">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defaultTabStop w:val="720"/>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6AD"/>
    <w:rsid w:val="00002C1F"/>
    <w:rsid w:val="00003F50"/>
    <w:rsid w:val="00010F55"/>
    <w:rsid w:val="000120A2"/>
    <w:rsid w:val="000126E2"/>
    <w:rsid w:val="00013D4E"/>
    <w:rsid w:val="0001430B"/>
    <w:rsid w:val="000150C0"/>
    <w:rsid w:val="00015E30"/>
    <w:rsid w:val="00020210"/>
    <w:rsid w:val="000206BC"/>
    <w:rsid w:val="00024C48"/>
    <w:rsid w:val="00024CD9"/>
    <w:rsid w:val="00025153"/>
    <w:rsid w:val="00025BBA"/>
    <w:rsid w:val="000306A0"/>
    <w:rsid w:val="00030AEA"/>
    <w:rsid w:val="00033532"/>
    <w:rsid w:val="00035B05"/>
    <w:rsid w:val="00035E18"/>
    <w:rsid w:val="00036D76"/>
    <w:rsid w:val="00037653"/>
    <w:rsid w:val="00040252"/>
    <w:rsid w:val="00041608"/>
    <w:rsid w:val="00041A6D"/>
    <w:rsid w:val="00042060"/>
    <w:rsid w:val="000431FB"/>
    <w:rsid w:val="000443CD"/>
    <w:rsid w:val="00044540"/>
    <w:rsid w:val="00045453"/>
    <w:rsid w:val="00050F3D"/>
    <w:rsid w:val="000522C7"/>
    <w:rsid w:val="000603AA"/>
    <w:rsid w:val="00061CF2"/>
    <w:rsid w:val="00062168"/>
    <w:rsid w:val="000629E8"/>
    <w:rsid w:val="00064530"/>
    <w:rsid w:val="000674C2"/>
    <w:rsid w:val="00070381"/>
    <w:rsid w:val="00071F45"/>
    <w:rsid w:val="0008538D"/>
    <w:rsid w:val="00085622"/>
    <w:rsid w:val="000856E9"/>
    <w:rsid w:val="00090589"/>
    <w:rsid w:val="000910B7"/>
    <w:rsid w:val="00092EF0"/>
    <w:rsid w:val="00094693"/>
    <w:rsid w:val="0009551F"/>
    <w:rsid w:val="00097C30"/>
    <w:rsid w:val="00097DB5"/>
    <w:rsid w:val="000A0EB7"/>
    <w:rsid w:val="000A2691"/>
    <w:rsid w:val="000A3A4D"/>
    <w:rsid w:val="000B29EB"/>
    <w:rsid w:val="000B3CD7"/>
    <w:rsid w:val="000B46D4"/>
    <w:rsid w:val="000B61A1"/>
    <w:rsid w:val="000B6BB3"/>
    <w:rsid w:val="000B784A"/>
    <w:rsid w:val="000B7973"/>
    <w:rsid w:val="000C2AB6"/>
    <w:rsid w:val="000C3B08"/>
    <w:rsid w:val="000C3CD0"/>
    <w:rsid w:val="000C5EC3"/>
    <w:rsid w:val="000C601C"/>
    <w:rsid w:val="000D25AA"/>
    <w:rsid w:val="000D3271"/>
    <w:rsid w:val="000D4B1C"/>
    <w:rsid w:val="000D4B4E"/>
    <w:rsid w:val="000D5324"/>
    <w:rsid w:val="000D64DD"/>
    <w:rsid w:val="000E24BA"/>
    <w:rsid w:val="000E42C6"/>
    <w:rsid w:val="000E50EC"/>
    <w:rsid w:val="000E5674"/>
    <w:rsid w:val="000F0B93"/>
    <w:rsid w:val="000F5030"/>
    <w:rsid w:val="000F7B15"/>
    <w:rsid w:val="001033AD"/>
    <w:rsid w:val="00104AB5"/>
    <w:rsid w:val="00106450"/>
    <w:rsid w:val="00106732"/>
    <w:rsid w:val="001100FF"/>
    <w:rsid w:val="00110215"/>
    <w:rsid w:val="00111346"/>
    <w:rsid w:val="001119D5"/>
    <w:rsid w:val="00112418"/>
    <w:rsid w:val="001128A8"/>
    <w:rsid w:val="001144EE"/>
    <w:rsid w:val="001148D3"/>
    <w:rsid w:val="00114B1A"/>
    <w:rsid w:val="001168FB"/>
    <w:rsid w:val="00116C09"/>
    <w:rsid w:val="00117A3C"/>
    <w:rsid w:val="00117D87"/>
    <w:rsid w:val="00120E88"/>
    <w:rsid w:val="00121711"/>
    <w:rsid w:val="001229EC"/>
    <w:rsid w:val="00125A8E"/>
    <w:rsid w:val="00125C88"/>
    <w:rsid w:val="00127D76"/>
    <w:rsid w:val="001312C7"/>
    <w:rsid w:val="001349C6"/>
    <w:rsid w:val="00134ED8"/>
    <w:rsid w:val="00135B52"/>
    <w:rsid w:val="00136719"/>
    <w:rsid w:val="00136F63"/>
    <w:rsid w:val="001432AE"/>
    <w:rsid w:val="00143E77"/>
    <w:rsid w:val="00144486"/>
    <w:rsid w:val="001458E9"/>
    <w:rsid w:val="00146363"/>
    <w:rsid w:val="001464DC"/>
    <w:rsid w:val="0014790B"/>
    <w:rsid w:val="00152595"/>
    <w:rsid w:val="00153DA3"/>
    <w:rsid w:val="001543D9"/>
    <w:rsid w:val="001614F7"/>
    <w:rsid w:val="0016249B"/>
    <w:rsid w:val="00166617"/>
    <w:rsid w:val="00167D04"/>
    <w:rsid w:val="00171935"/>
    <w:rsid w:val="00173328"/>
    <w:rsid w:val="00173D4F"/>
    <w:rsid w:val="00174171"/>
    <w:rsid w:val="00175931"/>
    <w:rsid w:val="00175E92"/>
    <w:rsid w:val="0017627C"/>
    <w:rsid w:val="00176512"/>
    <w:rsid w:val="00177EF5"/>
    <w:rsid w:val="00181B98"/>
    <w:rsid w:val="00187698"/>
    <w:rsid w:val="001928DC"/>
    <w:rsid w:val="00194F3A"/>
    <w:rsid w:val="00195087"/>
    <w:rsid w:val="00195EE9"/>
    <w:rsid w:val="0019635A"/>
    <w:rsid w:val="001A0096"/>
    <w:rsid w:val="001A28F9"/>
    <w:rsid w:val="001A3C46"/>
    <w:rsid w:val="001A5E2C"/>
    <w:rsid w:val="001A6294"/>
    <w:rsid w:val="001A68C5"/>
    <w:rsid w:val="001A7314"/>
    <w:rsid w:val="001A7411"/>
    <w:rsid w:val="001B0607"/>
    <w:rsid w:val="001B4CB6"/>
    <w:rsid w:val="001B7E3F"/>
    <w:rsid w:val="001C0B42"/>
    <w:rsid w:val="001C37FB"/>
    <w:rsid w:val="001C41BD"/>
    <w:rsid w:val="001C43ED"/>
    <w:rsid w:val="001C4E24"/>
    <w:rsid w:val="001C6FB2"/>
    <w:rsid w:val="001C73E1"/>
    <w:rsid w:val="001D105A"/>
    <w:rsid w:val="001D2336"/>
    <w:rsid w:val="001D79A4"/>
    <w:rsid w:val="001E1BA6"/>
    <w:rsid w:val="001E35C9"/>
    <w:rsid w:val="001E3A02"/>
    <w:rsid w:val="001E3F34"/>
    <w:rsid w:val="001E56E8"/>
    <w:rsid w:val="001F07B1"/>
    <w:rsid w:val="001F3B10"/>
    <w:rsid w:val="001F76CB"/>
    <w:rsid w:val="00200F57"/>
    <w:rsid w:val="002019D7"/>
    <w:rsid w:val="002023BF"/>
    <w:rsid w:val="0020323C"/>
    <w:rsid w:val="00206410"/>
    <w:rsid w:val="00206A9E"/>
    <w:rsid w:val="00212E16"/>
    <w:rsid w:val="00213F67"/>
    <w:rsid w:val="0021494E"/>
    <w:rsid w:val="00215C67"/>
    <w:rsid w:val="00216CEC"/>
    <w:rsid w:val="00217290"/>
    <w:rsid w:val="002218D5"/>
    <w:rsid w:val="002220C5"/>
    <w:rsid w:val="002246F5"/>
    <w:rsid w:val="002254D5"/>
    <w:rsid w:val="0022611D"/>
    <w:rsid w:val="002321AB"/>
    <w:rsid w:val="002327CB"/>
    <w:rsid w:val="00233166"/>
    <w:rsid w:val="00235C4A"/>
    <w:rsid w:val="0024107D"/>
    <w:rsid w:val="0024270A"/>
    <w:rsid w:val="00243707"/>
    <w:rsid w:val="00244610"/>
    <w:rsid w:val="00245622"/>
    <w:rsid w:val="0025347F"/>
    <w:rsid w:val="00253642"/>
    <w:rsid w:val="00253937"/>
    <w:rsid w:val="0025431D"/>
    <w:rsid w:val="002553A0"/>
    <w:rsid w:val="00257112"/>
    <w:rsid w:val="00257E8E"/>
    <w:rsid w:val="00260DD4"/>
    <w:rsid w:val="00261967"/>
    <w:rsid w:val="002644A8"/>
    <w:rsid w:val="002647CB"/>
    <w:rsid w:val="002648F6"/>
    <w:rsid w:val="00267050"/>
    <w:rsid w:val="00270B0C"/>
    <w:rsid w:val="00274C1D"/>
    <w:rsid w:val="00276132"/>
    <w:rsid w:val="002813ED"/>
    <w:rsid w:val="00281A30"/>
    <w:rsid w:val="00282B8B"/>
    <w:rsid w:val="00284164"/>
    <w:rsid w:val="00291050"/>
    <w:rsid w:val="00292D61"/>
    <w:rsid w:val="00296A7B"/>
    <w:rsid w:val="002976DD"/>
    <w:rsid w:val="002A0A2D"/>
    <w:rsid w:val="002A1355"/>
    <w:rsid w:val="002A496E"/>
    <w:rsid w:val="002A638C"/>
    <w:rsid w:val="002A6402"/>
    <w:rsid w:val="002B21EA"/>
    <w:rsid w:val="002B2EF8"/>
    <w:rsid w:val="002B3569"/>
    <w:rsid w:val="002B490F"/>
    <w:rsid w:val="002B5004"/>
    <w:rsid w:val="002B5BC2"/>
    <w:rsid w:val="002B7197"/>
    <w:rsid w:val="002B7593"/>
    <w:rsid w:val="002B7608"/>
    <w:rsid w:val="002C4968"/>
    <w:rsid w:val="002C7A8B"/>
    <w:rsid w:val="002D00DD"/>
    <w:rsid w:val="002D3DC4"/>
    <w:rsid w:val="002D50A6"/>
    <w:rsid w:val="002D5567"/>
    <w:rsid w:val="002D7327"/>
    <w:rsid w:val="002D7973"/>
    <w:rsid w:val="002E034E"/>
    <w:rsid w:val="002E0FB6"/>
    <w:rsid w:val="002E11CA"/>
    <w:rsid w:val="002E1A82"/>
    <w:rsid w:val="002E1ADA"/>
    <w:rsid w:val="002E371B"/>
    <w:rsid w:val="002E4782"/>
    <w:rsid w:val="002E7B9E"/>
    <w:rsid w:val="002F23D2"/>
    <w:rsid w:val="002F4B37"/>
    <w:rsid w:val="002F502A"/>
    <w:rsid w:val="002F651B"/>
    <w:rsid w:val="003009EC"/>
    <w:rsid w:val="00302773"/>
    <w:rsid w:val="003034EF"/>
    <w:rsid w:val="00303572"/>
    <w:rsid w:val="00304CF3"/>
    <w:rsid w:val="00305061"/>
    <w:rsid w:val="003071FF"/>
    <w:rsid w:val="00307EBF"/>
    <w:rsid w:val="00310F1D"/>
    <w:rsid w:val="003147B2"/>
    <w:rsid w:val="0031620E"/>
    <w:rsid w:val="00320E79"/>
    <w:rsid w:val="00320F71"/>
    <w:rsid w:val="00321C88"/>
    <w:rsid w:val="00321FEB"/>
    <w:rsid w:val="00322F42"/>
    <w:rsid w:val="00323FF6"/>
    <w:rsid w:val="00325F77"/>
    <w:rsid w:val="003261CF"/>
    <w:rsid w:val="00326FD2"/>
    <w:rsid w:val="00330B51"/>
    <w:rsid w:val="0033432B"/>
    <w:rsid w:val="003343FD"/>
    <w:rsid w:val="00334C33"/>
    <w:rsid w:val="003371E9"/>
    <w:rsid w:val="003377C5"/>
    <w:rsid w:val="00337B6B"/>
    <w:rsid w:val="00340FD5"/>
    <w:rsid w:val="00341F44"/>
    <w:rsid w:val="00343261"/>
    <w:rsid w:val="003435D5"/>
    <w:rsid w:val="00344B23"/>
    <w:rsid w:val="00347BC2"/>
    <w:rsid w:val="003517A2"/>
    <w:rsid w:val="00352C22"/>
    <w:rsid w:val="00353E02"/>
    <w:rsid w:val="003569A0"/>
    <w:rsid w:val="003608DD"/>
    <w:rsid w:val="0036117E"/>
    <w:rsid w:val="00370071"/>
    <w:rsid w:val="003702DF"/>
    <w:rsid w:val="0037147A"/>
    <w:rsid w:val="003720E9"/>
    <w:rsid w:val="00372C61"/>
    <w:rsid w:val="00376518"/>
    <w:rsid w:val="003774A7"/>
    <w:rsid w:val="00377781"/>
    <w:rsid w:val="00383596"/>
    <w:rsid w:val="00383937"/>
    <w:rsid w:val="00387C1C"/>
    <w:rsid w:val="003904FD"/>
    <w:rsid w:val="00393C1B"/>
    <w:rsid w:val="00393E1E"/>
    <w:rsid w:val="003A01CA"/>
    <w:rsid w:val="003A0A55"/>
    <w:rsid w:val="003A2E8A"/>
    <w:rsid w:val="003A4C6E"/>
    <w:rsid w:val="003A55BC"/>
    <w:rsid w:val="003A703A"/>
    <w:rsid w:val="003A71A0"/>
    <w:rsid w:val="003A759B"/>
    <w:rsid w:val="003B1B9F"/>
    <w:rsid w:val="003B324F"/>
    <w:rsid w:val="003C036C"/>
    <w:rsid w:val="003C1A02"/>
    <w:rsid w:val="003C1D09"/>
    <w:rsid w:val="003C3F25"/>
    <w:rsid w:val="003C6183"/>
    <w:rsid w:val="003C625A"/>
    <w:rsid w:val="003C6AA7"/>
    <w:rsid w:val="003C6E25"/>
    <w:rsid w:val="003D1945"/>
    <w:rsid w:val="003D1D68"/>
    <w:rsid w:val="003D25DF"/>
    <w:rsid w:val="003D3121"/>
    <w:rsid w:val="003D3978"/>
    <w:rsid w:val="003D5CC5"/>
    <w:rsid w:val="003D7D02"/>
    <w:rsid w:val="003E4580"/>
    <w:rsid w:val="003E5305"/>
    <w:rsid w:val="003E7D7C"/>
    <w:rsid w:val="003E7F89"/>
    <w:rsid w:val="003F0186"/>
    <w:rsid w:val="003F05F7"/>
    <w:rsid w:val="003F2432"/>
    <w:rsid w:val="003F3AED"/>
    <w:rsid w:val="003F6F0F"/>
    <w:rsid w:val="003F775D"/>
    <w:rsid w:val="00400C38"/>
    <w:rsid w:val="00401E64"/>
    <w:rsid w:val="00402C98"/>
    <w:rsid w:val="00403F11"/>
    <w:rsid w:val="004042CD"/>
    <w:rsid w:val="00406764"/>
    <w:rsid w:val="00407DBD"/>
    <w:rsid w:val="0041073A"/>
    <w:rsid w:val="0041183D"/>
    <w:rsid w:val="00414CED"/>
    <w:rsid w:val="00415204"/>
    <w:rsid w:val="00415205"/>
    <w:rsid w:val="004163B6"/>
    <w:rsid w:val="0042093B"/>
    <w:rsid w:val="00420F04"/>
    <w:rsid w:val="00421CAA"/>
    <w:rsid w:val="0042302E"/>
    <w:rsid w:val="00427EBE"/>
    <w:rsid w:val="00430D9F"/>
    <w:rsid w:val="00431CC8"/>
    <w:rsid w:val="00432DF7"/>
    <w:rsid w:val="004345C7"/>
    <w:rsid w:val="00435DCB"/>
    <w:rsid w:val="004363D2"/>
    <w:rsid w:val="00437E2B"/>
    <w:rsid w:val="00442C30"/>
    <w:rsid w:val="00443158"/>
    <w:rsid w:val="0044414C"/>
    <w:rsid w:val="00445D5D"/>
    <w:rsid w:val="00450ADD"/>
    <w:rsid w:val="00451001"/>
    <w:rsid w:val="0045514E"/>
    <w:rsid w:val="004551C6"/>
    <w:rsid w:val="004565F7"/>
    <w:rsid w:val="004606CF"/>
    <w:rsid w:val="004671AD"/>
    <w:rsid w:val="00467477"/>
    <w:rsid w:val="00470CEB"/>
    <w:rsid w:val="004715C4"/>
    <w:rsid w:val="0047162F"/>
    <w:rsid w:val="00471A4A"/>
    <w:rsid w:val="004725A9"/>
    <w:rsid w:val="00472BC4"/>
    <w:rsid w:val="00473D2A"/>
    <w:rsid w:val="00473D49"/>
    <w:rsid w:val="00477E77"/>
    <w:rsid w:val="00484B2B"/>
    <w:rsid w:val="00484B5F"/>
    <w:rsid w:val="00487F1C"/>
    <w:rsid w:val="00493389"/>
    <w:rsid w:val="0049404F"/>
    <w:rsid w:val="00494FFB"/>
    <w:rsid w:val="004953E9"/>
    <w:rsid w:val="00496BF4"/>
    <w:rsid w:val="00496D69"/>
    <w:rsid w:val="004A057F"/>
    <w:rsid w:val="004A0E84"/>
    <w:rsid w:val="004A7F27"/>
    <w:rsid w:val="004B0F18"/>
    <w:rsid w:val="004B1FA1"/>
    <w:rsid w:val="004B3092"/>
    <w:rsid w:val="004B53CD"/>
    <w:rsid w:val="004B6EE8"/>
    <w:rsid w:val="004C2077"/>
    <w:rsid w:val="004C2611"/>
    <w:rsid w:val="004C329A"/>
    <w:rsid w:val="004C3624"/>
    <w:rsid w:val="004C4CDC"/>
    <w:rsid w:val="004C5497"/>
    <w:rsid w:val="004D4397"/>
    <w:rsid w:val="004D4AA6"/>
    <w:rsid w:val="004D63B7"/>
    <w:rsid w:val="004E0886"/>
    <w:rsid w:val="004E1E4C"/>
    <w:rsid w:val="004E49F9"/>
    <w:rsid w:val="004F2A58"/>
    <w:rsid w:val="004F76B6"/>
    <w:rsid w:val="0050105C"/>
    <w:rsid w:val="00502E60"/>
    <w:rsid w:val="0051381B"/>
    <w:rsid w:val="005141E1"/>
    <w:rsid w:val="00516619"/>
    <w:rsid w:val="005215D4"/>
    <w:rsid w:val="00523AE6"/>
    <w:rsid w:val="00523E9E"/>
    <w:rsid w:val="00524131"/>
    <w:rsid w:val="0052670E"/>
    <w:rsid w:val="00530671"/>
    <w:rsid w:val="00541213"/>
    <w:rsid w:val="0054303B"/>
    <w:rsid w:val="0054565B"/>
    <w:rsid w:val="00546218"/>
    <w:rsid w:val="00547078"/>
    <w:rsid w:val="005505F9"/>
    <w:rsid w:val="00550A4F"/>
    <w:rsid w:val="00550A89"/>
    <w:rsid w:val="00551BEE"/>
    <w:rsid w:val="00552A2E"/>
    <w:rsid w:val="0055741B"/>
    <w:rsid w:val="0056113C"/>
    <w:rsid w:val="00561999"/>
    <w:rsid w:val="005619F7"/>
    <w:rsid w:val="00562765"/>
    <w:rsid w:val="00562B18"/>
    <w:rsid w:val="005637CE"/>
    <w:rsid w:val="00564344"/>
    <w:rsid w:val="00564A8B"/>
    <w:rsid w:val="00564EAE"/>
    <w:rsid w:val="005657DD"/>
    <w:rsid w:val="005718FF"/>
    <w:rsid w:val="00574C0E"/>
    <w:rsid w:val="00576BCB"/>
    <w:rsid w:val="00576C98"/>
    <w:rsid w:val="00577DAA"/>
    <w:rsid w:val="005803C1"/>
    <w:rsid w:val="00580D0F"/>
    <w:rsid w:val="005819BD"/>
    <w:rsid w:val="005828E7"/>
    <w:rsid w:val="00582E2B"/>
    <w:rsid w:val="00583199"/>
    <w:rsid w:val="00583843"/>
    <w:rsid w:val="005912BE"/>
    <w:rsid w:val="0059526E"/>
    <w:rsid w:val="0059549A"/>
    <w:rsid w:val="0059592C"/>
    <w:rsid w:val="00595EF9"/>
    <w:rsid w:val="005966F5"/>
    <w:rsid w:val="00596709"/>
    <w:rsid w:val="00597BD6"/>
    <w:rsid w:val="005A015A"/>
    <w:rsid w:val="005A074D"/>
    <w:rsid w:val="005A1731"/>
    <w:rsid w:val="005A467F"/>
    <w:rsid w:val="005A5805"/>
    <w:rsid w:val="005A5FA1"/>
    <w:rsid w:val="005A6E6B"/>
    <w:rsid w:val="005B2A57"/>
    <w:rsid w:val="005B3E11"/>
    <w:rsid w:val="005B52F7"/>
    <w:rsid w:val="005C0AA1"/>
    <w:rsid w:val="005C18CA"/>
    <w:rsid w:val="005C2A12"/>
    <w:rsid w:val="005D10D7"/>
    <w:rsid w:val="005D1375"/>
    <w:rsid w:val="005D1D0D"/>
    <w:rsid w:val="005D3366"/>
    <w:rsid w:val="005E1FA1"/>
    <w:rsid w:val="005E29AD"/>
    <w:rsid w:val="005E2E77"/>
    <w:rsid w:val="005E3848"/>
    <w:rsid w:val="005E630D"/>
    <w:rsid w:val="005E6AA4"/>
    <w:rsid w:val="005E7A9F"/>
    <w:rsid w:val="005F1096"/>
    <w:rsid w:val="005F1F37"/>
    <w:rsid w:val="005F25A8"/>
    <w:rsid w:val="005F2921"/>
    <w:rsid w:val="005F33C1"/>
    <w:rsid w:val="005F33ED"/>
    <w:rsid w:val="005F3799"/>
    <w:rsid w:val="005F3BA9"/>
    <w:rsid w:val="005F5B06"/>
    <w:rsid w:val="005F793F"/>
    <w:rsid w:val="005F794B"/>
    <w:rsid w:val="006028B7"/>
    <w:rsid w:val="00602D3D"/>
    <w:rsid w:val="00604A5C"/>
    <w:rsid w:val="00605533"/>
    <w:rsid w:val="00615602"/>
    <w:rsid w:val="00615B91"/>
    <w:rsid w:val="00616B01"/>
    <w:rsid w:val="006170E6"/>
    <w:rsid w:val="006202AC"/>
    <w:rsid w:val="00620770"/>
    <w:rsid w:val="00624B69"/>
    <w:rsid w:val="0062796E"/>
    <w:rsid w:val="006312A6"/>
    <w:rsid w:val="00632E03"/>
    <w:rsid w:val="00633A35"/>
    <w:rsid w:val="0064391F"/>
    <w:rsid w:val="00643D47"/>
    <w:rsid w:val="00643DE9"/>
    <w:rsid w:val="00643E94"/>
    <w:rsid w:val="00644128"/>
    <w:rsid w:val="00644E1D"/>
    <w:rsid w:val="0065065A"/>
    <w:rsid w:val="00650BD5"/>
    <w:rsid w:val="00654055"/>
    <w:rsid w:val="00655AEE"/>
    <w:rsid w:val="00656A28"/>
    <w:rsid w:val="00657808"/>
    <w:rsid w:val="00662411"/>
    <w:rsid w:val="00662D1A"/>
    <w:rsid w:val="0066500C"/>
    <w:rsid w:val="0067057A"/>
    <w:rsid w:val="00671D84"/>
    <w:rsid w:val="006728EB"/>
    <w:rsid w:val="00675A1F"/>
    <w:rsid w:val="00675FF3"/>
    <w:rsid w:val="00680F0E"/>
    <w:rsid w:val="006815F8"/>
    <w:rsid w:val="00681B89"/>
    <w:rsid w:val="006820A4"/>
    <w:rsid w:val="0068471B"/>
    <w:rsid w:val="00686208"/>
    <w:rsid w:val="00686E27"/>
    <w:rsid w:val="0069165A"/>
    <w:rsid w:val="00694EFE"/>
    <w:rsid w:val="006A0067"/>
    <w:rsid w:val="006A0F00"/>
    <w:rsid w:val="006A1A13"/>
    <w:rsid w:val="006A24C4"/>
    <w:rsid w:val="006A2D3D"/>
    <w:rsid w:val="006A7209"/>
    <w:rsid w:val="006A754F"/>
    <w:rsid w:val="006B208D"/>
    <w:rsid w:val="006B3284"/>
    <w:rsid w:val="006B4404"/>
    <w:rsid w:val="006B6B4A"/>
    <w:rsid w:val="006B708B"/>
    <w:rsid w:val="006B7373"/>
    <w:rsid w:val="006B7C78"/>
    <w:rsid w:val="006C080C"/>
    <w:rsid w:val="006C1340"/>
    <w:rsid w:val="006C14F6"/>
    <w:rsid w:val="006C1EA5"/>
    <w:rsid w:val="006C2066"/>
    <w:rsid w:val="006C3071"/>
    <w:rsid w:val="006C4A3D"/>
    <w:rsid w:val="006C5DB9"/>
    <w:rsid w:val="006C5E94"/>
    <w:rsid w:val="006C6C4C"/>
    <w:rsid w:val="006C7721"/>
    <w:rsid w:val="006C7E1C"/>
    <w:rsid w:val="006D1274"/>
    <w:rsid w:val="006E1ECA"/>
    <w:rsid w:val="006E37EF"/>
    <w:rsid w:val="006E4628"/>
    <w:rsid w:val="006F2379"/>
    <w:rsid w:val="006F2400"/>
    <w:rsid w:val="006F274C"/>
    <w:rsid w:val="006F42D3"/>
    <w:rsid w:val="006F44B3"/>
    <w:rsid w:val="006F535F"/>
    <w:rsid w:val="006F6683"/>
    <w:rsid w:val="00703914"/>
    <w:rsid w:val="007110D5"/>
    <w:rsid w:val="00711783"/>
    <w:rsid w:val="00715ED7"/>
    <w:rsid w:val="00717983"/>
    <w:rsid w:val="00717A6A"/>
    <w:rsid w:val="00717D9C"/>
    <w:rsid w:val="00720743"/>
    <w:rsid w:val="00721232"/>
    <w:rsid w:val="007224A5"/>
    <w:rsid w:val="00723284"/>
    <w:rsid w:val="00723A8C"/>
    <w:rsid w:val="00724DC4"/>
    <w:rsid w:val="00725BB2"/>
    <w:rsid w:val="007279AC"/>
    <w:rsid w:val="00730A79"/>
    <w:rsid w:val="007311C0"/>
    <w:rsid w:val="007323E7"/>
    <w:rsid w:val="00732B28"/>
    <w:rsid w:val="007359D5"/>
    <w:rsid w:val="00735D96"/>
    <w:rsid w:val="007372B4"/>
    <w:rsid w:val="00741BCE"/>
    <w:rsid w:val="00745A45"/>
    <w:rsid w:val="007469A6"/>
    <w:rsid w:val="0075102B"/>
    <w:rsid w:val="0075188D"/>
    <w:rsid w:val="00752AEA"/>
    <w:rsid w:val="00760138"/>
    <w:rsid w:val="00760369"/>
    <w:rsid w:val="00762DE0"/>
    <w:rsid w:val="007655F3"/>
    <w:rsid w:val="0076686E"/>
    <w:rsid w:val="007673D3"/>
    <w:rsid w:val="007710E0"/>
    <w:rsid w:val="0077398A"/>
    <w:rsid w:val="0077403A"/>
    <w:rsid w:val="007740F3"/>
    <w:rsid w:val="007749F2"/>
    <w:rsid w:val="00776492"/>
    <w:rsid w:val="0077728C"/>
    <w:rsid w:val="007809EA"/>
    <w:rsid w:val="007810F0"/>
    <w:rsid w:val="00781EC9"/>
    <w:rsid w:val="0078384C"/>
    <w:rsid w:val="00784CC4"/>
    <w:rsid w:val="00785A42"/>
    <w:rsid w:val="0078661C"/>
    <w:rsid w:val="00787321"/>
    <w:rsid w:val="0079032E"/>
    <w:rsid w:val="00790338"/>
    <w:rsid w:val="007908D9"/>
    <w:rsid w:val="007943C2"/>
    <w:rsid w:val="0079519A"/>
    <w:rsid w:val="00796800"/>
    <w:rsid w:val="007A05BE"/>
    <w:rsid w:val="007A0C88"/>
    <w:rsid w:val="007A2F64"/>
    <w:rsid w:val="007A4371"/>
    <w:rsid w:val="007A6D36"/>
    <w:rsid w:val="007B310D"/>
    <w:rsid w:val="007B3670"/>
    <w:rsid w:val="007B382D"/>
    <w:rsid w:val="007B46DF"/>
    <w:rsid w:val="007B545C"/>
    <w:rsid w:val="007B6EB1"/>
    <w:rsid w:val="007C0516"/>
    <w:rsid w:val="007C1F29"/>
    <w:rsid w:val="007C36CA"/>
    <w:rsid w:val="007C5979"/>
    <w:rsid w:val="007C6341"/>
    <w:rsid w:val="007C71CB"/>
    <w:rsid w:val="007C7812"/>
    <w:rsid w:val="007C79CE"/>
    <w:rsid w:val="007D26E5"/>
    <w:rsid w:val="007D4899"/>
    <w:rsid w:val="007D4BF0"/>
    <w:rsid w:val="007E0C3C"/>
    <w:rsid w:val="007E3795"/>
    <w:rsid w:val="007E4C6B"/>
    <w:rsid w:val="007F2ABA"/>
    <w:rsid w:val="007F4D2F"/>
    <w:rsid w:val="007F4F5A"/>
    <w:rsid w:val="007F718A"/>
    <w:rsid w:val="007F74DC"/>
    <w:rsid w:val="00800050"/>
    <w:rsid w:val="008008B1"/>
    <w:rsid w:val="00800E46"/>
    <w:rsid w:val="00805C43"/>
    <w:rsid w:val="0080609A"/>
    <w:rsid w:val="008067A1"/>
    <w:rsid w:val="00806A60"/>
    <w:rsid w:val="00806A90"/>
    <w:rsid w:val="0080729F"/>
    <w:rsid w:val="00807DD9"/>
    <w:rsid w:val="00810956"/>
    <w:rsid w:val="0081105A"/>
    <w:rsid w:val="00812B5E"/>
    <w:rsid w:val="008130B1"/>
    <w:rsid w:val="008151F6"/>
    <w:rsid w:val="00817470"/>
    <w:rsid w:val="00817C22"/>
    <w:rsid w:val="0082009E"/>
    <w:rsid w:val="00821111"/>
    <w:rsid w:val="00823856"/>
    <w:rsid w:val="008249F7"/>
    <w:rsid w:val="00826DAD"/>
    <w:rsid w:val="008278F8"/>
    <w:rsid w:val="00830E64"/>
    <w:rsid w:val="0083212C"/>
    <w:rsid w:val="00834540"/>
    <w:rsid w:val="00834E59"/>
    <w:rsid w:val="008359BF"/>
    <w:rsid w:val="008360E0"/>
    <w:rsid w:val="0084160B"/>
    <w:rsid w:val="008423AE"/>
    <w:rsid w:val="0084376F"/>
    <w:rsid w:val="008456D5"/>
    <w:rsid w:val="00846006"/>
    <w:rsid w:val="0084634B"/>
    <w:rsid w:val="008471BE"/>
    <w:rsid w:val="008471D1"/>
    <w:rsid w:val="00853363"/>
    <w:rsid w:val="0085546E"/>
    <w:rsid w:val="00860675"/>
    <w:rsid w:val="00863E3C"/>
    <w:rsid w:val="00863E9A"/>
    <w:rsid w:val="0086539A"/>
    <w:rsid w:val="008653F9"/>
    <w:rsid w:val="0086564C"/>
    <w:rsid w:val="00870846"/>
    <w:rsid w:val="008742A6"/>
    <w:rsid w:val="0088319F"/>
    <w:rsid w:val="00887FE7"/>
    <w:rsid w:val="0089042C"/>
    <w:rsid w:val="00891613"/>
    <w:rsid w:val="00892579"/>
    <w:rsid w:val="00893230"/>
    <w:rsid w:val="00894AB1"/>
    <w:rsid w:val="0089525B"/>
    <w:rsid w:val="00895FA4"/>
    <w:rsid w:val="00896802"/>
    <w:rsid w:val="00897EF0"/>
    <w:rsid w:val="008A04F6"/>
    <w:rsid w:val="008A0DBB"/>
    <w:rsid w:val="008A1887"/>
    <w:rsid w:val="008A23AD"/>
    <w:rsid w:val="008A2546"/>
    <w:rsid w:val="008A4826"/>
    <w:rsid w:val="008A4C96"/>
    <w:rsid w:val="008A7F0D"/>
    <w:rsid w:val="008A7FE6"/>
    <w:rsid w:val="008B1419"/>
    <w:rsid w:val="008B23CA"/>
    <w:rsid w:val="008B32CC"/>
    <w:rsid w:val="008B3839"/>
    <w:rsid w:val="008B602A"/>
    <w:rsid w:val="008B6A81"/>
    <w:rsid w:val="008B7E1D"/>
    <w:rsid w:val="008C21AE"/>
    <w:rsid w:val="008C262A"/>
    <w:rsid w:val="008C2E5E"/>
    <w:rsid w:val="008C616F"/>
    <w:rsid w:val="008D1081"/>
    <w:rsid w:val="008D4507"/>
    <w:rsid w:val="008D47AD"/>
    <w:rsid w:val="008D49D8"/>
    <w:rsid w:val="008D632A"/>
    <w:rsid w:val="008D6CD1"/>
    <w:rsid w:val="008D7007"/>
    <w:rsid w:val="008D71A3"/>
    <w:rsid w:val="008E060C"/>
    <w:rsid w:val="008E07C6"/>
    <w:rsid w:val="008E1486"/>
    <w:rsid w:val="008E226D"/>
    <w:rsid w:val="008E2A0D"/>
    <w:rsid w:val="008E616D"/>
    <w:rsid w:val="008E7D81"/>
    <w:rsid w:val="008F018F"/>
    <w:rsid w:val="00900673"/>
    <w:rsid w:val="00900B39"/>
    <w:rsid w:val="0090552B"/>
    <w:rsid w:val="009062B0"/>
    <w:rsid w:val="00911559"/>
    <w:rsid w:val="0091315A"/>
    <w:rsid w:val="009148A5"/>
    <w:rsid w:val="009226AB"/>
    <w:rsid w:val="00922FBF"/>
    <w:rsid w:val="00932203"/>
    <w:rsid w:val="0093261E"/>
    <w:rsid w:val="009342D0"/>
    <w:rsid w:val="00934E33"/>
    <w:rsid w:val="00936268"/>
    <w:rsid w:val="0093636A"/>
    <w:rsid w:val="00936BDA"/>
    <w:rsid w:val="00937A52"/>
    <w:rsid w:val="0094071C"/>
    <w:rsid w:val="00944BFC"/>
    <w:rsid w:val="00947A42"/>
    <w:rsid w:val="00947E02"/>
    <w:rsid w:val="00947F8C"/>
    <w:rsid w:val="009507E6"/>
    <w:rsid w:val="009527E8"/>
    <w:rsid w:val="00953EC4"/>
    <w:rsid w:val="009629F8"/>
    <w:rsid w:val="009718A9"/>
    <w:rsid w:val="0097198A"/>
    <w:rsid w:val="00973040"/>
    <w:rsid w:val="0097692D"/>
    <w:rsid w:val="00977CA5"/>
    <w:rsid w:val="00981C36"/>
    <w:rsid w:val="0098344D"/>
    <w:rsid w:val="00987900"/>
    <w:rsid w:val="00990E26"/>
    <w:rsid w:val="00994934"/>
    <w:rsid w:val="00997804"/>
    <w:rsid w:val="009A2F3E"/>
    <w:rsid w:val="009A78CB"/>
    <w:rsid w:val="009A7AEA"/>
    <w:rsid w:val="009B00F2"/>
    <w:rsid w:val="009B023B"/>
    <w:rsid w:val="009B0313"/>
    <w:rsid w:val="009B12E0"/>
    <w:rsid w:val="009B43E4"/>
    <w:rsid w:val="009B4485"/>
    <w:rsid w:val="009B63A9"/>
    <w:rsid w:val="009B6B52"/>
    <w:rsid w:val="009B6DEB"/>
    <w:rsid w:val="009C21D5"/>
    <w:rsid w:val="009C45AB"/>
    <w:rsid w:val="009D0BCC"/>
    <w:rsid w:val="009D4933"/>
    <w:rsid w:val="009D50EA"/>
    <w:rsid w:val="009D5774"/>
    <w:rsid w:val="009D7B2F"/>
    <w:rsid w:val="009E04E9"/>
    <w:rsid w:val="009E2347"/>
    <w:rsid w:val="009E7FD5"/>
    <w:rsid w:val="009F1B54"/>
    <w:rsid w:val="009F1E71"/>
    <w:rsid w:val="009F4961"/>
    <w:rsid w:val="009F7003"/>
    <w:rsid w:val="00A004E9"/>
    <w:rsid w:val="00A062E4"/>
    <w:rsid w:val="00A070A2"/>
    <w:rsid w:val="00A11244"/>
    <w:rsid w:val="00A1258B"/>
    <w:rsid w:val="00A127F6"/>
    <w:rsid w:val="00A13F97"/>
    <w:rsid w:val="00A13FC1"/>
    <w:rsid w:val="00A20144"/>
    <w:rsid w:val="00A21C25"/>
    <w:rsid w:val="00A239AA"/>
    <w:rsid w:val="00A23BA0"/>
    <w:rsid w:val="00A26DA2"/>
    <w:rsid w:val="00A30214"/>
    <w:rsid w:val="00A34865"/>
    <w:rsid w:val="00A34E5E"/>
    <w:rsid w:val="00A36337"/>
    <w:rsid w:val="00A409AB"/>
    <w:rsid w:val="00A42C6E"/>
    <w:rsid w:val="00A43F01"/>
    <w:rsid w:val="00A44545"/>
    <w:rsid w:val="00A448B6"/>
    <w:rsid w:val="00A45BEA"/>
    <w:rsid w:val="00A4669B"/>
    <w:rsid w:val="00A472E1"/>
    <w:rsid w:val="00A47553"/>
    <w:rsid w:val="00A475D4"/>
    <w:rsid w:val="00A47A43"/>
    <w:rsid w:val="00A505AC"/>
    <w:rsid w:val="00A51A48"/>
    <w:rsid w:val="00A573B0"/>
    <w:rsid w:val="00A57C96"/>
    <w:rsid w:val="00A60DD6"/>
    <w:rsid w:val="00A61254"/>
    <w:rsid w:val="00A62603"/>
    <w:rsid w:val="00A671A8"/>
    <w:rsid w:val="00A700A5"/>
    <w:rsid w:val="00A70107"/>
    <w:rsid w:val="00A7024B"/>
    <w:rsid w:val="00A76D9B"/>
    <w:rsid w:val="00A803B0"/>
    <w:rsid w:val="00A81EA1"/>
    <w:rsid w:val="00A94051"/>
    <w:rsid w:val="00A9495D"/>
    <w:rsid w:val="00A95970"/>
    <w:rsid w:val="00A96685"/>
    <w:rsid w:val="00A9727A"/>
    <w:rsid w:val="00A9793F"/>
    <w:rsid w:val="00AA3226"/>
    <w:rsid w:val="00AA3690"/>
    <w:rsid w:val="00AA3897"/>
    <w:rsid w:val="00AA539B"/>
    <w:rsid w:val="00AA5BA5"/>
    <w:rsid w:val="00AA6586"/>
    <w:rsid w:val="00AB0CC1"/>
    <w:rsid w:val="00AB2450"/>
    <w:rsid w:val="00AB540B"/>
    <w:rsid w:val="00AB7B71"/>
    <w:rsid w:val="00AC3A73"/>
    <w:rsid w:val="00AC404E"/>
    <w:rsid w:val="00AC46AD"/>
    <w:rsid w:val="00AD08D0"/>
    <w:rsid w:val="00AD3485"/>
    <w:rsid w:val="00AD465A"/>
    <w:rsid w:val="00AD7703"/>
    <w:rsid w:val="00AE1036"/>
    <w:rsid w:val="00AE1996"/>
    <w:rsid w:val="00AE3199"/>
    <w:rsid w:val="00AE4CBB"/>
    <w:rsid w:val="00AE4CC8"/>
    <w:rsid w:val="00AE4D58"/>
    <w:rsid w:val="00AE6164"/>
    <w:rsid w:val="00AE6478"/>
    <w:rsid w:val="00AE7364"/>
    <w:rsid w:val="00AE7F0F"/>
    <w:rsid w:val="00AF04A0"/>
    <w:rsid w:val="00AF1281"/>
    <w:rsid w:val="00AF3413"/>
    <w:rsid w:val="00AF43B1"/>
    <w:rsid w:val="00AF4710"/>
    <w:rsid w:val="00AF6A39"/>
    <w:rsid w:val="00AF74B6"/>
    <w:rsid w:val="00B027DC"/>
    <w:rsid w:val="00B02F7C"/>
    <w:rsid w:val="00B03FE1"/>
    <w:rsid w:val="00B04B1E"/>
    <w:rsid w:val="00B07685"/>
    <w:rsid w:val="00B11BAC"/>
    <w:rsid w:val="00B14F96"/>
    <w:rsid w:val="00B24191"/>
    <w:rsid w:val="00B24A1F"/>
    <w:rsid w:val="00B24ABC"/>
    <w:rsid w:val="00B24D0E"/>
    <w:rsid w:val="00B24DD2"/>
    <w:rsid w:val="00B3083D"/>
    <w:rsid w:val="00B34190"/>
    <w:rsid w:val="00B35F15"/>
    <w:rsid w:val="00B375B5"/>
    <w:rsid w:val="00B4084D"/>
    <w:rsid w:val="00B410E5"/>
    <w:rsid w:val="00B42AC2"/>
    <w:rsid w:val="00B42D45"/>
    <w:rsid w:val="00B4462B"/>
    <w:rsid w:val="00B50E95"/>
    <w:rsid w:val="00B532F8"/>
    <w:rsid w:val="00B54397"/>
    <w:rsid w:val="00B55D55"/>
    <w:rsid w:val="00B5648A"/>
    <w:rsid w:val="00B57323"/>
    <w:rsid w:val="00B63181"/>
    <w:rsid w:val="00B64FBE"/>
    <w:rsid w:val="00B66A60"/>
    <w:rsid w:val="00B67A1C"/>
    <w:rsid w:val="00B67ED9"/>
    <w:rsid w:val="00B7037C"/>
    <w:rsid w:val="00B70D2E"/>
    <w:rsid w:val="00B7435E"/>
    <w:rsid w:val="00B751D4"/>
    <w:rsid w:val="00B758BD"/>
    <w:rsid w:val="00B767EE"/>
    <w:rsid w:val="00B76846"/>
    <w:rsid w:val="00B775C9"/>
    <w:rsid w:val="00B80724"/>
    <w:rsid w:val="00B86743"/>
    <w:rsid w:val="00B92F44"/>
    <w:rsid w:val="00B94761"/>
    <w:rsid w:val="00B961F5"/>
    <w:rsid w:val="00BA2EB9"/>
    <w:rsid w:val="00BA479C"/>
    <w:rsid w:val="00BA5245"/>
    <w:rsid w:val="00BA5AF3"/>
    <w:rsid w:val="00BB0E7E"/>
    <w:rsid w:val="00BB1B9F"/>
    <w:rsid w:val="00BB28DD"/>
    <w:rsid w:val="00BB2CF2"/>
    <w:rsid w:val="00BB368C"/>
    <w:rsid w:val="00BB3AAC"/>
    <w:rsid w:val="00BB4565"/>
    <w:rsid w:val="00BB5083"/>
    <w:rsid w:val="00BC09AE"/>
    <w:rsid w:val="00BC138B"/>
    <w:rsid w:val="00BC2949"/>
    <w:rsid w:val="00BC3154"/>
    <w:rsid w:val="00BC58C5"/>
    <w:rsid w:val="00BC5E3E"/>
    <w:rsid w:val="00BD18F7"/>
    <w:rsid w:val="00BD194A"/>
    <w:rsid w:val="00BD27F0"/>
    <w:rsid w:val="00BD42DF"/>
    <w:rsid w:val="00BD5D4F"/>
    <w:rsid w:val="00BD6414"/>
    <w:rsid w:val="00BD6E54"/>
    <w:rsid w:val="00BE1918"/>
    <w:rsid w:val="00BE1F3D"/>
    <w:rsid w:val="00BE30A0"/>
    <w:rsid w:val="00BE471C"/>
    <w:rsid w:val="00BE593B"/>
    <w:rsid w:val="00BE6F5C"/>
    <w:rsid w:val="00BF05E5"/>
    <w:rsid w:val="00BF59C5"/>
    <w:rsid w:val="00BF64CF"/>
    <w:rsid w:val="00BF705F"/>
    <w:rsid w:val="00C02AE8"/>
    <w:rsid w:val="00C0365F"/>
    <w:rsid w:val="00C06695"/>
    <w:rsid w:val="00C10B4F"/>
    <w:rsid w:val="00C11A3B"/>
    <w:rsid w:val="00C12912"/>
    <w:rsid w:val="00C13061"/>
    <w:rsid w:val="00C130A2"/>
    <w:rsid w:val="00C14C74"/>
    <w:rsid w:val="00C17141"/>
    <w:rsid w:val="00C176D0"/>
    <w:rsid w:val="00C17E9E"/>
    <w:rsid w:val="00C20504"/>
    <w:rsid w:val="00C24390"/>
    <w:rsid w:val="00C254C6"/>
    <w:rsid w:val="00C255C9"/>
    <w:rsid w:val="00C270B6"/>
    <w:rsid w:val="00C32554"/>
    <w:rsid w:val="00C34E23"/>
    <w:rsid w:val="00C3531E"/>
    <w:rsid w:val="00C35E4A"/>
    <w:rsid w:val="00C36785"/>
    <w:rsid w:val="00C37011"/>
    <w:rsid w:val="00C372F0"/>
    <w:rsid w:val="00C42F40"/>
    <w:rsid w:val="00C4309C"/>
    <w:rsid w:val="00C43F7E"/>
    <w:rsid w:val="00C450D4"/>
    <w:rsid w:val="00C45516"/>
    <w:rsid w:val="00C459EC"/>
    <w:rsid w:val="00C4625C"/>
    <w:rsid w:val="00C46510"/>
    <w:rsid w:val="00C55CC5"/>
    <w:rsid w:val="00C5622F"/>
    <w:rsid w:val="00C56329"/>
    <w:rsid w:val="00C564D0"/>
    <w:rsid w:val="00C5678B"/>
    <w:rsid w:val="00C56D29"/>
    <w:rsid w:val="00C57631"/>
    <w:rsid w:val="00C60125"/>
    <w:rsid w:val="00C60D57"/>
    <w:rsid w:val="00C620C2"/>
    <w:rsid w:val="00C6254C"/>
    <w:rsid w:val="00C62831"/>
    <w:rsid w:val="00C63557"/>
    <w:rsid w:val="00C6432A"/>
    <w:rsid w:val="00C66D0C"/>
    <w:rsid w:val="00C6727B"/>
    <w:rsid w:val="00C73875"/>
    <w:rsid w:val="00C7560A"/>
    <w:rsid w:val="00C766D1"/>
    <w:rsid w:val="00C77555"/>
    <w:rsid w:val="00C77FDD"/>
    <w:rsid w:val="00C808B1"/>
    <w:rsid w:val="00C81A36"/>
    <w:rsid w:val="00C82E68"/>
    <w:rsid w:val="00C85CB4"/>
    <w:rsid w:val="00C86BC6"/>
    <w:rsid w:val="00C86CCB"/>
    <w:rsid w:val="00C874C0"/>
    <w:rsid w:val="00C91F71"/>
    <w:rsid w:val="00C94010"/>
    <w:rsid w:val="00C9540A"/>
    <w:rsid w:val="00C96A81"/>
    <w:rsid w:val="00CA317D"/>
    <w:rsid w:val="00CA4174"/>
    <w:rsid w:val="00CA5103"/>
    <w:rsid w:val="00CA76B3"/>
    <w:rsid w:val="00CA77E5"/>
    <w:rsid w:val="00CB0804"/>
    <w:rsid w:val="00CB2B98"/>
    <w:rsid w:val="00CB76AD"/>
    <w:rsid w:val="00CC25F1"/>
    <w:rsid w:val="00CC3345"/>
    <w:rsid w:val="00CC5449"/>
    <w:rsid w:val="00CC6E82"/>
    <w:rsid w:val="00CC6F65"/>
    <w:rsid w:val="00CD0353"/>
    <w:rsid w:val="00CD227B"/>
    <w:rsid w:val="00CD2331"/>
    <w:rsid w:val="00CD233E"/>
    <w:rsid w:val="00CD23A1"/>
    <w:rsid w:val="00CD2A59"/>
    <w:rsid w:val="00CD2D84"/>
    <w:rsid w:val="00CD56AB"/>
    <w:rsid w:val="00CD712B"/>
    <w:rsid w:val="00CE0727"/>
    <w:rsid w:val="00CE1F78"/>
    <w:rsid w:val="00CE208B"/>
    <w:rsid w:val="00CE3541"/>
    <w:rsid w:val="00CE7389"/>
    <w:rsid w:val="00CE7C57"/>
    <w:rsid w:val="00CF0D88"/>
    <w:rsid w:val="00CF6CFD"/>
    <w:rsid w:val="00CF7B5B"/>
    <w:rsid w:val="00D00325"/>
    <w:rsid w:val="00D009F3"/>
    <w:rsid w:val="00D01623"/>
    <w:rsid w:val="00D02318"/>
    <w:rsid w:val="00D030C1"/>
    <w:rsid w:val="00D047AC"/>
    <w:rsid w:val="00D054C5"/>
    <w:rsid w:val="00D0719C"/>
    <w:rsid w:val="00D0737B"/>
    <w:rsid w:val="00D07E4E"/>
    <w:rsid w:val="00D11838"/>
    <w:rsid w:val="00D12A45"/>
    <w:rsid w:val="00D17801"/>
    <w:rsid w:val="00D17970"/>
    <w:rsid w:val="00D17B53"/>
    <w:rsid w:val="00D209BF"/>
    <w:rsid w:val="00D20A17"/>
    <w:rsid w:val="00D20BE4"/>
    <w:rsid w:val="00D21627"/>
    <w:rsid w:val="00D21CB1"/>
    <w:rsid w:val="00D24CEE"/>
    <w:rsid w:val="00D30E19"/>
    <w:rsid w:val="00D33D17"/>
    <w:rsid w:val="00D33E9D"/>
    <w:rsid w:val="00D42B8F"/>
    <w:rsid w:val="00D433F9"/>
    <w:rsid w:val="00D451C6"/>
    <w:rsid w:val="00D46C6A"/>
    <w:rsid w:val="00D46F17"/>
    <w:rsid w:val="00D509A5"/>
    <w:rsid w:val="00D55889"/>
    <w:rsid w:val="00D55B27"/>
    <w:rsid w:val="00D561DD"/>
    <w:rsid w:val="00D5655E"/>
    <w:rsid w:val="00D57081"/>
    <w:rsid w:val="00D57DFB"/>
    <w:rsid w:val="00D60DF7"/>
    <w:rsid w:val="00D6423B"/>
    <w:rsid w:val="00D6429D"/>
    <w:rsid w:val="00D64F44"/>
    <w:rsid w:val="00D67416"/>
    <w:rsid w:val="00D67D28"/>
    <w:rsid w:val="00D70041"/>
    <w:rsid w:val="00D726EC"/>
    <w:rsid w:val="00D762EA"/>
    <w:rsid w:val="00D83318"/>
    <w:rsid w:val="00D8384F"/>
    <w:rsid w:val="00D8505C"/>
    <w:rsid w:val="00D863CD"/>
    <w:rsid w:val="00D87AD8"/>
    <w:rsid w:val="00D903D7"/>
    <w:rsid w:val="00D90890"/>
    <w:rsid w:val="00D9137E"/>
    <w:rsid w:val="00D91575"/>
    <w:rsid w:val="00D91DB2"/>
    <w:rsid w:val="00D92880"/>
    <w:rsid w:val="00D92F45"/>
    <w:rsid w:val="00D931BF"/>
    <w:rsid w:val="00D937D1"/>
    <w:rsid w:val="00D94A09"/>
    <w:rsid w:val="00D94E32"/>
    <w:rsid w:val="00D96416"/>
    <w:rsid w:val="00D96A35"/>
    <w:rsid w:val="00DA04D9"/>
    <w:rsid w:val="00DA2099"/>
    <w:rsid w:val="00DA29A0"/>
    <w:rsid w:val="00DA3E85"/>
    <w:rsid w:val="00DA6EC0"/>
    <w:rsid w:val="00DB0DCF"/>
    <w:rsid w:val="00DB5464"/>
    <w:rsid w:val="00DC0862"/>
    <w:rsid w:val="00DC0C3E"/>
    <w:rsid w:val="00DC745E"/>
    <w:rsid w:val="00DD1CC8"/>
    <w:rsid w:val="00DD3172"/>
    <w:rsid w:val="00DD4825"/>
    <w:rsid w:val="00DD5E11"/>
    <w:rsid w:val="00DE05FD"/>
    <w:rsid w:val="00DE0B50"/>
    <w:rsid w:val="00DE4362"/>
    <w:rsid w:val="00DE4FE2"/>
    <w:rsid w:val="00DE71BA"/>
    <w:rsid w:val="00DE746A"/>
    <w:rsid w:val="00DF1FA0"/>
    <w:rsid w:val="00DF2C99"/>
    <w:rsid w:val="00DF39A4"/>
    <w:rsid w:val="00DF3F5B"/>
    <w:rsid w:val="00DF4399"/>
    <w:rsid w:val="00DF50AE"/>
    <w:rsid w:val="00DF7998"/>
    <w:rsid w:val="00E035C9"/>
    <w:rsid w:val="00E04908"/>
    <w:rsid w:val="00E05184"/>
    <w:rsid w:val="00E07EFE"/>
    <w:rsid w:val="00E13A9C"/>
    <w:rsid w:val="00E14A0B"/>
    <w:rsid w:val="00E1558F"/>
    <w:rsid w:val="00E16B4E"/>
    <w:rsid w:val="00E16C80"/>
    <w:rsid w:val="00E24F4A"/>
    <w:rsid w:val="00E27B88"/>
    <w:rsid w:val="00E303D0"/>
    <w:rsid w:val="00E32027"/>
    <w:rsid w:val="00E32E27"/>
    <w:rsid w:val="00E32FB5"/>
    <w:rsid w:val="00E3364A"/>
    <w:rsid w:val="00E336E5"/>
    <w:rsid w:val="00E375ED"/>
    <w:rsid w:val="00E37CA8"/>
    <w:rsid w:val="00E40773"/>
    <w:rsid w:val="00E40786"/>
    <w:rsid w:val="00E41354"/>
    <w:rsid w:val="00E422D9"/>
    <w:rsid w:val="00E44076"/>
    <w:rsid w:val="00E5089B"/>
    <w:rsid w:val="00E50D64"/>
    <w:rsid w:val="00E5146A"/>
    <w:rsid w:val="00E534BE"/>
    <w:rsid w:val="00E53EFB"/>
    <w:rsid w:val="00E54F28"/>
    <w:rsid w:val="00E57EC7"/>
    <w:rsid w:val="00E618E6"/>
    <w:rsid w:val="00E63590"/>
    <w:rsid w:val="00E64482"/>
    <w:rsid w:val="00E65CFD"/>
    <w:rsid w:val="00E721DE"/>
    <w:rsid w:val="00E729F2"/>
    <w:rsid w:val="00E74785"/>
    <w:rsid w:val="00E74BD1"/>
    <w:rsid w:val="00E74F4F"/>
    <w:rsid w:val="00E772ED"/>
    <w:rsid w:val="00E77416"/>
    <w:rsid w:val="00E80CD2"/>
    <w:rsid w:val="00E828F1"/>
    <w:rsid w:val="00E83477"/>
    <w:rsid w:val="00E90F37"/>
    <w:rsid w:val="00E940FA"/>
    <w:rsid w:val="00E96FB1"/>
    <w:rsid w:val="00EA1421"/>
    <w:rsid w:val="00EA37B3"/>
    <w:rsid w:val="00EB0C1E"/>
    <w:rsid w:val="00EB17AA"/>
    <w:rsid w:val="00EB2A37"/>
    <w:rsid w:val="00EB5632"/>
    <w:rsid w:val="00EB78CF"/>
    <w:rsid w:val="00EC23DE"/>
    <w:rsid w:val="00EC3528"/>
    <w:rsid w:val="00EC371E"/>
    <w:rsid w:val="00EC504E"/>
    <w:rsid w:val="00EC6AEA"/>
    <w:rsid w:val="00EC73F3"/>
    <w:rsid w:val="00ED009B"/>
    <w:rsid w:val="00ED1084"/>
    <w:rsid w:val="00ED1D29"/>
    <w:rsid w:val="00ED51F0"/>
    <w:rsid w:val="00EF22A9"/>
    <w:rsid w:val="00EF24EF"/>
    <w:rsid w:val="00EF2C7F"/>
    <w:rsid w:val="00EF3CCA"/>
    <w:rsid w:val="00EF70DC"/>
    <w:rsid w:val="00F01498"/>
    <w:rsid w:val="00F0367E"/>
    <w:rsid w:val="00F045C5"/>
    <w:rsid w:val="00F046E3"/>
    <w:rsid w:val="00F06010"/>
    <w:rsid w:val="00F11D48"/>
    <w:rsid w:val="00F1428D"/>
    <w:rsid w:val="00F145FC"/>
    <w:rsid w:val="00F14D55"/>
    <w:rsid w:val="00F16D21"/>
    <w:rsid w:val="00F16D3C"/>
    <w:rsid w:val="00F20388"/>
    <w:rsid w:val="00F20B00"/>
    <w:rsid w:val="00F2274C"/>
    <w:rsid w:val="00F24B8E"/>
    <w:rsid w:val="00F26318"/>
    <w:rsid w:val="00F27032"/>
    <w:rsid w:val="00F3086A"/>
    <w:rsid w:val="00F311DF"/>
    <w:rsid w:val="00F321BA"/>
    <w:rsid w:val="00F331F2"/>
    <w:rsid w:val="00F33352"/>
    <w:rsid w:val="00F33EC0"/>
    <w:rsid w:val="00F4063A"/>
    <w:rsid w:val="00F4178C"/>
    <w:rsid w:val="00F4198C"/>
    <w:rsid w:val="00F42BCC"/>
    <w:rsid w:val="00F431E2"/>
    <w:rsid w:val="00F4435F"/>
    <w:rsid w:val="00F4691A"/>
    <w:rsid w:val="00F47199"/>
    <w:rsid w:val="00F47983"/>
    <w:rsid w:val="00F50604"/>
    <w:rsid w:val="00F514B5"/>
    <w:rsid w:val="00F515D4"/>
    <w:rsid w:val="00F53F14"/>
    <w:rsid w:val="00F54E96"/>
    <w:rsid w:val="00F54FED"/>
    <w:rsid w:val="00F560FB"/>
    <w:rsid w:val="00F56A4A"/>
    <w:rsid w:val="00F606E3"/>
    <w:rsid w:val="00F608BE"/>
    <w:rsid w:val="00F67453"/>
    <w:rsid w:val="00F67CDB"/>
    <w:rsid w:val="00F7314B"/>
    <w:rsid w:val="00F73F6F"/>
    <w:rsid w:val="00F75DDA"/>
    <w:rsid w:val="00F80934"/>
    <w:rsid w:val="00F80D21"/>
    <w:rsid w:val="00F818A6"/>
    <w:rsid w:val="00F830FB"/>
    <w:rsid w:val="00F83979"/>
    <w:rsid w:val="00F8546C"/>
    <w:rsid w:val="00F97573"/>
    <w:rsid w:val="00FA14F3"/>
    <w:rsid w:val="00FA366F"/>
    <w:rsid w:val="00FA5FCA"/>
    <w:rsid w:val="00FB3AEA"/>
    <w:rsid w:val="00FB3F0E"/>
    <w:rsid w:val="00FB4019"/>
    <w:rsid w:val="00FB4403"/>
    <w:rsid w:val="00FB4F4A"/>
    <w:rsid w:val="00FB523A"/>
    <w:rsid w:val="00FC2E86"/>
    <w:rsid w:val="00FC2EB9"/>
    <w:rsid w:val="00FC32B2"/>
    <w:rsid w:val="00FC34AF"/>
    <w:rsid w:val="00FC3B63"/>
    <w:rsid w:val="00FC47BD"/>
    <w:rsid w:val="00FC700A"/>
    <w:rsid w:val="00FD0C1C"/>
    <w:rsid w:val="00FD17AC"/>
    <w:rsid w:val="00FD318B"/>
    <w:rsid w:val="00FD3653"/>
    <w:rsid w:val="00FD45D7"/>
    <w:rsid w:val="00FD7556"/>
    <w:rsid w:val="00FD76C3"/>
    <w:rsid w:val="00FE00E4"/>
    <w:rsid w:val="00FE0A97"/>
    <w:rsid w:val="00FE17D3"/>
    <w:rsid w:val="00FE1B46"/>
    <w:rsid w:val="00FE24CA"/>
    <w:rsid w:val="00FE2D46"/>
    <w:rsid w:val="00FE3289"/>
    <w:rsid w:val="00FE3EA0"/>
    <w:rsid w:val="00FE4F4E"/>
    <w:rsid w:val="00FE5563"/>
    <w:rsid w:val="00FE5705"/>
    <w:rsid w:val="00FE5E6C"/>
    <w:rsid w:val="00FE6024"/>
    <w:rsid w:val="00FE6CF4"/>
    <w:rsid w:val="00FE7FBE"/>
    <w:rsid w:val="00FF0101"/>
    <w:rsid w:val="00FF0E4C"/>
    <w:rsid w:val="00FF2A22"/>
    <w:rsid w:val="00FF3991"/>
    <w:rsid w:val="00FF46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64E3B69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60"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94E"/>
    <w:pPr>
      <w:suppressAutoHyphens/>
    </w:pPr>
    <w:rPr>
      <w:kern w:val="12"/>
    </w:r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3261CF"/>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qFormat/>
    <w:rsid w:val="003261CF"/>
    <w:pPr>
      <w:keepNext/>
      <w:keepLines/>
      <w:spacing w:before="240" w:after="160"/>
      <w:outlineLvl w:val="3"/>
    </w:pPr>
    <w:rPr>
      <w:rFonts w:asciiTheme="majorHAnsi" w:eastAsiaTheme="majorEastAsia" w:hAnsiTheme="majorHAnsi" w:cstheme="majorBidi"/>
      <w:b/>
      <w:iCs/>
      <w:color w:val="6D7989" w:themeColor="accent4" w:themeShade="BF"/>
      <w:sz w:val="26"/>
    </w:rPr>
  </w:style>
  <w:style w:type="paragraph" w:styleId="Heading5">
    <w:name w:val="heading 5"/>
    <w:basedOn w:val="Normal"/>
    <w:next w:val="Normal"/>
    <w:link w:val="Heading5Char"/>
    <w:uiPriority w:val="9"/>
    <w:unhideWhenUsed/>
    <w:qFormat/>
    <w:rsid w:val="005F794B"/>
    <w:pPr>
      <w:keepNext/>
      <w:keepLines/>
      <w:spacing w:before="240" w:after="160"/>
      <w:outlineLvl w:val="4"/>
    </w:pPr>
    <w:rPr>
      <w:rFonts w:asciiTheme="majorHAnsi" w:eastAsiaTheme="majorEastAsia" w:hAnsiTheme="majorHAnsi" w:cstheme="majorBidi"/>
      <w:b/>
      <w:color w:val="081E3E" w:themeColor="text2"/>
      <w:sz w:val="22"/>
    </w:rPr>
  </w:style>
  <w:style w:type="paragraph" w:styleId="Heading6">
    <w:name w:val="heading 6"/>
    <w:basedOn w:val="Normal"/>
    <w:next w:val="Normal"/>
    <w:link w:val="Heading6Char"/>
    <w:uiPriority w:val="9"/>
    <w:unhideWhenUsed/>
    <w:qFormat/>
    <w:rsid w:val="005F794B"/>
    <w:pPr>
      <w:keepNext/>
      <w:keepLines/>
      <w:spacing w:before="240" w:after="160"/>
      <w:outlineLvl w:val="5"/>
    </w:pPr>
    <w:rPr>
      <w:rFonts w:asciiTheme="majorHAnsi" w:eastAsiaTheme="majorEastAsia" w:hAnsiTheme="majorHAnsi" w:cstheme="majorBidi"/>
      <w:i/>
      <w:color w:val="081E3E" w:themeColor="text2"/>
      <w:sz w:val="22"/>
    </w:rPr>
  </w:style>
  <w:style w:type="paragraph" w:styleId="Heading7">
    <w:name w:val="heading 7"/>
    <w:basedOn w:val="Normal"/>
    <w:next w:val="Normal"/>
    <w:link w:val="Heading7Char"/>
    <w:uiPriority w:val="9"/>
    <w:semiHidden/>
    <w:unhideWhenUsed/>
    <w:qFormat/>
    <w:rsid w:val="00620770"/>
    <w:pPr>
      <w:keepNext/>
      <w:keepLines/>
      <w:spacing w:before="40" w:after="0"/>
      <w:outlineLvl w:val="6"/>
    </w:pPr>
    <w:rPr>
      <w:rFonts w:ascii="Cambria" w:eastAsia="Times New Roman" w:hAnsi="Cambria" w:cs="Times New Roman"/>
      <w:b/>
      <w:bCs/>
      <w:caps/>
      <w:kern w:val="0"/>
      <w:sz w:val="24"/>
      <w:szCs w:val="28"/>
    </w:rPr>
  </w:style>
  <w:style w:type="paragraph" w:styleId="Heading8">
    <w:name w:val="heading 8"/>
    <w:basedOn w:val="Normal"/>
    <w:next w:val="Normal"/>
    <w:link w:val="Heading8Char"/>
    <w:uiPriority w:val="9"/>
    <w:unhideWhenUsed/>
    <w:qFormat/>
    <w:rsid w:val="00620770"/>
    <w:pPr>
      <w:keepNext/>
      <w:keepLines/>
      <w:tabs>
        <w:tab w:val="left" w:pos="720"/>
        <w:tab w:val="left" w:pos="851"/>
      </w:tabs>
      <w:suppressAutoHyphens w:val="0"/>
      <w:spacing w:before="200" w:after="0" w:line="264" w:lineRule="auto"/>
      <w:outlineLvl w:val="7"/>
    </w:pPr>
    <w:rPr>
      <w:rFonts w:ascii="Cambria" w:eastAsia="Times New Roman" w:hAnsi="Cambria" w:cs="Times New Roman"/>
      <w:color w:val="404040"/>
      <w:kern w:val="0"/>
    </w:rPr>
  </w:style>
  <w:style w:type="paragraph" w:styleId="Heading9">
    <w:name w:val="heading 9"/>
    <w:basedOn w:val="Normal"/>
    <w:next w:val="Normal"/>
    <w:link w:val="Heading9Char"/>
    <w:uiPriority w:val="9"/>
    <w:unhideWhenUsed/>
    <w:qFormat/>
    <w:rsid w:val="00620770"/>
    <w:pPr>
      <w:keepNext/>
      <w:keepLines/>
      <w:tabs>
        <w:tab w:val="left" w:pos="720"/>
        <w:tab w:val="left" w:pos="851"/>
      </w:tabs>
      <w:suppressAutoHyphens w:val="0"/>
      <w:spacing w:before="200" w:after="0" w:line="264" w:lineRule="auto"/>
      <w:outlineLvl w:val="8"/>
    </w:pPr>
    <w:rPr>
      <w:rFonts w:ascii="Cambria" w:eastAsia="Times New Roman" w:hAnsi="Cambria" w:cs="Times New Roman"/>
      <w:i/>
      <w:iCs/>
      <w:color w:val="404040"/>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0"/>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0"/>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1"/>
    <w:qFormat/>
    <w:rsid w:val="003261CF"/>
    <w:pPr>
      <w:numPr>
        <w:ilvl w:val="1"/>
      </w:numPr>
      <w:spacing w:before="480" w:after="160"/>
    </w:pPr>
    <w:rPr>
      <w:rFonts w:asciiTheme="majorHAnsi" w:eastAsiaTheme="minorEastAsia" w:hAnsiTheme="majorHAnsi"/>
      <w:color w:val="377B88"/>
      <w:sz w:val="44"/>
      <w:szCs w:val="22"/>
    </w:rPr>
  </w:style>
  <w:style w:type="character" w:customStyle="1" w:styleId="SubtitleChar">
    <w:name w:val="Subtitle Char"/>
    <w:basedOn w:val="DefaultParagraphFont"/>
    <w:link w:val="Subtitle"/>
    <w:uiPriority w:val="11"/>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sz w:val="22"/>
      <w:szCs w:val="22"/>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3261CF"/>
    <w:rPr>
      <w:rFonts w:asciiTheme="majorHAnsi" w:eastAsiaTheme="majorEastAsia" w:hAnsiTheme="majorHAnsi" w:cstheme="majorBidi"/>
      <w:b/>
      <w:color w:val="6D7989" w:themeColor="accent4" w:themeShade="BF"/>
      <w:kern w:val="12"/>
      <w:sz w:val="32"/>
      <w:szCs w:val="24"/>
    </w:rPr>
  </w:style>
  <w:style w:type="character" w:customStyle="1" w:styleId="Heading4Char">
    <w:name w:val="Heading 4 Char"/>
    <w:basedOn w:val="DefaultParagraphFont"/>
    <w:link w:val="Heading4"/>
    <w:uiPriority w:val="9"/>
    <w:rsid w:val="003261CF"/>
    <w:rPr>
      <w:rFonts w:asciiTheme="majorHAnsi" w:eastAsiaTheme="majorEastAsia" w:hAnsiTheme="majorHAnsi" w:cstheme="majorBidi"/>
      <w:b/>
      <w:iCs/>
      <w:color w:val="6D7989" w:themeColor="accent4" w:themeShade="BF"/>
      <w:kern w:val="12"/>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35"/>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4BB3B5" w:themeColor="accent2"/>
        <w:bottom w:val="single" w:sz="4" w:space="0" w:color="4BB3B5" w:themeColor="accent2"/>
        <w:insideH w:val="single" w:sz="4" w:space="0" w:color="4BB3B5"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CF6CFD"/>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pPr>
    <w:rPr>
      <w:lang w:val="x-none"/>
    </w:rPr>
  </w:style>
  <w:style w:type="paragraph" w:customStyle="1" w:styleId="Box1Heading">
    <w:name w:val="Box 1 Heading"/>
    <w:basedOn w:val="Box1Text"/>
    <w:uiPriority w:val="23"/>
    <w:qFormat/>
    <w:rsid w:val="00CF6CFD"/>
    <w:rPr>
      <w:b/>
      <w:sz w:val="22"/>
      <w:szCs w:val="22"/>
    </w:rPr>
  </w:style>
  <w:style w:type="paragraph" w:customStyle="1" w:styleId="Box1Bullet1">
    <w:name w:val="Box 1 Bullet 1"/>
    <w:basedOn w:val="Box1Text"/>
    <w:uiPriority w:val="24"/>
    <w:qFormat/>
    <w:rsid w:val="00CF6CFD"/>
    <w:pPr>
      <w:spacing w:before="80"/>
    </w:pPr>
  </w:style>
  <w:style w:type="paragraph" w:customStyle="1" w:styleId="Box2Text">
    <w:name w:val="Box 2 Text"/>
    <w:basedOn w:val="Normal"/>
    <w:uiPriority w:val="24"/>
    <w:qFormat/>
    <w:rsid w:val="00CF6CFD"/>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3" w:right="283"/>
    </w:pPr>
    <w:rPr>
      <w:lang w:val="x-none"/>
    </w:rPr>
  </w:style>
  <w:style w:type="paragraph" w:customStyle="1" w:styleId="Box2Heading">
    <w:name w:val="Box 2 Heading"/>
    <w:basedOn w:val="Box2Text"/>
    <w:uiPriority w:val="24"/>
    <w:qFormat/>
    <w:rsid w:val="00541213"/>
    <w:rPr>
      <w:b/>
      <w:sz w:val="22"/>
    </w:rPr>
  </w:style>
  <w:style w:type="paragraph" w:customStyle="1" w:styleId="Box2Bullet1">
    <w:name w:val="Box 2 Bullet 1"/>
    <w:basedOn w:val="Box2Text"/>
    <w:uiPriority w:val="25"/>
    <w:qFormat/>
    <w:rsid w:val="00CF6CFD"/>
    <w:pPr>
      <w:spacing w:before="80"/>
    </w:p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numId w:val="8"/>
      </w:numPr>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E04908"/>
    <w:pPr>
      <w:pBdr>
        <w:left w:val="single" w:sz="48" w:space="22" w:color="4BB3B5" w:themeColor="accent2"/>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E04908"/>
    <w:rPr>
      <w:b/>
      <w:iCs/>
      <w:color w:val="404040" w:themeColor="text1" w:themeTint="BF"/>
      <w:kern w:val="12"/>
    </w:rPr>
  </w:style>
  <w:style w:type="paragraph" w:styleId="TOC1">
    <w:name w:val="toc 1"/>
    <w:basedOn w:val="Normal"/>
    <w:next w:val="Normal"/>
    <w:autoRedefine/>
    <w:uiPriority w:val="39"/>
    <w:qFormat/>
    <w:rsid w:val="00291050"/>
    <w:pPr>
      <w:keepLines/>
      <w:tabs>
        <w:tab w:val="right" w:pos="9854"/>
      </w:tabs>
      <w:ind w:left="567" w:hanging="567"/>
    </w:pPr>
    <w:rPr>
      <w:b/>
      <w:sz w:val="24"/>
      <w:u w:val="single" w:color="4BB3B5" w:themeColor="accent2"/>
    </w:rPr>
  </w:style>
  <w:style w:type="paragraph" w:styleId="TOC2">
    <w:name w:val="toc 2"/>
    <w:basedOn w:val="Normal"/>
    <w:next w:val="Normal"/>
    <w:autoRedefine/>
    <w:uiPriority w:val="39"/>
    <w:qFormat/>
    <w:rsid w:val="00A95970"/>
    <w:pPr>
      <w:keepLines/>
      <w:spacing w:before="80"/>
      <w:ind w:left="567" w:hanging="567"/>
    </w:pPr>
  </w:style>
  <w:style w:type="paragraph" w:styleId="TOC3">
    <w:name w:val="toc 3"/>
    <w:basedOn w:val="Normal"/>
    <w:next w:val="Normal"/>
    <w:autoRedefine/>
    <w:uiPriority w:val="39"/>
    <w:qFormat/>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3261CF"/>
    <w:pPr>
      <w:spacing w:before="0"/>
      <w:ind w:left="-1020" w:firstLine="1020"/>
    </w:pPr>
    <w:rPr>
      <w:rFonts w:cs="Times New Roman (Body CS)"/>
      <w:caps/>
      <w:color w:val="6D7989" w:themeColor="accent4" w:themeShade="BF"/>
      <w:sz w:val="21"/>
    </w:rPr>
  </w:style>
  <w:style w:type="character" w:styleId="FollowedHyperlink">
    <w:name w:val="FollowedHyperlink"/>
    <w:basedOn w:val="DefaultParagraphFont"/>
    <w:uiPriority w:val="99"/>
    <w:semiHidden/>
    <w:unhideWhenUsed/>
    <w:rsid w:val="001F3B10"/>
    <w:rPr>
      <w:color w:val="0046FF" w:themeColor="followedHyperlink"/>
      <w:u w:val="single"/>
    </w:rPr>
  </w:style>
  <w:style w:type="paragraph" w:customStyle="1" w:styleId="references">
    <w:name w:val="references"/>
    <w:basedOn w:val="Normal"/>
    <w:link w:val="referencesChar"/>
    <w:qFormat/>
    <w:rsid w:val="002F4B37"/>
    <w:pPr>
      <w:tabs>
        <w:tab w:val="left" w:pos="720"/>
        <w:tab w:val="left" w:pos="851"/>
      </w:tabs>
      <w:suppressAutoHyphens w:val="0"/>
      <w:spacing w:before="240" w:after="240" w:line="264" w:lineRule="auto"/>
      <w:ind w:left="720" w:hanging="720"/>
    </w:pPr>
    <w:rPr>
      <w:rFonts w:ascii="Times New Roman" w:eastAsia="Calibri" w:hAnsi="Times New Roman" w:cs="Times New Roman"/>
      <w:color w:val="auto"/>
      <w:kern w:val="0"/>
      <w:sz w:val="24"/>
      <w:szCs w:val="22"/>
    </w:rPr>
  </w:style>
  <w:style w:type="character" w:customStyle="1" w:styleId="referencesChar">
    <w:name w:val="references Char"/>
    <w:basedOn w:val="DefaultParagraphFont"/>
    <w:link w:val="references"/>
    <w:rsid w:val="002F4B37"/>
    <w:rPr>
      <w:rFonts w:ascii="Times New Roman" w:eastAsia="Calibri" w:hAnsi="Times New Roman" w:cs="Times New Roman"/>
      <w:color w:val="auto"/>
      <w:sz w:val="24"/>
      <w:szCs w:val="22"/>
    </w:rPr>
  </w:style>
  <w:style w:type="paragraph" w:customStyle="1" w:styleId="Glossarylist">
    <w:name w:val="Glossary list"/>
    <w:qFormat/>
    <w:rsid w:val="00FD318B"/>
    <w:pPr>
      <w:tabs>
        <w:tab w:val="left" w:pos="3119"/>
      </w:tabs>
      <w:spacing w:before="0" w:after="0" w:line="300" w:lineRule="auto"/>
      <w:ind w:left="3119" w:hanging="3119"/>
    </w:pPr>
    <w:rPr>
      <w:rFonts w:ascii="Times New Roman" w:eastAsia="Calibri" w:hAnsi="Times New Roman" w:cs="Times New Roman"/>
      <w:color w:val="auto"/>
      <w:sz w:val="22"/>
      <w:szCs w:val="22"/>
    </w:rPr>
  </w:style>
  <w:style w:type="paragraph" w:customStyle="1" w:styleId="Table1">
    <w:name w:val="Table 1"/>
    <w:basedOn w:val="Normal"/>
    <w:next w:val="Normal"/>
    <w:link w:val="Table1Char"/>
    <w:qFormat/>
    <w:rsid w:val="00D509A5"/>
    <w:pPr>
      <w:tabs>
        <w:tab w:val="left" w:pos="720"/>
        <w:tab w:val="left" w:pos="851"/>
      </w:tabs>
      <w:suppressAutoHyphens w:val="0"/>
      <w:spacing w:before="30" w:after="30"/>
    </w:pPr>
    <w:rPr>
      <w:rFonts w:ascii="Times New Roman" w:eastAsia="Calibri" w:hAnsi="Times New Roman" w:cs="Times New Roman"/>
      <w:color w:val="auto"/>
      <w:kern w:val="0"/>
      <w:sz w:val="24"/>
      <w:szCs w:val="22"/>
    </w:rPr>
  </w:style>
  <w:style w:type="character" w:customStyle="1" w:styleId="Table1Char">
    <w:name w:val="Table 1 Char"/>
    <w:basedOn w:val="DefaultParagraphFont"/>
    <w:link w:val="Table1"/>
    <w:rsid w:val="00D509A5"/>
    <w:rPr>
      <w:rFonts w:ascii="Times New Roman" w:eastAsia="Calibri" w:hAnsi="Times New Roman" w:cs="Times New Roman"/>
      <w:color w:val="auto"/>
      <w:sz w:val="24"/>
      <w:szCs w:val="22"/>
    </w:rPr>
  </w:style>
  <w:style w:type="paragraph" w:styleId="ListParagraph">
    <w:name w:val="List Paragraph"/>
    <w:basedOn w:val="Normal"/>
    <w:link w:val="ListParagraphChar"/>
    <w:uiPriority w:val="34"/>
    <w:qFormat/>
    <w:rsid w:val="00E90F37"/>
    <w:pPr>
      <w:autoSpaceDE w:val="0"/>
      <w:autoSpaceDN w:val="0"/>
      <w:adjustRightInd w:val="0"/>
      <w:spacing w:before="0" w:after="113" w:line="280" w:lineRule="atLeast"/>
      <w:ind w:left="720"/>
      <w:contextualSpacing/>
      <w:textAlignment w:val="center"/>
    </w:pPr>
    <w:rPr>
      <w:rFonts w:ascii="Arial" w:hAnsi="Arial" w:cs="FranklinGothic-Book"/>
      <w:color w:val="000000"/>
      <w:kern w:val="0"/>
      <w:sz w:val="22"/>
      <w:szCs w:val="22"/>
    </w:rPr>
  </w:style>
  <w:style w:type="character" w:customStyle="1" w:styleId="ListParagraphChar">
    <w:name w:val="List Paragraph Char"/>
    <w:link w:val="ListParagraph"/>
    <w:uiPriority w:val="34"/>
    <w:rsid w:val="00E90F37"/>
    <w:rPr>
      <w:rFonts w:ascii="Arial" w:hAnsi="Arial" w:cs="FranklinGothic-Book"/>
      <w:color w:val="000000"/>
      <w:sz w:val="22"/>
      <w:szCs w:val="22"/>
    </w:rPr>
  </w:style>
  <w:style w:type="character" w:styleId="CommentReference">
    <w:name w:val="annotation reference"/>
    <w:basedOn w:val="DefaultParagraphFont"/>
    <w:uiPriority w:val="99"/>
    <w:semiHidden/>
    <w:unhideWhenUsed/>
    <w:rsid w:val="008130B1"/>
    <w:rPr>
      <w:sz w:val="16"/>
      <w:szCs w:val="16"/>
    </w:rPr>
  </w:style>
  <w:style w:type="paragraph" w:styleId="CommentText">
    <w:name w:val="annotation text"/>
    <w:basedOn w:val="Normal"/>
    <w:link w:val="CommentTextChar"/>
    <w:uiPriority w:val="99"/>
    <w:unhideWhenUsed/>
    <w:rsid w:val="008130B1"/>
  </w:style>
  <w:style w:type="character" w:customStyle="1" w:styleId="CommentTextChar">
    <w:name w:val="Comment Text Char"/>
    <w:basedOn w:val="DefaultParagraphFont"/>
    <w:link w:val="CommentText"/>
    <w:uiPriority w:val="99"/>
    <w:rsid w:val="008130B1"/>
    <w:rPr>
      <w:kern w:val="12"/>
    </w:rPr>
  </w:style>
  <w:style w:type="paragraph" w:styleId="CommentSubject">
    <w:name w:val="annotation subject"/>
    <w:basedOn w:val="CommentText"/>
    <w:next w:val="CommentText"/>
    <w:link w:val="CommentSubjectChar"/>
    <w:uiPriority w:val="99"/>
    <w:semiHidden/>
    <w:unhideWhenUsed/>
    <w:rsid w:val="008130B1"/>
    <w:rPr>
      <w:b/>
      <w:bCs/>
    </w:rPr>
  </w:style>
  <w:style w:type="character" w:customStyle="1" w:styleId="CommentSubjectChar">
    <w:name w:val="Comment Subject Char"/>
    <w:basedOn w:val="CommentTextChar"/>
    <w:link w:val="CommentSubject"/>
    <w:uiPriority w:val="99"/>
    <w:semiHidden/>
    <w:rsid w:val="008130B1"/>
    <w:rPr>
      <w:b/>
      <w:bCs/>
      <w:kern w:val="12"/>
    </w:rPr>
  </w:style>
  <w:style w:type="paragraph" w:styleId="BalloonText">
    <w:name w:val="Balloon Text"/>
    <w:basedOn w:val="Normal"/>
    <w:link w:val="BalloonTextChar"/>
    <w:uiPriority w:val="99"/>
    <w:semiHidden/>
    <w:unhideWhenUsed/>
    <w:rsid w:val="008130B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0B1"/>
    <w:rPr>
      <w:rFonts w:ascii="Segoe UI" w:hAnsi="Segoe UI" w:cs="Segoe UI"/>
      <w:kern w:val="12"/>
      <w:sz w:val="18"/>
      <w:szCs w:val="18"/>
    </w:rPr>
  </w:style>
  <w:style w:type="paragraph" w:customStyle="1" w:styleId="MainHeadding">
    <w:name w:val="Main Headding"/>
    <w:basedOn w:val="Normal"/>
    <w:next w:val="Normal"/>
    <w:rsid w:val="00A57C96"/>
    <w:pPr>
      <w:numPr>
        <w:numId w:val="25"/>
      </w:numPr>
      <w:suppressAutoHyphens w:val="0"/>
      <w:spacing w:before="240" w:after="120"/>
      <w:outlineLvl w:val="0"/>
    </w:pPr>
    <w:rPr>
      <w:rFonts w:ascii="Times New Roman" w:eastAsia="Times New Roman" w:hAnsi="Times New Roman" w:cs="Times New Roman"/>
      <w:b/>
      <w:caps/>
      <w:color w:val="auto"/>
      <w:kern w:val="0"/>
      <w:sz w:val="24"/>
      <w:szCs w:val="24"/>
      <w:lang w:eastAsia="en-AU"/>
    </w:rPr>
  </w:style>
  <w:style w:type="paragraph" w:customStyle="1" w:styleId="Subsection">
    <w:name w:val="Sub section"/>
    <w:basedOn w:val="Normal"/>
    <w:next w:val="Normal"/>
    <w:rsid w:val="00A57C96"/>
    <w:pPr>
      <w:numPr>
        <w:ilvl w:val="1"/>
        <w:numId w:val="25"/>
      </w:numPr>
      <w:suppressAutoHyphens w:val="0"/>
      <w:spacing w:before="120" w:after="120"/>
      <w:outlineLvl w:val="1"/>
    </w:pPr>
    <w:rPr>
      <w:rFonts w:ascii="Times New Roman" w:eastAsia="Times New Roman" w:hAnsi="Times New Roman" w:cs="Times New Roman"/>
      <w:color w:val="auto"/>
      <w:kern w:val="0"/>
      <w:sz w:val="24"/>
      <w:szCs w:val="24"/>
      <w:lang w:eastAsia="en-AU"/>
    </w:rPr>
  </w:style>
  <w:style w:type="paragraph" w:customStyle="1" w:styleId="Subsubsection">
    <w:name w:val="Subsub section"/>
    <w:basedOn w:val="Normal"/>
    <w:next w:val="Normal"/>
    <w:rsid w:val="00A57C96"/>
    <w:pPr>
      <w:numPr>
        <w:ilvl w:val="2"/>
        <w:numId w:val="25"/>
      </w:numPr>
      <w:suppressAutoHyphens w:val="0"/>
      <w:spacing w:before="120" w:after="120"/>
    </w:pPr>
    <w:rPr>
      <w:rFonts w:ascii="Times New Roman" w:eastAsia="Times New Roman" w:hAnsi="Times New Roman" w:cs="Times New Roman"/>
      <w:color w:val="auto"/>
      <w:kern w:val="0"/>
      <w:sz w:val="24"/>
      <w:szCs w:val="24"/>
      <w:lang w:eastAsia="en-AU"/>
    </w:rPr>
  </w:style>
  <w:style w:type="paragraph" w:customStyle="1" w:styleId="Subsubsubsection">
    <w:name w:val="Subsubsub section"/>
    <w:basedOn w:val="Normal"/>
    <w:next w:val="Normal"/>
    <w:rsid w:val="00A57C96"/>
    <w:pPr>
      <w:numPr>
        <w:ilvl w:val="3"/>
        <w:numId w:val="25"/>
      </w:numPr>
      <w:suppressAutoHyphens w:val="0"/>
      <w:spacing w:before="120" w:after="120"/>
    </w:pPr>
    <w:rPr>
      <w:rFonts w:ascii="Times New Roman" w:eastAsia="Times New Roman" w:hAnsi="Times New Roman" w:cs="Times New Roman"/>
      <w:color w:val="auto"/>
      <w:kern w:val="0"/>
      <w:sz w:val="24"/>
      <w:szCs w:val="24"/>
      <w:lang w:eastAsia="en-AU"/>
    </w:rPr>
  </w:style>
  <w:style w:type="paragraph" w:customStyle="1" w:styleId="Heading71">
    <w:name w:val="Heading 71"/>
    <w:basedOn w:val="Heading1"/>
    <w:next w:val="Normal"/>
    <w:uiPriority w:val="9"/>
    <w:unhideWhenUsed/>
    <w:rsid w:val="00620770"/>
    <w:pPr>
      <w:numPr>
        <w:numId w:val="29"/>
      </w:numPr>
      <w:tabs>
        <w:tab w:val="num" w:pos="643"/>
        <w:tab w:val="left" w:pos="720"/>
        <w:tab w:val="left" w:pos="851"/>
      </w:tabs>
      <w:suppressAutoHyphens w:val="0"/>
      <w:spacing w:before="240" w:after="240"/>
      <w:ind w:left="643" w:hanging="360"/>
      <w:contextualSpacing w:val="0"/>
      <w:outlineLvl w:val="6"/>
    </w:pPr>
    <w:rPr>
      <w:rFonts w:eastAsia="Times New Roman" w:cs="Times New Roman"/>
      <w:b/>
      <w:bCs/>
      <w:caps/>
      <w:color w:val="auto"/>
      <w:kern w:val="0"/>
      <w:sz w:val="24"/>
      <w:szCs w:val="28"/>
    </w:rPr>
  </w:style>
  <w:style w:type="character" w:customStyle="1" w:styleId="Heading8Char">
    <w:name w:val="Heading 8 Char"/>
    <w:basedOn w:val="DefaultParagraphFont"/>
    <w:link w:val="Heading8"/>
    <w:uiPriority w:val="9"/>
    <w:rsid w:val="00620770"/>
    <w:rPr>
      <w:rFonts w:ascii="Cambria" w:eastAsia="Times New Roman" w:hAnsi="Cambria" w:cs="Times New Roman"/>
      <w:color w:val="404040"/>
    </w:rPr>
  </w:style>
  <w:style w:type="character" w:customStyle="1" w:styleId="Heading9Char">
    <w:name w:val="Heading 9 Char"/>
    <w:basedOn w:val="DefaultParagraphFont"/>
    <w:link w:val="Heading9"/>
    <w:uiPriority w:val="9"/>
    <w:rsid w:val="00620770"/>
    <w:rPr>
      <w:rFonts w:ascii="Cambria" w:eastAsia="Times New Roman" w:hAnsi="Cambria" w:cs="Times New Roman"/>
      <w:i/>
      <w:iCs/>
      <w:color w:val="404040"/>
    </w:rPr>
  </w:style>
  <w:style w:type="numbering" w:customStyle="1" w:styleId="NoList1">
    <w:name w:val="No List1"/>
    <w:next w:val="NoList"/>
    <w:uiPriority w:val="99"/>
    <w:semiHidden/>
    <w:unhideWhenUsed/>
    <w:rsid w:val="00620770"/>
  </w:style>
  <w:style w:type="character" w:customStyle="1" w:styleId="Heading7Char">
    <w:name w:val="Heading 7 Char"/>
    <w:basedOn w:val="DefaultParagraphFont"/>
    <w:link w:val="Heading7"/>
    <w:uiPriority w:val="9"/>
    <w:rsid w:val="00620770"/>
    <w:rPr>
      <w:rFonts w:ascii="Cambria" w:eastAsia="Times New Roman" w:hAnsi="Cambria" w:cs="Times New Roman"/>
      <w:b/>
      <w:bCs/>
      <w:caps/>
      <w:sz w:val="24"/>
      <w:szCs w:val="28"/>
    </w:rPr>
  </w:style>
  <w:style w:type="paragraph" w:customStyle="1" w:styleId="SubTitle1">
    <w:name w:val="SubTitle1"/>
    <w:basedOn w:val="Normal"/>
    <w:next w:val="Normal"/>
    <w:uiPriority w:val="99"/>
    <w:qFormat/>
    <w:rsid w:val="00620770"/>
    <w:pPr>
      <w:tabs>
        <w:tab w:val="left" w:pos="720"/>
        <w:tab w:val="left" w:pos="851"/>
      </w:tabs>
      <w:suppressAutoHyphens w:val="0"/>
      <w:spacing w:before="240" w:after="240" w:line="264" w:lineRule="auto"/>
      <w:jc w:val="center"/>
    </w:pPr>
    <w:rPr>
      <w:rFonts w:ascii="Cambria" w:eastAsia="Calibri" w:hAnsi="Cambria" w:cs="Times New Roman"/>
      <w:color w:val="auto"/>
      <w:kern w:val="0"/>
      <w:sz w:val="28"/>
      <w:szCs w:val="22"/>
    </w:rPr>
  </w:style>
  <w:style w:type="paragraph" w:customStyle="1" w:styleId="headertabs">
    <w:name w:val="header_tabs"/>
    <w:basedOn w:val="Header"/>
    <w:link w:val="headertabsChar"/>
    <w:rsid w:val="00620770"/>
    <w:pPr>
      <w:tabs>
        <w:tab w:val="clear" w:pos="4513"/>
        <w:tab w:val="clear" w:pos="9026"/>
        <w:tab w:val="left" w:pos="720"/>
        <w:tab w:val="left" w:leader="hyphen" w:pos="9027"/>
      </w:tabs>
      <w:suppressAutoHyphens w:val="0"/>
      <w:spacing w:after="240"/>
      <w:jc w:val="left"/>
    </w:pPr>
    <w:rPr>
      <w:rFonts w:ascii="Times New Roman" w:eastAsia="Calibri" w:hAnsi="Times New Roman" w:cs="Times New Roman"/>
      <w:color w:val="auto"/>
      <w:kern w:val="0"/>
      <w:sz w:val="20"/>
      <w:szCs w:val="22"/>
    </w:rPr>
  </w:style>
  <w:style w:type="character" w:customStyle="1" w:styleId="headertabsChar">
    <w:name w:val="header_tabs Char"/>
    <w:link w:val="headertabs"/>
    <w:rsid w:val="00620770"/>
    <w:rPr>
      <w:rFonts w:ascii="Times New Roman" w:eastAsia="Calibri" w:hAnsi="Times New Roman" w:cs="Times New Roman"/>
      <w:color w:val="auto"/>
      <w:szCs w:val="22"/>
    </w:rPr>
  </w:style>
  <w:style w:type="paragraph" w:customStyle="1" w:styleId="boldcentred">
    <w:name w:val="bold&amp;centred"/>
    <w:basedOn w:val="Normal"/>
    <w:next w:val="Normal"/>
    <w:link w:val="boldcentredChar"/>
    <w:qFormat/>
    <w:rsid w:val="00620770"/>
    <w:pPr>
      <w:tabs>
        <w:tab w:val="left" w:pos="720"/>
        <w:tab w:val="left" w:pos="851"/>
      </w:tabs>
      <w:suppressAutoHyphens w:val="0"/>
      <w:spacing w:before="240" w:after="240" w:line="264" w:lineRule="auto"/>
      <w:jc w:val="center"/>
    </w:pPr>
    <w:rPr>
      <w:rFonts w:ascii="Times New Roman" w:eastAsia="Calibri" w:hAnsi="Times New Roman" w:cs="Times New Roman"/>
      <w:b/>
      <w:color w:val="auto"/>
      <w:kern w:val="0"/>
      <w:sz w:val="24"/>
      <w:szCs w:val="22"/>
    </w:rPr>
  </w:style>
  <w:style w:type="character" w:customStyle="1" w:styleId="boldcentredChar">
    <w:name w:val="bold&amp;centred Char"/>
    <w:link w:val="boldcentred"/>
    <w:rsid w:val="00620770"/>
    <w:rPr>
      <w:rFonts w:ascii="Times New Roman" w:eastAsia="Calibri" w:hAnsi="Times New Roman" w:cs="Times New Roman"/>
      <w:b/>
      <w:color w:val="auto"/>
      <w:sz w:val="24"/>
      <w:szCs w:val="22"/>
    </w:rPr>
  </w:style>
  <w:style w:type="table" w:customStyle="1" w:styleId="TableGrid1">
    <w:name w:val="Table Grid1"/>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pheadings">
    <w:name w:val="rdp_headings"/>
    <w:basedOn w:val="Normal"/>
    <w:link w:val="rdpheadingsChar"/>
    <w:qFormat/>
    <w:rsid w:val="00620770"/>
    <w:pPr>
      <w:tabs>
        <w:tab w:val="left" w:pos="720"/>
        <w:tab w:val="left" w:pos="851"/>
      </w:tabs>
      <w:suppressAutoHyphens w:val="0"/>
      <w:spacing w:before="60" w:after="0"/>
    </w:pPr>
    <w:rPr>
      <w:rFonts w:ascii="Times New Roman" w:eastAsia="Calibri" w:hAnsi="Times New Roman" w:cs="Times New Roman"/>
      <w:color w:val="auto"/>
      <w:kern w:val="0"/>
      <w:sz w:val="18"/>
      <w:szCs w:val="22"/>
    </w:rPr>
  </w:style>
  <w:style w:type="character" w:customStyle="1" w:styleId="rdpheadingsChar">
    <w:name w:val="rdp_headings Char"/>
    <w:link w:val="rdpheadings"/>
    <w:rsid w:val="00620770"/>
    <w:rPr>
      <w:rFonts w:ascii="Times New Roman" w:eastAsia="Calibri" w:hAnsi="Times New Roman" w:cs="Times New Roman"/>
      <w:color w:val="auto"/>
      <w:sz w:val="18"/>
      <w:szCs w:val="22"/>
    </w:rPr>
  </w:style>
  <w:style w:type="paragraph" w:customStyle="1" w:styleId="rdpcontent">
    <w:name w:val="rdp_content"/>
    <w:basedOn w:val="Normal"/>
    <w:next w:val="Normal"/>
    <w:link w:val="rdpcontentChar"/>
    <w:qFormat/>
    <w:rsid w:val="00620770"/>
    <w:pPr>
      <w:tabs>
        <w:tab w:val="left" w:pos="720"/>
        <w:tab w:val="left" w:pos="851"/>
      </w:tabs>
      <w:suppressAutoHyphens w:val="0"/>
      <w:spacing w:before="240" w:after="120"/>
    </w:pPr>
    <w:rPr>
      <w:rFonts w:ascii="Times New Roman" w:eastAsia="Calibri" w:hAnsi="Times New Roman" w:cs="Times New Roman"/>
      <w:color w:val="auto"/>
      <w:kern w:val="0"/>
      <w:sz w:val="24"/>
      <w:szCs w:val="22"/>
    </w:rPr>
  </w:style>
  <w:style w:type="character" w:customStyle="1" w:styleId="rdpcontentChar">
    <w:name w:val="rdp_content Char"/>
    <w:basedOn w:val="DefaultParagraphFont"/>
    <w:link w:val="rdpcontent"/>
    <w:rsid w:val="00620770"/>
    <w:rPr>
      <w:rFonts w:ascii="Times New Roman" w:eastAsia="Calibri" w:hAnsi="Times New Roman" w:cs="Times New Roman"/>
      <w:color w:val="auto"/>
      <w:sz w:val="24"/>
      <w:szCs w:val="22"/>
    </w:rPr>
  </w:style>
  <w:style w:type="character" w:styleId="Strong">
    <w:name w:val="Strong"/>
    <w:uiPriority w:val="22"/>
    <w:qFormat/>
    <w:rsid w:val="00620770"/>
    <w:rPr>
      <w:b/>
      <w:bCs/>
    </w:rPr>
  </w:style>
  <w:style w:type="paragraph" w:customStyle="1" w:styleId="HeadingContents">
    <w:name w:val="Heading_Contents"/>
    <w:basedOn w:val="Normal"/>
    <w:link w:val="HeadingContentsChar"/>
    <w:qFormat/>
    <w:rsid w:val="00620770"/>
    <w:pPr>
      <w:tabs>
        <w:tab w:val="left" w:pos="720"/>
        <w:tab w:val="left" w:pos="851"/>
      </w:tabs>
      <w:suppressAutoHyphens w:val="0"/>
      <w:spacing w:before="120" w:after="280"/>
      <w:jc w:val="center"/>
    </w:pPr>
    <w:rPr>
      <w:rFonts w:ascii="Cambria" w:eastAsia="Calibri" w:hAnsi="Cambria" w:cs="Times New Roman"/>
      <w:b/>
      <w:color w:val="auto"/>
      <w:kern w:val="0"/>
      <w:sz w:val="24"/>
      <w:szCs w:val="22"/>
    </w:rPr>
  </w:style>
  <w:style w:type="character" w:customStyle="1" w:styleId="HeadingContentsChar">
    <w:name w:val="Heading_Contents Char"/>
    <w:link w:val="HeadingContents"/>
    <w:rsid w:val="00620770"/>
    <w:rPr>
      <w:rFonts w:ascii="Cambria" w:eastAsia="Calibri" w:hAnsi="Cambria" w:cs="Times New Roman"/>
      <w:b/>
      <w:color w:val="auto"/>
      <w:sz w:val="24"/>
      <w:szCs w:val="22"/>
    </w:rPr>
  </w:style>
  <w:style w:type="paragraph" w:customStyle="1" w:styleId="Tableheading1">
    <w:name w:val="Table heading 1"/>
    <w:basedOn w:val="Normal"/>
    <w:next w:val="Normal"/>
    <w:link w:val="Tableheading1Char"/>
    <w:qFormat/>
    <w:rsid w:val="00620770"/>
    <w:pPr>
      <w:tabs>
        <w:tab w:val="left" w:pos="720"/>
        <w:tab w:val="left" w:pos="851"/>
      </w:tabs>
      <w:suppressAutoHyphens w:val="0"/>
      <w:spacing w:before="30" w:after="30"/>
      <w:jc w:val="center"/>
    </w:pPr>
    <w:rPr>
      <w:rFonts w:ascii="Times New Roman" w:eastAsia="Calibri" w:hAnsi="Times New Roman" w:cs="Times New Roman"/>
      <w:color w:val="auto"/>
      <w:kern w:val="0"/>
      <w:sz w:val="24"/>
      <w:szCs w:val="22"/>
    </w:rPr>
  </w:style>
  <w:style w:type="character" w:customStyle="1" w:styleId="Tableheading1Char">
    <w:name w:val="Table heading 1 Char"/>
    <w:basedOn w:val="DefaultParagraphFont"/>
    <w:link w:val="Tableheading1"/>
    <w:rsid w:val="00620770"/>
    <w:rPr>
      <w:rFonts w:ascii="Times New Roman" w:eastAsia="Calibri" w:hAnsi="Times New Roman" w:cs="Times New Roman"/>
      <w:color w:val="auto"/>
      <w:sz w:val="24"/>
      <w:szCs w:val="22"/>
    </w:rPr>
  </w:style>
  <w:style w:type="paragraph" w:customStyle="1" w:styleId="Tablesubheading1">
    <w:name w:val="Table sub heading 1"/>
    <w:basedOn w:val="Normal"/>
    <w:next w:val="Normal"/>
    <w:link w:val="Tablesubheading1Char"/>
    <w:qFormat/>
    <w:rsid w:val="00620770"/>
    <w:pPr>
      <w:tabs>
        <w:tab w:val="left" w:pos="720"/>
        <w:tab w:val="left" w:pos="851"/>
      </w:tabs>
      <w:suppressAutoHyphens w:val="0"/>
      <w:spacing w:before="30" w:after="30"/>
    </w:pPr>
    <w:rPr>
      <w:rFonts w:ascii="Times New Roman" w:eastAsia="Calibri" w:hAnsi="Times New Roman" w:cs="Times New Roman"/>
      <w:i/>
      <w:color w:val="auto"/>
      <w:kern w:val="0"/>
      <w:sz w:val="24"/>
      <w:szCs w:val="22"/>
    </w:rPr>
  </w:style>
  <w:style w:type="character" w:customStyle="1" w:styleId="Tablesubheading1Char">
    <w:name w:val="Table sub heading 1 Char"/>
    <w:link w:val="Tablesubheading1"/>
    <w:rsid w:val="00620770"/>
    <w:rPr>
      <w:rFonts w:ascii="Times New Roman" w:eastAsia="Calibri" w:hAnsi="Times New Roman" w:cs="Times New Roman"/>
      <w:i/>
      <w:color w:val="auto"/>
      <w:sz w:val="24"/>
      <w:szCs w:val="22"/>
    </w:rPr>
  </w:style>
  <w:style w:type="paragraph" w:customStyle="1" w:styleId="Subheading1">
    <w:name w:val="Subheading1"/>
    <w:basedOn w:val="Normal"/>
    <w:next w:val="Normal"/>
    <w:link w:val="Subheading1Char"/>
    <w:qFormat/>
    <w:rsid w:val="00620770"/>
    <w:pPr>
      <w:tabs>
        <w:tab w:val="left" w:pos="720"/>
        <w:tab w:val="left" w:pos="851"/>
      </w:tabs>
      <w:suppressAutoHyphens w:val="0"/>
      <w:spacing w:before="240" w:after="240" w:line="264" w:lineRule="auto"/>
    </w:pPr>
    <w:rPr>
      <w:rFonts w:ascii="Times New Roman" w:eastAsia="Calibri" w:hAnsi="Times New Roman" w:cs="Times New Roman"/>
      <w:caps/>
      <w:color w:val="auto"/>
      <w:kern w:val="0"/>
      <w:sz w:val="24"/>
      <w:szCs w:val="22"/>
    </w:rPr>
  </w:style>
  <w:style w:type="character" w:customStyle="1" w:styleId="Subheading1Char">
    <w:name w:val="Subheading1 Char"/>
    <w:link w:val="Subheading1"/>
    <w:rsid w:val="00620770"/>
    <w:rPr>
      <w:rFonts w:ascii="Times New Roman" w:eastAsia="Calibri" w:hAnsi="Times New Roman" w:cs="Times New Roman"/>
      <w:caps/>
      <w:color w:val="auto"/>
      <w:sz w:val="24"/>
      <w:szCs w:val="22"/>
    </w:rPr>
  </w:style>
  <w:style w:type="paragraph" w:customStyle="1" w:styleId="boldleftaligned">
    <w:name w:val="bold&amp;leftaligned"/>
    <w:basedOn w:val="boldcentred"/>
    <w:next w:val="Normal"/>
    <w:link w:val="boldleftalignedChar"/>
    <w:qFormat/>
    <w:rsid w:val="00620770"/>
    <w:pPr>
      <w:jc w:val="left"/>
    </w:pPr>
  </w:style>
  <w:style w:type="character" w:customStyle="1" w:styleId="boldleftalignedChar">
    <w:name w:val="bold&amp;leftaligned Char"/>
    <w:link w:val="boldleftaligned"/>
    <w:rsid w:val="00620770"/>
    <w:rPr>
      <w:rFonts w:ascii="Times New Roman" w:eastAsia="Calibri" w:hAnsi="Times New Roman" w:cs="Times New Roman"/>
      <w:b/>
      <w:color w:val="auto"/>
      <w:sz w:val="24"/>
      <w:szCs w:val="22"/>
    </w:rPr>
  </w:style>
  <w:style w:type="paragraph" w:customStyle="1" w:styleId="Table2">
    <w:name w:val="Table 2"/>
    <w:basedOn w:val="Normal"/>
    <w:link w:val="Table2Char"/>
    <w:qFormat/>
    <w:rsid w:val="00620770"/>
    <w:pPr>
      <w:tabs>
        <w:tab w:val="left" w:pos="720"/>
        <w:tab w:val="left" w:pos="851"/>
      </w:tabs>
      <w:suppressAutoHyphens w:val="0"/>
      <w:spacing w:before="30" w:after="30"/>
    </w:pPr>
    <w:rPr>
      <w:rFonts w:ascii="Times New Roman" w:eastAsia="Calibri" w:hAnsi="Times New Roman" w:cs="Times New Roman"/>
      <w:color w:val="auto"/>
      <w:kern w:val="0"/>
      <w:szCs w:val="22"/>
    </w:rPr>
  </w:style>
  <w:style w:type="character" w:customStyle="1" w:styleId="Table2Char">
    <w:name w:val="Table 2 Char"/>
    <w:link w:val="Table2"/>
    <w:rsid w:val="00620770"/>
    <w:rPr>
      <w:rFonts w:ascii="Times New Roman" w:eastAsia="Calibri" w:hAnsi="Times New Roman" w:cs="Times New Roman"/>
      <w:color w:val="auto"/>
      <w:szCs w:val="22"/>
    </w:rPr>
  </w:style>
  <w:style w:type="paragraph" w:styleId="BodyText">
    <w:name w:val="Body Text"/>
    <w:basedOn w:val="Normal"/>
    <w:link w:val="BodyTextChar"/>
    <w:uiPriority w:val="99"/>
    <w:rsid w:val="00620770"/>
    <w:pPr>
      <w:tabs>
        <w:tab w:val="left" w:pos="720"/>
        <w:tab w:val="left" w:pos="851"/>
      </w:tabs>
      <w:suppressAutoHyphens w:val="0"/>
      <w:spacing w:before="0" w:after="280" w:line="360" w:lineRule="auto"/>
    </w:pPr>
    <w:rPr>
      <w:rFonts w:ascii="Times New Roman" w:eastAsia="Times New Roman" w:hAnsi="Times New Roman" w:cs="Times New Roman"/>
      <w:color w:val="auto"/>
      <w:kern w:val="0"/>
      <w:sz w:val="24"/>
      <w:szCs w:val="24"/>
      <w:lang w:eastAsia="en-AU"/>
    </w:rPr>
  </w:style>
  <w:style w:type="character" w:customStyle="1" w:styleId="BodyTextChar">
    <w:name w:val="Body Text Char"/>
    <w:basedOn w:val="DefaultParagraphFont"/>
    <w:link w:val="BodyText"/>
    <w:uiPriority w:val="99"/>
    <w:rsid w:val="00620770"/>
    <w:rPr>
      <w:rFonts w:ascii="Times New Roman" w:eastAsia="Times New Roman" w:hAnsi="Times New Roman" w:cs="Times New Roman"/>
      <w:color w:val="auto"/>
      <w:sz w:val="24"/>
      <w:szCs w:val="24"/>
      <w:lang w:eastAsia="en-AU"/>
    </w:rPr>
  </w:style>
  <w:style w:type="paragraph" w:customStyle="1" w:styleId="Table2heading">
    <w:name w:val="Table 2 heading"/>
    <w:basedOn w:val="Table2"/>
    <w:link w:val="Table2headingChar"/>
    <w:qFormat/>
    <w:rsid w:val="00620770"/>
    <w:pPr>
      <w:jc w:val="center"/>
    </w:pPr>
    <w:rPr>
      <w:b/>
    </w:rPr>
  </w:style>
  <w:style w:type="character" w:customStyle="1" w:styleId="Table2headingChar">
    <w:name w:val="Table 2 heading Char"/>
    <w:link w:val="Table2heading"/>
    <w:rsid w:val="00620770"/>
    <w:rPr>
      <w:rFonts w:ascii="Times New Roman" w:eastAsia="Calibri" w:hAnsi="Times New Roman" w:cs="Times New Roman"/>
      <w:b/>
      <w:color w:val="auto"/>
      <w:szCs w:val="22"/>
    </w:rPr>
  </w:style>
  <w:style w:type="character" w:styleId="Emphasis">
    <w:name w:val="Emphasis"/>
    <w:uiPriority w:val="20"/>
    <w:qFormat/>
    <w:rsid w:val="00620770"/>
    <w:rPr>
      <w:rFonts w:ascii="Times New Roman" w:hAnsi="Times New Roman"/>
      <w:i/>
      <w:iCs/>
      <w:sz w:val="24"/>
    </w:rPr>
  </w:style>
  <w:style w:type="paragraph" w:customStyle="1" w:styleId="ListParagraphIndent1">
    <w:name w:val="List Paragraph Indent 1"/>
    <w:basedOn w:val="Normal"/>
    <w:link w:val="ListParagraphIndent1Char"/>
    <w:uiPriority w:val="99"/>
    <w:qFormat/>
    <w:rsid w:val="00620770"/>
    <w:pPr>
      <w:numPr>
        <w:numId w:val="26"/>
      </w:numPr>
      <w:tabs>
        <w:tab w:val="left" w:pos="720"/>
        <w:tab w:val="left" w:pos="851"/>
      </w:tabs>
      <w:suppressAutoHyphens w:val="0"/>
      <w:spacing w:before="240" w:after="240" w:line="264" w:lineRule="auto"/>
      <w:ind w:left="1797" w:hanging="720"/>
    </w:pPr>
    <w:rPr>
      <w:rFonts w:ascii="Times New Roman" w:eastAsia="Calibri" w:hAnsi="Times New Roman" w:cs="Times New Roman"/>
      <w:color w:val="auto"/>
      <w:kern w:val="0"/>
      <w:sz w:val="24"/>
      <w:szCs w:val="22"/>
    </w:rPr>
  </w:style>
  <w:style w:type="character" w:customStyle="1" w:styleId="ListParagraphIndent1Char">
    <w:name w:val="List Paragraph Indent 1 Char"/>
    <w:basedOn w:val="ListParagraphChar"/>
    <w:link w:val="ListParagraphIndent1"/>
    <w:uiPriority w:val="99"/>
    <w:rsid w:val="00620770"/>
    <w:rPr>
      <w:rFonts w:ascii="Times New Roman" w:eastAsia="Calibri" w:hAnsi="Times New Roman" w:cs="Times New Roman"/>
      <w:color w:val="auto"/>
      <w:sz w:val="24"/>
      <w:szCs w:val="22"/>
    </w:rPr>
  </w:style>
  <w:style w:type="paragraph" w:customStyle="1" w:styleId="AppendixHeading20">
    <w:name w:val="Appendix_Heading_2"/>
    <w:basedOn w:val="Heading3"/>
    <w:next w:val="Normal"/>
    <w:link w:val="AppendixHeading2Char"/>
    <w:qFormat/>
    <w:rsid w:val="00620770"/>
    <w:pPr>
      <w:tabs>
        <w:tab w:val="left" w:pos="720"/>
        <w:tab w:val="left" w:pos="851"/>
      </w:tabs>
      <w:suppressAutoHyphens w:val="0"/>
      <w:spacing w:before="200" w:after="0" w:line="264" w:lineRule="auto"/>
    </w:pPr>
    <w:rPr>
      <w:rFonts w:eastAsia="Times New Roman" w:cs="Times New Roman"/>
      <w:bCs/>
      <w:color w:val="auto"/>
      <w:kern w:val="0"/>
      <w:sz w:val="24"/>
      <w:szCs w:val="22"/>
    </w:rPr>
  </w:style>
  <w:style w:type="character" w:customStyle="1" w:styleId="AppendixHeading2Char">
    <w:name w:val="Appendix_Heading_2 Char"/>
    <w:link w:val="AppendixHeading20"/>
    <w:rsid w:val="00620770"/>
    <w:rPr>
      <w:rFonts w:asciiTheme="majorHAnsi" w:eastAsia="Times New Roman" w:hAnsiTheme="majorHAnsi" w:cs="Times New Roman"/>
      <w:b/>
      <w:bCs/>
      <w:color w:val="auto"/>
      <w:sz w:val="24"/>
      <w:szCs w:val="22"/>
    </w:rPr>
  </w:style>
  <w:style w:type="paragraph" w:customStyle="1" w:styleId="Table3">
    <w:name w:val="Table 3"/>
    <w:basedOn w:val="Table2"/>
    <w:link w:val="Table3Char"/>
    <w:qFormat/>
    <w:rsid w:val="00620770"/>
    <w:pPr>
      <w:spacing w:before="15" w:after="15"/>
    </w:pPr>
    <w:rPr>
      <w:sz w:val="16"/>
    </w:rPr>
  </w:style>
  <w:style w:type="character" w:customStyle="1" w:styleId="Table3Char">
    <w:name w:val="Table 3 Char"/>
    <w:link w:val="Table3"/>
    <w:rsid w:val="00620770"/>
    <w:rPr>
      <w:rFonts w:ascii="Times New Roman" w:eastAsia="Calibri" w:hAnsi="Times New Roman" w:cs="Times New Roman"/>
      <w:color w:val="auto"/>
      <w:sz w:val="16"/>
      <w:szCs w:val="22"/>
    </w:rPr>
  </w:style>
  <w:style w:type="paragraph" w:customStyle="1" w:styleId="Table3heading">
    <w:name w:val="Table 3 heading"/>
    <w:basedOn w:val="Table3"/>
    <w:link w:val="Table3headingChar"/>
    <w:qFormat/>
    <w:rsid w:val="00620770"/>
    <w:pPr>
      <w:spacing w:before="20" w:after="20"/>
    </w:pPr>
    <w:rPr>
      <w:sz w:val="18"/>
    </w:rPr>
  </w:style>
  <w:style w:type="character" w:customStyle="1" w:styleId="Table3headingChar">
    <w:name w:val="Table 3 heading Char"/>
    <w:link w:val="Table3heading"/>
    <w:rsid w:val="00620770"/>
    <w:rPr>
      <w:rFonts w:ascii="Times New Roman" w:eastAsia="Calibri" w:hAnsi="Times New Roman" w:cs="Times New Roman"/>
      <w:color w:val="auto"/>
      <w:sz w:val="18"/>
      <w:szCs w:val="22"/>
    </w:rPr>
  </w:style>
  <w:style w:type="paragraph" w:customStyle="1" w:styleId="Table4">
    <w:name w:val="Table 4"/>
    <w:basedOn w:val="Table2"/>
    <w:link w:val="Table4Char"/>
    <w:qFormat/>
    <w:rsid w:val="00620770"/>
    <w:rPr>
      <w:sz w:val="18"/>
    </w:rPr>
  </w:style>
  <w:style w:type="character" w:customStyle="1" w:styleId="Table4Char">
    <w:name w:val="Table 4 Char"/>
    <w:link w:val="Table4"/>
    <w:rsid w:val="00620770"/>
    <w:rPr>
      <w:rFonts w:ascii="Times New Roman" w:eastAsia="Calibri" w:hAnsi="Times New Roman" w:cs="Times New Roman"/>
      <w:color w:val="auto"/>
      <w:sz w:val="18"/>
      <w:szCs w:val="22"/>
    </w:rPr>
  </w:style>
  <w:style w:type="paragraph" w:customStyle="1" w:styleId="Alphabetlist">
    <w:name w:val="Alphabet list"/>
    <w:basedOn w:val="ListParagraph"/>
    <w:link w:val="AlphabetlistChar"/>
    <w:uiPriority w:val="99"/>
    <w:qFormat/>
    <w:rsid w:val="00620770"/>
    <w:pPr>
      <w:keepLines/>
      <w:tabs>
        <w:tab w:val="left" w:pos="720"/>
      </w:tabs>
      <w:suppressAutoHyphens w:val="0"/>
      <w:autoSpaceDE/>
      <w:autoSpaceDN/>
      <w:adjustRightInd/>
      <w:spacing w:before="240" w:after="240" w:line="264" w:lineRule="auto"/>
      <w:ind w:left="0"/>
      <w:contextualSpacing w:val="0"/>
      <w:textAlignment w:val="auto"/>
    </w:pPr>
    <w:rPr>
      <w:rFonts w:ascii="Times New Roman" w:eastAsia="Calibri" w:hAnsi="Times New Roman" w:cs="Times New Roman"/>
      <w:snapToGrid w:val="0"/>
      <w:color w:val="auto"/>
      <w:sz w:val="24"/>
    </w:rPr>
  </w:style>
  <w:style w:type="character" w:customStyle="1" w:styleId="AlphabetlistChar">
    <w:name w:val="Alphabet list Char"/>
    <w:link w:val="Alphabetlist"/>
    <w:uiPriority w:val="99"/>
    <w:rsid w:val="00620770"/>
    <w:rPr>
      <w:rFonts w:ascii="Times New Roman" w:eastAsia="Calibri" w:hAnsi="Times New Roman" w:cs="Times New Roman"/>
      <w:snapToGrid w:val="0"/>
      <w:color w:val="auto"/>
      <w:sz w:val="24"/>
      <w:szCs w:val="22"/>
    </w:rPr>
  </w:style>
  <w:style w:type="paragraph" w:customStyle="1" w:styleId="underlinedleft">
    <w:name w:val="underlined&amp;left"/>
    <w:basedOn w:val="Normal"/>
    <w:next w:val="Normal"/>
    <w:link w:val="underlinedleftChar"/>
    <w:qFormat/>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u w:val="single"/>
    </w:rPr>
  </w:style>
  <w:style w:type="character" w:customStyle="1" w:styleId="underlinedleftChar">
    <w:name w:val="underlined&amp;left Char"/>
    <w:link w:val="underlinedleft"/>
    <w:rsid w:val="00620770"/>
    <w:rPr>
      <w:rFonts w:ascii="Times New Roman" w:eastAsia="Calibri" w:hAnsi="Times New Roman" w:cs="Times New Roman"/>
      <w:color w:val="auto"/>
      <w:sz w:val="24"/>
      <w:szCs w:val="22"/>
      <w:u w:val="single"/>
    </w:rPr>
  </w:style>
  <w:style w:type="paragraph" w:styleId="NormalWeb">
    <w:name w:val="Normal (Web)"/>
    <w:basedOn w:val="Normal"/>
    <w:uiPriority w:val="99"/>
    <w:unhideWhenUsed/>
    <w:rsid w:val="00620770"/>
    <w:pPr>
      <w:tabs>
        <w:tab w:val="left" w:pos="720"/>
      </w:tabs>
      <w:suppressAutoHyphens w:val="0"/>
      <w:spacing w:before="0" w:after="100" w:afterAutospacing="1"/>
      <w:ind w:left="1800"/>
    </w:pPr>
    <w:rPr>
      <w:rFonts w:ascii="Times New Roman" w:eastAsia="Times New Roman" w:hAnsi="Times New Roman" w:cs="Times New Roman"/>
      <w:color w:val="auto"/>
      <w:kern w:val="0"/>
      <w:sz w:val="24"/>
      <w:szCs w:val="24"/>
      <w:lang w:eastAsia="en-AU"/>
    </w:rPr>
  </w:style>
  <w:style w:type="table" w:customStyle="1" w:styleId="LightShading1">
    <w:name w:val="Light Shading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620770"/>
    <w:pPr>
      <w:spacing w:before="0" w:after="0"/>
    </w:pPr>
    <w:rPr>
      <w:rFonts w:ascii="Times New Roman" w:eastAsia="Calibri" w:hAnsi="Times New Roman" w:cs="Times New Roman"/>
      <w:color w:val="auto"/>
      <w:sz w:val="24"/>
      <w:szCs w:val="22"/>
    </w:rPr>
  </w:style>
  <w:style w:type="paragraph" w:styleId="EndnoteText">
    <w:name w:val="endnote text"/>
    <w:basedOn w:val="Normal"/>
    <w:link w:val="EndnoteTextChar"/>
    <w:uiPriority w:val="99"/>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rPr>
  </w:style>
  <w:style w:type="character" w:customStyle="1" w:styleId="EndnoteTextChar">
    <w:name w:val="Endnote Text Char"/>
    <w:basedOn w:val="DefaultParagraphFont"/>
    <w:link w:val="EndnoteText"/>
    <w:uiPriority w:val="99"/>
    <w:semiHidden/>
    <w:rsid w:val="00620770"/>
    <w:rPr>
      <w:rFonts w:ascii="Times New Roman" w:eastAsia="Calibri" w:hAnsi="Times New Roman" w:cs="Times New Roman"/>
      <w:color w:val="auto"/>
    </w:rPr>
  </w:style>
  <w:style w:type="character" w:styleId="EndnoteReference">
    <w:name w:val="endnote reference"/>
    <w:uiPriority w:val="99"/>
    <w:semiHidden/>
    <w:unhideWhenUsed/>
    <w:rsid w:val="00620770"/>
    <w:rPr>
      <w:vertAlign w:val="superscript"/>
    </w:rPr>
  </w:style>
  <w:style w:type="numbering" w:customStyle="1" w:styleId="NoList11">
    <w:name w:val="No List11"/>
    <w:next w:val="NoList"/>
    <w:uiPriority w:val="99"/>
    <w:semiHidden/>
    <w:unhideWhenUsed/>
    <w:rsid w:val="00620770"/>
  </w:style>
  <w:style w:type="table" w:customStyle="1" w:styleId="LightShading11">
    <w:name w:val="Light Shading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
    <w:name w:val="TableText"/>
    <w:basedOn w:val="Normal"/>
    <w:uiPriority w:val="99"/>
    <w:qFormat/>
    <w:rsid w:val="00620770"/>
    <w:pPr>
      <w:suppressAutoHyphens w:val="0"/>
      <w:spacing w:before="120" w:after="120"/>
    </w:pPr>
    <w:rPr>
      <w:rFonts w:ascii="Arial" w:eastAsia="Times New Roman" w:hAnsi="Arial" w:cs="Arial"/>
      <w:bCs/>
      <w:color w:val="auto"/>
      <w:kern w:val="0"/>
    </w:rPr>
  </w:style>
  <w:style w:type="table" w:customStyle="1" w:styleId="LightGrid-Accent21">
    <w:name w:val="Light Grid - Accent 21"/>
    <w:basedOn w:val="TableNormal"/>
    <w:next w:val="LightGrid-Accent2"/>
    <w:uiPriority w:val="62"/>
    <w:rsid w:val="00620770"/>
    <w:pPr>
      <w:spacing w:before="0" w:after="0"/>
    </w:pPr>
    <w:rPr>
      <w:rFonts w:eastAsia="Times New Roman"/>
      <w:color w:val="auto"/>
      <w:sz w:val="24"/>
      <w:szCs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shd w:val="clear" w:color="auto" w:fill="CD0920"/>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Tablefootnote">
    <w:name w:val="Table footnote"/>
    <w:basedOn w:val="Normal"/>
    <w:link w:val="TablefootnoteChar"/>
    <w:qFormat/>
    <w:rsid w:val="00620770"/>
    <w:pPr>
      <w:tabs>
        <w:tab w:val="left" w:pos="720"/>
        <w:tab w:val="left" w:pos="851"/>
      </w:tabs>
      <w:suppressAutoHyphens w:val="0"/>
      <w:spacing w:before="120" w:after="240"/>
    </w:pPr>
    <w:rPr>
      <w:rFonts w:ascii="Arial" w:eastAsia="Calibri" w:hAnsi="Arial" w:cs="Times New Roman"/>
      <w:color w:val="auto"/>
      <w:kern w:val="0"/>
      <w:sz w:val="18"/>
      <w:szCs w:val="22"/>
    </w:rPr>
  </w:style>
  <w:style w:type="character" w:customStyle="1" w:styleId="TablefootnoteChar">
    <w:name w:val="Table footnote Char"/>
    <w:basedOn w:val="DefaultParagraphFont"/>
    <w:link w:val="Tablefootnote"/>
    <w:rsid w:val="00620770"/>
    <w:rPr>
      <w:rFonts w:ascii="Arial" w:eastAsia="Calibri" w:hAnsi="Arial" w:cs="Times New Roman"/>
      <w:color w:val="auto"/>
      <w:sz w:val="18"/>
      <w:szCs w:val="22"/>
    </w:rPr>
  </w:style>
  <w:style w:type="table" w:customStyle="1" w:styleId="TableGrid2">
    <w:name w:val="Table Grid2"/>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20770"/>
  </w:style>
  <w:style w:type="table" w:customStyle="1" w:styleId="TableGrid3">
    <w:name w:val="Table Grid3"/>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
    <w:name w:val="Light Shading1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
    <w:name w:val="Light Shading3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
    <w:name w:val="No List111"/>
    <w:next w:val="NoList"/>
    <w:uiPriority w:val="99"/>
    <w:semiHidden/>
    <w:unhideWhenUsed/>
    <w:rsid w:val="00620770"/>
  </w:style>
  <w:style w:type="table" w:customStyle="1" w:styleId="TableGrid11">
    <w:name w:val="Table Grid11"/>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
    <w:name w:val="Light Shading1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
    <w:name w:val="Light Shading2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
    <w:name w:val="Light Shading3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
    <w:name w:val="Table Grid21"/>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1">
    <w:name w:val="Body Text1"/>
    <w:basedOn w:val="Normal"/>
    <w:link w:val="BodytextChar0"/>
    <w:qFormat/>
    <w:rsid w:val="00620770"/>
    <w:pPr>
      <w:widowControl w:val="0"/>
      <w:suppressAutoHyphens w:val="0"/>
      <w:spacing w:before="240" w:after="240" w:line="264" w:lineRule="auto"/>
    </w:pPr>
    <w:rPr>
      <w:rFonts w:ascii="Times New Roman" w:eastAsia="Times New Roman" w:hAnsi="Times New Roman" w:cs="Times New Roman"/>
      <w:color w:val="auto"/>
      <w:kern w:val="0"/>
      <w:sz w:val="24"/>
      <w:szCs w:val="24"/>
      <w:lang w:val="x-none" w:eastAsia="x-none"/>
    </w:rPr>
  </w:style>
  <w:style w:type="character" w:customStyle="1" w:styleId="BodytextChar0">
    <w:name w:val="Body text Char"/>
    <w:link w:val="BodyText1"/>
    <w:rsid w:val="00620770"/>
    <w:rPr>
      <w:rFonts w:ascii="Times New Roman" w:eastAsia="Times New Roman" w:hAnsi="Times New Roman" w:cs="Times New Roman"/>
      <w:color w:val="auto"/>
      <w:sz w:val="24"/>
      <w:szCs w:val="24"/>
      <w:lang w:val="x-none" w:eastAsia="x-none"/>
    </w:rPr>
  </w:style>
  <w:style w:type="table" w:customStyle="1" w:styleId="RIStable">
    <w:name w:val="RIS_table"/>
    <w:basedOn w:val="TableNormal"/>
    <w:uiPriority w:val="99"/>
    <w:rsid w:val="00620770"/>
    <w:pPr>
      <w:spacing w:before="0" w:after="0"/>
    </w:pPr>
    <w:rPr>
      <w:color w:val="auto"/>
      <w:sz w:val="22"/>
      <w:szCs w:val="22"/>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85" w:type="dxa"/>
        <w:bottom w:w="28" w:type="dxa"/>
        <w:right w:w="85" w:type="dxa"/>
      </w:tblCellMar>
    </w:tblPr>
    <w:tcPr>
      <w:shd w:val="clear" w:color="auto" w:fill="auto"/>
    </w:tcPr>
    <w:tblStylePr w:type="firstRow">
      <w:tblPr/>
      <w:tcPr>
        <w:shd w:val="clear" w:color="auto" w:fill="DBE5F1"/>
      </w:tcPr>
    </w:tblStylePr>
  </w:style>
  <w:style w:type="table" w:customStyle="1" w:styleId="LightShading-Accent11">
    <w:name w:val="Light Shading - Accent 11"/>
    <w:basedOn w:val="TableNormal"/>
    <w:next w:val="LightShading-Accent1"/>
    <w:uiPriority w:val="60"/>
    <w:rsid w:val="00620770"/>
    <w:pPr>
      <w:spacing w:before="0" w:after="0"/>
    </w:pPr>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UBHEADING2">
    <w:name w:val="SUBHEADING2"/>
    <w:basedOn w:val="Subheading1"/>
    <w:link w:val="SUBHEADING2Char"/>
    <w:qFormat/>
    <w:rsid w:val="00620770"/>
    <w:pPr>
      <w:tabs>
        <w:tab w:val="clear" w:pos="720"/>
      </w:tabs>
    </w:pPr>
    <w:rPr>
      <w:b/>
      <w:u w:val="single"/>
    </w:rPr>
  </w:style>
  <w:style w:type="character" w:customStyle="1" w:styleId="SUBHEADING2Char">
    <w:name w:val="SUBHEADING2 Char"/>
    <w:basedOn w:val="Subheading1Char"/>
    <w:link w:val="SUBHEADING2"/>
    <w:rsid w:val="00620770"/>
    <w:rPr>
      <w:rFonts w:ascii="Times New Roman" w:eastAsia="Calibri" w:hAnsi="Times New Roman" w:cs="Times New Roman"/>
      <w:b/>
      <w:caps/>
      <w:color w:val="auto"/>
      <w:sz w:val="24"/>
      <w:szCs w:val="22"/>
      <w:u w:val="single"/>
    </w:rPr>
  </w:style>
  <w:style w:type="table" w:customStyle="1" w:styleId="LightShading4">
    <w:name w:val="Light Shading4"/>
    <w:basedOn w:val="TableNormal"/>
    <w:next w:val="LightShading"/>
    <w:uiPriority w:val="60"/>
    <w:rsid w:val="00620770"/>
    <w:pPr>
      <w:spacing w:before="0" w:after="0"/>
    </w:pPr>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1">
    <w:name w:val="Medium List 2 - Accent 11"/>
    <w:basedOn w:val="TableNormal"/>
    <w:next w:val="MediumList2-Accent1"/>
    <w:uiPriority w:val="66"/>
    <w:rsid w:val="00620770"/>
    <w:pPr>
      <w:spacing w:before="0" w:after="0"/>
    </w:pPr>
    <w:rPr>
      <w:rFonts w:ascii="Cambria" w:eastAsia="Times New Roman" w:hAnsi="Cambria"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unicode">
    <w:name w:val="unicode"/>
    <w:basedOn w:val="DefaultParagraphFont"/>
    <w:rsid w:val="00620770"/>
  </w:style>
  <w:style w:type="paragraph" w:customStyle="1" w:styleId="TableText0">
    <w:name w:val="Table Text"/>
    <w:basedOn w:val="Normal"/>
    <w:uiPriority w:val="99"/>
    <w:qFormat/>
    <w:rsid w:val="00620770"/>
    <w:pPr>
      <w:suppressAutoHyphens w:val="0"/>
      <w:spacing w:before="0" w:after="0"/>
    </w:pPr>
    <w:rPr>
      <w:rFonts w:ascii="Calibri" w:eastAsia="Times New Roman" w:hAnsi="Calibri" w:cs="Microsoft Sans Serif"/>
      <w:kern w:val="0"/>
      <w:sz w:val="18"/>
      <w:szCs w:val="16"/>
      <w:lang w:eastAsia="en-AU"/>
    </w:rPr>
  </w:style>
  <w:style w:type="paragraph" w:customStyle="1" w:styleId="Comment">
    <w:name w:val="Comment"/>
    <w:basedOn w:val="Normal"/>
    <w:uiPriority w:val="99"/>
    <w:qFormat/>
    <w:rsid w:val="00620770"/>
    <w:pPr>
      <w:pBdr>
        <w:top w:val="single" w:sz="4" w:space="1" w:color="auto"/>
        <w:left w:val="single" w:sz="4" w:space="4" w:color="auto"/>
        <w:bottom w:val="single" w:sz="4" w:space="1" w:color="auto"/>
        <w:right w:val="single" w:sz="4" w:space="4" w:color="auto"/>
      </w:pBdr>
      <w:shd w:val="clear" w:color="auto" w:fill="F2F2F2"/>
      <w:suppressAutoHyphens w:val="0"/>
      <w:spacing w:before="0" w:after="240" w:line="300" w:lineRule="auto"/>
      <w:ind w:left="567" w:right="567"/>
    </w:pPr>
    <w:rPr>
      <w:color w:val="auto"/>
      <w:kern w:val="0"/>
      <w:sz w:val="22"/>
      <w:szCs w:val="22"/>
    </w:rPr>
  </w:style>
  <w:style w:type="paragraph" w:customStyle="1" w:styleId="Title1">
    <w:name w:val="Title 1"/>
    <w:uiPriority w:val="99"/>
    <w:qFormat/>
    <w:rsid w:val="00620770"/>
    <w:pPr>
      <w:spacing w:before="0" w:after="200" w:line="276" w:lineRule="auto"/>
    </w:pPr>
    <w:rPr>
      <w:rFonts w:ascii="Cambria" w:eastAsia="Times New Roman" w:hAnsi="Cambria" w:cs="Times New Roman"/>
      <w:b/>
      <w:bCs/>
      <w:color w:val="365F91"/>
      <w:sz w:val="28"/>
      <w:szCs w:val="28"/>
    </w:rPr>
  </w:style>
  <w:style w:type="paragraph" w:customStyle="1" w:styleId="Title2">
    <w:name w:val="Title 2"/>
    <w:uiPriority w:val="99"/>
    <w:qFormat/>
    <w:rsid w:val="00620770"/>
    <w:pPr>
      <w:spacing w:before="0" w:after="200" w:line="276" w:lineRule="auto"/>
    </w:pPr>
    <w:rPr>
      <w:rFonts w:ascii="Cambria" w:eastAsia="Times New Roman" w:hAnsi="Cambria" w:cs="Times New Roman"/>
      <w:b/>
      <w:bCs/>
      <w:color w:val="4F81BD"/>
      <w:sz w:val="26"/>
      <w:szCs w:val="26"/>
    </w:rPr>
  </w:style>
  <w:style w:type="paragraph" w:customStyle="1" w:styleId="SurveyHeading1">
    <w:name w:val="Survey Heading 1"/>
    <w:basedOn w:val="Heading1"/>
    <w:link w:val="SurveyHeading1Char"/>
    <w:uiPriority w:val="99"/>
    <w:qFormat/>
    <w:rsid w:val="00620770"/>
    <w:pPr>
      <w:suppressAutoHyphens w:val="0"/>
      <w:spacing w:after="0" w:line="300" w:lineRule="auto"/>
      <w:ind w:left="432" w:hanging="432"/>
      <w:contextualSpacing w:val="0"/>
    </w:pPr>
    <w:rPr>
      <w:b/>
      <w:bCs/>
      <w:color w:val="365F91"/>
      <w:sz w:val="28"/>
      <w:szCs w:val="28"/>
    </w:rPr>
  </w:style>
  <w:style w:type="paragraph" w:customStyle="1" w:styleId="SurveyHeading2">
    <w:name w:val="Survey Heading 2"/>
    <w:basedOn w:val="SurveyHeading1"/>
    <w:link w:val="SurveyHeading2Char"/>
    <w:uiPriority w:val="99"/>
    <w:qFormat/>
    <w:rsid w:val="00620770"/>
    <w:pPr>
      <w:ind w:left="431" w:hanging="431"/>
      <w:outlineLvl w:val="9"/>
    </w:pPr>
    <w:rPr>
      <w:sz w:val="24"/>
      <w:szCs w:val="24"/>
    </w:rPr>
  </w:style>
  <w:style w:type="character" w:customStyle="1" w:styleId="SurveyHeading1Char">
    <w:name w:val="Survey Heading 1 Char"/>
    <w:basedOn w:val="Heading1Char"/>
    <w:link w:val="SurveyHeading1"/>
    <w:uiPriority w:val="99"/>
    <w:rsid w:val="00620770"/>
    <w:rPr>
      <w:rFonts w:asciiTheme="majorHAnsi" w:eastAsiaTheme="majorEastAsia" w:hAnsiTheme="majorHAnsi" w:cstheme="majorBidi"/>
      <w:b/>
      <w:bCs/>
      <w:color w:val="365F91"/>
      <w:kern w:val="12"/>
      <w:sz w:val="28"/>
      <w:szCs w:val="28"/>
    </w:rPr>
  </w:style>
  <w:style w:type="character" w:customStyle="1" w:styleId="SurveyHeading2Char">
    <w:name w:val="Survey Heading 2 Char"/>
    <w:basedOn w:val="SurveyHeading1Char"/>
    <w:link w:val="SurveyHeading2"/>
    <w:uiPriority w:val="99"/>
    <w:rsid w:val="00620770"/>
    <w:rPr>
      <w:rFonts w:asciiTheme="majorHAnsi" w:eastAsiaTheme="majorEastAsia" w:hAnsiTheme="majorHAnsi" w:cstheme="majorBidi"/>
      <w:b/>
      <w:bCs/>
      <w:color w:val="365F91"/>
      <w:kern w:val="12"/>
      <w:sz w:val="24"/>
      <w:szCs w:val="24"/>
    </w:rPr>
  </w:style>
  <w:style w:type="paragraph" w:customStyle="1" w:styleId="Heading-ExecutiveSummary">
    <w:name w:val="Heading - Executive Summary"/>
    <w:basedOn w:val="Heading1"/>
    <w:uiPriority w:val="99"/>
    <w:qFormat/>
    <w:rsid w:val="00620770"/>
    <w:pPr>
      <w:tabs>
        <w:tab w:val="left" w:pos="720"/>
        <w:tab w:val="left" w:pos="851"/>
        <w:tab w:val="num" w:pos="926"/>
      </w:tabs>
      <w:suppressAutoHyphens w:val="0"/>
      <w:spacing w:before="240" w:after="240"/>
      <w:ind w:left="851" w:hanging="851"/>
      <w:contextualSpacing w:val="0"/>
    </w:pPr>
    <w:rPr>
      <w:rFonts w:eastAsia="Times New Roman" w:cs="Times New Roman"/>
      <w:b/>
      <w:bCs/>
      <w:caps/>
      <w:color w:val="auto"/>
      <w:kern w:val="0"/>
      <w:sz w:val="24"/>
      <w:szCs w:val="28"/>
    </w:rPr>
  </w:style>
  <w:style w:type="paragraph" w:customStyle="1" w:styleId="Appendix-Heading">
    <w:name w:val="Appendix - Heading"/>
    <w:basedOn w:val="Heading7"/>
    <w:next w:val="Normal"/>
    <w:link w:val="Appendix-HeadingChar"/>
    <w:uiPriority w:val="99"/>
    <w:qFormat/>
    <w:rsid w:val="00620770"/>
    <w:pPr>
      <w:numPr>
        <w:numId w:val="28"/>
      </w:numPr>
      <w:ind w:left="0" w:firstLine="0"/>
    </w:pPr>
    <w:rPr>
      <w:color w:val="081E3E" w:themeColor="text2"/>
      <w:kern w:val="12"/>
    </w:rPr>
  </w:style>
  <w:style w:type="numbering" w:customStyle="1" w:styleId="Appendices">
    <w:name w:val="Appendices"/>
    <w:uiPriority w:val="99"/>
    <w:rsid w:val="00620770"/>
    <w:pPr>
      <w:numPr>
        <w:numId w:val="27"/>
      </w:numPr>
    </w:pPr>
  </w:style>
  <w:style w:type="table" w:customStyle="1" w:styleId="LightShading-Accent61">
    <w:name w:val="Light Shading - Accent 61"/>
    <w:basedOn w:val="TableNormal"/>
    <w:next w:val="LightShading-Accent6"/>
    <w:uiPriority w:val="60"/>
    <w:rsid w:val="00620770"/>
    <w:pPr>
      <w:spacing w:before="0" w:after="0"/>
    </w:pPr>
    <w:rPr>
      <w:rFonts w:ascii="Times New Roman" w:eastAsia="Times New Roman" w:hAnsi="Times New Roman" w:cs="Times New Roman"/>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PlainTable21">
    <w:name w:val="Plain Table 21"/>
    <w:basedOn w:val="TableNormal"/>
    <w:uiPriority w:val="42"/>
    <w:rsid w:val="00620770"/>
    <w:pPr>
      <w:spacing w:before="0" w:after="0"/>
    </w:pPr>
    <w:rPr>
      <w:color w:val="auto"/>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lauseheading">
    <w:name w:val="Clause heading"/>
    <w:basedOn w:val="Heading1"/>
    <w:next w:val="Normal"/>
    <w:uiPriority w:val="99"/>
    <w:rsid w:val="00620770"/>
    <w:pPr>
      <w:keepLines w:val="0"/>
      <w:tabs>
        <w:tab w:val="num" w:pos="1418"/>
      </w:tabs>
      <w:suppressAutoHyphens w:val="0"/>
      <w:spacing w:before="240" w:after="120"/>
      <w:ind w:left="1418" w:hanging="1418"/>
      <w:contextualSpacing w:val="0"/>
    </w:pPr>
    <w:rPr>
      <w:rFonts w:ascii="Times New Roman" w:eastAsia="Times New Roman" w:hAnsi="Times New Roman" w:cs="Arial"/>
      <w:b/>
      <w:bCs/>
      <w:caps/>
      <w:color w:val="auto"/>
      <w:kern w:val="32"/>
      <w:sz w:val="24"/>
      <w:lang w:eastAsia="en-AU"/>
    </w:rPr>
  </w:style>
  <w:style w:type="paragraph" w:customStyle="1" w:styleId="msonormal0">
    <w:name w:val="msonormal"/>
    <w:basedOn w:val="Normal"/>
    <w:rsid w:val="00620770"/>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font5">
    <w:name w:val="font5"/>
    <w:basedOn w:val="Normal"/>
    <w:uiPriority w:val="99"/>
    <w:rsid w:val="00620770"/>
    <w:pPr>
      <w:suppressAutoHyphens w:val="0"/>
      <w:spacing w:before="100" w:beforeAutospacing="1" w:after="100" w:afterAutospacing="1"/>
    </w:pPr>
    <w:rPr>
      <w:rFonts w:ascii="Tahoma" w:eastAsia="Times New Roman" w:hAnsi="Tahoma" w:cs="Tahoma"/>
      <w:color w:val="000000"/>
      <w:kern w:val="0"/>
      <w:sz w:val="18"/>
      <w:szCs w:val="18"/>
      <w:lang w:eastAsia="en-AU"/>
    </w:rPr>
  </w:style>
  <w:style w:type="paragraph" w:customStyle="1" w:styleId="font6">
    <w:name w:val="font6"/>
    <w:basedOn w:val="Normal"/>
    <w:uiPriority w:val="99"/>
    <w:rsid w:val="00620770"/>
    <w:pPr>
      <w:suppressAutoHyphens w:val="0"/>
      <w:spacing w:before="100" w:beforeAutospacing="1" w:after="100" w:afterAutospacing="1"/>
    </w:pPr>
    <w:rPr>
      <w:rFonts w:ascii="Tahoma" w:eastAsia="Times New Roman" w:hAnsi="Tahoma" w:cs="Tahoma"/>
      <w:b/>
      <w:bCs/>
      <w:color w:val="000000"/>
      <w:kern w:val="0"/>
      <w:sz w:val="18"/>
      <w:szCs w:val="18"/>
      <w:lang w:eastAsia="en-AU"/>
    </w:rPr>
  </w:style>
  <w:style w:type="paragraph" w:customStyle="1" w:styleId="xl183">
    <w:name w:val="xl183"/>
    <w:basedOn w:val="Normal"/>
    <w:rsid w:val="00620770"/>
    <w:pPr>
      <w:pBdr>
        <w:top w:val="single" w:sz="8" w:space="0" w:color="auto"/>
        <w:left w:val="single" w:sz="8" w:space="0" w:color="auto"/>
        <w:bottom w:val="single" w:sz="4" w:space="0" w:color="auto"/>
      </w:pBd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xl184">
    <w:name w:val="xl184"/>
    <w:basedOn w:val="Normal"/>
    <w:rsid w:val="00620770"/>
    <w:pP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85">
    <w:name w:val="xl185"/>
    <w:basedOn w:val="Normal"/>
    <w:rsid w:val="00620770"/>
    <w:pPr>
      <w:pBdr>
        <w:righ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86">
    <w:name w:val="xl186"/>
    <w:basedOn w:val="Normal"/>
    <w:rsid w:val="00620770"/>
    <w:pPr>
      <w:pBdr>
        <w:lef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87">
    <w:name w:val="xl187"/>
    <w:basedOn w:val="Normal"/>
    <w:rsid w:val="00620770"/>
    <w:pP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88">
    <w:name w:val="xl188"/>
    <w:basedOn w:val="Normal"/>
    <w:rsid w:val="00620770"/>
    <w:pPr>
      <w:pBdr>
        <w:left w:val="single" w:sz="8" w:space="0" w:color="auto"/>
        <w:righ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89">
    <w:name w:val="xl189"/>
    <w:basedOn w:val="Normal"/>
    <w:rsid w:val="00620770"/>
    <w:pPr>
      <w:pBdr>
        <w:left w:val="single" w:sz="8" w:space="0" w:color="auto"/>
        <w:right w:val="single" w:sz="4" w:space="0" w:color="auto"/>
      </w:pBdr>
      <w:suppressAutoHyphens w:val="0"/>
      <w:spacing w:before="100" w:beforeAutospacing="1" w:after="100" w:afterAutospacing="1"/>
      <w:jc w:val="right"/>
    </w:pPr>
    <w:rPr>
      <w:rFonts w:ascii="Arial" w:eastAsia="Times New Roman" w:hAnsi="Arial" w:cs="Arial"/>
      <w:color w:val="auto"/>
      <w:kern w:val="0"/>
      <w:lang w:eastAsia="en-AU"/>
    </w:rPr>
  </w:style>
  <w:style w:type="paragraph" w:customStyle="1" w:styleId="xl190">
    <w:name w:val="xl190"/>
    <w:basedOn w:val="Normal"/>
    <w:rsid w:val="00620770"/>
    <w:pPr>
      <w:pBdr>
        <w:left w:val="single" w:sz="8" w:space="0" w:color="auto"/>
        <w:bottom w:val="single" w:sz="8" w:space="0" w:color="auto"/>
        <w:righ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1">
    <w:name w:val="xl191"/>
    <w:basedOn w:val="Normal"/>
    <w:rsid w:val="00620770"/>
    <w:pPr>
      <w:pBdr>
        <w:lef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2">
    <w:name w:val="xl192"/>
    <w:basedOn w:val="Normal"/>
    <w:rsid w:val="00620770"/>
    <w:pPr>
      <w:pBdr>
        <w:lef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93">
    <w:name w:val="xl193"/>
    <w:basedOn w:val="Normal"/>
    <w:rsid w:val="00620770"/>
    <w:pPr>
      <w:pBdr>
        <w:righ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4">
    <w:name w:val="xl194"/>
    <w:basedOn w:val="Normal"/>
    <w:rsid w:val="00620770"/>
    <w:pP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95">
    <w:name w:val="xl195"/>
    <w:basedOn w:val="Normal"/>
    <w:rsid w:val="00620770"/>
    <w:pPr>
      <w:pBdr>
        <w:righ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96">
    <w:name w:val="xl196"/>
    <w:basedOn w:val="Normal"/>
    <w:rsid w:val="00620770"/>
    <w:pPr>
      <w:pBdr>
        <w:right w:val="single" w:sz="8"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7">
    <w:name w:val="xl197"/>
    <w:basedOn w:val="Normal"/>
    <w:uiPriority w:val="99"/>
    <w:rsid w:val="00620770"/>
    <w:pPr>
      <w:pBdr>
        <w:top w:val="single" w:sz="4" w:space="0" w:color="auto"/>
        <w:left w:val="single" w:sz="4" w:space="0" w:color="auto"/>
        <w:bottom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198">
    <w:name w:val="xl198"/>
    <w:basedOn w:val="Normal"/>
    <w:uiPriority w:val="99"/>
    <w:rsid w:val="00620770"/>
    <w:pPr>
      <w:pBdr>
        <w:top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199">
    <w:name w:val="xl199"/>
    <w:basedOn w:val="Normal"/>
    <w:uiPriority w:val="99"/>
    <w:rsid w:val="0062077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200">
    <w:name w:val="xl200"/>
    <w:basedOn w:val="Normal"/>
    <w:uiPriority w:val="99"/>
    <w:rsid w:val="00620770"/>
    <w:pPr>
      <w:pBdr>
        <w:top w:val="single" w:sz="4" w:space="0" w:color="auto"/>
        <w:bottom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201">
    <w:name w:val="xl201"/>
    <w:basedOn w:val="Normal"/>
    <w:uiPriority w:val="99"/>
    <w:rsid w:val="00620770"/>
    <w:pPr>
      <w:pBdr>
        <w:left w:val="single" w:sz="4" w:space="0" w:color="auto"/>
      </w:pBdr>
      <w:suppressAutoHyphens w:val="0"/>
      <w:spacing w:before="100" w:beforeAutospacing="1" w:after="100" w:afterAutospacing="1"/>
    </w:pPr>
    <w:rPr>
      <w:rFonts w:ascii="Arial" w:eastAsia="Times New Roman" w:hAnsi="Arial" w:cs="Arial"/>
      <w:i/>
      <w:iCs/>
      <w:color w:val="auto"/>
      <w:kern w:val="0"/>
      <w:lang w:eastAsia="en-AU"/>
    </w:rPr>
  </w:style>
  <w:style w:type="paragraph" w:customStyle="1" w:styleId="xl202">
    <w:name w:val="xl202"/>
    <w:basedOn w:val="Normal"/>
    <w:uiPriority w:val="99"/>
    <w:rsid w:val="00620770"/>
    <w:pP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3">
    <w:name w:val="xl203"/>
    <w:basedOn w:val="Normal"/>
    <w:uiPriority w:val="99"/>
    <w:rsid w:val="00620770"/>
    <w:pPr>
      <w:pBdr>
        <w:right w:val="single" w:sz="4" w:space="0" w:color="auto"/>
      </w:pBdr>
      <w:suppressAutoHyphens w:val="0"/>
      <w:spacing w:before="100" w:beforeAutospacing="1" w:after="100" w:afterAutospacing="1"/>
      <w:jc w:val="right"/>
    </w:pPr>
    <w:rPr>
      <w:rFonts w:ascii="Arial" w:eastAsia="Times New Roman" w:hAnsi="Arial" w:cs="Arial"/>
      <w:color w:val="1F497D"/>
      <w:kern w:val="0"/>
      <w:lang w:eastAsia="en-AU"/>
    </w:rPr>
  </w:style>
  <w:style w:type="paragraph" w:customStyle="1" w:styleId="xl204">
    <w:name w:val="xl204"/>
    <w:basedOn w:val="Normal"/>
    <w:uiPriority w:val="99"/>
    <w:rsid w:val="00620770"/>
    <w:pPr>
      <w:pBdr>
        <w:left w:val="single" w:sz="4"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5">
    <w:name w:val="xl205"/>
    <w:basedOn w:val="Normal"/>
    <w:uiPriority w:val="99"/>
    <w:rsid w:val="00620770"/>
    <w:pPr>
      <w:pBdr>
        <w:left w:val="single" w:sz="4" w:space="0" w:color="auto"/>
        <w:bottom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6">
    <w:name w:val="xl206"/>
    <w:basedOn w:val="Normal"/>
    <w:uiPriority w:val="99"/>
    <w:rsid w:val="00620770"/>
    <w:pPr>
      <w:pBdr>
        <w:bottom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7">
    <w:name w:val="xl207"/>
    <w:basedOn w:val="Normal"/>
    <w:uiPriority w:val="99"/>
    <w:rsid w:val="00620770"/>
    <w:pPr>
      <w:pBdr>
        <w:bottom w:val="single" w:sz="8" w:space="0" w:color="auto"/>
        <w:right w:val="single" w:sz="4" w:space="0" w:color="auto"/>
      </w:pBdr>
      <w:suppressAutoHyphens w:val="0"/>
      <w:spacing w:before="100" w:beforeAutospacing="1" w:after="100" w:afterAutospacing="1"/>
      <w:jc w:val="right"/>
    </w:pPr>
    <w:rPr>
      <w:rFonts w:ascii="Arial" w:eastAsia="Times New Roman" w:hAnsi="Arial" w:cs="Arial"/>
      <w:color w:val="1F497D"/>
      <w:kern w:val="0"/>
      <w:lang w:eastAsia="en-AU"/>
    </w:rPr>
  </w:style>
  <w:style w:type="paragraph" w:customStyle="1" w:styleId="xl208">
    <w:name w:val="xl208"/>
    <w:basedOn w:val="Normal"/>
    <w:uiPriority w:val="99"/>
    <w:rsid w:val="00620770"/>
    <w:pPr>
      <w:pBdr>
        <w:right w:val="single" w:sz="4"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9">
    <w:name w:val="xl209"/>
    <w:basedOn w:val="Normal"/>
    <w:uiPriority w:val="99"/>
    <w:rsid w:val="00620770"/>
    <w:pPr>
      <w:pBdr>
        <w:bottom w:val="single" w:sz="8" w:space="0" w:color="auto"/>
        <w:right w:val="single" w:sz="4"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10">
    <w:name w:val="xl210"/>
    <w:basedOn w:val="Normal"/>
    <w:uiPriority w:val="99"/>
    <w:rsid w:val="00620770"/>
    <w:pPr>
      <w:suppressAutoHyphens w:val="0"/>
      <w:spacing w:before="100" w:beforeAutospacing="1" w:after="100" w:afterAutospacing="1"/>
    </w:pPr>
    <w:rPr>
      <w:rFonts w:ascii="Times New Roman" w:eastAsia="Times New Roman" w:hAnsi="Times New Roman" w:cs="Times New Roman"/>
      <w:color w:val="1F497D"/>
      <w:kern w:val="0"/>
      <w:sz w:val="24"/>
      <w:szCs w:val="24"/>
      <w:lang w:eastAsia="en-AU"/>
    </w:rPr>
  </w:style>
  <w:style w:type="paragraph" w:customStyle="1" w:styleId="xl211">
    <w:name w:val="xl211"/>
    <w:basedOn w:val="Normal"/>
    <w:uiPriority w:val="99"/>
    <w:rsid w:val="00620770"/>
    <w:pPr>
      <w:pBdr>
        <w:right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12">
    <w:name w:val="xl212"/>
    <w:basedOn w:val="Normal"/>
    <w:uiPriority w:val="99"/>
    <w:rsid w:val="00620770"/>
    <w:pPr>
      <w:pBdr>
        <w:bottom w:val="single" w:sz="8" w:space="0" w:color="auto"/>
        <w:right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13">
    <w:name w:val="xl213"/>
    <w:basedOn w:val="Normal"/>
    <w:uiPriority w:val="99"/>
    <w:rsid w:val="00620770"/>
    <w:pPr>
      <w:pBdr>
        <w:top w:val="single" w:sz="4" w:space="0" w:color="auto"/>
        <w:bottom w:val="single" w:sz="4" w:space="0" w:color="auto"/>
        <w:right w:val="single" w:sz="8"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214">
    <w:name w:val="xl214"/>
    <w:basedOn w:val="Normal"/>
    <w:uiPriority w:val="99"/>
    <w:rsid w:val="00620770"/>
    <w:pPr>
      <w:pBdr>
        <w:top w:val="single" w:sz="8" w:space="0" w:color="auto"/>
        <w:bottom w:val="single" w:sz="4"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paragraph" w:customStyle="1" w:styleId="xl215">
    <w:name w:val="xl215"/>
    <w:basedOn w:val="Normal"/>
    <w:uiPriority w:val="99"/>
    <w:rsid w:val="00620770"/>
    <w:pPr>
      <w:pBdr>
        <w:top w:val="single" w:sz="8" w:space="0" w:color="auto"/>
        <w:bottom w:val="single" w:sz="4" w:space="0" w:color="auto"/>
        <w:right w:val="single" w:sz="8"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paragraph" w:customStyle="1" w:styleId="xl216">
    <w:name w:val="xl216"/>
    <w:basedOn w:val="Normal"/>
    <w:uiPriority w:val="99"/>
    <w:rsid w:val="00620770"/>
    <w:pPr>
      <w:pBdr>
        <w:top w:val="single" w:sz="8" w:space="0" w:color="auto"/>
        <w:left w:val="single" w:sz="4" w:space="0" w:color="auto"/>
        <w:bottom w:val="single" w:sz="4"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paragraph" w:customStyle="1" w:styleId="xl217">
    <w:name w:val="xl217"/>
    <w:basedOn w:val="Normal"/>
    <w:uiPriority w:val="99"/>
    <w:rsid w:val="00620770"/>
    <w:pPr>
      <w:pBdr>
        <w:top w:val="single" w:sz="8"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table" w:customStyle="1" w:styleId="PlainTable211">
    <w:name w:val="Plain Table 211"/>
    <w:basedOn w:val="TableNormal"/>
    <w:uiPriority w:val="42"/>
    <w:rsid w:val="00620770"/>
    <w:pPr>
      <w:spacing w:before="0" w:after="0"/>
    </w:pPr>
    <w:rPr>
      <w:color w:val="auto"/>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ppendix11-20Heading">
    <w:name w:val="Appendix 11-20 Heading"/>
    <w:basedOn w:val="Appendix-Heading"/>
    <w:link w:val="Appendix11-20HeadingChar"/>
    <w:rsid w:val="00620770"/>
  </w:style>
  <w:style w:type="character" w:customStyle="1" w:styleId="Appendix-HeadingChar">
    <w:name w:val="Appendix - Heading Char"/>
    <w:basedOn w:val="Heading1Char"/>
    <w:link w:val="Appendix-Heading"/>
    <w:uiPriority w:val="99"/>
    <w:rsid w:val="00620770"/>
    <w:rPr>
      <w:rFonts w:ascii="Cambria" w:eastAsia="Times New Roman" w:hAnsi="Cambria" w:cs="Times New Roman"/>
      <w:b/>
      <w:bCs/>
      <w:caps/>
      <w:color w:val="081E3E" w:themeColor="text2"/>
      <w:kern w:val="12"/>
      <w:sz w:val="24"/>
      <w:szCs w:val="28"/>
    </w:rPr>
  </w:style>
  <w:style w:type="character" w:customStyle="1" w:styleId="Appendix11-20HeadingChar">
    <w:name w:val="Appendix 11-20 Heading Char"/>
    <w:basedOn w:val="Appendix-HeadingChar"/>
    <w:link w:val="Appendix11-20Heading"/>
    <w:rsid w:val="00620770"/>
    <w:rPr>
      <w:rFonts w:ascii="Cambria" w:eastAsia="Times New Roman" w:hAnsi="Cambria" w:cs="Times New Roman"/>
      <w:b/>
      <w:bCs/>
      <w:caps/>
      <w:color w:val="081E3E" w:themeColor="text2"/>
      <w:kern w:val="12"/>
      <w:sz w:val="24"/>
      <w:szCs w:val="28"/>
    </w:rPr>
  </w:style>
  <w:style w:type="paragraph" w:styleId="NoteHeading">
    <w:name w:val="Note Heading"/>
    <w:basedOn w:val="Normal"/>
    <w:next w:val="Normal"/>
    <w:link w:val="NoteHeadingChar"/>
    <w:uiPriority w:val="99"/>
    <w:unhideWhenUsed/>
    <w:rsid w:val="00620770"/>
    <w:pPr>
      <w:tabs>
        <w:tab w:val="left" w:pos="720"/>
        <w:tab w:val="left" w:pos="851"/>
      </w:tabs>
      <w:suppressAutoHyphens w:val="0"/>
      <w:spacing w:before="0" w:after="0"/>
    </w:pPr>
    <w:rPr>
      <w:rFonts w:ascii="Times New Roman" w:eastAsia="Calibri" w:hAnsi="Times New Roman" w:cs="Times New Roman"/>
      <w:color w:val="auto"/>
      <w:kern w:val="0"/>
      <w:sz w:val="24"/>
      <w:szCs w:val="22"/>
    </w:rPr>
  </w:style>
  <w:style w:type="character" w:customStyle="1" w:styleId="NoteHeadingChar">
    <w:name w:val="Note Heading Char"/>
    <w:basedOn w:val="DefaultParagraphFont"/>
    <w:link w:val="NoteHeading"/>
    <w:uiPriority w:val="99"/>
    <w:rsid w:val="00620770"/>
    <w:rPr>
      <w:rFonts w:ascii="Times New Roman" w:eastAsia="Calibri" w:hAnsi="Times New Roman" w:cs="Times New Roman"/>
      <w:color w:val="auto"/>
      <w:sz w:val="24"/>
      <w:szCs w:val="22"/>
    </w:rPr>
  </w:style>
  <w:style w:type="paragraph" w:styleId="BodyTextIndent">
    <w:name w:val="Body Text Indent"/>
    <w:basedOn w:val="Normal"/>
    <w:link w:val="BodyTextIndentChar"/>
    <w:uiPriority w:val="99"/>
    <w:unhideWhenUsed/>
    <w:rsid w:val="00620770"/>
    <w:pPr>
      <w:tabs>
        <w:tab w:val="left" w:pos="720"/>
        <w:tab w:val="left" w:pos="851"/>
      </w:tabs>
      <w:suppressAutoHyphens w:val="0"/>
      <w:spacing w:before="240" w:after="120" w:line="264" w:lineRule="auto"/>
      <w:ind w:left="283"/>
    </w:pPr>
    <w:rPr>
      <w:rFonts w:ascii="Times New Roman" w:eastAsia="Calibri" w:hAnsi="Times New Roman" w:cs="Times New Roman"/>
      <w:color w:val="auto"/>
      <w:kern w:val="0"/>
      <w:sz w:val="24"/>
      <w:szCs w:val="22"/>
    </w:rPr>
  </w:style>
  <w:style w:type="character" w:customStyle="1" w:styleId="BodyTextIndentChar">
    <w:name w:val="Body Text Indent Char"/>
    <w:basedOn w:val="DefaultParagraphFont"/>
    <w:link w:val="BodyTextIndent"/>
    <w:uiPriority w:val="99"/>
    <w:rsid w:val="00620770"/>
    <w:rPr>
      <w:rFonts w:ascii="Times New Roman" w:eastAsia="Calibri" w:hAnsi="Times New Roman" w:cs="Times New Roman"/>
      <w:color w:val="auto"/>
      <w:sz w:val="24"/>
      <w:szCs w:val="22"/>
    </w:rPr>
  </w:style>
  <w:style w:type="numbering" w:customStyle="1" w:styleId="NoList3">
    <w:name w:val="No List3"/>
    <w:next w:val="NoList"/>
    <w:uiPriority w:val="99"/>
    <w:semiHidden/>
    <w:unhideWhenUsed/>
    <w:rsid w:val="00620770"/>
  </w:style>
  <w:style w:type="table" w:customStyle="1" w:styleId="TableGrid4">
    <w:name w:val="Table Grid4"/>
    <w:basedOn w:val="TableNormal"/>
    <w:next w:val="TableGrid"/>
    <w:uiPriority w:val="5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rPr>
  </w:style>
  <w:style w:type="paragraph" w:customStyle="1" w:styleId="BlockText1">
    <w:name w:val="Block Text1"/>
    <w:basedOn w:val="Normal"/>
    <w:next w:val="BlockText"/>
    <w:uiPriority w:val="99"/>
    <w:semiHidden/>
    <w:unhideWhenUsed/>
    <w:rsid w:val="00620770"/>
    <w:pPr>
      <w:pBdr>
        <w:top w:val="single" w:sz="2" w:space="10" w:color="4F81BD" w:shadow="1" w:frame="1"/>
        <w:left w:val="single" w:sz="2" w:space="10" w:color="4F81BD" w:shadow="1" w:frame="1"/>
        <w:bottom w:val="single" w:sz="2" w:space="10" w:color="4F81BD" w:shadow="1" w:frame="1"/>
        <w:right w:val="single" w:sz="2" w:space="10" w:color="4F81BD" w:shadow="1" w:frame="1"/>
      </w:pBdr>
      <w:tabs>
        <w:tab w:val="left" w:pos="720"/>
        <w:tab w:val="left" w:pos="851"/>
      </w:tabs>
      <w:suppressAutoHyphens w:val="0"/>
      <w:spacing w:before="240" w:after="240" w:line="264" w:lineRule="auto"/>
      <w:ind w:left="1152" w:right="1152"/>
    </w:pPr>
    <w:rPr>
      <w:rFonts w:eastAsia="Times New Roman"/>
      <w:i/>
      <w:iCs/>
      <w:color w:val="4F81BD"/>
      <w:kern w:val="0"/>
      <w:sz w:val="24"/>
      <w:szCs w:val="22"/>
    </w:rPr>
  </w:style>
  <w:style w:type="paragraph" w:styleId="BodyText2">
    <w:name w:val="Body Text 2"/>
    <w:basedOn w:val="Normal"/>
    <w:link w:val="BodyText2Char"/>
    <w:uiPriority w:val="99"/>
    <w:semiHidden/>
    <w:unhideWhenUsed/>
    <w:rsid w:val="00620770"/>
    <w:pPr>
      <w:tabs>
        <w:tab w:val="left" w:pos="720"/>
        <w:tab w:val="left" w:pos="851"/>
      </w:tabs>
      <w:suppressAutoHyphens w:val="0"/>
      <w:spacing w:before="240" w:after="120" w:line="480" w:lineRule="auto"/>
    </w:pPr>
    <w:rPr>
      <w:rFonts w:ascii="Times New Roman" w:eastAsia="Calibri" w:hAnsi="Times New Roman" w:cs="Times New Roman"/>
      <w:color w:val="auto"/>
      <w:kern w:val="0"/>
      <w:sz w:val="24"/>
      <w:szCs w:val="22"/>
    </w:rPr>
  </w:style>
  <w:style w:type="character" w:customStyle="1" w:styleId="BodyText2Char">
    <w:name w:val="Body Text 2 Char"/>
    <w:basedOn w:val="DefaultParagraphFont"/>
    <w:link w:val="BodyText2"/>
    <w:uiPriority w:val="99"/>
    <w:semiHidden/>
    <w:rsid w:val="00620770"/>
    <w:rPr>
      <w:rFonts w:ascii="Times New Roman" w:eastAsia="Calibri" w:hAnsi="Times New Roman" w:cs="Times New Roman"/>
      <w:color w:val="auto"/>
      <w:sz w:val="24"/>
      <w:szCs w:val="22"/>
    </w:rPr>
  </w:style>
  <w:style w:type="paragraph" w:styleId="BodyText3">
    <w:name w:val="Body Text 3"/>
    <w:basedOn w:val="Normal"/>
    <w:link w:val="BodyText3Char"/>
    <w:uiPriority w:val="99"/>
    <w:semiHidden/>
    <w:unhideWhenUsed/>
    <w:rsid w:val="00620770"/>
    <w:pPr>
      <w:tabs>
        <w:tab w:val="left" w:pos="720"/>
        <w:tab w:val="left" w:pos="851"/>
      </w:tabs>
      <w:suppressAutoHyphens w:val="0"/>
      <w:spacing w:before="240" w:after="120" w:line="264" w:lineRule="auto"/>
    </w:pPr>
    <w:rPr>
      <w:rFonts w:ascii="Times New Roman" w:eastAsia="Calibri" w:hAnsi="Times New Roman" w:cs="Times New Roman"/>
      <w:color w:val="auto"/>
      <w:kern w:val="0"/>
      <w:sz w:val="16"/>
      <w:szCs w:val="16"/>
    </w:rPr>
  </w:style>
  <w:style w:type="character" w:customStyle="1" w:styleId="BodyText3Char">
    <w:name w:val="Body Text 3 Char"/>
    <w:basedOn w:val="DefaultParagraphFont"/>
    <w:link w:val="BodyText3"/>
    <w:uiPriority w:val="99"/>
    <w:semiHidden/>
    <w:rsid w:val="00620770"/>
    <w:rPr>
      <w:rFonts w:ascii="Times New Roman" w:eastAsia="Calibri" w:hAnsi="Times New Roman" w:cs="Times New Roman"/>
      <w:color w:val="auto"/>
      <w:sz w:val="16"/>
      <w:szCs w:val="16"/>
    </w:rPr>
  </w:style>
  <w:style w:type="paragraph" w:styleId="BodyTextFirstIndent">
    <w:name w:val="Body Text First Indent"/>
    <w:basedOn w:val="BodyText"/>
    <w:link w:val="BodyTextFirstIndentChar"/>
    <w:uiPriority w:val="99"/>
    <w:semiHidden/>
    <w:unhideWhenUsed/>
    <w:rsid w:val="00620770"/>
    <w:pPr>
      <w:spacing w:before="240" w:after="240" w:line="264" w:lineRule="auto"/>
      <w:ind w:firstLine="360"/>
    </w:pPr>
    <w:rPr>
      <w:rFonts w:eastAsia="Calibri"/>
      <w:szCs w:val="22"/>
      <w:lang w:eastAsia="en-US"/>
    </w:rPr>
  </w:style>
  <w:style w:type="character" w:customStyle="1" w:styleId="BodyTextFirstIndentChar">
    <w:name w:val="Body Text First Indent Char"/>
    <w:basedOn w:val="BodyTextChar"/>
    <w:link w:val="BodyTextFirstIndent"/>
    <w:uiPriority w:val="99"/>
    <w:semiHidden/>
    <w:rsid w:val="00620770"/>
    <w:rPr>
      <w:rFonts w:ascii="Times New Roman" w:eastAsia="Calibri" w:hAnsi="Times New Roman" w:cs="Times New Roman"/>
      <w:color w:val="auto"/>
      <w:sz w:val="24"/>
      <w:szCs w:val="22"/>
      <w:lang w:eastAsia="en-AU"/>
    </w:rPr>
  </w:style>
  <w:style w:type="paragraph" w:styleId="BodyTextFirstIndent2">
    <w:name w:val="Body Text First Indent 2"/>
    <w:basedOn w:val="BodyTextIndent"/>
    <w:link w:val="BodyTextFirstIndent2Char"/>
    <w:uiPriority w:val="99"/>
    <w:semiHidden/>
    <w:unhideWhenUsed/>
    <w:rsid w:val="00620770"/>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20770"/>
    <w:rPr>
      <w:rFonts w:ascii="Times New Roman" w:eastAsia="Calibri" w:hAnsi="Times New Roman" w:cs="Times New Roman"/>
      <w:color w:val="auto"/>
      <w:sz w:val="24"/>
      <w:szCs w:val="22"/>
    </w:rPr>
  </w:style>
  <w:style w:type="paragraph" w:styleId="BodyTextIndent2">
    <w:name w:val="Body Text Indent 2"/>
    <w:basedOn w:val="Normal"/>
    <w:link w:val="BodyTextIndent2Char"/>
    <w:uiPriority w:val="99"/>
    <w:semiHidden/>
    <w:unhideWhenUsed/>
    <w:rsid w:val="00620770"/>
    <w:pPr>
      <w:tabs>
        <w:tab w:val="left" w:pos="720"/>
        <w:tab w:val="left" w:pos="851"/>
      </w:tabs>
      <w:suppressAutoHyphens w:val="0"/>
      <w:spacing w:before="240" w:after="120" w:line="480" w:lineRule="auto"/>
      <w:ind w:left="283"/>
    </w:pPr>
    <w:rPr>
      <w:rFonts w:ascii="Times New Roman" w:eastAsia="Calibri" w:hAnsi="Times New Roman" w:cs="Times New Roman"/>
      <w:color w:val="auto"/>
      <w:kern w:val="0"/>
      <w:sz w:val="24"/>
      <w:szCs w:val="22"/>
    </w:rPr>
  </w:style>
  <w:style w:type="character" w:customStyle="1" w:styleId="BodyTextIndent2Char">
    <w:name w:val="Body Text Indent 2 Char"/>
    <w:basedOn w:val="DefaultParagraphFont"/>
    <w:link w:val="BodyTextIndent2"/>
    <w:uiPriority w:val="99"/>
    <w:semiHidden/>
    <w:rsid w:val="00620770"/>
    <w:rPr>
      <w:rFonts w:ascii="Times New Roman" w:eastAsia="Calibri" w:hAnsi="Times New Roman" w:cs="Times New Roman"/>
      <w:color w:val="auto"/>
      <w:sz w:val="24"/>
      <w:szCs w:val="22"/>
    </w:rPr>
  </w:style>
  <w:style w:type="paragraph" w:styleId="BodyTextIndent3">
    <w:name w:val="Body Text Indent 3"/>
    <w:basedOn w:val="Normal"/>
    <w:link w:val="BodyTextIndent3Char"/>
    <w:uiPriority w:val="99"/>
    <w:semiHidden/>
    <w:unhideWhenUsed/>
    <w:rsid w:val="00620770"/>
    <w:pPr>
      <w:tabs>
        <w:tab w:val="left" w:pos="720"/>
        <w:tab w:val="left" w:pos="851"/>
      </w:tabs>
      <w:suppressAutoHyphens w:val="0"/>
      <w:spacing w:before="240" w:after="120" w:line="264" w:lineRule="auto"/>
      <w:ind w:left="283"/>
    </w:pPr>
    <w:rPr>
      <w:rFonts w:ascii="Times New Roman" w:eastAsia="Calibri" w:hAnsi="Times New Roman" w:cs="Times New Roman"/>
      <w:color w:val="auto"/>
      <w:kern w:val="0"/>
      <w:sz w:val="16"/>
      <w:szCs w:val="16"/>
    </w:rPr>
  </w:style>
  <w:style w:type="character" w:customStyle="1" w:styleId="BodyTextIndent3Char">
    <w:name w:val="Body Text Indent 3 Char"/>
    <w:basedOn w:val="DefaultParagraphFont"/>
    <w:link w:val="BodyTextIndent3"/>
    <w:uiPriority w:val="99"/>
    <w:semiHidden/>
    <w:rsid w:val="00620770"/>
    <w:rPr>
      <w:rFonts w:ascii="Times New Roman" w:eastAsia="Calibri" w:hAnsi="Times New Roman" w:cs="Times New Roman"/>
      <w:color w:val="auto"/>
      <w:sz w:val="16"/>
      <w:szCs w:val="16"/>
    </w:rPr>
  </w:style>
  <w:style w:type="paragraph" w:styleId="Closing">
    <w:name w:val="Closing"/>
    <w:basedOn w:val="Normal"/>
    <w:link w:val="ClosingChar"/>
    <w:uiPriority w:val="99"/>
    <w:semiHidden/>
    <w:unhideWhenUsed/>
    <w:rsid w:val="00620770"/>
    <w:pPr>
      <w:tabs>
        <w:tab w:val="left" w:pos="720"/>
        <w:tab w:val="left" w:pos="851"/>
      </w:tabs>
      <w:suppressAutoHyphens w:val="0"/>
      <w:spacing w:before="0" w:after="0"/>
      <w:ind w:left="4252"/>
    </w:pPr>
    <w:rPr>
      <w:rFonts w:ascii="Times New Roman" w:eastAsia="Calibri" w:hAnsi="Times New Roman" w:cs="Times New Roman"/>
      <w:color w:val="auto"/>
      <w:kern w:val="0"/>
      <w:sz w:val="24"/>
      <w:szCs w:val="22"/>
    </w:rPr>
  </w:style>
  <w:style w:type="character" w:customStyle="1" w:styleId="ClosingChar">
    <w:name w:val="Closing Char"/>
    <w:basedOn w:val="DefaultParagraphFont"/>
    <w:link w:val="Closing"/>
    <w:uiPriority w:val="99"/>
    <w:semiHidden/>
    <w:rsid w:val="00620770"/>
    <w:rPr>
      <w:rFonts w:ascii="Times New Roman" w:eastAsia="Calibri" w:hAnsi="Times New Roman" w:cs="Times New Roman"/>
      <w:color w:val="auto"/>
      <w:sz w:val="24"/>
      <w:szCs w:val="22"/>
    </w:rPr>
  </w:style>
  <w:style w:type="paragraph" w:styleId="Date">
    <w:name w:val="Date"/>
    <w:basedOn w:val="Normal"/>
    <w:next w:val="Normal"/>
    <w:link w:val="DateChar"/>
    <w:uiPriority w:val="99"/>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rPr>
  </w:style>
  <w:style w:type="character" w:customStyle="1" w:styleId="DateChar">
    <w:name w:val="Date Char"/>
    <w:basedOn w:val="DefaultParagraphFont"/>
    <w:link w:val="Date"/>
    <w:uiPriority w:val="99"/>
    <w:semiHidden/>
    <w:rsid w:val="00620770"/>
    <w:rPr>
      <w:rFonts w:ascii="Times New Roman" w:eastAsia="Calibri" w:hAnsi="Times New Roman" w:cs="Times New Roman"/>
      <w:color w:val="auto"/>
      <w:sz w:val="24"/>
      <w:szCs w:val="22"/>
    </w:rPr>
  </w:style>
  <w:style w:type="paragraph" w:styleId="DocumentMap">
    <w:name w:val="Document Map"/>
    <w:basedOn w:val="Normal"/>
    <w:link w:val="DocumentMapChar"/>
    <w:uiPriority w:val="99"/>
    <w:semiHidden/>
    <w:unhideWhenUsed/>
    <w:rsid w:val="00620770"/>
    <w:pPr>
      <w:tabs>
        <w:tab w:val="left" w:pos="720"/>
        <w:tab w:val="left" w:pos="851"/>
      </w:tabs>
      <w:suppressAutoHyphens w:val="0"/>
      <w:spacing w:before="0" w:after="0"/>
    </w:pPr>
    <w:rPr>
      <w:rFonts w:ascii="Segoe UI" w:eastAsia="Calibri" w:hAnsi="Segoe UI" w:cs="Segoe UI"/>
      <w:color w:val="auto"/>
      <w:kern w:val="0"/>
      <w:sz w:val="16"/>
      <w:szCs w:val="16"/>
    </w:rPr>
  </w:style>
  <w:style w:type="character" w:customStyle="1" w:styleId="DocumentMapChar">
    <w:name w:val="Document Map Char"/>
    <w:basedOn w:val="DefaultParagraphFont"/>
    <w:link w:val="DocumentMap"/>
    <w:uiPriority w:val="99"/>
    <w:semiHidden/>
    <w:rsid w:val="00620770"/>
    <w:rPr>
      <w:rFonts w:ascii="Segoe UI" w:eastAsia="Calibri" w:hAnsi="Segoe UI" w:cs="Segoe UI"/>
      <w:color w:val="auto"/>
      <w:sz w:val="16"/>
      <w:szCs w:val="16"/>
    </w:rPr>
  </w:style>
  <w:style w:type="paragraph" w:styleId="E-mailSignature">
    <w:name w:val="E-mail Signature"/>
    <w:basedOn w:val="Normal"/>
    <w:link w:val="E-mailSignatureChar"/>
    <w:uiPriority w:val="99"/>
    <w:semiHidden/>
    <w:unhideWhenUsed/>
    <w:rsid w:val="00620770"/>
    <w:pPr>
      <w:tabs>
        <w:tab w:val="left" w:pos="720"/>
        <w:tab w:val="left" w:pos="851"/>
      </w:tabs>
      <w:suppressAutoHyphens w:val="0"/>
      <w:spacing w:before="0" w:after="0"/>
    </w:pPr>
    <w:rPr>
      <w:rFonts w:ascii="Times New Roman" w:eastAsia="Calibri" w:hAnsi="Times New Roman" w:cs="Times New Roman"/>
      <w:color w:val="auto"/>
      <w:kern w:val="0"/>
      <w:sz w:val="24"/>
      <w:szCs w:val="22"/>
    </w:rPr>
  </w:style>
  <w:style w:type="character" w:customStyle="1" w:styleId="E-mailSignatureChar">
    <w:name w:val="E-mail Signature Char"/>
    <w:basedOn w:val="DefaultParagraphFont"/>
    <w:link w:val="E-mailSignature"/>
    <w:uiPriority w:val="99"/>
    <w:semiHidden/>
    <w:rsid w:val="00620770"/>
    <w:rPr>
      <w:rFonts w:ascii="Times New Roman" w:eastAsia="Calibri" w:hAnsi="Times New Roman" w:cs="Times New Roman"/>
      <w:color w:val="auto"/>
      <w:sz w:val="24"/>
      <w:szCs w:val="22"/>
    </w:rPr>
  </w:style>
  <w:style w:type="paragraph" w:customStyle="1" w:styleId="EnvelopeAddress1">
    <w:name w:val="Envelope Address1"/>
    <w:basedOn w:val="Normal"/>
    <w:next w:val="EnvelopeAddress"/>
    <w:uiPriority w:val="99"/>
    <w:semiHidden/>
    <w:unhideWhenUsed/>
    <w:rsid w:val="00620770"/>
    <w:pPr>
      <w:framePr w:w="7920" w:h="1980" w:hRule="exact" w:hSpace="180" w:wrap="auto" w:hAnchor="page" w:xAlign="center" w:yAlign="bottom"/>
      <w:tabs>
        <w:tab w:val="left" w:pos="720"/>
        <w:tab w:val="left" w:pos="851"/>
      </w:tabs>
      <w:suppressAutoHyphens w:val="0"/>
      <w:spacing w:before="0" w:after="0"/>
      <w:ind w:left="2880"/>
    </w:pPr>
    <w:rPr>
      <w:rFonts w:ascii="Cambria" w:eastAsia="Times New Roman" w:hAnsi="Cambria" w:cs="Times New Roman"/>
      <w:color w:val="auto"/>
      <w:kern w:val="0"/>
      <w:sz w:val="24"/>
      <w:szCs w:val="24"/>
    </w:rPr>
  </w:style>
  <w:style w:type="paragraph" w:customStyle="1" w:styleId="EnvelopeReturn1">
    <w:name w:val="Envelope Return1"/>
    <w:basedOn w:val="Normal"/>
    <w:next w:val="EnvelopeReturn"/>
    <w:uiPriority w:val="99"/>
    <w:semiHidden/>
    <w:unhideWhenUsed/>
    <w:rsid w:val="00620770"/>
    <w:pPr>
      <w:tabs>
        <w:tab w:val="left" w:pos="720"/>
        <w:tab w:val="left" w:pos="851"/>
      </w:tabs>
      <w:suppressAutoHyphens w:val="0"/>
      <w:spacing w:before="0" w:after="0"/>
    </w:pPr>
    <w:rPr>
      <w:rFonts w:ascii="Cambria" w:eastAsia="Times New Roman" w:hAnsi="Cambria" w:cs="Times New Roman"/>
      <w:color w:val="auto"/>
      <w:kern w:val="0"/>
    </w:rPr>
  </w:style>
  <w:style w:type="paragraph" w:styleId="HTMLAddress">
    <w:name w:val="HTML Address"/>
    <w:basedOn w:val="Normal"/>
    <w:link w:val="HTMLAddressChar"/>
    <w:uiPriority w:val="99"/>
    <w:semiHidden/>
    <w:unhideWhenUsed/>
    <w:rsid w:val="00620770"/>
    <w:pPr>
      <w:tabs>
        <w:tab w:val="left" w:pos="720"/>
        <w:tab w:val="left" w:pos="851"/>
      </w:tabs>
      <w:suppressAutoHyphens w:val="0"/>
      <w:spacing w:before="0" w:after="0"/>
    </w:pPr>
    <w:rPr>
      <w:rFonts w:ascii="Times New Roman" w:eastAsia="Calibri" w:hAnsi="Times New Roman" w:cs="Times New Roman"/>
      <w:i/>
      <w:iCs/>
      <w:color w:val="auto"/>
      <w:kern w:val="0"/>
      <w:sz w:val="24"/>
      <w:szCs w:val="22"/>
    </w:rPr>
  </w:style>
  <w:style w:type="character" w:customStyle="1" w:styleId="HTMLAddressChar">
    <w:name w:val="HTML Address Char"/>
    <w:basedOn w:val="DefaultParagraphFont"/>
    <w:link w:val="HTMLAddress"/>
    <w:uiPriority w:val="99"/>
    <w:semiHidden/>
    <w:rsid w:val="00620770"/>
    <w:rPr>
      <w:rFonts w:ascii="Times New Roman" w:eastAsia="Calibri" w:hAnsi="Times New Roman" w:cs="Times New Roman"/>
      <w:i/>
      <w:iCs/>
      <w:color w:val="auto"/>
      <w:sz w:val="24"/>
      <w:szCs w:val="22"/>
    </w:rPr>
  </w:style>
  <w:style w:type="paragraph" w:styleId="HTMLPreformatted">
    <w:name w:val="HTML Preformatted"/>
    <w:basedOn w:val="Normal"/>
    <w:link w:val="HTMLPreformattedChar"/>
    <w:uiPriority w:val="99"/>
    <w:semiHidden/>
    <w:unhideWhenUsed/>
    <w:rsid w:val="00620770"/>
    <w:pPr>
      <w:tabs>
        <w:tab w:val="left" w:pos="720"/>
        <w:tab w:val="left" w:pos="851"/>
      </w:tabs>
      <w:suppressAutoHyphens w:val="0"/>
      <w:spacing w:before="0" w:after="0"/>
    </w:pPr>
    <w:rPr>
      <w:rFonts w:ascii="Consolas" w:eastAsia="Calibri" w:hAnsi="Consolas" w:cs="Times New Roman"/>
      <w:color w:val="auto"/>
      <w:kern w:val="0"/>
    </w:rPr>
  </w:style>
  <w:style w:type="character" w:customStyle="1" w:styleId="HTMLPreformattedChar">
    <w:name w:val="HTML Preformatted Char"/>
    <w:basedOn w:val="DefaultParagraphFont"/>
    <w:link w:val="HTMLPreformatted"/>
    <w:uiPriority w:val="99"/>
    <w:semiHidden/>
    <w:rsid w:val="00620770"/>
    <w:rPr>
      <w:rFonts w:ascii="Consolas" w:eastAsia="Calibri" w:hAnsi="Consolas" w:cs="Times New Roman"/>
      <w:color w:val="auto"/>
    </w:rPr>
  </w:style>
  <w:style w:type="paragraph" w:styleId="Index1">
    <w:name w:val="index 1"/>
    <w:basedOn w:val="Normal"/>
    <w:next w:val="Normal"/>
    <w:autoRedefine/>
    <w:uiPriority w:val="99"/>
    <w:semiHidden/>
    <w:unhideWhenUsed/>
    <w:rsid w:val="00620770"/>
    <w:pPr>
      <w:suppressAutoHyphens w:val="0"/>
      <w:spacing w:before="0" w:after="0"/>
      <w:ind w:left="240" w:hanging="240"/>
    </w:pPr>
    <w:rPr>
      <w:rFonts w:ascii="Times New Roman" w:eastAsia="Calibri" w:hAnsi="Times New Roman" w:cs="Times New Roman"/>
      <w:color w:val="auto"/>
      <w:kern w:val="0"/>
      <w:sz w:val="24"/>
      <w:szCs w:val="22"/>
    </w:rPr>
  </w:style>
  <w:style w:type="paragraph" w:styleId="Index2">
    <w:name w:val="index 2"/>
    <w:basedOn w:val="Normal"/>
    <w:next w:val="Normal"/>
    <w:autoRedefine/>
    <w:uiPriority w:val="99"/>
    <w:semiHidden/>
    <w:unhideWhenUsed/>
    <w:rsid w:val="00620770"/>
    <w:pPr>
      <w:suppressAutoHyphens w:val="0"/>
      <w:spacing w:before="0" w:after="0"/>
      <w:ind w:left="480" w:hanging="240"/>
    </w:pPr>
    <w:rPr>
      <w:rFonts w:ascii="Times New Roman" w:eastAsia="Calibri" w:hAnsi="Times New Roman" w:cs="Times New Roman"/>
      <w:color w:val="auto"/>
      <w:kern w:val="0"/>
      <w:sz w:val="24"/>
      <w:szCs w:val="22"/>
    </w:rPr>
  </w:style>
  <w:style w:type="paragraph" w:styleId="Index3">
    <w:name w:val="index 3"/>
    <w:basedOn w:val="Normal"/>
    <w:next w:val="Normal"/>
    <w:autoRedefine/>
    <w:uiPriority w:val="99"/>
    <w:semiHidden/>
    <w:unhideWhenUsed/>
    <w:rsid w:val="00620770"/>
    <w:pPr>
      <w:suppressAutoHyphens w:val="0"/>
      <w:spacing w:before="0" w:after="0"/>
      <w:ind w:left="720" w:hanging="240"/>
    </w:pPr>
    <w:rPr>
      <w:rFonts w:ascii="Times New Roman" w:eastAsia="Calibri" w:hAnsi="Times New Roman" w:cs="Times New Roman"/>
      <w:color w:val="auto"/>
      <w:kern w:val="0"/>
      <w:sz w:val="24"/>
      <w:szCs w:val="22"/>
    </w:rPr>
  </w:style>
  <w:style w:type="paragraph" w:styleId="Index4">
    <w:name w:val="index 4"/>
    <w:basedOn w:val="Normal"/>
    <w:next w:val="Normal"/>
    <w:autoRedefine/>
    <w:uiPriority w:val="99"/>
    <w:semiHidden/>
    <w:unhideWhenUsed/>
    <w:rsid w:val="00620770"/>
    <w:pPr>
      <w:suppressAutoHyphens w:val="0"/>
      <w:spacing w:before="0" w:after="0"/>
      <w:ind w:left="960" w:hanging="240"/>
    </w:pPr>
    <w:rPr>
      <w:rFonts w:ascii="Times New Roman" w:eastAsia="Calibri" w:hAnsi="Times New Roman" w:cs="Times New Roman"/>
      <w:color w:val="auto"/>
      <w:kern w:val="0"/>
      <w:sz w:val="24"/>
      <w:szCs w:val="22"/>
    </w:rPr>
  </w:style>
  <w:style w:type="paragraph" w:styleId="Index5">
    <w:name w:val="index 5"/>
    <w:basedOn w:val="Normal"/>
    <w:next w:val="Normal"/>
    <w:autoRedefine/>
    <w:uiPriority w:val="99"/>
    <w:semiHidden/>
    <w:unhideWhenUsed/>
    <w:rsid w:val="00620770"/>
    <w:pPr>
      <w:suppressAutoHyphens w:val="0"/>
      <w:spacing w:before="0" w:after="0"/>
      <w:ind w:left="1200" w:hanging="240"/>
    </w:pPr>
    <w:rPr>
      <w:rFonts w:ascii="Times New Roman" w:eastAsia="Calibri" w:hAnsi="Times New Roman" w:cs="Times New Roman"/>
      <w:color w:val="auto"/>
      <w:kern w:val="0"/>
      <w:sz w:val="24"/>
      <w:szCs w:val="22"/>
    </w:rPr>
  </w:style>
  <w:style w:type="paragraph" w:styleId="Index6">
    <w:name w:val="index 6"/>
    <w:basedOn w:val="Normal"/>
    <w:next w:val="Normal"/>
    <w:autoRedefine/>
    <w:uiPriority w:val="99"/>
    <w:semiHidden/>
    <w:unhideWhenUsed/>
    <w:rsid w:val="00620770"/>
    <w:pPr>
      <w:suppressAutoHyphens w:val="0"/>
      <w:spacing w:before="0" w:after="0"/>
      <w:ind w:left="1440" w:hanging="240"/>
    </w:pPr>
    <w:rPr>
      <w:rFonts w:ascii="Times New Roman" w:eastAsia="Calibri" w:hAnsi="Times New Roman" w:cs="Times New Roman"/>
      <w:color w:val="auto"/>
      <w:kern w:val="0"/>
      <w:sz w:val="24"/>
      <w:szCs w:val="22"/>
    </w:rPr>
  </w:style>
  <w:style w:type="paragraph" w:styleId="Index7">
    <w:name w:val="index 7"/>
    <w:basedOn w:val="Normal"/>
    <w:next w:val="Normal"/>
    <w:autoRedefine/>
    <w:uiPriority w:val="99"/>
    <w:semiHidden/>
    <w:unhideWhenUsed/>
    <w:rsid w:val="00620770"/>
    <w:pPr>
      <w:suppressAutoHyphens w:val="0"/>
      <w:spacing w:before="0" w:after="0"/>
      <w:ind w:left="1680" w:hanging="240"/>
    </w:pPr>
    <w:rPr>
      <w:rFonts w:ascii="Times New Roman" w:eastAsia="Calibri" w:hAnsi="Times New Roman" w:cs="Times New Roman"/>
      <w:color w:val="auto"/>
      <w:kern w:val="0"/>
      <w:sz w:val="24"/>
      <w:szCs w:val="22"/>
    </w:rPr>
  </w:style>
  <w:style w:type="paragraph" w:styleId="Index8">
    <w:name w:val="index 8"/>
    <w:basedOn w:val="Normal"/>
    <w:next w:val="Normal"/>
    <w:autoRedefine/>
    <w:uiPriority w:val="99"/>
    <w:semiHidden/>
    <w:unhideWhenUsed/>
    <w:rsid w:val="00620770"/>
    <w:pPr>
      <w:suppressAutoHyphens w:val="0"/>
      <w:spacing w:before="0" w:after="0"/>
      <w:ind w:left="1920" w:hanging="240"/>
    </w:pPr>
    <w:rPr>
      <w:rFonts w:ascii="Times New Roman" w:eastAsia="Calibri" w:hAnsi="Times New Roman" w:cs="Times New Roman"/>
      <w:color w:val="auto"/>
      <w:kern w:val="0"/>
      <w:sz w:val="24"/>
      <w:szCs w:val="22"/>
    </w:rPr>
  </w:style>
  <w:style w:type="paragraph" w:styleId="Index9">
    <w:name w:val="index 9"/>
    <w:basedOn w:val="Normal"/>
    <w:next w:val="Normal"/>
    <w:autoRedefine/>
    <w:uiPriority w:val="99"/>
    <w:semiHidden/>
    <w:unhideWhenUsed/>
    <w:rsid w:val="00620770"/>
    <w:pPr>
      <w:suppressAutoHyphens w:val="0"/>
      <w:spacing w:before="0" w:after="0"/>
      <w:ind w:left="2160" w:hanging="240"/>
    </w:pPr>
    <w:rPr>
      <w:rFonts w:ascii="Times New Roman" w:eastAsia="Calibri" w:hAnsi="Times New Roman" w:cs="Times New Roman"/>
      <w:color w:val="auto"/>
      <w:kern w:val="0"/>
      <w:sz w:val="24"/>
      <w:szCs w:val="22"/>
    </w:rPr>
  </w:style>
  <w:style w:type="paragraph" w:customStyle="1" w:styleId="IndexHeading1">
    <w:name w:val="Index Heading1"/>
    <w:basedOn w:val="Normal"/>
    <w:next w:val="Index1"/>
    <w:uiPriority w:val="99"/>
    <w:semiHidden/>
    <w:unhideWhenUsed/>
    <w:rsid w:val="00620770"/>
    <w:pPr>
      <w:tabs>
        <w:tab w:val="left" w:pos="720"/>
        <w:tab w:val="left" w:pos="851"/>
      </w:tabs>
      <w:suppressAutoHyphens w:val="0"/>
      <w:spacing w:before="240" w:after="240" w:line="264" w:lineRule="auto"/>
    </w:pPr>
    <w:rPr>
      <w:rFonts w:ascii="Cambria" w:eastAsia="Times New Roman" w:hAnsi="Cambria" w:cs="Times New Roman"/>
      <w:b/>
      <w:bCs/>
      <w:color w:val="auto"/>
      <w:kern w:val="0"/>
      <w:sz w:val="24"/>
      <w:szCs w:val="22"/>
    </w:rPr>
  </w:style>
  <w:style w:type="paragraph" w:customStyle="1" w:styleId="IntenseQuote1">
    <w:name w:val="Intense Quote1"/>
    <w:basedOn w:val="Normal"/>
    <w:next w:val="Normal"/>
    <w:uiPriority w:val="30"/>
    <w:qFormat/>
    <w:rsid w:val="00620770"/>
    <w:pPr>
      <w:pBdr>
        <w:top w:val="single" w:sz="4" w:space="10" w:color="4F81BD"/>
        <w:bottom w:val="single" w:sz="4" w:space="10" w:color="4F81BD"/>
      </w:pBdr>
      <w:tabs>
        <w:tab w:val="left" w:pos="720"/>
        <w:tab w:val="left" w:pos="851"/>
      </w:tabs>
      <w:suppressAutoHyphens w:val="0"/>
      <w:spacing w:before="360" w:after="360" w:line="264" w:lineRule="auto"/>
      <w:ind w:left="864" w:right="864"/>
      <w:jc w:val="center"/>
    </w:pPr>
    <w:rPr>
      <w:rFonts w:ascii="Times New Roman" w:eastAsia="Calibri" w:hAnsi="Times New Roman" w:cs="Times New Roman"/>
      <w:i/>
      <w:iCs/>
      <w:color w:val="4F81BD"/>
      <w:kern w:val="0"/>
      <w:sz w:val="24"/>
      <w:szCs w:val="22"/>
    </w:rPr>
  </w:style>
  <w:style w:type="character" w:customStyle="1" w:styleId="IntenseQuoteChar">
    <w:name w:val="Intense Quote Char"/>
    <w:basedOn w:val="DefaultParagraphFont"/>
    <w:link w:val="IntenseQuote"/>
    <w:uiPriority w:val="30"/>
    <w:rsid w:val="00620770"/>
    <w:rPr>
      <w:rFonts w:ascii="Times New Roman" w:eastAsia="Calibri" w:hAnsi="Times New Roman" w:cs="Times New Roman"/>
      <w:i/>
      <w:iCs/>
      <w:color w:val="4F81BD"/>
      <w:sz w:val="24"/>
    </w:rPr>
  </w:style>
  <w:style w:type="paragraph" w:styleId="List">
    <w:name w:val="List"/>
    <w:basedOn w:val="Normal"/>
    <w:uiPriority w:val="99"/>
    <w:semiHidden/>
    <w:unhideWhenUsed/>
    <w:rsid w:val="00620770"/>
    <w:pPr>
      <w:tabs>
        <w:tab w:val="left" w:pos="720"/>
        <w:tab w:val="left" w:pos="851"/>
      </w:tabs>
      <w:suppressAutoHyphens w:val="0"/>
      <w:spacing w:before="240" w:after="240" w:line="264" w:lineRule="auto"/>
      <w:ind w:left="283" w:hanging="283"/>
      <w:contextualSpacing/>
    </w:pPr>
    <w:rPr>
      <w:rFonts w:ascii="Times New Roman" w:eastAsia="Calibri" w:hAnsi="Times New Roman" w:cs="Times New Roman"/>
      <w:color w:val="auto"/>
      <w:kern w:val="0"/>
      <w:sz w:val="24"/>
      <w:szCs w:val="22"/>
    </w:rPr>
  </w:style>
  <w:style w:type="paragraph" w:styleId="List2">
    <w:name w:val="List 2"/>
    <w:basedOn w:val="Normal"/>
    <w:uiPriority w:val="99"/>
    <w:semiHidden/>
    <w:unhideWhenUsed/>
    <w:rsid w:val="00620770"/>
    <w:pPr>
      <w:tabs>
        <w:tab w:val="left" w:pos="720"/>
        <w:tab w:val="left" w:pos="851"/>
      </w:tabs>
      <w:suppressAutoHyphens w:val="0"/>
      <w:spacing w:before="240" w:after="240" w:line="264" w:lineRule="auto"/>
      <w:ind w:left="566" w:hanging="283"/>
      <w:contextualSpacing/>
    </w:pPr>
    <w:rPr>
      <w:rFonts w:ascii="Times New Roman" w:eastAsia="Calibri" w:hAnsi="Times New Roman" w:cs="Times New Roman"/>
      <w:color w:val="auto"/>
      <w:kern w:val="0"/>
      <w:sz w:val="24"/>
      <w:szCs w:val="22"/>
    </w:rPr>
  </w:style>
  <w:style w:type="paragraph" w:styleId="List3">
    <w:name w:val="List 3"/>
    <w:basedOn w:val="Normal"/>
    <w:uiPriority w:val="99"/>
    <w:semiHidden/>
    <w:unhideWhenUsed/>
    <w:rsid w:val="00620770"/>
    <w:pPr>
      <w:tabs>
        <w:tab w:val="left" w:pos="720"/>
        <w:tab w:val="left" w:pos="851"/>
      </w:tabs>
      <w:suppressAutoHyphens w:val="0"/>
      <w:spacing w:before="240" w:after="240" w:line="264" w:lineRule="auto"/>
      <w:ind w:left="849" w:hanging="283"/>
      <w:contextualSpacing/>
    </w:pPr>
    <w:rPr>
      <w:rFonts w:ascii="Times New Roman" w:eastAsia="Calibri" w:hAnsi="Times New Roman" w:cs="Times New Roman"/>
      <w:color w:val="auto"/>
      <w:kern w:val="0"/>
      <w:sz w:val="24"/>
      <w:szCs w:val="22"/>
    </w:rPr>
  </w:style>
  <w:style w:type="paragraph" w:styleId="List4">
    <w:name w:val="List 4"/>
    <w:basedOn w:val="Normal"/>
    <w:uiPriority w:val="99"/>
    <w:semiHidden/>
    <w:unhideWhenUsed/>
    <w:rsid w:val="00620770"/>
    <w:pPr>
      <w:tabs>
        <w:tab w:val="left" w:pos="720"/>
        <w:tab w:val="left" w:pos="851"/>
      </w:tabs>
      <w:suppressAutoHyphens w:val="0"/>
      <w:spacing w:before="240" w:after="240" w:line="264" w:lineRule="auto"/>
      <w:ind w:left="1132" w:hanging="283"/>
      <w:contextualSpacing/>
    </w:pPr>
    <w:rPr>
      <w:rFonts w:ascii="Times New Roman" w:eastAsia="Calibri" w:hAnsi="Times New Roman" w:cs="Times New Roman"/>
      <w:color w:val="auto"/>
      <w:kern w:val="0"/>
      <w:sz w:val="24"/>
      <w:szCs w:val="22"/>
    </w:rPr>
  </w:style>
  <w:style w:type="paragraph" w:styleId="List5">
    <w:name w:val="List 5"/>
    <w:basedOn w:val="Normal"/>
    <w:uiPriority w:val="99"/>
    <w:semiHidden/>
    <w:unhideWhenUsed/>
    <w:rsid w:val="00620770"/>
    <w:pPr>
      <w:tabs>
        <w:tab w:val="left" w:pos="720"/>
        <w:tab w:val="left" w:pos="851"/>
      </w:tabs>
      <w:suppressAutoHyphens w:val="0"/>
      <w:spacing w:before="240" w:after="240" w:line="264" w:lineRule="auto"/>
      <w:ind w:left="1415" w:hanging="283"/>
      <w:contextualSpacing/>
    </w:pPr>
    <w:rPr>
      <w:rFonts w:ascii="Times New Roman" w:eastAsia="Calibri" w:hAnsi="Times New Roman" w:cs="Times New Roman"/>
      <w:color w:val="auto"/>
      <w:kern w:val="0"/>
      <w:sz w:val="24"/>
      <w:szCs w:val="22"/>
    </w:rPr>
  </w:style>
  <w:style w:type="paragraph" w:styleId="ListBullet">
    <w:name w:val="List Bullet"/>
    <w:basedOn w:val="Normal"/>
    <w:uiPriority w:val="99"/>
    <w:semiHidden/>
    <w:unhideWhenUsed/>
    <w:rsid w:val="00620770"/>
    <w:pPr>
      <w:tabs>
        <w:tab w:val="num" w:pos="360"/>
        <w:tab w:val="left" w:pos="720"/>
        <w:tab w:val="left" w:pos="851"/>
      </w:tabs>
      <w:suppressAutoHyphens w:val="0"/>
      <w:spacing w:before="240" w:after="240" w:line="264" w:lineRule="auto"/>
      <w:ind w:left="360" w:hanging="360"/>
      <w:contextualSpacing/>
    </w:pPr>
    <w:rPr>
      <w:rFonts w:ascii="Times New Roman" w:eastAsia="Calibri" w:hAnsi="Times New Roman" w:cs="Times New Roman"/>
      <w:color w:val="auto"/>
      <w:kern w:val="0"/>
      <w:sz w:val="24"/>
      <w:szCs w:val="22"/>
    </w:rPr>
  </w:style>
  <w:style w:type="paragraph" w:styleId="ListBullet2">
    <w:name w:val="List Bullet 2"/>
    <w:basedOn w:val="Normal"/>
    <w:uiPriority w:val="99"/>
    <w:semiHidden/>
    <w:unhideWhenUsed/>
    <w:rsid w:val="00620770"/>
    <w:pPr>
      <w:tabs>
        <w:tab w:val="num" w:pos="643"/>
        <w:tab w:val="left" w:pos="720"/>
        <w:tab w:val="left" w:pos="851"/>
      </w:tabs>
      <w:suppressAutoHyphens w:val="0"/>
      <w:spacing w:before="240" w:after="240" w:line="264" w:lineRule="auto"/>
      <w:ind w:left="643" w:hanging="360"/>
      <w:contextualSpacing/>
    </w:pPr>
    <w:rPr>
      <w:rFonts w:ascii="Times New Roman" w:eastAsia="Calibri" w:hAnsi="Times New Roman" w:cs="Times New Roman"/>
      <w:color w:val="auto"/>
      <w:kern w:val="0"/>
      <w:sz w:val="24"/>
      <w:szCs w:val="22"/>
    </w:rPr>
  </w:style>
  <w:style w:type="paragraph" w:styleId="ListBullet3">
    <w:name w:val="List Bullet 3"/>
    <w:basedOn w:val="Normal"/>
    <w:uiPriority w:val="99"/>
    <w:semiHidden/>
    <w:unhideWhenUsed/>
    <w:rsid w:val="00620770"/>
    <w:pPr>
      <w:tabs>
        <w:tab w:val="left" w:pos="720"/>
        <w:tab w:val="left" w:pos="851"/>
        <w:tab w:val="num" w:pos="926"/>
      </w:tabs>
      <w:suppressAutoHyphens w:val="0"/>
      <w:spacing w:before="240" w:after="240" w:line="264" w:lineRule="auto"/>
      <w:ind w:left="926" w:hanging="360"/>
      <w:contextualSpacing/>
    </w:pPr>
    <w:rPr>
      <w:rFonts w:ascii="Times New Roman" w:eastAsia="Calibri" w:hAnsi="Times New Roman" w:cs="Times New Roman"/>
      <w:color w:val="auto"/>
      <w:kern w:val="0"/>
      <w:sz w:val="24"/>
      <w:szCs w:val="22"/>
    </w:rPr>
  </w:style>
  <w:style w:type="paragraph" w:styleId="ListBullet4">
    <w:name w:val="List Bullet 4"/>
    <w:basedOn w:val="Normal"/>
    <w:uiPriority w:val="99"/>
    <w:semiHidden/>
    <w:unhideWhenUsed/>
    <w:rsid w:val="00620770"/>
    <w:pPr>
      <w:tabs>
        <w:tab w:val="left" w:pos="720"/>
        <w:tab w:val="left" w:pos="851"/>
        <w:tab w:val="num" w:pos="1209"/>
      </w:tabs>
      <w:suppressAutoHyphens w:val="0"/>
      <w:spacing w:before="240" w:after="240" w:line="264" w:lineRule="auto"/>
      <w:ind w:left="1209" w:hanging="360"/>
      <w:contextualSpacing/>
    </w:pPr>
    <w:rPr>
      <w:rFonts w:ascii="Times New Roman" w:eastAsia="Calibri" w:hAnsi="Times New Roman" w:cs="Times New Roman"/>
      <w:color w:val="auto"/>
      <w:kern w:val="0"/>
      <w:sz w:val="24"/>
      <w:szCs w:val="22"/>
    </w:rPr>
  </w:style>
  <w:style w:type="paragraph" w:styleId="ListBullet5">
    <w:name w:val="List Bullet 5"/>
    <w:basedOn w:val="Normal"/>
    <w:uiPriority w:val="99"/>
    <w:semiHidden/>
    <w:unhideWhenUsed/>
    <w:rsid w:val="00620770"/>
    <w:pPr>
      <w:tabs>
        <w:tab w:val="left" w:pos="720"/>
        <w:tab w:val="left" w:pos="851"/>
        <w:tab w:val="num" w:pos="1492"/>
      </w:tabs>
      <w:suppressAutoHyphens w:val="0"/>
      <w:spacing w:before="240" w:after="240" w:line="264" w:lineRule="auto"/>
      <w:ind w:left="1492" w:hanging="360"/>
      <w:contextualSpacing/>
    </w:pPr>
    <w:rPr>
      <w:rFonts w:ascii="Times New Roman" w:eastAsia="Calibri" w:hAnsi="Times New Roman" w:cs="Times New Roman"/>
      <w:color w:val="auto"/>
      <w:kern w:val="0"/>
      <w:sz w:val="24"/>
      <w:szCs w:val="22"/>
    </w:rPr>
  </w:style>
  <w:style w:type="paragraph" w:styleId="ListContinue">
    <w:name w:val="List Continue"/>
    <w:basedOn w:val="Normal"/>
    <w:uiPriority w:val="99"/>
    <w:semiHidden/>
    <w:unhideWhenUsed/>
    <w:rsid w:val="00620770"/>
    <w:pPr>
      <w:tabs>
        <w:tab w:val="left" w:pos="720"/>
        <w:tab w:val="left" w:pos="851"/>
      </w:tabs>
      <w:suppressAutoHyphens w:val="0"/>
      <w:spacing w:before="240" w:after="120" w:line="264" w:lineRule="auto"/>
      <w:ind w:left="283"/>
      <w:contextualSpacing/>
    </w:pPr>
    <w:rPr>
      <w:rFonts w:ascii="Times New Roman" w:eastAsia="Calibri" w:hAnsi="Times New Roman" w:cs="Times New Roman"/>
      <w:color w:val="auto"/>
      <w:kern w:val="0"/>
      <w:sz w:val="24"/>
      <w:szCs w:val="22"/>
    </w:rPr>
  </w:style>
  <w:style w:type="paragraph" w:styleId="ListContinue2">
    <w:name w:val="List Continue 2"/>
    <w:basedOn w:val="Normal"/>
    <w:uiPriority w:val="99"/>
    <w:semiHidden/>
    <w:unhideWhenUsed/>
    <w:rsid w:val="00620770"/>
    <w:pPr>
      <w:tabs>
        <w:tab w:val="left" w:pos="720"/>
        <w:tab w:val="left" w:pos="851"/>
      </w:tabs>
      <w:suppressAutoHyphens w:val="0"/>
      <w:spacing w:before="240" w:after="120" w:line="264" w:lineRule="auto"/>
      <w:ind w:left="566"/>
      <w:contextualSpacing/>
    </w:pPr>
    <w:rPr>
      <w:rFonts w:ascii="Times New Roman" w:eastAsia="Calibri" w:hAnsi="Times New Roman" w:cs="Times New Roman"/>
      <w:color w:val="auto"/>
      <w:kern w:val="0"/>
      <w:sz w:val="24"/>
      <w:szCs w:val="22"/>
    </w:rPr>
  </w:style>
  <w:style w:type="paragraph" w:styleId="ListContinue3">
    <w:name w:val="List Continue 3"/>
    <w:basedOn w:val="Normal"/>
    <w:uiPriority w:val="99"/>
    <w:semiHidden/>
    <w:unhideWhenUsed/>
    <w:rsid w:val="00620770"/>
    <w:pPr>
      <w:tabs>
        <w:tab w:val="left" w:pos="720"/>
        <w:tab w:val="left" w:pos="851"/>
      </w:tabs>
      <w:suppressAutoHyphens w:val="0"/>
      <w:spacing w:before="240" w:after="120" w:line="264" w:lineRule="auto"/>
      <w:ind w:left="849"/>
      <w:contextualSpacing/>
    </w:pPr>
    <w:rPr>
      <w:rFonts w:ascii="Times New Roman" w:eastAsia="Calibri" w:hAnsi="Times New Roman" w:cs="Times New Roman"/>
      <w:color w:val="auto"/>
      <w:kern w:val="0"/>
      <w:sz w:val="24"/>
      <w:szCs w:val="22"/>
    </w:rPr>
  </w:style>
  <w:style w:type="paragraph" w:styleId="ListContinue4">
    <w:name w:val="List Continue 4"/>
    <w:basedOn w:val="Normal"/>
    <w:uiPriority w:val="99"/>
    <w:semiHidden/>
    <w:unhideWhenUsed/>
    <w:rsid w:val="00620770"/>
    <w:pPr>
      <w:tabs>
        <w:tab w:val="left" w:pos="720"/>
        <w:tab w:val="left" w:pos="851"/>
      </w:tabs>
      <w:suppressAutoHyphens w:val="0"/>
      <w:spacing w:before="240" w:after="120" w:line="264" w:lineRule="auto"/>
      <w:ind w:left="1132"/>
      <w:contextualSpacing/>
    </w:pPr>
    <w:rPr>
      <w:rFonts w:ascii="Times New Roman" w:eastAsia="Calibri" w:hAnsi="Times New Roman" w:cs="Times New Roman"/>
      <w:color w:val="auto"/>
      <w:kern w:val="0"/>
      <w:sz w:val="24"/>
      <w:szCs w:val="22"/>
    </w:rPr>
  </w:style>
  <w:style w:type="paragraph" w:styleId="ListContinue5">
    <w:name w:val="List Continue 5"/>
    <w:basedOn w:val="Normal"/>
    <w:uiPriority w:val="99"/>
    <w:semiHidden/>
    <w:unhideWhenUsed/>
    <w:rsid w:val="00620770"/>
    <w:pPr>
      <w:tabs>
        <w:tab w:val="left" w:pos="720"/>
        <w:tab w:val="left" w:pos="851"/>
      </w:tabs>
      <w:suppressAutoHyphens w:val="0"/>
      <w:spacing w:before="240" w:after="120" w:line="264" w:lineRule="auto"/>
      <w:ind w:left="1415"/>
      <w:contextualSpacing/>
    </w:pPr>
    <w:rPr>
      <w:rFonts w:ascii="Times New Roman" w:eastAsia="Calibri" w:hAnsi="Times New Roman" w:cs="Times New Roman"/>
      <w:color w:val="auto"/>
      <w:kern w:val="0"/>
      <w:sz w:val="24"/>
      <w:szCs w:val="22"/>
    </w:rPr>
  </w:style>
  <w:style w:type="paragraph" w:styleId="ListNumber">
    <w:name w:val="List Number"/>
    <w:basedOn w:val="Normal"/>
    <w:uiPriority w:val="99"/>
    <w:semiHidden/>
    <w:unhideWhenUsed/>
    <w:rsid w:val="00620770"/>
    <w:pPr>
      <w:tabs>
        <w:tab w:val="num" w:pos="360"/>
        <w:tab w:val="left" w:pos="720"/>
        <w:tab w:val="left" w:pos="851"/>
      </w:tabs>
      <w:suppressAutoHyphens w:val="0"/>
      <w:spacing w:before="240" w:after="240" w:line="264" w:lineRule="auto"/>
      <w:ind w:left="360" w:hanging="360"/>
      <w:contextualSpacing/>
    </w:pPr>
    <w:rPr>
      <w:rFonts w:ascii="Times New Roman" w:eastAsia="Calibri" w:hAnsi="Times New Roman" w:cs="Times New Roman"/>
      <w:color w:val="auto"/>
      <w:kern w:val="0"/>
      <w:sz w:val="24"/>
      <w:szCs w:val="22"/>
    </w:rPr>
  </w:style>
  <w:style w:type="paragraph" w:styleId="ListNumber2">
    <w:name w:val="List Number 2"/>
    <w:basedOn w:val="Normal"/>
    <w:uiPriority w:val="99"/>
    <w:semiHidden/>
    <w:unhideWhenUsed/>
    <w:rsid w:val="00620770"/>
    <w:pPr>
      <w:tabs>
        <w:tab w:val="num" w:pos="643"/>
        <w:tab w:val="left" w:pos="720"/>
        <w:tab w:val="left" w:pos="851"/>
      </w:tabs>
      <w:suppressAutoHyphens w:val="0"/>
      <w:spacing w:before="240" w:after="240" w:line="264" w:lineRule="auto"/>
      <w:ind w:left="643" w:hanging="360"/>
      <w:contextualSpacing/>
    </w:pPr>
    <w:rPr>
      <w:rFonts w:ascii="Times New Roman" w:eastAsia="Calibri" w:hAnsi="Times New Roman" w:cs="Times New Roman"/>
      <w:color w:val="auto"/>
      <w:kern w:val="0"/>
      <w:sz w:val="24"/>
      <w:szCs w:val="22"/>
    </w:rPr>
  </w:style>
  <w:style w:type="paragraph" w:styleId="ListNumber3">
    <w:name w:val="List Number 3"/>
    <w:basedOn w:val="Normal"/>
    <w:uiPriority w:val="99"/>
    <w:semiHidden/>
    <w:unhideWhenUsed/>
    <w:rsid w:val="00620770"/>
    <w:pPr>
      <w:tabs>
        <w:tab w:val="left" w:pos="720"/>
        <w:tab w:val="left" w:pos="851"/>
        <w:tab w:val="num" w:pos="926"/>
      </w:tabs>
      <w:suppressAutoHyphens w:val="0"/>
      <w:spacing w:before="240" w:after="240" w:line="264" w:lineRule="auto"/>
      <w:ind w:left="926" w:hanging="360"/>
      <w:contextualSpacing/>
    </w:pPr>
    <w:rPr>
      <w:rFonts w:ascii="Times New Roman" w:eastAsia="Calibri" w:hAnsi="Times New Roman" w:cs="Times New Roman"/>
      <w:color w:val="auto"/>
      <w:kern w:val="0"/>
      <w:sz w:val="24"/>
      <w:szCs w:val="22"/>
    </w:rPr>
  </w:style>
  <w:style w:type="paragraph" w:styleId="ListNumber4">
    <w:name w:val="List Number 4"/>
    <w:basedOn w:val="Normal"/>
    <w:uiPriority w:val="99"/>
    <w:semiHidden/>
    <w:unhideWhenUsed/>
    <w:rsid w:val="00620770"/>
    <w:pPr>
      <w:tabs>
        <w:tab w:val="left" w:pos="720"/>
        <w:tab w:val="left" w:pos="851"/>
        <w:tab w:val="num" w:pos="1209"/>
      </w:tabs>
      <w:suppressAutoHyphens w:val="0"/>
      <w:spacing w:before="240" w:after="240" w:line="264" w:lineRule="auto"/>
      <w:ind w:left="1209" w:hanging="360"/>
      <w:contextualSpacing/>
    </w:pPr>
    <w:rPr>
      <w:rFonts w:ascii="Times New Roman" w:eastAsia="Calibri" w:hAnsi="Times New Roman" w:cs="Times New Roman"/>
      <w:color w:val="auto"/>
      <w:kern w:val="0"/>
      <w:sz w:val="24"/>
      <w:szCs w:val="22"/>
    </w:rPr>
  </w:style>
  <w:style w:type="paragraph" w:styleId="ListNumber5">
    <w:name w:val="List Number 5"/>
    <w:basedOn w:val="Normal"/>
    <w:uiPriority w:val="99"/>
    <w:semiHidden/>
    <w:unhideWhenUsed/>
    <w:rsid w:val="00620770"/>
    <w:pPr>
      <w:tabs>
        <w:tab w:val="left" w:pos="720"/>
        <w:tab w:val="left" w:pos="851"/>
        <w:tab w:val="num" w:pos="1492"/>
      </w:tabs>
      <w:suppressAutoHyphens w:val="0"/>
      <w:spacing w:before="240" w:after="240" w:line="264" w:lineRule="auto"/>
      <w:ind w:left="1492" w:hanging="360"/>
      <w:contextualSpacing/>
    </w:pPr>
    <w:rPr>
      <w:rFonts w:ascii="Times New Roman" w:eastAsia="Calibri" w:hAnsi="Times New Roman" w:cs="Times New Roman"/>
      <w:color w:val="auto"/>
      <w:kern w:val="0"/>
      <w:sz w:val="24"/>
      <w:szCs w:val="22"/>
    </w:rPr>
  </w:style>
  <w:style w:type="paragraph" w:styleId="MacroText">
    <w:name w:val="macro"/>
    <w:link w:val="MacroTextChar"/>
    <w:uiPriority w:val="99"/>
    <w:semiHidden/>
    <w:unhideWhenUsed/>
    <w:rsid w:val="00620770"/>
    <w:pPr>
      <w:tabs>
        <w:tab w:val="left" w:pos="480"/>
        <w:tab w:val="left" w:pos="960"/>
        <w:tab w:val="left" w:pos="1440"/>
        <w:tab w:val="left" w:pos="1920"/>
        <w:tab w:val="left" w:pos="2400"/>
        <w:tab w:val="left" w:pos="2880"/>
        <w:tab w:val="left" w:pos="3360"/>
        <w:tab w:val="left" w:pos="3840"/>
        <w:tab w:val="left" w:pos="4320"/>
      </w:tabs>
      <w:spacing w:before="240" w:after="0" w:line="264" w:lineRule="auto"/>
    </w:pPr>
    <w:rPr>
      <w:rFonts w:ascii="Consolas" w:eastAsia="Calibri" w:hAnsi="Consolas" w:cs="Times New Roman"/>
      <w:color w:val="auto"/>
    </w:rPr>
  </w:style>
  <w:style w:type="character" w:customStyle="1" w:styleId="MacroTextChar">
    <w:name w:val="Macro Text Char"/>
    <w:basedOn w:val="DefaultParagraphFont"/>
    <w:link w:val="MacroText"/>
    <w:uiPriority w:val="99"/>
    <w:semiHidden/>
    <w:rsid w:val="00620770"/>
    <w:rPr>
      <w:rFonts w:ascii="Consolas" w:eastAsia="Calibri" w:hAnsi="Consolas" w:cs="Times New Roman"/>
      <w:color w:val="auto"/>
    </w:rPr>
  </w:style>
  <w:style w:type="paragraph" w:customStyle="1" w:styleId="MessageHeader1">
    <w:name w:val="Message Header1"/>
    <w:basedOn w:val="Normal"/>
    <w:next w:val="MessageHeader"/>
    <w:link w:val="MessageHeaderChar"/>
    <w:uiPriority w:val="99"/>
    <w:semiHidden/>
    <w:unhideWhenUsed/>
    <w:rsid w:val="00620770"/>
    <w:pPr>
      <w:pBdr>
        <w:top w:val="single" w:sz="6" w:space="1" w:color="auto"/>
        <w:left w:val="single" w:sz="6" w:space="1" w:color="auto"/>
        <w:bottom w:val="single" w:sz="6" w:space="1" w:color="auto"/>
        <w:right w:val="single" w:sz="6" w:space="1" w:color="auto"/>
      </w:pBdr>
      <w:shd w:val="pct20" w:color="auto" w:fill="auto"/>
      <w:tabs>
        <w:tab w:val="left" w:pos="720"/>
        <w:tab w:val="left" w:pos="851"/>
      </w:tabs>
      <w:suppressAutoHyphens w:val="0"/>
      <w:spacing w:before="0" w:after="0"/>
      <w:ind w:left="1134" w:hanging="1134"/>
    </w:pPr>
    <w:rPr>
      <w:rFonts w:ascii="Cambria" w:eastAsia="Times New Roman" w:hAnsi="Cambria" w:cs="Times New Roman"/>
      <w:kern w:val="0"/>
      <w:sz w:val="24"/>
      <w:szCs w:val="24"/>
    </w:rPr>
  </w:style>
  <w:style w:type="character" w:customStyle="1" w:styleId="MessageHeaderChar">
    <w:name w:val="Message Header Char"/>
    <w:basedOn w:val="DefaultParagraphFont"/>
    <w:link w:val="MessageHeader1"/>
    <w:uiPriority w:val="99"/>
    <w:semiHidden/>
    <w:rsid w:val="00620770"/>
    <w:rPr>
      <w:rFonts w:ascii="Cambria" w:eastAsia="Times New Roman" w:hAnsi="Cambria" w:cs="Times New Roman"/>
      <w:sz w:val="24"/>
      <w:szCs w:val="24"/>
      <w:shd w:val="pct20" w:color="auto" w:fill="auto"/>
    </w:rPr>
  </w:style>
  <w:style w:type="paragraph" w:styleId="NormalIndent">
    <w:name w:val="Normal Indent"/>
    <w:basedOn w:val="Normal"/>
    <w:uiPriority w:val="99"/>
    <w:semiHidden/>
    <w:unhideWhenUsed/>
    <w:rsid w:val="00620770"/>
    <w:pPr>
      <w:tabs>
        <w:tab w:val="left" w:pos="720"/>
        <w:tab w:val="left" w:pos="851"/>
      </w:tabs>
      <w:suppressAutoHyphens w:val="0"/>
      <w:spacing w:before="240" w:after="240" w:line="264" w:lineRule="auto"/>
      <w:ind w:left="720"/>
    </w:pPr>
    <w:rPr>
      <w:rFonts w:ascii="Times New Roman" w:eastAsia="Calibri" w:hAnsi="Times New Roman" w:cs="Times New Roman"/>
      <w:color w:val="auto"/>
      <w:kern w:val="0"/>
      <w:sz w:val="24"/>
      <w:szCs w:val="22"/>
    </w:rPr>
  </w:style>
  <w:style w:type="paragraph" w:styleId="PlainText">
    <w:name w:val="Plain Text"/>
    <w:basedOn w:val="Normal"/>
    <w:link w:val="PlainTextChar"/>
    <w:uiPriority w:val="99"/>
    <w:semiHidden/>
    <w:unhideWhenUsed/>
    <w:rsid w:val="00620770"/>
    <w:pPr>
      <w:tabs>
        <w:tab w:val="left" w:pos="720"/>
        <w:tab w:val="left" w:pos="851"/>
      </w:tabs>
      <w:suppressAutoHyphens w:val="0"/>
      <w:spacing w:before="0" w:after="0"/>
    </w:pPr>
    <w:rPr>
      <w:rFonts w:ascii="Consolas" w:eastAsia="Calibri" w:hAnsi="Consolas" w:cs="Times New Roman"/>
      <w:color w:val="auto"/>
      <w:kern w:val="0"/>
      <w:sz w:val="21"/>
      <w:szCs w:val="21"/>
    </w:rPr>
  </w:style>
  <w:style w:type="character" w:customStyle="1" w:styleId="PlainTextChar">
    <w:name w:val="Plain Text Char"/>
    <w:basedOn w:val="DefaultParagraphFont"/>
    <w:link w:val="PlainText"/>
    <w:uiPriority w:val="99"/>
    <w:semiHidden/>
    <w:rsid w:val="00620770"/>
    <w:rPr>
      <w:rFonts w:ascii="Consolas" w:eastAsia="Calibri" w:hAnsi="Consolas" w:cs="Times New Roman"/>
      <w:color w:val="auto"/>
      <w:sz w:val="21"/>
      <w:szCs w:val="21"/>
    </w:rPr>
  </w:style>
  <w:style w:type="paragraph" w:styleId="Salutation">
    <w:name w:val="Salutation"/>
    <w:basedOn w:val="Normal"/>
    <w:next w:val="Normal"/>
    <w:link w:val="SalutationChar"/>
    <w:uiPriority w:val="99"/>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rPr>
  </w:style>
  <w:style w:type="character" w:customStyle="1" w:styleId="SalutationChar">
    <w:name w:val="Salutation Char"/>
    <w:basedOn w:val="DefaultParagraphFont"/>
    <w:link w:val="Salutation"/>
    <w:uiPriority w:val="99"/>
    <w:semiHidden/>
    <w:rsid w:val="00620770"/>
    <w:rPr>
      <w:rFonts w:ascii="Times New Roman" w:eastAsia="Calibri" w:hAnsi="Times New Roman" w:cs="Times New Roman"/>
      <w:color w:val="auto"/>
      <w:sz w:val="24"/>
      <w:szCs w:val="22"/>
    </w:rPr>
  </w:style>
  <w:style w:type="paragraph" w:styleId="Signature">
    <w:name w:val="Signature"/>
    <w:basedOn w:val="Normal"/>
    <w:link w:val="SignatureChar"/>
    <w:uiPriority w:val="99"/>
    <w:semiHidden/>
    <w:unhideWhenUsed/>
    <w:rsid w:val="00620770"/>
    <w:pPr>
      <w:tabs>
        <w:tab w:val="left" w:pos="720"/>
        <w:tab w:val="left" w:pos="851"/>
      </w:tabs>
      <w:suppressAutoHyphens w:val="0"/>
      <w:spacing w:before="0" w:after="0"/>
      <w:ind w:left="4252"/>
    </w:pPr>
    <w:rPr>
      <w:rFonts w:ascii="Times New Roman" w:eastAsia="Calibri" w:hAnsi="Times New Roman" w:cs="Times New Roman"/>
      <w:color w:val="auto"/>
      <w:kern w:val="0"/>
      <w:sz w:val="24"/>
      <w:szCs w:val="22"/>
    </w:rPr>
  </w:style>
  <w:style w:type="character" w:customStyle="1" w:styleId="SignatureChar">
    <w:name w:val="Signature Char"/>
    <w:basedOn w:val="DefaultParagraphFont"/>
    <w:link w:val="Signature"/>
    <w:uiPriority w:val="99"/>
    <w:semiHidden/>
    <w:rsid w:val="00620770"/>
    <w:rPr>
      <w:rFonts w:ascii="Times New Roman" w:eastAsia="Calibri" w:hAnsi="Times New Roman" w:cs="Times New Roman"/>
      <w:color w:val="auto"/>
      <w:sz w:val="24"/>
      <w:szCs w:val="22"/>
    </w:rPr>
  </w:style>
  <w:style w:type="paragraph" w:styleId="TableofAuthorities">
    <w:name w:val="table of authorities"/>
    <w:basedOn w:val="Normal"/>
    <w:next w:val="Normal"/>
    <w:uiPriority w:val="99"/>
    <w:semiHidden/>
    <w:unhideWhenUsed/>
    <w:rsid w:val="00620770"/>
    <w:pPr>
      <w:suppressAutoHyphens w:val="0"/>
      <w:spacing w:before="240" w:after="0" w:line="264" w:lineRule="auto"/>
      <w:ind w:left="240" w:hanging="240"/>
    </w:pPr>
    <w:rPr>
      <w:rFonts w:ascii="Times New Roman" w:eastAsia="Calibri" w:hAnsi="Times New Roman" w:cs="Times New Roman"/>
      <w:color w:val="auto"/>
      <w:kern w:val="0"/>
      <w:sz w:val="24"/>
      <w:szCs w:val="22"/>
    </w:rPr>
  </w:style>
  <w:style w:type="paragraph" w:customStyle="1" w:styleId="TOAHeading1">
    <w:name w:val="TOA Heading1"/>
    <w:basedOn w:val="Normal"/>
    <w:next w:val="Normal"/>
    <w:uiPriority w:val="99"/>
    <w:semiHidden/>
    <w:unhideWhenUsed/>
    <w:rsid w:val="00620770"/>
    <w:pPr>
      <w:tabs>
        <w:tab w:val="left" w:pos="720"/>
        <w:tab w:val="left" w:pos="851"/>
      </w:tabs>
      <w:suppressAutoHyphens w:val="0"/>
      <w:spacing w:before="120" w:after="240" w:line="264" w:lineRule="auto"/>
    </w:pPr>
    <w:rPr>
      <w:rFonts w:ascii="Cambria" w:eastAsia="Times New Roman" w:hAnsi="Cambria" w:cs="Times New Roman"/>
      <w:b/>
      <w:bCs/>
      <w:color w:val="auto"/>
      <w:kern w:val="0"/>
      <w:sz w:val="24"/>
      <w:szCs w:val="24"/>
    </w:rPr>
  </w:style>
  <w:style w:type="paragraph" w:styleId="TOC4">
    <w:name w:val="toc 4"/>
    <w:basedOn w:val="Normal"/>
    <w:next w:val="Normal"/>
    <w:autoRedefine/>
    <w:uiPriority w:val="39"/>
    <w:semiHidden/>
    <w:unhideWhenUsed/>
    <w:rsid w:val="00620770"/>
    <w:pPr>
      <w:suppressAutoHyphens w:val="0"/>
      <w:spacing w:before="240" w:after="100" w:line="264" w:lineRule="auto"/>
      <w:ind w:left="720"/>
    </w:pPr>
    <w:rPr>
      <w:rFonts w:ascii="Times New Roman" w:eastAsia="Calibri" w:hAnsi="Times New Roman" w:cs="Times New Roman"/>
      <w:color w:val="auto"/>
      <w:kern w:val="0"/>
      <w:sz w:val="24"/>
      <w:szCs w:val="22"/>
    </w:rPr>
  </w:style>
  <w:style w:type="paragraph" w:styleId="TOC5">
    <w:name w:val="toc 5"/>
    <w:basedOn w:val="Normal"/>
    <w:next w:val="Normal"/>
    <w:autoRedefine/>
    <w:uiPriority w:val="39"/>
    <w:semiHidden/>
    <w:unhideWhenUsed/>
    <w:rsid w:val="00620770"/>
    <w:pPr>
      <w:suppressAutoHyphens w:val="0"/>
      <w:spacing w:before="240" w:after="100" w:line="264" w:lineRule="auto"/>
      <w:ind w:left="960"/>
    </w:pPr>
    <w:rPr>
      <w:rFonts w:ascii="Times New Roman" w:eastAsia="Calibri" w:hAnsi="Times New Roman" w:cs="Times New Roman"/>
      <w:color w:val="auto"/>
      <w:kern w:val="0"/>
      <w:sz w:val="24"/>
      <w:szCs w:val="22"/>
    </w:rPr>
  </w:style>
  <w:style w:type="paragraph" w:styleId="TOC6">
    <w:name w:val="toc 6"/>
    <w:basedOn w:val="Normal"/>
    <w:next w:val="Normal"/>
    <w:autoRedefine/>
    <w:uiPriority w:val="39"/>
    <w:semiHidden/>
    <w:unhideWhenUsed/>
    <w:rsid w:val="00620770"/>
    <w:pPr>
      <w:suppressAutoHyphens w:val="0"/>
      <w:spacing w:before="240" w:after="100" w:line="264" w:lineRule="auto"/>
      <w:ind w:left="1200"/>
    </w:pPr>
    <w:rPr>
      <w:rFonts w:ascii="Times New Roman" w:eastAsia="Calibri" w:hAnsi="Times New Roman" w:cs="Times New Roman"/>
      <w:color w:val="auto"/>
      <w:kern w:val="0"/>
      <w:sz w:val="24"/>
      <w:szCs w:val="22"/>
    </w:rPr>
  </w:style>
  <w:style w:type="paragraph" w:styleId="TOC7">
    <w:name w:val="toc 7"/>
    <w:basedOn w:val="Normal"/>
    <w:next w:val="Normal"/>
    <w:autoRedefine/>
    <w:uiPriority w:val="39"/>
    <w:semiHidden/>
    <w:unhideWhenUsed/>
    <w:rsid w:val="00620770"/>
    <w:pPr>
      <w:suppressAutoHyphens w:val="0"/>
      <w:spacing w:before="240" w:after="100" w:line="264" w:lineRule="auto"/>
      <w:ind w:left="1440"/>
    </w:pPr>
    <w:rPr>
      <w:rFonts w:ascii="Times New Roman" w:eastAsia="Calibri" w:hAnsi="Times New Roman" w:cs="Times New Roman"/>
      <w:color w:val="auto"/>
      <w:kern w:val="0"/>
      <w:sz w:val="24"/>
      <w:szCs w:val="22"/>
    </w:rPr>
  </w:style>
  <w:style w:type="paragraph" w:styleId="TOC8">
    <w:name w:val="toc 8"/>
    <w:basedOn w:val="Normal"/>
    <w:next w:val="Normal"/>
    <w:autoRedefine/>
    <w:uiPriority w:val="39"/>
    <w:semiHidden/>
    <w:unhideWhenUsed/>
    <w:rsid w:val="00620770"/>
    <w:pPr>
      <w:suppressAutoHyphens w:val="0"/>
      <w:spacing w:before="240" w:after="100" w:line="264" w:lineRule="auto"/>
      <w:ind w:left="1680"/>
    </w:pPr>
    <w:rPr>
      <w:rFonts w:ascii="Times New Roman" w:eastAsia="Calibri" w:hAnsi="Times New Roman" w:cs="Times New Roman"/>
      <w:color w:val="auto"/>
      <w:kern w:val="0"/>
      <w:sz w:val="24"/>
      <w:szCs w:val="22"/>
    </w:rPr>
  </w:style>
  <w:style w:type="paragraph" w:styleId="TOC9">
    <w:name w:val="toc 9"/>
    <w:basedOn w:val="Normal"/>
    <w:next w:val="Normal"/>
    <w:autoRedefine/>
    <w:uiPriority w:val="39"/>
    <w:semiHidden/>
    <w:unhideWhenUsed/>
    <w:rsid w:val="00620770"/>
    <w:pPr>
      <w:suppressAutoHyphens w:val="0"/>
      <w:spacing w:before="240" w:after="100" w:line="264" w:lineRule="auto"/>
      <w:ind w:left="1920"/>
    </w:pPr>
    <w:rPr>
      <w:rFonts w:ascii="Times New Roman" w:eastAsia="Calibri" w:hAnsi="Times New Roman" w:cs="Times New Roman"/>
      <w:color w:val="auto"/>
      <w:kern w:val="0"/>
      <w:sz w:val="24"/>
      <w:szCs w:val="22"/>
    </w:rPr>
  </w:style>
  <w:style w:type="paragraph" w:customStyle="1" w:styleId="Tablenotes">
    <w:name w:val="Table notes"/>
    <w:basedOn w:val="Table2heading"/>
    <w:qFormat/>
    <w:rsid w:val="00620770"/>
    <w:pPr>
      <w:keepNext/>
      <w:tabs>
        <w:tab w:val="clear" w:pos="720"/>
        <w:tab w:val="clear" w:pos="851"/>
        <w:tab w:val="left" w:pos="567"/>
      </w:tabs>
      <w:ind w:left="567" w:hanging="567"/>
      <w:jc w:val="left"/>
    </w:pPr>
    <w:rPr>
      <w:b w:val="0"/>
      <w:sz w:val="16"/>
      <w:szCs w:val="16"/>
    </w:rPr>
  </w:style>
  <w:style w:type="table" w:customStyle="1" w:styleId="GridTable2-Accent11">
    <w:name w:val="Grid Table 2 - Accent 11"/>
    <w:basedOn w:val="TableNormal"/>
    <w:uiPriority w:val="47"/>
    <w:rsid w:val="00620770"/>
    <w:pPr>
      <w:spacing w:before="0" w:after="0"/>
    </w:pPr>
    <w:rPr>
      <w:color w:val="auto"/>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5">
    <w:name w:val="Table Grid5"/>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ISAppendix">
    <w:name w:val="RIS Appendix"/>
    <w:basedOn w:val="Heading1"/>
    <w:link w:val="RISAppendixChar"/>
    <w:rsid w:val="00620770"/>
    <w:pPr>
      <w:tabs>
        <w:tab w:val="left" w:pos="720"/>
        <w:tab w:val="left" w:pos="851"/>
      </w:tabs>
      <w:suppressAutoHyphens w:val="0"/>
      <w:spacing w:before="240" w:after="240"/>
      <w:ind w:left="1474" w:hanging="1474"/>
      <w:contextualSpacing w:val="0"/>
    </w:pPr>
    <w:rPr>
      <w:rFonts w:eastAsia="Times New Roman" w:cs="Times New Roman"/>
      <w:b/>
      <w:bCs/>
      <w:caps/>
      <w:color w:val="auto"/>
      <w:sz w:val="24"/>
      <w:szCs w:val="28"/>
    </w:rPr>
  </w:style>
  <w:style w:type="paragraph" w:customStyle="1" w:styleId="RISAppendixHeading">
    <w:name w:val="RIS Appendix Heading"/>
    <w:basedOn w:val="Heading1"/>
    <w:next w:val="Normal"/>
    <w:link w:val="RISAppendixHeadingChar"/>
    <w:rsid w:val="00620770"/>
    <w:pPr>
      <w:tabs>
        <w:tab w:val="left" w:pos="720"/>
        <w:tab w:val="left" w:pos="851"/>
      </w:tabs>
      <w:suppressAutoHyphens w:val="0"/>
      <w:spacing w:before="240" w:after="240"/>
      <w:ind w:left="357" w:hanging="357"/>
      <w:contextualSpacing w:val="0"/>
    </w:pPr>
    <w:rPr>
      <w:rFonts w:eastAsia="Times New Roman" w:cs="Times New Roman"/>
      <w:b/>
      <w:bCs/>
      <w:caps/>
      <w:color w:val="auto"/>
      <w:sz w:val="24"/>
      <w:szCs w:val="28"/>
    </w:rPr>
  </w:style>
  <w:style w:type="character" w:customStyle="1" w:styleId="RISAppendixChar">
    <w:name w:val="RIS Appendix Char"/>
    <w:basedOn w:val="Appendix-HeadingChar"/>
    <w:link w:val="RISAppendix"/>
    <w:rsid w:val="00620770"/>
    <w:rPr>
      <w:rFonts w:asciiTheme="majorHAnsi" w:eastAsia="Times New Roman" w:hAnsiTheme="majorHAnsi" w:cs="Times New Roman"/>
      <w:b/>
      <w:bCs/>
      <w:caps/>
      <w:color w:val="auto"/>
      <w:kern w:val="12"/>
      <w:sz w:val="24"/>
      <w:szCs w:val="28"/>
    </w:rPr>
  </w:style>
  <w:style w:type="character" w:customStyle="1" w:styleId="RISAppendixHeadingChar">
    <w:name w:val="RIS Appendix Heading Char"/>
    <w:basedOn w:val="Heading1Char"/>
    <w:link w:val="RISAppendixHeading"/>
    <w:rsid w:val="00620770"/>
    <w:rPr>
      <w:rFonts w:asciiTheme="majorHAnsi" w:eastAsia="Times New Roman" w:hAnsiTheme="majorHAnsi" w:cs="Times New Roman"/>
      <w:b/>
      <w:bCs/>
      <w:caps/>
      <w:color w:val="auto"/>
      <w:kern w:val="12"/>
      <w:sz w:val="24"/>
      <w:szCs w:val="28"/>
    </w:rPr>
  </w:style>
  <w:style w:type="character" w:customStyle="1" w:styleId="Heading7Char1">
    <w:name w:val="Heading 7 Char1"/>
    <w:basedOn w:val="DefaultParagraphFont"/>
    <w:uiPriority w:val="9"/>
    <w:semiHidden/>
    <w:rsid w:val="00620770"/>
    <w:rPr>
      <w:rFonts w:asciiTheme="majorHAnsi" w:eastAsiaTheme="majorEastAsia" w:hAnsiTheme="majorHAnsi" w:cstheme="majorBidi"/>
      <w:i/>
      <w:iCs/>
      <w:color w:val="040E1E" w:themeColor="accent1" w:themeShade="7F"/>
      <w:kern w:val="12"/>
    </w:rPr>
  </w:style>
  <w:style w:type="table" w:styleId="LightGrid-Accent2">
    <w:name w:val="Light Grid Accent 2"/>
    <w:basedOn w:val="TableNormal"/>
    <w:uiPriority w:val="62"/>
    <w:semiHidden/>
    <w:unhideWhenUsed/>
    <w:rsid w:val="00620770"/>
    <w:pPr>
      <w:spacing w:before="0" w:after="0"/>
    </w:pPr>
    <w:tblPr>
      <w:tblStyleRowBandSize w:val="1"/>
      <w:tblStyleColBandSize w:val="1"/>
      <w:tblBorders>
        <w:top w:val="single" w:sz="8" w:space="0" w:color="4BB3B5" w:themeColor="accent2"/>
        <w:left w:val="single" w:sz="8" w:space="0" w:color="4BB3B5" w:themeColor="accent2"/>
        <w:bottom w:val="single" w:sz="8" w:space="0" w:color="4BB3B5" w:themeColor="accent2"/>
        <w:right w:val="single" w:sz="8" w:space="0" w:color="4BB3B5" w:themeColor="accent2"/>
        <w:insideH w:val="single" w:sz="8" w:space="0" w:color="4BB3B5" w:themeColor="accent2"/>
        <w:insideV w:val="single" w:sz="8" w:space="0" w:color="4BB3B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B3B5" w:themeColor="accent2"/>
          <w:left w:val="single" w:sz="8" w:space="0" w:color="4BB3B5" w:themeColor="accent2"/>
          <w:bottom w:val="single" w:sz="18" w:space="0" w:color="4BB3B5" w:themeColor="accent2"/>
          <w:right w:val="single" w:sz="8" w:space="0" w:color="4BB3B5" w:themeColor="accent2"/>
          <w:insideH w:val="nil"/>
          <w:insideV w:val="single" w:sz="8" w:space="0" w:color="4BB3B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B3B5" w:themeColor="accent2"/>
          <w:left w:val="single" w:sz="8" w:space="0" w:color="4BB3B5" w:themeColor="accent2"/>
          <w:bottom w:val="single" w:sz="8" w:space="0" w:color="4BB3B5" w:themeColor="accent2"/>
          <w:right w:val="single" w:sz="8" w:space="0" w:color="4BB3B5" w:themeColor="accent2"/>
          <w:insideH w:val="nil"/>
          <w:insideV w:val="single" w:sz="8" w:space="0" w:color="4BB3B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B3B5" w:themeColor="accent2"/>
          <w:left w:val="single" w:sz="8" w:space="0" w:color="4BB3B5" w:themeColor="accent2"/>
          <w:bottom w:val="single" w:sz="8" w:space="0" w:color="4BB3B5" w:themeColor="accent2"/>
          <w:right w:val="single" w:sz="8" w:space="0" w:color="4BB3B5" w:themeColor="accent2"/>
        </w:tcBorders>
      </w:tcPr>
    </w:tblStylePr>
    <w:tblStylePr w:type="band1Vert">
      <w:tblPr/>
      <w:tcPr>
        <w:tcBorders>
          <w:top w:val="single" w:sz="8" w:space="0" w:color="4BB3B5" w:themeColor="accent2"/>
          <w:left w:val="single" w:sz="8" w:space="0" w:color="4BB3B5" w:themeColor="accent2"/>
          <w:bottom w:val="single" w:sz="8" w:space="0" w:color="4BB3B5" w:themeColor="accent2"/>
          <w:right w:val="single" w:sz="8" w:space="0" w:color="4BB3B5" w:themeColor="accent2"/>
        </w:tcBorders>
        <w:shd w:val="clear" w:color="auto" w:fill="D2ECEC" w:themeFill="accent2" w:themeFillTint="3F"/>
      </w:tcPr>
    </w:tblStylePr>
    <w:tblStylePr w:type="band1Horz">
      <w:tblPr/>
      <w:tcPr>
        <w:tcBorders>
          <w:top w:val="single" w:sz="8" w:space="0" w:color="4BB3B5" w:themeColor="accent2"/>
          <w:left w:val="single" w:sz="8" w:space="0" w:color="4BB3B5" w:themeColor="accent2"/>
          <w:bottom w:val="single" w:sz="8" w:space="0" w:color="4BB3B5" w:themeColor="accent2"/>
          <w:right w:val="single" w:sz="8" w:space="0" w:color="4BB3B5" w:themeColor="accent2"/>
          <w:insideV w:val="single" w:sz="8" w:space="0" w:color="4BB3B5" w:themeColor="accent2"/>
        </w:tcBorders>
        <w:shd w:val="clear" w:color="auto" w:fill="D2ECEC" w:themeFill="accent2" w:themeFillTint="3F"/>
      </w:tcPr>
    </w:tblStylePr>
    <w:tblStylePr w:type="band2Horz">
      <w:tblPr/>
      <w:tcPr>
        <w:tcBorders>
          <w:top w:val="single" w:sz="8" w:space="0" w:color="4BB3B5" w:themeColor="accent2"/>
          <w:left w:val="single" w:sz="8" w:space="0" w:color="4BB3B5" w:themeColor="accent2"/>
          <w:bottom w:val="single" w:sz="8" w:space="0" w:color="4BB3B5" w:themeColor="accent2"/>
          <w:right w:val="single" w:sz="8" w:space="0" w:color="4BB3B5" w:themeColor="accent2"/>
          <w:insideV w:val="single" w:sz="8" w:space="0" w:color="4BB3B5" w:themeColor="accent2"/>
        </w:tcBorders>
      </w:tcPr>
    </w:tblStylePr>
  </w:style>
  <w:style w:type="table" w:styleId="LightShading-Accent1">
    <w:name w:val="Light Shading Accent 1"/>
    <w:basedOn w:val="TableNormal"/>
    <w:uiPriority w:val="60"/>
    <w:semiHidden/>
    <w:unhideWhenUsed/>
    <w:rsid w:val="00620770"/>
    <w:pPr>
      <w:spacing w:before="0" w:after="0"/>
    </w:pPr>
    <w:rPr>
      <w:color w:val="06162E" w:themeColor="accent1" w:themeShade="BF"/>
    </w:rPr>
    <w:tblPr>
      <w:tblStyleRowBandSize w:val="1"/>
      <w:tblStyleColBandSize w:val="1"/>
      <w:tblBorders>
        <w:top w:val="single" w:sz="8" w:space="0" w:color="081E3E" w:themeColor="accent1"/>
        <w:bottom w:val="single" w:sz="8" w:space="0" w:color="081E3E" w:themeColor="accent1"/>
      </w:tblBorders>
    </w:tblPr>
    <w:tblStylePr w:type="firstRow">
      <w:pPr>
        <w:spacing w:before="0" w:after="0" w:line="240" w:lineRule="auto"/>
      </w:pPr>
      <w:rPr>
        <w:b/>
        <w:bCs/>
      </w:rPr>
      <w:tblPr/>
      <w:tcPr>
        <w:tcBorders>
          <w:top w:val="single" w:sz="8" w:space="0" w:color="081E3E" w:themeColor="accent1"/>
          <w:left w:val="nil"/>
          <w:bottom w:val="single" w:sz="8" w:space="0" w:color="081E3E" w:themeColor="accent1"/>
          <w:right w:val="nil"/>
          <w:insideH w:val="nil"/>
          <w:insideV w:val="nil"/>
        </w:tcBorders>
      </w:tcPr>
    </w:tblStylePr>
    <w:tblStylePr w:type="lastRow">
      <w:pPr>
        <w:spacing w:before="0" w:after="0" w:line="240" w:lineRule="auto"/>
      </w:pPr>
      <w:rPr>
        <w:b/>
        <w:bCs/>
      </w:rPr>
      <w:tblPr/>
      <w:tcPr>
        <w:tcBorders>
          <w:top w:val="single" w:sz="8" w:space="0" w:color="081E3E" w:themeColor="accent1"/>
          <w:left w:val="nil"/>
          <w:bottom w:val="single" w:sz="8" w:space="0" w:color="081E3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C0F2" w:themeFill="accent1" w:themeFillTint="3F"/>
      </w:tcPr>
    </w:tblStylePr>
    <w:tblStylePr w:type="band1Horz">
      <w:tblPr/>
      <w:tcPr>
        <w:tcBorders>
          <w:left w:val="nil"/>
          <w:right w:val="nil"/>
          <w:insideH w:val="nil"/>
          <w:insideV w:val="nil"/>
        </w:tcBorders>
        <w:shd w:val="clear" w:color="auto" w:fill="9EC0F2" w:themeFill="accent1" w:themeFillTint="3F"/>
      </w:tcPr>
    </w:tblStylePr>
  </w:style>
  <w:style w:type="table" w:styleId="LightShading">
    <w:name w:val="Light Shading"/>
    <w:basedOn w:val="TableNormal"/>
    <w:uiPriority w:val="60"/>
    <w:semiHidden/>
    <w:unhideWhenUsed/>
    <w:rsid w:val="00620770"/>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Accent1">
    <w:name w:val="Medium List 2 Accent 1"/>
    <w:basedOn w:val="TableNormal"/>
    <w:uiPriority w:val="66"/>
    <w:semiHidden/>
    <w:unhideWhenUsed/>
    <w:rsid w:val="00620770"/>
    <w:pPr>
      <w:spacing w:before="0" w:after="0"/>
    </w:pPr>
    <w:rPr>
      <w:rFonts w:asciiTheme="majorHAnsi" w:eastAsiaTheme="majorEastAsia" w:hAnsiTheme="majorHAnsi" w:cstheme="majorBidi"/>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tblBorders>
    </w:tblPr>
    <w:tblStylePr w:type="firstRow">
      <w:rPr>
        <w:sz w:val="24"/>
        <w:szCs w:val="24"/>
      </w:rPr>
      <w:tblPr/>
      <w:tcPr>
        <w:tcBorders>
          <w:top w:val="nil"/>
          <w:left w:val="nil"/>
          <w:bottom w:val="single" w:sz="24" w:space="0" w:color="081E3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1E3E" w:themeColor="accent1"/>
          <w:insideH w:val="nil"/>
          <w:insideV w:val="nil"/>
        </w:tcBorders>
        <w:shd w:val="clear" w:color="auto" w:fill="FFFFFF" w:themeFill="background1"/>
      </w:tcPr>
    </w:tblStylePr>
    <w:tblStylePr w:type="lastCol">
      <w:tblPr/>
      <w:tcPr>
        <w:tcBorders>
          <w:top w:val="nil"/>
          <w:left w:val="single" w:sz="8" w:space="0" w:color="081E3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C0F2" w:themeFill="accent1" w:themeFillTint="3F"/>
      </w:tcPr>
    </w:tblStylePr>
    <w:tblStylePr w:type="band1Horz">
      <w:tblPr/>
      <w:tcPr>
        <w:tcBorders>
          <w:top w:val="nil"/>
          <w:bottom w:val="nil"/>
          <w:insideH w:val="nil"/>
          <w:insideV w:val="nil"/>
        </w:tcBorders>
        <w:shd w:val="clear" w:color="auto" w:fill="9EC0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6">
    <w:name w:val="Light Shading Accent 6"/>
    <w:basedOn w:val="TableNormal"/>
    <w:uiPriority w:val="60"/>
    <w:semiHidden/>
    <w:unhideWhenUsed/>
    <w:rsid w:val="00620770"/>
    <w:pPr>
      <w:spacing w:before="0" w:after="0"/>
    </w:pPr>
    <w:rPr>
      <w:color w:val="449F70" w:themeColor="accent6" w:themeShade="BF"/>
    </w:rPr>
    <w:tblPr>
      <w:tblStyleRowBandSize w:val="1"/>
      <w:tblStyleColBandSize w:val="1"/>
      <w:tblBorders>
        <w:top w:val="single" w:sz="8" w:space="0" w:color="6FC197" w:themeColor="accent6"/>
        <w:bottom w:val="single" w:sz="8" w:space="0" w:color="6FC197" w:themeColor="accent6"/>
      </w:tblBorders>
    </w:tblPr>
    <w:tblStylePr w:type="firstRow">
      <w:pPr>
        <w:spacing w:before="0" w:after="0" w:line="240" w:lineRule="auto"/>
      </w:pPr>
      <w:rPr>
        <w:b/>
        <w:bCs/>
      </w:rPr>
      <w:tblPr/>
      <w:tcPr>
        <w:tcBorders>
          <w:top w:val="single" w:sz="8" w:space="0" w:color="6FC197" w:themeColor="accent6"/>
          <w:left w:val="nil"/>
          <w:bottom w:val="single" w:sz="8" w:space="0" w:color="6FC197" w:themeColor="accent6"/>
          <w:right w:val="nil"/>
          <w:insideH w:val="nil"/>
          <w:insideV w:val="nil"/>
        </w:tcBorders>
      </w:tcPr>
    </w:tblStylePr>
    <w:tblStylePr w:type="lastRow">
      <w:pPr>
        <w:spacing w:before="0" w:after="0" w:line="240" w:lineRule="auto"/>
      </w:pPr>
      <w:rPr>
        <w:b/>
        <w:bCs/>
      </w:rPr>
      <w:tblPr/>
      <w:tcPr>
        <w:tcBorders>
          <w:top w:val="single" w:sz="8" w:space="0" w:color="6FC197" w:themeColor="accent6"/>
          <w:left w:val="nil"/>
          <w:bottom w:val="single" w:sz="8" w:space="0" w:color="6FC1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FE5" w:themeFill="accent6" w:themeFillTint="3F"/>
      </w:tcPr>
    </w:tblStylePr>
    <w:tblStylePr w:type="band1Horz">
      <w:tblPr/>
      <w:tcPr>
        <w:tcBorders>
          <w:left w:val="nil"/>
          <w:right w:val="nil"/>
          <w:insideH w:val="nil"/>
          <w:insideV w:val="nil"/>
        </w:tcBorders>
        <w:shd w:val="clear" w:color="auto" w:fill="DBEFE5" w:themeFill="accent6" w:themeFillTint="3F"/>
      </w:tcPr>
    </w:tblStylePr>
  </w:style>
  <w:style w:type="paragraph" w:styleId="BlockText">
    <w:name w:val="Block Text"/>
    <w:basedOn w:val="Normal"/>
    <w:uiPriority w:val="99"/>
    <w:semiHidden/>
    <w:unhideWhenUsed/>
    <w:rsid w:val="00620770"/>
    <w:pPr>
      <w:pBdr>
        <w:top w:val="single" w:sz="2" w:space="10" w:color="081E3E" w:themeColor="accent1" w:shadow="1"/>
        <w:left w:val="single" w:sz="2" w:space="10" w:color="081E3E" w:themeColor="accent1" w:shadow="1"/>
        <w:bottom w:val="single" w:sz="2" w:space="10" w:color="081E3E" w:themeColor="accent1" w:shadow="1"/>
        <w:right w:val="single" w:sz="2" w:space="10" w:color="081E3E" w:themeColor="accent1" w:shadow="1"/>
      </w:pBdr>
      <w:ind w:left="1152" w:right="1152"/>
    </w:pPr>
    <w:rPr>
      <w:rFonts w:eastAsiaTheme="minorEastAsia"/>
      <w:i/>
      <w:iCs/>
      <w:color w:val="081E3E" w:themeColor="accent1"/>
    </w:rPr>
  </w:style>
  <w:style w:type="paragraph" w:styleId="EnvelopeAddress">
    <w:name w:val="envelope address"/>
    <w:basedOn w:val="Normal"/>
    <w:uiPriority w:val="99"/>
    <w:semiHidden/>
    <w:unhideWhenUsed/>
    <w:rsid w:val="00620770"/>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20770"/>
    <w:pPr>
      <w:spacing w:before="0" w:after="0"/>
    </w:pPr>
    <w:rPr>
      <w:rFonts w:asciiTheme="majorHAnsi" w:eastAsiaTheme="majorEastAsia" w:hAnsiTheme="majorHAnsi" w:cstheme="majorBidi"/>
    </w:rPr>
  </w:style>
  <w:style w:type="paragraph" w:styleId="IntenseQuote">
    <w:name w:val="Intense Quote"/>
    <w:basedOn w:val="Normal"/>
    <w:next w:val="Normal"/>
    <w:link w:val="IntenseQuoteChar"/>
    <w:uiPriority w:val="30"/>
    <w:semiHidden/>
    <w:qFormat/>
    <w:rsid w:val="00620770"/>
    <w:pPr>
      <w:pBdr>
        <w:top w:val="single" w:sz="4" w:space="10" w:color="081E3E" w:themeColor="accent1"/>
        <w:bottom w:val="single" w:sz="4" w:space="10" w:color="081E3E" w:themeColor="accent1"/>
      </w:pBdr>
      <w:spacing w:before="360" w:after="360"/>
      <w:ind w:left="864" w:right="864"/>
      <w:jc w:val="center"/>
    </w:pPr>
    <w:rPr>
      <w:rFonts w:ascii="Times New Roman" w:eastAsia="Calibri" w:hAnsi="Times New Roman" w:cs="Times New Roman"/>
      <w:i/>
      <w:iCs/>
      <w:color w:val="4F81BD"/>
      <w:kern w:val="0"/>
      <w:sz w:val="24"/>
    </w:rPr>
  </w:style>
  <w:style w:type="character" w:customStyle="1" w:styleId="IntenseQuoteChar1">
    <w:name w:val="Intense Quote Char1"/>
    <w:basedOn w:val="DefaultParagraphFont"/>
    <w:uiPriority w:val="30"/>
    <w:semiHidden/>
    <w:rsid w:val="00620770"/>
    <w:rPr>
      <w:i/>
      <w:iCs/>
      <w:color w:val="081E3E" w:themeColor="accent1"/>
      <w:kern w:val="12"/>
    </w:rPr>
  </w:style>
  <w:style w:type="paragraph" w:styleId="MessageHeader">
    <w:name w:val="Message Header"/>
    <w:basedOn w:val="Normal"/>
    <w:link w:val="MessageHeaderChar1"/>
    <w:uiPriority w:val="99"/>
    <w:semiHidden/>
    <w:unhideWhenUsed/>
    <w:rsid w:val="00620770"/>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620770"/>
    <w:rPr>
      <w:rFonts w:asciiTheme="majorHAnsi" w:eastAsiaTheme="majorEastAsia" w:hAnsiTheme="majorHAnsi" w:cstheme="majorBidi"/>
      <w:kern w:val="12"/>
      <w:sz w:val="24"/>
      <w:szCs w:val="24"/>
      <w:shd w:val="pct20" w:color="auto" w:fill="auto"/>
    </w:rPr>
  </w:style>
  <w:style w:type="paragraph" w:customStyle="1" w:styleId="citeboxright">
    <w:name w:val="citeboxright"/>
    <w:basedOn w:val="Normal"/>
    <w:rsid w:val="00352C22"/>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table2heading0">
    <w:name w:val="table2heading"/>
    <w:basedOn w:val="Normal"/>
    <w:rsid w:val="00C254C6"/>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table20">
    <w:name w:val="table2"/>
    <w:basedOn w:val="Normal"/>
    <w:rsid w:val="00C254C6"/>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character" w:customStyle="1" w:styleId="UnresolvedMention">
    <w:name w:val="Unresolved Mention"/>
    <w:basedOn w:val="DefaultParagraphFont"/>
    <w:uiPriority w:val="99"/>
    <w:semiHidden/>
    <w:unhideWhenUsed/>
    <w:rsid w:val="009D5774"/>
    <w:rPr>
      <w:color w:val="605E5C"/>
      <w:shd w:val="clear" w:color="auto" w:fill="E1DFDD"/>
    </w:rPr>
  </w:style>
  <w:style w:type="table" w:customStyle="1" w:styleId="Table-Style33">
    <w:name w:val="Table-Style33"/>
    <w:basedOn w:val="TableNormal"/>
    <w:rsid w:val="00C35E4A"/>
    <w:pPr>
      <w:spacing w:before="0" w:after="0"/>
    </w:pPr>
    <w:rPr>
      <w:rFonts w:ascii="Arial" w:eastAsia="Times New Roman" w:hAnsi="Arial" w:cs="Times New Roman"/>
      <w:color w:val="auto"/>
    </w:rPr>
    <w:tblPr>
      <w:tblInd w:w="0" w:type="nil"/>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100" w:beforeAutospacing="1" w:afterLines="0" w:after="100" w:afterAutospacing="1" w:line="240" w:lineRule="auto"/>
      </w:pPr>
      <w:rPr>
        <w:rFonts w:ascii="Arial" w:hAnsi="Arial" w:cs="Arial" w:hint="default"/>
        <w:b w:val="0"/>
        <w:color w:val="FFFFFF"/>
        <w:sz w:val="20"/>
        <w:szCs w:val="20"/>
      </w:rPr>
      <w:tblPr/>
      <w:tcPr>
        <w:tcBorders>
          <w:insideV w:val="single" w:sz="6" w:space="0" w:color="FFFFFF"/>
        </w:tcBorders>
        <w:shd w:val="clear" w:color="auto" w:fill="00599C"/>
      </w:tcPr>
    </w:tblStylePr>
  </w:style>
  <w:style w:type="character" w:customStyle="1" w:styleId="ui-provider">
    <w:name w:val="ui-provider"/>
    <w:basedOn w:val="DefaultParagraphFont"/>
    <w:rsid w:val="00B743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8448">
      <w:bodyDiv w:val="1"/>
      <w:marLeft w:val="0"/>
      <w:marRight w:val="0"/>
      <w:marTop w:val="0"/>
      <w:marBottom w:val="0"/>
      <w:divBdr>
        <w:top w:val="none" w:sz="0" w:space="0" w:color="auto"/>
        <w:left w:val="none" w:sz="0" w:space="0" w:color="auto"/>
        <w:bottom w:val="none" w:sz="0" w:space="0" w:color="auto"/>
        <w:right w:val="none" w:sz="0" w:space="0" w:color="auto"/>
      </w:divBdr>
    </w:div>
    <w:div w:id="22097840">
      <w:bodyDiv w:val="1"/>
      <w:marLeft w:val="0"/>
      <w:marRight w:val="0"/>
      <w:marTop w:val="0"/>
      <w:marBottom w:val="0"/>
      <w:divBdr>
        <w:top w:val="none" w:sz="0" w:space="0" w:color="auto"/>
        <w:left w:val="none" w:sz="0" w:space="0" w:color="auto"/>
        <w:bottom w:val="none" w:sz="0" w:space="0" w:color="auto"/>
        <w:right w:val="none" w:sz="0" w:space="0" w:color="auto"/>
      </w:divBdr>
    </w:div>
    <w:div w:id="38743612">
      <w:bodyDiv w:val="1"/>
      <w:marLeft w:val="0"/>
      <w:marRight w:val="0"/>
      <w:marTop w:val="0"/>
      <w:marBottom w:val="0"/>
      <w:divBdr>
        <w:top w:val="none" w:sz="0" w:space="0" w:color="auto"/>
        <w:left w:val="none" w:sz="0" w:space="0" w:color="auto"/>
        <w:bottom w:val="none" w:sz="0" w:space="0" w:color="auto"/>
        <w:right w:val="none" w:sz="0" w:space="0" w:color="auto"/>
      </w:divBdr>
    </w:div>
    <w:div w:id="71053252">
      <w:bodyDiv w:val="1"/>
      <w:marLeft w:val="0"/>
      <w:marRight w:val="0"/>
      <w:marTop w:val="0"/>
      <w:marBottom w:val="0"/>
      <w:divBdr>
        <w:top w:val="none" w:sz="0" w:space="0" w:color="auto"/>
        <w:left w:val="none" w:sz="0" w:space="0" w:color="auto"/>
        <w:bottom w:val="none" w:sz="0" w:space="0" w:color="auto"/>
        <w:right w:val="none" w:sz="0" w:space="0" w:color="auto"/>
      </w:divBdr>
    </w:div>
    <w:div w:id="165290479">
      <w:bodyDiv w:val="1"/>
      <w:marLeft w:val="0"/>
      <w:marRight w:val="0"/>
      <w:marTop w:val="0"/>
      <w:marBottom w:val="0"/>
      <w:divBdr>
        <w:top w:val="none" w:sz="0" w:space="0" w:color="auto"/>
        <w:left w:val="none" w:sz="0" w:space="0" w:color="auto"/>
        <w:bottom w:val="none" w:sz="0" w:space="0" w:color="auto"/>
        <w:right w:val="none" w:sz="0" w:space="0" w:color="auto"/>
      </w:divBdr>
    </w:div>
    <w:div w:id="435909384">
      <w:bodyDiv w:val="1"/>
      <w:marLeft w:val="0"/>
      <w:marRight w:val="0"/>
      <w:marTop w:val="0"/>
      <w:marBottom w:val="0"/>
      <w:divBdr>
        <w:top w:val="none" w:sz="0" w:space="0" w:color="auto"/>
        <w:left w:val="none" w:sz="0" w:space="0" w:color="auto"/>
        <w:bottom w:val="none" w:sz="0" w:space="0" w:color="auto"/>
        <w:right w:val="none" w:sz="0" w:space="0" w:color="auto"/>
      </w:divBdr>
    </w:div>
    <w:div w:id="445122141">
      <w:bodyDiv w:val="1"/>
      <w:marLeft w:val="0"/>
      <w:marRight w:val="0"/>
      <w:marTop w:val="0"/>
      <w:marBottom w:val="0"/>
      <w:divBdr>
        <w:top w:val="none" w:sz="0" w:space="0" w:color="auto"/>
        <w:left w:val="none" w:sz="0" w:space="0" w:color="auto"/>
        <w:bottom w:val="none" w:sz="0" w:space="0" w:color="auto"/>
        <w:right w:val="none" w:sz="0" w:space="0" w:color="auto"/>
      </w:divBdr>
    </w:div>
    <w:div w:id="460149052">
      <w:bodyDiv w:val="1"/>
      <w:marLeft w:val="0"/>
      <w:marRight w:val="0"/>
      <w:marTop w:val="0"/>
      <w:marBottom w:val="0"/>
      <w:divBdr>
        <w:top w:val="none" w:sz="0" w:space="0" w:color="auto"/>
        <w:left w:val="none" w:sz="0" w:space="0" w:color="auto"/>
        <w:bottom w:val="none" w:sz="0" w:space="0" w:color="auto"/>
        <w:right w:val="none" w:sz="0" w:space="0" w:color="auto"/>
      </w:divBdr>
    </w:div>
    <w:div w:id="502356666">
      <w:bodyDiv w:val="1"/>
      <w:marLeft w:val="0"/>
      <w:marRight w:val="0"/>
      <w:marTop w:val="0"/>
      <w:marBottom w:val="0"/>
      <w:divBdr>
        <w:top w:val="none" w:sz="0" w:space="0" w:color="auto"/>
        <w:left w:val="none" w:sz="0" w:space="0" w:color="auto"/>
        <w:bottom w:val="none" w:sz="0" w:space="0" w:color="auto"/>
        <w:right w:val="none" w:sz="0" w:space="0" w:color="auto"/>
      </w:divBdr>
    </w:div>
    <w:div w:id="504245666">
      <w:bodyDiv w:val="1"/>
      <w:marLeft w:val="0"/>
      <w:marRight w:val="0"/>
      <w:marTop w:val="0"/>
      <w:marBottom w:val="0"/>
      <w:divBdr>
        <w:top w:val="none" w:sz="0" w:space="0" w:color="auto"/>
        <w:left w:val="none" w:sz="0" w:space="0" w:color="auto"/>
        <w:bottom w:val="none" w:sz="0" w:space="0" w:color="auto"/>
        <w:right w:val="none" w:sz="0" w:space="0" w:color="auto"/>
      </w:divBdr>
    </w:div>
    <w:div w:id="511723060">
      <w:bodyDiv w:val="1"/>
      <w:marLeft w:val="0"/>
      <w:marRight w:val="0"/>
      <w:marTop w:val="0"/>
      <w:marBottom w:val="0"/>
      <w:divBdr>
        <w:top w:val="none" w:sz="0" w:space="0" w:color="auto"/>
        <w:left w:val="none" w:sz="0" w:space="0" w:color="auto"/>
        <w:bottom w:val="none" w:sz="0" w:space="0" w:color="auto"/>
        <w:right w:val="none" w:sz="0" w:space="0" w:color="auto"/>
      </w:divBdr>
    </w:div>
    <w:div w:id="630281020">
      <w:bodyDiv w:val="1"/>
      <w:marLeft w:val="0"/>
      <w:marRight w:val="0"/>
      <w:marTop w:val="0"/>
      <w:marBottom w:val="0"/>
      <w:divBdr>
        <w:top w:val="none" w:sz="0" w:space="0" w:color="auto"/>
        <w:left w:val="none" w:sz="0" w:space="0" w:color="auto"/>
        <w:bottom w:val="none" w:sz="0" w:space="0" w:color="auto"/>
        <w:right w:val="none" w:sz="0" w:space="0" w:color="auto"/>
      </w:divBdr>
    </w:div>
    <w:div w:id="657146737">
      <w:bodyDiv w:val="1"/>
      <w:marLeft w:val="0"/>
      <w:marRight w:val="0"/>
      <w:marTop w:val="0"/>
      <w:marBottom w:val="0"/>
      <w:divBdr>
        <w:top w:val="none" w:sz="0" w:space="0" w:color="auto"/>
        <w:left w:val="none" w:sz="0" w:space="0" w:color="auto"/>
        <w:bottom w:val="none" w:sz="0" w:space="0" w:color="auto"/>
        <w:right w:val="none" w:sz="0" w:space="0" w:color="auto"/>
      </w:divBdr>
    </w:div>
    <w:div w:id="721251161">
      <w:bodyDiv w:val="1"/>
      <w:marLeft w:val="0"/>
      <w:marRight w:val="0"/>
      <w:marTop w:val="0"/>
      <w:marBottom w:val="0"/>
      <w:divBdr>
        <w:top w:val="none" w:sz="0" w:space="0" w:color="auto"/>
        <w:left w:val="none" w:sz="0" w:space="0" w:color="auto"/>
        <w:bottom w:val="none" w:sz="0" w:space="0" w:color="auto"/>
        <w:right w:val="none" w:sz="0" w:space="0" w:color="auto"/>
      </w:divBdr>
    </w:div>
    <w:div w:id="887567212">
      <w:bodyDiv w:val="1"/>
      <w:marLeft w:val="0"/>
      <w:marRight w:val="0"/>
      <w:marTop w:val="0"/>
      <w:marBottom w:val="0"/>
      <w:divBdr>
        <w:top w:val="none" w:sz="0" w:space="0" w:color="auto"/>
        <w:left w:val="none" w:sz="0" w:space="0" w:color="auto"/>
        <w:bottom w:val="none" w:sz="0" w:space="0" w:color="auto"/>
        <w:right w:val="none" w:sz="0" w:space="0" w:color="auto"/>
      </w:divBdr>
    </w:div>
    <w:div w:id="1036540584">
      <w:bodyDiv w:val="1"/>
      <w:marLeft w:val="0"/>
      <w:marRight w:val="0"/>
      <w:marTop w:val="0"/>
      <w:marBottom w:val="0"/>
      <w:divBdr>
        <w:top w:val="none" w:sz="0" w:space="0" w:color="auto"/>
        <w:left w:val="none" w:sz="0" w:space="0" w:color="auto"/>
        <w:bottom w:val="none" w:sz="0" w:space="0" w:color="auto"/>
        <w:right w:val="none" w:sz="0" w:space="0" w:color="auto"/>
      </w:divBdr>
    </w:div>
    <w:div w:id="1125930716">
      <w:bodyDiv w:val="1"/>
      <w:marLeft w:val="0"/>
      <w:marRight w:val="0"/>
      <w:marTop w:val="0"/>
      <w:marBottom w:val="0"/>
      <w:divBdr>
        <w:top w:val="none" w:sz="0" w:space="0" w:color="auto"/>
        <w:left w:val="none" w:sz="0" w:space="0" w:color="auto"/>
        <w:bottom w:val="none" w:sz="0" w:space="0" w:color="auto"/>
        <w:right w:val="none" w:sz="0" w:space="0" w:color="auto"/>
      </w:divBdr>
    </w:div>
    <w:div w:id="1192036329">
      <w:bodyDiv w:val="1"/>
      <w:marLeft w:val="0"/>
      <w:marRight w:val="0"/>
      <w:marTop w:val="0"/>
      <w:marBottom w:val="0"/>
      <w:divBdr>
        <w:top w:val="none" w:sz="0" w:space="0" w:color="auto"/>
        <w:left w:val="none" w:sz="0" w:space="0" w:color="auto"/>
        <w:bottom w:val="none" w:sz="0" w:space="0" w:color="auto"/>
        <w:right w:val="none" w:sz="0" w:space="0" w:color="auto"/>
      </w:divBdr>
    </w:div>
    <w:div w:id="1263681798">
      <w:bodyDiv w:val="1"/>
      <w:marLeft w:val="0"/>
      <w:marRight w:val="0"/>
      <w:marTop w:val="0"/>
      <w:marBottom w:val="0"/>
      <w:divBdr>
        <w:top w:val="none" w:sz="0" w:space="0" w:color="auto"/>
        <w:left w:val="none" w:sz="0" w:space="0" w:color="auto"/>
        <w:bottom w:val="none" w:sz="0" w:space="0" w:color="auto"/>
        <w:right w:val="none" w:sz="0" w:space="0" w:color="auto"/>
      </w:divBdr>
    </w:div>
    <w:div w:id="1385717119">
      <w:bodyDiv w:val="1"/>
      <w:marLeft w:val="0"/>
      <w:marRight w:val="0"/>
      <w:marTop w:val="0"/>
      <w:marBottom w:val="0"/>
      <w:divBdr>
        <w:top w:val="none" w:sz="0" w:space="0" w:color="auto"/>
        <w:left w:val="none" w:sz="0" w:space="0" w:color="auto"/>
        <w:bottom w:val="none" w:sz="0" w:space="0" w:color="auto"/>
        <w:right w:val="none" w:sz="0" w:space="0" w:color="auto"/>
      </w:divBdr>
    </w:div>
    <w:div w:id="1575580977">
      <w:bodyDiv w:val="1"/>
      <w:marLeft w:val="0"/>
      <w:marRight w:val="0"/>
      <w:marTop w:val="0"/>
      <w:marBottom w:val="0"/>
      <w:divBdr>
        <w:top w:val="none" w:sz="0" w:space="0" w:color="auto"/>
        <w:left w:val="none" w:sz="0" w:space="0" w:color="auto"/>
        <w:bottom w:val="none" w:sz="0" w:space="0" w:color="auto"/>
        <w:right w:val="none" w:sz="0" w:space="0" w:color="auto"/>
      </w:divBdr>
    </w:div>
    <w:div w:id="1616254359">
      <w:bodyDiv w:val="1"/>
      <w:marLeft w:val="0"/>
      <w:marRight w:val="0"/>
      <w:marTop w:val="0"/>
      <w:marBottom w:val="0"/>
      <w:divBdr>
        <w:top w:val="none" w:sz="0" w:space="0" w:color="auto"/>
        <w:left w:val="none" w:sz="0" w:space="0" w:color="auto"/>
        <w:bottom w:val="none" w:sz="0" w:space="0" w:color="auto"/>
        <w:right w:val="none" w:sz="0" w:space="0" w:color="auto"/>
      </w:divBdr>
    </w:div>
    <w:div w:id="1683313189">
      <w:bodyDiv w:val="1"/>
      <w:marLeft w:val="0"/>
      <w:marRight w:val="0"/>
      <w:marTop w:val="0"/>
      <w:marBottom w:val="0"/>
      <w:divBdr>
        <w:top w:val="none" w:sz="0" w:space="0" w:color="auto"/>
        <w:left w:val="none" w:sz="0" w:space="0" w:color="auto"/>
        <w:bottom w:val="none" w:sz="0" w:space="0" w:color="auto"/>
        <w:right w:val="none" w:sz="0" w:space="0" w:color="auto"/>
      </w:divBdr>
    </w:div>
    <w:div w:id="1702896038">
      <w:bodyDiv w:val="1"/>
      <w:marLeft w:val="0"/>
      <w:marRight w:val="0"/>
      <w:marTop w:val="0"/>
      <w:marBottom w:val="0"/>
      <w:divBdr>
        <w:top w:val="none" w:sz="0" w:space="0" w:color="auto"/>
        <w:left w:val="none" w:sz="0" w:space="0" w:color="auto"/>
        <w:bottom w:val="none" w:sz="0" w:space="0" w:color="auto"/>
        <w:right w:val="none" w:sz="0" w:space="0" w:color="auto"/>
      </w:divBdr>
    </w:div>
    <w:div w:id="1710104647">
      <w:bodyDiv w:val="1"/>
      <w:marLeft w:val="0"/>
      <w:marRight w:val="0"/>
      <w:marTop w:val="0"/>
      <w:marBottom w:val="0"/>
      <w:divBdr>
        <w:top w:val="none" w:sz="0" w:space="0" w:color="auto"/>
        <w:left w:val="none" w:sz="0" w:space="0" w:color="auto"/>
        <w:bottom w:val="none" w:sz="0" w:space="0" w:color="auto"/>
        <w:right w:val="none" w:sz="0" w:space="0" w:color="auto"/>
      </w:divBdr>
    </w:div>
    <w:div w:id="1790540966">
      <w:bodyDiv w:val="1"/>
      <w:marLeft w:val="0"/>
      <w:marRight w:val="0"/>
      <w:marTop w:val="0"/>
      <w:marBottom w:val="0"/>
      <w:divBdr>
        <w:top w:val="none" w:sz="0" w:space="0" w:color="auto"/>
        <w:left w:val="none" w:sz="0" w:space="0" w:color="auto"/>
        <w:bottom w:val="none" w:sz="0" w:space="0" w:color="auto"/>
        <w:right w:val="none" w:sz="0" w:space="0" w:color="auto"/>
      </w:divBdr>
    </w:div>
    <w:div w:id="214515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creativecommons.org/licenses/by/4.0/" TargetMode="External"/><Relationship Id="rId26" Type="http://schemas.openxmlformats.org/officeDocument/2006/relationships/header" Target="header6.xml"/><Relationship Id="rId39"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hyperlink" Target="http://www.infrastructure.gov.au/" TargetMode="Externa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10.emf"/><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publishing@infrastructure.gov.au" TargetMode="Externa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www.pmc.gov.au/" TargetMode="Externa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D60C52-3AB5-4920-8027-FBE044A93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26406</Words>
  <Characters>150519</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2024-10-17T01:37:00Z</dcterms:created>
  <dcterms:modified xsi:type="dcterms:W3CDTF">2024-10-17T01:40:00Z</dcterms:modified>
</cp:coreProperties>
</file>