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C82B1" w14:textId="165296BB" w:rsidR="00AF29B6" w:rsidRDefault="00BB7CFD" w:rsidP="00947E3E">
      <w:pPr>
        <w:pStyle w:val="ListParagraph"/>
      </w:pPr>
      <w:bookmarkStart w:id="0" w:name="_GoBack"/>
      <w:bookmarkEnd w:id="0"/>
      <w:r>
        <w:rPr>
          <w:noProof/>
          <w:lang w:eastAsia="en-AU"/>
        </w:rPr>
        <w:drawing>
          <wp:anchor distT="0" distB="0" distL="114300" distR="114300" simplePos="0" relativeHeight="251658240" behindDoc="1" locked="0" layoutInCell="1" allowOverlap="1" wp14:anchorId="25C1737D" wp14:editId="3A1A59B8">
            <wp:simplePos x="0" y="0"/>
            <wp:positionH relativeFrom="margin">
              <wp:posOffset>-922010</wp:posOffset>
            </wp:positionH>
            <wp:positionV relativeFrom="page">
              <wp:align>center</wp:align>
            </wp:positionV>
            <wp:extent cx="7570800" cy="1070901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800" cy="10709019"/>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1442289537"/>
        <w:docPartObj>
          <w:docPartGallery w:val="Cover Pages"/>
          <w:docPartUnique/>
        </w:docPartObj>
      </w:sdtPr>
      <w:sdtEndPr/>
      <w:sdtContent>
        <w:p w14:paraId="15B948DA" w14:textId="59AE7F32" w:rsidR="00947E3E" w:rsidRPr="006D0240" w:rsidRDefault="00947E3E" w:rsidP="00947E3E">
          <w:pPr>
            <w:pStyle w:val="ListParagraph"/>
          </w:pPr>
        </w:p>
        <w:p w14:paraId="002C9476" w14:textId="77777777" w:rsidR="00947E3E" w:rsidRPr="006D0240" w:rsidRDefault="00947E3E" w:rsidP="00947E3E">
          <w:pPr>
            <w:pStyle w:val="Header"/>
            <w:spacing w:after="1200"/>
          </w:pPr>
        </w:p>
        <w:p w14:paraId="033D8FA1" w14:textId="14F27209" w:rsidR="00160B46" w:rsidRPr="00C52212" w:rsidRDefault="00160B46" w:rsidP="00160B46">
          <w:pPr>
            <w:pStyle w:val="Title"/>
            <w:tabs>
              <w:tab w:val="left" w:pos="6379"/>
            </w:tabs>
            <w:spacing w:after="120" w:line="720" w:lineRule="exact"/>
            <w:ind w:right="1982"/>
            <w:rPr>
              <w:rFonts w:ascii="Calibri Light" w:hAnsi="Calibri Light"/>
              <w:b/>
              <w:color w:val="2C384A" w:themeColor="accent1"/>
              <w:spacing w:val="5"/>
              <w:kern w:val="28"/>
              <w:sz w:val="72"/>
              <w:szCs w:val="52"/>
              <w:lang w:eastAsia="en-AU"/>
            </w:rPr>
          </w:pPr>
          <w:r w:rsidRPr="00C52212">
            <w:rPr>
              <w:rFonts w:ascii="Calibri Light" w:hAnsi="Calibri Light"/>
              <w:b/>
              <w:color w:val="2C384A" w:themeColor="accent1"/>
              <w:spacing w:val="5"/>
              <w:kern w:val="28"/>
              <w:sz w:val="72"/>
              <w:szCs w:val="52"/>
              <w:lang w:eastAsia="en-AU"/>
            </w:rPr>
            <w:t xml:space="preserve">Impact Analysis </w:t>
          </w:r>
        </w:p>
        <w:p w14:paraId="49482E5C" w14:textId="77777777" w:rsidR="00947E3E" w:rsidRPr="004E06F5" w:rsidRDefault="00947E3E" w:rsidP="00947E3E">
          <w:pPr>
            <w:pStyle w:val="Title"/>
            <w:tabs>
              <w:tab w:val="left" w:pos="6379"/>
            </w:tabs>
            <w:spacing w:after="120" w:line="720" w:lineRule="exact"/>
            <w:ind w:right="1982"/>
          </w:pPr>
          <w:r>
            <w:t>Merger Reform: A Faster, Stronger and Simpler System for a More Competitive Economy</w:t>
          </w:r>
        </w:p>
        <w:p w14:paraId="0EDFF0A8" w14:textId="4FC5F059" w:rsidR="00947E3E" w:rsidRDefault="00947E3E" w:rsidP="00947E3E">
          <w:pPr>
            <w:pStyle w:val="ReportDate"/>
            <w:rPr>
              <w:rStyle w:val="ReportDateChar"/>
            </w:rPr>
          </w:pPr>
        </w:p>
        <w:p w14:paraId="4073CF25" w14:textId="1AF8AEC6" w:rsidR="00D95D64" w:rsidRDefault="00D95D64" w:rsidP="00947E3E">
          <w:pPr>
            <w:pStyle w:val="ReportDate"/>
            <w:rPr>
              <w:rStyle w:val="ReportDateChar"/>
            </w:rPr>
          </w:pPr>
          <w:r>
            <w:rPr>
              <w:rStyle w:val="ReportDateChar"/>
            </w:rPr>
            <w:t>September 2024</w:t>
          </w:r>
        </w:p>
        <w:p w14:paraId="4020282F" w14:textId="77777777" w:rsidR="00947E3E" w:rsidRPr="00586605" w:rsidRDefault="00947E3E" w:rsidP="00947E3E">
          <w:pPr>
            <w:pStyle w:val="ReportDate"/>
          </w:pPr>
          <w:r>
            <w:rPr>
              <w:rStyle w:val="ReportDateChar"/>
            </w:rPr>
            <w:t xml:space="preserve"> </w:t>
          </w:r>
        </w:p>
        <w:p w14:paraId="2CB27408" w14:textId="77777777" w:rsidR="00947E3E" w:rsidRDefault="00947E3E" w:rsidP="00947E3E">
          <w:pPr>
            <w:rPr>
              <w:noProof/>
            </w:rPr>
          </w:pPr>
        </w:p>
        <w:p w14:paraId="551A3265" w14:textId="77777777" w:rsidR="00947E3E" w:rsidRPr="00DC345F" w:rsidRDefault="00947E3E" w:rsidP="00947E3E">
          <w:pPr>
            <w:pStyle w:val="Instructions"/>
            <w:shd w:val="clear" w:color="auto" w:fill="auto"/>
            <w:ind w:left="0" w:firstLine="720"/>
          </w:pPr>
        </w:p>
        <w:p w14:paraId="690C1E36" w14:textId="77777777" w:rsidR="00947E3E" w:rsidRDefault="00947E3E" w:rsidP="00947E3E">
          <w:pPr>
            <w:rPr>
              <w:noProof/>
            </w:rPr>
          </w:pPr>
        </w:p>
        <w:p w14:paraId="10EFEF70" w14:textId="77777777" w:rsidR="00947E3E" w:rsidRDefault="00947E3E" w:rsidP="00947E3E">
          <w:r>
            <w:br w:type="page"/>
          </w:r>
        </w:p>
      </w:sdtContent>
    </w:sdt>
    <w:p w14:paraId="5FC14BCA" w14:textId="77777777" w:rsidR="00947E3E" w:rsidRPr="00674B25" w:rsidRDefault="00947E3E" w:rsidP="00947E3E">
      <w:pPr>
        <w:rPr>
          <w:rFonts w:eastAsia="Times New Roman" w:cstheme="minorHAnsi"/>
          <w:kern w:val="0"/>
          <w:szCs w:val="20"/>
          <w:lang w:eastAsia="en-AU"/>
          <w14:ligatures w14:val="none"/>
        </w:rPr>
      </w:pPr>
      <w:r w:rsidRPr="00674B25">
        <w:rPr>
          <w:rFonts w:eastAsia="Times New Roman" w:cstheme="minorHAnsi"/>
          <w:kern w:val="0"/>
          <w:szCs w:val="20"/>
          <w:lang w:eastAsia="en-AU"/>
          <w14:ligatures w14:val="none"/>
        </w:rPr>
        <w:lastRenderedPageBreak/>
        <w:t>© Commonwealth of Australia 2024</w:t>
      </w:r>
    </w:p>
    <w:p w14:paraId="158575C1" w14:textId="77777777" w:rsidR="00947E3E" w:rsidRPr="00674B25" w:rsidRDefault="00947E3E" w:rsidP="00947E3E">
      <w:pPr>
        <w:tabs>
          <w:tab w:val="left" w:pos="1650"/>
        </w:tabs>
        <w:spacing w:before="240" w:after="120" w:line="240" w:lineRule="auto"/>
        <w:rPr>
          <w:rFonts w:eastAsia="Times New Roman" w:cstheme="minorHAnsi"/>
          <w:kern w:val="0"/>
          <w:sz w:val="24"/>
          <w:szCs w:val="24"/>
          <w:lang w:eastAsia="en-AU"/>
          <w14:ligatures w14:val="none"/>
        </w:rPr>
      </w:pPr>
      <w:r w:rsidRPr="00674B25">
        <w:rPr>
          <w:rFonts w:eastAsia="Times New Roman" w:cstheme="minorHAnsi"/>
          <w:kern w:val="0"/>
          <w:szCs w:val="20"/>
          <w:lang w:eastAsia="en-AU"/>
          <w14:ligatures w14:val="none"/>
        </w:rPr>
        <w:t>This publication is available for your use under a</w:t>
      </w:r>
      <w:r w:rsidRPr="00674B25">
        <w:rPr>
          <w:rFonts w:eastAsia="Times New Roman" w:cstheme="minorHAnsi"/>
          <w:kern w:val="0"/>
          <w:sz w:val="24"/>
          <w:szCs w:val="24"/>
          <w:lang w:eastAsia="en-AU"/>
          <w14:ligatures w14:val="none"/>
        </w:rPr>
        <w:t xml:space="preserve"> </w:t>
      </w:r>
      <w:hyperlink r:id="rId8" w:history="1">
        <w:r w:rsidRPr="00674B25">
          <w:rPr>
            <w:rFonts w:eastAsia="Times New Roman" w:cstheme="minorHAnsi"/>
            <w:color w:val="3A6FAF"/>
            <w:kern w:val="0"/>
            <w:szCs w:val="20"/>
            <w:lang w:eastAsia="en-AU"/>
            <w14:ligatures w14:val="none"/>
          </w:rPr>
          <w:t>Creative Commons Attribution 3.0 Australia</w:t>
        </w:r>
      </w:hyperlink>
      <w:r w:rsidRPr="00674B25">
        <w:rPr>
          <w:rFonts w:eastAsia="Times New Roman" w:cstheme="minorHAnsi"/>
          <w:kern w:val="0"/>
          <w:sz w:val="24"/>
          <w:szCs w:val="24"/>
          <w:lang w:eastAsia="en-AU"/>
          <w14:ligatures w14:val="none"/>
        </w:rPr>
        <w:t xml:space="preserve"> </w:t>
      </w:r>
      <w:r w:rsidRPr="00674B25">
        <w:rPr>
          <w:rFonts w:eastAsia="Times New Roman" w:cstheme="minorHAnsi"/>
          <w:kern w:val="0"/>
          <w:szCs w:val="20"/>
          <w:lang w:eastAsia="en-AU"/>
          <w14:ligatures w14:val="none"/>
        </w:rPr>
        <w:t>licence, with the exception of the Commonwealth Coat of Arms, the Treasury logo, photographs, images, signatures and where otherwise stated. The full licence terms are available from</w:t>
      </w:r>
      <w:r w:rsidRPr="00674B25">
        <w:rPr>
          <w:rFonts w:eastAsia="Times New Roman" w:cstheme="minorHAnsi"/>
          <w:kern w:val="0"/>
          <w:sz w:val="24"/>
          <w:szCs w:val="24"/>
          <w:lang w:eastAsia="en-AU"/>
          <w14:ligatures w14:val="none"/>
        </w:rPr>
        <w:t xml:space="preserve"> </w:t>
      </w:r>
      <w:hyperlink r:id="rId9" w:history="1">
        <w:r w:rsidRPr="00674B25">
          <w:rPr>
            <w:rFonts w:eastAsia="Times New Roman" w:cstheme="minorHAnsi"/>
            <w:color w:val="3A6FAF"/>
            <w:kern w:val="0"/>
            <w:szCs w:val="20"/>
            <w:lang w:eastAsia="en-AU"/>
            <w14:ligatures w14:val="none"/>
          </w:rPr>
          <w:t>http://creativecommons.org/licenses/by/3.0/au/legalcode</w:t>
        </w:r>
      </w:hyperlink>
      <w:r w:rsidRPr="00674B25">
        <w:rPr>
          <w:rFonts w:eastAsia="Times New Roman" w:cstheme="minorHAnsi"/>
          <w:color w:val="3A6FAF"/>
          <w:kern w:val="0"/>
          <w:szCs w:val="20"/>
          <w:lang w:eastAsia="en-AU"/>
          <w14:ligatures w14:val="none"/>
        </w:rPr>
        <w:t>.</w:t>
      </w:r>
      <w:r w:rsidRPr="00674B25">
        <w:rPr>
          <w:rFonts w:eastAsia="Times New Roman" w:cstheme="minorHAnsi"/>
          <w:kern w:val="0"/>
          <w:sz w:val="24"/>
          <w:szCs w:val="24"/>
          <w:lang w:eastAsia="en-AU"/>
          <w14:ligatures w14:val="none"/>
        </w:rPr>
        <w:t xml:space="preserve"> </w:t>
      </w:r>
    </w:p>
    <w:p w14:paraId="3C0319C5" w14:textId="77777777" w:rsidR="00947E3E" w:rsidRPr="00674B25" w:rsidRDefault="00947E3E" w:rsidP="00947E3E">
      <w:pPr>
        <w:keepNext/>
        <w:spacing w:after="0" w:line="240" w:lineRule="auto"/>
        <w:rPr>
          <w:rFonts w:eastAsia="Times New Roman"/>
          <w:color w:val="004A7F"/>
          <w:kern w:val="0"/>
          <w:sz w:val="20"/>
          <w:szCs w:val="20"/>
          <w:lang w:eastAsia="en-AU"/>
          <w14:ligatures w14:val="none"/>
        </w:rPr>
      </w:pPr>
      <w:r w:rsidRPr="00674B25">
        <w:rPr>
          <w:rFonts w:eastAsia="Times New Roman" w:cstheme="minorHAnsi"/>
          <w:noProof/>
          <w:color w:val="004A7F"/>
          <w:kern w:val="0"/>
          <w:sz w:val="20"/>
          <w:szCs w:val="20"/>
          <w:lang w:eastAsia="en-AU"/>
          <w14:ligatures w14:val="none"/>
        </w:rPr>
        <w:drawing>
          <wp:inline distT="0" distB="0" distL="0" distR="0" wp14:anchorId="657B62D5" wp14:editId="498B63F0">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E007E4B" w14:textId="2E644349" w:rsidR="00947E3E" w:rsidRPr="00674B25" w:rsidRDefault="00947E3E" w:rsidP="00947E3E">
      <w:pPr>
        <w:tabs>
          <w:tab w:val="left" w:pos="1650"/>
        </w:tabs>
        <w:spacing w:before="240" w:after="120" w:line="240" w:lineRule="auto"/>
        <w:rPr>
          <w:rFonts w:eastAsia="Times New Roman"/>
          <w:kern w:val="0"/>
          <w:lang w:eastAsia="en-AU"/>
          <w14:ligatures w14:val="none"/>
        </w:rPr>
      </w:pPr>
      <w:r w:rsidRPr="72EDF575">
        <w:rPr>
          <w:rFonts w:eastAsia="Times New Roman"/>
          <w:kern w:val="0"/>
          <w:lang w:eastAsia="en-AU"/>
          <w14:ligatures w14:val="none"/>
        </w:rPr>
        <w:t>Use of Treasury material under a</w:t>
      </w:r>
      <w:r w:rsidRPr="72EDF575">
        <w:rPr>
          <w:rFonts w:eastAsia="Times New Roman"/>
          <w:kern w:val="0"/>
          <w:sz w:val="24"/>
          <w:szCs w:val="24"/>
          <w:lang w:eastAsia="en-AU"/>
          <w14:ligatures w14:val="none"/>
        </w:rPr>
        <w:t xml:space="preserve"> </w:t>
      </w:r>
      <w:hyperlink r:id="rId11" w:history="1">
        <w:r w:rsidRPr="72EDF575">
          <w:rPr>
            <w:rFonts w:eastAsia="Times New Roman"/>
            <w:color w:val="3A6FAF"/>
            <w:kern w:val="0"/>
            <w:lang w:eastAsia="en-AU"/>
            <w14:ligatures w14:val="none"/>
          </w:rPr>
          <w:t>Creative Commons Attribution 3.0 Australia</w:t>
        </w:r>
      </w:hyperlink>
      <w:r w:rsidRPr="72EDF575">
        <w:rPr>
          <w:rFonts w:eastAsia="Times New Roman"/>
          <w:kern w:val="0"/>
          <w:lang w:eastAsia="en-AU"/>
          <w14:ligatures w14:val="none"/>
        </w:rPr>
        <w:t xml:space="preserve"> licence requires you to attribute the work (but not in any way that suggests that the Treasury </w:t>
      </w:r>
      <w:r w:rsidRPr="7E012978">
        <w:rPr>
          <w:rFonts w:eastAsia="Times New Roman"/>
          <w:kern w:val="0"/>
          <w:lang w:eastAsia="en-AU"/>
          <w14:ligatures w14:val="none"/>
        </w:rPr>
        <w:t>endorses</w:t>
      </w:r>
      <w:r w:rsidRPr="72EDF575">
        <w:rPr>
          <w:rFonts w:eastAsia="Times New Roman"/>
          <w:kern w:val="0"/>
          <w:lang w:eastAsia="en-AU"/>
          <w14:ligatures w14:val="none"/>
        </w:rPr>
        <w:t xml:space="preserve"> you or your use of the work).</w:t>
      </w:r>
    </w:p>
    <w:p w14:paraId="53F9FA62" w14:textId="77777777" w:rsidR="00947E3E" w:rsidRPr="00674B25" w:rsidRDefault="00947E3E" w:rsidP="00947E3E">
      <w:pPr>
        <w:spacing w:before="240" w:after="120" w:line="240" w:lineRule="auto"/>
        <w:rPr>
          <w:rFonts w:eastAsia="Times New Roman" w:cstheme="minorHAnsi"/>
          <w:b/>
          <w:kern w:val="0"/>
          <w:szCs w:val="20"/>
          <w:lang w:eastAsia="en-AU"/>
          <w14:ligatures w14:val="none"/>
        </w:rPr>
      </w:pPr>
      <w:r w:rsidRPr="00674B25">
        <w:rPr>
          <w:rFonts w:eastAsia="Times New Roman" w:cstheme="minorHAnsi"/>
          <w:b/>
          <w:kern w:val="0"/>
          <w:szCs w:val="20"/>
          <w:lang w:eastAsia="en-AU"/>
          <w14:ligatures w14:val="none"/>
        </w:rPr>
        <w:t>Treasury material used ‘as supplied’</w:t>
      </w:r>
    </w:p>
    <w:p w14:paraId="38075419" w14:textId="77777777" w:rsidR="00947E3E" w:rsidRPr="00674B25" w:rsidRDefault="00947E3E" w:rsidP="00947E3E">
      <w:pPr>
        <w:spacing w:before="120" w:after="120" w:line="240" w:lineRule="auto"/>
        <w:rPr>
          <w:rFonts w:eastAsia="Times New Roman" w:cstheme="minorHAnsi"/>
          <w:kern w:val="0"/>
          <w:szCs w:val="20"/>
          <w:lang w:eastAsia="en-AU"/>
          <w14:ligatures w14:val="none"/>
        </w:rPr>
      </w:pPr>
      <w:r w:rsidRPr="00674B25">
        <w:rPr>
          <w:rFonts w:eastAsia="Times New Roman" w:cstheme="minorHAnsi"/>
          <w:kern w:val="0"/>
          <w:szCs w:val="20"/>
          <w:lang w:eastAsia="en-AU"/>
          <w14:ligatures w14:val="none"/>
        </w:rPr>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0C321C66" w14:textId="77777777" w:rsidR="00947E3E" w:rsidRPr="00674B25" w:rsidRDefault="00947E3E" w:rsidP="00947E3E">
      <w:pPr>
        <w:spacing w:before="120" w:after="120" w:line="240" w:lineRule="auto"/>
        <w:ind w:firstLine="720"/>
        <w:rPr>
          <w:rFonts w:eastAsia="Times New Roman" w:cstheme="minorHAnsi"/>
          <w:kern w:val="0"/>
          <w:szCs w:val="20"/>
          <w:lang w:eastAsia="en-AU"/>
          <w14:ligatures w14:val="none"/>
        </w:rPr>
      </w:pPr>
      <w:r w:rsidRPr="00674B25">
        <w:rPr>
          <w:rFonts w:eastAsia="Times New Roman" w:cstheme="minorHAnsi"/>
          <w:i/>
          <w:kern w:val="0"/>
          <w:szCs w:val="20"/>
          <w:lang w:eastAsia="en-AU"/>
          <w14:ligatures w14:val="none"/>
        </w:rPr>
        <w:t>Source: The Australian Government the Treasury</w:t>
      </w:r>
      <w:r w:rsidRPr="00674B25">
        <w:rPr>
          <w:rFonts w:eastAsia="Times New Roman" w:cstheme="minorHAnsi"/>
          <w:kern w:val="0"/>
          <w:szCs w:val="20"/>
          <w:lang w:eastAsia="en-AU"/>
          <w14:ligatures w14:val="none"/>
        </w:rPr>
        <w:t>.</w:t>
      </w:r>
    </w:p>
    <w:p w14:paraId="79783C4F" w14:textId="77777777" w:rsidR="00947E3E" w:rsidRPr="00674B25" w:rsidRDefault="00947E3E" w:rsidP="00947E3E">
      <w:pPr>
        <w:spacing w:before="240" w:after="120" w:line="240" w:lineRule="auto"/>
        <w:rPr>
          <w:rFonts w:eastAsia="Times New Roman" w:cstheme="minorHAnsi"/>
          <w:kern w:val="0"/>
          <w:szCs w:val="20"/>
          <w:lang w:eastAsia="en-AU"/>
          <w14:ligatures w14:val="none"/>
        </w:rPr>
      </w:pPr>
      <w:r w:rsidRPr="00674B25">
        <w:rPr>
          <w:rFonts w:eastAsia="Times New Roman" w:cstheme="minorHAnsi"/>
          <w:b/>
          <w:kern w:val="0"/>
          <w:szCs w:val="20"/>
          <w:lang w:eastAsia="en-AU"/>
          <w14:ligatures w14:val="none"/>
        </w:rPr>
        <w:t>Derivative</w:t>
      </w:r>
      <w:r w:rsidRPr="00674B25">
        <w:rPr>
          <w:rFonts w:eastAsia="Times New Roman" w:cstheme="minorHAnsi"/>
          <w:kern w:val="0"/>
          <w:szCs w:val="20"/>
          <w:lang w:eastAsia="en-AU"/>
          <w14:ligatures w14:val="none"/>
        </w:rPr>
        <w:t xml:space="preserve"> </w:t>
      </w:r>
      <w:r w:rsidRPr="00674B25">
        <w:rPr>
          <w:rFonts w:eastAsia="Times New Roman" w:cstheme="minorHAnsi"/>
          <w:b/>
          <w:kern w:val="0"/>
          <w:szCs w:val="20"/>
          <w:lang w:eastAsia="en-AU"/>
          <w14:ligatures w14:val="none"/>
        </w:rPr>
        <w:t>material</w:t>
      </w:r>
    </w:p>
    <w:p w14:paraId="14AE98F0" w14:textId="77777777" w:rsidR="00947E3E" w:rsidRPr="00674B25" w:rsidRDefault="00947E3E" w:rsidP="00947E3E">
      <w:pPr>
        <w:spacing w:before="120" w:after="120" w:line="240" w:lineRule="auto"/>
        <w:rPr>
          <w:rFonts w:eastAsia="Times New Roman" w:cstheme="minorHAnsi"/>
          <w:kern w:val="0"/>
          <w:szCs w:val="20"/>
          <w:lang w:eastAsia="en-AU"/>
          <w14:ligatures w14:val="none"/>
        </w:rPr>
      </w:pPr>
      <w:r w:rsidRPr="00674B25">
        <w:rPr>
          <w:rFonts w:eastAsia="Times New Roman" w:cstheme="minorHAnsi"/>
          <w:kern w:val="0"/>
          <w:szCs w:val="20"/>
          <w:lang w:eastAsia="en-AU"/>
          <w14:ligatures w14:val="none"/>
        </w:rPr>
        <w:t xml:space="preserve">If you have modified or transformed Treasury material, or derived new material from those of the Treasury in any way, then Treasury prefers the following attribution: </w:t>
      </w:r>
    </w:p>
    <w:p w14:paraId="092DFAF2" w14:textId="77777777" w:rsidR="00947E3E" w:rsidRPr="00674B25" w:rsidRDefault="00947E3E" w:rsidP="00947E3E">
      <w:pPr>
        <w:spacing w:before="120" w:after="120" w:line="240" w:lineRule="auto"/>
        <w:ind w:firstLine="720"/>
        <w:rPr>
          <w:rFonts w:eastAsia="Times New Roman" w:cstheme="minorHAnsi"/>
          <w:kern w:val="0"/>
          <w:szCs w:val="20"/>
          <w:lang w:eastAsia="en-AU"/>
          <w14:ligatures w14:val="none"/>
        </w:rPr>
      </w:pPr>
      <w:r w:rsidRPr="00674B25">
        <w:rPr>
          <w:rFonts w:eastAsia="Times New Roman" w:cstheme="minorHAnsi"/>
          <w:i/>
          <w:kern w:val="0"/>
          <w:szCs w:val="20"/>
          <w:lang w:eastAsia="en-AU"/>
          <w14:ligatures w14:val="none"/>
        </w:rPr>
        <w:t>Based on The Australian Government the Treasury data</w:t>
      </w:r>
      <w:r w:rsidRPr="00674B25">
        <w:rPr>
          <w:rFonts w:eastAsia="Times New Roman" w:cstheme="minorHAnsi"/>
          <w:kern w:val="0"/>
          <w:szCs w:val="20"/>
          <w:lang w:eastAsia="en-AU"/>
          <w14:ligatures w14:val="none"/>
        </w:rPr>
        <w:t>.</w:t>
      </w:r>
    </w:p>
    <w:p w14:paraId="4400BB87" w14:textId="77777777" w:rsidR="00947E3E" w:rsidRPr="00674B25" w:rsidRDefault="00947E3E" w:rsidP="00947E3E">
      <w:pPr>
        <w:spacing w:before="240" w:after="120" w:line="240" w:lineRule="auto"/>
        <w:rPr>
          <w:rFonts w:eastAsia="Times New Roman" w:cstheme="minorHAnsi"/>
          <w:b/>
          <w:kern w:val="0"/>
          <w:szCs w:val="20"/>
          <w:lang w:eastAsia="en-AU"/>
          <w14:ligatures w14:val="none"/>
        </w:rPr>
      </w:pPr>
      <w:r w:rsidRPr="00674B25">
        <w:rPr>
          <w:rFonts w:eastAsia="Times New Roman" w:cstheme="minorHAnsi"/>
          <w:b/>
          <w:kern w:val="0"/>
          <w:szCs w:val="20"/>
          <w:lang w:eastAsia="en-AU"/>
          <w14:ligatures w14:val="none"/>
        </w:rPr>
        <w:t>Use of the Coat of Arms</w:t>
      </w:r>
    </w:p>
    <w:p w14:paraId="6B270AEC" w14:textId="77777777" w:rsidR="00947E3E" w:rsidRPr="00674B25" w:rsidRDefault="00947E3E" w:rsidP="00947E3E">
      <w:pPr>
        <w:spacing w:before="240" w:after="120" w:line="240" w:lineRule="auto"/>
        <w:rPr>
          <w:rFonts w:eastAsia="Times New Roman" w:cstheme="minorHAnsi"/>
          <w:kern w:val="0"/>
          <w:szCs w:val="20"/>
          <w:lang w:eastAsia="en-AU"/>
          <w14:ligatures w14:val="none"/>
        </w:rPr>
      </w:pPr>
      <w:r w:rsidRPr="00674B25">
        <w:rPr>
          <w:rFonts w:eastAsia="Times New Roman" w:cstheme="minorHAnsi"/>
          <w:kern w:val="0"/>
          <w:szCs w:val="20"/>
          <w:lang w:eastAsia="en-AU"/>
          <w14:ligatures w14:val="none"/>
        </w:rPr>
        <w:t xml:space="preserve">The terms under which the Coat of Arms can be used are set out on the Department of the Prime Minister and Cabinet website (see </w:t>
      </w:r>
      <w:hyperlink r:id="rId12" w:history="1">
        <w:r w:rsidRPr="00674B25">
          <w:rPr>
            <w:rFonts w:eastAsia="Times New Roman" w:cstheme="minorHAnsi"/>
            <w:color w:val="3A6FAF"/>
            <w:kern w:val="0"/>
            <w:szCs w:val="20"/>
            <w:lang w:eastAsia="en-AU"/>
            <w14:ligatures w14:val="none"/>
          </w:rPr>
          <w:t>https://www.pmc.gov.au/honours-and-symbols/commonwealth-coat-arms</w:t>
        </w:r>
      </w:hyperlink>
      <w:r w:rsidRPr="00674B25">
        <w:rPr>
          <w:rFonts w:eastAsia="Times New Roman" w:cstheme="minorHAnsi"/>
          <w:kern w:val="0"/>
          <w:szCs w:val="20"/>
          <w:lang w:eastAsia="en-AU"/>
          <w14:ligatures w14:val="none"/>
        </w:rPr>
        <w:t>).</w:t>
      </w:r>
    </w:p>
    <w:p w14:paraId="53DAFA9E" w14:textId="77777777" w:rsidR="00947E3E" w:rsidRPr="00674B25" w:rsidRDefault="00947E3E" w:rsidP="00947E3E">
      <w:pPr>
        <w:spacing w:before="240" w:after="120" w:line="240" w:lineRule="auto"/>
        <w:rPr>
          <w:rFonts w:eastAsia="Times New Roman" w:cstheme="minorHAnsi"/>
          <w:b/>
          <w:kern w:val="0"/>
          <w:szCs w:val="20"/>
          <w:lang w:eastAsia="en-AU"/>
          <w14:ligatures w14:val="none"/>
        </w:rPr>
      </w:pPr>
      <w:r w:rsidRPr="00674B25">
        <w:rPr>
          <w:rFonts w:eastAsia="Times New Roman" w:cstheme="minorHAnsi"/>
          <w:b/>
          <w:kern w:val="0"/>
          <w:szCs w:val="20"/>
          <w:lang w:eastAsia="en-AU"/>
          <w14:ligatures w14:val="none"/>
        </w:rPr>
        <w:t>Other uses</w:t>
      </w:r>
    </w:p>
    <w:p w14:paraId="12CD550B" w14:textId="77777777" w:rsidR="00947E3E" w:rsidRPr="00674B25" w:rsidRDefault="00947E3E" w:rsidP="00947E3E">
      <w:pPr>
        <w:spacing w:before="120" w:after="120" w:line="240" w:lineRule="auto"/>
        <w:rPr>
          <w:rFonts w:eastAsia="Times New Roman" w:cstheme="minorHAnsi"/>
          <w:kern w:val="0"/>
          <w:szCs w:val="20"/>
          <w:lang w:eastAsia="en-AU"/>
          <w14:ligatures w14:val="none"/>
        </w:rPr>
      </w:pPr>
      <w:r w:rsidRPr="00674B25">
        <w:rPr>
          <w:rFonts w:eastAsia="Times New Roman" w:cstheme="minorHAnsi"/>
          <w:kern w:val="0"/>
          <w:szCs w:val="20"/>
          <w:lang w:eastAsia="en-AU"/>
          <w14:ligatures w14:val="none"/>
        </w:rPr>
        <w:t>Enquiries regarding this licence and any other use of this document are welcome at:</w:t>
      </w:r>
    </w:p>
    <w:p w14:paraId="6A445212" w14:textId="77777777" w:rsidR="00947E3E" w:rsidRPr="00674B25" w:rsidRDefault="00947E3E" w:rsidP="00947E3E">
      <w:pPr>
        <w:spacing w:before="120" w:after="120" w:line="240" w:lineRule="auto"/>
        <w:ind w:left="720"/>
        <w:rPr>
          <w:rFonts w:eastAsia="Times New Roman" w:cstheme="minorHAnsi"/>
          <w:color w:val="3A6FAF"/>
          <w:kern w:val="0"/>
          <w:szCs w:val="20"/>
          <w:lang w:eastAsia="en-AU"/>
          <w14:ligatures w14:val="none"/>
        </w:rPr>
      </w:pPr>
      <w:r w:rsidRPr="00674B25">
        <w:rPr>
          <w:rFonts w:eastAsia="Times New Roman" w:cstheme="minorHAnsi"/>
          <w:kern w:val="0"/>
          <w:szCs w:val="20"/>
          <w:lang w:eastAsia="en-AU"/>
          <w14:ligatures w14:val="none"/>
        </w:rPr>
        <w:t>Manager</w:t>
      </w:r>
      <w:r w:rsidRPr="00674B25">
        <w:rPr>
          <w:rFonts w:eastAsia="Times New Roman" w:cstheme="minorHAnsi"/>
          <w:kern w:val="0"/>
          <w:szCs w:val="20"/>
          <w:lang w:eastAsia="en-AU"/>
          <w14:ligatures w14:val="none"/>
        </w:rPr>
        <w:br/>
        <w:t>Media Unit</w:t>
      </w:r>
      <w:r w:rsidRPr="00674B25">
        <w:rPr>
          <w:rFonts w:eastAsia="Times New Roman" w:cstheme="minorHAnsi"/>
          <w:kern w:val="0"/>
          <w:szCs w:val="20"/>
          <w:lang w:eastAsia="en-AU"/>
          <w14:ligatures w14:val="none"/>
        </w:rPr>
        <w:br/>
        <w:t>The Treasury</w:t>
      </w:r>
      <w:r w:rsidRPr="00674B25">
        <w:rPr>
          <w:rFonts w:eastAsia="Times New Roman" w:cstheme="minorHAnsi"/>
          <w:kern w:val="0"/>
          <w:szCs w:val="20"/>
          <w:lang w:eastAsia="en-AU"/>
          <w14:ligatures w14:val="none"/>
        </w:rPr>
        <w:br/>
        <w:t xml:space="preserve">Langton Crescent </w:t>
      </w:r>
      <w:r w:rsidRPr="00674B25">
        <w:rPr>
          <w:rFonts w:eastAsia="Times New Roman" w:cstheme="minorHAnsi"/>
          <w:kern w:val="0"/>
          <w:szCs w:val="20"/>
          <w:lang w:eastAsia="en-AU"/>
          <w14:ligatures w14:val="none"/>
        </w:rPr>
        <w:br/>
        <w:t>Parkes ACT 2600</w:t>
      </w:r>
      <w:r w:rsidRPr="00674B25">
        <w:rPr>
          <w:rFonts w:eastAsia="Times New Roman" w:cstheme="minorHAnsi"/>
          <w:kern w:val="0"/>
          <w:szCs w:val="20"/>
          <w:lang w:eastAsia="en-AU"/>
          <w14:ligatures w14:val="none"/>
        </w:rPr>
        <w:br/>
        <w:t xml:space="preserve">Email: </w:t>
      </w:r>
      <w:hyperlink r:id="rId13" w:history="1">
        <w:r w:rsidRPr="00674B25">
          <w:rPr>
            <w:rFonts w:eastAsia="Times New Roman" w:cstheme="minorHAnsi"/>
            <w:color w:val="3A6FAF"/>
            <w:kern w:val="0"/>
            <w:szCs w:val="20"/>
            <w:lang w:eastAsia="en-AU"/>
            <w14:ligatures w14:val="none"/>
          </w:rPr>
          <w:t>media@treasury.gov.au</w:t>
        </w:r>
      </w:hyperlink>
    </w:p>
    <w:p w14:paraId="5A0D7CE4" w14:textId="77777777" w:rsidR="00947E3E" w:rsidRDefault="00947E3E" w:rsidP="00947E3E">
      <w:pPr>
        <w:pStyle w:val="Heading1"/>
        <w:sectPr w:rsidR="00947E3E" w:rsidSect="00E4687A">
          <w:headerReference w:type="even" r:id="rId14"/>
          <w:headerReference w:type="default" r:id="rId15"/>
          <w:footerReference w:type="even" r:id="rId16"/>
          <w:footerReference w:type="default" r:id="rId17"/>
          <w:headerReference w:type="first" r:id="rId18"/>
          <w:footerReference w:type="first" r:id="rId19"/>
          <w:pgSz w:w="11906" w:h="16838" w:code="9"/>
          <w:pgMar w:top="1843" w:right="1418" w:bottom="1418" w:left="1418" w:header="709" w:footer="709" w:gutter="0"/>
          <w:pgNumType w:fmt="lowerRoman" w:start="0"/>
          <w:cols w:space="708"/>
          <w:titlePg/>
          <w:docGrid w:linePitch="360"/>
        </w:sectPr>
      </w:pPr>
    </w:p>
    <w:p w14:paraId="527D1670" w14:textId="77777777" w:rsidR="00947E3E" w:rsidRPr="00D73AA6" w:rsidRDefault="00947E3E" w:rsidP="00947E3E">
      <w:pPr>
        <w:pStyle w:val="Heading1"/>
        <w:tabs>
          <w:tab w:val="left" w:pos="5475"/>
        </w:tabs>
      </w:pPr>
      <w:bookmarkStart w:id="1" w:name="_Toc158988606"/>
      <w:bookmarkStart w:id="2" w:name="_Toc160013864"/>
      <w:bookmarkStart w:id="3" w:name="_Toc162428342"/>
      <w:bookmarkStart w:id="4" w:name="_Toc176972349"/>
      <w:r w:rsidRPr="00D73AA6">
        <w:lastRenderedPageBreak/>
        <w:t>Contents</w:t>
      </w:r>
      <w:bookmarkEnd w:id="1"/>
      <w:bookmarkEnd w:id="2"/>
      <w:bookmarkEnd w:id="3"/>
      <w:bookmarkEnd w:id="4"/>
      <w:r>
        <w:tab/>
      </w:r>
    </w:p>
    <w:bookmarkStart w:id="5" w:name="_Toc432067103"/>
    <w:bookmarkStart w:id="6" w:name="_Toc452635030"/>
    <w:p w14:paraId="129B28D9" w14:textId="406CBB43" w:rsidR="009575A2" w:rsidRDefault="00947E3E">
      <w:pPr>
        <w:pStyle w:val="TOC1"/>
        <w:rPr>
          <w:rFonts w:asciiTheme="minorHAnsi" w:eastAsiaTheme="minorEastAsia" w:hAnsiTheme="minorHAnsi" w:cstheme="minorBidi"/>
          <w:b w:val="0"/>
          <w:color w:val="auto"/>
          <w:kern w:val="2"/>
          <w14:ligatures w14:val="standardContextual"/>
        </w:rPr>
      </w:pPr>
      <w:r w:rsidRPr="00AF539E">
        <w:rPr>
          <w:rFonts w:asciiTheme="minorHAnsi" w:hAnsiTheme="minorHAnsi" w:cstheme="minorHAnsi"/>
          <w:color w:val="004A7F"/>
          <w:kern w:val="32"/>
          <w:sz w:val="44"/>
        </w:rPr>
        <w:fldChar w:fldCharType="begin"/>
      </w:r>
      <w:r w:rsidRPr="00AF539E">
        <w:rPr>
          <w:rFonts w:asciiTheme="minorHAnsi" w:hAnsiTheme="minorHAnsi" w:cstheme="minorHAnsi"/>
          <w:color w:val="004A7F"/>
          <w:kern w:val="32"/>
          <w:sz w:val="44"/>
        </w:rPr>
        <w:instrText xml:space="preserve"> TOC \o "1-3" \h \z \u </w:instrText>
      </w:r>
      <w:r w:rsidRPr="00AF539E">
        <w:rPr>
          <w:rFonts w:asciiTheme="minorHAnsi" w:hAnsiTheme="minorHAnsi" w:cstheme="minorHAnsi"/>
          <w:color w:val="004A7F"/>
          <w:kern w:val="32"/>
          <w:sz w:val="44"/>
        </w:rPr>
        <w:fldChar w:fldCharType="separate"/>
      </w:r>
      <w:hyperlink w:anchor="_Toc176972349" w:history="1">
        <w:r w:rsidR="009575A2" w:rsidRPr="00210E12">
          <w:rPr>
            <w:rStyle w:val="Hyperlink"/>
          </w:rPr>
          <w:t>Contents</w:t>
        </w:r>
        <w:r w:rsidR="009575A2">
          <w:rPr>
            <w:webHidden/>
          </w:rPr>
          <w:tab/>
        </w:r>
        <w:r w:rsidR="009575A2">
          <w:rPr>
            <w:webHidden/>
          </w:rPr>
          <w:fldChar w:fldCharType="begin"/>
        </w:r>
        <w:r w:rsidR="009575A2">
          <w:rPr>
            <w:webHidden/>
          </w:rPr>
          <w:instrText xml:space="preserve"> PAGEREF _Toc176972349 \h </w:instrText>
        </w:r>
        <w:r w:rsidR="009575A2">
          <w:rPr>
            <w:webHidden/>
          </w:rPr>
        </w:r>
        <w:r w:rsidR="009575A2">
          <w:rPr>
            <w:webHidden/>
          </w:rPr>
          <w:fldChar w:fldCharType="separate"/>
        </w:r>
        <w:r w:rsidR="009575A2">
          <w:rPr>
            <w:webHidden/>
          </w:rPr>
          <w:t>iii</w:t>
        </w:r>
        <w:r w:rsidR="009575A2">
          <w:rPr>
            <w:webHidden/>
          </w:rPr>
          <w:fldChar w:fldCharType="end"/>
        </w:r>
      </w:hyperlink>
    </w:p>
    <w:p w14:paraId="657AD8BC" w14:textId="02A71C77" w:rsidR="009575A2" w:rsidRDefault="00DC3CDC">
      <w:pPr>
        <w:pStyle w:val="TOC1"/>
        <w:rPr>
          <w:rFonts w:asciiTheme="minorHAnsi" w:eastAsiaTheme="minorEastAsia" w:hAnsiTheme="minorHAnsi" w:cstheme="minorBidi"/>
          <w:b w:val="0"/>
          <w:color w:val="auto"/>
          <w:kern w:val="2"/>
          <w14:ligatures w14:val="standardContextual"/>
        </w:rPr>
      </w:pPr>
      <w:hyperlink w:anchor="_Toc176972350" w:history="1">
        <w:r w:rsidR="009575A2" w:rsidRPr="00210E12">
          <w:rPr>
            <w:rStyle w:val="Hyperlink"/>
          </w:rPr>
          <w:t>Executive Summary</w:t>
        </w:r>
        <w:r w:rsidR="009575A2">
          <w:rPr>
            <w:webHidden/>
          </w:rPr>
          <w:tab/>
        </w:r>
        <w:r w:rsidR="009575A2">
          <w:rPr>
            <w:webHidden/>
          </w:rPr>
          <w:fldChar w:fldCharType="begin"/>
        </w:r>
        <w:r w:rsidR="009575A2">
          <w:rPr>
            <w:webHidden/>
          </w:rPr>
          <w:instrText xml:space="preserve"> PAGEREF _Toc176972350 \h </w:instrText>
        </w:r>
        <w:r w:rsidR="009575A2">
          <w:rPr>
            <w:webHidden/>
          </w:rPr>
        </w:r>
        <w:r w:rsidR="009575A2">
          <w:rPr>
            <w:webHidden/>
          </w:rPr>
          <w:fldChar w:fldCharType="separate"/>
        </w:r>
        <w:r w:rsidR="009575A2">
          <w:rPr>
            <w:webHidden/>
          </w:rPr>
          <w:t>5</w:t>
        </w:r>
        <w:r w:rsidR="009575A2">
          <w:rPr>
            <w:webHidden/>
          </w:rPr>
          <w:fldChar w:fldCharType="end"/>
        </w:r>
      </w:hyperlink>
    </w:p>
    <w:p w14:paraId="34D97E36" w14:textId="4588FE49" w:rsidR="009575A2" w:rsidRDefault="00DC3CDC">
      <w:pPr>
        <w:pStyle w:val="TOC1"/>
        <w:rPr>
          <w:rFonts w:asciiTheme="minorHAnsi" w:eastAsiaTheme="minorEastAsia" w:hAnsiTheme="minorHAnsi" w:cstheme="minorBidi"/>
          <w:b w:val="0"/>
          <w:color w:val="auto"/>
          <w:kern w:val="2"/>
          <w14:ligatures w14:val="standardContextual"/>
        </w:rPr>
      </w:pPr>
      <w:hyperlink w:anchor="_Toc176972351" w:history="1">
        <w:r w:rsidR="009575A2" w:rsidRPr="00210E12">
          <w:rPr>
            <w:rStyle w:val="Hyperlink"/>
          </w:rPr>
          <w:t>Background on merger control</w:t>
        </w:r>
        <w:r w:rsidR="009575A2">
          <w:rPr>
            <w:webHidden/>
          </w:rPr>
          <w:tab/>
        </w:r>
        <w:r w:rsidR="009575A2">
          <w:rPr>
            <w:webHidden/>
          </w:rPr>
          <w:fldChar w:fldCharType="begin"/>
        </w:r>
        <w:r w:rsidR="009575A2">
          <w:rPr>
            <w:webHidden/>
          </w:rPr>
          <w:instrText xml:space="preserve"> PAGEREF _Toc176972351 \h </w:instrText>
        </w:r>
        <w:r w:rsidR="009575A2">
          <w:rPr>
            <w:webHidden/>
          </w:rPr>
        </w:r>
        <w:r w:rsidR="009575A2">
          <w:rPr>
            <w:webHidden/>
          </w:rPr>
          <w:fldChar w:fldCharType="separate"/>
        </w:r>
        <w:r w:rsidR="009575A2">
          <w:rPr>
            <w:webHidden/>
          </w:rPr>
          <w:t>8</w:t>
        </w:r>
        <w:r w:rsidR="009575A2">
          <w:rPr>
            <w:webHidden/>
          </w:rPr>
          <w:fldChar w:fldCharType="end"/>
        </w:r>
      </w:hyperlink>
    </w:p>
    <w:p w14:paraId="16CBB643" w14:textId="44AD23C6" w:rsidR="009575A2" w:rsidRDefault="00DC3CDC">
      <w:pPr>
        <w:pStyle w:val="TOC1"/>
        <w:rPr>
          <w:rFonts w:asciiTheme="minorHAnsi" w:eastAsiaTheme="minorEastAsia" w:hAnsiTheme="minorHAnsi" w:cstheme="minorBidi"/>
          <w:b w:val="0"/>
          <w:color w:val="auto"/>
          <w:kern w:val="2"/>
          <w14:ligatures w14:val="standardContextual"/>
        </w:rPr>
      </w:pPr>
      <w:hyperlink w:anchor="_Toc176972352" w:history="1">
        <w:r w:rsidR="009575A2" w:rsidRPr="00210E12">
          <w:rPr>
            <w:rStyle w:val="Hyperlink"/>
          </w:rPr>
          <w:t>1. What is the problem you are trying to solve and what data are available?</w:t>
        </w:r>
        <w:r w:rsidR="009575A2">
          <w:rPr>
            <w:webHidden/>
          </w:rPr>
          <w:tab/>
        </w:r>
        <w:r w:rsidR="009575A2">
          <w:rPr>
            <w:webHidden/>
          </w:rPr>
          <w:fldChar w:fldCharType="begin"/>
        </w:r>
        <w:r w:rsidR="009575A2">
          <w:rPr>
            <w:webHidden/>
          </w:rPr>
          <w:instrText xml:space="preserve"> PAGEREF _Toc176972352 \h </w:instrText>
        </w:r>
        <w:r w:rsidR="009575A2">
          <w:rPr>
            <w:webHidden/>
          </w:rPr>
        </w:r>
        <w:r w:rsidR="009575A2">
          <w:rPr>
            <w:webHidden/>
          </w:rPr>
          <w:fldChar w:fldCharType="separate"/>
        </w:r>
        <w:r w:rsidR="009575A2">
          <w:rPr>
            <w:webHidden/>
          </w:rPr>
          <w:t>10</w:t>
        </w:r>
        <w:r w:rsidR="009575A2">
          <w:rPr>
            <w:webHidden/>
          </w:rPr>
          <w:fldChar w:fldCharType="end"/>
        </w:r>
      </w:hyperlink>
    </w:p>
    <w:p w14:paraId="201BD73F" w14:textId="6CC744DB" w:rsidR="009575A2" w:rsidRDefault="00DC3CDC">
      <w:pPr>
        <w:pStyle w:val="TOC2"/>
        <w:rPr>
          <w:rFonts w:asciiTheme="minorHAnsi" w:eastAsiaTheme="minorEastAsia" w:hAnsiTheme="minorHAnsi" w:cstheme="minorBidi"/>
          <w:color w:val="auto"/>
          <w:kern w:val="2"/>
          <w:szCs w:val="22"/>
          <w14:ligatures w14:val="standardContextual"/>
        </w:rPr>
      </w:pPr>
      <w:hyperlink w:anchor="_Toc176972353" w:history="1">
        <w:r w:rsidR="009575A2" w:rsidRPr="00210E12">
          <w:rPr>
            <w:rStyle w:val="Hyperlink"/>
          </w:rPr>
          <w:t>What is the problem?</w:t>
        </w:r>
        <w:r w:rsidR="009575A2">
          <w:rPr>
            <w:webHidden/>
          </w:rPr>
          <w:tab/>
        </w:r>
        <w:r w:rsidR="009575A2">
          <w:rPr>
            <w:webHidden/>
          </w:rPr>
          <w:fldChar w:fldCharType="begin"/>
        </w:r>
        <w:r w:rsidR="009575A2">
          <w:rPr>
            <w:webHidden/>
          </w:rPr>
          <w:instrText xml:space="preserve"> PAGEREF _Toc176972353 \h </w:instrText>
        </w:r>
        <w:r w:rsidR="009575A2">
          <w:rPr>
            <w:webHidden/>
          </w:rPr>
        </w:r>
        <w:r w:rsidR="009575A2">
          <w:rPr>
            <w:webHidden/>
          </w:rPr>
          <w:fldChar w:fldCharType="separate"/>
        </w:r>
        <w:r w:rsidR="009575A2">
          <w:rPr>
            <w:webHidden/>
          </w:rPr>
          <w:t>10</w:t>
        </w:r>
        <w:r w:rsidR="009575A2">
          <w:rPr>
            <w:webHidden/>
          </w:rPr>
          <w:fldChar w:fldCharType="end"/>
        </w:r>
      </w:hyperlink>
    </w:p>
    <w:p w14:paraId="671D5A7C" w14:textId="40D9067F" w:rsidR="009575A2" w:rsidRDefault="00DC3CDC">
      <w:pPr>
        <w:pStyle w:val="TOC3"/>
        <w:rPr>
          <w:rFonts w:asciiTheme="minorHAnsi" w:eastAsiaTheme="minorEastAsia" w:hAnsiTheme="minorHAnsi" w:cstheme="minorBidi"/>
          <w:kern w:val="2"/>
          <w:szCs w:val="22"/>
          <w14:ligatures w14:val="standardContextual"/>
        </w:rPr>
      </w:pPr>
      <w:hyperlink w:anchor="_Toc176972354" w:history="1">
        <w:r w:rsidR="009575A2" w:rsidRPr="00210E12">
          <w:rPr>
            <w:rStyle w:val="Hyperlink"/>
          </w:rPr>
          <w:t>Australia’s approach to merger control is unfit for a modern economy</w:t>
        </w:r>
        <w:r w:rsidR="009575A2">
          <w:rPr>
            <w:webHidden/>
          </w:rPr>
          <w:tab/>
        </w:r>
        <w:r w:rsidR="009575A2">
          <w:rPr>
            <w:webHidden/>
          </w:rPr>
          <w:fldChar w:fldCharType="begin"/>
        </w:r>
        <w:r w:rsidR="009575A2">
          <w:rPr>
            <w:webHidden/>
          </w:rPr>
          <w:instrText xml:space="preserve"> PAGEREF _Toc176972354 \h </w:instrText>
        </w:r>
        <w:r w:rsidR="009575A2">
          <w:rPr>
            <w:webHidden/>
          </w:rPr>
        </w:r>
        <w:r w:rsidR="009575A2">
          <w:rPr>
            <w:webHidden/>
          </w:rPr>
          <w:fldChar w:fldCharType="separate"/>
        </w:r>
        <w:r w:rsidR="009575A2">
          <w:rPr>
            <w:webHidden/>
          </w:rPr>
          <w:t>10</w:t>
        </w:r>
        <w:r w:rsidR="009575A2">
          <w:rPr>
            <w:webHidden/>
          </w:rPr>
          <w:fldChar w:fldCharType="end"/>
        </w:r>
      </w:hyperlink>
    </w:p>
    <w:p w14:paraId="6C2535A3" w14:textId="1BE1FBB0" w:rsidR="009575A2" w:rsidRDefault="00DC3CDC">
      <w:pPr>
        <w:pStyle w:val="TOC3"/>
        <w:rPr>
          <w:rFonts w:asciiTheme="minorHAnsi" w:eastAsiaTheme="minorEastAsia" w:hAnsiTheme="minorHAnsi" w:cstheme="minorBidi"/>
          <w:kern w:val="2"/>
          <w:szCs w:val="22"/>
          <w14:ligatures w14:val="standardContextual"/>
        </w:rPr>
      </w:pPr>
      <w:hyperlink w:anchor="_Toc176972355" w:history="1">
        <w:r w:rsidR="009575A2" w:rsidRPr="00210E12">
          <w:rPr>
            <w:rStyle w:val="Hyperlink"/>
          </w:rPr>
          <w:t>Evidence is emerging that competition is declining in Australia</w:t>
        </w:r>
        <w:r w:rsidR="009575A2">
          <w:rPr>
            <w:webHidden/>
          </w:rPr>
          <w:tab/>
        </w:r>
        <w:r w:rsidR="009575A2">
          <w:rPr>
            <w:webHidden/>
          </w:rPr>
          <w:fldChar w:fldCharType="begin"/>
        </w:r>
        <w:r w:rsidR="009575A2">
          <w:rPr>
            <w:webHidden/>
          </w:rPr>
          <w:instrText xml:space="preserve"> PAGEREF _Toc176972355 \h </w:instrText>
        </w:r>
        <w:r w:rsidR="009575A2">
          <w:rPr>
            <w:webHidden/>
          </w:rPr>
        </w:r>
        <w:r w:rsidR="009575A2">
          <w:rPr>
            <w:webHidden/>
          </w:rPr>
          <w:fldChar w:fldCharType="separate"/>
        </w:r>
        <w:r w:rsidR="009575A2">
          <w:rPr>
            <w:webHidden/>
          </w:rPr>
          <w:t>17</w:t>
        </w:r>
        <w:r w:rsidR="009575A2">
          <w:rPr>
            <w:webHidden/>
          </w:rPr>
          <w:fldChar w:fldCharType="end"/>
        </w:r>
      </w:hyperlink>
    </w:p>
    <w:p w14:paraId="6A87B250" w14:textId="61F6C6B6" w:rsidR="009575A2" w:rsidRDefault="00DC3CDC">
      <w:pPr>
        <w:pStyle w:val="TOC1"/>
        <w:rPr>
          <w:rFonts w:asciiTheme="minorHAnsi" w:eastAsiaTheme="minorEastAsia" w:hAnsiTheme="minorHAnsi" w:cstheme="minorBidi"/>
          <w:b w:val="0"/>
          <w:color w:val="auto"/>
          <w:kern w:val="2"/>
          <w14:ligatures w14:val="standardContextual"/>
        </w:rPr>
      </w:pPr>
      <w:hyperlink w:anchor="_Toc176972356" w:history="1">
        <w:r w:rsidR="009575A2" w:rsidRPr="00210E12">
          <w:rPr>
            <w:rStyle w:val="Hyperlink"/>
          </w:rPr>
          <w:t>2. What are the objectives, why is government intervention needed to achieve them, and how will success be measured?</w:t>
        </w:r>
        <w:r w:rsidR="009575A2">
          <w:rPr>
            <w:webHidden/>
          </w:rPr>
          <w:tab/>
        </w:r>
        <w:r w:rsidR="009575A2">
          <w:rPr>
            <w:webHidden/>
          </w:rPr>
          <w:fldChar w:fldCharType="begin"/>
        </w:r>
        <w:r w:rsidR="009575A2">
          <w:rPr>
            <w:webHidden/>
          </w:rPr>
          <w:instrText xml:space="preserve"> PAGEREF _Toc176972356 \h </w:instrText>
        </w:r>
        <w:r w:rsidR="009575A2">
          <w:rPr>
            <w:webHidden/>
          </w:rPr>
        </w:r>
        <w:r w:rsidR="009575A2">
          <w:rPr>
            <w:webHidden/>
          </w:rPr>
          <w:fldChar w:fldCharType="separate"/>
        </w:r>
        <w:r w:rsidR="009575A2">
          <w:rPr>
            <w:webHidden/>
          </w:rPr>
          <w:t>19</w:t>
        </w:r>
        <w:r w:rsidR="009575A2">
          <w:rPr>
            <w:webHidden/>
          </w:rPr>
          <w:fldChar w:fldCharType="end"/>
        </w:r>
      </w:hyperlink>
    </w:p>
    <w:p w14:paraId="72D089E4" w14:textId="4F3A633D" w:rsidR="009575A2" w:rsidRDefault="00DC3CDC">
      <w:pPr>
        <w:pStyle w:val="TOC2"/>
        <w:rPr>
          <w:rFonts w:asciiTheme="minorHAnsi" w:eastAsiaTheme="minorEastAsia" w:hAnsiTheme="minorHAnsi" w:cstheme="minorBidi"/>
          <w:color w:val="auto"/>
          <w:kern w:val="2"/>
          <w:szCs w:val="22"/>
          <w14:ligatures w14:val="standardContextual"/>
        </w:rPr>
      </w:pPr>
      <w:hyperlink w:anchor="_Toc176972357" w:history="1">
        <w:r w:rsidR="009575A2" w:rsidRPr="00210E12">
          <w:rPr>
            <w:rStyle w:val="Hyperlink"/>
          </w:rPr>
          <w:t>What are the objectives?</w:t>
        </w:r>
        <w:r w:rsidR="009575A2">
          <w:rPr>
            <w:webHidden/>
          </w:rPr>
          <w:tab/>
        </w:r>
        <w:r w:rsidR="009575A2">
          <w:rPr>
            <w:webHidden/>
          </w:rPr>
          <w:fldChar w:fldCharType="begin"/>
        </w:r>
        <w:r w:rsidR="009575A2">
          <w:rPr>
            <w:webHidden/>
          </w:rPr>
          <w:instrText xml:space="preserve"> PAGEREF _Toc176972357 \h </w:instrText>
        </w:r>
        <w:r w:rsidR="009575A2">
          <w:rPr>
            <w:webHidden/>
          </w:rPr>
        </w:r>
        <w:r w:rsidR="009575A2">
          <w:rPr>
            <w:webHidden/>
          </w:rPr>
          <w:fldChar w:fldCharType="separate"/>
        </w:r>
        <w:r w:rsidR="009575A2">
          <w:rPr>
            <w:webHidden/>
          </w:rPr>
          <w:t>19</w:t>
        </w:r>
        <w:r w:rsidR="009575A2">
          <w:rPr>
            <w:webHidden/>
          </w:rPr>
          <w:fldChar w:fldCharType="end"/>
        </w:r>
      </w:hyperlink>
    </w:p>
    <w:p w14:paraId="4546E012" w14:textId="5678CCD2" w:rsidR="009575A2" w:rsidRDefault="00DC3CDC">
      <w:pPr>
        <w:pStyle w:val="TOC2"/>
        <w:rPr>
          <w:rFonts w:asciiTheme="minorHAnsi" w:eastAsiaTheme="minorEastAsia" w:hAnsiTheme="minorHAnsi" w:cstheme="minorBidi"/>
          <w:color w:val="auto"/>
          <w:kern w:val="2"/>
          <w:szCs w:val="22"/>
          <w14:ligatures w14:val="standardContextual"/>
        </w:rPr>
      </w:pPr>
      <w:hyperlink w:anchor="_Toc176972358" w:history="1">
        <w:r w:rsidR="009575A2" w:rsidRPr="00210E12">
          <w:rPr>
            <w:rStyle w:val="Hyperlink"/>
          </w:rPr>
          <w:t>Why is government intervention needed to achieve them?</w:t>
        </w:r>
        <w:r w:rsidR="009575A2">
          <w:rPr>
            <w:webHidden/>
          </w:rPr>
          <w:tab/>
        </w:r>
        <w:r w:rsidR="009575A2">
          <w:rPr>
            <w:webHidden/>
          </w:rPr>
          <w:fldChar w:fldCharType="begin"/>
        </w:r>
        <w:r w:rsidR="009575A2">
          <w:rPr>
            <w:webHidden/>
          </w:rPr>
          <w:instrText xml:space="preserve"> PAGEREF _Toc176972358 \h </w:instrText>
        </w:r>
        <w:r w:rsidR="009575A2">
          <w:rPr>
            <w:webHidden/>
          </w:rPr>
        </w:r>
        <w:r w:rsidR="009575A2">
          <w:rPr>
            <w:webHidden/>
          </w:rPr>
          <w:fldChar w:fldCharType="separate"/>
        </w:r>
        <w:r w:rsidR="009575A2">
          <w:rPr>
            <w:webHidden/>
          </w:rPr>
          <w:t>19</w:t>
        </w:r>
        <w:r w:rsidR="009575A2">
          <w:rPr>
            <w:webHidden/>
          </w:rPr>
          <w:fldChar w:fldCharType="end"/>
        </w:r>
      </w:hyperlink>
    </w:p>
    <w:p w14:paraId="4B0EF046" w14:textId="01794383" w:rsidR="009575A2" w:rsidRDefault="00DC3CDC">
      <w:pPr>
        <w:pStyle w:val="TOC2"/>
        <w:rPr>
          <w:rFonts w:asciiTheme="minorHAnsi" w:eastAsiaTheme="minorEastAsia" w:hAnsiTheme="minorHAnsi" w:cstheme="minorBidi"/>
          <w:color w:val="auto"/>
          <w:kern w:val="2"/>
          <w:szCs w:val="22"/>
          <w14:ligatures w14:val="standardContextual"/>
        </w:rPr>
      </w:pPr>
      <w:hyperlink w:anchor="_Toc176972359" w:history="1">
        <w:r w:rsidR="009575A2" w:rsidRPr="00210E12">
          <w:rPr>
            <w:rStyle w:val="Hyperlink"/>
          </w:rPr>
          <w:t>Constraints and barriers to achieving the objectives</w:t>
        </w:r>
        <w:r w:rsidR="009575A2">
          <w:rPr>
            <w:webHidden/>
          </w:rPr>
          <w:tab/>
        </w:r>
        <w:r w:rsidR="009575A2">
          <w:rPr>
            <w:webHidden/>
          </w:rPr>
          <w:fldChar w:fldCharType="begin"/>
        </w:r>
        <w:r w:rsidR="009575A2">
          <w:rPr>
            <w:webHidden/>
          </w:rPr>
          <w:instrText xml:space="preserve"> PAGEREF _Toc176972359 \h </w:instrText>
        </w:r>
        <w:r w:rsidR="009575A2">
          <w:rPr>
            <w:webHidden/>
          </w:rPr>
        </w:r>
        <w:r w:rsidR="009575A2">
          <w:rPr>
            <w:webHidden/>
          </w:rPr>
          <w:fldChar w:fldCharType="separate"/>
        </w:r>
        <w:r w:rsidR="009575A2">
          <w:rPr>
            <w:webHidden/>
          </w:rPr>
          <w:t>19</w:t>
        </w:r>
        <w:r w:rsidR="009575A2">
          <w:rPr>
            <w:webHidden/>
          </w:rPr>
          <w:fldChar w:fldCharType="end"/>
        </w:r>
      </w:hyperlink>
    </w:p>
    <w:p w14:paraId="17249030" w14:textId="6E3AC243" w:rsidR="009575A2" w:rsidRDefault="00DC3CDC">
      <w:pPr>
        <w:pStyle w:val="TOC2"/>
        <w:rPr>
          <w:rFonts w:asciiTheme="minorHAnsi" w:eastAsiaTheme="minorEastAsia" w:hAnsiTheme="minorHAnsi" w:cstheme="minorBidi"/>
          <w:color w:val="auto"/>
          <w:kern w:val="2"/>
          <w:szCs w:val="22"/>
          <w14:ligatures w14:val="standardContextual"/>
        </w:rPr>
      </w:pPr>
      <w:hyperlink w:anchor="_Toc176972360" w:history="1">
        <w:r w:rsidR="009575A2" w:rsidRPr="00210E12">
          <w:rPr>
            <w:rStyle w:val="Hyperlink"/>
          </w:rPr>
          <w:t>How will success be measured?</w:t>
        </w:r>
        <w:r w:rsidR="009575A2">
          <w:rPr>
            <w:webHidden/>
          </w:rPr>
          <w:tab/>
        </w:r>
        <w:r w:rsidR="009575A2">
          <w:rPr>
            <w:webHidden/>
          </w:rPr>
          <w:fldChar w:fldCharType="begin"/>
        </w:r>
        <w:r w:rsidR="009575A2">
          <w:rPr>
            <w:webHidden/>
          </w:rPr>
          <w:instrText xml:space="preserve"> PAGEREF _Toc176972360 \h </w:instrText>
        </w:r>
        <w:r w:rsidR="009575A2">
          <w:rPr>
            <w:webHidden/>
          </w:rPr>
        </w:r>
        <w:r w:rsidR="009575A2">
          <w:rPr>
            <w:webHidden/>
          </w:rPr>
          <w:fldChar w:fldCharType="separate"/>
        </w:r>
        <w:r w:rsidR="009575A2">
          <w:rPr>
            <w:webHidden/>
          </w:rPr>
          <w:t>21</w:t>
        </w:r>
        <w:r w:rsidR="009575A2">
          <w:rPr>
            <w:webHidden/>
          </w:rPr>
          <w:fldChar w:fldCharType="end"/>
        </w:r>
      </w:hyperlink>
    </w:p>
    <w:p w14:paraId="70BC4459" w14:textId="104F6C1E" w:rsidR="009575A2" w:rsidRDefault="00DC3CDC">
      <w:pPr>
        <w:pStyle w:val="TOC1"/>
        <w:rPr>
          <w:rFonts w:asciiTheme="minorHAnsi" w:eastAsiaTheme="minorEastAsia" w:hAnsiTheme="minorHAnsi" w:cstheme="minorBidi"/>
          <w:b w:val="0"/>
          <w:color w:val="auto"/>
          <w:kern w:val="2"/>
          <w14:ligatures w14:val="standardContextual"/>
        </w:rPr>
      </w:pPr>
      <w:hyperlink w:anchor="_Toc176972361" w:history="1">
        <w:r w:rsidR="009575A2" w:rsidRPr="00210E12">
          <w:rPr>
            <w:rStyle w:val="Hyperlink"/>
          </w:rPr>
          <w:t>3. What policy options are you considering?</w:t>
        </w:r>
        <w:r w:rsidR="009575A2">
          <w:rPr>
            <w:webHidden/>
          </w:rPr>
          <w:tab/>
        </w:r>
        <w:r w:rsidR="009575A2">
          <w:rPr>
            <w:webHidden/>
          </w:rPr>
          <w:fldChar w:fldCharType="begin"/>
        </w:r>
        <w:r w:rsidR="009575A2">
          <w:rPr>
            <w:webHidden/>
          </w:rPr>
          <w:instrText xml:space="preserve"> PAGEREF _Toc176972361 \h </w:instrText>
        </w:r>
        <w:r w:rsidR="009575A2">
          <w:rPr>
            <w:webHidden/>
          </w:rPr>
        </w:r>
        <w:r w:rsidR="009575A2">
          <w:rPr>
            <w:webHidden/>
          </w:rPr>
          <w:fldChar w:fldCharType="separate"/>
        </w:r>
        <w:r w:rsidR="009575A2">
          <w:rPr>
            <w:webHidden/>
          </w:rPr>
          <w:t>22</w:t>
        </w:r>
        <w:r w:rsidR="009575A2">
          <w:rPr>
            <w:webHidden/>
          </w:rPr>
          <w:fldChar w:fldCharType="end"/>
        </w:r>
      </w:hyperlink>
    </w:p>
    <w:p w14:paraId="0196EC0B" w14:textId="7855AD79" w:rsidR="009575A2" w:rsidRDefault="00DC3CDC">
      <w:pPr>
        <w:pStyle w:val="TOC2"/>
        <w:rPr>
          <w:rFonts w:asciiTheme="minorHAnsi" w:eastAsiaTheme="minorEastAsia" w:hAnsiTheme="minorHAnsi" w:cstheme="minorBidi"/>
          <w:color w:val="auto"/>
          <w:kern w:val="2"/>
          <w:szCs w:val="22"/>
          <w14:ligatures w14:val="standardContextual"/>
        </w:rPr>
      </w:pPr>
      <w:hyperlink w:anchor="_Toc176972362" w:history="1">
        <w:r w:rsidR="009575A2" w:rsidRPr="00210E12">
          <w:rPr>
            <w:rStyle w:val="Hyperlink"/>
          </w:rPr>
          <w:t>Option 1 – Status Quo</w:t>
        </w:r>
        <w:r w:rsidR="009575A2">
          <w:rPr>
            <w:webHidden/>
          </w:rPr>
          <w:tab/>
        </w:r>
        <w:r w:rsidR="009575A2">
          <w:rPr>
            <w:webHidden/>
          </w:rPr>
          <w:fldChar w:fldCharType="begin"/>
        </w:r>
        <w:r w:rsidR="009575A2">
          <w:rPr>
            <w:webHidden/>
          </w:rPr>
          <w:instrText xml:space="preserve"> PAGEREF _Toc176972362 \h </w:instrText>
        </w:r>
        <w:r w:rsidR="009575A2">
          <w:rPr>
            <w:webHidden/>
          </w:rPr>
        </w:r>
        <w:r w:rsidR="009575A2">
          <w:rPr>
            <w:webHidden/>
          </w:rPr>
          <w:fldChar w:fldCharType="separate"/>
        </w:r>
        <w:r w:rsidR="009575A2">
          <w:rPr>
            <w:webHidden/>
          </w:rPr>
          <w:t>22</w:t>
        </w:r>
        <w:r w:rsidR="009575A2">
          <w:rPr>
            <w:webHidden/>
          </w:rPr>
          <w:fldChar w:fldCharType="end"/>
        </w:r>
      </w:hyperlink>
    </w:p>
    <w:p w14:paraId="15EA1014" w14:textId="21F30BD9" w:rsidR="009575A2" w:rsidRDefault="00DC3CDC">
      <w:pPr>
        <w:pStyle w:val="TOC2"/>
        <w:rPr>
          <w:rFonts w:asciiTheme="minorHAnsi" w:eastAsiaTheme="minorEastAsia" w:hAnsiTheme="minorHAnsi" w:cstheme="minorBidi"/>
          <w:color w:val="auto"/>
          <w:kern w:val="2"/>
          <w:szCs w:val="22"/>
          <w14:ligatures w14:val="standardContextual"/>
        </w:rPr>
      </w:pPr>
      <w:hyperlink w:anchor="_Toc176972363" w:history="1">
        <w:r w:rsidR="009575A2" w:rsidRPr="00210E12">
          <w:rPr>
            <w:rStyle w:val="Hyperlink"/>
          </w:rPr>
          <w:t>Option 2 – Mandatory and suspensory administrative system with an extended SLC test</w:t>
        </w:r>
        <w:r w:rsidR="009575A2">
          <w:rPr>
            <w:webHidden/>
          </w:rPr>
          <w:tab/>
        </w:r>
        <w:r w:rsidR="009575A2">
          <w:rPr>
            <w:webHidden/>
          </w:rPr>
          <w:fldChar w:fldCharType="begin"/>
        </w:r>
        <w:r w:rsidR="009575A2">
          <w:rPr>
            <w:webHidden/>
          </w:rPr>
          <w:instrText xml:space="preserve"> PAGEREF _Toc176972363 \h </w:instrText>
        </w:r>
        <w:r w:rsidR="009575A2">
          <w:rPr>
            <w:webHidden/>
          </w:rPr>
        </w:r>
        <w:r w:rsidR="009575A2">
          <w:rPr>
            <w:webHidden/>
          </w:rPr>
          <w:fldChar w:fldCharType="separate"/>
        </w:r>
        <w:r w:rsidR="009575A2">
          <w:rPr>
            <w:webHidden/>
          </w:rPr>
          <w:t>22</w:t>
        </w:r>
        <w:r w:rsidR="009575A2">
          <w:rPr>
            <w:webHidden/>
          </w:rPr>
          <w:fldChar w:fldCharType="end"/>
        </w:r>
      </w:hyperlink>
    </w:p>
    <w:p w14:paraId="4F779DF1" w14:textId="7ED86B1F" w:rsidR="009575A2" w:rsidRDefault="00DC3CDC">
      <w:pPr>
        <w:pStyle w:val="TOC2"/>
        <w:rPr>
          <w:rFonts w:asciiTheme="minorHAnsi" w:eastAsiaTheme="minorEastAsia" w:hAnsiTheme="minorHAnsi" w:cstheme="minorBidi"/>
          <w:color w:val="auto"/>
          <w:kern w:val="2"/>
          <w:szCs w:val="22"/>
          <w14:ligatures w14:val="standardContextual"/>
        </w:rPr>
      </w:pPr>
      <w:hyperlink w:anchor="_Toc176972364" w:history="1">
        <w:r w:rsidR="009575A2" w:rsidRPr="00210E12">
          <w:rPr>
            <w:rStyle w:val="Hyperlink"/>
          </w:rPr>
          <w:t>Option 3 – Mandatory and suspensory administrative system with a satisfaction test</w:t>
        </w:r>
        <w:r w:rsidR="009575A2">
          <w:rPr>
            <w:webHidden/>
          </w:rPr>
          <w:tab/>
        </w:r>
        <w:r w:rsidR="009575A2">
          <w:rPr>
            <w:webHidden/>
          </w:rPr>
          <w:fldChar w:fldCharType="begin"/>
        </w:r>
        <w:r w:rsidR="009575A2">
          <w:rPr>
            <w:webHidden/>
          </w:rPr>
          <w:instrText xml:space="preserve"> PAGEREF _Toc176972364 \h </w:instrText>
        </w:r>
        <w:r w:rsidR="009575A2">
          <w:rPr>
            <w:webHidden/>
          </w:rPr>
        </w:r>
        <w:r w:rsidR="009575A2">
          <w:rPr>
            <w:webHidden/>
          </w:rPr>
          <w:fldChar w:fldCharType="separate"/>
        </w:r>
        <w:r w:rsidR="009575A2">
          <w:rPr>
            <w:webHidden/>
          </w:rPr>
          <w:t>24</w:t>
        </w:r>
        <w:r w:rsidR="009575A2">
          <w:rPr>
            <w:webHidden/>
          </w:rPr>
          <w:fldChar w:fldCharType="end"/>
        </w:r>
      </w:hyperlink>
    </w:p>
    <w:p w14:paraId="3AF30141" w14:textId="218F651E" w:rsidR="009575A2" w:rsidRDefault="00DC3CDC">
      <w:pPr>
        <w:pStyle w:val="TOC2"/>
        <w:rPr>
          <w:rFonts w:asciiTheme="minorHAnsi" w:eastAsiaTheme="minorEastAsia" w:hAnsiTheme="minorHAnsi" w:cstheme="minorBidi"/>
          <w:color w:val="auto"/>
          <w:kern w:val="2"/>
          <w:szCs w:val="22"/>
          <w14:ligatures w14:val="standardContextual"/>
        </w:rPr>
      </w:pPr>
      <w:hyperlink w:anchor="_Toc176972365" w:history="1">
        <w:r w:rsidR="009575A2" w:rsidRPr="00210E12">
          <w:rPr>
            <w:rStyle w:val="Hyperlink"/>
          </w:rPr>
          <w:t>Option 4 – Mandatory and suspensory judicial enforcement system with a SLC test</w:t>
        </w:r>
        <w:r w:rsidR="009575A2">
          <w:rPr>
            <w:webHidden/>
          </w:rPr>
          <w:tab/>
        </w:r>
        <w:r w:rsidR="009575A2">
          <w:rPr>
            <w:webHidden/>
          </w:rPr>
          <w:fldChar w:fldCharType="begin"/>
        </w:r>
        <w:r w:rsidR="009575A2">
          <w:rPr>
            <w:webHidden/>
          </w:rPr>
          <w:instrText xml:space="preserve"> PAGEREF _Toc176972365 \h </w:instrText>
        </w:r>
        <w:r w:rsidR="009575A2">
          <w:rPr>
            <w:webHidden/>
          </w:rPr>
        </w:r>
        <w:r w:rsidR="009575A2">
          <w:rPr>
            <w:webHidden/>
          </w:rPr>
          <w:fldChar w:fldCharType="separate"/>
        </w:r>
        <w:r w:rsidR="009575A2">
          <w:rPr>
            <w:webHidden/>
          </w:rPr>
          <w:t>24</w:t>
        </w:r>
        <w:r w:rsidR="009575A2">
          <w:rPr>
            <w:webHidden/>
          </w:rPr>
          <w:fldChar w:fldCharType="end"/>
        </w:r>
      </w:hyperlink>
    </w:p>
    <w:p w14:paraId="1783DC8E" w14:textId="396969E9" w:rsidR="009575A2" w:rsidRDefault="00DC3CDC">
      <w:pPr>
        <w:pStyle w:val="TOC2"/>
        <w:rPr>
          <w:rFonts w:asciiTheme="minorHAnsi" w:eastAsiaTheme="minorEastAsia" w:hAnsiTheme="minorHAnsi" w:cstheme="minorBidi"/>
          <w:color w:val="auto"/>
          <w:kern w:val="2"/>
          <w:szCs w:val="22"/>
          <w14:ligatures w14:val="standardContextual"/>
        </w:rPr>
      </w:pPr>
      <w:hyperlink w:anchor="_Toc176972366" w:history="1">
        <w:r w:rsidR="009575A2" w:rsidRPr="00210E12">
          <w:rPr>
            <w:rStyle w:val="Hyperlink"/>
          </w:rPr>
          <w:t>Other options considered</w:t>
        </w:r>
        <w:r w:rsidR="009575A2">
          <w:rPr>
            <w:webHidden/>
          </w:rPr>
          <w:tab/>
        </w:r>
        <w:r w:rsidR="009575A2">
          <w:rPr>
            <w:webHidden/>
          </w:rPr>
          <w:fldChar w:fldCharType="begin"/>
        </w:r>
        <w:r w:rsidR="009575A2">
          <w:rPr>
            <w:webHidden/>
          </w:rPr>
          <w:instrText xml:space="preserve"> PAGEREF _Toc176972366 \h </w:instrText>
        </w:r>
        <w:r w:rsidR="009575A2">
          <w:rPr>
            <w:webHidden/>
          </w:rPr>
        </w:r>
        <w:r w:rsidR="009575A2">
          <w:rPr>
            <w:webHidden/>
          </w:rPr>
          <w:fldChar w:fldCharType="separate"/>
        </w:r>
        <w:r w:rsidR="009575A2">
          <w:rPr>
            <w:webHidden/>
          </w:rPr>
          <w:t>25</w:t>
        </w:r>
        <w:r w:rsidR="009575A2">
          <w:rPr>
            <w:webHidden/>
          </w:rPr>
          <w:fldChar w:fldCharType="end"/>
        </w:r>
      </w:hyperlink>
    </w:p>
    <w:p w14:paraId="38B0E111" w14:textId="6D52D777" w:rsidR="009575A2" w:rsidRDefault="00DC3CDC">
      <w:pPr>
        <w:pStyle w:val="TOC3"/>
        <w:rPr>
          <w:rFonts w:asciiTheme="minorHAnsi" w:eastAsiaTheme="minorEastAsia" w:hAnsiTheme="minorHAnsi" w:cstheme="minorBidi"/>
          <w:kern w:val="2"/>
          <w:szCs w:val="22"/>
          <w14:ligatures w14:val="standardContextual"/>
        </w:rPr>
      </w:pPr>
      <w:hyperlink w:anchor="_Toc176972367" w:history="1">
        <w:r w:rsidR="009575A2" w:rsidRPr="00210E12">
          <w:rPr>
            <w:rStyle w:val="Hyperlink"/>
          </w:rPr>
          <w:t>Voluntary formal clearance</w:t>
        </w:r>
        <w:r w:rsidR="009575A2">
          <w:rPr>
            <w:webHidden/>
          </w:rPr>
          <w:tab/>
        </w:r>
        <w:r w:rsidR="009575A2">
          <w:rPr>
            <w:webHidden/>
          </w:rPr>
          <w:fldChar w:fldCharType="begin"/>
        </w:r>
        <w:r w:rsidR="009575A2">
          <w:rPr>
            <w:webHidden/>
          </w:rPr>
          <w:instrText xml:space="preserve"> PAGEREF _Toc176972367 \h </w:instrText>
        </w:r>
        <w:r w:rsidR="009575A2">
          <w:rPr>
            <w:webHidden/>
          </w:rPr>
        </w:r>
        <w:r w:rsidR="009575A2">
          <w:rPr>
            <w:webHidden/>
          </w:rPr>
          <w:fldChar w:fldCharType="separate"/>
        </w:r>
        <w:r w:rsidR="009575A2">
          <w:rPr>
            <w:webHidden/>
          </w:rPr>
          <w:t>25</w:t>
        </w:r>
        <w:r w:rsidR="009575A2">
          <w:rPr>
            <w:webHidden/>
          </w:rPr>
          <w:fldChar w:fldCharType="end"/>
        </w:r>
      </w:hyperlink>
    </w:p>
    <w:p w14:paraId="74B72CD4" w14:textId="54012701" w:rsidR="009575A2" w:rsidRDefault="00DC3CDC">
      <w:pPr>
        <w:pStyle w:val="TOC3"/>
        <w:rPr>
          <w:rFonts w:asciiTheme="minorHAnsi" w:eastAsiaTheme="minorEastAsia" w:hAnsiTheme="minorHAnsi" w:cstheme="minorBidi"/>
          <w:kern w:val="2"/>
          <w:szCs w:val="22"/>
          <w14:ligatures w14:val="standardContextual"/>
        </w:rPr>
      </w:pPr>
      <w:hyperlink w:anchor="_Toc176972368" w:history="1">
        <w:r w:rsidR="009575A2" w:rsidRPr="00210E12">
          <w:rPr>
            <w:rStyle w:val="Hyperlink"/>
          </w:rPr>
          <w:t>Non-regulatory option</w:t>
        </w:r>
        <w:r w:rsidR="009575A2">
          <w:rPr>
            <w:webHidden/>
          </w:rPr>
          <w:tab/>
        </w:r>
        <w:r w:rsidR="009575A2">
          <w:rPr>
            <w:webHidden/>
          </w:rPr>
          <w:fldChar w:fldCharType="begin"/>
        </w:r>
        <w:r w:rsidR="009575A2">
          <w:rPr>
            <w:webHidden/>
          </w:rPr>
          <w:instrText xml:space="preserve"> PAGEREF _Toc176972368 \h </w:instrText>
        </w:r>
        <w:r w:rsidR="009575A2">
          <w:rPr>
            <w:webHidden/>
          </w:rPr>
        </w:r>
        <w:r w:rsidR="009575A2">
          <w:rPr>
            <w:webHidden/>
          </w:rPr>
          <w:fldChar w:fldCharType="separate"/>
        </w:r>
        <w:r w:rsidR="009575A2">
          <w:rPr>
            <w:webHidden/>
          </w:rPr>
          <w:t>25</w:t>
        </w:r>
        <w:r w:rsidR="009575A2">
          <w:rPr>
            <w:webHidden/>
          </w:rPr>
          <w:fldChar w:fldCharType="end"/>
        </w:r>
      </w:hyperlink>
    </w:p>
    <w:p w14:paraId="323FB12F" w14:textId="0048BC16" w:rsidR="009575A2" w:rsidRDefault="00DC3CDC">
      <w:pPr>
        <w:pStyle w:val="TOC1"/>
        <w:rPr>
          <w:rFonts w:asciiTheme="minorHAnsi" w:eastAsiaTheme="minorEastAsia" w:hAnsiTheme="minorHAnsi" w:cstheme="minorBidi"/>
          <w:b w:val="0"/>
          <w:color w:val="auto"/>
          <w:kern w:val="2"/>
          <w14:ligatures w14:val="standardContextual"/>
        </w:rPr>
      </w:pPr>
      <w:hyperlink w:anchor="_Toc176972369" w:history="1">
        <w:r w:rsidR="009575A2" w:rsidRPr="00210E12">
          <w:rPr>
            <w:rStyle w:val="Hyperlink"/>
          </w:rPr>
          <w:t>4. What is the likely net benefit of each option?</w:t>
        </w:r>
        <w:r w:rsidR="009575A2">
          <w:rPr>
            <w:webHidden/>
          </w:rPr>
          <w:tab/>
        </w:r>
        <w:r w:rsidR="009575A2">
          <w:rPr>
            <w:webHidden/>
          </w:rPr>
          <w:fldChar w:fldCharType="begin"/>
        </w:r>
        <w:r w:rsidR="009575A2">
          <w:rPr>
            <w:webHidden/>
          </w:rPr>
          <w:instrText xml:space="preserve"> PAGEREF _Toc176972369 \h </w:instrText>
        </w:r>
        <w:r w:rsidR="009575A2">
          <w:rPr>
            <w:webHidden/>
          </w:rPr>
        </w:r>
        <w:r w:rsidR="009575A2">
          <w:rPr>
            <w:webHidden/>
          </w:rPr>
          <w:fldChar w:fldCharType="separate"/>
        </w:r>
        <w:r w:rsidR="009575A2">
          <w:rPr>
            <w:webHidden/>
          </w:rPr>
          <w:t>26</w:t>
        </w:r>
        <w:r w:rsidR="009575A2">
          <w:rPr>
            <w:webHidden/>
          </w:rPr>
          <w:fldChar w:fldCharType="end"/>
        </w:r>
      </w:hyperlink>
    </w:p>
    <w:p w14:paraId="507D2EC4" w14:textId="2F67EC4D" w:rsidR="009575A2" w:rsidRDefault="00DC3CDC">
      <w:pPr>
        <w:pStyle w:val="TOC2"/>
        <w:rPr>
          <w:rFonts w:asciiTheme="minorHAnsi" w:eastAsiaTheme="minorEastAsia" w:hAnsiTheme="minorHAnsi" w:cstheme="minorBidi"/>
          <w:color w:val="auto"/>
          <w:kern w:val="2"/>
          <w:szCs w:val="22"/>
          <w14:ligatures w14:val="standardContextual"/>
        </w:rPr>
      </w:pPr>
      <w:hyperlink w:anchor="_Toc176972370" w:history="1">
        <w:r w:rsidR="009575A2" w:rsidRPr="00210E12">
          <w:rPr>
            <w:rStyle w:val="Hyperlink"/>
          </w:rPr>
          <w:t>Option 1 – Status Quo</w:t>
        </w:r>
        <w:r w:rsidR="009575A2">
          <w:rPr>
            <w:webHidden/>
          </w:rPr>
          <w:tab/>
        </w:r>
        <w:r w:rsidR="009575A2">
          <w:rPr>
            <w:webHidden/>
          </w:rPr>
          <w:fldChar w:fldCharType="begin"/>
        </w:r>
        <w:r w:rsidR="009575A2">
          <w:rPr>
            <w:webHidden/>
          </w:rPr>
          <w:instrText xml:space="preserve"> PAGEREF _Toc176972370 \h </w:instrText>
        </w:r>
        <w:r w:rsidR="009575A2">
          <w:rPr>
            <w:webHidden/>
          </w:rPr>
        </w:r>
        <w:r w:rsidR="009575A2">
          <w:rPr>
            <w:webHidden/>
          </w:rPr>
          <w:fldChar w:fldCharType="separate"/>
        </w:r>
        <w:r w:rsidR="009575A2">
          <w:rPr>
            <w:webHidden/>
          </w:rPr>
          <w:t>26</w:t>
        </w:r>
        <w:r w:rsidR="009575A2">
          <w:rPr>
            <w:webHidden/>
          </w:rPr>
          <w:fldChar w:fldCharType="end"/>
        </w:r>
      </w:hyperlink>
    </w:p>
    <w:p w14:paraId="6D77F51C" w14:textId="3BBCA930" w:rsidR="009575A2" w:rsidRDefault="00DC3CDC">
      <w:pPr>
        <w:pStyle w:val="TOC3"/>
        <w:rPr>
          <w:rFonts w:asciiTheme="minorHAnsi" w:eastAsiaTheme="minorEastAsia" w:hAnsiTheme="minorHAnsi" w:cstheme="minorBidi"/>
          <w:kern w:val="2"/>
          <w:szCs w:val="22"/>
          <w14:ligatures w14:val="standardContextual"/>
        </w:rPr>
      </w:pPr>
      <w:hyperlink w:anchor="_Toc176972371" w:history="1">
        <w:r w:rsidR="009575A2" w:rsidRPr="00210E12">
          <w:rPr>
            <w:rStyle w:val="Hyperlink"/>
          </w:rPr>
          <w:t>Advantages</w:t>
        </w:r>
        <w:r w:rsidR="009575A2">
          <w:rPr>
            <w:webHidden/>
          </w:rPr>
          <w:tab/>
        </w:r>
        <w:r w:rsidR="009575A2">
          <w:rPr>
            <w:webHidden/>
          </w:rPr>
          <w:fldChar w:fldCharType="begin"/>
        </w:r>
        <w:r w:rsidR="009575A2">
          <w:rPr>
            <w:webHidden/>
          </w:rPr>
          <w:instrText xml:space="preserve"> PAGEREF _Toc176972371 \h </w:instrText>
        </w:r>
        <w:r w:rsidR="009575A2">
          <w:rPr>
            <w:webHidden/>
          </w:rPr>
        </w:r>
        <w:r w:rsidR="009575A2">
          <w:rPr>
            <w:webHidden/>
          </w:rPr>
          <w:fldChar w:fldCharType="separate"/>
        </w:r>
        <w:r w:rsidR="009575A2">
          <w:rPr>
            <w:webHidden/>
          </w:rPr>
          <w:t>29</w:t>
        </w:r>
        <w:r w:rsidR="009575A2">
          <w:rPr>
            <w:webHidden/>
          </w:rPr>
          <w:fldChar w:fldCharType="end"/>
        </w:r>
      </w:hyperlink>
    </w:p>
    <w:p w14:paraId="2E032032" w14:textId="6C6C2FF4" w:rsidR="009575A2" w:rsidRDefault="00DC3CDC">
      <w:pPr>
        <w:pStyle w:val="TOC2"/>
        <w:rPr>
          <w:rFonts w:asciiTheme="minorHAnsi" w:eastAsiaTheme="minorEastAsia" w:hAnsiTheme="minorHAnsi" w:cstheme="minorBidi"/>
          <w:color w:val="auto"/>
          <w:kern w:val="2"/>
          <w:szCs w:val="22"/>
          <w14:ligatures w14:val="standardContextual"/>
        </w:rPr>
      </w:pPr>
      <w:hyperlink w:anchor="_Toc176972372" w:history="1">
        <w:r w:rsidR="009575A2" w:rsidRPr="00210E12">
          <w:rPr>
            <w:rStyle w:val="Hyperlink"/>
          </w:rPr>
          <w:t>Option 2 – Mandatory and suspensory administrative system with an extended SLC test</w:t>
        </w:r>
        <w:r w:rsidR="009575A2">
          <w:rPr>
            <w:webHidden/>
          </w:rPr>
          <w:tab/>
        </w:r>
        <w:r w:rsidR="009575A2">
          <w:rPr>
            <w:webHidden/>
          </w:rPr>
          <w:fldChar w:fldCharType="begin"/>
        </w:r>
        <w:r w:rsidR="009575A2">
          <w:rPr>
            <w:webHidden/>
          </w:rPr>
          <w:instrText xml:space="preserve"> PAGEREF _Toc176972372 \h </w:instrText>
        </w:r>
        <w:r w:rsidR="009575A2">
          <w:rPr>
            <w:webHidden/>
          </w:rPr>
        </w:r>
        <w:r w:rsidR="009575A2">
          <w:rPr>
            <w:webHidden/>
          </w:rPr>
          <w:fldChar w:fldCharType="separate"/>
        </w:r>
        <w:r w:rsidR="009575A2">
          <w:rPr>
            <w:webHidden/>
          </w:rPr>
          <w:t>29</w:t>
        </w:r>
        <w:r w:rsidR="009575A2">
          <w:rPr>
            <w:webHidden/>
          </w:rPr>
          <w:fldChar w:fldCharType="end"/>
        </w:r>
      </w:hyperlink>
    </w:p>
    <w:p w14:paraId="48F6DCBB" w14:textId="29EA2DE1" w:rsidR="009575A2" w:rsidRDefault="00DC3CDC">
      <w:pPr>
        <w:pStyle w:val="TOC3"/>
        <w:rPr>
          <w:rFonts w:asciiTheme="minorHAnsi" w:eastAsiaTheme="minorEastAsia" w:hAnsiTheme="minorHAnsi" w:cstheme="minorBidi"/>
          <w:kern w:val="2"/>
          <w:szCs w:val="22"/>
          <w14:ligatures w14:val="standardContextual"/>
        </w:rPr>
      </w:pPr>
      <w:hyperlink w:anchor="_Toc176972373" w:history="1">
        <w:r w:rsidR="009575A2" w:rsidRPr="00210E12">
          <w:rPr>
            <w:rStyle w:val="Hyperlink"/>
          </w:rPr>
          <w:t>Benefits</w:t>
        </w:r>
        <w:r w:rsidR="009575A2">
          <w:rPr>
            <w:webHidden/>
          </w:rPr>
          <w:tab/>
        </w:r>
        <w:r w:rsidR="009575A2">
          <w:rPr>
            <w:webHidden/>
          </w:rPr>
          <w:fldChar w:fldCharType="begin"/>
        </w:r>
        <w:r w:rsidR="009575A2">
          <w:rPr>
            <w:webHidden/>
          </w:rPr>
          <w:instrText xml:space="preserve"> PAGEREF _Toc176972373 \h </w:instrText>
        </w:r>
        <w:r w:rsidR="009575A2">
          <w:rPr>
            <w:webHidden/>
          </w:rPr>
        </w:r>
        <w:r w:rsidR="009575A2">
          <w:rPr>
            <w:webHidden/>
          </w:rPr>
          <w:fldChar w:fldCharType="separate"/>
        </w:r>
        <w:r w:rsidR="009575A2">
          <w:rPr>
            <w:webHidden/>
          </w:rPr>
          <w:t>29</w:t>
        </w:r>
        <w:r w:rsidR="009575A2">
          <w:rPr>
            <w:webHidden/>
          </w:rPr>
          <w:fldChar w:fldCharType="end"/>
        </w:r>
      </w:hyperlink>
    </w:p>
    <w:p w14:paraId="417EBF1C" w14:textId="7012016A" w:rsidR="009575A2" w:rsidRDefault="00DC3CDC">
      <w:pPr>
        <w:pStyle w:val="TOC3"/>
        <w:rPr>
          <w:rFonts w:asciiTheme="minorHAnsi" w:eastAsiaTheme="minorEastAsia" w:hAnsiTheme="minorHAnsi" w:cstheme="minorBidi"/>
          <w:kern w:val="2"/>
          <w:szCs w:val="22"/>
          <w14:ligatures w14:val="standardContextual"/>
        </w:rPr>
      </w:pPr>
      <w:hyperlink w:anchor="_Toc176972374" w:history="1">
        <w:r w:rsidR="009575A2" w:rsidRPr="00210E12">
          <w:rPr>
            <w:rStyle w:val="Hyperlink"/>
          </w:rPr>
          <w:t>Costs</w:t>
        </w:r>
        <w:r w:rsidR="009575A2">
          <w:rPr>
            <w:webHidden/>
          </w:rPr>
          <w:tab/>
        </w:r>
        <w:r w:rsidR="009575A2">
          <w:rPr>
            <w:webHidden/>
          </w:rPr>
          <w:fldChar w:fldCharType="begin"/>
        </w:r>
        <w:r w:rsidR="009575A2">
          <w:rPr>
            <w:webHidden/>
          </w:rPr>
          <w:instrText xml:space="preserve"> PAGEREF _Toc176972374 \h </w:instrText>
        </w:r>
        <w:r w:rsidR="009575A2">
          <w:rPr>
            <w:webHidden/>
          </w:rPr>
        </w:r>
        <w:r w:rsidR="009575A2">
          <w:rPr>
            <w:webHidden/>
          </w:rPr>
          <w:fldChar w:fldCharType="separate"/>
        </w:r>
        <w:r w:rsidR="009575A2">
          <w:rPr>
            <w:webHidden/>
          </w:rPr>
          <w:t>32</w:t>
        </w:r>
        <w:r w:rsidR="009575A2">
          <w:rPr>
            <w:webHidden/>
          </w:rPr>
          <w:fldChar w:fldCharType="end"/>
        </w:r>
      </w:hyperlink>
    </w:p>
    <w:p w14:paraId="36767275" w14:textId="17426744" w:rsidR="009575A2" w:rsidRDefault="00DC3CDC">
      <w:pPr>
        <w:pStyle w:val="TOC3"/>
        <w:rPr>
          <w:rFonts w:asciiTheme="minorHAnsi" w:eastAsiaTheme="minorEastAsia" w:hAnsiTheme="minorHAnsi" w:cstheme="minorBidi"/>
          <w:kern w:val="2"/>
          <w:szCs w:val="22"/>
          <w14:ligatures w14:val="standardContextual"/>
        </w:rPr>
      </w:pPr>
      <w:hyperlink w:anchor="_Toc176972375" w:history="1">
        <w:r w:rsidR="009575A2" w:rsidRPr="00210E12">
          <w:rPr>
            <w:rStyle w:val="Hyperlink"/>
          </w:rPr>
          <w:t>Net Benefit</w:t>
        </w:r>
        <w:r w:rsidR="009575A2">
          <w:rPr>
            <w:webHidden/>
          </w:rPr>
          <w:tab/>
        </w:r>
        <w:r w:rsidR="009575A2">
          <w:rPr>
            <w:webHidden/>
          </w:rPr>
          <w:fldChar w:fldCharType="begin"/>
        </w:r>
        <w:r w:rsidR="009575A2">
          <w:rPr>
            <w:webHidden/>
          </w:rPr>
          <w:instrText xml:space="preserve"> PAGEREF _Toc176972375 \h </w:instrText>
        </w:r>
        <w:r w:rsidR="009575A2">
          <w:rPr>
            <w:webHidden/>
          </w:rPr>
        </w:r>
        <w:r w:rsidR="009575A2">
          <w:rPr>
            <w:webHidden/>
          </w:rPr>
          <w:fldChar w:fldCharType="separate"/>
        </w:r>
        <w:r w:rsidR="009575A2">
          <w:rPr>
            <w:webHidden/>
          </w:rPr>
          <w:t>34</w:t>
        </w:r>
        <w:r w:rsidR="009575A2">
          <w:rPr>
            <w:webHidden/>
          </w:rPr>
          <w:fldChar w:fldCharType="end"/>
        </w:r>
      </w:hyperlink>
    </w:p>
    <w:p w14:paraId="7911D1CF" w14:textId="162F1A2C" w:rsidR="009575A2" w:rsidRDefault="00DC3CDC">
      <w:pPr>
        <w:pStyle w:val="TOC2"/>
        <w:rPr>
          <w:rFonts w:asciiTheme="minorHAnsi" w:eastAsiaTheme="minorEastAsia" w:hAnsiTheme="minorHAnsi" w:cstheme="minorBidi"/>
          <w:color w:val="auto"/>
          <w:kern w:val="2"/>
          <w:szCs w:val="22"/>
          <w14:ligatures w14:val="standardContextual"/>
        </w:rPr>
      </w:pPr>
      <w:hyperlink w:anchor="_Toc176972376" w:history="1">
        <w:r w:rsidR="009575A2" w:rsidRPr="00210E12">
          <w:rPr>
            <w:rStyle w:val="Hyperlink"/>
          </w:rPr>
          <w:t>Option 3 – Mandatory and suspensory administrative system with a satisfaction test</w:t>
        </w:r>
        <w:r w:rsidR="009575A2">
          <w:rPr>
            <w:webHidden/>
          </w:rPr>
          <w:tab/>
        </w:r>
        <w:r w:rsidR="009575A2">
          <w:rPr>
            <w:webHidden/>
          </w:rPr>
          <w:fldChar w:fldCharType="begin"/>
        </w:r>
        <w:r w:rsidR="009575A2">
          <w:rPr>
            <w:webHidden/>
          </w:rPr>
          <w:instrText xml:space="preserve"> PAGEREF _Toc176972376 \h </w:instrText>
        </w:r>
        <w:r w:rsidR="009575A2">
          <w:rPr>
            <w:webHidden/>
          </w:rPr>
        </w:r>
        <w:r w:rsidR="009575A2">
          <w:rPr>
            <w:webHidden/>
          </w:rPr>
          <w:fldChar w:fldCharType="separate"/>
        </w:r>
        <w:r w:rsidR="009575A2">
          <w:rPr>
            <w:webHidden/>
          </w:rPr>
          <w:t>34</w:t>
        </w:r>
        <w:r w:rsidR="009575A2">
          <w:rPr>
            <w:webHidden/>
          </w:rPr>
          <w:fldChar w:fldCharType="end"/>
        </w:r>
      </w:hyperlink>
    </w:p>
    <w:p w14:paraId="3BAAF433" w14:textId="5BABA457" w:rsidR="009575A2" w:rsidRDefault="00DC3CDC">
      <w:pPr>
        <w:pStyle w:val="TOC3"/>
        <w:rPr>
          <w:rFonts w:asciiTheme="minorHAnsi" w:eastAsiaTheme="minorEastAsia" w:hAnsiTheme="minorHAnsi" w:cstheme="minorBidi"/>
          <w:kern w:val="2"/>
          <w:szCs w:val="22"/>
          <w14:ligatures w14:val="standardContextual"/>
        </w:rPr>
      </w:pPr>
      <w:hyperlink w:anchor="_Toc176972377" w:history="1">
        <w:r w:rsidR="009575A2" w:rsidRPr="00210E12">
          <w:rPr>
            <w:rStyle w:val="Hyperlink"/>
          </w:rPr>
          <w:t>Benefits</w:t>
        </w:r>
        <w:r w:rsidR="009575A2">
          <w:rPr>
            <w:webHidden/>
          </w:rPr>
          <w:tab/>
        </w:r>
        <w:r w:rsidR="009575A2">
          <w:rPr>
            <w:webHidden/>
          </w:rPr>
          <w:fldChar w:fldCharType="begin"/>
        </w:r>
        <w:r w:rsidR="009575A2">
          <w:rPr>
            <w:webHidden/>
          </w:rPr>
          <w:instrText xml:space="preserve"> PAGEREF _Toc176972377 \h </w:instrText>
        </w:r>
        <w:r w:rsidR="009575A2">
          <w:rPr>
            <w:webHidden/>
          </w:rPr>
        </w:r>
        <w:r w:rsidR="009575A2">
          <w:rPr>
            <w:webHidden/>
          </w:rPr>
          <w:fldChar w:fldCharType="separate"/>
        </w:r>
        <w:r w:rsidR="009575A2">
          <w:rPr>
            <w:webHidden/>
          </w:rPr>
          <w:t>34</w:t>
        </w:r>
        <w:r w:rsidR="009575A2">
          <w:rPr>
            <w:webHidden/>
          </w:rPr>
          <w:fldChar w:fldCharType="end"/>
        </w:r>
      </w:hyperlink>
    </w:p>
    <w:p w14:paraId="28672810" w14:textId="26AFB167" w:rsidR="009575A2" w:rsidRDefault="00DC3CDC">
      <w:pPr>
        <w:pStyle w:val="TOC3"/>
        <w:rPr>
          <w:rFonts w:asciiTheme="minorHAnsi" w:eastAsiaTheme="minorEastAsia" w:hAnsiTheme="minorHAnsi" w:cstheme="minorBidi"/>
          <w:kern w:val="2"/>
          <w:szCs w:val="22"/>
          <w14:ligatures w14:val="standardContextual"/>
        </w:rPr>
      </w:pPr>
      <w:hyperlink w:anchor="_Toc176972378" w:history="1">
        <w:r w:rsidR="009575A2" w:rsidRPr="00210E12">
          <w:rPr>
            <w:rStyle w:val="Hyperlink"/>
          </w:rPr>
          <w:t>Costs</w:t>
        </w:r>
        <w:r w:rsidR="009575A2">
          <w:rPr>
            <w:webHidden/>
          </w:rPr>
          <w:tab/>
        </w:r>
        <w:r w:rsidR="009575A2">
          <w:rPr>
            <w:webHidden/>
          </w:rPr>
          <w:fldChar w:fldCharType="begin"/>
        </w:r>
        <w:r w:rsidR="009575A2">
          <w:rPr>
            <w:webHidden/>
          </w:rPr>
          <w:instrText xml:space="preserve"> PAGEREF _Toc176972378 \h </w:instrText>
        </w:r>
        <w:r w:rsidR="009575A2">
          <w:rPr>
            <w:webHidden/>
          </w:rPr>
        </w:r>
        <w:r w:rsidR="009575A2">
          <w:rPr>
            <w:webHidden/>
          </w:rPr>
          <w:fldChar w:fldCharType="separate"/>
        </w:r>
        <w:r w:rsidR="009575A2">
          <w:rPr>
            <w:webHidden/>
          </w:rPr>
          <w:t>35</w:t>
        </w:r>
        <w:r w:rsidR="009575A2">
          <w:rPr>
            <w:webHidden/>
          </w:rPr>
          <w:fldChar w:fldCharType="end"/>
        </w:r>
      </w:hyperlink>
    </w:p>
    <w:p w14:paraId="1878B7FF" w14:textId="430355B7" w:rsidR="009575A2" w:rsidRDefault="00DC3CDC">
      <w:pPr>
        <w:pStyle w:val="TOC3"/>
        <w:rPr>
          <w:rFonts w:asciiTheme="minorHAnsi" w:eastAsiaTheme="minorEastAsia" w:hAnsiTheme="minorHAnsi" w:cstheme="minorBidi"/>
          <w:kern w:val="2"/>
          <w:szCs w:val="22"/>
          <w14:ligatures w14:val="standardContextual"/>
        </w:rPr>
      </w:pPr>
      <w:hyperlink w:anchor="_Toc176972379" w:history="1">
        <w:r w:rsidR="009575A2" w:rsidRPr="00210E12">
          <w:rPr>
            <w:rStyle w:val="Hyperlink"/>
          </w:rPr>
          <w:t>Net Benefit</w:t>
        </w:r>
        <w:r w:rsidR="009575A2">
          <w:rPr>
            <w:webHidden/>
          </w:rPr>
          <w:tab/>
        </w:r>
        <w:r w:rsidR="009575A2">
          <w:rPr>
            <w:webHidden/>
          </w:rPr>
          <w:fldChar w:fldCharType="begin"/>
        </w:r>
        <w:r w:rsidR="009575A2">
          <w:rPr>
            <w:webHidden/>
          </w:rPr>
          <w:instrText xml:space="preserve"> PAGEREF _Toc176972379 \h </w:instrText>
        </w:r>
        <w:r w:rsidR="009575A2">
          <w:rPr>
            <w:webHidden/>
          </w:rPr>
        </w:r>
        <w:r w:rsidR="009575A2">
          <w:rPr>
            <w:webHidden/>
          </w:rPr>
          <w:fldChar w:fldCharType="separate"/>
        </w:r>
        <w:r w:rsidR="009575A2">
          <w:rPr>
            <w:webHidden/>
          </w:rPr>
          <w:t>37</w:t>
        </w:r>
        <w:r w:rsidR="009575A2">
          <w:rPr>
            <w:webHidden/>
          </w:rPr>
          <w:fldChar w:fldCharType="end"/>
        </w:r>
      </w:hyperlink>
    </w:p>
    <w:p w14:paraId="6A375E5E" w14:textId="5C899A6F" w:rsidR="009575A2" w:rsidRDefault="00DC3CDC">
      <w:pPr>
        <w:pStyle w:val="TOC2"/>
        <w:rPr>
          <w:rFonts w:asciiTheme="minorHAnsi" w:eastAsiaTheme="minorEastAsia" w:hAnsiTheme="minorHAnsi" w:cstheme="minorBidi"/>
          <w:color w:val="auto"/>
          <w:kern w:val="2"/>
          <w:szCs w:val="22"/>
          <w14:ligatures w14:val="standardContextual"/>
        </w:rPr>
      </w:pPr>
      <w:hyperlink w:anchor="_Toc176972380" w:history="1">
        <w:r w:rsidR="009575A2" w:rsidRPr="00210E12">
          <w:rPr>
            <w:rStyle w:val="Hyperlink"/>
          </w:rPr>
          <w:t>Option 4 – Mandatory and suspensory judicial enforcement system with a SLC test</w:t>
        </w:r>
        <w:r w:rsidR="009575A2">
          <w:rPr>
            <w:webHidden/>
          </w:rPr>
          <w:tab/>
        </w:r>
        <w:r w:rsidR="009575A2">
          <w:rPr>
            <w:webHidden/>
          </w:rPr>
          <w:fldChar w:fldCharType="begin"/>
        </w:r>
        <w:r w:rsidR="009575A2">
          <w:rPr>
            <w:webHidden/>
          </w:rPr>
          <w:instrText xml:space="preserve"> PAGEREF _Toc176972380 \h </w:instrText>
        </w:r>
        <w:r w:rsidR="009575A2">
          <w:rPr>
            <w:webHidden/>
          </w:rPr>
        </w:r>
        <w:r w:rsidR="009575A2">
          <w:rPr>
            <w:webHidden/>
          </w:rPr>
          <w:fldChar w:fldCharType="separate"/>
        </w:r>
        <w:r w:rsidR="009575A2">
          <w:rPr>
            <w:webHidden/>
          </w:rPr>
          <w:t>37</w:t>
        </w:r>
        <w:r w:rsidR="009575A2">
          <w:rPr>
            <w:webHidden/>
          </w:rPr>
          <w:fldChar w:fldCharType="end"/>
        </w:r>
      </w:hyperlink>
    </w:p>
    <w:p w14:paraId="692C26D8" w14:textId="12739716" w:rsidR="009575A2" w:rsidRDefault="00DC3CDC">
      <w:pPr>
        <w:pStyle w:val="TOC3"/>
        <w:rPr>
          <w:rFonts w:asciiTheme="minorHAnsi" w:eastAsiaTheme="minorEastAsia" w:hAnsiTheme="minorHAnsi" w:cstheme="minorBidi"/>
          <w:kern w:val="2"/>
          <w:szCs w:val="22"/>
          <w14:ligatures w14:val="standardContextual"/>
        </w:rPr>
      </w:pPr>
      <w:hyperlink w:anchor="_Toc176972381" w:history="1">
        <w:r w:rsidR="009575A2" w:rsidRPr="00210E12">
          <w:rPr>
            <w:rStyle w:val="Hyperlink"/>
          </w:rPr>
          <w:t>Benefits</w:t>
        </w:r>
        <w:r w:rsidR="009575A2">
          <w:rPr>
            <w:webHidden/>
          </w:rPr>
          <w:tab/>
        </w:r>
        <w:r w:rsidR="009575A2">
          <w:rPr>
            <w:webHidden/>
          </w:rPr>
          <w:fldChar w:fldCharType="begin"/>
        </w:r>
        <w:r w:rsidR="009575A2">
          <w:rPr>
            <w:webHidden/>
          </w:rPr>
          <w:instrText xml:space="preserve"> PAGEREF _Toc176972381 \h </w:instrText>
        </w:r>
        <w:r w:rsidR="009575A2">
          <w:rPr>
            <w:webHidden/>
          </w:rPr>
        </w:r>
        <w:r w:rsidR="009575A2">
          <w:rPr>
            <w:webHidden/>
          </w:rPr>
          <w:fldChar w:fldCharType="separate"/>
        </w:r>
        <w:r w:rsidR="009575A2">
          <w:rPr>
            <w:webHidden/>
          </w:rPr>
          <w:t>37</w:t>
        </w:r>
        <w:r w:rsidR="009575A2">
          <w:rPr>
            <w:webHidden/>
          </w:rPr>
          <w:fldChar w:fldCharType="end"/>
        </w:r>
      </w:hyperlink>
    </w:p>
    <w:p w14:paraId="5DDB1F7B" w14:textId="6340502D" w:rsidR="009575A2" w:rsidRDefault="00DC3CDC">
      <w:pPr>
        <w:pStyle w:val="TOC3"/>
        <w:rPr>
          <w:rFonts w:asciiTheme="minorHAnsi" w:eastAsiaTheme="minorEastAsia" w:hAnsiTheme="minorHAnsi" w:cstheme="minorBidi"/>
          <w:kern w:val="2"/>
          <w:szCs w:val="22"/>
          <w14:ligatures w14:val="standardContextual"/>
        </w:rPr>
      </w:pPr>
      <w:hyperlink w:anchor="_Toc176972382" w:history="1">
        <w:r w:rsidR="009575A2" w:rsidRPr="00210E12">
          <w:rPr>
            <w:rStyle w:val="Hyperlink"/>
          </w:rPr>
          <w:t>Costs</w:t>
        </w:r>
        <w:r w:rsidR="009575A2">
          <w:rPr>
            <w:webHidden/>
          </w:rPr>
          <w:tab/>
        </w:r>
        <w:r w:rsidR="009575A2">
          <w:rPr>
            <w:webHidden/>
          </w:rPr>
          <w:fldChar w:fldCharType="begin"/>
        </w:r>
        <w:r w:rsidR="009575A2">
          <w:rPr>
            <w:webHidden/>
          </w:rPr>
          <w:instrText xml:space="preserve"> PAGEREF _Toc176972382 \h </w:instrText>
        </w:r>
        <w:r w:rsidR="009575A2">
          <w:rPr>
            <w:webHidden/>
          </w:rPr>
        </w:r>
        <w:r w:rsidR="009575A2">
          <w:rPr>
            <w:webHidden/>
          </w:rPr>
          <w:fldChar w:fldCharType="separate"/>
        </w:r>
        <w:r w:rsidR="009575A2">
          <w:rPr>
            <w:webHidden/>
          </w:rPr>
          <w:t>37</w:t>
        </w:r>
        <w:r w:rsidR="009575A2">
          <w:rPr>
            <w:webHidden/>
          </w:rPr>
          <w:fldChar w:fldCharType="end"/>
        </w:r>
      </w:hyperlink>
    </w:p>
    <w:p w14:paraId="3A53AAEB" w14:textId="2FF7D3DC" w:rsidR="009575A2" w:rsidRDefault="00DC3CDC">
      <w:pPr>
        <w:pStyle w:val="TOC3"/>
        <w:rPr>
          <w:rFonts w:asciiTheme="minorHAnsi" w:eastAsiaTheme="minorEastAsia" w:hAnsiTheme="minorHAnsi" w:cstheme="minorBidi"/>
          <w:kern w:val="2"/>
          <w:szCs w:val="22"/>
          <w14:ligatures w14:val="standardContextual"/>
        </w:rPr>
      </w:pPr>
      <w:hyperlink w:anchor="_Toc176972383" w:history="1">
        <w:r w:rsidR="009575A2" w:rsidRPr="00210E12">
          <w:rPr>
            <w:rStyle w:val="Hyperlink"/>
          </w:rPr>
          <w:t>Net Benefit</w:t>
        </w:r>
        <w:r w:rsidR="009575A2">
          <w:rPr>
            <w:webHidden/>
          </w:rPr>
          <w:tab/>
        </w:r>
        <w:r w:rsidR="009575A2">
          <w:rPr>
            <w:webHidden/>
          </w:rPr>
          <w:fldChar w:fldCharType="begin"/>
        </w:r>
        <w:r w:rsidR="009575A2">
          <w:rPr>
            <w:webHidden/>
          </w:rPr>
          <w:instrText xml:space="preserve"> PAGEREF _Toc176972383 \h </w:instrText>
        </w:r>
        <w:r w:rsidR="009575A2">
          <w:rPr>
            <w:webHidden/>
          </w:rPr>
        </w:r>
        <w:r w:rsidR="009575A2">
          <w:rPr>
            <w:webHidden/>
          </w:rPr>
          <w:fldChar w:fldCharType="separate"/>
        </w:r>
        <w:r w:rsidR="009575A2">
          <w:rPr>
            <w:webHidden/>
          </w:rPr>
          <w:t>39</w:t>
        </w:r>
        <w:r w:rsidR="009575A2">
          <w:rPr>
            <w:webHidden/>
          </w:rPr>
          <w:fldChar w:fldCharType="end"/>
        </w:r>
      </w:hyperlink>
    </w:p>
    <w:p w14:paraId="36D0CF2A" w14:textId="1E58266C" w:rsidR="009575A2" w:rsidRDefault="00DC3CDC">
      <w:pPr>
        <w:pStyle w:val="TOC1"/>
        <w:rPr>
          <w:rFonts w:asciiTheme="minorHAnsi" w:eastAsiaTheme="minorEastAsia" w:hAnsiTheme="minorHAnsi" w:cstheme="minorBidi"/>
          <w:b w:val="0"/>
          <w:color w:val="auto"/>
          <w:kern w:val="2"/>
          <w14:ligatures w14:val="standardContextual"/>
        </w:rPr>
      </w:pPr>
      <w:hyperlink w:anchor="_Toc176972384" w:history="1">
        <w:r w:rsidR="009575A2" w:rsidRPr="00210E12">
          <w:rPr>
            <w:rStyle w:val="Hyperlink"/>
          </w:rPr>
          <w:t>5. Who did you consult and how did you incorporate their feedback?</w:t>
        </w:r>
        <w:r w:rsidR="009575A2">
          <w:rPr>
            <w:webHidden/>
          </w:rPr>
          <w:tab/>
        </w:r>
        <w:r w:rsidR="009575A2">
          <w:rPr>
            <w:webHidden/>
          </w:rPr>
          <w:fldChar w:fldCharType="begin"/>
        </w:r>
        <w:r w:rsidR="009575A2">
          <w:rPr>
            <w:webHidden/>
          </w:rPr>
          <w:instrText xml:space="preserve"> PAGEREF _Toc176972384 \h </w:instrText>
        </w:r>
        <w:r w:rsidR="009575A2">
          <w:rPr>
            <w:webHidden/>
          </w:rPr>
        </w:r>
        <w:r w:rsidR="009575A2">
          <w:rPr>
            <w:webHidden/>
          </w:rPr>
          <w:fldChar w:fldCharType="separate"/>
        </w:r>
        <w:r w:rsidR="009575A2">
          <w:rPr>
            <w:webHidden/>
          </w:rPr>
          <w:t>40</w:t>
        </w:r>
        <w:r w:rsidR="009575A2">
          <w:rPr>
            <w:webHidden/>
          </w:rPr>
          <w:fldChar w:fldCharType="end"/>
        </w:r>
      </w:hyperlink>
    </w:p>
    <w:p w14:paraId="03A85747" w14:textId="63F7A3EB" w:rsidR="009575A2" w:rsidRDefault="00DC3CDC">
      <w:pPr>
        <w:pStyle w:val="TOC2"/>
        <w:rPr>
          <w:rFonts w:asciiTheme="minorHAnsi" w:eastAsiaTheme="minorEastAsia" w:hAnsiTheme="minorHAnsi" w:cstheme="minorBidi"/>
          <w:color w:val="auto"/>
          <w:kern w:val="2"/>
          <w:szCs w:val="22"/>
          <w14:ligatures w14:val="standardContextual"/>
        </w:rPr>
      </w:pPr>
      <w:hyperlink w:anchor="_Toc176972385" w:history="1">
        <w:r w:rsidR="009575A2" w:rsidRPr="00210E12">
          <w:rPr>
            <w:rStyle w:val="Hyperlink"/>
          </w:rPr>
          <w:t>Consultation paper</w:t>
        </w:r>
        <w:r w:rsidR="009575A2">
          <w:rPr>
            <w:webHidden/>
          </w:rPr>
          <w:tab/>
        </w:r>
        <w:r w:rsidR="009575A2">
          <w:rPr>
            <w:webHidden/>
          </w:rPr>
          <w:fldChar w:fldCharType="begin"/>
        </w:r>
        <w:r w:rsidR="009575A2">
          <w:rPr>
            <w:webHidden/>
          </w:rPr>
          <w:instrText xml:space="preserve"> PAGEREF _Toc176972385 \h </w:instrText>
        </w:r>
        <w:r w:rsidR="009575A2">
          <w:rPr>
            <w:webHidden/>
          </w:rPr>
        </w:r>
        <w:r w:rsidR="009575A2">
          <w:rPr>
            <w:webHidden/>
          </w:rPr>
          <w:fldChar w:fldCharType="separate"/>
        </w:r>
        <w:r w:rsidR="009575A2">
          <w:rPr>
            <w:webHidden/>
          </w:rPr>
          <w:t>40</w:t>
        </w:r>
        <w:r w:rsidR="009575A2">
          <w:rPr>
            <w:webHidden/>
          </w:rPr>
          <w:fldChar w:fldCharType="end"/>
        </w:r>
      </w:hyperlink>
    </w:p>
    <w:p w14:paraId="6C28EA2D" w14:textId="526AE725" w:rsidR="009575A2" w:rsidRDefault="00DC3CDC">
      <w:pPr>
        <w:pStyle w:val="TOC3"/>
        <w:rPr>
          <w:rFonts w:asciiTheme="minorHAnsi" w:eastAsiaTheme="minorEastAsia" w:hAnsiTheme="minorHAnsi" w:cstheme="minorBidi"/>
          <w:kern w:val="2"/>
          <w:szCs w:val="22"/>
          <w14:ligatures w14:val="standardContextual"/>
        </w:rPr>
      </w:pPr>
      <w:hyperlink w:anchor="_Toc176972386" w:history="1">
        <w:r w:rsidR="009575A2" w:rsidRPr="00210E12">
          <w:rPr>
            <w:rStyle w:val="Hyperlink"/>
          </w:rPr>
          <w:t>How feedback was incorporated</w:t>
        </w:r>
        <w:r w:rsidR="009575A2">
          <w:rPr>
            <w:webHidden/>
          </w:rPr>
          <w:tab/>
        </w:r>
        <w:r w:rsidR="009575A2">
          <w:rPr>
            <w:webHidden/>
          </w:rPr>
          <w:fldChar w:fldCharType="begin"/>
        </w:r>
        <w:r w:rsidR="009575A2">
          <w:rPr>
            <w:webHidden/>
          </w:rPr>
          <w:instrText xml:space="preserve"> PAGEREF _Toc176972386 \h </w:instrText>
        </w:r>
        <w:r w:rsidR="009575A2">
          <w:rPr>
            <w:webHidden/>
          </w:rPr>
        </w:r>
        <w:r w:rsidR="009575A2">
          <w:rPr>
            <w:webHidden/>
          </w:rPr>
          <w:fldChar w:fldCharType="separate"/>
        </w:r>
        <w:r w:rsidR="009575A2">
          <w:rPr>
            <w:webHidden/>
          </w:rPr>
          <w:t>41</w:t>
        </w:r>
        <w:r w:rsidR="009575A2">
          <w:rPr>
            <w:webHidden/>
          </w:rPr>
          <w:fldChar w:fldCharType="end"/>
        </w:r>
      </w:hyperlink>
    </w:p>
    <w:p w14:paraId="78ACA0B4" w14:textId="421E5707" w:rsidR="009575A2" w:rsidRDefault="00DC3CDC">
      <w:pPr>
        <w:pStyle w:val="TOC2"/>
        <w:rPr>
          <w:rFonts w:asciiTheme="minorHAnsi" w:eastAsiaTheme="minorEastAsia" w:hAnsiTheme="minorHAnsi" w:cstheme="minorBidi"/>
          <w:color w:val="auto"/>
          <w:kern w:val="2"/>
          <w:szCs w:val="22"/>
          <w14:ligatures w14:val="standardContextual"/>
        </w:rPr>
      </w:pPr>
      <w:hyperlink w:anchor="_Toc176972387" w:history="1">
        <w:r w:rsidR="009575A2" w:rsidRPr="00210E12">
          <w:rPr>
            <w:rStyle w:val="Hyperlink"/>
          </w:rPr>
          <w:t>Exposure draft and other consultation</w:t>
        </w:r>
        <w:r w:rsidR="009575A2">
          <w:rPr>
            <w:webHidden/>
          </w:rPr>
          <w:tab/>
        </w:r>
        <w:r w:rsidR="009575A2">
          <w:rPr>
            <w:webHidden/>
          </w:rPr>
          <w:fldChar w:fldCharType="begin"/>
        </w:r>
        <w:r w:rsidR="009575A2">
          <w:rPr>
            <w:webHidden/>
          </w:rPr>
          <w:instrText xml:space="preserve"> PAGEREF _Toc176972387 \h </w:instrText>
        </w:r>
        <w:r w:rsidR="009575A2">
          <w:rPr>
            <w:webHidden/>
          </w:rPr>
        </w:r>
        <w:r w:rsidR="009575A2">
          <w:rPr>
            <w:webHidden/>
          </w:rPr>
          <w:fldChar w:fldCharType="separate"/>
        </w:r>
        <w:r w:rsidR="009575A2">
          <w:rPr>
            <w:webHidden/>
          </w:rPr>
          <w:t>42</w:t>
        </w:r>
        <w:r w:rsidR="009575A2">
          <w:rPr>
            <w:webHidden/>
          </w:rPr>
          <w:fldChar w:fldCharType="end"/>
        </w:r>
      </w:hyperlink>
    </w:p>
    <w:p w14:paraId="119E0A03" w14:textId="16AE27E6" w:rsidR="009575A2" w:rsidRDefault="00DC3CDC">
      <w:pPr>
        <w:pStyle w:val="TOC2"/>
        <w:rPr>
          <w:rFonts w:asciiTheme="minorHAnsi" w:eastAsiaTheme="minorEastAsia" w:hAnsiTheme="minorHAnsi" w:cstheme="minorBidi"/>
          <w:color w:val="auto"/>
          <w:kern w:val="2"/>
          <w:szCs w:val="22"/>
          <w14:ligatures w14:val="standardContextual"/>
        </w:rPr>
      </w:pPr>
      <w:hyperlink w:anchor="_Toc176972388" w:history="1">
        <w:r w:rsidR="009575A2" w:rsidRPr="00210E12">
          <w:rPr>
            <w:rStyle w:val="Hyperlink"/>
          </w:rPr>
          <w:t>Status of the Impact Analysis at each major decision point</w:t>
        </w:r>
        <w:r w:rsidR="009575A2">
          <w:rPr>
            <w:webHidden/>
          </w:rPr>
          <w:tab/>
        </w:r>
        <w:r w:rsidR="009575A2">
          <w:rPr>
            <w:webHidden/>
          </w:rPr>
          <w:fldChar w:fldCharType="begin"/>
        </w:r>
        <w:r w:rsidR="009575A2">
          <w:rPr>
            <w:webHidden/>
          </w:rPr>
          <w:instrText xml:space="preserve"> PAGEREF _Toc176972388 \h </w:instrText>
        </w:r>
        <w:r w:rsidR="009575A2">
          <w:rPr>
            <w:webHidden/>
          </w:rPr>
        </w:r>
        <w:r w:rsidR="009575A2">
          <w:rPr>
            <w:webHidden/>
          </w:rPr>
          <w:fldChar w:fldCharType="separate"/>
        </w:r>
        <w:r w:rsidR="009575A2">
          <w:rPr>
            <w:webHidden/>
          </w:rPr>
          <w:t>43</w:t>
        </w:r>
        <w:r w:rsidR="009575A2">
          <w:rPr>
            <w:webHidden/>
          </w:rPr>
          <w:fldChar w:fldCharType="end"/>
        </w:r>
      </w:hyperlink>
    </w:p>
    <w:p w14:paraId="76F2C8DD" w14:textId="6C85037F" w:rsidR="009575A2" w:rsidRDefault="00DC3CDC">
      <w:pPr>
        <w:pStyle w:val="TOC1"/>
        <w:rPr>
          <w:rFonts w:asciiTheme="minorHAnsi" w:eastAsiaTheme="minorEastAsia" w:hAnsiTheme="minorHAnsi" w:cstheme="minorBidi"/>
          <w:b w:val="0"/>
          <w:color w:val="auto"/>
          <w:kern w:val="2"/>
          <w14:ligatures w14:val="standardContextual"/>
        </w:rPr>
      </w:pPr>
      <w:hyperlink w:anchor="_Toc176972389" w:history="1">
        <w:r w:rsidR="009575A2" w:rsidRPr="00210E12">
          <w:rPr>
            <w:rStyle w:val="Hyperlink"/>
          </w:rPr>
          <w:t>6. What is the best option from those you have considered and how will it be implemented?</w:t>
        </w:r>
        <w:r w:rsidR="009575A2">
          <w:rPr>
            <w:webHidden/>
          </w:rPr>
          <w:tab/>
        </w:r>
        <w:r w:rsidR="009575A2">
          <w:rPr>
            <w:webHidden/>
          </w:rPr>
          <w:fldChar w:fldCharType="begin"/>
        </w:r>
        <w:r w:rsidR="009575A2">
          <w:rPr>
            <w:webHidden/>
          </w:rPr>
          <w:instrText xml:space="preserve"> PAGEREF _Toc176972389 \h </w:instrText>
        </w:r>
        <w:r w:rsidR="009575A2">
          <w:rPr>
            <w:webHidden/>
          </w:rPr>
        </w:r>
        <w:r w:rsidR="009575A2">
          <w:rPr>
            <w:webHidden/>
          </w:rPr>
          <w:fldChar w:fldCharType="separate"/>
        </w:r>
        <w:r w:rsidR="009575A2">
          <w:rPr>
            <w:webHidden/>
          </w:rPr>
          <w:t>44</w:t>
        </w:r>
        <w:r w:rsidR="009575A2">
          <w:rPr>
            <w:webHidden/>
          </w:rPr>
          <w:fldChar w:fldCharType="end"/>
        </w:r>
      </w:hyperlink>
    </w:p>
    <w:p w14:paraId="5B10B3D4" w14:textId="73E09B99" w:rsidR="009575A2" w:rsidRDefault="00DC3CDC">
      <w:pPr>
        <w:pStyle w:val="TOC2"/>
        <w:rPr>
          <w:rFonts w:asciiTheme="minorHAnsi" w:eastAsiaTheme="minorEastAsia" w:hAnsiTheme="minorHAnsi" w:cstheme="minorBidi"/>
          <w:color w:val="auto"/>
          <w:kern w:val="2"/>
          <w:szCs w:val="22"/>
          <w14:ligatures w14:val="standardContextual"/>
        </w:rPr>
      </w:pPr>
      <w:hyperlink w:anchor="_Toc176972390" w:history="1">
        <w:r w:rsidR="009575A2" w:rsidRPr="00210E12">
          <w:rPr>
            <w:rStyle w:val="Hyperlink"/>
          </w:rPr>
          <w:t>What is the best option from those you have considered?</w:t>
        </w:r>
        <w:r w:rsidR="009575A2">
          <w:rPr>
            <w:webHidden/>
          </w:rPr>
          <w:tab/>
        </w:r>
        <w:r w:rsidR="009575A2">
          <w:rPr>
            <w:webHidden/>
          </w:rPr>
          <w:fldChar w:fldCharType="begin"/>
        </w:r>
        <w:r w:rsidR="009575A2">
          <w:rPr>
            <w:webHidden/>
          </w:rPr>
          <w:instrText xml:space="preserve"> PAGEREF _Toc176972390 \h </w:instrText>
        </w:r>
        <w:r w:rsidR="009575A2">
          <w:rPr>
            <w:webHidden/>
          </w:rPr>
        </w:r>
        <w:r w:rsidR="009575A2">
          <w:rPr>
            <w:webHidden/>
          </w:rPr>
          <w:fldChar w:fldCharType="separate"/>
        </w:r>
        <w:r w:rsidR="009575A2">
          <w:rPr>
            <w:webHidden/>
          </w:rPr>
          <w:t>44</w:t>
        </w:r>
        <w:r w:rsidR="009575A2">
          <w:rPr>
            <w:webHidden/>
          </w:rPr>
          <w:fldChar w:fldCharType="end"/>
        </w:r>
      </w:hyperlink>
    </w:p>
    <w:p w14:paraId="2ACFBB70" w14:textId="71FA8953" w:rsidR="009575A2" w:rsidRDefault="00DC3CDC">
      <w:pPr>
        <w:pStyle w:val="TOC2"/>
        <w:rPr>
          <w:rFonts w:asciiTheme="minorHAnsi" w:eastAsiaTheme="minorEastAsia" w:hAnsiTheme="minorHAnsi" w:cstheme="minorBidi"/>
          <w:color w:val="auto"/>
          <w:kern w:val="2"/>
          <w:szCs w:val="22"/>
          <w14:ligatures w14:val="standardContextual"/>
        </w:rPr>
      </w:pPr>
      <w:hyperlink w:anchor="_Toc176972391" w:history="1">
        <w:r w:rsidR="009575A2" w:rsidRPr="00210E12">
          <w:rPr>
            <w:rStyle w:val="Hyperlink"/>
          </w:rPr>
          <w:t>How will it be implemented?</w:t>
        </w:r>
        <w:r w:rsidR="009575A2">
          <w:rPr>
            <w:webHidden/>
          </w:rPr>
          <w:tab/>
        </w:r>
        <w:r w:rsidR="009575A2">
          <w:rPr>
            <w:webHidden/>
          </w:rPr>
          <w:fldChar w:fldCharType="begin"/>
        </w:r>
        <w:r w:rsidR="009575A2">
          <w:rPr>
            <w:webHidden/>
          </w:rPr>
          <w:instrText xml:space="preserve"> PAGEREF _Toc176972391 \h </w:instrText>
        </w:r>
        <w:r w:rsidR="009575A2">
          <w:rPr>
            <w:webHidden/>
          </w:rPr>
        </w:r>
        <w:r w:rsidR="009575A2">
          <w:rPr>
            <w:webHidden/>
          </w:rPr>
          <w:fldChar w:fldCharType="separate"/>
        </w:r>
        <w:r w:rsidR="009575A2">
          <w:rPr>
            <w:webHidden/>
          </w:rPr>
          <w:t>44</w:t>
        </w:r>
        <w:r w:rsidR="009575A2">
          <w:rPr>
            <w:webHidden/>
          </w:rPr>
          <w:fldChar w:fldCharType="end"/>
        </w:r>
      </w:hyperlink>
    </w:p>
    <w:p w14:paraId="7E566EFB" w14:textId="5BC7B811" w:rsidR="009575A2" w:rsidRDefault="00DC3CDC">
      <w:pPr>
        <w:pStyle w:val="TOC3"/>
        <w:rPr>
          <w:rFonts w:asciiTheme="minorHAnsi" w:eastAsiaTheme="minorEastAsia" w:hAnsiTheme="minorHAnsi" w:cstheme="minorBidi"/>
          <w:kern w:val="2"/>
          <w:szCs w:val="22"/>
          <w14:ligatures w14:val="standardContextual"/>
        </w:rPr>
      </w:pPr>
      <w:hyperlink w:anchor="_Toc176972392" w:history="1">
        <w:r w:rsidR="009575A2" w:rsidRPr="00210E12">
          <w:rPr>
            <w:rStyle w:val="Hyperlink"/>
          </w:rPr>
          <w:t>Legislative change</w:t>
        </w:r>
        <w:r w:rsidR="009575A2">
          <w:rPr>
            <w:webHidden/>
          </w:rPr>
          <w:tab/>
        </w:r>
        <w:r w:rsidR="009575A2">
          <w:rPr>
            <w:webHidden/>
          </w:rPr>
          <w:fldChar w:fldCharType="begin"/>
        </w:r>
        <w:r w:rsidR="009575A2">
          <w:rPr>
            <w:webHidden/>
          </w:rPr>
          <w:instrText xml:space="preserve"> PAGEREF _Toc176972392 \h </w:instrText>
        </w:r>
        <w:r w:rsidR="009575A2">
          <w:rPr>
            <w:webHidden/>
          </w:rPr>
        </w:r>
        <w:r w:rsidR="009575A2">
          <w:rPr>
            <w:webHidden/>
          </w:rPr>
          <w:fldChar w:fldCharType="separate"/>
        </w:r>
        <w:r w:rsidR="009575A2">
          <w:rPr>
            <w:webHidden/>
          </w:rPr>
          <w:t>44</w:t>
        </w:r>
        <w:r w:rsidR="009575A2">
          <w:rPr>
            <w:webHidden/>
          </w:rPr>
          <w:fldChar w:fldCharType="end"/>
        </w:r>
      </w:hyperlink>
    </w:p>
    <w:p w14:paraId="54EC9555" w14:textId="22EB345C" w:rsidR="009575A2" w:rsidRDefault="00DC3CDC">
      <w:pPr>
        <w:pStyle w:val="TOC3"/>
        <w:rPr>
          <w:rFonts w:asciiTheme="minorHAnsi" w:eastAsiaTheme="minorEastAsia" w:hAnsiTheme="minorHAnsi" w:cstheme="minorBidi"/>
          <w:kern w:val="2"/>
          <w:szCs w:val="22"/>
          <w14:ligatures w14:val="standardContextual"/>
        </w:rPr>
      </w:pPr>
      <w:hyperlink w:anchor="_Toc176972393" w:history="1">
        <w:r w:rsidR="009575A2" w:rsidRPr="00210E12">
          <w:rPr>
            <w:rStyle w:val="Hyperlink"/>
          </w:rPr>
          <w:t>The ACCC</w:t>
        </w:r>
        <w:r w:rsidR="009575A2">
          <w:rPr>
            <w:webHidden/>
          </w:rPr>
          <w:tab/>
        </w:r>
        <w:r w:rsidR="009575A2">
          <w:rPr>
            <w:webHidden/>
          </w:rPr>
          <w:fldChar w:fldCharType="begin"/>
        </w:r>
        <w:r w:rsidR="009575A2">
          <w:rPr>
            <w:webHidden/>
          </w:rPr>
          <w:instrText xml:space="preserve"> PAGEREF _Toc176972393 \h </w:instrText>
        </w:r>
        <w:r w:rsidR="009575A2">
          <w:rPr>
            <w:webHidden/>
          </w:rPr>
        </w:r>
        <w:r w:rsidR="009575A2">
          <w:rPr>
            <w:webHidden/>
          </w:rPr>
          <w:fldChar w:fldCharType="separate"/>
        </w:r>
        <w:r w:rsidR="009575A2">
          <w:rPr>
            <w:webHidden/>
          </w:rPr>
          <w:t>45</w:t>
        </w:r>
        <w:r w:rsidR="009575A2">
          <w:rPr>
            <w:webHidden/>
          </w:rPr>
          <w:fldChar w:fldCharType="end"/>
        </w:r>
      </w:hyperlink>
    </w:p>
    <w:p w14:paraId="1329CB5A" w14:textId="04889E6F" w:rsidR="009575A2" w:rsidRDefault="00DC3CDC">
      <w:pPr>
        <w:pStyle w:val="TOC3"/>
        <w:rPr>
          <w:rFonts w:asciiTheme="minorHAnsi" w:eastAsiaTheme="minorEastAsia" w:hAnsiTheme="minorHAnsi" w:cstheme="minorBidi"/>
          <w:kern w:val="2"/>
          <w:szCs w:val="22"/>
          <w14:ligatures w14:val="standardContextual"/>
        </w:rPr>
      </w:pPr>
      <w:hyperlink w:anchor="_Toc176972394" w:history="1">
        <w:r w:rsidR="009575A2" w:rsidRPr="00210E12">
          <w:rPr>
            <w:rStyle w:val="Hyperlink"/>
          </w:rPr>
          <w:t>The Treasury</w:t>
        </w:r>
        <w:r w:rsidR="009575A2">
          <w:rPr>
            <w:webHidden/>
          </w:rPr>
          <w:tab/>
        </w:r>
        <w:r w:rsidR="009575A2">
          <w:rPr>
            <w:webHidden/>
          </w:rPr>
          <w:fldChar w:fldCharType="begin"/>
        </w:r>
        <w:r w:rsidR="009575A2">
          <w:rPr>
            <w:webHidden/>
          </w:rPr>
          <w:instrText xml:space="preserve"> PAGEREF _Toc176972394 \h </w:instrText>
        </w:r>
        <w:r w:rsidR="009575A2">
          <w:rPr>
            <w:webHidden/>
          </w:rPr>
        </w:r>
        <w:r w:rsidR="009575A2">
          <w:rPr>
            <w:webHidden/>
          </w:rPr>
          <w:fldChar w:fldCharType="separate"/>
        </w:r>
        <w:r w:rsidR="009575A2">
          <w:rPr>
            <w:webHidden/>
          </w:rPr>
          <w:t>45</w:t>
        </w:r>
        <w:r w:rsidR="009575A2">
          <w:rPr>
            <w:webHidden/>
          </w:rPr>
          <w:fldChar w:fldCharType="end"/>
        </w:r>
      </w:hyperlink>
    </w:p>
    <w:p w14:paraId="456AFDA2" w14:textId="1FCC5AF3" w:rsidR="009575A2" w:rsidRDefault="00DC3CDC">
      <w:pPr>
        <w:pStyle w:val="TOC3"/>
        <w:rPr>
          <w:rFonts w:asciiTheme="minorHAnsi" w:eastAsiaTheme="minorEastAsia" w:hAnsiTheme="minorHAnsi" w:cstheme="minorBidi"/>
          <w:kern w:val="2"/>
          <w:szCs w:val="22"/>
          <w14:ligatures w14:val="standardContextual"/>
        </w:rPr>
      </w:pPr>
      <w:hyperlink w:anchor="_Toc176972395" w:history="1">
        <w:r w:rsidR="009575A2" w:rsidRPr="00210E12">
          <w:rPr>
            <w:rStyle w:val="Hyperlink"/>
          </w:rPr>
          <w:t>The Australian Competition Tribunal</w:t>
        </w:r>
        <w:r w:rsidR="009575A2">
          <w:rPr>
            <w:webHidden/>
          </w:rPr>
          <w:tab/>
        </w:r>
        <w:r w:rsidR="009575A2">
          <w:rPr>
            <w:webHidden/>
          </w:rPr>
          <w:fldChar w:fldCharType="begin"/>
        </w:r>
        <w:r w:rsidR="009575A2">
          <w:rPr>
            <w:webHidden/>
          </w:rPr>
          <w:instrText xml:space="preserve"> PAGEREF _Toc176972395 \h </w:instrText>
        </w:r>
        <w:r w:rsidR="009575A2">
          <w:rPr>
            <w:webHidden/>
          </w:rPr>
        </w:r>
        <w:r w:rsidR="009575A2">
          <w:rPr>
            <w:webHidden/>
          </w:rPr>
          <w:fldChar w:fldCharType="separate"/>
        </w:r>
        <w:r w:rsidR="009575A2">
          <w:rPr>
            <w:webHidden/>
          </w:rPr>
          <w:t>45</w:t>
        </w:r>
        <w:r w:rsidR="009575A2">
          <w:rPr>
            <w:webHidden/>
          </w:rPr>
          <w:fldChar w:fldCharType="end"/>
        </w:r>
      </w:hyperlink>
    </w:p>
    <w:p w14:paraId="349103B3" w14:textId="6CE04911" w:rsidR="009575A2" w:rsidRDefault="00DC3CDC">
      <w:pPr>
        <w:pStyle w:val="TOC3"/>
        <w:rPr>
          <w:rFonts w:asciiTheme="minorHAnsi" w:eastAsiaTheme="minorEastAsia" w:hAnsiTheme="minorHAnsi" w:cstheme="minorBidi"/>
          <w:kern w:val="2"/>
          <w:szCs w:val="22"/>
          <w14:ligatures w14:val="standardContextual"/>
        </w:rPr>
      </w:pPr>
      <w:hyperlink w:anchor="_Toc176972396" w:history="1">
        <w:r w:rsidR="009575A2" w:rsidRPr="00210E12">
          <w:rPr>
            <w:rStyle w:val="Hyperlink"/>
          </w:rPr>
          <w:t>Implementation challenges and risks</w:t>
        </w:r>
        <w:r w:rsidR="009575A2">
          <w:rPr>
            <w:webHidden/>
          </w:rPr>
          <w:tab/>
        </w:r>
        <w:r w:rsidR="009575A2">
          <w:rPr>
            <w:webHidden/>
          </w:rPr>
          <w:fldChar w:fldCharType="begin"/>
        </w:r>
        <w:r w:rsidR="009575A2">
          <w:rPr>
            <w:webHidden/>
          </w:rPr>
          <w:instrText xml:space="preserve"> PAGEREF _Toc176972396 \h </w:instrText>
        </w:r>
        <w:r w:rsidR="009575A2">
          <w:rPr>
            <w:webHidden/>
          </w:rPr>
        </w:r>
        <w:r w:rsidR="009575A2">
          <w:rPr>
            <w:webHidden/>
          </w:rPr>
          <w:fldChar w:fldCharType="separate"/>
        </w:r>
        <w:r w:rsidR="009575A2">
          <w:rPr>
            <w:webHidden/>
          </w:rPr>
          <w:t>45</w:t>
        </w:r>
        <w:r w:rsidR="009575A2">
          <w:rPr>
            <w:webHidden/>
          </w:rPr>
          <w:fldChar w:fldCharType="end"/>
        </w:r>
      </w:hyperlink>
    </w:p>
    <w:p w14:paraId="3A47A752" w14:textId="359AABF5" w:rsidR="009575A2" w:rsidRDefault="00DC3CDC">
      <w:pPr>
        <w:pStyle w:val="TOC1"/>
        <w:rPr>
          <w:rFonts w:asciiTheme="minorHAnsi" w:eastAsiaTheme="minorEastAsia" w:hAnsiTheme="minorHAnsi" w:cstheme="minorBidi"/>
          <w:b w:val="0"/>
          <w:color w:val="auto"/>
          <w:kern w:val="2"/>
          <w14:ligatures w14:val="standardContextual"/>
        </w:rPr>
      </w:pPr>
      <w:hyperlink w:anchor="_Toc176972397" w:history="1">
        <w:r w:rsidR="009575A2" w:rsidRPr="00210E12">
          <w:rPr>
            <w:rStyle w:val="Hyperlink"/>
          </w:rPr>
          <w:t>7. How will you evaluate your chosen option against the success metrics?</w:t>
        </w:r>
        <w:r w:rsidR="009575A2">
          <w:rPr>
            <w:webHidden/>
          </w:rPr>
          <w:tab/>
        </w:r>
        <w:r w:rsidR="009575A2">
          <w:rPr>
            <w:webHidden/>
          </w:rPr>
          <w:fldChar w:fldCharType="begin"/>
        </w:r>
        <w:r w:rsidR="009575A2">
          <w:rPr>
            <w:webHidden/>
          </w:rPr>
          <w:instrText xml:space="preserve"> PAGEREF _Toc176972397 \h </w:instrText>
        </w:r>
        <w:r w:rsidR="009575A2">
          <w:rPr>
            <w:webHidden/>
          </w:rPr>
        </w:r>
        <w:r w:rsidR="009575A2">
          <w:rPr>
            <w:webHidden/>
          </w:rPr>
          <w:fldChar w:fldCharType="separate"/>
        </w:r>
        <w:r w:rsidR="009575A2">
          <w:rPr>
            <w:webHidden/>
          </w:rPr>
          <w:t>47</w:t>
        </w:r>
        <w:r w:rsidR="009575A2">
          <w:rPr>
            <w:webHidden/>
          </w:rPr>
          <w:fldChar w:fldCharType="end"/>
        </w:r>
      </w:hyperlink>
    </w:p>
    <w:p w14:paraId="69EABE97" w14:textId="599449D4" w:rsidR="009575A2" w:rsidRDefault="00DC3CDC">
      <w:pPr>
        <w:pStyle w:val="TOC3"/>
        <w:rPr>
          <w:rFonts w:asciiTheme="minorHAnsi" w:eastAsiaTheme="minorEastAsia" w:hAnsiTheme="minorHAnsi" w:cstheme="minorBidi"/>
          <w:kern w:val="2"/>
          <w:szCs w:val="22"/>
          <w14:ligatures w14:val="standardContextual"/>
        </w:rPr>
      </w:pPr>
      <w:hyperlink w:anchor="_Toc176972398" w:history="1">
        <w:r w:rsidR="009575A2" w:rsidRPr="00210E12">
          <w:rPr>
            <w:rStyle w:val="Hyperlink"/>
          </w:rPr>
          <w:t>Evaluative measures</w:t>
        </w:r>
        <w:r w:rsidR="009575A2">
          <w:rPr>
            <w:webHidden/>
          </w:rPr>
          <w:tab/>
        </w:r>
        <w:r w:rsidR="009575A2">
          <w:rPr>
            <w:webHidden/>
          </w:rPr>
          <w:fldChar w:fldCharType="begin"/>
        </w:r>
        <w:r w:rsidR="009575A2">
          <w:rPr>
            <w:webHidden/>
          </w:rPr>
          <w:instrText xml:space="preserve"> PAGEREF _Toc176972398 \h </w:instrText>
        </w:r>
        <w:r w:rsidR="009575A2">
          <w:rPr>
            <w:webHidden/>
          </w:rPr>
        </w:r>
        <w:r w:rsidR="009575A2">
          <w:rPr>
            <w:webHidden/>
          </w:rPr>
          <w:fldChar w:fldCharType="separate"/>
        </w:r>
        <w:r w:rsidR="009575A2">
          <w:rPr>
            <w:webHidden/>
          </w:rPr>
          <w:t>47</w:t>
        </w:r>
        <w:r w:rsidR="009575A2">
          <w:rPr>
            <w:webHidden/>
          </w:rPr>
          <w:fldChar w:fldCharType="end"/>
        </w:r>
      </w:hyperlink>
    </w:p>
    <w:p w14:paraId="6D9EA3D5" w14:textId="37764B92" w:rsidR="009575A2" w:rsidRDefault="00DC3CDC">
      <w:pPr>
        <w:pStyle w:val="TOC1"/>
        <w:rPr>
          <w:rFonts w:asciiTheme="minorHAnsi" w:eastAsiaTheme="minorEastAsia" w:hAnsiTheme="minorHAnsi" w:cstheme="minorBidi"/>
          <w:b w:val="0"/>
          <w:color w:val="auto"/>
          <w:kern w:val="2"/>
          <w14:ligatures w14:val="standardContextual"/>
        </w:rPr>
      </w:pPr>
      <w:hyperlink w:anchor="_Toc176972399" w:history="1">
        <w:r w:rsidR="009575A2" w:rsidRPr="00210E12">
          <w:rPr>
            <w:rStyle w:val="Hyperlink"/>
          </w:rPr>
          <w:t>Attachment A: Regulatory burden estimate</w:t>
        </w:r>
        <w:r w:rsidR="009575A2">
          <w:rPr>
            <w:webHidden/>
          </w:rPr>
          <w:tab/>
        </w:r>
        <w:r w:rsidR="009575A2">
          <w:rPr>
            <w:webHidden/>
          </w:rPr>
          <w:fldChar w:fldCharType="begin"/>
        </w:r>
        <w:r w:rsidR="009575A2">
          <w:rPr>
            <w:webHidden/>
          </w:rPr>
          <w:instrText xml:space="preserve"> PAGEREF _Toc176972399 \h </w:instrText>
        </w:r>
        <w:r w:rsidR="009575A2">
          <w:rPr>
            <w:webHidden/>
          </w:rPr>
        </w:r>
        <w:r w:rsidR="009575A2">
          <w:rPr>
            <w:webHidden/>
          </w:rPr>
          <w:fldChar w:fldCharType="separate"/>
        </w:r>
        <w:r w:rsidR="009575A2">
          <w:rPr>
            <w:webHidden/>
          </w:rPr>
          <w:t>49</w:t>
        </w:r>
        <w:r w:rsidR="009575A2">
          <w:rPr>
            <w:webHidden/>
          </w:rPr>
          <w:fldChar w:fldCharType="end"/>
        </w:r>
      </w:hyperlink>
    </w:p>
    <w:p w14:paraId="7A0021AE" w14:textId="6604123C" w:rsidR="009575A2" w:rsidRDefault="00DC3CDC">
      <w:pPr>
        <w:pStyle w:val="TOC3"/>
        <w:rPr>
          <w:rFonts w:asciiTheme="minorHAnsi" w:eastAsiaTheme="minorEastAsia" w:hAnsiTheme="minorHAnsi" w:cstheme="minorBidi"/>
          <w:kern w:val="2"/>
          <w:szCs w:val="22"/>
          <w14:ligatures w14:val="standardContextual"/>
        </w:rPr>
      </w:pPr>
      <w:hyperlink w:anchor="_Toc176972400" w:history="1">
        <w:r w:rsidR="009575A2" w:rsidRPr="00210E12">
          <w:rPr>
            <w:rStyle w:val="Hyperlink"/>
          </w:rPr>
          <w:t>Methodology</w:t>
        </w:r>
        <w:r w:rsidR="009575A2">
          <w:rPr>
            <w:webHidden/>
          </w:rPr>
          <w:tab/>
        </w:r>
        <w:r w:rsidR="009575A2">
          <w:rPr>
            <w:webHidden/>
          </w:rPr>
          <w:fldChar w:fldCharType="begin"/>
        </w:r>
        <w:r w:rsidR="009575A2">
          <w:rPr>
            <w:webHidden/>
          </w:rPr>
          <w:instrText xml:space="preserve"> PAGEREF _Toc176972400 \h </w:instrText>
        </w:r>
        <w:r w:rsidR="009575A2">
          <w:rPr>
            <w:webHidden/>
          </w:rPr>
        </w:r>
        <w:r w:rsidR="009575A2">
          <w:rPr>
            <w:webHidden/>
          </w:rPr>
          <w:fldChar w:fldCharType="separate"/>
        </w:r>
        <w:r w:rsidR="009575A2">
          <w:rPr>
            <w:webHidden/>
          </w:rPr>
          <w:t>49</w:t>
        </w:r>
        <w:r w:rsidR="009575A2">
          <w:rPr>
            <w:webHidden/>
          </w:rPr>
          <w:fldChar w:fldCharType="end"/>
        </w:r>
      </w:hyperlink>
    </w:p>
    <w:p w14:paraId="7219016D" w14:textId="558B1D1C" w:rsidR="009575A2" w:rsidRDefault="00DC3CDC">
      <w:pPr>
        <w:pStyle w:val="TOC3"/>
        <w:rPr>
          <w:rFonts w:asciiTheme="minorHAnsi" w:eastAsiaTheme="minorEastAsia" w:hAnsiTheme="minorHAnsi" w:cstheme="minorBidi"/>
          <w:kern w:val="2"/>
          <w:szCs w:val="22"/>
          <w14:ligatures w14:val="standardContextual"/>
        </w:rPr>
      </w:pPr>
      <w:hyperlink w:anchor="_Toc176972401" w:history="1">
        <w:r w:rsidR="009575A2" w:rsidRPr="00210E12">
          <w:rPr>
            <w:rStyle w:val="Hyperlink"/>
          </w:rPr>
          <w:t>Data and Assumptions</w:t>
        </w:r>
        <w:r w:rsidR="009575A2">
          <w:rPr>
            <w:webHidden/>
          </w:rPr>
          <w:tab/>
        </w:r>
        <w:r w:rsidR="009575A2">
          <w:rPr>
            <w:webHidden/>
          </w:rPr>
          <w:fldChar w:fldCharType="begin"/>
        </w:r>
        <w:r w:rsidR="009575A2">
          <w:rPr>
            <w:webHidden/>
          </w:rPr>
          <w:instrText xml:space="preserve"> PAGEREF _Toc176972401 \h </w:instrText>
        </w:r>
        <w:r w:rsidR="009575A2">
          <w:rPr>
            <w:webHidden/>
          </w:rPr>
        </w:r>
        <w:r w:rsidR="009575A2">
          <w:rPr>
            <w:webHidden/>
          </w:rPr>
          <w:fldChar w:fldCharType="separate"/>
        </w:r>
        <w:r w:rsidR="009575A2">
          <w:rPr>
            <w:webHidden/>
          </w:rPr>
          <w:t>49</w:t>
        </w:r>
        <w:r w:rsidR="009575A2">
          <w:rPr>
            <w:webHidden/>
          </w:rPr>
          <w:fldChar w:fldCharType="end"/>
        </w:r>
      </w:hyperlink>
    </w:p>
    <w:p w14:paraId="44589E1F" w14:textId="4745AF6F" w:rsidR="009575A2" w:rsidRDefault="00DC3CDC">
      <w:pPr>
        <w:pStyle w:val="TOC3"/>
        <w:rPr>
          <w:rFonts w:asciiTheme="minorHAnsi" w:eastAsiaTheme="minorEastAsia" w:hAnsiTheme="minorHAnsi" w:cstheme="minorBidi"/>
          <w:kern w:val="2"/>
          <w:szCs w:val="22"/>
          <w14:ligatures w14:val="standardContextual"/>
        </w:rPr>
      </w:pPr>
      <w:hyperlink w:anchor="_Toc176972402" w:history="1">
        <w:r w:rsidR="009575A2" w:rsidRPr="00210E12">
          <w:rPr>
            <w:rStyle w:val="Hyperlink"/>
          </w:rPr>
          <w:t>Costs in the status quo</w:t>
        </w:r>
        <w:r w:rsidR="009575A2">
          <w:rPr>
            <w:webHidden/>
          </w:rPr>
          <w:tab/>
        </w:r>
        <w:r w:rsidR="009575A2">
          <w:rPr>
            <w:webHidden/>
          </w:rPr>
          <w:fldChar w:fldCharType="begin"/>
        </w:r>
        <w:r w:rsidR="009575A2">
          <w:rPr>
            <w:webHidden/>
          </w:rPr>
          <w:instrText xml:space="preserve"> PAGEREF _Toc176972402 \h </w:instrText>
        </w:r>
        <w:r w:rsidR="009575A2">
          <w:rPr>
            <w:webHidden/>
          </w:rPr>
        </w:r>
        <w:r w:rsidR="009575A2">
          <w:rPr>
            <w:webHidden/>
          </w:rPr>
          <w:fldChar w:fldCharType="separate"/>
        </w:r>
        <w:r w:rsidR="009575A2">
          <w:rPr>
            <w:webHidden/>
          </w:rPr>
          <w:t>50</w:t>
        </w:r>
        <w:r w:rsidR="009575A2">
          <w:rPr>
            <w:webHidden/>
          </w:rPr>
          <w:fldChar w:fldCharType="end"/>
        </w:r>
      </w:hyperlink>
    </w:p>
    <w:p w14:paraId="16B6D7EB" w14:textId="2ADECA9B" w:rsidR="009575A2" w:rsidRDefault="00DC3CDC">
      <w:pPr>
        <w:pStyle w:val="TOC3"/>
        <w:rPr>
          <w:rFonts w:asciiTheme="minorHAnsi" w:eastAsiaTheme="minorEastAsia" w:hAnsiTheme="minorHAnsi" w:cstheme="minorBidi"/>
          <w:kern w:val="2"/>
          <w:szCs w:val="22"/>
          <w14:ligatures w14:val="standardContextual"/>
        </w:rPr>
      </w:pPr>
      <w:hyperlink w:anchor="_Toc176972403" w:history="1">
        <w:r w:rsidR="009575A2" w:rsidRPr="00210E12">
          <w:rPr>
            <w:rStyle w:val="Hyperlink"/>
          </w:rPr>
          <w:t>Common costs across Options 2, 3 and 4 associated with a mandatory system</w:t>
        </w:r>
        <w:r w:rsidR="009575A2">
          <w:rPr>
            <w:webHidden/>
          </w:rPr>
          <w:tab/>
        </w:r>
        <w:r w:rsidR="009575A2">
          <w:rPr>
            <w:webHidden/>
          </w:rPr>
          <w:fldChar w:fldCharType="begin"/>
        </w:r>
        <w:r w:rsidR="009575A2">
          <w:rPr>
            <w:webHidden/>
          </w:rPr>
          <w:instrText xml:space="preserve"> PAGEREF _Toc176972403 \h </w:instrText>
        </w:r>
        <w:r w:rsidR="009575A2">
          <w:rPr>
            <w:webHidden/>
          </w:rPr>
        </w:r>
        <w:r w:rsidR="009575A2">
          <w:rPr>
            <w:webHidden/>
          </w:rPr>
          <w:fldChar w:fldCharType="separate"/>
        </w:r>
        <w:r w:rsidR="009575A2">
          <w:rPr>
            <w:webHidden/>
          </w:rPr>
          <w:t>51</w:t>
        </w:r>
        <w:r w:rsidR="009575A2">
          <w:rPr>
            <w:webHidden/>
          </w:rPr>
          <w:fldChar w:fldCharType="end"/>
        </w:r>
      </w:hyperlink>
    </w:p>
    <w:p w14:paraId="7F85FEE0" w14:textId="591E1C68" w:rsidR="009575A2" w:rsidRDefault="00DC3CDC">
      <w:pPr>
        <w:pStyle w:val="TOC3"/>
        <w:rPr>
          <w:rFonts w:asciiTheme="minorHAnsi" w:eastAsiaTheme="minorEastAsia" w:hAnsiTheme="minorHAnsi" w:cstheme="minorBidi"/>
          <w:kern w:val="2"/>
          <w:szCs w:val="22"/>
          <w14:ligatures w14:val="standardContextual"/>
        </w:rPr>
      </w:pPr>
      <w:hyperlink w:anchor="_Toc176972404" w:history="1">
        <w:r w:rsidR="009575A2" w:rsidRPr="00210E12">
          <w:rPr>
            <w:rStyle w:val="Hyperlink"/>
          </w:rPr>
          <w:t>Regulatory burden estimates that vary under Options 3 and 4</w:t>
        </w:r>
        <w:r w:rsidR="009575A2">
          <w:rPr>
            <w:webHidden/>
          </w:rPr>
          <w:tab/>
        </w:r>
        <w:r w:rsidR="009575A2">
          <w:rPr>
            <w:webHidden/>
          </w:rPr>
          <w:fldChar w:fldCharType="begin"/>
        </w:r>
        <w:r w:rsidR="009575A2">
          <w:rPr>
            <w:webHidden/>
          </w:rPr>
          <w:instrText xml:space="preserve"> PAGEREF _Toc176972404 \h </w:instrText>
        </w:r>
        <w:r w:rsidR="009575A2">
          <w:rPr>
            <w:webHidden/>
          </w:rPr>
        </w:r>
        <w:r w:rsidR="009575A2">
          <w:rPr>
            <w:webHidden/>
          </w:rPr>
          <w:fldChar w:fldCharType="separate"/>
        </w:r>
        <w:r w:rsidR="009575A2">
          <w:rPr>
            <w:webHidden/>
          </w:rPr>
          <w:t>54</w:t>
        </w:r>
        <w:r w:rsidR="009575A2">
          <w:rPr>
            <w:webHidden/>
          </w:rPr>
          <w:fldChar w:fldCharType="end"/>
        </w:r>
      </w:hyperlink>
    </w:p>
    <w:p w14:paraId="528FD388" w14:textId="37864732" w:rsidR="009575A2" w:rsidRDefault="00DC3CDC">
      <w:pPr>
        <w:pStyle w:val="TOC3"/>
        <w:rPr>
          <w:rFonts w:asciiTheme="minorHAnsi" w:eastAsiaTheme="minorEastAsia" w:hAnsiTheme="minorHAnsi" w:cstheme="minorBidi"/>
          <w:kern w:val="2"/>
          <w:szCs w:val="22"/>
          <w14:ligatures w14:val="standardContextual"/>
        </w:rPr>
      </w:pPr>
      <w:hyperlink w:anchor="_Toc176972405" w:history="1">
        <w:r w:rsidR="009575A2" w:rsidRPr="00210E12">
          <w:rPr>
            <w:rStyle w:val="Hyperlink"/>
          </w:rPr>
          <w:t>ACCC resourcing and merger review fees</w:t>
        </w:r>
        <w:r w:rsidR="009575A2">
          <w:rPr>
            <w:webHidden/>
          </w:rPr>
          <w:tab/>
        </w:r>
        <w:r w:rsidR="009575A2">
          <w:rPr>
            <w:webHidden/>
          </w:rPr>
          <w:fldChar w:fldCharType="begin"/>
        </w:r>
        <w:r w:rsidR="009575A2">
          <w:rPr>
            <w:webHidden/>
          </w:rPr>
          <w:instrText xml:space="preserve"> PAGEREF _Toc176972405 \h </w:instrText>
        </w:r>
        <w:r w:rsidR="009575A2">
          <w:rPr>
            <w:webHidden/>
          </w:rPr>
        </w:r>
        <w:r w:rsidR="009575A2">
          <w:rPr>
            <w:webHidden/>
          </w:rPr>
          <w:fldChar w:fldCharType="separate"/>
        </w:r>
        <w:r w:rsidR="009575A2">
          <w:rPr>
            <w:webHidden/>
          </w:rPr>
          <w:t>55</w:t>
        </w:r>
        <w:r w:rsidR="009575A2">
          <w:rPr>
            <w:webHidden/>
          </w:rPr>
          <w:fldChar w:fldCharType="end"/>
        </w:r>
      </w:hyperlink>
    </w:p>
    <w:p w14:paraId="72B2E17E" w14:textId="41D615F5" w:rsidR="009575A2" w:rsidRDefault="00DC3CDC">
      <w:pPr>
        <w:pStyle w:val="TOC1"/>
        <w:rPr>
          <w:rFonts w:asciiTheme="minorHAnsi" w:eastAsiaTheme="minorEastAsia" w:hAnsiTheme="minorHAnsi" w:cstheme="minorBidi"/>
          <w:b w:val="0"/>
          <w:color w:val="auto"/>
          <w:kern w:val="2"/>
          <w14:ligatures w14:val="standardContextual"/>
        </w:rPr>
      </w:pPr>
      <w:hyperlink w:anchor="_Toc176972406" w:history="1">
        <w:r w:rsidR="009575A2" w:rsidRPr="00210E12">
          <w:rPr>
            <w:rStyle w:val="Hyperlink"/>
          </w:rPr>
          <w:t>Attachment B: Merger reform consultation — stakeholder feedback and Australian Government response</w:t>
        </w:r>
        <w:r w:rsidR="009575A2">
          <w:rPr>
            <w:webHidden/>
          </w:rPr>
          <w:tab/>
        </w:r>
        <w:r w:rsidR="009575A2">
          <w:rPr>
            <w:webHidden/>
          </w:rPr>
          <w:fldChar w:fldCharType="begin"/>
        </w:r>
        <w:r w:rsidR="009575A2">
          <w:rPr>
            <w:webHidden/>
          </w:rPr>
          <w:instrText xml:space="preserve"> PAGEREF _Toc176972406 \h </w:instrText>
        </w:r>
        <w:r w:rsidR="009575A2">
          <w:rPr>
            <w:webHidden/>
          </w:rPr>
        </w:r>
        <w:r w:rsidR="009575A2">
          <w:rPr>
            <w:webHidden/>
          </w:rPr>
          <w:fldChar w:fldCharType="separate"/>
        </w:r>
        <w:r w:rsidR="009575A2">
          <w:rPr>
            <w:webHidden/>
          </w:rPr>
          <w:t>57</w:t>
        </w:r>
        <w:r w:rsidR="009575A2">
          <w:rPr>
            <w:webHidden/>
          </w:rPr>
          <w:fldChar w:fldCharType="end"/>
        </w:r>
      </w:hyperlink>
    </w:p>
    <w:p w14:paraId="28C2E992" w14:textId="53819DDA" w:rsidR="00947E3E" w:rsidRPr="00DC2923" w:rsidRDefault="00947E3E" w:rsidP="00947E3E">
      <w:pPr>
        <w:pStyle w:val="SingleParagraph"/>
        <w:ind w:right="-2"/>
        <w:rPr>
          <w:rFonts w:asciiTheme="minorHAnsi" w:hAnsiTheme="minorHAnsi" w:cstheme="minorHAnsi"/>
        </w:rPr>
      </w:pPr>
      <w:r w:rsidRPr="00AF539E">
        <w:rPr>
          <w:rFonts w:asciiTheme="minorHAnsi" w:hAnsiTheme="minorHAnsi" w:cstheme="minorHAnsi"/>
          <w:color w:val="004A7F"/>
          <w:kern w:val="32"/>
          <w:sz w:val="44"/>
          <w:szCs w:val="22"/>
        </w:rPr>
        <w:fldChar w:fldCharType="end"/>
      </w:r>
    </w:p>
    <w:p w14:paraId="04A72565" w14:textId="77777777" w:rsidR="00947E3E" w:rsidRPr="002352B0" w:rsidRDefault="00947E3E" w:rsidP="00BD049C">
      <w:pPr>
        <w:tabs>
          <w:tab w:val="left" w:pos="2685"/>
        </w:tabs>
        <w:rPr>
          <w:lang w:eastAsia="en-AU"/>
        </w:rPr>
        <w:sectPr w:rsidR="00947E3E" w:rsidRPr="002352B0" w:rsidSect="00E4687A">
          <w:headerReference w:type="even" r:id="rId20"/>
          <w:headerReference w:type="default" r:id="rId21"/>
          <w:footerReference w:type="even" r:id="rId22"/>
          <w:headerReference w:type="first" r:id="rId23"/>
          <w:footerReference w:type="first" r:id="rId24"/>
          <w:pgSz w:w="11906" w:h="16838" w:code="9"/>
          <w:pgMar w:top="1843" w:right="1418" w:bottom="1418" w:left="1418" w:header="709" w:footer="709" w:gutter="0"/>
          <w:pgNumType w:fmt="lowerRoman" w:start="3"/>
          <w:cols w:space="708"/>
          <w:titlePg/>
          <w:docGrid w:linePitch="360"/>
        </w:sectPr>
      </w:pPr>
      <w:r>
        <w:rPr>
          <w:lang w:eastAsia="en-AU"/>
        </w:rPr>
        <w:tab/>
      </w:r>
    </w:p>
    <w:p w14:paraId="1B524885" w14:textId="77777777" w:rsidR="00947E3E" w:rsidRDefault="00947E3E" w:rsidP="00947E3E">
      <w:pPr>
        <w:pStyle w:val="Heading1"/>
      </w:pPr>
      <w:bookmarkStart w:id="7" w:name="_Toc176972350"/>
      <w:bookmarkStart w:id="8" w:name="_Toc158988607"/>
      <w:bookmarkStart w:id="9" w:name="_Toc160013865"/>
      <w:bookmarkStart w:id="10" w:name="_Toc162428343"/>
      <w:bookmarkEnd w:id="5"/>
      <w:bookmarkEnd w:id="6"/>
      <w:r>
        <w:t>Executive Summary</w:t>
      </w:r>
      <w:bookmarkEnd w:id="7"/>
    </w:p>
    <w:p w14:paraId="3EB4CBF7" w14:textId="7EEEF5AD" w:rsidR="00947E3E" w:rsidRPr="00273A9E" w:rsidRDefault="00947E3E" w:rsidP="00947E3E">
      <w:pPr>
        <w:spacing w:line="240" w:lineRule="auto"/>
        <w:rPr>
          <w:rFonts w:asciiTheme="majorHAnsi" w:hAnsiTheme="majorHAnsi" w:cstheme="majorHAnsi"/>
          <w:color w:val="2C384A" w:themeColor="accent1"/>
          <w:sz w:val="32"/>
          <w:szCs w:val="32"/>
        </w:rPr>
      </w:pPr>
      <w:r w:rsidRPr="00273A9E">
        <w:rPr>
          <w:rFonts w:asciiTheme="majorHAnsi" w:hAnsiTheme="majorHAnsi" w:cstheme="majorHAnsi"/>
          <w:color w:val="2C384A" w:themeColor="accent1"/>
          <w:sz w:val="32"/>
          <w:szCs w:val="32"/>
        </w:rPr>
        <w:t>The problem</w:t>
      </w:r>
    </w:p>
    <w:p w14:paraId="39019EAB" w14:textId="034D0F9E" w:rsidR="00947E3E" w:rsidRPr="00D01E14" w:rsidRDefault="00947E3E" w:rsidP="00947E3E">
      <w:pPr>
        <w:spacing w:line="240" w:lineRule="auto"/>
        <w:rPr>
          <w:rFonts w:asciiTheme="majorHAnsi" w:hAnsiTheme="majorHAnsi" w:cstheme="majorHAnsi"/>
        </w:rPr>
      </w:pPr>
      <w:r w:rsidRPr="00D01E14">
        <w:rPr>
          <w:rFonts w:asciiTheme="majorHAnsi" w:hAnsiTheme="majorHAnsi" w:cstheme="majorHAnsi"/>
        </w:rPr>
        <w:t>Mergers and acquisitions are important for building a more productive and dynamic economy. They allow businesses to achieve greater economies of scale, and to access new resources, technology and expertise.</w:t>
      </w:r>
    </w:p>
    <w:p w14:paraId="0E30DB18" w14:textId="35DA8C9A" w:rsidR="00947E3E" w:rsidRPr="00D01E14" w:rsidRDefault="00947E3E" w:rsidP="00947E3E">
      <w:pPr>
        <w:spacing w:line="240" w:lineRule="auto"/>
        <w:rPr>
          <w:rFonts w:asciiTheme="majorHAnsi" w:hAnsiTheme="majorHAnsi" w:cstheme="majorHAnsi"/>
        </w:rPr>
      </w:pPr>
      <w:r>
        <w:t>A merger</w:t>
      </w:r>
      <w:r w:rsidR="00205033">
        <w:t xml:space="preserve"> or</w:t>
      </w:r>
      <w:r w:rsidR="001C0422">
        <w:t xml:space="preserve"> acquisition</w:t>
      </w:r>
      <w:r>
        <w:t xml:space="preserve"> can occur when there is </w:t>
      </w:r>
      <w:r w:rsidR="00F561F6">
        <w:t>an acquisition of</w:t>
      </w:r>
      <w:r>
        <w:t xml:space="preserve"> a business or asset. Merger control is about maintaining competitive market structures </w:t>
      </w:r>
      <w:r w:rsidR="00EE2F50">
        <w:t>that</w:t>
      </w:r>
      <w:r>
        <w:t xml:space="preserve"> lead to better outcomes for consumers. </w:t>
      </w:r>
      <w:r w:rsidRPr="00D01E14">
        <w:rPr>
          <w:rFonts w:asciiTheme="majorHAnsi" w:hAnsiTheme="majorHAnsi" w:cstheme="majorHAnsi"/>
        </w:rPr>
        <w:t xml:space="preserve">While most mergers </w:t>
      </w:r>
      <w:r w:rsidR="001C0422">
        <w:rPr>
          <w:rFonts w:asciiTheme="majorHAnsi" w:hAnsiTheme="majorHAnsi" w:cstheme="majorHAnsi"/>
        </w:rPr>
        <w:t xml:space="preserve">and acquisitions </w:t>
      </w:r>
      <w:r w:rsidRPr="00D01E14">
        <w:rPr>
          <w:rFonts w:asciiTheme="majorHAnsi" w:hAnsiTheme="majorHAnsi" w:cstheme="majorHAnsi"/>
        </w:rPr>
        <w:t xml:space="preserve">are unlikely to raise competition concerns, some can harm competition, allowing businesses to raise prices and not pass </w:t>
      </w:r>
      <w:r w:rsidR="00143875" w:rsidRPr="00D01E14">
        <w:rPr>
          <w:rFonts w:asciiTheme="majorHAnsi" w:hAnsiTheme="majorHAnsi" w:cstheme="majorHAnsi"/>
        </w:rPr>
        <w:t>on</w:t>
      </w:r>
      <w:r w:rsidR="00DE4616">
        <w:rPr>
          <w:rFonts w:asciiTheme="majorHAnsi" w:hAnsiTheme="majorHAnsi" w:cstheme="majorHAnsi"/>
        </w:rPr>
        <w:t xml:space="preserve"> </w:t>
      </w:r>
      <w:r w:rsidRPr="00D01E14">
        <w:rPr>
          <w:rFonts w:asciiTheme="majorHAnsi" w:hAnsiTheme="majorHAnsi" w:cstheme="majorHAnsi"/>
        </w:rPr>
        <w:t>economic gains to consumers. Australia’s merger control system plays a crucial gatekeeper role in preventing these mergers from harming consumers and the wider economy.</w:t>
      </w:r>
    </w:p>
    <w:p w14:paraId="0351DA73" w14:textId="2CBE6EF9" w:rsidR="00947E3E" w:rsidRPr="00D01E14" w:rsidRDefault="00947E3E" w:rsidP="00947E3E">
      <w:pPr>
        <w:spacing w:line="240" w:lineRule="auto"/>
        <w:rPr>
          <w:rFonts w:asciiTheme="majorHAnsi" w:hAnsiTheme="majorHAnsi" w:cstheme="majorHAnsi"/>
        </w:rPr>
      </w:pPr>
      <w:r w:rsidRPr="00D01E14">
        <w:rPr>
          <w:rFonts w:asciiTheme="majorHAnsi" w:hAnsiTheme="majorHAnsi" w:cstheme="majorHAnsi"/>
        </w:rPr>
        <w:t xml:space="preserve">Against this backdrop, </w:t>
      </w:r>
      <w:r>
        <w:rPr>
          <w:rFonts w:asciiTheme="majorHAnsi" w:hAnsiTheme="majorHAnsi" w:cstheme="majorHAnsi"/>
        </w:rPr>
        <w:t xml:space="preserve">new analysis shows that </w:t>
      </w:r>
      <w:r w:rsidR="00D623BE">
        <w:rPr>
          <w:rFonts w:asciiTheme="majorHAnsi" w:hAnsiTheme="majorHAnsi" w:cstheme="majorHAnsi"/>
        </w:rPr>
        <w:t xml:space="preserve">competition in </w:t>
      </w:r>
      <w:r>
        <w:rPr>
          <w:rFonts w:asciiTheme="majorHAnsi" w:hAnsiTheme="majorHAnsi" w:cstheme="majorHAnsi"/>
        </w:rPr>
        <w:t>Australia has been declining since the 2000s.</w:t>
      </w:r>
      <w:r w:rsidRPr="00D01E14">
        <w:rPr>
          <w:rFonts w:asciiTheme="majorHAnsi" w:hAnsiTheme="majorHAnsi" w:cstheme="majorHAnsi"/>
        </w:rPr>
        <w:t xml:space="preserve"> </w:t>
      </w:r>
      <w:r>
        <w:rPr>
          <w:rFonts w:asciiTheme="majorHAnsi" w:hAnsiTheme="majorHAnsi" w:cstheme="majorHAnsi"/>
        </w:rPr>
        <w:t>T</w:t>
      </w:r>
      <w:r w:rsidRPr="00D01E14">
        <w:rPr>
          <w:rFonts w:asciiTheme="majorHAnsi" w:hAnsiTheme="majorHAnsi" w:cstheme="majorHAnsi"/>
        </w:rPr>
        <w:t xml:space="preserve">here is evidence emerging that the intensity of competition has weakened across many parts of the economy, accompanied by increasing market concentration and markups in many </w:t>
      </w:r>
      <w:r w:rsidRPr="000631C4">
        <w:rPr>
          <w:rFonts w:asciiTheme="majorHAnsi" w:hAnsiTheme="majorHAnsi" w:cstheme="majorHAnsi"/>
        </w:rPr>
        <w:t>industries</w:t>
      </w:r>
      <w:r w:rsidRPr="00D63B4E">
        <w:rPr>
          <w:rFonts w:asciiTheme="majorHAnsi" w:hAnsiTheme="majorHAnsi" w:cstheme="majorHAnsi"/>
        </w:rPr>
        <w:t xml:space="preserve">. </w:t>
      </w:r>
      <w:r w:rsidRPr="000631C4">
        <w:t>Discouraging anti-competitive mergers</w:t>
      </w:r>
      <w:r w:rsidR="001C0422">
        <w:t xml:space="preserve"> and acquisitions</w:t>
      </w:r>
      <w:r w:rsidRPr="000631C4">
        <w:t>, and stopping those that try to proceed, is crucial for maintaining downward pressure on the cost of living</w:t>
      </w:r>
      <w:r>
        <w:t xml:space="preserve"> and creating a stronger, more competitive and more productive economy</w:t>
      </w:r>
      <w:r w:rsidRPr="000631C4">
        <w:t>.</w:t>
      </w:r>
    </w:p>
    <w:p w14:paraId="76362020" w14:textId="6D5F11D3" w:rsidR="00947E3E" w:rsidRPr="00D01E14" w:rsidRDefault="00BB765F" w:rsidP="00947E3E">
      <w:pPr>
        <w:spacing w:line="240" w:lineRule="auto"/>
        <w:rPr>
          <w:rFonts w:asciiTheme="majorHAnsi" w:hAnsiTheme="majorHAnsi" w:cstheme="majorHAnsi"/>
        </w:rPr>
      </w:pPr>
      <w:r>
        <w:t xml:space="preserve">On 23 August 2023, the Government announced a Competition Review to provide advice on how to improve competition across the economy, with a focus on reforms that would increase productivity, reduce the cost of living and/or lift wages. </w:t>
      </w:r>
      <w:r w:rsidR="001B7432">
        <w:t xml:space="preserve">In particular, </w:t>
      </w:r>
      <w:r w:rsidR="001B7432">
        <w:rPr>
          <w:rFonts w:asciiTheme="majorHAnsi" w:hAnsiTheme="majorHAnsi" w:cstheme="majorHAnsi"/>
        </w:rPr>
        <w:t>t</w:t>
      </w:r>
      <w:r w:rsidR="00947E3E" w:rsidRPr="00D01E14">
        <w:rPr>
          <w:rFonts w:asciiTheme="majorHAnsi" w:hAnsiTheme="majorHAnsi" w:cstheme="majorHAnsi"/>
        </w:rPr>
        <w:t xml:space="preserve">he Government asked the Competition </w:t>
      </w:r>
      <w:r w:rsidR="00F72C03">
        <w:rPr>
          <w:rFonts w:asciiTheme="majorHAnsi" w:hAnsiTheme="majorHAnsi" w:cstheme="majorHAnsi"/>
        </w:rPr>
        <w:t>Taskforce</w:t>
      </w:r>
      <w:r w:rsidR="00F72C03" w:rsidRPr="00D01E14">
        <w:rPr>
          <w:rFonts w:asciiTheme="majorHAnsi" w:hAnsiTheme="majorHAnsi" w:cstheme="majorHAnsi"/>
        </w:rPr>
        <w:t xml:space="preserve"> </w:t>
      </w:r>
      <w:r w:rsidR="00947E3E" w:rsidRPr="00D01E14">
        <w:rPr>
          <w:rFonts w:asciiTheme="majorHAnsi" w:hAnsiTheme="majorHAnsi" w:cstheme="majorHAnsi"/>
        </w:rPr>
        <w:t xml:space="preserve">established within the Department of </w:t>
      </w:r>
      <w:r w:rsidR="007875F0">
        <w:rPr>
          <w:rFonts w:asciiTheme="majorHAnsi" w:hAnsiTheme="majorHAnsi" w:cstheme="majorHAnsi"/>
        </w:rPr>
        <w:t>t</w:t>
      </w:r>
      <w:r w:rsidR="00947E3E" w:rsidRPr="00D01E14">
        <w:rPr>
          <w:rFonts w:asciiTheme="majorHAnsi" w:hAnsiTheme="majorHAnsi" w:cstheme="majorHAnsi"/>
        </w:rPr>
        <w:t xml:space="preserve">he Treasury </w:t>
      </w:r>
      <w:r w:rsidR="00947E3E">
        <w:rPr>
          <w:rFonts w:asciiTheme="majorHAnsi" w:hAnsiTheme="majorHAnsi" w:cstheme="majorHAnsi"/>
        </w:rPr>
        <w:t xml:space="preserve">(Treasury) </w:t>
      </w:r>
      <w:r w:rsidR="00947E3E" w:rsidRPr="00D01E14">
        <w:rPr>
          <w:rFonts w:asciiTheme="majorHAnsi" w:hAnsiTheme="majorHAnsi" w:cstheme="majorHAnsi"/>
        </w:rPr>
        <w:t xml:space="preserve">to assess </w:t>
      </w:r>
      <w:r w:rsidR="00947E3E" w:rsidRPr="006B0D41">
        <w:rPr>
          <w:rFonts w:asciiTheme="majorHAnsi" w:hAnsiTheme="majorHAnsi" w:cstheme="majorHAnsi"/>
        </w:rPr>
        <w:t xml:space="preserve">whether Australia’s current </w:t>
      </w:r>
      <w:r w:rsidR="00BD15EE">
        <w:rPr>
          <w:rFonts w:asciiTheme="majorHAnsi" w:hAnsiTheme="majorHAnsi" w:cstheme="majorHAnsi"/>
        </w:rPr>
        <w:t>approach to</w:t>
      </w:r>
      <w:r w:rsidR="00947E3E" w:rsidRPr="006B0D41">
        <w:rPr>
          <w:rFonts w:asciiTheme="majorHAnsi" w:hAnsiTheme="majorHAnsi" w:cstheme="majorHAnsi"/>
        </w:rPr>
        <w:t xml:space="preserve"> merger control </w:t>
      </w:r>
      <w:r w:rsidR="009625BD">
        <w:rPr>
          <w:rFonts w:asciiTheme="majorHAnsi" w:hAnsiTheme="majorHAnsi" w:cstheme="majorHAnsi"/>
        </w:rPr>
        <w:t>wa</w:t>
      </w:r>
      <w:r w:rsidR="00947E3E" w:rsidRPr="006B0D41">
        <w:rPr>
          <w:rFonts w:asciiTheme="majorHAnsi" w:hAnsiTheme="majorHAnsi" w:cstheme="majorHAnsi"/>
        </w:rPr>
        <w:t>s effective</w:t>
      </w:r>
      <w:r w:rsidR="00292B8A">
        <w:rPr>
          <w:rFonts w:asciiTheme="majorHAnsi" w:hAnsiTheme="majorHAnsi" w:cstheme="majorHAnsi"/>
        </w:rPr>
        <w:t>.</w:t>
      </w:r>
      <w:r w:rsidR="00292B8A" w:rsidRPr="006B0D41">
        <w:rPr>
          <w:rFonts w:asciiTheme="majorHAnsi" w:hAnsiTheme="majorHAnsi" w:cstheme="majorHAnsi"/>
        </w:rPr>
        <w:t xml:space="preserve"> </w:t>
      </w:r>
      <w:r w:rsidR="00292B8A">
        <w:rPr>
          <w:rFonts w:asciiTheme="majorHAnsi" w:hAnsiTheme="majorHAnsi" w:cstheme="majorHAnsi"/>
        </w:rPr>
        <w:t>T</w:t>
      </w:r>
      <w:r w:rsidR="00292B8A" w:rsidRPr="006B0D41">
        <w:rPr>
          <w:rFonts w:asciiTheme="majorHAnsi" w:hAnsiTheme="majorHAnsi" w:cstheme="majorHAnsi"/>
        </w:rPr>
        <w:t>hat</w:t>
      </w:r>
      <w:r w:rsidR="00947E3E" w:rsidRPr="006B0D41">
        <w:rPr>
          <w:rFonts w:asciiTheme="majorHAnsi" w:hAnsiTheme="majorHAnsi" w:cstheme="majorHAnsi"/>
        </w:rPr>
        <w:t xml:space="preserve"> is, whether it readily enables beneficial mergers </w:t>
      </w:r>
      <w:r w:rsidR="004F5B55">
        <w:rPr>
          <w:rFonts w:asciiTheme="majorHAnsi" w:hAnsiTheme="majorHAnsi" w:cstheme="majorHAnsi"/>
        </w:rPr>
        <w:t>and acquisitions</w:t>
      </w:r>
      <w:r w:rsidR="002229DB" w:rsidRPr="006B0D41">
        <w:rPr>
          <w:rFonts w:asciiTheme="majorHAnsi" w:hAnsiTheme="majorHAnsi" w:cstheme="majorHAnsi"/>
        </w:rPr>
        <w:t xml:space="preserve"> </w:t>
      </w:r>
      <w:r w:rsidR="00947E3E" w:rsidRPr="006B0D41">
        <w:rPr>
          <w:rFonts w:asciiTheme="majorHAnsi" w:hAnsiTheme="majorHAnsi" w:cstheme="majorHAnsi"/>
        </w:rPr>
        <w:t>to proceed while ensuring that mergers</w:t>
      </w:r>
      <w:r w:rsidR="004F5B55">
        <w:rPr>
          <w:rFonts w:asciiTheme="majorHAnsi" w:hAnsiTheme="majorHAnsi" w:cstheme="majorHAnsi"/>
        </w:rPr>
        <w:t xml:space="preserve"> and acquisitions</w:t>
      </w:r>
      <w:r w:rsidR="00947E3E" w:rsidRPr="006B0D41">
        <w:rPr>
          <w:rFonts w:asciiTheme="majorHAnsi" w:hAnsiTheme="majorHAnsi" w:cstheme="majorHAnsi"/>
        </w:rPr>
        <w:t xml:space="preserve"> which may pose substantial competition risks are </w:t>
      </w:r>
      <w:r w:rsidR="002F62F8">
        <w:rPr>
          <w:rFonts w:asciiTheme="majorHAnsi" w:hAnsiTheme="majorHAnsi" w:cstheme="majorHAnsi"/>
        </w:rPr>
        <w:t>stopped</w:t>
      </w:r>
      <w:r w:rsidR="002F62F8" w:rsidRPr="006B0D41">
        <w:rPr>
          <w:rFonts w:asciiTheme="majorHAnsi" w:hAnsiTheme="majorHAnsi" w:cstheme="majorHAnsi"/>
        </w:rPr>
        <w:t xml:space="preserve"> </w:t>
      </w:r>
      <w:r w:rsidR="00947E3E" w:rsidRPr="006B0D41">
        <w:rPr>
          <w:rFonts w:asciiTheme="majorHAnsi" w:hAnsiTheme="majorHAnsi" w:cstheme="majorHAnsi"/>
        </w:rPr>
        <w:t>and</w:t>
      </w:r>
      <w:r w:rsidR="008D0724">
        <w:rPr>
          <w:rFonts w:asciiTheme="majorHAnsi" w:hAnsiTheme="majorHAnsi" w:cstheme="majorHAnsi"/>
        </w:rPr>
        <w:t>,</w:t>
      </w:r>
      <w:r w:rsidR="00947E3E" w:rsidRPr="006B0D41">
        <w:rPr>
          <w:rFonts w:asciiTheme="majorHAnsi" w:hAnsiTheme="majorHAnsi" w:cstheme="majorHAnsi"/>
        </w:rPr>
        <w:t xml:space="preserve"> to the extent that Australia’s </w:t>
      </w:r>
      <w:r w:rsidR="00EF6B69">
        <w:rPr>
          <w:rFonts w:asciiTheme="majorHAnsi" w:hAnsiTheme="majorHAnsi" w:cstheme="majorHAnsi"/>
        </w:rPr>
        <w:t xml:space="preserve">approach to </w:t>
      </w:r>
      <w:r w:rsidR="00947E3E" w:rsidRPr="006B0D41">
        <w:rPr>
          <w:rFonts w:asciiTheme="majorHAnsi" w:hAnsiTheme="majorHAnsi" w:cstheme="majorHAnsi"/>
        </w:rPr>
        <w:t>merger control could be improved, the options available for reform and their benefits and risks.</w:t>
      </w:r>
    </w:p>
    <w:p w14:paraId="157B6E3B" w14:textId="77777777" w:rsidR="00947E3E" w:rsidRPr="00273A9E" w:rsidRDefault="00947E3E" w:rsidP="00947E3E">
      <w:pPr>
        <w:spacing w:line="240" w:lineRule="auto"/>
        <w:rPr>
          <w:rFonts w:asciiTheme="majorHAnsi" w:hAnsiTheme="majorHAnsi" w:cstheme="majorHAnsi"/>
          <w:color w:val="2C384A" w:themeColor="accent1"/>
          <w:sz w:val="32"/>
          <w:szCs w:val="32"/>
        </w:rPr>
      </w:pPr>
      <w:r w:rsidRPr="00273A9E">
        <w:rPr>
          <w:rFonts w:asciiTheme="majorHAnsi" w:hAnsiTheme="majorHAnsi" w:cstheme="majorHAnsi"/>
          <w:color w:val="2C384A" w:themeColor="accent1"/>
          <w:sz w:val="32"/>
          <w:szCs w:val="32"/>
        </w:rPr>
        <w:t>Consultation</w:t>
      </w:r>
    </w:p>
    <w:p w14:paraId="3B40888D" w14:textId="787B4D03" w:rsidR="00947E3E" w:rsidRPr="00D01E14" w:rsidRDefault="00947E3E" w:rsidP="00947E3E">
      <w:pPr>
        <w:spacing w:line="240" w:lineRule="auto"/>
        <w:rPr>
          <w:rFonts w:asciiTheme="majorHAnsi" w:hAnsiTheme="majorHAnsi" w:cstheme="majorHAnsi"/>
        </w:rPr>
      </w:pPr>
      <w:r w:rsidRPr="00D01E14">
        <w:rPr>
          <w:rFonts w:asciiTheme="majorHAnsi" w:hAnsiTheme="majorHAnsi" w:cstheme="majorHAnsi"/>
          <w:kern w:val="0"/>
          <w:szCs w:val="20"/>
          <w:lang w:eastAsia="en-AU"/>
          <w14:ligatures w14:val="none"/>
        </w:rPr>
        <w:t>Between 20</w:t>
      </w:r>
      <w:r>
        <w:rPr>
          <w:rFonts w:asciiTheme="majorHAnsi" w:hAnsiTheme="majorHAnsi" w:cstheme="majorHAnsi"/>
          <w:kern w:val="0"/>
          <w:szCs w:val="20"/>
          <w:lang w:eastAsia="en-AU"/>
          <w14:ligatures w14:val="none"/>
        </w:rPr>
        <w:t> </w:t>
      </w:r>
      <w:r w:rsidRPr="00D01E14">
        <w:rPr>
          <w:rFonts w:asciiTheme="majorHAnsi" w:hAnsiTheme="majorHAnsi" w:cstheme="majorHAnsi"/>
          <w:kern w:val="0"/>
          <w:szCs w:val="20"/>
          <w:lang w:eastAsia="en-AU"/>
          <w14:ligatures w14:val="none"/>
        </w:rPr>
        <w:t>November</w:t>
      </w:r>
      <w:r>
        <w:rPr>
          <w:rFonts w:asciiTheme="majorHAnsi" w:hAnsiTheme="majorHAnsi" w:cstheme="majorHAnsi"/>
          <w:kern w:val="0"/>
          <w:szCs w:val="20"/>
          <w:lang w:eastAsia="en-AU"/>
          <w14:ligatures w14:val="none"/>
        </w:rPr>
        <w:t> </w:t>
      </w:r>
      <w:r w:rsidRPr="00D01E14">
        <w:rPr>
          <w:rFonts w:asciiTheme="majorHAnsi" w:hAnsiTheme="majorHAnsi" w:cstheme="majorHAnsi"/>
          <w:kern w:val="0"/>
          <w:szCs w:val="20"/>
          <w:lang w:eastAsia="en-AU"/>
          <w14:ligatures w14:val="none"/>
        </w:rPr>
        <w:t>2023 and 19 January 2024</w:t>
      </w:r>
      <w:r>
        <w:rPr>
          <w:rFonts w:asciiTheme="majorHAnsi" w:hAnsiTheme="majorHAnsi" w:cstheme="majorHAnsi"/>
          <w:kern w:val="0"/>
          <w:szCs w:val="20"/>
          <w:lang w:eastAsia="en-AU"/>
          <w14:ligatures w14:val="none"/>
        </w:rPr>
        <w:t xml:space="preserve">, </w:t>
      </w:r>
      <w:r>
        <w:rPr>
          <w:rFonts w:asciiTheme="majorHAnsi" w:eastAsia="Times New Roman" w:hAnsiTheme="majorHAnsi" w:cstheme="majorHAnsi"/>
          <w:kern w:val="0"/>
          <w:szCs w:val="20"/>
          <w:lang w:eastAsia="en-AU"/>
          <w14:ligatures w14:val="none"/>
        </w:rPr>
        <w:t>Treasury</w:t>
      </w:r>
      <w:r w:rsidRPr="00D01E14">
        <w:rPr>
          <w:rFonts w:asciiTheme="majorHAnsi" w:eastAsia="Times New Roman" w:hAnsiTheme="majorHAnsi" w:cstheme="majorHAnsi"/>
          <w:kern w:val="0"/>
          <w:szCs w:val="20"/>
          <w:lang w:eastAsia="en-AU"/>
          <w14:ligatures w14:val="none"/>
        </w:rPr>
        <w:t xml:space="preserve"> </w:t>
      </w:r>
      <w:r w:rsidRPr="00D01E14">
        <w:rPr>
          <w:rFonts w:asciiTheme="majorHAnsi" w:hAnsiTheme="majorHAnsi" w:cstheme="majorHAnsi"/>
          <w:kern w:val="0"/>
          <w:szCs w:val="20"/>
          <w:lang w:eastAsia="en-AU"/>
          <w14:ligatures w14:val="none"/>
        </w:rPr>
        <w:t>undertook public consultation</w:t>
      </w:r>
      <w:r>
        <w:rPr>
          <w:rFonts w:asciiTheme="majorHAnsi" w:hAnsiTheme="majorHAnsi" w:cstheme="majorHAnsi"/>
          <w:kern w:val="0"/>
          <w:szCs w:val="20"/>
          <w:lang w:eastAsia="en-AU"/>
          <w14:ligatures w14:val="none"/>
        </w:rPr>
        <w:t xml:space="preserve"> on potential options to reform Australia’s approach to merger control</w:t>
      </w:r>
      <w:r w:rsidR="00BC3275">
        <w:rPr>
          <w:rFonts w:asciiTheme="majorHAnsi" w:hAnsiTheme="majorHAnsi" w:cstheme="majorHAnsi"/>
          <w:kern w:val="0"/>
          <w:szCs w:val="20"/>
          <w:lang w:eastAsia="en-AU"/>
          <w14:ligatures w14:val="none"/>
        </w:rPr>
        <w:t xml:space="preserve"> (2023</w:t>
      </w:r>
      <w:r w:rsidR="00112433">
        <w:rPr>
          <w:rFonts w:asciiTheme="majorHAnsi" w:hAnsiTheme="majorHAnsi" w:cstheme="majorHAnsi"/>
          <w:kern w:val="0"/>
          <w:szCs w:val="20"/>
          <w:lang w:eastAsia="en-AU"/>
          <w14:ligatures w14:val="none"/>
        </w:rPr>
        <w:t>–</w:t>
      </w:r>
      <w:r w:rsidR="00842E50">
        <w:rPr>
          <w:rFonts w:asciiTheme="majorHAnsi" w:hAnsiTheme="majorHAnsi" w:cstheme="majorHAnsi"/>
          <w:kern w:val="0"/>
          <w:szCs w:val="20"/>
          <w:lang w:eastAsia="en-AU"/>
          <w14:ligatures w14:val="none"/>
        </w:rPr>
        <w:t>24</w:t>
      </w:r>
      <w:r w:rsidR="00BC3275">
        <w:rPr>
          <w:rFonts w:asciiTheme="majorHAnsi" w:hAnsiTheme="majorHAnsi" w:cstheme="majorHAnsi"/>
          <w:kern w:val="0"/>
          <w:szCs w:val="20"/>
          <w:lang w:eastAsia="en-AU"/>
          <w14:ligatures w14:val="none"/>
        </w:rPr>
        <w:t xml:space="preserve"> Merger Reform Consult</w:t>
      </w:r>
      <w:r w:rsidR="0041733C">
        <w:rPr>
          <w:rFonts w:asciiTheme="majorHAnsi" w:hAnsiTheme="majorHAnsi" w:cstheme="majorHAnsi"/>
          <w:kern w:val="0"/>
          <w:szCs w:val="20"/>
          <w:lang w:eastAsia="en-AU"/>
          <w14:ligatures w14:val="none"/>
        </w:rPr>
        <w:t>ation)</w:t>
      </w:r>
      <w:r w:rsidR="005C7E91">
        <w:rPr>
          <w:rFonts w:asciiTheme="majorHAnsi" w:hAnsiTheme="majorHAnsi" w:cstheme="majorHAnsi"/>
          <w:kern w:val="0"/>
          <w:szCs w:val="20"/>
          <w:lang w:eastAsia="en-AU"/>
          <w14:ligatures w14:val="none"/>
        </w:rPr>
        <w:t>.</w:t>
      </w:r>
      <w:r w:rsidR="0045023C">
        <w:rPr>
          <w:rStyle w:val="FootnoteReference"/>
          <w:rFonts w:asciiTheme="majorHAnsi" w:hAnsiTheme="majorHAnsi" w:cstheme="majorHAnsi"/>
          <w:kern w:val="0"/>
          <w:szCs w:val="20"/>
          <w:lang w:eastAsia="en-AU"/>
          <w14:ligatures w14:val="none"/>
        </w:rPr>
        <w:footnoteReference w:id="2"/>
      </w:r>
      <w:r w:rsidRPr="00D01E14">
        <w:rPr>
          <w:rFonts w:asciiTheme="majorHAnsi" w:hAnsiTheme="majorHAnsi" w:cstheme="majorHAnsi"/>
          <w:kern w:val="0"/>
          <w:szCs w:val="20"/>
          <w:lang w:eastAsia="en-AU"/>
          <w14:ligatures w14:val="none"/>
        </w:rPr>
        <w:t xml:space="preserve"> </w:t>
      </w:r>
      <w:r w:rsidRPr="00D01E14">
        <w:rPr>
          <w:rFonts w:asciiTheme="majorHAnsi" w:hAnsiTheme="majorHAnsi" w:cstheme="majorHAnsi"/>
        </w:rPr>
        <w:t xml:space="preserve">In response, the Competition </w:t>
      </w:r>
      <w:r>
        <w:rPr>
          <w:rFonts w:asciiTheme="majorHAnsi" w:hAnsiTheme="majorHAnsi" w:cstheme="majorHAnsi"/>
        </w:rPr>
        <w:t>Review</w:t>
      </w:r>
      <w:r w:rsidRPr="00D01E14">
        <w:rPr>
          <w:rFonts w:asciiTheme="majorHAnsi" w:hAnsiTheme="majorHAnsi" w:cstheme="majorHAnsi"/>
        </w:rPr>
        <w:t xml:space="preserve"> received 46 non-confidential written submissions, and </w:t>
      </w:r>
      <w:r w:rsidR="00E97257">
        <w:rPr>
          <w:rFonts w:asciiTheme="majorHAnsi" w:hAnsiTheme="majorHAnsi" w:cstheme="majorHAnsi"/>
        </w:rPr>
        <w:t>held</w:t>
      </w:r>
      <w:r w:rsidR="00E97257" w:rsidRPr="00D01E14">
        <w:rPr>
          <w:rFonts w:asciiTheme="majorHAnsi" w:hAnsiTheme="majorHAnsi" w:cstheme="majorHAnsi"/>
        </w:rPr>
        <w:t xml:space="preserve"> </w:t>
      </w:r>
      <w:r w:rsidRPr="00D01E14">
        <w:rPr>
          <w:rFonts w:asciiTheme="majorHAnsi" w:hAnsiTheme="majorHAnsi" w:cstheme="majorHAnsi"/>
        </w:rPr>
        <w:t>9 roundtables attended by 42 organisations across Sydney, Melbourne</w:t>
      </w:r>
      <w:r>
        <w:rPr>
          <w:rFonts w:asciiTheme="majorHAnsi" w:hAnsiTheme="majorHAnsi" w:cstheme="majorHAnsi"/>
        </w:rPr>
        <w:t>,</w:t>
      </w:r>
      <w:r w:rsidRPr="00D01E14">
        <w:rPr>
          <w:rFonts w:asciiTheme="majorHAnsi" w:hAnsiTheme="majorHAnsi" w:cstheme="majorHAnsi"/>
        </w:rPr>
        <w:t xml:space="preserve"> Brisbane and online. An Expert</w:t>
      </w:r>
      <w:r w:rsidR="00AC2E6D">
        <w:rPr>
          <w:rFonts w:asciiTheme="majorHAnsi" w:hAnsiTheme="majorHAnsi" w:cstheme="majorHAnsi"/>
        </w:rPr>
        <w:t xml:space="preserve"> Advisory</w:t>
      </w:r>
      <w:r w:rsidRPr="00D01E14">
        <w:rPr>
          <w:rFonts w:asciiTheme="majorHAnsi" w:hAnsiTheme="majorHAnsi" w:cstheme="majorHAnsi"/>
        </w:rPr>
        <w:t xml:space="preserve"> Panel </w:t>
      </w:r>
      <w:r w:rsidR="00AE1241">
        <w:rPr>
          <w:rFonts w:asciiTheme="majorHAnsi" w:hAnsiTheme="majorHAnsi" w:cstheme="majorHAnsi"/>
        </w:rPr>
        <w:t xml:space="preserve">– members </w:t>
      </w:r>
      <w:r w:rsidR="001965AB">
        <w:rPr>
          <w:rFonts w:asciiTheme="majorHAnsi" w:hAnsiTheme="majorHAnsi" w:cstheme="majorHAnsi"/>
        </w:rPr>
        <w:t>of which</w:t>
      </w:r>
      <w:r w:rsidR="00AE1241">
        <w:rPr>
          <w:rFonts w:asciiTheme="majorHAnsi" w:hAnsiTheme="majorHAnsi" w:cstheme="majorHAnsi"/>
        </w:rPr>
        <w:t xml:space="preserve"> are</w:t>
      </w:r>
      <w:r w:rsidRPr="00D01E14">
        <w:rPr>
          <w:rFonts w:asciiTheme="majorHAnsi" w:hAnsiTheme="majorHAnsi" w:cstheme="majorHAnsi"/>
        </w:rPr>
        <w:t xml:space="preserve"> Kerry Schott, David Gonski, John Asker, Sharon Henrick, John Fingleton, Danielle Wood and Rod Sims</w:t>
      </w:r>
      <w:r w:rsidR="006D4A26">
        <w:rPr>
          <w:rFonts w:asciiTheme="majorHAnsi" w:hAnsiTheme="majorHAnsi" w:cstheme="majorHAnsi"/>
        </w:rPr>
        <w:t xml:space="preserve"> –</w:t>
      </w:r>
      <w:r w:rsidRPr="00D01E14">
        <w:rPr>
          <w:rFonts w:asciiTheme="majorHAnsi" w:hAnsiTheme="majorHAnsi" w:cstheme="majorHAnsi"/>
        </w:rPr>
        <w:t xml:space="preserve"> also contributed their views.</w:t>
      </w:r>
    </w:p>
    <w:p w14:paraId="35C36F20" w14:textId="5BC4677C" w:rsidR="00947E3E" w:rsidRPr="00D01E14" w:rsidRDefault="00947E3E" w:rsidP="00947E3E">
      <w:pPr>
        <w:spacing w:line="240" w:lineRule="auto"/>
        <w:rPr>
          <w:rFonts w:asciiTheme="majorHAnsi" w:hAnsiTheme="majorHAnsi" w:cstheme="majorHAnsi"/>
        </w:rPr>
      </w:pPr>
      <w:r>
        <w:rPr>
          <w:rFonts w:asciiTheme="majorHAnsi" w:hAnsiTheme="majorHAnsi" w:cstheme="majorHAnsi"/>
        </w:rPr>
        <w:t>Feedback from stakeholders was clear: Australia’s</w:t>
      </w:r>
      <w:r w:rsidRPr="00D01E14">
        <w:rPr>
          <w:rFonts w:asciiTheme="majorHAnsi" w:hAnsiTheme="majorHAnsi" w:cstheme="majorHAnsi"/>
        </w:rPr>
        <w:t xml:space="preserve"> current </w:t>
      </w:r>
      <w:r>
        <w:rPr>
          <w:rFonts w:asciiTheme="majorHAnsi" w:hAnsiTheme="majorHAnsi" w:cstheme="majorHAnsi"/>
        </w:rPr>
        <w:t>ad hoc approach to</w:t>
      </w:r>
      <w:r w:rsidRPr="00D01E14">
        <w:rPr>
          <w:rFonts w:asciiTheme="majorHAnsi" w:hAnsiTheme="majorHAnsi" w:cstheme="majorHAnsi"/>
        </w:rPr>
        <w:t xml:space="preserve"> merger control is unfit for a modern economy</w:t>
      </w:r>
      <w:r>
        <w:rPr>
          <w:rFonts w:asciiTheme="majorHAnsi" w:hAnsiTheme="majorHAnsi" w:cstheme="majorHAnsi"/>
        </w:rPr>
        <w:t xml:space="preserve"> and is lagging behind best practice in comparable countries</w:t>
      </w:r>
      <w:r w:rsidRPr="00D01E14">
        <w:rPr>
          <w:rFonts w:asciiTheme="majorHAnsi" w:hAnsiTheme="majorHAnsi" w:cstheme="majorHAnsi"/>
        </w:rPr>
        <w:t xml:space="preserve">. </w:t>
      </w:r>
      <w:r w:rsidRPr="0023653B">
        <w:rPr>
          <w:rFonts w:asciiTheme="majorHAnsi" w:hAnsiTheme="majorHAnsi" w:cstheme="majorHAnsi"/>
        </w:rPr>
        <w:t>For business, some uncontentious mergers are subject to delays, uncertainty, and added costs – with only limited guidance provided</w:t>
      </w:r>
      <w:r w:rsidR="00977773">
        <w:rPr>
          <w:rFonts w:asciiTheme="majorHAnsi" w:hAnsiTheme="majorHAnsi" w:cstheme="majorHAnsi"/>
        </w:rPr>
        <w:t xml:space="preserve"> on the ACCC’s views</w:t>
      </w:r>
      <w:r>
        <w:rPr>
          <w:rFonts w:asciiTheme="majorHAnsi" w:hAnsiTheme="majorHAnsi" w:cstheme="majorHAnsi"/>
        </w:rPr>
        <w:t>.</w:t>
      </w:r>
      <w:r w:rsidRPr="0023653B" w:rsidDel="0023653B">
        <w:rPr>
          <w:rFonts w:asciiTheme="majorHAnsi" w:hAnsiTheme="majorHAnsi" w:cstheme="majorHAnsi"/>
        </w:rPr>
        <w:t xml:space="preserve"> </w:t>
      </w:r>
      <w:r w:rsidRPr="006A1D49">
        <w:rPr>
          <w:rFonts w:asciiTheme="majorHAnsi" w:hAnsiTheme="majorHAnsi" w:cstheme="majorHAnsi"/>
        </w:rPr>
        <w:t xml:space="preserve">For the wider community, </w:t>
      </w:r>
      <w:r>
        <w:rPr>
          <w:rFonts w:asciiTheme="majorHAnsi" w:hAnsiTheme="majorHAnsi" w:cstheme="majorHAnsi"/>
        </w:rPr>
        <w:t>the current approach is not transparent nor accessible</w:t>
      </w:r>
      <w:r w:rsidRPr="006A1D49">
        <w:rPr>
          <w:rFonts w:asciiTheme="majorHAnsi" w:hAnsiTheme="majorHAnsi" w:cstheme="majorHAnsi"/>
        </w:rPr>
        <w:t xml:space="preserve">. </w:t>
      </w:r>
      <w:r>
        <w:rPr>
          <w:rFonts w:asciiTheme="majorHAnsi" w:hAnsiTheme="majorHAnsi" w:cstheme="majorHAnsi"/>
        </w:rPr>
        <w:t>F</w:t>
      </w:r>
      <w:r w:rsidRPr="006A1D49">
        <w:rPr>
          <w:rFonts w:asciiTheme="majorHAnsi" w:hAnsiTheme="majorHAnsi" w:cstheme="majorHAnsi"/>
        </w:rPr>
        <w:t xml:space="preserve">or the </w:t>
      </w:r>
      <w:r>
        <w:rPr>
          <w:rFonts w:asciiTheme="majorHAnsi" w:hAnsiTheme="majorHAnsi" w:cstheme="majorHAnsi"/>
        </w:rPr>
        <w:t>Australian Competition and Consumer Commission (</w:t>
      </w:r>
      <w:r w:rsidRPr="006A1D49">
        <w:rPr>
          <w:rFonts w:asciiTheme="majorHAnsi" w:hAnsiTheme="majorHAnsi" w:cstheme="majorHAnsi"/>
        </w:rPr>
        <w:t>ACCC</w:t>
      </w:r>
      <w:r>
        <w:rPr>
          <w:rFonts w:asciiTheme="majorHAnsi" w:hAnsiTheme="majorHAnsi" w:cstheme="majorHAnsi"/>
        </w:rPr>
        <w:t>)</w:t>
      </w:r>
      <w:r w:rsidRPr="006A1D49">
        <w:rPr>
          <w:rFonts w:asciiTheme="majorHAnsi" w:hAnsiTheme="majorHAnsi" w:cstheme="majorHAnsi"/>
        </w:rPr>
        <w:t xml:space="preserve">, the current merger approval process can impede its ability to effectively and efficiently detect and prevent anti-competitive mergers. </w:t>
      </w:r>
      <w:r w:rsidR="00F530E1">
        <w:rPr>
          <w:rFonts w:asciiTheme="majorHAnsi" w:hAnsiTheme="majorHAnsi" w:cstheme="majorHAnsi"/>
        </w:rPr>
        <w:t>The ACCC</w:t>
      </w:r>
      <w:r w:rsidRPr="006A1D49">
        <w:rPr>
          <w:rFonts w:asciiTheme="majorHAnsi" w:hAnsiTheme="majorHAnsi" w:cstheme="majorHAnsi"/>
        </w:rPr>
        <w:t xml:space="preserve"> often has to deal with inadequate notification of mergers, insufficient information, and a reactive, adversarial approach from some businesses, with limited capacity for economic evidence to be presented in court</w:t>
      </w:r>
      <w:r>
        <w:rPr>
          <w:rFonts w:asciiTheme="majorHAnsi" w:hAnsiTheme="majorHAnsi" w:cstheme="majorHAnsi"/>
        </w:rPr>
        <w:t>.</w:t>
      </w:r>
    </w:p>
    <w:p w14:paraId="258AF9AA" w14:textId="77777777" w:rsidR="00947E3E" w:rsidRPr="00273A9E" w:rsidRDefault="00947E3E" w:rsidP="00E60609">
      <w:pPr>
        <w:keepNext/>
        <w:spacing w:line="240" w:lineRule="auto"/>
        <w:rPr>
          <w:rFonts w:asciiTheme="majorHAnsi" w:hAnsiTheme="majorHAnsi" w:cstheme="majorHAnsi"/>
          <w:color w:val="2C384A" w:themeColor="accent1"/>
          <w:sz w:val="32"/>
          <w:szCs w:val="32"/>
        </w:rPr>
      </w:pPr>
      <w:r w:rsidRPr="00273A9E">
        <w:rPr>
          <w:rFonts w:asciiTheme="majorHAnsi" w:hAnsiTheme="majorHAnsi" w:cstheme="majorHAnsi"/>
          <w:color w:val="2C384A" w:themeColor="accent1"/>
          <w:sz w:val="32"/>
          <w:szCs w:val="32"/>
        </w:rPr>
        <w:t>Reform options considered</w:t>
      </w:r>
    </w:p>
    <w:p w14:paraId="5F98BCD5" w14:textId="1705A394" w:rsidR="00947E3E" w:rsidRPr="00D01E14" w:rsidRDefault="00947E3E" w:rsidP="00E60609">
      <w:pPr>
        <w:spacing w:line="240" w:lineRule="auto"/>
        <w:rPr>
          <w:rFonts w:ascii="Calibri Light" w:hAnsi="Calibri Light" w:cs="Times New Roman"/>
        </w:rPr>
      </w:pPr>
      <w:r>
        <w:t xml:space="preserve">Taking into account the feedback received, </w:t>
      </w:r>
      <w:r w:rsidR="00CA5AFA">
        <w:t xml:space="preserve">4 </w:t>
      </w:r>
      <w:r>
        <w:t xml:space="preserve">options for reform </w:t>
      </w:r>
      <w:r w:rsidR="005D568C">
        <w:t>were</w:t>
      </w:r>
      <w:r>
        <w:t xml:space="preserve"> considered, including the status quo. Three of these options (Options 2, 3, and 4) introduce a mandatory and suspensory system, and </w:t>
      </w:r>
      <w:r w:rsidR="00792DCF">
        <w:t>2</w:t>
      </w:r>
      <w:r w:rsidR="0072521F">
        <w:t xml:space="preserve"> </w:t>
      </w:r>
      <w:r>
        <w:t>of these options replace the existing model of judicial enforcement with an administrative system (Options 2 and 3):</w:t>
      </w:r>
    </w:p>
    <w:p w14:paraId="01911B90" w14:textId="31D40D8E" w:rsidR="00947E3E" w:rsidRPr="00DC10E6" w:rsidRDefault="00947E3E" w:rsidP="00947E3E">
      <w:pPr>
        <w:pStyle w:val="Bullet"/>
        <w:spacing w:line="240" w:lineRule="auto"/>
        <w:rPr>
          <w:rFonts w:asciiTheme="minorHAnsi" w:eastAsiaTheme="minorHAnsi" w:hAnsiTheme="minorHAnsi" w:cstheme="minorHAnsi"/>
        </w:rPr>
      </w:pPr>
      <w:r w:rsidRPr="00FC3C6B">
        <w:rPr>
          <w:rFonts w:asciiTheme="minorHAnsi" w:eastAsiaTheme="minorHAnsi" w:hAnsiTheme="minorHAnsi" w:cstheme="minorHAnsi"/>
          <w:b/>
        </w:rPr>
        <w:t>Option 1</w:t>
      </w:r>
      <w:r>
        <w:rPr>
          <w:rFonts w:asciiTheme="minorHAnsi" w:eastAsiaTheme="minorHAnsi" w:hAnsiTheme="minorHAnsi" w:cstheme="minorHAnsi"/>
          <w:b/>
        </w:rPr>
        <w:t xml:space="preserve"> (</w:t>
      </w:r>
      <w:r w:rsidR="007468DB">
        <w:rPr>
          <w:rFonts w:asciiTheme="minorHAnsi" w:eastAsiaTheme="minorHAnsi" w:hAnsiTheme="minorHAnsi" w:cstheme="minorHAnsi"/>
          <w:b/>
        </w:rPr>
        <w:t>s</w:t>
      </w:r>
      <w:r>
        <w:rPr>
          <w:rFonts w:asciiTheme="minorHAnsi" w:eastAsiaTheme="minorHAnsi" w:hAnsiTheme="minorHAnsi" w:cstheme="minorHAnsi"/>
          <w:b/>
        </w:rPr>
        <w:t xml:space="preserve">tatus </w:t>
      </w:r>
      <w:r w:rsidR="007468DB">
        <w:rPr>
          <w:rFonts w:asciiTheme="minorHAnsi" w:eastAsiaTheme="minorHAnsi" w:hAnsiTheme="minorHAnsi" w:cstheme="minorHAnsi"/>
          <w:b/>
        </w:rPr>
        <w:t>q</w:t>
      </w:r>
      <w:r>
        <w:rPr>
          <w:rFonts w:asciiTheme="minorHAnsi" w:eastAsiaTheme="minorHAnsi" w:hAnsiTheme="minorHAnsi" w:cstheme="minorHAnsi"/>
          <w:b/>
        </w:rPr>
        <w:t>uo)</w:t>
      </w:r>
      <w:r w:rsidRPr="00DC10E6">
        <w:rPr>
          <w:rFonts w:asciiTheme="minorHAnsi" w:eastAsiaTheme="minorHAnsi" w:hAnsiTheme="minorHAnsi" w:cstheme="minorHAnsi"/>
        </w:rPr>
        <w:t xml:space="preserve"> </w:t>
      </w:r>
      <w:r w:rsidR="00D30496">
        <w:rPr>
          <w:rFonts w:asciiTheme="minorHAnsi" w:eastAsiaTheme="minorHAnsi" w:hAnsiTheme="minorHAnsi" w:cstheme="minorHAnsi"/>
        </w:rPr>
        <w:t xml:space="preserve">– </w:t>
      </w:r>
      <w:r w:rsidRPr="00DC10E6">
        <w:rPr>
          <w:rFonts w:asciiTheme="minorHAnsi" w:eastAsiaTheme="minorHAnsi" w:hAnsiTheme="minorHAnsi" w:cstheme="minorHAnsi"/>
        </w:rPr>
        <w:t xml:space="preserve">Australia </w:t>
      </w:r>
      <w:r>
        <w:rPr>
          <w:rFonts w:asciiTheme="minorHAnsi" w:eastAsiaTheme="minorHAnsi" w:hAnsiTheme="minorHAnsi" w:cstheme="minorHAnsi"/>
        </w:rPr>
        <w:t xml:space="preserve">currently </w:t>
      </w:r>
      <w:r w:rsidRPr="00DC10E6">
        <w:rPr>
          <w:rFonts w:asciiTheme="minorHAnsi" w:eastAsiaTheme="minorHAnsi" w:hAnsiTheme="minorHAnsi" w:cstheme="minorHAnsi"/>
        </w:rPr>
        <w:t xml:space="preserve">has a prohibition on acquisitions of shares or assets that </w:t>
      </w:r>
      <w:r>
        <w:rPr>
          <w:rFonts w:asciiTheme="minorHAnsi" w:eastAsiaTheme="minorHAnsi" w:hAnsiTheme="minorHAnsi" w:cstheme="minorHAnsi"/>
        </w:rPr>
        <w:t xml:space="preserve">would have the effect, or be </w:t>
      </w:r>
      <w:r w:rsidRPr="00DC10E6">
        <w:rPr>
          <w:rFonts w:asciiTheme="minorHAnsi" w:eastAsiaTheme="minorHAnsi" w:hAnsiTheme="minorHAnsi" w:cstheme="minorHAnsi"/>
        </w:rPr>
        <w:t>likely to have the effect</w:t>
      </w:r>
      <w:r>
        <w:rPr>
          <w:rFonts w:asciiTheme="minorHAnsi" w:eastAsiaTheme="minorHAnsi" w:hAnsiTheme="minorHAnsi" w:cstheme="minorHAnsi"/>
        </w:rPr>
        <w:t>,</w:t>
      </w:r>
      <w:r w:rsidRPr="00DC10E6">
        <w:rPr>
          <w:rFonts w:asciiTheme="minorHAnsi" w:eastAsiaTheme="minorHAnsi" w:hAnsiTheme="minorHAnsi" w:cstheme="minorHAnsi"/>
        </w:rPr>
        <w:t xml:space="preserve"> of substantially lessening competition</w:t>
      </w:r>
      <w:r>
        <w:rPr>
          <w:rFonts w:asciiTheme="minorHAnsi" w:eastAsiaTheme="minorHAnsi" w:hAnsiTheme="minorHAnsi" w:cstheme="minorHAnsi"/>
        </w:rPr>
        <w:t xml:space="preserve"> (SLC) in any market. These are reviewed</w:t>
      </w:r>
      <w:r w:rsidRPr="00DC10E6">
        <w:rPr>
          <w:rFonts w:asciiTheme="minorHAnsi" w:eastAsiaTheme="minorHAnsi" w:hAnsiTheme="minorHAnsi" w:cstheme="minorHAnsi"/>
        </w:rPr>
        <w:t xml:space="preserve"> through</w:t>
      </w:r>
      <w:r w:rsidDel="00C05FCE">
        <w:rPr>
          <w:rFonts w:asciiTheme="minorHAnsi" w:eastAsiaTheme="minorHAnsi" w:hAnsiTheme="minorHAnsi" w:cstheme="minorHAnsi"/>
        </w:rPr>
        <w:t xml:space="preserve"> </w:t>
      </w:r>
      <w:r>
        <w:rPr>
          <w:rFonts w:asciiTheme="minorHAnsi" w:eastAsiaTheme="minorHAnsi" w:hAnsiTheme="minorHAnsi" w:cstheme="minorHAnsi"/>
        </w:rPr>
        <w:t>one of three pathways:</w:t>
      </w:r>
      <w:r w:rsidRPr="00DC10E6">
        <w:rPr>
          <w:rFonts w:asciiTheme="minorHAnsi" w:eastAsiaTheme="minorHAnsi" w:hAnsiTheme="minorHAnsi" w:cstheme="minorHAnsi"/>
        </w:rPr>
        <w:t xml:space="preserve"> voluntary informal merger review</w:t>
      </w:r>
      <w:r>
        <w:rPr>
          <w:rFonts w:asciiTheme="minorHAnsi" w:eastAsiaTheme="minorHAnsi" w:hAnsiTheme="minorHAnsi" w:cstheme="minorHAnsi"/>
        </w:rPr>
        <w:t>;</w:t>
      </w:r>
      <w:r w:rsidRPr="00DC10E6">
        <w:rPr>
          <w:rFonts w:asciiTheme="minorHAnsi" w:eastAsiaTheme="minorHAnsi" w:hAnsiTheme="minorHAnsi" w:cstheme="minorHAnsi"/>
        </w:rPr>
        <w:t xml:space="preserve"> voluntary merger authorisation</w:t>
      </w:r>
      <w:r>
        <w:rPr>
          <w:rFonts w:asciiTheme="minorHAnsi" w:eastAsiaTheme="minorHAnsi" w:hAnsiTheme="minorHAnsi" w:cstheme="minorHAnsi"/>
        </w:rPr>
        <w:t>;</w:t>
      </w:r>
      <w:r w:rsidRPr="00DC10E6">
        <w:rPr>
          <w:rFonts w:asciiTheme="minorHAnsi" w:eastAsiaTheme="minorHAnsi" w:hAnsiTheme="minorHAnsi" w:cstheme="minorHAnsi"/>
        </w:rPr>
        <w:t xml:space="preserve"> </w:t>
      </w:r>
      <w:r w:rsidR="006D4A26">
        <w:rPr>
          <w:rFonts w:asciiTheme="minorHAnsi" w:eastAsiaTheme="minorHAnsi" w:hAnsiTheme="minorHAnsi" w:cstheme="minorHAnsi"/>
        </w:rPr>
        <w:t>or</w:t>
      </w:r>
      <w:r w:rsidRPr="00DC10E6">
        <w:rPr>
          <w:rFonts w:asciiTheme="minorHAnsi" w:eastAsiaTheme="minorHAnsi" w:hAnsiTheme="minorHAnsi" w:cstheme="minorHAnsi"/>
        </w:rPr>
        <w:t xml:space="preserve"> Federal Court </w:t>
      </w:r>
      <w:r w:rsidR="00BF2B2E">
        <w:rPr>
          <w:rFonts w:asciiTheme="minorHAnsi" w:eastAsiaTheme="minorHAnsi" w:hAnsiTheme="minorHAnsi" w:cstheme="minorHAnsi"/>
        </w:rPr>
        <w:t>of Australia (Federal Court)</w:t>
      </w:r>
      <w:r w:rsidRPr="00DC10E6">
        <w:rPr>
          <w:rFonts w:asciiTheme="minorHAnsi" w:eastAsiaTheme="minorHAnsi" w:hAnsiTheme="minorHAnsi" w:cstheme="minorHAnsi"/>
        </w:rPr>
        <w:t xml:space="preserve"> proceedings.</w:t>
      </w:r>
    </w:p>
    <w:p w14:paraId="36DB112B" w14:textId="7E9C8723" w:rsidR="00947E3E" w:rsidRPr="005D036C" w:rsidRDefault="00947E3E" w:rsidP="005D036C">
      <w:pPr>
        <w:pStyle w:val="Bullet"/>
        <w:spacing w:line="240" w:lineRule="auto"/>
        <w:rPr>
          <w:rFonts w:asciiTheme="minorHAnsi" w:eastAsiaTheme="minorHAnsi" w:hAnsiTheme="minorHAnsi" w:cstheme="minorHAnsi"/>
          <w:b/>
        </w:rPr>
      </w:pPr>
      <w:r w:rsidRPr="005D036C">
        <w:rPr>
          <w:rFonts w:asciiTheme="minorHAnsi" w:eastAsiaTheme="minorHAnsi" w:hAnsiTheme="minorHAnsi" w:cstheme="minorHAnsi"/>
          <w:b/>
        </w:rPr>
        <w:t>Option 2 (</w:t>
      </w:r>
      <w:r w:rsidR="007468DB">
        <w:rPr>
          <w:rFonts w:asciiTheme="minorHAnsi" w:eastAsiaTheme="minorHAnsi" w:hAnsiTheme="minorHAnsi" w:cstheme="minorHAnsi"/>
          <w:b/>
        </w:rPr>
        <w:t>m</w:t>
      </w:r>
      <w:r w:rsidRPr="005D036C">
        <w:rPr>
          <w:rFonts w:asciiTheme="minorHAnsi" w:eastAsiaTheme="minorHAnsi" w:hAnsiTheme="minorHAnsi" w:cstheme="minorHAnsi"/>
          <w:b/>
        </w:rPr>
        <w:t xml:space="preserve">andatory and </w:t>
      </w:r>
      <w:r w:rsidR="007468DB">
        <w:rPr>
          <w:rFonts w:asciiTheme="minorHAnsi" w:eastAsiaTheme="minorHAnsi" w:hAnsiTheme="minorHAnsi" w:cstheme="minorHAnsi"/>
          <w:b/>
        </w:rPr>
        <w:t>s</w:t>
      </w:r>
      <w:r w:rsidRPr="005D036C">
        <w:rPr>
          <w:rFonts w:asciiTheme="minorHAnsi" w:eastAsiaTheme="minorHAnsi" w:hAnsiTheme="minorHAnsi" w:cstheme="minorHAnsi"/>
          <w:b/>
        </w:rPr>
        <w:t xml:space="preserve">uspensory </w:t>
      </w:r>
      <w:r w:rsidR="007468DB">
        <w:rPr>
          <w:rFonts w:asciiTheme="minorHAnsi" w:eastAsiaTheme="minorHAnsi" w:hAnsiTheme="minorHAnsi" w:cstheme="minorHAnsi"/>
          <w:b/>
        </w:rPr>
        <w:t>a</w:t>
      </w:r>
      <w:r w:rsidRPr="005D036C">
        <w:rPr>
          <w:rFonts w:asciiTheme="minorHAnsi" w:eastAsiaTheme="minorHAnsi" w:hAnsiTheme="minorHAnsi" w:cstheme="minorHAnsi"/>
          <w:b/>
        </w:rPr>
        <w:t xml:space="preserve">dministrative </w:t>
      </w:r>
      <w:r w:rsidR="007468DB">
        <w:rPr>
          <w:rFonts w:asciiTheme="minorHAnsi" w:eastAsiaTheme="minorHAnsi" w:hAnsiTheme="minorHAnsi" w:cstheme="minorHAnsi"/>
          <w:b/>
        </w:rPr>
        <w:t>s</w:t>
      </w:r>
      <w:r w:rsidRPr="005D036C">
        <w:rPr>
          <w:rFonts w:asciiTheme="minorHAnsi" w:eastAsiaTheme="minorHAnsi" w:hAnsiTheme="minorHAnsi" w:cstheme="minorHAnsi"/>
          <w:b/>
        </w:rPr>
        <w:t>ystem with an extended SLC test)</w:t>
      </w:r>
      <w:r w:rsidR="00D30496">
        <w:rPr>
          <w:rFonts w:asciiTheme="minorHAnsi" w:eastAsiaTheme="minorHAnsi" w:hAnsiTheme="minorHAnsi" w:cstheme="minorHAnsi"/>
          <w:b/>
        </w:rPr>
        <w:t xml:space="preserve"> </w:t>
      </w:r>
      <w:r w:rsidR="006134A4" w:rsidRPr="00C43B40">
        <w:rPr>
          <w:rFonts w:asciiTheme="minorHAnsi" w:eastAsiaTheme="minorHAnsi" w:hAnsiTheme="minorHAnsi" w:cstheme="minorHAnsi"/>
          <w:bCs/>
        </w:rPr>
        <w:t>– introduces</w:t>
      </w:r>
      <w:r w:rsidRPr="005D036C">
        <w:rPr>
          <w:rFonts w:asciiTheme="minorHAnsi" w:eastAsiaTheme="minorHAnsi" w:hAnsiTheme="minorHAnsi" w:cstheme="minorHAnsi"/>
          <w:bCs/>
        </w:rPr>
        <w:t xml:space="preserve"> a single mandatory and suspensory administrative merger control system that will replace the multiple voluntary pathways of the status quo. A merger will be permitted to proceed, unless the </w:t>
      </w:r>
      <w:r w:rsidRPr="00D90AC6">
        <w:rPr>
          <w:rFonts w:asciiTheme="minorHAnsi" w:eastAsiaTheme="minorHAnsi" w:hAnsiTheme="minorHAnsi" w:cstheme="minorHAnsi"/>
          <w:bCs/>
        </w:rPr>
        <w:t xml:space="preserve">ACCC </w:t>
      </w:r>
      <w:r w:rsidR="003F078C" w:rsidRPr="00D90AC6">
        <w:rPr>
          <w:rFonts w:asciiTheme="minorHAnsi" w:eastAsiaTheme="minorHAnsi" w:hAnsiTheme="minorHAnsi" w:cstheme="minorHAnsi"/>
          <w:bCs/>
        </w:rPr>
        <w:t>is satisfied that</w:t>
      </w:r>
      <w:r w:rsidRPr="00D90AC6">
        <w:rPr>
          <w:rFonts w:asciiTheme="minorHAnsi" w:eastAsiaTheme="minorHAnsi" w:hAnsiTheme="minorHAnsi" w:cstheme="minorHAnsi"/>
          <w:bCs/>
        </w:rPr>
        <w:t xml:space="preserve"> it</w:t>
      </w:r>
      <w:r w:rsidRPr="005D036C">
        <w:rPr>
          <w:rFonts w:asciiTheme="minorHAnsi" w:eastAsiaTheme="minorHAnsi" w:hAnsiTheme="minorHAnsi" w:cstheme="minorHAnsi"/>
          <w:bCs/>
        </w:rPr>
        <w:t xml:space="preserve"> is likely to </w:t>
      </w:r>
      <w:r w:rsidR="001A1B80" w:rsidRPr="005D036C">
        <w:rPr>
          <w:rFonts w:asciiTheme="minorHAnsi" w:eastAsiaTheme="minorHAnsi" w:hAnsiTheme="minorHAnsi" w:cstheme="minorHAnsi"/>
          <w:bCs/>
        </w:rPr>
        <w:t>SLC</w:t>
      </w:r>
      <w:r w:rsidRPr="005D036C">
        <w:rPr>
          <w:rFonts w:asciiTheme="minorHAnsi" w:eastAsiaTheme="minorHAnsi" w:hAnsiTheme="minorHAnsi" w:cstheme="minorHAnsi"/>
          <w:bCs/>
        </w:rPr>
        <w:t xml:space="preserve">, including if it creates, strengthens, or entrenches substantial market power. </w:t>
      </w:r>
      <w:r w:rsidR="009944DC" w:rsidRPr="005D036C">
        <w:rPr>
          <w:rFonts w:asciiTheme="minorHAnsi" w:eastAsiaTheme="minorHAnsi" w:hAnsiTheme="minorHAnsi" w:cstheme="minorHAnsi"/>
          <w:bCs/>
        </w:rPr>
        <w:t xml:space="preserve">Merger parties may also, following the competition assessment, seek the merger </w:t>
      </w:r>
      <w:r w:rsidR="00165D84">
        <w:rPr>
          <w:rFonts w:asciiTheme="minorHAnsi" w:eastAsiaTheme="minorHAnsi" w:hAnsiTheme="minorHAnsi" w:cstheme="minorHAnsi"/>
          <w:bCs/>
        </w:rPr>
        <w:t xml:space="preserve">to be approved </w:t>
      </w:r>
      <w:r w:rsidR="009944DC" w:rsidRPr="005D036C">
        <w:rPr>
          <w:rFonts w:asciiTheme="minorHAnsi" w:eastAsiaTheme="minorHAnsi" w:hAnsiTheme="minorHAnsi" w:cstheme="minorHAnsi"/>
          <w:bCs/>
        </w:rPr>
        <w:t xml:space="preserve">if the ACCC is satisfied the merger would result, or be likely to result, in a benefit to the public </w:t>
      </w:r>
      <w:r w:rsidR="009776BD">
        <w:rPr>
          <w:rFonts w:asciiTheme="minorHAnsi" w:eastAsiaTheme="minorHAnsi" w:hAnsiTheme="minorHAnsi" w:cstheme="minorHAnsi"/>
          <w:bCs/>
        </w:rPr>
        <w:t>that</w:t>
      </w:r>
      <w:r w:rsidR="009776BD" w:rsidRPr="005D036C">
        <w:rPr>
          <w:rFonts w:asciiTheme="minorHAnsi" w:eastAsiaTheme="minorHAnsi" w:hAnsiTheme="minorHAnsi" w:cstheme="minorHAnsi"/>
          <w:bCs/>
        </w:rPr>
        <w:t xml:space="preserve"> </w:t>
      </w:r>
      <w:r w:rsidR="009944DC" w:rsidRPr="005D036C">
        <w:rPr>
          <w:rFonts w:asciiTheme="minorHAnsi" w:eastAsiaTheme="minorHAnsi" w:hAnsiTheme="minorHAnsi" w:cstheme="minorHAnsi"/>
          <w:bCs/>
        </w:rPr>
        <w:t>outweighs the anti-competitive detriment of the merger.</w:t>
      </w:r>
    </w:p>
    <w:p w14:paraId="0D2E7EC2" w14:textId="5B965A57" w:rsidR="00947E3E" w:rsidRPr="00DC10E6" w:rsidRDefault="00947E3E" w:rsidP="00947E3E">
      <w:pPr>
        <w:pStyle w:val="Bullet"/>
        <w:spacing w:line="240" w:lineRule="auto"/>
        <w:rPr>
          <w:rFonts w:asciiTheme="minorHAnsi" w:eastAsiaTheme="minorHAnsi" w:hAnsiTheme="minorHAnsi" w:cstheme="minorHAnsi"/>
        </w:rPr>
      </w:pPr>
      <w:r w:rsidRPr="00DC10E6">
        <w:rPr>
          <w:rFonts w:asciiTheme="minorHAnsi" w:eastAsiaTheme="minorHAnsi" w:hAnsiTheme="minorHAnsi" w:cstheme="minorHAnsi"/>
          <w:b/>
        </w:rPr>
        <w:t>Option 3</w:t>
      </w:r>
      <w:r>
        <w:rPr>
          <w:rFonts w:asciiTheme="minorHAnsi" w:eastAsiaTheme="minorHAnsi" w:hAnsiTheme="minorHAnsi" w:cstheme="minorHAnsi"/>
          <w:b/>
        </w:rPr>
        <w:t xml:space="preserve"> (</w:t>
      </w:r>
      <w:r w:rsidR="007468DB">
        <w:rPr>
          <w:rFonts w:asciiTheme="minorHAnsi" w:eastAsiaTheme="minorHAnsi" w:hAnsiTheme="minorHAnsi" w:cstheme="minorHAnsi"/>
          <w:b/>
        </w:rPr>
        <w:t>m</w:t>
      </w:r>
      <w:r>
        <w:rPr>
          <w:rFonts w:asciiTheme="minorHAnsi" w:eastAsiaTheme="minorHAnsi" w:hAnsiTheme="minorHAnsi" w:cstheme="minorHAnsi"/>
          <w:b/>
        </w:rPr>
        <w:t xml:space="preserve">andatory and </w:t>
      </w:r>
      <w:r w:rsidR="007468DB">
        <w:rPr>
          <w:rFonts w:asciiTheme="minorHAnsi" w:eastAsiaTheme="minorHAnsi" w:hAnsiTheme="minorHAnsi" w:cstheme="minorHAnsi"/>
          <w:b/>
        </w:rPr>
        <w:t>s</w:t>
      </w:r>
      <w:r>
        <w:rPr>
          <w:rFonts w:asciiTheme="minorHAnsi" w:eastAsiaTheme="minorHAnsi" w:hAnsiTheme="minorHAnsi" w:cstheme="minorHAnsi"/>
          <w:b/>
        </w:rPr>
        <w:t xml:space="preserve">uspensory </w:t>
      </w:r>
      <w:r w:rsidR="007468DB">
        <w:rPr>
          <w:rFonts w:asciiTheme="minorHAnsi" w:eastAsiaTheme="minorHAnsi" w:hAnsiTheme="minorHAnsi" w:cstheme="minorHAnsi"/>
          <w:b/>
        </w:rPr>
        <w:t>a</w:t>
      </w:r>
      <w:r>
        <w:rPr>
          <w:rFonts w:asciiTheme="minorHAnsi" w:eastAsiaTheme="minorHAnsi" w:hAnsiTheme="minorHAnsi" w:cstheme="minorHAnsi"/>
          <w:b/>
        </w:rPr>
        <w:t xml:space="preserve">dministrative </w:t>
      </w:r>
      <w:r w:rsidR="007468DB">
        <w:rPr>
          <w:rFonts w:asciiTheme="minorHAnsi" w:eastAsiaTheme="minorHAnsi" w:hAnsiTheme="minorHAnsi" w:cstheme="minorHAnsi"/>
          <w:b/>
        </w:rPr>
        <w:t>s</w:t>
      </w:r>
      <w:r>
        <w:rPr>
          <w:rFonts w:asciiTheme="minorHAnsi" w:eastAsiaTheme="minorHAnsi" w:hAnsiTheme="minorHAnsi" w:cstheme="minorHAnsi"/>
          <w:b/>
        </w:rPr>
        <w:t>ystem with a satisfaction test)</w:t>
      </w:r>
      <w:r w:rsidR="00D30496">
        <w:rPr>
          <w:rFonts w:asciiTheme="minorHAnsi" w:eastAsiaTheme="minorHAnsi" w:hAnsiTheme="minorHAnsi" w:cstheme="minorHAnsi"/>
        </w:rPr>
        <w:t xml:space="preserve"> – t</w:t>
      </w:r>
      <w:r>
        <w:rPr>
          <w:rFonts w:asciiTheme="minorHAnsi" w:eastAsiaTheme="minorHAnsi" w:hAnsiTheme="minorHAnsi" w:cstheme="minorHAnsi"/>
        </w:rPr>
        <w:t>his</w:t>
      </w:r>
      <w:r w:rsidRPr="00F15A52" w:rsidDel="00AA23BA">
        <w:rPr>
          <w:rFonts w:asciiTheme="minorHAnsi" w:eastAsiaTheme="minorHAnsi" w:hAnsiTheme="minorHAnsi" w:cstheme="minorHAnsi"/>
        </w:rPr>
        <w:t xml:space="preserve"> </w:t>
      </w:r>
      <w:r w:rsidRPr="00F15A52">
        <w:rPr>
          <w:rFonts w:asciiTheme="minorHAnsi" w:eastAsiaTheme="minorHAnsi" w:hAnsiTheme="minorHAnsi" w:cstheme="minorHAnsi"/>
        </w:rPr>
        <w:t>is a</w:t>
      </w:r>
      <w:r>
        <w:rPr>
          <w:rFonts w:asciiTheme="minorHAnsi" w:eastAsiaTheme="minorHAnsi" w:hAnsiTheme="minorHAnsi" w:cstheme="minorHAnsi"/>
        </w:rPr>
        <w:t>n</w:t>
      </w:r>
      <w:r w:rsidRPr="00F15A52">
        <w:rPr>
          <w:rFonts w:asciiTheme="minorHAnsi" w:eastAsiaTheme="minorHAnsi" w:hAnsiTheme="minorHAnsi" w:cstheme="minorHAnsi"/>
        </w:rPr>
        <w:t xml:space="preserve"> </w:t>
      </w:r>
      <w:r>
        <w:rPr>
          <w:rFonts w:asciiTheme="minorHAnsi" w:eastAsiaTheme="minorHAnsi" w:hAnsiTheme="minorHAnsi" w:cstheme="minorHAnsi"/>
        </w:rPr>
        <w:t>alternative</w:t>
      </w:r>
      <w:r w:rsidRPr="00F15A52">
        <w:rPr>
          <w:rFonts w:asciiTheme="minorHAnsi" w:eastAsiaTheme="minorHAnsi" w:hAnsiTheme="minorHAnsi" w:cstheme="minorHAnsi"/>
        </w:rPr>
        <w:t xml:space="preserve"> version of Option 2</w:t>
      </w:r>
      <w:r>
        <w:rPr>
          <w:rFonts w:asciiTheme="minorHAnsi" w:eastAsiaTheme="minorHAnsi" w:hAnsiTheme="minorHAnsi" w:cstheme="minorHAnsi"/>
        </w:rPr>
        <w:t xml:space="preserve"> in that it also introduces a mandatory and suspensory administrative merger control system. It differs from Option 2 in that m</w:t>
      </w:r>
      <w:r w:rsidRPr="00F15A52">
        <w:rPr>
          <w:rFonts w:asciiTheme="minorHAnsi" w:eastAsiaTheme="minorHAnsi" w:hAnsiTheme="minorHAnsi" w:cstheme="minorHAnsi"/>
        </w:rPr>
        <w:t xml:space="preserve">ergers </w:t>
      </w:r>
      <w:r w:rsidR="00975383">
        <w:rPr>
          <w:rFonts w:asciiTheme="minorHAnsi" w:eastAsiaTheme="minorHAnsi" w:hAnsiTheme="minorHAnsi" w:cstheme="minorHAnsi"/>
        </w:rPr>
        <w:t xml:space="preserve">and acquisitions </w:t>
      </w:r>
      <w:r w:rsidRPr="00F15A52">
        <w:rPr>
          <w:rFonts w:asciiTheme="minorHAnsi" w:eastAsiaTheme="minorHAnsi" w:hAnsiTheme="minorHAnsi" w:cstheme="minorHAnsi"/>
        </w:rPr>
        <w:t xml:space="preserve">can only proceed if the ACCC </w:t>
      </w:r>
      <w:r>
        <w:rPr>
          <w:rFonts w:asciiTheme="minorHAnsi" w:eastAsiaTheme="minorHAnsi" w:hAnsiTheme="minorHAnsi" w:cstheme="minorHAnsi"/>
        </w:rPr>
        <w:t>is</w:t>
      </w:r>
      <w:r w:rsidRPr="00DC10E6">
        <w:rPr>
          <w:rFonts w:asciiTheme="minorHAnsi" w:eastAsiaTheme="minorHAnsi" w:hAnsiTheme="minorHAnsi" w:cstheme="minorHAnsi"/>
        </w:rPr>
        <w:t xml:space="preserve"> </w:t>
      </w:r>
      <w:r w:rsidRPr="002B5B7E">
        <w:rPr>
          <w:rFonts w:asciiTheme="minorHAnsi" w:eastAsiaTheme="minorHAnsi" w:hAnsiTheme="minorHAnsi" w:cstheme="minorHAnsi"/>
        </w:rPr>
        <w:t>satisfied</w:t>
      </w:r>
      <w:r w:rsidRPr="00DC10E6">
        <w:rPr>
          <w:rFonts w:asciiTheme="minorHAnsi" w:eastAsiaTheme="minorHAnsi" w:hAnsiTheme="minorHAnsi" w:cstheme="minorHAnsi"/>
        </w:rPr>
        <w:t xml:space="preserve"> </w:t>
      </w:r>
      <w:r>
        <w:rPr>
          <w:rFonts w:asciiTheme="minorHAnsi" w:eastAsiaTheme="minorHAnsi" w:hAnsiTheme="minorHAnsi" w:cstheme="minorHAnsi"/>
        </w:rPr>
        <w:t>a</w:t>
      </w:r>
      <w:r w:rsidRPr="00DC10E6">
        <w:rPr>
          <w:rFonts w:asciiTheme="minorHAnsi" w:eastAsiaTheme="minorHAnsi" w:hAnsiTheme="minorHAnsi" w:cstheme="minorHAnsi"/>
        </w:rPr>
        <w:t xml:space="preserve"> merger </w:t>
      </w:r>
      <w:r>
        <w:rPr>
          <w:rFonts w:asciiTheme="minorHAnsi" w:eastAsiaTheme="minorHAnsi" w:hAnsiTheme="minorHAnsi" w:cstheme="minorHAnsi"/>
        </w:rPr>
        <w:t>is</w:t>
      </w:r>
      <w:r w:rsidRPr="00DC10E6">
        <w:rPr>
          <w:rFonts w:asciiTheme="minorHAnsi" w:eastAsiaTheme="minorHAnsi" w:hAnsiTheme="minorHAnsi" w:cstheme="minorHAnsi"/>
        </w:rPr>
        <w:t xml:space="preserve"> </w:t>
      </w:r>
      <w:r w:rsidRPr="00E81A38">
        <w:rPr>
          <w:rFonts w:asciiTheme="minorHAnsi" w:eastAsiaTheme="minorHAnsi" w:hAnsiTheme="minorHAnsi" w:cstheme="minorHAnsi"/>
          <w:u w:val="single"/>
        </w:rPr>
        <w:t>not</w:t>
      </w:r>
      <w:r w:rsidRPr="00DC10E6">
        <w:rPr>
          <w:rFonts w:asciiTheme="minorHAnsi" w:eastAsiaTheme="minorHAnsi" w:hAnsiTheme="minorHAnsi" w:cstheme="minorHAnsi"/>
        </w:rPr>
        <w:t xml:space="preserve"> likely to </w:t>
      </w:r>
      <w:r>
        <w:rPr>
          <w:rFonts w:asciiTheme="minorHAnsi" w:eastAsiaTheme="minorHAnsi" w:hAnsiTheme="minorHAnsi" w:cstheme="minorHAnsi"/>
        </w:rPr>
        <w:t>SLC</w:t>
      </w:r>
      <w:r w:rsidR="00AD4AFD">
        <w:rPr>
          <w:rFonts w:asciiTheme="minorHAnsi" w:eastAsiaTheme="minorHAnsi" w:hAnsiTheme="minorHAnsi" w:cstheme="minorHAnsi"/>
        </w:rPr>
        <w:t xml:space="preserve"> </w:t>
      </w:r>
      <w:r w:rsidR="003F421C" w:rsidRPr="00DC10E6">
        <w:rPr>
          <w:rFonts w:asciiTheme="minorHAnsi" w:eastAsiaTheme="minorHAnsi" w:hAnsiTheme="minorHAnsi" w:cstheme="minorHAnsi"/>
        </w:rPr>
        <w:t>including if it creates, strengthens, or entrenches substantial market power</w:t>
      </w:r>
      <w:r>
        <w:rPr>
          <w:rFonts w:asciiTheme="minorHAnsi" w:eastAsiaTheme="minorHAnsi" w:hAnsiTheme="minorHAnsi" w:cstheme="minorHAnsi"/>
        </w:rPr>
        <w:t xml:space="preserve">. </w:t>
      </w:r>
      <w:r w:rsidR="009944DC">
        <w:rPr>
          <w:rFonts w:asciiTheme="minorHAnsi" w:eastAsiaTheme="minorHAnsi" w:hAnsiTheme="minorHAnsi" w:cstheme="minorHAnsi"/>
        </w:rPr>
        <w:t xml:space="preserve">Like Option 2, merger parties may </w:t>
      </w:r>
      <w:r w:rsidR="000761EE">
        <w:rPr>
          <w:rFonts w:asciiTheme="minorHAnsi" w:eastAsiaTheme="minorHAnsi" w:hAnsiTheme="minorHAnsi" w:cstheme="minorHAnsi"/>
        </w:rPr>
        <w:t xml:space="preserve">also </w:t>
      </w:r>
      <w:r w:rsidR="009944DC">
        <w:rPr>
          <w:rFonts w:asciiTheme="minorHAnsi" w:eastAsiaTheme="minorHAnsi" w:hAnsiTheme="minorHAnsi" w:cstheme="minorHAnsi"/>
        </w:rPr>
        <w:t>seek approval on public benefit grounds.</w:t>
      </w:r>
    </w:p>
    <w:p w14:paraId="4BC19924" w14:textId="2D348B3B" w:rsidR="00947E3E" w:rsidRDefault="00947E3E" w:rsidP="00947E3E">
      <w:pPr>
        <w:pStyle w:val="Bullet"/>
        <w:spacing w:line="240" w:lineRule="auto"/>
        <w:rPr>
          <w:rFonts w:asciiTheme="minorHAnsi" w:eastAsiaTheme="minorHAnsi" w:hAnsiTheme="minorHAnsi" w:cstheme="minorBidi"/>
          <w:kern w:val="2"/>
          <w:szCs w:val="22"/>
          <w:lang w:eastAsia="en-US"/>
          <w14:ligatures w14:val="standardContextual"/>
        </w:rPr>
      </w:pPr>
      <w:r w:rsidRPr="00E2357E">
        <w:rPr>
          <w:rFonts w:asciiTheme="minorHAnsi" w:eastAsiaTheme="minorHAnsi" w:hAnsiTheme="minorHAnsi" w:cstheme="minorBidi"/>
          <w:b/>
          <w:bCs/>
          <w:kern w:val="2"/>
          <w:szCs w:val="22"/>
          <w:lang w:eastAsia="en-US"/>
          <w14:ligatures w14:val="standardContextual"/>
        </w:rPr>
        <w:t>Option 4</w:t>
      </w:r>
      <w:r>
        <w:rPr>
          <w:rFonts w:asciiTheme="minorHAnsi" w:eastAsiaTheme="minorHAnsi" w:hAnsiTheme="minorHAnsi" w:cstheme="minorBidi"/>
          <w:b/>
          <w:bCs/>
          <w:kern w:val="2"/>
          <w:szCs w:val="22"/>
          <w:lang w:eastAsia="en-US"/>
          <w14:ligatures w14:val="standardContextual"/>
        </w:rPr>
        <w:t xml:space="preserve"> (</w:t>
      </w:r>
      <w:r w:rsidR="007468DB">
        <w:rPr>
          <w:rFonts w:asciiTheme="minorHAnsi" w:eastAsiaTheme="minorHAnsi" w:hAnsiTheme="minorHAnsi" w:cstheme="minorBidi"/>
          <w:b/>
          <w:bCs/>
          <w:kern w:val="2"/>
          <w:szCs w:val="22"/>
          <w:lang w:eastAsia="en-US"/>
          <w14:ligatures w14:val="standardContextual"/>
        </w:rPr>
        <w:t>m</w:t>
      </w:r>
      <w:r>
        <w:rPr>
          <w:rFonts w:asciiTheme="minorHAnsi" w:eastAsiaTheme="minorHAnsi" w:hAnsiTheme="minorHAnsi" w:cstheme="minorBidi"/>
          <w:b/>
          <w:bCs/>
          <w:kern w:val="2"/>
          <w:szCs w:val="22"/>
          <w:lang w:eastAsia="en-US"/>
          <w14:ligatures w14:val="standardContextual"/>
        </w:rPr>
        <w:t xml:space="preserve">andatory </w:t>
      </w:r>
      <w:r w:rsidR="008878FA">
        <w:rPr>
          <w:rFonts w:asciiTheme="minorHAnsi" w:eastAsiaTheme="minorHAnsi" w:hAnsiTheme="minorHAnsi" w:cstheme="minorBidi"/>
          <w:b/>
          <w:bCs/>
          <w:kern w:val="2"/>
          <w:szCs w:val="22"/>
          <w:lang w:eastAsia="en-US"/>
          <w14:ligatures w14:val="standardContextual"/>
        </w:rPr>
        <w:t>and suspensory</w:t>
      </w:r>
      <w:r>
        <w:rPr>
          <w:rFonts w:asciiTheme="minorHAnsi" w:eastAsiaTheme="minorHAnsi" w:hAnsiTheme="minorHAnsi" w:cstheme="minorBidi"/>
          <w:b/>
          <w:bCs/>
          <w:kern w:val="2"/>
          <w:szCs w:val="22"/>
          <w:lang w:eastAsia="en-US"/>
          <w14:ligatures w14:val="standardContextual"/>
        </w:rPr>
        <w:t xml:space="preserve"> judicial enforcement system with </w:t>
      </w:r>
      <w:r w:rsidR="00870CE1">
        <w:rPr>
          <w:rFonts w:asciiTheme="minorHAnsi" w:eastAsiaTheme="minorHAnsi" w:hAnsiTheme="minorHAnsi" w:cstheme="minorBidi"/>
          <w:b/>
          <w:bCs/>
          <w:kern w:val="2"/>
          <w:szCs w:val="22"/>
          <w:lang w:eastAsia="en-US"/>
          <w14:ligatures w14:val="standardContextual"/>
        </w:rPr>
        <w:t xml:space="preserve">an </w:t>
      </w:r>
      <w:r>
        <w:rPr>
          <w:rFonts w:asciiTheme="minorHAnsi" w:eastAsiaTheme="minorHAnsi" w:hAnsiTheme="minorHAnsi" w:cstheme="minorBidi"/>
          <w:b/>
          <w:bCs/>
          <w:kern w:val="2"/>
          <w:szCs w:val="22"/>
          <w:lang w:eastAsia="en-US"/>
          <w14:ligatures w14:val="standardContextual"/>
        </w:rPr>
        <w:t>SLC test)</w:t>
      </w:r>
      <w:r w:rsidR="00D30496" w:rsidRPr="00727A9D">
        <w:rPr>
          <w:rFonts w:asciiTheme="minorHAnsi" w:eastAsiaTheme="minorHAnsi" w:hAnsiTheme="minorHAnsi" w:cstheme="minorBidi"/>
          <w:kern w:val="2"/>
          <w:szCs w:val="22"/>
          <w:lang w:eastAsia="en-US"/>
          <w14:ligatures w14:val="standardContextual"/>
        </w:rPr>
        <w:t xml:space="preserve"> –</w:t>
      </w:r>
      <w:r>
        <w:rPr>
          <w:rFonts w:asciiTheme="minorHAnsi" w:eastAsiaTheme="minorHAnsi" w:hAnsiTheme="minorHAnsi" w:cstheme="minorBidi"/>
          <w:kern w:val="2"/>
          <w:szCs w:val="22"/>
          <w:lang w:eastAsia="en-US"/>
          <w14:ligatures w14:val="standardContextual"/>
        </w:rPr>
        <w:t xml:space="preserve"> </w:t>
      </w:r>
      <w:r w:rsidR="00D30496">
        <w:rPr>
          <w:rFonts w:asciiTheme="minorHAnsi" w:eastAsiaTheme="minorHAnsi" w:hAnsiTheme="minorHAnsi" w:cstheme="minorBidi"/>
          <w:kern w:val="2"/>
          <w:szCs w:val="22"/>
          <w:lang w:eastAsia="en-US"/>
          <w14:ligatures w14:val="standardContextual"/>
        </w:rPr>
        <w:t>t</w:t>
      </w:r>
      <w:r>
        <w:rPr>
          <w:rFonts w:asciiTheme="minorHAnsi" w:eastAsiaTheme="minorHAnsi" w:hAnsiTheme="minorHAnsi" w:cstheme="minorBidi"/>
          <w:kern w:val="2"/>
          <w:szCs w:val="22"/>
          <w:lang w:eastAsia="en-US"/>
          <w14:ligatures w14:val="standardContextual"/>
        </w:rPr>
        <w:t>his</w:t>
      </w:r>
      <w:r w:rsidDel="00AA23BA">
        <w:rPr>
          <w:rFonts w:asciiTheme="minorHAnsi" w:eastAsiaTheme="minorHAnsi" w:hAnsiTheme="minorHAnsi" w:cstheme="minorBidi"/>
          <w:kern w:val="2"/>
          <w:szCs w:val="22"/>
          <w:lang w:eastAsia="en-US"/>
          <w14:ligatures w14:val="standardContextual"/>
        </w:rPr>
        <w:t xml:space="preserve"> </w:t>
      </w:r>
      <w:r>
        <w:rPr>
          <w:rFonts w:asciiTheme="minorHAnsi" w:eastAsiaTheme="minorHAnsi" w:hAnsiTheme="minorHAnsi" w:cstheme="minorBidi"/>
          <w:kern w:val="2"/>
          <w:szCs w:val="22"/>
          <w:lang w:eastAsia="en-US"/>
          <w14:ligatures w14:val="standardContextual"/>
        </w:rPr>
        <w:t xml:space="preserve">is an alternative version of Option 1 </w:t>
      </w:r>
      <w:r w:rsidR="00360D5F">
        <w:rPr>
          <w:rFonts w:asciiTheme="minorHAnsi" w:eastAsiaTheme="minorHAnsi" w:hAnsiTheme="minorHAnsi" w:cstheme="minorBidi"/>
          <w:kern w:val="2"/>
          <w:szCs w:val="22"/>
          <w:lang w:eastAsia="en-US"/>
          <w14:ligatures w14:val="standardContextual"/>
        </w:rPr>
        <w:t>that would</w:t>
      </w:r>
      <w:r>
        <w:rPr>
          <w:rFonts w:asciiTheme="minorHAnsi" w:eastAsiaTheme="minorHAnsi" w:hAnsiTheme="minorHAnsi" w:cstheme="minorBidi"/>
          <w:kern w:val="2"/>
          <w:szCs w:val="22"/>
          <w:lang w:eastAsia="en-US"/>
          <w14:ligatures w14:val="standardContextual"/>
        </w:rPr>
        <w:t xml:space="preserve"> replace the voluntary informal merger review with a mandatory and suspensory system, and retain the existing model of judicial enforcement </w:t>
      </w:r>
      <w:r w:rsidR="001349BB">
        <w:rPr>
          <w:rFonts w:asciiTheme="minorHAnsi" w:eastAsiaTheme="minorHAnsi" w:hAnsiTheme="minorHAnsi" w:cstheme="minorBidi"/>
          <w:kern w:val="2"/>
          <w:szCs w:val="22"/>
          <w:lang w:eastAsia="en-US"/>
          <w14:ligatures w14:val="standardContextual"/>
        </w:rPr>
        <w:t xml:space="preserve">with </w:t>
      </w:r>
      <w:r>
        <w:rPr>
          <w:rFonts w:asciiTheme="minorHAnsi" w:eastAsiaTheme="minorHAnsi" w:hAnsiTheme="minorHAnsi" w:cstheme="minorBidi"/>
          <w:kern w:val="2"/>
          <w:szCs w:val="22"/>
          <w:lang w:eastAsia="en-US"/>
          <w14:ligatures w14:val="standardContextual"/>
        </w:rPr>
        <w:t>the SLC test.</w:t>
      </w:r>
      <w:r w:rsidRPr="008465E4">
        <w:t xml:space="preserve"> </w:t>
      </w:r>
      <w:r w:rsidR="00F67637" w:rsidRPr="00F67637">
        <w:rPr>
          <w:rFonts w:asciiTheme="minorHAnsi" w:eastAsiaTheme="minorHAnsi" w:hAnsiTheme="minorHAnsi" w:cstheme="minorHAnsi"/>
        </w:rPr>
        <w:t xml:space="preserve">Option 4 would retain </w:t>
      </w:r>
      <w:r w:rsidR="00125781">
        <w:rPr>
          <w:rFonts w:asciiTheme="minorHAnsi" w:eastAsiaTheme="minorHAnsi" w:hAnsiTheme="minorHAnsi" w:cstheme="minorHAnsi"/>
        </w:rPr>
        <w:t xml:space="preserve">a separate </w:t>
      </w:r>
      <w:r w:rsidR="00F67637" w:rsidRPr="00F67637">
        <w:rPr>
          <w:rFonts w:asciiTheme="minorHAnsi" w:eastAsiaTheme="minorHAnsi" w:hAnsiTheme="minorHAnsi" w:cstheme="minorHAnsi"/>
        </w:rPr>
        <w:t>merger authorisation</w:t>
      </w:r>
      <w:r w:rsidR="00125781">
        <w:rPr>
          <w:rFonts w:asciiTheme="minorHAnsi" w:eastAsiaTheme="minorHAnsi" w:hAnsiTheme="minorHAnsi" w:cstheme="minorHAnsi"/>
        </w:rPr>
        <w:t xml:space="preserve"> process</w:t>
      </w:r>
      <w:r w:rsidR="00F67637" w:rsidRPr="00F67637">
        <w:rPr>
          <w:rFonts w:asciiTheme="minorHAnsi" w:eastAsiaTheme="minorHAnsi" w:hAnsiTheme="minorHAnsi" w:cstheme="minorHAnsi"/>
        </w:rPr>
        <w:t>.</w:t>
      </w:r>
    </w:p>
    <w:p w14:paraId="5D1CCA8D" w14:textId="77777777" w:rsidR="00947E3E" w:rsidRPr="00273A9E" w:rsidRDefault="00947E3E" w:rsidP="00947E3E">
      <w:pPr>
        <w:spacing w:line="240" w:lineRule="auto"/>
        <w:rPr>
          <w:rFonts w:asciiTheme="majorHAnsi" w:hAnsiTheme="majorHAnsi" w:cstheme="majorHAnsi"/>
          <w:color w:val="2C384A" w:themeColor="accent1"/>
          <w:sz w:val="32"/>
          <w:szCs w:val="32"/>
        </w:rPr>
      </w:pPr>
      <w:r w:rsidRPr="00273A9E">
        <w:rPr>
          <w:rFonts w:asciiTheme="majorHAnsi" w:hAnsiTheme="majorHAnsi" w:cstheme="majorHAnsi"/>
          <w:color w:val="2C384A" w:themeColor="accent1"/>
          <w:sz w:val="32"/>
          <w:szCs w:val="32"/>
        </w:rPr>
        <w:t>Preferred option</w:t>
      </w:r>
    </w:p>
    <w:p w14:paraId="2BF21BD4" w14:textId="066BDB83" w:rsidR="00DC234F" w:rsidRDefault="00947E3E" w:rsidP="00947E3E">
      <w:pPr>
        <w:spacing w:line="240" w:lineRule="auto"/>
      </w:pPr>
      <w:r>
        <w:t>Option 2</w:t>
      </w:r>
      <w:r w:rsidR="00BB39B0">
        <w:t xml:space="preserve"> is the recommended option</w:t>
      </w:r>
      <w:r>
        <w:t xml:space="preserve">. </w:t>
      </w:r>
      <w:r w:rsidR="00C53014">
        <w:t>This option</w:t>
      </w:r>
      <w:r>
        <w:t xml:space="preserve"> strengthens Australia’s merger control approach by improving the ACCC’s ability to effectively and efficiently detect, review and act against </w:t>
      </w:r>
      <w:r w:rsidR="003257BE">
        <w:t>anti</w:t>
      </w:r>
      <w:r w:rsidR="0049669B">
        <w:noBreakHyphen/>
      </w:r>
      <w:r w:rsidR="003257BE">
        <w:t xml:space="preserve">competitive </w:t>
      </w:r>
      <w:r>
        <w:t>mergers</w:t>
      </w:r>
      <w:r w:rsidR="004F5B55">
        <w:t xml:space="preserve"> and acquisitions</w:t>
      </w:r>
      <w:r>
        <w:t>.</w:t>
      </w:r>
      <w:r w:rsidRPr="002162A6">
        <w:t xml:space="preserve"> </w:t>
      </w:r>
      <w:r>
        <w:t xml:space="preserve">Mandatory notification requirements would mean that </w:t>
      </w:r>
      <w:r w:rsidR="008930E2">
        <w:t>mergers</w:t>
      </w:r>
      <w:r w:rsidR="004F5B55">
        <w:t xml:space="preserve"> and acquisitions</w:t>
      </w:r>
      <w:r w:rsidR="008930E2">
        <w:t xml:space="preserve"> more likely to impose risks for the economy</w:t>
      </w:r>
      <w:r>
        <w:t xml:space="preserve"> must be notified to the ACCC. Suspensory timeframes for review and upfront information requirements will enhance predictability and certainty for stakeholders.</w:t>
      </w:r>
    </w:p>
    <w:p w14:paraId="34936036" w14:textId="29CC0045" w:rsidR="00947E3E" w:rsidRDefault="00947E3E" w:rsidP="00947E3E">
      <w:pPr>
        <w:spacing w:line="240" w:lineRule="auto"/>
      </w:pPr>
      <w:r>
        <w:t>As the administrative decision-maker</w:t>
      </w:r>
      <w:r w:rsidR="009A46AC">
        <w:t>,</w:t>
      </w:r>
      <w:r>
        <w:t xml:space="preserve"> the ACCC will maintain a public register of all merger reviews, undertake the legal</w:t>
      </w:r>
      <w:r w:rsidR="00F106D5">
        <w:t>, data</w:t>
      </w:r>
      <w:r>
        <w:t xml:space="preserve"> and economic analysis required to assess a merger and publish reasons for its determinations.</w:t>
      </w:r>
      <w:r w:rsidR="000C6AE4">
        <w:t xml:space="preserve"> </w:t>
      </w:r>
      <w:r w:rsidR="00540645">
        <w:t xml:space="preserve">The </w:t>
      </w:r>
      <w:r w:rsidR="00F31AB1">
        <w:t>improved</w:t>
      </w:r>
      <w:r w:rsidR="006B2904">
        <w:t xml:space="preserve"> transparency </w:t>
      </w:r>
      <w:r w:rsidR="009B783C">
        <w:t xml:space="preserve">around the economic </w:t>
      </w:r>
      <w:r w:rsidR="0012600F">
        <w:t>objectives of merger control</w:t>
      </w:r>
      <w:r w:rsidR="009B783C">
        <w:t xml:space="preserve"> </w:t>
      </w:r>
      <w:r w:rsidR="00F31AB1">
        <w:t>enhances community understanding</w:t>
      </w:r>
      <w:r w:rsidR="00721E35">
        <w:t>, improving effectiveness in the longer term</w:t>
      </w:r>
      <w:r w:rsidR="00FB4D85">
        <w:t>.</w:t>
      </w:r>
    </w:p>
    <w:p w14:paraId="4B0A1B9D" w14:textId="2622ED52" w:rsidR="002F1E8A" w:rsidRDefault="00947E3E" w:rsidP="00947E3E">
      <w:pPr>
        <w:spacing w:line="240" w:lineRule="auto"/>
      </w:pPr>
      <w:r>
        <w:t xml:space="preserve">The benefits of an efficient and effective merger control system are significant. </w:t>
      </w:r>
      <w:r w:rsidR="00A27304">
        <w:t xml:space="preserve">Applying </w:t>
      </w:r>
      <w:r w:rsidR="005E509C">
        <w:t>analysis</w:t>
      </w:r>
      <w:r w:rsidR="00A27304">
        <w:t xml:space="preserve"> from overseas to Australia would </w:t>
      </w:r>
      <w:r w:rsidR="00F657BB">
        <w:t>imply</w:t>
      </w:r>
      <w:r w:rsidR="00A27304">
        <w:t xml:space="preserve"> benefits of between $340-732 million</w:t>
      </w:r>
      <w:r w:rsidR="00FF1B7E">
        <w:t xml:space="preserve"> per year</w:t>
      </w:r>
      <w:r w:rsidR="00A27304">
        <w:t>.</w:t>
      </w:r>
      <w:r w:rsidR="003867CF">
        <w:rPr>
          <w:rStyle w:val="FootnoteReference"/>
        </w:rPr>
        <w:footnoteReference w:id="3"/>
      </w:r>
      <w:r w:rsidR="00A27304">
        <w:t xml:space="preserve"> </w:t>
      </w:r>
      <w:r>
        <w:t>Greater certainty and speed will reduce cost</w:t>
      </w:r>
      <w:r w:rsidR="00404039">
        <w:t>s</w:t>
      </w:r>
      <w:r>
        <w:t xml:space="preserve"> and facilitate valuable investment in pro-competitive and benign mergers. Consumers and businesses, along with the broader community, will be better informed and </w:t>
      </w:r>
      <w:r w:rsidRPr="00FA6A23">
        <w:t xml:space="preserve">more </w:t>
      </w:r>
      <w:r>
        <w:t>confident that the ACCC has the toolkit to perform its gatekeeper role</w:t>
      </w:r>
      <w:r w:rsidR="002F1E8A">
        <w:t>,</w:t>
      </w:r>
      <w:r>
        <w:t xml:space="preserve"> prevent anti-competitive mergers and</w:t>
      </w:r>
      <w:r w:rsidRPr="00FA6A23">
        <w:t xml:space="preserve"> </w:t>
      </w:r>
      <w:r>
        <w:t>maintain competitive markets in Australia.</w:t>
      </w:r>
    </w:p>
    <w:p w14:paraId="14DEBB0E" w14:textId="222547B3" w:rsidR="00947E3E" w:rsidRDefault="00947E3E" w:rsidP="00947E3E">
      <w:pPr>
        <w:spacing w:line="240" w:lineRule="auto"/>
        <w:rPr>
          <w:rFonts w:ascii="Calibri" w:eastAsia="Times New Roman" w:hAnsi="Calibri" w:cs="Arial"/>
          <w:b/>
          <w:color w:val="5D779D" w:themeColor="accent3"/>
          <w:kern w:val="32"/>
          <w:sz w:val="44"/>
          <w:szCs w:val="36"/>
          <w:lang w:eastAsia="en-AU"/>
          <w14:ligatures w14:val="none"/>
        </w:rPr>
      </w:pPr>
      <w:r>
        <w:t>While it is not possible to precisely quantify the benefit of increased competition, i</w:t>
      </w:r>
      <w:r w:rsidRPr="00E82F0E">
        <w:t xml:space="preserve">llustrative modelling undertaken jointly by the </w:t>
      </w:r>
      <w:r w:rsidR="002C7CDF">
        <w:t>Reserve Bank of Australia (</w:t>
      </w:r>
      <w:r w:rsidRPr="00E82F0E">
        <w:t>RBA</w:t>
      </w:r>
      <w:r w:rsidR="002C7CDF">
        <w:t xml:space="preserve">) </w:t>
      </w:r>
      <w:r w:rsidRPr="00E82F0E">
        <w:t>and Treasury highlights the potential value, suggesting that Australia’s G</w:t>
      </w:r>
      <w:r w:rsidR="002D4082">
        <w:t xml:space="preserve">ross </w:t>
      </w:r>
      <w:r w:rsidRPr="00E82F0E">
        <w:t>D</w:t>
      </w:r>
      <w:r w:rsidR="002D4082">
        <w:t xml:space="preserve">omestic </w:t>
      </w:r>
      <w:r w:rsidRPr="00E82F0E">
        <w:t>P</w:t>
      </w:r>
      <w:r w:rsidR="002D4082">
        <w:t>roduct (</w:t>
      </w:r>
      <w:r w:rsidRPr="00E82F0E">
        <w:t>GDP</w:t>
      </w:r>
      <w:r w:rsidR="002D4082">
        <w:t>)</w:t>
      </w:r>
      <w:r w:rsidRPr="00E82F0E">
        <w:t xml:space="preserve"> could be 1-3 per cent higher if we returned to the level of competition that prevailed in the early 2000s</w:t>
      </w:r>
      <w:r>
        <w:t>.</w:t>
      </w:r>
      <w:r>
        <w:rPr>
          <w:rStyle w:val="FootnoteReference"/>
        </w:rPr>
        <w:footnoteReference w:id="4"/>
      </w:r>
      <w:r>
        <w:t xml:space="preserve"> </w:t>
      </w:r>
      <w:r w:rsidR="003946D5">
        <w:t xml:space="preserve">In today’s dollars, that is approximately $30-80 billion each and every year. </w:t>
      </w:r>
      <w:r>
        <w:br w:type="page"/>
      </w:r>
    </w:p>
    <w:p w14:paraId="3FBACDD8" w14:textId="77777777" w:rsidR="00947E3E" w:rsidRDefault="00947E3E" w:rsidP="00947E3E">
      <w:pPr>
        <w:pStyle w:val="Heading1"/>
      </w:pPr>
      <w:bookmarkStart w:id="11" w:name="_Toc176972351"/>
      <w:r>
        <w:t>Background</w:t>
      </w:r>
      <w:bookmarkEnd w:id="8"/>
      <w:bookmarkEnd w:id="9"/>
      <w:r>
        <w:t xml:space="preserve"> on merger control</w:t>
      </w:r>
      <w:bookmarkEnd w:id="10"/>
      <w:bookmarkEnd w:id="11"/>
    </w:p>
    <w:p w14:paraId="7C77B56D" w14:textId="45A18676" w:rsidR="00947E3E" w:rsidRDefault="00E43616" w:rsidP="00CF29AB">
      <w:pPr>
        <w:spacing w:line="240" w:lineRule="auto"/>
      </w:pPr>
      <w:r>
        <w:t xml:space="preserve">A merger or acquisition can occur when there is an acquisition of a business or asset. </w:t>
      </w:r>
      <w:r w:rsidR="00947E3E">
        <w:t xml:space="preserve">Mergers </w:t>
      </w:r>
      <w:r w:rsidR="00185401">
        <w:t xml:space="preserve">and acquisitions </w:t>
      </w:r>
      <w:r w:rsidR="00947E3E">
        <w:t>can provide an important way for firms to achieve economies of scale and scope, diversify risk and exit businesses. They can enhance competition if these efficiencies are passed onto consumers via lower prices, improved product quality, range, or service.</w:t>
      </w:r>
      <w:r w:rsidR="00097872">
        <w:t xml:space="preserve"> Mergers</w:t>
      </w:r>
      <w:r w:rsidR="00DF39DE">
        <w:t xml:space="preserve"> and acquisitions</w:t>
      </w:r>
      <w:r w:rsidR="00097872">
        <w:t xml:space="preserve"> can also be a key means for assisting the economy to structurally adjust to economic challenges, such as </w:t>
      </w:r>
      <w:r w:rsidR="004479CE">
        <w:t>the rise of the care economy, rapid transformation to net zero and the growth of the digital economy</w:t>
      </w:r>
      <w:r w:rsidR="00097872">
        <w:t>.</w:t>
      </w:r>
    </w:p>
    <w:p w14:paraId="17780E43" w14:textId="6878A676" w:rsidR="00947E3E" w:rsidRDefault="00947E3E" w:rsidP="00CF29AB">
      <w:pPr>
        <w:spacing w:line="240" w:lineRule="auto"/>
      </w:pPr>
      <w:r>
        <w:t xml:space="preserve">The overarching policy objective of Australia’s merger control system is to promote competition that enhances the welfare of Australians, consistent with the object of the </w:t>
      </w:r>
      <w:r>
        <w:rPr>
          <w:i/>
          <w:iCs/>
        </w:rPr>
        <w:t>Competition and Consumer Act 2010</w:t>
      </w:r>
      <w:r>
        <w:t xml:space="preserve"> (Cth)</w:t>
      </w:r>
      <w:r w:rsidR="00703654">
        <w:t xml:space="preserve"> (CCA)</w:t>
      </w:r>
      <w:r>
        <w:t>.</w:t>
      </w:r>
    </w:p>
    <w:p w14:paraId="73C7D6F6" w14:textId="382D8704" w:rsidR="00947E3E" w:rsidRDefault="00947E3E" w:rsidP="00CF29AB">
      <w:pPr>
        <w:spacing w:line="240" w:lineRule="auto"/>
      </w:pPr>
      <w:r>
        <w:t>M</w:t>
      </w:r>
      <w:r w:rsidRPr="00A60429">
        <w:t xml:space="preserve">erger control </w:t>
      </w:r>
      <w:r>
        <w:t xml:space="preserve">is the legal system and underlying process that enables a competition authority to consider mergers that could be harmful to </w:t>
      </w:r>
      <w:r w:rsidR="00C77435">
        <w:t>competition</w:t>
      </w:r>
      <w:r>
        <w:t xml:space="preserve"> and, if necessary, amend or prevent harmful mergers.</w:t>
      </w:r>
    </w:p>
    <w:p w14:paraId="7A978860" w14:textId="5B699C45" w:rsidR="00947E3E" w:rsidRDefault="00947E3E" w:rsidP="00CF29AB">
      <w:pPr>
        <w:spacing w:line="240" w:lineRule="auto"/>
      </w:pPr>
      <w:r>
        <w:t xml:space="preserve">Merger control </w:t>
      </w:r>
      <w:r w:rsidR="0094231B">
        <w:t xml:space="preserve">thus </w:t>
      </w:r>
      <w:r w:rsidRPr="00A60429">
        <w:t xml:space="preserve">plays a critical gatekeeper function, </w:t>
      </w:r>
      <w:r>
        <w:t xml:space="preserve">maintaining competitive market structures </w:t>
      </w:r>
      <w:r w:rsidR="008C4549">
        <w:t xml:space="preserve">that </w:t>
      </w:r>
      <w:r>
        <w:t xml:space="preserve">lead to better outcomes for consumers. Ideally, merger control regimes would target those mergers that are anti-competitive and allow mergers </w:t>
      </w:r>
      <w:r w:rsidR="00567E04">
        <w:t>and acquisitions</w:t>
      </w:r>
      <w:r w:rsidR="000E0A4B">
        <w:t xml:space="preserve"> </w:t>
      </w:r>
      <w:r>
        <w:t>that are pro-competitive or benign to proceed.</w:t>
      </w:r>
    </w:p>
    <w:p w14:paraId="2257CF33" w14:textId="77777777" w:rsidR="00947E3E" w:rsidRPr="0096573E" w:rsidRDefault="00947E3E" w:rsidP="00947E3E">
      <w:pPr>
        <w:spacing w:line="240" w:lineRule="auto"/>
        <w:rPr>
          <w:rFonts w:asciiTheme="majorHAnsi" w:hAnsiTheme="majorHAnsi" w:cstheme="majorHAnsi"/>
          <w:color w:val="2C384A" w:themeColor="accent1"/>
          <w:sz w:val="32"/>
          <w:szCs w:val="32"/>
        </w:rPr>
      </w:pPr>
      <w:r w:rsidRPr="0096573E">
        <w:rPr>
          <w:rFonts w:asciiTheme="majorHAnsi" w:hAnsiTheme="majorHAnsi" w:cstheme="majorHAnsi"/>
          <w:color w:val="2C384A" w:themeColor="accent1"/>
          <w:sz w:val="32"/>
          <w:szCs w:val="32"/>
        </w:rPr>
        <w:t>Australia’s merger control system</w:t>
      </w:r>
    </w:p>
    <w:p w14:paraId="1DB4A8FA" w14:textId="718B6685" w:rsidR="00947E3E" w:rsidRDefault="00947E3E" w:rsidP="00947E3E">
      <w:pPr>
        <w:spacing w:line="240" w:lineRule="auto"/>
      </w:pPr>
      <w:r>
        <w:t xml:space="preserve">Merger control has been in place in Australia since 1974. Currently, there are </w:t>
      </w:r>
      <w:r w:rsidR="00886F8C">
        <w:t xml:space="preserve">3 </w:t>
      </w:r>
      <w:r w:rsidRPr="00AF4939">
        <w:t>voluntary</w:t>
      </w:r>
      <w:r>
        <w:t xml:space="preserve"> processes by which proposed mergers may be subject to a competition assessment in Australia</w:t>
      </w:r>
      <w:r w:rsidR="002A0819">
        <w:t>.</w:t>
      </w:r>
      <w:r>
        <w:rPr>
          <w:rStyle w:val="FootnoteReference"/>
        </w:rPr>
        <w:footnoteReference w:id="5"/>
      </w:r>
    </w:p>
    <w:p w14:paraId="36C3434E" w14:textId="043E2FC6" w:rsidR="00947E3E" w:rsidRPr="00656A15" w:rsidRDefault="00947E3E" w:rsidP="00947E3E">
      <w:pPr>
        <w:pStyle w:val="Bullet"/>
        <w:spacing w:line="240" w:lineRule="auto"/>
        <w:rPr>
          <w:rFonts w:asciiTheme="minorHAnsi" w:hAnsiTheme="minorHAnsi" w:cstheme="minorHAnsi"/>
        </w:rPr>
      </w:pPr>
      <w:r>
        <w:rPr>
          <w:rFonts w:asciiTheme="minorHAnsi" w:hAnsiTheme="minorHAnsi" w:cstheme="minorHAnsi"/>
          <w:u w:val="single"/>
        </w:rPr>
        <w:t>ACCC i</w:t>
      </w:r>
      <w:r w:rsidRPr="00E752F3">
        <w:rPr>
          <w:rFonts w:asciiTheme="minorHAnsi" w:hAnsiTheme="minorHAnsi" w:cstheme="minorHAnsi"/>
          <w:u w:val="single"/>
        </w:rPr>
        <w:t>nformal merger review</w:t>
      </w:r>
      <w:r w:rsidRPr="00E752F3">
        <w:rPr>
          <w:rFonts w:asciiTheme="minorHAnsi" w:hAnsiTheme="minorHAnsi" w:cstheme="minorHAnsi"/>
        </w:rPr>
        <w:t xml:space="preserve"> – a </w:t>
      </w:r>
      <w:r>
        <w:rPr>
          <w:rFonts w:asciiTheme="minorHAnsi" w:hAnsiTheme="minorHAnsi" w:cstheme="minorHAnsi"/>
        </w:rPr>
        <w:t>non-</w:t>
      </w:r>
      <w:r w:rsidRPr="00E752F3">
        <w:rPr>
          <w:rFonts w:asciiTheme="minorHAnsi" w:hAnsiTheme="minorHAnsi" w:cstheme="minorHAnsi"/>
        </w:rPr>
        <w:t xml:space="preserve">legislative </w:t>
      </w:r>
      <w:r>
        <w:rPr>
          <w:rFonts w:asciiTheme="minorHAnsi" w:hAnsiTheme="minorHAnsi" w:cstheme="minorHAnsi"/>
        </w:rPr>
        <w:t xml:space="preserve">process </w:t>
      </w:r>
      <w:r w:rsidRPr="00E752F3">
        <w:rPr>
          <w:rFonts w:asciiTheme="minorHAnsi" w:hAnsiTheme="minorHAnsi" w:cstheme="minorHAnsi"/>
        </w:rPr>
        <w:t xml:space="preserve">that enables merger parties to manage regulatory risk and seek the ACCC’s non-binding view on whether a merger is likely to </w:t>
      </w:r>
      <w:r>
        <w:rPr>
          <w:rFonts w:asciiTheme="minorHAnsi" w:hAnsiTheme="minorHAnsi" w:cstheme="minorHAnsi"/>
        </w:rPr>
        <w:t xml:space="preserve">SLC. The ACCC’s informal view </w:t>
      </w:r>
      <w:r w:rsidRPr="00C44F26">
        <w:rPr>
          <w:rFonts w:asciiTheme="minorHAnsi" w:hAnsiTheme="minorHAnsi" w:cstheme="minorHAnsi"/>
        </w:rPr>
        <w:t xml:space="preserve">provides an assurance that the ACCC </w:t>
      </w:r>
      <w:r w:rsidR="00A10F6A">
        <w:rPr>
          <w:rFonts w:asciiTheme="minorHAnsi" w:hAnsiTheme="minorHAnsi" w:cstheme="minorHAnsi"/>
        </w:rPr>
        <w:t>-</w:t>
      </w:r>
      <w:r w:rsidRPr="00C44F26">
        <w:rPr>
          <w:rFonts w:asciiTheme="minorHAnsi" w:hAnsiTheme="minorHAnsi" w:cstheme="minorHAnsi"/>
        </w:rPr>
        <w:t>does not intend to take court action to stop a proposed merger from proceeding (based on the information available at the time of the decision)</w:t>
      </w:r>
      <w:r w:rsidR="002A0819">
        <w:rPr>
          <w:rFonts w:asciiTheme="minorHAnsi" w:hAnsiTheme="minorHAnsi" w:cstheme="minorHAnsi"/>
        </w:rPr>
        <w:t>.</w:t>
      </w:r>
    </w:p>
    <w:p w14:paraId="7BF9E1EC" w14:textId="0FC4E778" w:rsidR="00947E3E" w:rsidRPr="00723A6D" w:rsidRDefault="00947E3E" w:rsidP="00947E3E">
      <w:pPr>
        <w:pStyle w:val="Bullet"/>
        <w:spacing w:line="240" w:lineRule="auto"/>
        <w:rPr>
          <w:rFonts w:asciiTheme="minorHAnsi" w:hAnsiTheme="minorHAnsi" w:cstheme="minorHAnsi"/>
        </w:rPr>
      </w:pPr>
      <w:r>
        <w:rPr>
          <w:rFonts w:asciiTheme="minorHAnsi" w:hAnsiTheme="minorHAnsi" w:cstheme="minorHAnsi"/>
          <w:u w:val="single"/>
        </w:rPr>
        <w:t xml:space="preserve">ACCC </w:t>
      </w:r>
      <w:r w:rsidRPr="00E752F3">
        <w:rPr>
          <w:rFonts w:asciiTheme="minorHAnsi" w:hAnsiTheme="minorHAnsi" w:cstheme="minorHAnsi"/>
          <w:u w:val="single"/>
        </w:rPr>
        <w:t>merger authorisation</w:t>
      </w:r>
      <w:r w:rsidRPr="00723A6D">
        <w:rPr>
          <w:rFonts w:asciiTheme="minorHAnsi" w:hAnsiTheme="minorHAnsi" w:cstheme="minorHAnsi"/>
        </w:rPr>
        <w:t xml:space="preserve"> – a formal legislative process </w:t>
      </w:r>
      <w:r w:rsidR="002A0819">
        <w:rPr>
          <w:rFonts w:asciiTheme="minorHAnsi" w:hAnsiTheme="minorHAnsi" w:cstheme="minorHAnsi"/>
        </w:rPr>
        <w:t>that</w:t>
      </w:r>
      <w:r w:rsidR="002A0819" w:rsidRPr="00723A6D">
        <w:rPr>
          <w:rFonts w:asciiTheme="minorHAnsi" w:hAnsiTheme="minorHAnsi" w:cstheme="minorHAnsi"/>
        </w:rPr>
        <w:t xml:space="preserve"> </w:t>
      </w:r>
      <w:r w:rsidRPr="00723A6D">
        <w:rPr>
          <w:rFonts w:asciiTheme="minorHAnsi" w:hAnsiTheme="minorHAnsi" w:cstheme="minorHAnsi"/>
        </w:rPr>
        <w:t xml:space="preserve">allows the ACCC, and the Australian Competition Tribunal </w:t>
      </w:r>
      <w:r w:rsidR="00A01CE9">
        <w:rPr>
          <w:rFonts w:asciiTheme="minorHAnsi" w:hAnsiTheme="minorHAnsi" w:cstheme="minorHAnsi"/>
        </w:rPr>
        <w:t>(Tribunal)</w:t>
      </w:r>
      <w:r w:rsidRPr="00723A6D">
        <w:rPr>
          <w:rFonts w:asciiTheme="minorHAnsi" w:hAnsiTheme="minorHAnsi" w:cstheme="minorHAnsi"/>
        </w:rPr>
        <w:t xml:space="preserve"> on review, to provide businesses with immunity from court action under competition law for a proposed merger if it is satisfied that the merger would not be likely to </w:t>
      </w:r>
      <w:r>
        <w:rPr>
          <w:rFonts w:asciiTheme="minorHAnsi" w:hAnsiTheme="minorHAnsi" w:cstheme="minorHAnsi"/>
        </w:rPr>
        <w:t>SLC</w:t>
      </w:r>
      <w:r w:rsidRPr="00723A6D">
        <w:rPr>
          <w:rFonts w:asciiTheme="minorHAnsi" w:hAnsiTheme="minorHAnsi" w:cstheme="minorHAnsi"/>
        </w:rPr>
        <w:t xml:space="preserve"> or that it is likely to result in a net public benefit</w:t>
      </w:r>
      <w:r w:rsidR="002A0819">
        <w:rPr>
          <w:rFonts w:asciiTheme="minorHAnsi" w:hAnsiTheme="minorHAnsi" w:cstheme="minorHAnsi"/>
        </w:rPr>
        <w:t>.</w:t>
      </w:r>
    </w:p>
    <w:p w14:paraId="3C5D0BBA" w14:textId="3CF2E104" w:rsidR="00947E3E" w:rsidRPr="00FC2E3F" w:rsidRDefault="00947E3E" w:rsidP="00947E3E">
      <w:pPr>
        <w:pStyle w:val="Bullet"/>
        <w:spacing w:line="240" w:lineRule="auto"/>
        <w:rPr>
          <w:rFonts w:asciiTheme="minorHAnsi" w:hAnsiTheme="minorHAnsi" w:cstheme="minorHAnsi"/>
        </w:rPr>
      </w:pPr>
      <w:r>
        <w:rPr>
          <w:rFonts w:asciiTheme="minorHAnsi" w:hAnsiTheme="minorHAnsi" w:cstheme="minorHAnsi"/>
          <w:u w:val="single"/>
        </w:rPr>
        <w:t>Federal Court</w:t>
      </w:r>
      <w:r w:rsidRPr="00E752F3">
        <w:rPr>
          <w:rFonts w:asciiTheme="minorHAnsi" w:hAnsiTheme="minorHAnsi" w:cstheme="minorHAnsi"/>
          <w:u w:val="single"/>
        </w:rPr>
        <w:t xml:space="preserve"> proceedings</w:t>
      </w:r>
      <w:r w:rsidRPr="00723A6D">
        <w:rPr>
          <w:rFonts w:asciiTheme="minorHAnsi" w:hAnsiTheme="minorHAnsi" w:cstheme="minorHAnsi"/>
        </w:rPr>
        <w:t xml:space="preserve"> </w:t>
      </w:r>
      <w:r>
        <w:rPr>
          <w:rFonts w:asciiTheme="minorHAnsi" w:hAnsiTheme="minorHAnsi" w:cstheme="minorHAnsi"/>
        </w:rPr>
        <w:t xml:space="preserve">– a process </w:t>
      </w:r>
      <w:r w:rsidRPr="00723A6D">
        <w:rPr>
          <w:rFonts w:asciiTheme="minorHAnsi" w:hAnsiTheme="minorHAnsi" w:cstheme="minorHAnsi"/>
        </w:rPr>
        <w:t>in which the ACCC</w:t>
      </w:r>
      <w:r w:rsidR="00424FA9">
        <w:rPr>
          <w:rFonts w:asciiTheme="minorHAnsi" w:hAnsiTheme="minorHAnsi" w:cstheme="minorHAnsi"/>
        </w:rPr>
        <w:t>,</w:t>
      </w:r>
      <w:r w:rsidRPr="00723A6D">
        <w:rPr>
          <w:rFonts w:asciiTheme="minorHAnsi" w:hAnsiTheme="minorHAnsi" w:cstheme="minorHAnsi"/>
        </w:rPr>
        <w:t xml:space="preserve"> merger parties </w:t>
      </w:r>
      <w:r>
        <w:rPr>
          <w:rFonts w:asciiTheme="minorHAnsi" w:hAnsiTheme="minorHAnsi" w:cstheme="minorHAnsi"/>
        </w:rPr>
        <w:t xml:space="preserve">or third parties </w:t>
      </w:r>
      <w:r w:rsidRPr="00723A6D">
        <w:rPr>
          <w:rFonts w:asciiTheme="minorHAnsi" w:hAnsiTheme="minorHAnsi" w:cstheme="minorHAnsi"/>
        </w:rPr>
        <w:t xml:space="preserve">can seek orders relating to the merger. </w:t>
      </w:r>
      <w:r w:rsidR="007316B0">
        <w:rPr>
          <w:rFonts w:asciiTheme="minorHAnsi" w:hAnsiTheme="minorHAnsi" w:cstheme="minorHAnsi"/>
        </w:rPr>
        <w:t>T</w:t>
      </w:r>
      <w:r w:rsidRPr="00723A6D">
        <w:rPr>
          <w:rFonts w:asciiTheme="minorHAnsi" w:hAnsiTheme="minorHAnsi" w:cstheme="minorHAnsi"/>
        </w:rPr>
        <w:t xml:space="preserve">he ACCC </w:t>
      </w:r>
      <w:r w:rsidR="008D3864">
        <w:rPr>
          <w:rFonts w:asciiTheme="minorHAnsi" w:hAnsiTheme="minorHAnsi" w:cstheme="minorHAnsi"/>
        </w:rPr>
        <w:t>can seek</w:t>
      </w:r>
      <w:r w:rsidR="00697FA2">
        <w:rPr>
          <w:rFonts w:asciiTheme="minorHAnsi" w:hAnsiTheme="minorHAnsi" w:cstheme="minorHAnsi"/>
        </w:rPr>
        <w:t xml:space="preserve"> an</w:t>
      </w:r>
      <w:r w:rsidRPr="00723A6D">
        <w:rPr>
          <w:rFonts w:asciiTheme="minorHAnsi" w:hAnsiTheme="minorHAnsi" w:cstheme="minorHAnsi"/>
        </w:rPr>
        <w:t xml:space="preserve"> injunct</w:t>
      </w:r>
      <w:r w:rsidR="00697FA2">
        <w:rPr>
          <w:rFonts w:asciiTheme="minorHAnsi" w:hAnsiTheme="minorHAnsi" w:cstheme="minorHAnsi"/>
        </w:rPr>
        <w:t>ion</w:t>
      </w:r>
      <w:r w:rsidRPr="00723A6D">
        <w:rPr>
          <w:rFonts w:asciiTheme="minorHAnsi" w:hAnsiTheme="minorHAnsi" w:cstheme="minorHAnsi"/>
        </w:rPr>
        <w:t xml:space="preserve"> to restrain the merger prior to completion</w:t>
      </w:r>
      <w:r w:rsidR="005A282A">
        <w:rPr>
          <w:rFonts w:asciiTheme="minorHAnsi" w:hAnsiTheme="minorHAnsi" w:cstheme="minorHAnsi"/>
        </w:rPr>
        <w:t>,</w:t>
      </w:r>
      <w:r w:rsidRPr="00723A6D">
        <w:rPr>
          <w:rFonts w:asciiTheme="minorHAnsi" w:hAnsiTheme="minorHAnsi" w:cstheme="minorHAnsi"/>
        </w:rPr>
        <w:t xml:space="preserve"> </w:t>
      </w:r>
      <w:r w:rsidR="006F40BB">
        <w:rPr>
          <w:rFonts w:asciiTheme="minorHAnsi" w:hAnsiTheme="minorHAnsi" w:cstheme="minorHAnsi"/>
        </w:rPr>
        <w:t xml:space="preserve">divestiture </w:t>
      </w:r>
      <w:r w:rsidR="006D2A10" w:rsidRPr="00723A6D">
        <w:rPr>
          <w:rFonts w:asciiTheme="minorHAnsi" w:hAnsiTheme="minorHAnsi" w:cstheme="minorHAnsi"/>
        </w:rPr>
        <w:t>post-completion</w:t>
      </w:r>
      <w:r w:rsidR="00676563">
        <w:rPr>
          <w:rFonts w:asciiTheme="minorHAnsi" w:hAnsiTheme="minorHAnsi" w:cstheme="minorHAnsi"/>
        </w:rPr>
        <w:t>,</w:t>
      </w:r>
      <w:r w:rsidR="006D2A10">
        <w:rPr>
          <w:rFonts w:asciiTheme="minorHAnsi" w:hAnsiTheme="minorHAnsi" w:cstheme="minorHAnsi"/>
        </w:rPr>
        <w:t xml:space="preserve"> </w:t>
      </w:r>
      <w:r w:rsidR="00676563">
        <w:rPr>
          <w:rFonts w:asciiTheme="minorHAnsi" w:hAnsiTheme="minorHAnsi" w:cstheme="minorHAnsi"/>
        </w:rPr>
        <w:t>an order</w:t>
      </w:r>
      <w:r w:rsidR="00E16DDE">
        <w:rPr>
          <w:rFonts w:asciiTheme="minorHAnsi" w:hAnsiTheme="minorHAnsi" w:cstheme="minorHAnsi"/>
        </w:rPr>
        <w:t xml:space="preserve"> </w:t>
      </w:r>
      <w:r w:rsidRPr="00723A6D">
        <w:rPr>
          <w:rFonts w:asciiTheme="minorHAnsi" w:hAnsiTheme="minorHAnsi" w:cstheme="minorHAnsi"/>
        </w:rPr>
        <w:t xml:space="preserve">that </w:t>
      </w:r>
      <w:r w:rsidR="00676563">
        <w:rPr>
          <w:rFonts w:asciiTheme="minorHAnsi" w:hAnsiTheme="minorHAnsi" w:cstheme="minorHAnsi"/>
        </w:rPr>
        <w:t>a</w:t>
      </w:r>
      <w:r w:rsidR="00676563" w:rsidRPr="00723A6D">
        <w:rPr>
          <w:rFonts w:asciiTheme="minorHAnsi" w:hAnsiTheme="minorHAnsi" w:cstheme="minorHAnsi"/>
        </w:rPr>
        <w:t xml:space="preserve"> </w:t>
      </w:r>
      <w:r w:rsidRPr="00723A6D">
        <w:rPr>
          <w:rFonts w:asciiTheme="minorHAnsi" w:hAnsiTheme="minorHAnsi" w:cstheme="minorHAnsi"/>
        </w:rPr>
        <w:t>completed merger is void</w:t>
      </w:r>
      <w:r w:rsidR="00676563" w:rsidRPr="00676563">
        <w:rPr>
          <w:rFonts w:asciiTheme="minorHAnsi" w:hAnsiTheme="minorHAnsi" w:cstheme="minorHAnsi"/>
        </w:rPr>
        <w:t xml:space="preserve"> </w:t>
      </w:r>
      <w:r w:rsidR="00676563">
        <w:rPr>
          <w:rFonts w:asciiTheme="minorHAnsi" w:hAnsiTheme="minorHAnsi" w:cstheme="minorHAnsi"/>
        </w:rPr>
        <w:t>where the vendor is involved</w:t>
      </w:r>
      <w:r w:rsidR="00CD33B7">
        <w:rPr>
          <w:rFonts w:asciiTheme="minorHAnsi" w:hAnsiTheme="minorHAnsi" w:cstheme="minorHAnsi"/>
        </w:rPr>
        <w:t xml:space="preserve"> in contravening section 50</w:t>
      </w:r>
      <w:r w:rsidR="000A6139">
        <w:rPr>
          <w:rFonts w:asciiTheme="minorHAnsi" w:hAnsiTheme="minorHAnsi" w:cstheme="minorHAnsi"/>
        </w:rPr>
        <w:t xml:space="preserve">, </w:t>
      </w:r>
      <w:r w:rsidR="00CD33B7">
        <w:rPr>
          <w:rFonts w:asciiTheme="minorHAnsi" w:hAnsiTheme="minorHAnsi" w:cstheme="minorHAnsi"/>
        </w:rPr>
        <w:t>and</w:t>
      </w:r>
      <w:r w:rsidR="000A6139">
        <w:rPr>
          <w:rFonts w:asciiTheme="minorHAnsi" w:hAnsiTheme="minorHAnsi" w:cstheme="minorHAnsi"/>
        </w:rPr>
        <w:t xml:space="preserve"> </w:t>
      </w:r>
      <w:r w:rsidR="00DE06A9">
        <w:rPr>
          <w:rFonts w:asciiTheme="minorHAnsi" w:hAnsiTheme="minorHAnsi" w:cstheme="minorHAnsi"/>
        </w:rPr>
        <w:t xml:space="preserve">impose </w:t>
      </w:r>
      <w:r w:rsidR="000A6139">
        <w:rPr>
          <w:rFonts w:asciiTheme="minorHAnsi" w:hAnsiTheme="minorHAnsi" w:cstheme="minorHAnsi"/>
        </w:rPr>
        <w:t>penalties</w:t>
      </w:r>
      <w:r w:rsidR="00626071">
        <w:rPr>
          <w:rFonts w:asciiTheme="minorHAnsi" w:hAnsiTheme="minorHAnsi" w:cstheme="minorHAnsi"/>
        </w:rPr>
        <w:t>.</w:t>
      </w:r>
      <w:r w:rsidRPr="00723A6D">
        <w:rPr>
          <w:rFonts w:asciiTheme="minorHAnsi" w:hAnsiTheme="minorHAnsi" w:cstheme="minorHAnsi"/>
        </w:rPr>
        <w:t xml:space="preserve"> </w:t>
      </w:r>
      <w:r w:rsidR="003908B9">
        <w:rPr>
          <w:rFonts w:asciiTheme="minorHAnsi" w:hAnsiTheme="minorHAnsi" w:cstheme="minorHAnsi"/>
        </w:rPr>
        <w:t>M</w:t>
      </w:r>
      <w:r w:rsidRPr="00723A6D">
        <w:rPr>
          <w:rFonts w:asciiTheme="minorHAnsi" w:hAnsiTheme="minorHAnsi" w:cstheme="minorHAnsi"/>
        </w:rPr>
        <w:t xml:space="preserve">erger parties may seek a declaration that a merger does not </w:t>
      </w:r>
      <w:r w:rsidR="00363D21">
        <w:rPr>
          <w:rFonts w:asciiTheme="minorHAnsi" w:hAnsiTheme="minorHAnsi" w:cstheme="minorHAnsi"/>
        </w:rPr>
        <w:t>SLC</w:t>
      </w:r>
      <w:r w:rsidRPr="00723A6D">
        <w:rPr>
          <w:rFonts w:asciiTheme="minorHAnsi" w:hAnsiTheme="minorHAnsi" w:cstheme="minorHAnsi"/>
        </w:rPr>
        <w:t xml:space="preserve">. </w:t>
      </w:r>
      <w:r w:rsidR="00C573E3">
        <w:rPr>
          <w:rFonts w:asciiTheme="minorHAnsi" w:hAnsiTheme="minorHAnsi" w:cstheme="minorHAnsi"/>
        </w:rPr>
        <w:t xml:space="preserve">Third parties may seek a declaration </w:t>
      </w:r>
      <w:r w:rsidR="005C5F52">
        <w:rPr>
          <w:rFonts w:asciiTheme="minorHAnsi" w:hAnsiTheme="minorHAnsi" w:cstheme="minorHAnsi"/>
        </w:rPr>
        <w:t>and/</w:t>
      </w:r>
      <w:r w:rsidR="00456809">
        <w:rPr>
          <w:rFonts w:asciiTheme="minorHAnsi" w:hAnsiTheme="minorHAnsi" w:cstheme="minorHAnsi"/>
        </w:rPr>
        <w:t xml:space="preserve">or damages. </w:t>
      </w:r>
      <w:r w:rsidRPr="00723A6D">
        <w:rPr>
          <w:rFonts w:asciiTheme="minorHAnsi" w:hAnsiTheme="minorHAnsi" w:cstheme="minorHAnsi"/>
        </w:rPr>
        <w:t>Such relief is at the discretion of the Federal Court and the evidentiary burden of proving the case is usually on the party seeking the orders.</w:t>
      </w:r>
    </w:p>
    <w:p w14:paraId="4F0BEB82" w14:textId="2DA012BF" w:rsidR="00947E3E" w:rsidRPr="00C44F26" w:rsidRDefault="00947E3E" w:rsidP="00CE28E6">
      <w:pPr>
        <w:pStyle w:val="Bullet"/>
        <w:numPr>
          <w:ilvl w:val="0"/>
          <w:numId w:val="0"/>
        </w:numPr>
        <w:spacing w:line="240" w:lineRule="auto"/>
        <w:rPr>
          <w:rFonts w:asciiTheme="majorHAnsi" w:hAnsiTheme="majorHAnsi" w:cstheme="majorBidi"/>
        </w:rPr>
      </w:pPr>
      <w:r w:rsidRPr="4B43D29A">
        <w:rPr>
          <w:rFonts w:asciiTheme="minorHAnsi" w:hAnsiTheme="minorHAnsi" w:cstheme="minorBidi"/>
        </w:rPr>
        <w:t xml:space="preserve">Most mergers </w:t>
      </w:r>
      <w:r w:rsidR="0029061E" w:rsidRPr="4B43D29A">
        <w:rPr>
          <w:rFonts w:asciiTheme="minorHAnsi" w:hAnsiTheme="minorHAnsi" w:cstheme="minorBidi"/>
        </w:rPr>
        <w:t xml:space="preserve">that are notified to the ACCC </w:t>
      </w:r>
      <w:r w:rsidRPr="4B43D29A">
        <w:rPr>
          <w:rFonts w:asciiTheme="minorHAnsi" w:hAnsiTheme="minorHAnsi" w:cstheme="minorBidi"/>
        </w:rPr>
        <w:t>are considered through the ACCC’s informal merger review process (99</w:t>
      </w:r>
      <w:r w:rsidR="00BF7E63" w:rsidRPr="4B43D29A">
        <w:rPr>
          <w:rFonts w:asciiTheme="minorHAnsi" w:hAnsiTheme="minorHAnsi" w:cstheme="minorBidi"/>
        </w:rPr>
        <w:t>%</w:t>
      </w:r>
      <w:r w:rsidR="00E15524" w:rsidRPr="4B43D29A">
        <w:rPr>
          <w:rFonts w:asciiTheme="minorHAnsi" w:hAnsiTheme="minorHAnsi" w:cstheme="minorBidi"/>
        </w:rPr>
        <w:t xml:space="preserve"> </w:t>
      </w:r>
      <w:r w:rsidRPr="4B43D29A">
        <w:rPr>
          <w:rFonts w:asciiTheme="minorHAnsi" w:hAnsiTheme="minorHAnsi" w:cstheme="minorBidi"/>
        </w:rPr>
        <w:t xml:space="preserve">in </w:t>
      </w:r>
      <w:r w:rsidR="00C161CD" w:rsidRPr="4B43D29A">
        <w:rPr>
          <w:rFonts w:asciiTheme="minorHAnsi" w:hAnsiTheme="minorHAnsi" w:cstheme="minorBidi"/>
        </w:rPr>
        <w:t>the 2022</w:t>
      </w:r>
      <w:r w:rsidR="004C362B" w:rsidRPr="4B43D29A">
        <w:rPr>
          <w:rFonts w:asciiTheme="minorHAnsi" w:hAnsiTheme="minorHAnsi" w:cstheme="minorBidi"/>
        </w:rPr>
        <w:t>–</w:t>
      </w:r>
      <w:r w:rsidRPr="4B43D29A">
        <w:rPr>
          <w:rFonts w:asciiTheme="minorHAnsi" w:hAnsiTheme="minorHAnsi" w:cstheme="minorBidi"/>
        </w:rPr>
        <w:t>23</w:t>
      </w:r>
      <w:r w:rsidR="00C161CD" w:rsidRPr="4B43D29A">
        <w:rPr>
          <w:rFonts w:asciiTheme="minorHAnsi" w:hAnsiTheme="minorHAnsi" w:cstheme="minorBidi"/>
        </w:rPr>
        <w:t xml:space="preserve"> financ</w:t>
      </w:r>
      <w:r w:rsidR="004C362B" w:rsidRPr="4B43D29A">
        <w:rPr>
          <w:rFonts w:asciiTheme="minorHAnsi" w:hAnsiTheme="minorHAnsi" w:cstheme="minorBidi"/>
        </w:rPr>
        <w:t>i</w:t>
      </w:r>
      <w:r w:rsidR="00C161CD" w:rsidRPr="4B43D29A">
        <w:rPr>
          <w:rFonts w:asciiTheme="minorHAnsi" w:hAnsiTheme="minorHAnsi" w:cstheme="minorBidi"/>
        </w:rPr>
        <w:t>al year</w:t>
      </w:r>
      <w:r w:rsidRPr="4B43D29A">
        <w:rPr>
          <w:rFonts w:asciiTheme="minorHAnsi" w:hAnsiTheme="minorHAnsi" w:cstheme="minorBidi"/>
        </w:rPr>
        <w:t>).</w:t>
      </w:r>
      <w:r w:rsidRPr="4B43D29A">
        <w:rPr>
          <w:rStyle w:val="FootnoteReference"/>
          <w:rFonts w:asciiTheme="minorHAnsi" w:hAnsiTheme="minorHAnsi" w:cstheme="minorBidi"/>
        </w:rPr>
        <w:footnoteReference w:id="6"/>
      </w:r>
      <w:r w:rsidR="00CE28E6" w:rsidRPr="4B43D29A">
        <w:rPr>
          <w:rFonts w:asciiTheme="minorHAnsi" w:hAnsiTheme="minorHAnsi" w:cstheme="minorBidi"/>
        </w:rPr>
        <w:t xml:space="preserve"> </w:t>
      </w:r>
      <w:r w:rsidRPr="4B43D29A">
        <w:rPr>
          <w:rFonts w:asciiTheme="minorHAnsi" w:hAnsiTheme="minorHAnsi" w:cstheme="minorBidi"/>
        </w:rPr>
        <w:t xml:space="preserve">Informal merger reviews are either undertaken through a confidential pre-assessment or public review process. In the past </w:t>
      </w:r>
      <w:r w:rsidR="00BC7253" w:rsidRPr="4B43D29A">
        <w:rPr>
          <w:rFonts w:asciiTheme="minorHAnsi" w:hAnsiTheme="minorHAnsi" w:cstheme="minorBidi"/>
        </w:rPr>
        <w:t>5</w:t>
      </w:r>
      <w:r w:rsidRPr="4B43D29A">
        <w:rPr>
          <w:rFonts w:asciiTheme="minorHAnsi" w:hAnsiTheme="minorHAnsi" w:cstheme="minorBidi"/>
        </w:rPr>
        <w:t xml:space="preserve"> years, 93 per cent of ACCC </w:t>
      </w:r>
      <w:r w:rsidR="002058AE" w:rsidRPr="4B43D29A">
        <w:rPr>
          <w:rFonts w:asciiTheme="minorHAnsi" w:hAnsiTheme="minorHAnsi" w:cstheme="minorBidi"/>
        </w:rPr>
        <w:t xml:space="preserve">informal </w:t>
      </w:r>
      <w:r w:rsidRPr="4B43D29A">
        <w:rPr>
          <w:rFonts w:asciiTheme="minorHAnsi" w:hAnsiTheme="minorHAnsi" w:cstheme="minorBidi"/>
        </w:rPr>
        <w:t>merger reviews were pre-assessed</w:t>
      </w:r>
      <w:r w:rsidRPr="4B43D29A">
        <w:rPr>
          <w:rFonts w:asciiTheme="majorHAnsi" w:hAnsiTheme="majorHAnsi" w:cstheme="majorBidi"/>
        </w:rPr>
        <w:t xml:space="preserve">, with the </w:t>
      </w:r>
      <w:r w:rsidR="005D27B8" w:rsidRPr="4B43D29A">
        <w:rPr>
          <w:rFonts w:asciiTheme="majorHAnsi" w:hAnsiTheme="majorHAnsi" w:cstheme="majorBidi"/>
        </w:rPr>
        <w:t>length of review</w:t>
      </w:r>
      <w:r w:rsidR="00F65027">
        <w:rPr>
          <w:rFonts w:asciiTheme="majorHAnsi" w:hAnsiTheme="majorHAnsi" w:cstheme="majorBidi"/>
        </w:rPr>
        <w:t>s</w:t>
      </w:r>
      <w:r w:rsidR="00557511" w:rsidRPr="4B43D29A">
        <w:rPr>
          <w:rFonts w:asciiTheme="majorHAnsi" w:hAnsiTheme="majorHAnsi" w:cstheme="majorBidi"/>
        </w:rPr>
        <w:t xml:space="preserve"> ranging from </w:t>
      </w:r>
      <w:r w:rsidR="2350B2C7" w:rsidRPr="6352065B">
        <w:rPr>
          <w:rFonts w:asciiTheme="majorHAnsi" w:hAnsiTheme="majorHAnsi" w:cstheme="majorBidi"/>
        </w:rPr>
        <w:t xml:space="preserve">2 to 16 </w:t>
      </w:r>
      <w:r w:rsidR="2350B2C7" w:rsidRPr="2948E8F2">
        <w:rPr>
          <w:rFonts w:asciiTheme="majorHAnsi" w:hAnsiTheme="majorHAnsi" w:cstheme="majorBidi"/>
        </w:rPr>
        <w:t>weeks</w:t>
      </w:r>
      <w:r w:rsidR="00A75BCA">
        <w:rPr>
          <w:rFonts w:asciiTheme="majorHAnsi" w:hAnsiTheme="majorHAnsi" w:cstheme="majorBidi"/>
        </w:rPr>
        <w:t xml:space="preserve"> </w:t>
      </w:r>
      <w:r w:rsidR="006B50BB">
        <w:rPr>
          <w:rFonts w:asciiTheme="majorHAnsi" w:hAnsiTheme="majorHAnsi" w:cstheme="majorBidi"/>
        </w:rPr>
        <w:t>and</w:t>
      </w:r>
      <w:r w:rsidR="00A75BCA">
        <w:rPr>
          <w:rFonts w:asciiTheme="majorHAnsi" w:hAnsiTheme="majorHAnsi" w:cstheme="majorBidi"/>
        </w:rPr>
        <w:t xml:space="preserve"> an average of slightly more than 3 weeks</w:t>
      </w:r>
      <w:r w:rsidRPr="4B43D29A">
        <w:rPr>
          <w:rFonts w:asciiTheme="majorHAnsi" w:hAnsiTheme="majorHAnsi" w:cstheme="majorBidi"/>
        </w:rPr>
        <w:t>.</w:t>
      </w:r>
      <w:r w:rsidRPr="4B43D29A">
        <w:rPr>
          <w:rStyle w:val="FootnoteReference"/>
          <w:rFonts w:asciiTheme="majorHAnsi" w:hAnsiTheme="majorHAnsi" w:cstheme="majorBidi"/>
        </w:rPr>
        <w:footnoteReference w:id="7"/>
      </w:r>
    </w:p>
    <w:p w14:paraId="295D0B05" w14:textId="2A239587" w:rsidR="00794DF2" w:rsidRDefault="00947E3E" w:rsidP="00947E3E">
      <w:pPr>
        <w:pStyle w:val="Bullet"/>
        <w:numPr>
          <w:ilvl w:val="0"/>
          <w:numId w:val="0"/>
        </w:numPr>
        <w:spacing w:line="240" w:lineRule="auto"/>
        <w:rPr>
          <w:rFonts w:asciiTheme="majorHAnsi" w:hAnsiTheme="majorHAnsi" w:cstheme="majorBidi"/>
        </w:rPr>
      </w:pPr>
      <w:r w:rsidRPr="16D17DFE">
        <w:rPr>
          <w:rFonts w:asciiTheme="majorHAnsi" w:hAnsiTheme="majorHAnsi" w:cstheme="majorBidi"/>
        </w:rPr>
        <w:t>A public informal review involves market inquiries and submissions from affected parties such as competitors and customers. The ACCC will issue a Statement of Issues and extend the review if it considers the merger may raise competition concerns. Timelines depend on the complexity</w:t>
      </w:r>
      <w:r w:rsidR="006B6C6E" w:rsidRPr="16D17DFE">
        <w:rPr>
          <w:rFonts w:asciiTheme="majorHAnsi" w:hAnsiTheme="majorHAnsi" w:cstheme="majorBidi"/>
        </w:rPr>
        <w:t xml:space="preserve"> of the review</w:t>
      </w:r>
      <w:r w:rsidR="006A4AD4">
        <w:rPr>
          <w:rFonts w:asciiTheme="majorHAnsi" w:hAnsiTheme="majorHAnsi" w:cstheme="majorBidi"/>
        </w:rPr>
        <w:t>.</w:t>
      </w:r>
      <w:r w:rsidRPr="16D17DFE">
        <w:rPr>
          <w:rFonts w:asciiTheme="majorHAnsi" w:hAnsiTheme="majorHAnsi" w:cstheme="majorBidi"/>
        </w:rPr>
        <w:t xml:space="preserve"> </w:t>
      </w:r>
      <w:r w:rsidR="006A4AD4">
        <w:rPr>
          <w:rFonts w:asciiTheme="majorHAnsi" w:hAnsiTheme="majorHAnsi" w:cstheme="majorBidi"/>
        </w:rPr>
        <w:t>H</w:t>
      </w:r>
      <w:r w:rsidRPr="16D17DFE">
        <w:rPr>
          <w:rFonts w:asciiTheme="majorHAnsi" w:hAnsiTheme="majorHAnsi" w:cstheme="majorBidi"/>
        </w:rPr>
        <w:t>owever</w:t>
      </w:r>
      <w:r w:rsidR="00EF40BB" w:rsidRPr="16D17DFE">
        <w:rPr>
          <w:rFonts w:asciiTheme="majorHAnsi" w:hAnsiTheme="majorHAnsi" w:cstheme="majorBidi"/>
        </w:rPr>
        <w:t>,</w:t>
      </w:r>
      <w:r w:rsidRPr="16D17DFE">
        <w:rPr>
          <w:rFonts w:asciiTheme="majorHAnsi" w:hAnsiTheme="majorHAnsi" w:cstheme="majorBidi"/>
        </w:rPr>
        <w:t xml:space="preserve"> indicative ACCC timeframes are approximately 6-12 weeks for mergers that do not require further consideration (</w:t>
      </w:r>
      <w:r w:rsidR="004F5F41" w:rsidRPr="16D17DFE">
        <w:rPr>
          <w:rFonts w:asciiTheme="majorHAnsi" w:hAnsiTheme="majorHAnsi" w:cstheme="majorBidi"/>
        </w:rPr>
        <w:t xml:space="preserve">Phase </w:t>
      </w:r>
      <w:r w:rsidR="00842579">
        <w:rPr>
          <w:rFonts w:asciiTheme="majorHAnsi" w:hAnsiTheme="majorHAnsi" w:cstheme="majorBidi"/>
        </w:rPr>
        <w:t>1</w:t>
      </w:r>
      <w:r w:rsidRPr="16D17DFE">
        <w:rPr>
          <w:rFonts w:asciiTheme="majorHAnsi" w:hAnsiTheme="majorHAnsi" w:cstheme="majorBidi"/>
        </w:rPr>
        <w:t xml:space="preserve">), with an additional 6-12 weeks where a Statement of Issues is </w:t>
      </w:r>
      <w:r w:rsidR="009C6CF4" w:rsidRPr="16D17DFE">
        <w:rPr>
          <w:rFonts w:asciiTheme="majorHAnsi" w:hAnsiTheme="majorHAnsi" w:cstheme="majorBidi"/>
        </w:rPr>
        <w:t xml:space="preserve">published </w:t>
      </w:r>
      <w:r w:rsidRPr="16D17DFE">
        <w:rPr>
          <w:rFonts w:asciiTheme="majorHAnsi" w:hAnsiTheme="majorHAnsi" w:cstheme="majorBidi"/>
        </w:rPr>
        <w:t>(</w:t>
      </w:r>
      <w:r w:rsidR="006C1EB9" w:rsidRPr="16D17DFE">
        <w:rPr>
          <w:rFonts w:asciiTheme="majorHAnsi" w:hAnsiTheme="majorHAnsi" w:cstheme="majorBidi"/>
        </w:rPr>
        <w:t xml:space="preserve">Phase </w:t>
      </w:r>
      <w:r w:rsidR="00842579">
        <w:rPr>
          <w:rFonts w:asciiTheme="majorHAnsi" w:hAnsiTheme="majorHAnsi" w:cstheme="majorBidi"/>
        </w:rPr>
        <w:t>2</w:t>
      </w:r>
      <w:r w:rsidRPr="16D17DFE">
        <w:rPr>
          <w:rFonts w:asciiTheme="majorHAnsi" w:hAnsiTheme="majorHAnsi" w:cstheme="majorBidi"/>
        </w:rPr>
        <w:t>).</w:t>
      </w:r>
      <w:r w:rsidRPr="16D17DFE">
        <w:rPr>
          <w:rStyle w:val="FootnoteReference"/>
          <w:rFonts w:asciiTheme="majorHAnsi" w:hAnsiTheme="majorHAnsi" w:cstheme="majorBidi"/>
        </w:rPr>
        <w:footnoteReference w:id="8"/>
      </w:r>
    </w:p>
    <w:p w14:paraId="1756A921" w14:textId="4F3BBD7B" w:rsidR="00947E3E" w:rsidRPr="00C44F26" w:rsidRDefault="00947E3E" w:rsidP="00947E3E">
      <w:pPr>
        <w:pStyle w:val="Bullet"/>
        <w:numPr>
          <w:ilvl w:val="0"/>
          <w:numId w:val="0"/>
        </w:numPr>
        <w:spacing w:line="240" w:lineRule="auto"/>
        <w:rPr>
          <w:rFonts w:asciiTheme="majorHAnsi" w:hAnsiTheme="majorHAnsi" w:cstheme="majorBidi"/>
        </w:rPr>
      </w:pPr>
      <w:r w:rsidRPr="16D17DFE">
        <w:rPr>
          <w:rFonts w:asciiTheme="majorHAnsi" w:hAnsiTheme="majorHAnsi" w:cstheme="majorBidi"/>
        </w:rPr>
        <w:t xml:space="preserve">In practice, in the 2023 calendar year, Phase </w:t>
      </w:r>
      <w:r w:rsidR="003807B0">
        <w:rPr>
          <w:rFonts w:asciiTheme="majorHAnsi" w:hAnsiTheme="majorHAnsi" w:cstheme="majorBidi"/>
        </w:rPr>
        <w:t>1</w:t>
      </w:r>
      <w:r w:rsidRPr="16D17DFE">
        <w:rPr>
          <w:rFonts w:asciiTheme="majorHAnsi" w:hAnsiTheme="majorHAnsi" w:cstheme="majorBidi"/>
        </w:rPr>
        <w:t xml:space="preserve"> reviews took on average 59 business days (or under 12 weeks) and Phase </w:t>
      </w:r>
      <w:r w:rsidR="003807B0">
        <w:rPr>
          <w:rFonts w:asciiTheme="majorHAnsi" w:hAnsiTheme="majorHAnsi" w:cstheme="majorBidi"/>
        </w:rPr>
        <w:t>2</w:t>
      </w:r>
      <w:r w:rsidRPr="16D17DFE">
        <w:rPr>
          <w:rFonts w:asciiTheme="majorHAnsi" w:hAnsiTheme="majorHAnsi" w:cstheme="majorBidi"/>
        </w:rPr>
        <w:t xml:space="preserve"> reviews took on average 133 business days (or over 26 weeks).</w:t>
      </w:r>
      <w:r w:rsidRPr="16D17DFE">
        <w:rPr>
          <w:rStyle w:val="FootnoteReference"/>
          <w:rFonts w:asciiTheme="majorHAnsi" w:hAnsiTheme="majorHAnsi" w:cstheme="majorBidi"/>
        </w:rPr>
        <w:footnoteReference w:id="9"/>
      </w:r>
      <w:r w:rsidRPr="16D17DFE">
        <w:rPr>
          <w:rFonts w:asciiTheme="majorHAnsi" w:hAnsiTheme="majorHAnsi" w:cstheme="majorBidi"/>
        </w:rPr>
        <w:t xml:space="preserve"> </w:t>
      </w:r>
      <w:r w:rsidR="00AC2546" w:rsidRPr="16D17DFE">
        <w:rPr>
          <w:rFonts w:asciiTheme="majorHAnsi" w:hAnsiTheme="majorHAnsi" w:cstheme="majorBidi"/>
        </w:rPr>
        <w:t>These timeframes exclude any periods where the ACCC suspended the review while waiting for information from the merger parties</w:t>
      </w:r>
      <w:r w:rsidR="388F3660" w:rsidRPr="16D17DFE">
        <w:rPr>
          <w:rFonts w:asciiTheme="majorHAnsi" w:hAnsiTheme="majorHAnsi" w:cstheme="majorBidi"/>
        </w:rPr>
        <w:t xml:space="preserve"> and any confidential pre-assessment </w:t>
      </w:r>
      <w:r w:rsidR="388F3660" w:rsidRPr="6C6ADF50">
        <w:rPr>
          <w:rFonts w:asciiTheme="majorHAnsi" w:hAnsiTheme="majorHAnsi" w:cstheme="majorBidi"/>
        </w:rPr>
        <w:t>review time.</w:t>
      </w:r>
    </w:p>
    <w:p w14:paraId="72A314BA" w14:textId="77777777" w:rsidR="00947E3E" w:rsidRDefault="00947E3E" w:rsidP="00947E3E">
      <w:pPr>
        <w:spacing w:line="240" w:lineRule="auto"/>
        <w:rPr>
          <w:rFonts w:cstheme="minorHAnsi"/>
        </w:rPr>
      </w:pPr>
      <w:r>
        <w:t>If the ACCC opposes the merger and it is not voluntarily abandoned, the ACCC must commence proceedings in the Federal Court to stop the merger.</w:t>
      </w:r>
    </w:p>
    <w:p w14:paraId="755F172F" w14:textId="77777777" w:rsidR="00947E3E" w:rsidRPr="0023520B" w:rsidRDefault="00947E3E" w:rsidP="00947E3E">
      <w:pPr>
        <w:spacing w:line="240" w:lineRule="auto"/>
      </w:pPr>
    </w:p>
    <w:p w14:paraId="5C094A67" w14:textId="77777777" w:rsidR="00947E3E" w:rsidRPr="0023520B" w:rsidRDefault="00947E3E" w:rsidP="00947E3E">
      <w:pPr>
        <w:spacing w:line="240" w:lineRule="auto"/>
        <w:sectPr w:rsidR="00947E3E" w:rsidRPr="0023520B" w:rsidSect="00E4687A">
          <w:headerReference w:type="even" r:id="rId25"/>
          <w:headerReference w:type="default" r:id="rId26"/>
          <w:footerReference w:type="even" r:id="rId27"/>
          <w:footerReference w:type="default" r:id="rId28"/>
          <w:headerReference w:type="first" r:id="rId29"/>
          <w:footerReference w:type="first" r:id="rId30"/>
          <w:pgSz w:w="11906" w:h="16838" w:code="9"/>
          <w:pgMar w:top="1843" w:right="1417" w:bottom="1417" w:left="1417" w:header="709" w:footer="709" w:gutter="0"/>
          <w:cols w:space="708"/>
          <w:docGrid w:linePitch="360"/>
        </w:sectPr>
      </w:pPr>
    </w:p>
    <w:p w14:paraId="6B7833A6" w14:textId="77777777" w:rsidR="00947E3E" w:rsidRDefault="00947E3E" w:rsidP="00947E3E">
      <w:pPr>
        <w:pStyle w:val="Heading1"/>
      </w:pPr>
      <w:bookmarkStart w:id="12" w:name="_Toc158988608"/>
      <w:bookmarkStart w:id="13" w:name="_Toc160013866"/>
      <w:bookmarkStart w:id="14" w:name="_Toc162428344"/>
      <w:bookmarkStart w:id="15" w:name="_Toc176972352"/>
      <w:r>
        <w:t>1. What is the problem you are trying to solve and what data are available?</w:t>
      </w:r>
      <w:bookmarkEnd w:id="12"/>
      <w:bookmarkEnd w:id="13"/>
      <w:bookmarkEnd w:id="14"/>
      <w:bookmarkEnd w:id="15"/>
    </w:p>
    <w:p w14:paraId="7D624629" w14:textId="77777777" w:rsidR="00947E3E" w:rsidRDefault="00947E3E" w:rsidP="00947E3E">
      <w:pPr>
        <w:pStyle w:val="Heading2"/>
      </w:pPr>
      <w:bookmarkStart w:id="16" w:name="_Toc158988609"/>
      <w:bookmarkStart w:id="17" w:name="_Toc160013867"/>
      <w:bookmarkStart w:id="18" w:name="_Toc162428345"/>
      <w:bookmarkStart w:id="19" w:name="_Toc176972353"/>
      <w:r>
        <w:t>What is the problem?</w:t>
      </w:r>
      <w:bookmarkEnd w:id="16"/>
      <w:bookmarkEnd w:id="17"/>
      <w:bookmarkEnd w:id="18"/>
      <w:bookmarkEnd w:id="19"/>
    </w:p>
    <w:p w14:paraId="3E2A9199" w14:textId="3C071593" w:rsidR="00947E3E" w:rsidRPr="00B5380B" w:rsidRDefault="00947E3E" w:rsidP="00947E3E">
      <w:pPr>
        <w:spacing w:line="240" w:lineRule="auto"/>
      </w:pPr>
      <w:r w:rsidRPr="0023520B">
        <w:t>The Government asked the Competition</w:t>
      </w:r>
      <w:r>
        <w:t xml:space="preserve"> </w:t>
      </w:r>
      <w:r w:rsidR="00453BCA">
        <w:t>Taskforce</w:t>
      </w:r>
      <w:r>
        <w:t>, established within Treasury,</w:t>
      </w:r>
      <w:r w:rsidRPr="0023520B">
        <w:t xml:space="preserve"> to assess whether Australia’s merger control system is fit for purpose</w:t>
      </w:r>
      <w:r>
        <w:t>.</w:t>
      </w:r>
      <w:r>
        <w:rPr>
          <w:rStyle w:val="FootnoteReference"/>
        </w:rPr>
        <w:footnoteReference w:id="10"/>
      </w:r>
      <w:r>
        <w:t xml:space="preserve"> T</w:t>
      </w:r>
      <w:r w:rsidRPr="007512F8">
        <w:t>h</w:t>
      </w:r>
      <w:r>
        <w:t>is was in response to t</w:t>
      </w:r>
      <w:r w:rsidRPr="002C12C1">
        <w:t xml:space="preserve">he </w:t>
      </w:r>
      <w:r>
        <w:t>ACCC</w:t>
      </w:r>
      <w:r w:rsidRPr="002C12C1">
        <w:t xml:space="preserve"> rais</w:t>
      </w:r>
      <w:r>
        <w:t xml:space="preserve">ing </w:t>
      </w:r>
      <w:r w:rsidRPr="002C12C1">
        <w:t xml:space="preserve">concerns about Australia’s </w:t>
      </w:r>
      <w:r w:rsidR="00CA3336">
        <w:t xml:space="preserve">approach to </w:t>
      </w:r>
      <w:r w:rsidRPr="002C12C1">
        <w:t>merger control</w:t>
      </w:r>
      <w:r>
        <w:rPr>
          <w:rStyle w:val="FootnoteReference"/>
        </w:rPr>
        <w:footnoteReference w:id="11"/>
      </w:r>
      <w:r>
        <w:t xml:space="preserve"> and</w:t>
      </w:r>
      <w:r w:rsidRPr="007512F8">
        <w:t xml:space="preserve"> evidence that the intensity of competition </w:t>
      </w:r>
      <w:r>
        <w:t>has</w:t>
      </w:r>
      <w:r w:rsidRPr="007512F8">
        <w:t xml:space="preserve"> weakened across many parts of the economy, accompanied by increasing market concentration and markups in many industries</w:t>
      </w:r>
      <w:r>
        <w:t>,</w:t>
      </w:r>
      <w:r>
        <w:rPr>
          <w:rStyle w:val="FootnoteReference"/>
        </w:rPr>
        <w:footnoteReference w:id="12"/>
      </w:r>
      <w:r>
        <w:t xml:space="preserve"> a</w:t>
      </w:r>
      <w:r w:rsidRPr="002D5FEC">
        <w:t>nd the rate of entry of new companies falling.</w:t>
      </w:r>
      <w:r>
        <w:rPr>
          <w:rStyle w:val="FootnoteReference"/>
        </w:rPr>
        <w:footnoteReference w:id="13"/>
      </w:r>
    </w:p>
    <w:p w14:paraId="670F3CB9" w14:textId="2B4F5C8D" w:rsidR="000408BF" w:rsidRDefault="00947E3E" w:rsidP="00947E3E">
      <w:pPr>
        <w:spacing w:line="240" w:lineRule="auto"/>
      </w:pPr>
      <w:r>
        <w:t>Treasury</w:t>
      </w:r>
      <w:r w:rsidRPr="00B86DC5">
        <w:t xml:space="preserve"> consulted a diverse range of stakeholders</w:t>
      </w:r>
      <w:r>
        <w:t xml:space="preserve"> seeking information and views about the current approach to merger control and the assessment of whether a merger is likely to be anti</w:t>
      </w:r>
      <w:r w:rsidR="005C0257">
        <w:noBreakHyphen/>
      </w:r>
      <w:r>
        <w:t>competitive.</w:t>
      </w:r>
      <w:r>
        <w:rPr>
          <w:rStyle w:val="FootnoteReference"/>
        </w:rPr>
        <w:footnoteReference w:id="14"/>
      </w:r>
      <w:r w:rsidRPr="00B86DC5">
        <w:t xml:space="preserve"> </w:t>
      </w:r>
      <w:r w:rsidR="008058EB">
        <w:t>As noted above, t</w:t>
      </w:r>
      <w:r>
        <w:t>he feedback from stakeholders</w:t>
      </w:r>
      <w:r>
        <w:rPr>
          <w:rStyle w:val="FootnoteReference"/>
        </w:rPr>
        <w:footnoteReference w:id="15"/>
      </w:r>
      <w:r>
        <w:t xml:space="preserve"> was clear</w:t>
      </w:r>
      <w:r w:rsidRPr="005F2ACB">
        <w:t>: Australia’s current ‘ad hoc’</w:t>
      </w:r>
      <w:r>
        <w:t>, voluntary</w:t>
      </w:r>
      <w:r w:rsidRPr="005F2ACB">
        <w:t xml:space="preserve"> merger process is unfit for a modern econom</w:t>
      </w:r>
      <w:r>
        <w:t xml:space="preserve">y. It lags </w:t>
      </w:r>
      <w:r w:rsidRPr="005F2ACB">
        <w:t>behind best practice</w:t>
      </w:r>
      <w:r>
        <w:t xml:space="preserve"> recommendations from the </w:t>
      </w:r>
      <w:r w:rsidR="00F529BE" w:rsidRPr="00F529BE">
        <w:t>Organisation for Economic Co-operation and Development</w:t>
      </w:r>
      <w:r>
        <w:t xml:space="preserve"> </w:t>
      </w:r>
      <w:r w:rsidR="00F529BE">
        <w:t>(</w:t>
      </w:r>
      <w:r>
        <w:t>OECD</w:t>
      </w:r>
      <w:r w:rsidR="00F529BE">
        <w:t>)</w:t>
      </w:r>
      <w:r>
        <w:t xml:space="preserve"> and International Competition Network</w:t>
      </w:r>
      <w:r w:rsidR="001E753A">
        <w:t xml:space="preserve">, </w:t>
      </w:r>
      <w:r>
        <w:t xml:space="preserve">and processes </w:t>
      </w:r>
      <w:r w:rsidRPr="005F2ACB">
        <w:t>in comparable countries</w:t>
      </w:r>
      <w:r>
        <w:t xml:space="preserve">. </w:t>
      </w:r>
    </w:p>
    <w:p w14:paraId="02207A6B" w14:textId="10CB6C87" w:rsidR="00947E3E" w:rsidRDefault="00947E3E" w:rsidP="00947E3E">
      <w:pPr>
        <w:spacing w:line="240" w:lineRule="auto"/>
      </w:pPr>
      <w:r>
        <w:t>Concerns with the current approach to merger control in Australia</w:t>
      </w:r>
      <w:r w:rsidRPr="00B86DC5">
        <w:t xml:space="preserve"> </w:t>
      </w:r>
      <w:r>
        <w:t>included:</w:t>
      </w:r>
    </w:p>
    <w:p w14:paraId="33051A90" w14:textId="1DC1DE16" w:rsidR="00947E3E" w:rsidRPr="00F30260" w:rsidRDefault="00947E3E" w:rsidP="00947E3E">
      <w:pPr>
        <w:pStyle w:val="Bullet"/>
        <w:spacing w:line="240" w:lineRule="auto"/>
        <w:rPr>
          <w:rFonts w:asciiTheme="minorHAnsi" w:hAnsiTheme="minorHAnsi" w:cstheme="minorHAnsi"/>
        </w:rPr>
      </w:pPr>
      <w:r w:rsidRPr="00F30260">
        <w:rPr>
          <w:rFonts w:asciiTheme="minorHAnsi" w:hAnsiTheme="minorHAnsi" w:cstheme="minorHAnsi"/>
        </w:rPr>
        <w:t>For business, some uncontentious mergers are subject to delays, uncertainty, and added costs – with only limited guidance provided</w:t>
      </w:r>
      <w:r>
        <w:rPr>
          <w:rFonts w:asciiTheme="minorHAnsi" w:hAnsiTheme="minorHAnsi" w:cstheme="minorHAnsi"/>
        </w:rPr>
        <w:t xml:space="preserve"> by the ACCC</w:t>
      </w:r>
      <w:r w:rsidRPr="00F30260">
        <w:rPr>
          <w:rFonts w:asciiTheme="minorHAnsi" w:hAnsiTheme="minorHAnsi" w:cstheme="minorHAnsi"/>
        </w:rPr>
        <w:t>.</w:t>
      </w:r>
    </w:p>
    <w:p w14:paraId="65D8C8ED" w14:textId="546788BC" w:rsidR="00947E3E" w:rsidRPr="00347D1C" w:rsidRDefault="00947E3E" w:rsidP="00947E3E">
      <w:pPr>
        <w:pStyle w:val="Bullet"/>
        <w:spacing w:line="240" w:lineRule="auto"/>
        <w:rPr>
          <w:rFonts w:asciiTheme="minorHAnsi" w:hAnsiTheme="minorHAnsi" w:cstheme="minorHAnsi"/>
        </w:rPr>
      </w:pPr>
      <w:r w:rsidRPr="00F30260">
        <w:rPr>
          <w:rFonts w:asciiTheme="minorHAnsi" w:hAnsiTheme="minorHAnsi" w:cstheme="minorHAnsi"/>
        </w:rPr>
        <w:t xml:space="preserve">For the wider community, </w:t>
      </w:r>
      <w:r>
        <w:rPr>
          <w:rFonts w:asciiTheme="minorHAnsi" w:hAnsiTheme="minorHAnsi" w:cstheme="minorHAnsi"/>
        </w:rPr>
        <w:t xml:space="preserve">it is often difficult to </w:t>
      </w:r>
      <w:r w:rsidRPr="00F30260">
        <w:rPr>
          <w:rFonts w:asciiTheme="minorHAnsi" w:hAnsiTheme="minorHAnsi" w:cstheme="minorHAnsi"/>
        </w:rPr>
        <w:t>engag</w:t>
      </w:r>
      <w:r>
        <w:rPr>
          <w:rFonts w:asciiTheme="minorHAnsi" w:hAnsiTheme="minorHAnsi" w:cstheme="minorHAnsi"/>
        </w:rPr>
        <w:t>e</w:t>
      </w:r>
      <w:r w:rsidRPr="00F30260">
        <w:rPr>
          <w:rFonts w:asciiTheme="minorHAnsi" w:hAnsiTheme="minorHAnsi" w:cstheme="minorHAnsi"/>
        </w:rPr>
        <w:t xml:space="preserve"> with the ACCC</w:t>
      </w:r>
      <w:r>
        <w:rPr>
          <w:rFonts w:asciiTheme="minorHAnsi" w:hAnsiTheme="minorHAnsi" w:cstheme="minorHAnsi"/>
        </w:rPr>
        <w:t>’s</w:t>
      </w:r>
      <w:r w:rsidRPr="00F30260">
        <w:rPr>
          <w:rFonts w:asciiTheme="minorHAnsi" w:hAnsiTheme="minorHAnsi" w:cstheme="minorHAnsi"/>
        </w:rPr>
        <w:t xml:space="preserve"> merger reviews. </w:t>
      </w:r>
      <w:r>
        <w:rPr>
          <w:rFonts w:asciiTheme="minorHAnsi" w:hAnsiTheme="minorHAnsi" w:cstheme="minorHAnsi"/>
        </w:rPr>
        <w:t>The current approach is not transparent nor accessible.</w:t>
      </w:r>
    </w:p>
    <w:p w14:paraId="48A108EF" w14:textId="39282542" w:rsidR="00947E3E" w:rsidRPr="00F30260" w:rsidDel="0031097B" w:rsidRDefault="00947E3E" w:rsidP="00947E3E">
      <w:pPr>
        <w:pStyle w:val="Bullet"/>
        <w:spacing w:line="240" w:lineRule="auto"/>
        <w:rPr>
          <w:rFonts w:asciiTheme="minorHAnsi" w:hAnsiTheme="minorHAnsi" w:cstheme="minorHAnsi"/>
        </w:rPr>
      </w:pPr>
      <w:r w:rsidRPr="00F30260" w:rsidDel="0031097B">
        <w:rPr>
          <w:rFonts w:asciiTheme="minorHAnsi" w:hAnsiTheme="minorHAnsi" w:cstheme="minorHAnsi"/>
        </w:rPr>
        <w:t xml:space="preserve">For the ACCC, the current </w:t>
      </w:r>
      <w:r>
        <w:rPr>
          <w:rFonts w:asciiTheme="minorHAnsi" w:hAnsiTheme="minorHAnsi" w:cstheme="minorHAnsi"/>
        </w:rPr>
        <w:t>approach</w:t>
      </w:r>
      <w:r w:rsidRPr="00F30260" w:rsidDel="0031097B">
        <w:rPr>
          <w:rFonts w:asciiTheme="minorHAnsi" w:hAnsiTheme="minorHAnsi" w:cstheme="minorHAnsi"/>
        </w:rPr>
        <w:t xml:space="preserve"> can impede its ability to effectively and efficiently detect and prevent anti</w:t>
      </w:r>
      <w:r w:rsidRPr="00F30260" w:rsidDel="0031097B">
        <w:rPr>
          <w:rFonts w:asciiTheme="minorHAnsi" w:hAnsiTheme="minorHAnsi" w:cstheme="minorHAnsi"/>
        </w:rPr>
        <w:noBreakHyphen/>
        <w:t xml:space="preserve">competitive </w:t>
      </w:r>
      <w:r w:rsidRPr="00F30260">
        <w:rPr>
          <w:rFonts w:asciiTheme="minorHAnsi" w:hAnsiTheme="minorHAnsi" w:cstheme="minorHAnsi"/>
        </w:rPr>
        <w:t>mergers</w:t>
      </w:r>
      <w:r w:rsidRPr="00F30260" w:rsidDel="0031097B">
        <w:rPr>
          <w:rFonts w:asciiTheme="minorHAnsi" w:hAnsiTheme="minorHAnsi" w:cstheme="minorHAnsi"/>
        </w:rPr>
        <w:t>.</w:t>
      </w:r>
    </w:p>
    <w:p w14:paraId="64E094AF" w14:textId="77777777" w:rsidR="00947E3E" w:rsidRPr="00F30260" w:rsidDel="0031097B" w:rsidRDefault="00947E3E" w:rsidP="00947E3E">
      <w:pPr>
        <w:pStyle w:val="Bullet"/>
        <w:numPr>
          <w:ilvl w:val="0"/>
          <w:numId w:val="0"/>
        </w:numPr>
        <w:spacing w:line="240" w:lineRule="auto"/>
        <w:rPr>
          <w:rFonts w:asciiTheme="minorHAnsi" w:hAnsiTheme="minorHAnsi" w:cstheme="minorHAnsi"/>
        </w:rPr>
      </w:pPr>
      <w:r>
        <w:rPr>
          <w:rFonts w:asciiTheme="minorHAnsi" w:hAnsiTheme="minorHAnsi" w:cstheme="minorHAnsi"/>
        </w:rPr>
        <w:t>These problems are described further below.</w:t>
      </w:r>
    </w:p>
    <w:p w14:paraId="16B4F1F1" w14:textId="5ABDA62B" w:rsidR="00947E3E" w:rsidRPr="001466B8" w:rsidRDefault="00947E3E" w:rsidP="00161BD5">
      <w:pPr>
        <w:pStyle w:val="Heading3"/>
      </w:pPr>
      <w:bookmarkStart w:id="20" w:name="_Toc158886936"/>
      <w:bookmarkStart w:id="21" w:name="_Toc160013868"/>
      <w:bookmarkStart w:id="22" w:name="_Toc162428346"/>
      <w:bookmarkStart w:id="23" w:name="_Toc176972354"/>
      <w:r w:rsidRPr="001466B8">
        <w:t xml:space="preserve">Australia’s </w:t>
      </w:r>
      <w:r w:rsidR="00FE2418" w:rsidRPr="001466B8">
        <w:t xml:space="preserve">approach to </w:t>
      </w:r>
      <w:r w:rsidRPr="001466B8">
        <w:t xml:space="preserve">merger </w:t>
      </w:r>
      <w:r w:rsidR="00FE2418" w:rsidRPr="001466B8">
        <w:t xml:space="preserve">control </w:t>
      </w:r>
      <w:r w:rsidRPr="001466B8">
        <w:t>is unfit for a modern economy</w:t>
      </w:r>
      <w:bookmarkEnd w:id="20"/>
      <w:bookmarkEnd w:id="21"/>
      <w:bookmarkEnd w:id="22"/>
      <w:bookmarkEnd w:id="23"/>
    </w:p>
    <w:p w14:paraId="36B26166" w14:textId="639DAA47" w:rsidR="00947E3E" w:rsidRPr="00203EEA" w:rsidRDefault="002E1BE0" w:rsidP="007274CB">
      <w:pPr>
        <w:pStyle w:val="Heading4"/>
      </w:pPr>
      <w:r w:rsidRPr="007274CB">
        <w:t>L</w:t>
      </w:r>
      <w:r w:rsidR="00514073" w:rsidRPr="007274CB">
        <w:t xml:space="preserve">imited </w:t>
      </w:r>
      <w:r w:rsidR="00947E3E" w:rsidRPr="007274CB" w:rsidDel="0031097B">
        <w:t>ability to detect and prevent anti</w:t>
      </w:r>
      <w:r w:rsidR="00947E3E" w:rsidRPr="007274CB" w:rsidDel="0031097B">
        <w:noBreakHyphen/>
        <w:t>competitive mergers</w:t>
      </w:r>
    </w:p>
    <w:p w14:paraId="744F5E64" w14:textId="1F6D0E01" w:rsidR="00947E3E" w:rsidRPr="006A3E85" w:rsidRDefault="00947E3E" w:rsidP="007855FE">
      <w:pPr>
        <w:keepNext/>
        <w:spacing w:line="240" w:lineRule="auto"/>
        <w:rPr>
          <w:rFonts w:cstheme="minorHAnsi"/>
        </w:rPr>
      </w:pPr>
      <w:r>
        <w:rPr>
          <w:rFonts w:cstheme="minorHAnsi"/>
        </w:rPr>
        <w:t>T</w:t>
      </w:r>
      <w:r w:rsidRPr="006A3E85">
        <w:rPr>
          <w:rFonts w:cstheme="minorHAnsi"/>
        </w:rPr>
        <w:t>he current</w:t>
      </w:r>
      <w:r w:rsidR="0044128A">
        <w:rPr>
          <w:rFonts w:cstheme="minorHAnsi"/>
        </w:rPr>
        <w:t xml:space="preserve"> voluntary</w:t>
      </w:r>
      <w:r w:rsidRPr="006A3E85">
        <w:rPr>
          <w:rFonts w:cstheme="minorHAnsi"/>
        </w:rPr>
        <w:t xml:space="preserve"> </w:t>
      </w:r>
      <w:r w:rsidR="0044128A">
        <w:rPr>
          <w:rFonts w:cstheme="minorHAnsi"/>
        </w:rPr>
        <w:t xml:space="preserve">approach to </w:t>
      </w:r>
      <w:r w:rsidRPr="006A3E85">
        <w:rPr>
          <w:rFonts w:cstheme="minorHAnsi"/>
        </w:rPr>
        <w:t xml:space="preserve">merger </w:t>
      </w:r>
      <w:r w:rsidR="0044128A">
        <w:rPr>
          <w:rFonts w:cstheme="minorHAnsi"/>
        </w:rPr>
        <w:t>control</w:t>
      </w:r>
      <w:r w:rsidRPr="006A3E85">
        <w:rPr>
          <w:rFonts w:cstheme="minorHAnsi"/>
        </w:rPr>
        <w:t xml:space="preserve"> can impede </w:t>
      </w:r>
      <w:r>
        <w:rPr>
          <w:rFonts w:cstheme="minorHAnsi"/>
        </w:rPr>
        <w:t xml:space="preserve">the ACCC’s </w:t>
      </w:r>
      <w:r w:rsidRPr="006A3E85">
        <w:rPr>
          <w:rFonts w:cstheme="minorHAnsi"/>
        </w:rPr>
        <w:t xml:space="preserve">ability to effectively and efficiently detect and prevent anti-competitive mergers. </w:t>
      </w:r>
      <w:r w:rsidR="00961FEC">
        <w:rPr>
          <w:rFonts w:cstheme="minorHAnsi"/>
        </w:rPr>
        <w:t>The ACCC</w:t>
      </w:r>
      <w:r w:rsidR="001C054B">
        <w:rPr>
          <w:rFonts w:cstheme="minorHAnsi"/>
        </w:rPr>
        <w:t xml:space="preserve"> </w:t>
      </w:r>
      <w:r w:rsidRPr="006A3E85">
        <w:rPr>
          <w:rFonts w:cstheme="minorHAnsi"/>
        </w:rPr>
        <w:t>often has to deal with inadequate notification of mergers, insufficient information, and a reactive, adversarial approach from some businesses, with limited capacity for economic evidence to be presented in court.</w:t>
      </w:r>
    </w:p>
    <w:p w14:paraId="23E52874" w14:textId="77DA86CD" w:rsidR="00947E3E" w:rsidRDefault="00947E3E" w:rsidP="00B2140E">
      <w:pPr>
        <w:spacing w:after="0" w:line="240" w:lineRule="auto"/>
        <w:rPr>
          <w:rFonts w:cstheme="minorHAnsi"/>
        </w:rPr>
      </w:pPr>
      <w:r w:rsidRPr="006A3E85">
        <w:rPr>
          <w:rFonts w:cstheme="minorHAnsi"/>
        </w:rPr>
        <w:t xml:space="preserve">The ACCC submitted that increasingly it is not </w:t>
      </w:r>
      <w:r w:rsidR="004B45D5">
        <w:rPr>
          <w:rFonts w:cstheme="minorHAnsi"/>
        </w:rPr>
        <w:t xml:space="preserve">directly </w:t>
      </w:r>
      <w:r w:rsidRPr="006A3E85">
        <w:rPr>
          <w:rFonts w:cstheme="minorHAnsi"/>
        </w:rPr>
        <w:t xml:space="preserve">notified of all the mergers that require scrutiny. While the identity and effect of these non-notified </w:t>
      </w:r>
      <w:r w:rsidR="00321E13">
        <w:rPr>
          <w:rFonts w:cstheme="minorHAnsi"/>
        </w:rPr>
        <w:t>mergers</w:t>
      </w:r>
      <w:r w:rsidR="00321E13" w:rsidRPr="006A3E85">
        <w:rPr>
          <w:rFonts w:cstheme="minorHAnsi"/>
        </w:rPr>
        <w:t xml:space="preserve"> </w:t>
      </w:r>
      <w:r w:rsidRPr="006A3E85">
        <w:rPr>
          <w:rFonts w:cstheme="minorHAnsi"/>
        </w:rPr>
        <w:t xml:space="preserve">is unknown, the examples provided by the ACCC demonstrate that there are unscrutinised </w:t>
      </w:r>
      <w:r w:rsidR="00321E13">
        <w:rPr>
          <w:rFonts w:cstheme="minorHAnsi"/>
        </w:rPr>
        <w:t xml:space="preserve">mergers </w:t>
      </w:r>
      <w:r w:rsidRPr="006A3E85">
        <w:rPr>
          <w:rFonts w:cstheme="minorHAnsi"/>
        </w:rPr>
        <w:t>occurring that raise serious competition concerns</w:t>
      </w:r>
      <w:r>
        <w:rPr>
          <w:rFonts w:cstheme="minorHAnsi"/>
        </w:rPr>
        <w:t>.</w:t>
      </w:r>
      <w:r>
        <w:rPr>
          <w:rStyle w:val="FootnoteReference"/>
          <w:rFonts w:cstheme="minorHAnsi"/>
        </w:rPr>
        <w:footnoteReference w:id="16"/>
      </w:r>
      <w:r>
        <w:rPr>
          <w:rFonts w:cstheme="minorHAnsi"/>
        </w:rPr>
        <w:t xml:space="preserve"> These include </w:t>
      </w:r>
      <w:r w:rsidRPr="004F2803">
        <w:rPr>
          <w:rFonts w:cstheme="minorHAnsi"/>
        </w:rPr>
        <w:t>Petstock (the second largest speciality pet retail chain in Australia)</w:t>
      </w:r>
      <w:r w:rsidR="00ED6B35">
        <w:rPr>
          <w:rFonts w:cstheme="minorHAnsi"/>
        </w:rPr>
        <w:t>,</w:t>
      </w:r>
      <w:r w:rsidRPr="004F2803">
        <w:rPr>
          <w:rFonts w:cstheme="minorHAnsi"/>
        </w:rPr>
        <w:t xml:space="preserve"> </w:t>
      </w:r>
      <w:r>
        <w:rPr>
          <w:rFonts w:cstheme="minorHAnsi"/>
        </w:rPr>
        <w:t xml:space="preserve">which </w:t>
      </w:r>
      <w:r w:rsidRPr="004F2803">
        <w:rPr>
          <w:rFonts w:cstheme="minorHAnsi"/>
        </w:rPr>
        <w:t>completed a large number of acquisitions between 2017</w:t>
      </w:r>
      <w:r w:rsidR="00470537">
        <w:rPr>
          <w:rFonts w:cstheme="minorHAnsi"/>
        </w:rPr>
        <w:t xml:space="preserve"> </w:t>
      </w:r>
      <w:r w:rsidR="007D356C">
        <w:rPr>
          <w:rFonts w:cstheme="minorHAnsi"/>
        </w:rPr>
        <w:t xml:space="preserve">and </w:t>
      </w:r>
      <w:r w:rsidRPr="004F2803">
        <w:rPr>
          <w:rFonts w:cstheme="minorHAnsi"/>
        </w:rPr>
        <w:t xml:space="preserve">2022 without </w:t>
      </w:r>
      <w:r w:rsidR="005E676D">
        <w:rPr>
          <w:rFonts w:cstheme="minorHAnsi"/>
          <w:kern w:val="0"/>
          <w14:ligatures w14:val="none"/>
        </w:rPr>
        <w:t>directly</w:t>
      </w:r>
      <w:r w:rsidR="00B2140E">
        <w:rPr>
          <w:rFonts w:cstheme="minorHAnsi"/>
          <w:kern w:val="0"/>
          <w14:ligatures w14:val="none"/>
        </w:rPr>
        <w:t xml:space="preserve"> </w:t>
      </w:r>
      <w:r w:rsidRPr="004F2803">
        <w:rPr>
          <w:rFonts w:cstheme="minorHAnsi"/>
        </w:rPr>
        <w:t>notifying the ACCC</w:t>
      </w:r>
      <w:r>
        <w:rPr>
          <w:rFonts w:cstheme="minorHAnsi"/>
        </w:rPr>
        <w:t>, Qantas’ acquiring 19.9</w:t>
      </w:r>
      <w:r w:rsidR="000C1FF0">
        <w:rPr>
          <w:rFonts w:cstheme="minorHAnsi"/>
        </w:rPr>
        <w:t xml:space="preserve"> per cent </w:t>
      </w:r>
      <w:r>
        <w:rPr>
          <w:rFonts w:cstheme="minorHAnsi"/>
        </w:rPr>
        <w:t>of Alliance Airlines in 2019</w:t>
      </w:r>
      <w:r w:rsidR="008D7BE2">
        <w:rPr>
          <w:rFonts w:cstheme="minorHAnsi"/>
        </w:rPr>
        <w:t>,</w:t>
      </w:r>
      <w:r>
        <w:rPr>
          <w:rFonts w:cstheme="minorHAnsi"/>
        </w:rPr>
        <w:t xml:space="preserve"> </w:t>
      </w:r>
      <w:r w:rsidRPr="006F6A3C">
        <w:rPr>
          <w:rFonts w:cstheme="minorHAnsi"/>
        </w:rPr>
        <w:t xml:space="preserve">Primary Health Care </w:t>
      </w:r>
      <w:r>
        <w:rPr>
          <w:rFonts w:cstheme="minorHAnsi"/>
        </w:rPr>
        <w:t>acquiring</w:t>
      </w:r>
      <w:r w:rsidRPr="006F6A3C">
        <w:rPr>
          <w:rFonts w:cstheme="minorHAnsi"/>
        </w:rPr>
        <w:t xml:space="preserve"> Healthscope’s pathology business in Queensland without notifying the ACCC</w:t>
      </w:r>
      <w:r>
        <w:rPr>
          <w:rFonts w:cstheme="minorHAnsi"/>
        </w:rPr>
        <w:t xml:space="preserve"> in 2015.</w:t>
      </w:r>
      <w:r>
        <w:rPr>
          <w:rStyle w:val="FootnoteReference"/>
          <w:rFonts w:cstheme="minorHAnsi"/>
        </w:rPr>
        <w:footnoteReference w:id="17"/>
      </w:r>
      <w:r>
        <w:rPr>
          <w:rFonts w:cstheme="minorHAnsi"/>
        </w:rPr>
        <w:t xml:space="preserve"> </w:t>
      </w:r>
    </w:p>
    <w:p w14:paraId="2C7FE902" w14:textId="0452DCBC" w:rsidR="00D42807" w:rsidRDefault="001427AB" w:rsidP="00947E3E">
      <w:pPr>
        <w:pStyle w:val="Bullet"/>
        <w:numPr>
          <w:ilvl w:val="0"/>
          <w:numId w:val="0"/>
        </w:numPr>
        <w:spacing w:line="240" w:lineRule="auto"/>
        <w:rPr>
          <w:rFonts w:asciiTheme="minorHAnsi" w:hAnsiTheme="minorHAnsi" w:cstheme="minorHAnsi"/>
        </w:rPr>
      </w:pPr>
      <w:r>
        <w:rPr>
          <w:rFonts w:cstheme="minorHAnsi"/>
          <w:noProof/>
        </w:rPr>
        <mc:AlternateContent>
          <mc:Choice Requires="wps">
            <w:drawing>
              <wp:anchor distT="0" distB="0" distL="114300" distR="114300" simplePos="0" relativeHeight="251658241" behindDoc="0" locked="0" layoutInCell="1" allowOverlap="1" wp14:anchorId="73A36BA5" wp14:editId="2287A645">
                <wp:simplePos x="0" y="0"/>
                <wp:positionH relativeFrom="column">
                  <wp:posOffset>-4445</wp:posOffset>
                </wp:positionH>
                <wp:positionV relativeFrom="paragraph">
                  <wp:posOffset>98631</wp:posOffset>
                </wp:positionV>
                <wp:extent cx="5702300" cy="172720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5702300" cy="1727200"/>
                        </a:xfrm>
                        <a:prstGeom prst="rect">
                          <a:avLst/>
                        </a:prstGeom>
                        <a:solidFill>
                          <a:schemeClr val="lt1"/>
                        </a:solidFill>
                        <a:ln w="6350">
                          <a:solidFill>
                            <a:prstClr val="black"/>
                          </a:solidFill>
                        </a:ln>
                      </wps:spPr>
                      <wps:txbx>
                        <w:txbxContent>
                          <w:p w14:paraId="3F9B77C4" w14:textId="2AAF3EBE" w:rsidR="00D03988" w:rsidRPr="00C939EA" w:rsidRDefault="00D03988">
                            <w:pPr>
                              <w:rPr>
                                <w:b/>
                                <w:bCs/>
                              </w:rPr>
                            </w:pPr>
                            <w:r w:rsidRPr="00C939EA">
                              <w:rPr>
                                <w:b/>
                                <w:bCs/>
                              </w:rPr>
                              <w:t>Petstock</w:t>
                            </w:r>
                          </w:p>
                          <w:p w14:paraId="17BBD97A" w14:textId="608ED1EA" w:rsidR="00D03988" w:rsidRDefault="00EB4F19">
                            <w:r>
                              <w:t xml:space="preserve">During </w:t>
                            </w:r>
                            <w:r w:rsidR="00C561C5">
                              <w:t xml:space="preserve">the </w:t>
                            </w:r>
                            <w:r w:rsidR="00FA3357">
                              <w:t>ACCC’s</w:t>
                            </w:r>
                            <w:r>
                              <w:t xml:space="preserve"> review of Woolworths’ proposed acquisition of a 55 per cent interest in Petstock, </w:t>
                            </w:r>
                            <w:r w:rsidR="00143931">
                              <w:t xml:space="preserve">the second largest specialty pet retail chain in Australia, </w:t>
                            </w:r>
                            <w:r w:rsidR="00CE1EBE">
                              <w:t xml:space="preserve">ACCC became </w:t>
                            </w:r>
                            <w:r w:rsidR="00310A02">
                              <w:t xml:space="preserve">aware of a large number of acquisitions </w:t>
                            </w:r>
                            <w:r w:rsidR="00F16890">
                              <w:t xml:space="preserve">completed between 2017–2022 </w:t>
                            </w:r>
                            <w:r w:rsidR="00310A02">
                              <w:t xml:space="preserve">by Petstock. After investigation, </w:t>
                            </w:r>
                            <w:r w:rsidR="00DC7489">
                              <w:t xml:space="preserve">the ACCC identified significant </w:t>
                            </w:r>
                            <w:r w:rsidR="004B30B4">
                              <w:t xml:space="preserve">concerns that </w:t>
                            </w:r>
                            <w:r w:rsidR="00877722">
                              <w:t>4</w:t>
                            </w:r>
                            <w:r w:rsidR="004B30B4">
                              <w:t xml:space="preserve"> transactions (involving over 50 retail stores) have had an impact on national and state-wide chain-on-chain competition, as well as competition in multiple local areas. </w:t>
                            </w:r>
                            <w:r w:rsidR="006F5808">
                              <w:t xml:space="preserve">In December 2023, </w:t>
                            </w:r>
                            <w:r w:rsidR="002428A7">
                              <w:t xml:space="preserve">the ACCC accepted proposed divestiture undertakings that </w:t>
                            </w:r>
                            <w:r w:rsidR="00974485">
                              <w:t>were</w:t>
                            </w:r>
                            <w:r w:rsidR="002428A7">
                              <w:t xml:space="preserve"> offered by Petstock </w:t>
                            </w:r>
                            <w:r w:rsidR="00877722">
                              <w:t>t</w:t>
                            </w:r>
                            <w:r w:rsidR="00427C5A">
                              <w:t xml:space="preserve">o address </w:t>
                            </w:r>
                            <w:r w:rsidR="00877722">
                              <w:t>the</w:t>
                            </w:r>
                            <w:r w:rsidR="00427C5A">
                              <w:t xml:space="preserve"> competition concern.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A36BA5" id="_x0000_t202" coordsize="21600,21600" o:spt="202" path="m,l,21600r21600,l21600,xe">
                <v:stroke joinstyle="miter"/>
                <v:path gradientshapeok="t" o:connecttype="rect"/>
              </v:shapetype>
              <v:shape id="Text Box 1" o:spid="_x0000_s1026" type="#_x0000_t202" style="position:absolute;margin-left:-.35pt;margin-top:7.75pt;width:449pt;height:1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" fillcolor="white [3201]" strokeweight=".5pt">
                <v:textbox>
                  <w:txbxContent>
                    <w:p w14:paraId="3F9B77C4" w14:textId="2AAF3EBE" w:rsidR="00D03988" w:rsidRPr="00C939EA" w:rsidRDefault="00D03988">
                      <w:pPr>
                        <w:rPr>
                          <w:b/>
                          <w:bCs/>
                        </w:rPr>
                      </w:pPr>
                      <w:r w:rsidRPr="00C939EA">
                        <w:rPr>
                          <w:b/>
                          <w:bCs/>
                        </w:rPr>
                        <w:t>Petstock</w:t>
                      </w:r>
                    </w:p>
                    <w:p w14:paraId="17BBD97A" w14:textId="608ED1EA" w:rsidR="00D03988" w:rsidRDefault="00EB4F19">
                      <w:r>
                        <w:t xml:space="preserve">During </w:t>
                      </w:r>
                      <w:r w:rsidR="00C561C5">
                        <w:t xml:space="preserve">the </w:t>
                      </w:r>
                      <w:r w:rsidR="00FA3357">
                        <w:t>ACCC’s</w:t>
                      </w:r>
                      <w:r>
                        <w:t xml:space="preserve"> review of Woolworths’ proposed acquisition of a 55 per cent interest in Petstock, </w:t>
                      </w:r>
                      <w:r w:rsidR="00143931">
                        <w:t xml:space="preserve">the second largest specialty pet retail chain in Australia, </w:t>
                      </w:r>
                      <w:r w:rsidR="00CE1EBE">
                        <w:t xml:space="preserve">ACCC became </w:t>
                      </w:r>
                      <w:r w:rsidR="00310A02">
                        <w:t xml:space="preserve">aware of a large number of acquisitions </w:t>
                      </w:r>
                      <w:r w:rsidR="00F16890">
                        <w:t xml:space="preserve">completed between 2017–2022 </w:t>
                      </w:r>
                      <w:r w:rsidR="00310A02">
                        <w:t xml:space="preserve">by Petstock. After investigation, </w:t>
                      </w:r>
                      <w:r w:rsidR="00DC7489">
                        <w:t xml:space="preserve">the ACCC identified significant </w:t>
                      </w:r>
                      <w:r w:rsidR="004B30B4">
                        <w:t xml:space="preserve">concerns that </w:t>
                      </w:r>
                      <w:r w:rsidR="00877722">
                        <w:t>4</w:t>
                      </w:r>
                      <w:r w:rsidR="004B30B4">
                        <w:t xml:space="preserve"> transactions (involving over 50 retail stores) have had an impact on national and state-wide chain-on-chain competition, as well as competition in multiple local areas. </w:t>
                      </w:r>
                      <w:r w:rsidR="006F5808">
                        <w:t xml:space="preserve">In December 2023, </w:t>
                      </w:r>
                      <w:r w:rsidR="002428A7">
                        <w:t xml:space="preserve">the ACCC accepted proposed divestiture undertakings that </w:t>
                      </w:r>
                      <w:r w:rsidR="00974485">
                        <w:t>were</w:t>
                      </w:r>
                      <w:r w:rsidR="002428A7">
                        <w:t xml:space="preserve"> offered by Petstock </w:t>
                      </w:r>
                      <w:r w:rsidR="00877722">
                        <w:t>t</w:t>
                      </w:r>
                      <w:r w:rsidR="00427C5A">
                        <w:t xml:space="preserve">o address </w:t>
                      </w:r>
                      <w:r w:rsidR="00877722">
                        <w:t>the</w:t>
                      </w:r>
                      <w:r w:rsidR="00427C5A">
                        <w:t xml:space="preserve"> competition concern. </w:t>
                      </w:r>
                    </w:p>
                  </w:txbxContent>
                </v:textbox>
              </v:shape>
            </w:pict>
          </mc:Fallback>
        </mc:AlternateContent>
      </w:r>
    </w:p>
    <w:p w14:paraId="6064E67E" w14:textId="77777777" w:rsidR="00C939EA" w:rsidRDefault="00C939EA" w:rsidP="00947E3E">
      <w:pPr>
        <w:pStyle w:val="Bullet"/>
        <w:numPr>
          <w:ilvl w:val="0"/>
          <w:numId w:val="0"/>
        </w:numPr>
        <w:spacing w:line="240" w:lineRule="auto"/>
        <w:rPr>
          <w:rFonts w:asciiTheme="minorHAnsi" w:hAnsiTheme="minorHAnsi" w:cstheme="minorHAnsi"/>
        </w:rPr>
      </w:pPr>
    </w:p>
    <w:p w14:paraId="0AC9D0DD" w14:textId="77777777" w:rsidR="00C939EA" w:rsidRDefault="00C939EA" w:rsidP="00947E3E">
      <w:pPr>
        <w:pStyle w:val="Bullet"/>
        <w:numPr>
          <w:ilvl w:val="0"/>
          <w:numId w:val="0"/>
        </w:numPr>
        <w:spacing w:line="240" w:lineRule="auto"/>
        <w:rPr>
          <w:rFonts w:asciiTheme="minorHAnsi" w:hAnsiTheme="minorHAnsi" w:cstheme="minorHAnsi"/>
        </w:rPr>
      </w:pPr>
    </w:p>
    <w:p w14:paraId="104A73D6" w14:textId="77777777" w:rsidR="00C939EA" w:rsidRDefault="00C939EA" w:rsidP="00947E3E">
      <w:pPr>
        <w:pStyle w:val="Bullet"/>
        <w:numPr>
          <w:ilvl w:val="0"/>
          <w:numId w:val="0"/>
        </w:numPr>
        <w:spacing w:line="240" w:lineRule="auto"/>
        <w:rPr>
          <w:rFonts w:asciiTheme="minorHAnsi" w:hAnsiTheme="minorHAnsi" w:cstheme="minorHAnsi"/>
        </w:rPr>
      </w:pPr>
    </w:p>
    <w:p w14:paraId="401E3450" w14:textId="77777777" w:rsidR="00310A02" w:rsidRDefault="00310A02" w:rsidP="00947E3E">
      <w:pPr>
        <w:pStyle w:val="Bullet"/>
        <w:numPr>
          <w:ilvl w:val="0"/>
          <w:numId w:val="0"/>
        </w:numPr>
        <w:spacing w:line="240" w:lineRule="auto"/>
        <w:rPr>
          <w:rFonts w:asciiTheme="minorHAnsi" w:hAnsiTheme="minorHAnsi" w:cstheme="minorHAnsi"/>
        </w:rPr>
      </w:pPr>
    </w:p>
    <w:p w14:paraId="2E9B3DB4" w14:textId="77777777" w:rsidR="00310A02" w:rsidRDefault="00310A02" w:rsidP="00947E3E">
      <w:pPr>
        <w:pStyle w:val="Bullet"/>
        <w:numPr>
          <w:ilvl w:val="0"/>
          <w:numId w:val="0"/>
        </w:numPr>
        <w:spacing w:line="240" w:lineRule="auto"/>
        <w:rPr>
          <w:rFonts w:asciiTheme="minorHAnsi" w:hAnsiTheme="minorHAnsi" w:cstheme="minorHAnsi"/>
        </w:rPr>
      </w:pPr>
    </w:p>
    <w:p w14:paraId="5202B4B6" w14:textId="2312B228" w:rsidR="00E575D5" w:rsidRDefault="00E575D5" w:rsidP="00947E3E">
      <w:pPr>
        <w:pStyle w:val="Bullet"/>
        <w:numPr>
          <w:ilvl w:val="0"/>
          <w:numId w:val="0"/>
        </w:numPr>
        <w:spacing w:line="240" w:lineRule="auto"/>
        <w:rPr>
          <w:rFonts w:asciiTheme="minorHAnsi" w:hAnsiTheme="minorHAnsi" w:cstheme="minorHAnsi"/>
        </w:rPr>
      </w:pPr>
    </w:p>
    <w:p w14:paraId="3AEDDD7C" w14:textId="1F497928" w:rsidR="002F49E3" w:rsidRDefault="007D2835" w:rsidP="00947E3E">
      <w:pPr>
        <w:pStyle w:val="Bullet"/>
        <w:numPr>
          <w:ilvl w:val="0"/>
          <w:numId w:val="0"/>
        </w:numPr>
        <w:spacing w:line="240" w:lineRule="auto"/>
        <w:rPr>
          <w:rFonts w:asciiTheme="minorHAnsi" w:hAnsiTheme="minorHAnsi" w:cstheme="minorHAnsi"/>
        </w:rPr>
      </w:pPr>
      <w:r>
        <w:rPr>
          <w:rFonts w:asciiTheme="minorHAnsi" w:hAnsiTheme="minorHAnsi" w:cstheme="minorHAnsi"/>
          <w:noProof/>
          <w14:ligatures w14:val="standardContextual"/>
        </w:rPr>
        <mc:AlternateContent>
          <mc:Choice Requires="wps">
            <w:drawing>
              <wp:anchor distT="0" distB="0" distL="114300" distR="114300" simplePos="0" relativeHeight="251658242" behindDoc="0" locked="0" layoutInCell="1" allowOverlap="1" wp14:anchorId="5127981B" wp14:editId="6943ED09">
                <wp:simplePos x="0" y="0"/>
                <wp:positionH relativeFrom="margin">
                  <wp:posOffset>0</wp:posOffset>
                </wp:positionH>
                <wp:positionV relativeFrom="paragraph">
                  <wp:posOffset>200499</wp:posOffset>
                </wp:positionV>
                <wp:extent cx="5708650" cy="1692322"/>
                <wp:effectExtent l="0" t="0" r="25400" b="22225"/>
                <wp:wrapNone/>
                <wp:docPr id="7" name="Text Box 7"/>
                <wp:cNvGraphicFramePr/>
                <a:graphic xmlns:a="http://schemas.openxmlformats.org/drawingml/2006/main">
                  <a:graphicData uri="http://schemas.microsoft.com/office/word/2010/wordprocessingShape">
                    <wps:wsp>
                      <wps:cNvSpPr txBox="1"/>
                      <wps:spPr>
                        <a:xfrm>
                          <a:off x="0" y="0"/>
                          <a:ext cx="5708650" cy="1692322"/>
                        </a:xfrm>
                        <a:prstGeom prst="rect">
                          <a:avLst/>
                        </a:prstGeom>
                        <a:solidFill>
                          <a:schemeClr val="lt1"/>
                        </a:solidFill>
                        <a:ln w="6350">
                          <a:solidFill>
                            <a:prstClr val="black"/>
                          </a:solidFill>
                        </a:ln>
                      </wps:spPr>
                      <wps:txbx>
                        <w:txbxContent>
                          <w:p w14:paraId="0F6F9E60" w14:textId="3464D415" w:rsidR="00D16BB3" w:rsidRPr="00C939EA" w:rsidRDefault="00D16BB3" w:rsidP="00D16BB3">
                            <w:pPr>
                              <w:rPr>
                                <w:b/>
                                <w:bCs/>
                              </w:rPr>
                            </w:pPr>
                            <w:r>
                              <w:rPr>
                                <w:b/>
                                <w:bCs/>
                              </w:rPr>
                              <w:t>Primary Health Care</w:t>
                            </w:r>
                          </w:p>
                          <w:p w14:paraId="481B7010" w14:textId="2E60C5C8" w:rsidR="00D16BB3" w:rsidRDefault="00246D82" w:rsidP="00D16BB3">
                            <w:r>
                              <w:t xml:space="preserve">In February 2015, </w:t>
                            </w:r>
                            <w:r w:rsidR="00AA4FC0">
                              <w:t xml:space="preserve">the </w:t>
                            </w:r>
                            <w:r>
                              <w:t xml:space="preserve">ACCC received </w:t>
                            </w:r>
                            <w:r w:rsidR="00F60197">
                              <w:t xml:space="preserve">complaints about the completed acquisition of </w:t>
                            </w:r>
                            <w:r w:rsidR="007972BC">
                              <w:t>Healthscope pathology</w:t>
                            </w:r>
                            <w:r w:rsidR="00450D77">
                              <w:t xml:space="preserve"> assets. </w:t>
                            </w:r>
                            <w:r w:rsidR="00163B00">
                              <w:t>The ACCC considered that the acquisition removed a significant third player in Queensland, leaving just two major full-service pathology providers in that state. The change in market structure would be likely to result in increased prices and reduced service levels for pathology services in Queensland.</w:t>
                            </w:r>
                            <w:r w:rsidR="00CE7136">
                              <w:t xml:space="preserve"> </w:t>
                            </w:r>
                            <w:r w:rsidR="005F3518">
                              <w:t xml:space="preserve">The ACCC investigated the completed acquisition and </w:t>
                            </w:r>
                            <w:r w:rsidR="007D2835">
                              <w:t>in June</w:t>
                            </w:r>
                            <w:r w:rsidR="00C9685C">
                              <w:t> </w:t>
                            </w:r>
                            <w:r w:rsidR="007D2835">
                              <w:t xml:space="preserve">2016 accepted an undertaking for divestiture of the pathology assets to restore a competitive market structure in Queensland.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27981B" id="Text Box 7" o:spid="_x0000_s1027" type="#_x0000_t202" style="position:absolute;margin-left:0;margin-top:15.8pt;width:449.5pt;height:133.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" fillcolor="white [3201]" strokeweight=".5pt">
                <v:textbox>
                  <w:txbxContent>
                    <w:p w14:paraId="0F6F9E60" w14:textId="3464D415" w:rsidR="00D16BB3" w:rsidRPr="00C939EA" w:rsidRDefault="00D16BB3" w:rsidP="00D16BB3">
                      <w:pPr>
                        <w:rPr>
                          <w:b/>
                          <w:bCs/>
                        </w:rPr>
                      </w:pPr>
                      <w:r>
                        <w:rPr>
                          <w:b/>
                          <w:bCs/>
                        </w:rPr>
                        <w:t>Primary Health Care</w:t>
                      </w:r>
                    </w:p>
                    <w:p w14:paraId="481B7010" w14:textId="2E60C5C8" w:rsidR="00D16BB3" w:rsidRDefault="00246D82" w:rsidP="00D16BB3">
                      <w:r>
                        <w:t xml:space="preserve">In February 2015, </w:t>
                      </w:r>
                      <w:r w:rsidR="00AA4FC0">
                        <w:t xml:space="preserve">the </w:t>
                      </w:r>
                      <w:r>
                        <w:t xml:space="preserve">ACCC received </w:t>
                      </w:r>
                      <w:r w:rsidR="00F60197">
                        <w:t xml:space="preserve">complaints about the completed acquisition of </w:t>
                      </w:r>
                      <w:r w:rsidR="007972BC">
                        <w:t>Healthscope pathology</w:t>
                      </w:r>
                      <w:r w:rsidR="00450D77">
                        <w:t xml:space="preserve"> assets. </w:t>
                      </w:r>
                      <w:r w:rsidR="00163B00">
                        <w:t>The ACCC considered that the acquisition removed a significant third player in Queensland, leaving just two major full-service pathology providers in that state. The change in market structure would be likely to result in increased prices and reduced service levels for pathology services in Queensland.</w:t>
                      </w:r>
                      <w:r w:rsidR="00CE7136">
                        <w:t xml:space="preserve"> </w:t>
                      </w:r>
                      <w:r w:rsidR="005F3518">
                        <w:t xml:space="preserve">The ACCC investigated the completed acquisition and </w:t>
                      </w:r>
                      <w:r w:rsidR="007D2835">
                        <w:t>in June</w:t>
                      </w:r>
                      <w:r w:rsidR="00C9685C">
                        <w:t> </w:t>
                      </w:r>
                      <w:r w:rsidR="007D2835">
                        <w:t xml:space="preserve">2016 accepted an undertaking for divestiture of the pathology assets to restore a competitive market structure in Queensland. </w:t>
                      </w:r>
                    </w:p>
                  </w:txbxContent>
                </v:textbox>
                <w10:wrap anchorx="margin"/>
              </v:shape>
            </w:pict>
          </mc:Fallback>
        </mc:AlternateContent>
      </w:r>
    </w:p>
    <w:p w14:paraId="6C11E2B0" w14:textId="77777777" w:rsidR="002F49E3" w:rsidRDefault="002F49E3" w:rsidP="00947E3E">
      <w:pPr>
        <w:pStyle w:val="Bullet"/>
        <w:numPr>
          <w:ilvl w:val="0"/>
          <w:numId w:val="0"/>
        </w:numPr>
        <w:spacing w:line="240" w:lineRule="auto"/>
        <w:rPr>
          <w:rFonts w:asciiTheme="minorHAnsi" w:hAnsiTheme="minorHAnsi" w:cstheme="minorHAnsi"/>
        </w:rPr>
      </w:pPr>
    </w:p>
    <w:p w14:paraId="04316B5F" w14:textId="77777777" w:rsidR="002F49E3" w:rsidRDefault="002F49E3" w:rsidP="00947E3E">
      <w:pPr>
        <w:pStyle w:val="Bullet"/>
        <w:numPr>
          <w:ilvl w:val="0"/>
          <w:numId w:val="0"/>
        </w:numPr>
        <w:spacing w:line="240" w:lineRule="auto"/>
        <w:rPr>
          <w:rFonts w:asciiTheme="minorHAnsi" w:hAnsiTheme="minorHAnsi" w:cstheme="minorHAnsi"/>
        </w:rPr>
      </w:pPr>
    </w:p>
    <w:p w14:paraId="20C684FC" w14:textId="77777777" w:rsidR="002F49E3" w:rsidRDefault="002F49E3" w:rsidP="00947E3E">
      <w:pPr>
        <w:pStyle w:val="Bullet"/>
        <w:numPr>
          <w:ilvl w:val="0"/>
          <w:numId w:val="0"/>
        </w:numPr>
        <w:spacing w:line="240" w:lineRule="auto"/>
        <w:rPr>
          <w:rFonts w:asciiTheme="minorHAnsi" w:hAnsiTheme="minorHAnsi" w:cstheme="minorHAnsi"/>
        </w:rPr>
      </w:pPr>
    </w:p>
    <w:p w14:paraId="4526879E" w14:textId="77777777" w:rsidR="002F49E3" w:rsidRDefault="002F49E3" w:rsidP="00947E3E">
      <w:pPr>
        <w:pStyle w:val="Bullet"/>
        <w:numPr>
          <w:ilvl w:val="0"/>
          <w:numId w:val="0"/>
        </w:numPr>
        <w:spacing w:line="240" w:lineRule="auto"/>
        <w:rPr>
          <w:rFonts w:asciiTheme="minorHAnsi" w:hAnsiTheme="minorHAnsi" w:cstheme="minorHAnsi"/>
        </w:rPr>
      </w:pPr>
    </w:p>
    <w:p w14:paraId="44926807" w14:textId="77777777" w:rsidR="002F49E3" w:rsidRDefault="002F49E3" w:rsidP="00947E3E">
      <w:pPr>
        <w:pStyle w:val="Bullet"/>
        <w:numPr>
          <w:ilvl w:val="0"/>
          <w:numId w:val="0"/>
        </w:numPr>
        <w:spacing w:line="240" w:lineRule="auto"/>
        <w:rPr>
          <w:rFonts w:asciiTheme="minorHAnsi" w:hAnsiTheme="minorHAnsi" w:cstheme="minorHAnsi"/>
        </w:rPr>
      </w:pPr>
    </w:p>
    <w:p w14:paraId="40D5B20B" w14:textId="77777777" w:rsidR="002F49E3" w:rsidRDefault="002F49E3" w:rsidP="00947E3E">
      <w:pPr>
        <w:pStyle w:val="Bullet"/>
        <w:numPr>
          <w:ilvl w:val="0"/>
          <w:numId w:val="0"/>
        </w:numPr>
        <w:spacing w:line="240" w:lineRule="auto"/>
        <w:rPr>
          <w:rFonts w:asciiTheme="minorHAnsi" w:hAnsiTheme="minorHAnsi" w:cstheme="minorHAnsi"/>
        </w:rPr>
      </w:pPr>
    </w:p>
    <w:p w14:paraId="1A0C751C" w14:textId="77777777" w:rsidR="00BC1C56" w:rsidRDefault="00BC1C56" w:rsidP="00947E3E">
      <w:pPr>
        <w:pStyle w:val="Bullet"/>
        <w:numPr>
          <w:ilvl w:val="0"/>
          <w:numId w:val="0"/>
        </w:numPr>
        <w:spacing w:line="240" w:lineRule="auto"/>
        <w:rPr>
          <w:rFonts w:asciiTheme="minorHAnsi" w:hAnsiTheme="minorHAnsi" w:cstheme="minorHAnsi"/>
        </w:rPr>
      </w:pPr>
    </w:p>
    <w:p w14:paraId="294DA303" w14:textId="00ECCBF3" w:rsidR="00947E3E" w:rsidRPr="006A3E85" w:rsidRDefault="00947E3E" w:rsidP="00947E3E">
      <w:pPr>
        <w:pStyle w:val="Bullet"/>
        <w:numPr>
          <w:ilvl w:val="0"/>
          <w:numId w:val="0"/>
        </w:numPr>
        <w:spacing w:line="240" w:lineRule="auto"/>
      </w:pPr>
      <w:r w:rsidRPr="007B00DA">
        <w:rPr>
          <w:rFonts w:asciiTheme="minorHAnsi" w:hAnsiTheme="minorHAnsi" w:cstheme="minorHAnsi"/>
        </w:rPr>
        <w:t xml:space="preserve">The Competition </w:t>
      </w:r>
      <w:r w:rsidR="00D82F38">
        <w:rPr>
          <w:rFonts w:asciiTheme="minorHAnsi" w:hAnsiTheme="minorHAnsi" w:cstheme="minorHAnsi"/>
        </w:rPr>
        <w:t>Taskforce</w:t>
      </w:r>
      <w:r w:rsidR="00D82F38" w:rsidRPr="007B00DA">
        <w:rPr>
          <w:rFonts w:asciiTheme="minorHAnsi" w:hAnsiTheme="minorHAnsi" w:cstheme="minorHAnsi"/>
        </w:rPr>
        <w:t xml:space="preserve"> </w:t>
      </w:r>
      <w:r w:rsidRPr="007B00DA">
        <w:rPr>
          <w:rFonts w:asciiTheme="minorHAnsi" w:hAnsiTheme="minorHAnsi" w:cstheme="minorHAnsi"/>
        </w:rPr>
        <w:t>has developed new data assets including Australia’s first economy-wide database for tracking the impact of mergers</w:t>
      </w:r>
      <w:r w:rsidR="00143768">
        <w:rPr>
          <w:rFonts w:asciiTheme="minorHAnsi" w:hAnsiTheme="minorHAnsi" w:cstheme="minorHAnsi"/>
        </w:rPr>
        <w:t xml:space="preserve"> and acquisitions</w:t>
      </w:r>
      <w:r w:rsidRPr="007B00DA">
        <w:rPr>
          <w:rFonts w:asciiTheme="minorHAnsi" w:hAnsiTheme="minorHAnsi" w:cstheme="minorHAnsi"/>
        </w:rPr>
        <w:t>. The database uses comprehensive Australian Bureau of Statistics (ABS) administrative microdata on worker flows between all Australian businesses</w:t>
      </w:r>
      <w:r>
        <w:rPr>
          <w:rFonts w:asciiTheme="minorHAnsi" w:hAnsiTheme="minorHAnsi" w:cstheme="minorHAnsi"/>
        </w:rPr>
        <w:t xml:space="preserve"> to estimate the number of mergers</w:t>
      </w:r>
      <w:r w:rsidR="0034126B">
        <w:rPr>
          <w:rFonts w:asciiTheme="minorHAnsi" w:hAnsiTheme="minorHAnsi" w:cstheme="minorHAnsi"/>
        </w:rPr>
        <w:t xml:space="preserve"> and acquisitions</w:t>
      </w:r>
      <w:r>
        <w:rPr>
          <w:rFonts w:asciiTheme="minorHAnsi" w:hAnsiTheme="minorHAnsi" w:cstheme="minorHAnsi"/>
        </w:rPr>
        <w:t xml:space="preserve"> each year</w:t>
      </w:r>
      <w:r w:rsidRPr="007B00DA">
        <w:rPr>
          <w:rFonts w:asciiTheme="minorHAnsi" w:hAnsiTheme="minorHAnsi" w:cstheme="minorHAnsi"/>
        </w:rPr>
        <w:t>. Preliminary results from this data indicate there are around 1,500 mergers annually.</w:t>
      </w:r>
      <w:r w:rsidRPr="007B00DA">
        <w:rPr>
          <w:rFonts w:asciiTheme="minorHAnsi" w:hAnsiTheme="minorHAnsi" w:cstheme="minorHAnsi"/>
          <w:vertAlign w:val="superscript"/>
        </w:rPr>
        <w:footnoteReference w:id="18"/>
      </w:r>
      <w:r w:rsidRPr="007B00DA">
        <w:rPr>
          <w:rFonts w:asciiTheme="minorHAnsi" w:hAnsiTheme="minorHAnsi" w:cstheme="minorHAnsi"/>
        </w:rPr>
        <w:t xml:space="preserve"> This means that only around one-fifth of all mergers and acquisitions in the economy are notified to the ACCC. It also shows that most target firms are medium-sized businesses, while </w:t>
      </w:r>
      <w:r w:rsidR="004C68A1">
        <w:rPr>
          <w:rFonts w:asciiTheme="minorHAnsi" w:hAnsiTheme="minorHAnsi" w:cstheme="minorHAnsi"/>
        </w:rPr>
        <w:t xml:space="preserve">mergers and </w:t>
      </w:r>
      <w:r w:rsidRPr="007B00DA">
        <w:rPr>
          <w:rFonts w:asciiTheme="minorHAnsi" w:hAnsiTheme="minorHAnsi" w:cstheme="minorHAnsi"/>
        </w:rPr>
        <w:t>acquisitions are disproportionately made by very large firms (</w:t>
      </w:r>
      <w:r w:rsidR="00A10539">
        <w:rPr>
          <w:rFonts w:asciiTheme="minorHAnsi" w:hAnsiTheme="minorHAnsi" w:cstheme="minorHAnsi"/>
        </w:rPr>
        <w:t xml:space="preserve">the </w:t>
      </w:r>
      <w:r w:rsidRPr="007B00DA">
        <w:rPr>
          <w:rFonts w:asciiTheme="minorHAnsi" w:hAnsiTheme="minorHAnsi" w:cstheme="minorHAnsi"/>
        </w:rPr>
        <w:t>largest 1</w:t>
      </w:r>
      <w:r w:rsidR="00D83E9A">
        <w:rPr>
          <w:rFonts w:asciiTheme="minorHAnsi" w:hAnsiTheme="minorHAnsi" w:cstheme="minorHAnsi"/>
        </w:rPr>
        <w:t>%</w:t>
      </w:r>
      <w:r w:rsidRPr="007B00DA">
        <w:rPr>
          <w:rFonts w:asciiTheme="minorHAnsi" w:hAnsiTheme="minorHAnsi" w:cstheme="minorHAnsi"/>
        </w:rPr>
        <w:t xml:space="preserve"> of firms</w:t>
      </w:r>
      <w:r w:rsidR="007E5296">
        <w:rPr>
          <w:rFonts w:asciiTheme="minorHAnsi" w:hAnsiTheme="minorHAnsi" w:cstheme="minorHAnsi"/>
        </w:rPr>
        <w:t xml:space="preserve"> make</w:t>
      </w:r>
      <w:r w:rsidRPr="007B00DA">
        <w:rPr>
          <w:rFonts w:asciiTheme="minorHAnsi" w:hAnsiTheme="minorHAnsi" w:cstheme="minorHAnsi"/>
        </w:rPr>
        <w:t xml:space="preserve"> around half of all acquisitions).</w:t>
      </w:r>
      <w:r w:rsidRPr="007B00DA">
        <w:rPr>
          <w:rFonts w:asciiTheme="minorHAnsi" w:hAnsiTheme="minorHAnsi" w:cstheme="minorHAnsi"/>
          <w:vertAlign w:val="superscript"/>
        </w:rPr>
        <w:footnoteReference w:id="19"/>
      </w:r>
    </w:p>
    <w:p w14:paraId="22737EC3" w14:textId="45436059" w:rsidR="00947E3E" w:rsidRDefault="00947E3E" w:rsidP="00947E3E">
      <w:pPr>
        <w:pStyle w:val="Bullet"/>
        <w:numPr>
          <w:ilvl w:val="0"/>
          <w:numId w:val="0"/>
        </w:numPr>
        <w:spacing w:line="240" w:lineRule="auto"/>
        <w:rPr>
          <w:rFonts w:asciiTheme="minorHAnsi" w:hAnsiTheme="minorHAnsi" w:cstheme="minorHAnsi"/>
        </w:rPr>
      </w:pPr>
      <w:r w:rsidRPr="006A3E85">
        <w:rPr>
          <w:rFonts w:asciiTheme="minorHAnsi" w:hAnsiTheme="minorHAnsi" w:cstheme="minorHAnsi"/>
        </w:rPr>
        <w:t xml:space="preserve">The current approach </w:t>
      </w:r>
      <w:r w:rsidR="007E5296">
        <w:rPr>
          <w:rFonts w:asciiTheme="minorHAnsi" w:hAnsiTheme="minorHAnsi" w:cstheme="minorHAnsi"/>
        </w:rPr>
        <w:t xml:space="preserve">relies on businesses voluntarily notifying </w:t>
      </w:r>
      <w:r w:rsidR="00B17579">
        <w:rPr>
          <w:rFonts w:asciiTheme="minorHAnsi" w:hAnsiTheme="minorHAnsi" w:cstheme="minorHAnsi"/>
        </w:rPr>
        <w:t xml:space="preserve">proposed </w:t>
      </w:r>
      <w:r w:rsidR="007E5296">
        <w:rPr>
          <w:rFonts w:asciiTheme="minorHAnsi" w:hAnsiTheme="minorHAnsi" w:cstheme="minorHAnsi"/>
        </w:rPr>
        <w:t xml:space="preserve">mergers to the ACCC. </w:t>
      </w:r>
      <w:r w:rsidR="004162EB">
        <w:rPr>
          <w:rFonts w:asciiTheme="minorHAnsi" w:hAnsiTheme="minorHAnsi" w:cstheme="minorHAnsi"/>
        </w:rPr>
        <w:t>Consequently</w:t>
      </w:r>
      <w:r w:rsidR="005A0539">
        <w:rPr>
          <w:rFonts w:asciiTheme="minorHAnsi" w:hAnsiTheme="minorHAnsi" w:cstheme="minorHAnsi"/>
        </w:rPr>
        <w:t>,</w:t>
      </w:r>
      <w:r w:rsidRPr="006A3E85">
        <w:rPr>
          <w:rFonts w:asciiTheme="minorHAnsi" w:hAnsiTheme="minorHAnsi" w:cstheme="minorHAnsi"/>
        </w:rPr>
        <w:t xml:space="preserve"> the </w:t>
      </w:r>
      <w:r>
        <w:rPr>
          <w:rFonts w:asciiTheme="minorHAnsi" w:hAnsiTheme="minorHAnsi" w:cstheme="minorHAnsi"/>
        </w:rPr>
        <w:t>mergers considered</w:t>
      </w:r>
      <w:r w:rsidRPr="006A3E85">
        <w:rPr>
          <w:rFonts w:asciiTheme="minorHAnsi" w:hAnsiTheme="minorHAnsi" w:cstheme="minorHAnsi"/>
        </w:rPr>
        <w:t xml:space="preserve"> by the ACCC </w:t>
      </w:r>
      <w:r>
        <w:rPr>
          <w:rFonts w:asciiTheme="minorHAnsi" w:hAnsiTheme="minorHAnsi" w:cstheme="minorHAnsi"/>
        </w:rPr>
        <w:t xml:space="preserve">are determined by the </w:t>
      </w:r>
      <w:r w:rsidRPr="006A3E85">
        <w:rPr>
          <w:rFonts w:asciiTheme="minorHAnsi" w:hAnsiTheme="minorHAnsi" w:cstheme="minorHAnsi"/>
        </w:rPr>
        <w:t xml:space="preserve">commercial risk appetite of merger parties, rather than a whole-of-economy risk-based approach to assess mergers posing the greatest competitive risks or harm to </w:t>
      </w:r>
      <w:r w:rsidR="00177505">
        <w:rPr>
          <w:rFonts w:asciiTheme="minorHAnsi" w:hAnsiTheme="minorHAnsi" w:cstheme="minorHAnsi"/>
        </w:rPr>
        <w:t xml:space="preserve">competition and </w:t>
      </w:r>
      <w:r w:rsidRPr="006A3E85">
        <w:rPr>
          <w:rFonts w:asciiTheme="minorHAnsi" w:hAnsiTheme="minorHAnsi" w:cstheme="minorHAnsi"/>
        </w:rPr>
        <w:t>the economy.</w:t>
      </w:r>
    </w:p>
    <w:p w14:paraId="43D2BC0E" w14:textId="05B22FC7" w:rsidR="00947E3E" w:rsidRPr="006A3E85" w:rsidRDefault="00947E3E" w:rsidP="00947E3E">
      <w:pPr>
        <w:pStyle w:val="Bullet"/>
        <w:numPr>
          <w:ilvl w:val="0"/>
          <w:numId w:val="0"/>
        </w:numPr>
        <w:spacing w:line="240" w:lineRule="auto"/>
        <w:rPr>
          <w:rFonts w:asciiTheme="minorHAnsi" w:hAnsiTheme="minorHAnsi" w:cstheme="minorHAnsi"/>
          <w:szCs w:val="16"/>
        </w:rPr>
      </w:pPr>
      <w:r>
        <w:rPr>
          <w:rFonts w:asciiTheme="minorHAnsi" w:hAnsiTheme="minorHAnsi" w:cstheme="minorHAnsi"/>
        </w:rPr>
        <w:t>The data available shows that t</w:t>
      </w:r>
      <w:r w:rsidRPr="00E752F3">
        <w:rPr>
          <w:rFonts w:asciiTheme="minorHAnsi" w:hAnsiTheme="minorHAnsi" w:cstheme="minorHAnsi"/>
        </w:rPr>
        <w:t>he ACCC has considered 330 mergers each year on average over the past 10 years.</w:t>
      </w:r>
      <w:r w:rsidRPr="00E752F3">
        <w:rPr>
          <w:rFonts w:asciiTheme="minorHAnsi" w:hAnsiTheme="minorHAnsi" w:cstheme="minorHAnsi"/>
          <w:vertAlign w:val="superscript"/>
        </w:rPr>
        <w:footnoteReference w:id="20"/>
      </w:r>
      <w:r w:rsidRPr="00E752F3">
        <w:rPr>
          <w:rFonts w:asciiTheme="minorHAnsi" w:hAnsiTheme="minorHAnsi" w:cstheme="minorHAnsi"/>
        </w:rPr>
        <w:t xml:space="preserve"> </w:t>
      </w:r>
      <w:r w:rsidRPr="002C12C1">
        <w:rPr>
          <w:rFonts w:asciiTheme="minorHAnsi" w:hAnsiTheme="minorHAnsi" w:cstheme="minorHAnsi"/>
          <w:szCs w:val="16"/>
        </w:rPr>
        <w:t xml:space="preserve">Data provided by the ACCC shows that for merger assessments commenced in </w:t>
      </w:r>
      <w:r w:rsidR="00E72A50">
        <w:rPr>
          <w:rFonts w:asciiTheme="minorHAnsi" w:hAnsiTheme="minorHAnsi" w:cstheme="minorHAnsi"/>
          <w:szCs w:val="16"/>
        </w:rPr>
        <w:t xml:space="preserve">the </w:t>
      </w:r>
      <w:r w:rsidRPr="002C12C1">
        <w:rPr>
          <w:rFonts w:asciiTheme="minorHAnsi" w:hAnsiTheme="minorHAnsi" w:cstheme="minorHAnsi"/>
          <w:szCs w:val="16"/>
        </w:rPr>
        <w:t>2022</w:t>
      </w:r>
      <w:r w:rsidR="00A64F2B">
        <w:rPr>
          <w:rFonts w:asciiTheme="minorHAnsi" w:hAnsiTheme="minorHAnsi" w:cstheme="minorHAnsi"/>
          <w:szCs w:val="16"/>
        </w:rPr>
        <w:t>–</w:t>
      </w:r>
      <w:r w:rsidRPr="002C12C1">
        <w:rPr>
          <w:rFonts w:asciiTheme="minorHAnsi" w:hAnsiTheme="minorHAnsi" w:cstheme="minorHAnsi"/>
          <w:szCs w:val="16"/>
        </w:rPr>
        <w:t>23</w:t>
      </w:r>
      <w:r w:rsidR="00E72A50">
        <w:rPr>
          <w:rFonts w:asciiTheme="minorHAnsi" w:hAnsiTheme="minorHAnsi" w:cstheme="minorHAnsi"/>
          <w:szCs w:val="16"/>
        </w:rPr>
        <w:t xml:space="preserve"> financial year</w:t>
      </w:r>
      <w:r w:rsidRPr="002C12C1">
        <w:rPr>
          <w:rFonts w:asciiTheme="minorHAnsi" w:hAnsiTheme="minorHAnsi" w:cstheme="minorHAnsi"/>
          <w:szCs w:val="16"/>
        </w:rPr>
        <w:t xml:space="preserve">, 233 of the 366 mergers considered by the ACCC were </w:t>
      </w:r>
      <w:r>
        <w:rPr>
          <w:rFonts w:asciiTheme="minorHAnsi" w:hAnsiTheme="minorHAnsi" w:cstheme="minorHAnsi"/>
          <w:szCs w:val="16"/>
        </w:rPr>
        <w:t xml:space="preserve">also </w:t>
      </w:r>
      <w:r w:rsidRPr="002C12C1">
        <w:rPr>
          <w:rFonts w:asciiTheme="minorHAnsi" w:hAnsiTheme="minorHAnsi" w:cstheme="minorHAnsi"/>
          <w:szCs w:val="16"/>
        </w:rPr>
        <w:t>subject to</w:t>
      </w:r>
      <w:r w:rsidR="008C3C6F">
        <w:rPr>
          <w:rFonts w:asciiTheme="minorHAnsi" w:hAnsiTheme="minorHAnsi" w:cstheme="minorHAnsi"/>
          <w:szCs w:val="16"/>
        </w:rPr>
        <w:t xml:space="preserve"> approval from the </w:t>
      </w:r>
      <w:r w:rsidR="009D3F66">
        <w:rPr>
          <w:rFonts w:asciiTheme="minorHAnsi" w:hAnsiTheme="minorHAnsi" w:cstheme="minorHAnsi"/>
          <w:szCs w:val="16"/>
        </w:rPr>
        <w:t xml:space="preserve">Foreign </w:t>
      </w:r>
      <w:r w:rsidR="008C3C6F">
        <w:rPr>
          <w:rFonts w:asciiTheme="minorHAnsi" w:hAnsiTheme="minorHAnsi" w:cstheme="minorHAnsi"/>
          <w:szCs w:val="16"/>
        </w:rPr>
        <w:t>Investment Review Board (</w:t>
      </w:r>
      <w:r w:rsidR="008C3C6F" w:rsidRPr="002C12C1">
        <w:rPr>
          <w:rFonts w:asciiTheme="minorHAnsi" w:hAnsiTheme="minorHAnsi" w:cstheme="minorHAnsi"/>
          <w:szCs w:val="16"/>
        </w:rPr>
        <w:t>FIRB</w:t>
      </w:r>
      <w:r w:rsidR="008C3C6F">
        <w:rPr>
          <w:rFonts w:asciiTheme="minorHAnsi" w:hAnsiTheme="minorHAnsi" w:cstheme="minorHAnsi"/>
          <w:szCs w:val="16"/>
        </w:rPr>
        <w:t>)</w:t>
      </w:r>
      <w:r w:rsidRPr="002C12C1">
        <w:rPr>
          <w:rFonts w:asciiTheme="minorHAnsi" w:hAnsiTheme="minorHAnsi" w:cstheme="minorHAnsi"/>
          <w:szCs w:val="16"/>
        </w:rPr>
        <w:t xml:space="preserve">. The ACCC became aware of 186 of these 233 </w:t>
      </w:r>
      <w:r w:rsidR="000C09AD">
        <w:rPr>
          <w:rFonts w:asciiTheme="minorHAnsi" w:hAnsiTheme="minorHAnsi" w:cstheme="minorHAnsi"/>
          <w:szCs w:val="16"/>
        </w:rPr>
        <w:t>mergers</w:t>
      </w:r>
      <w:r w:rsidR="000C09AD" w:rsidRPr="002C12C1">
        <w:rPr>
          <w:rFonts w:asciiTheme="minorHAnsi" w:hAnsiTheme="minorHAnsi" w:cstheme="minorHAnsi"/>
          <w:szCs w:val="16"/>
        </w:rPr>
        <w:t xml:space="preserve"> </w:t>
      </w:r>
      <w:r w:rsidRPr="002C12C1">
        <w:rPr>
          <w:rFonts w:asciiTheme="minorHAnsi" w:hAnsiTheme="minorHAnsi" w:cstheme="minorHAnsi"/>
          <w:szCs w:val="16"/>
        </w:rPr>
        <w:t>exclusively via FIRB referral</w:t>
      </w:r>
      <w:r>
        <w:rPr>
          <w:rFonts w:asciiTheme="minorHAnsi" w:hAnsiTheme="minorHAnsi" w:cstheme="minorHAnsi"/>
          <w:szCs w:val="16"/>
        </w:rPr>
        <w:t>.</w:t>
      </w:r>
      <w:r>
        <w:rPr>
          <w:rStyle w:val="FootnoteReference"/>
          <w:rFonts w:asciiTheme="minorHAnsi" w:hAnsiTheme="minorHAnsi" w:cstheme="minorHAnsi"/>
          <w:szCs w:val="16"/>
        </w:rPr>
        <w:footnoteReference w:id="21"/>
      </w:r>
      <w:r w:rsidRPr="006A3E85">
        <w:rPr>
          <w:rFonts w:asciiTheme="minorHAnsi" w:hAnsiTheme="minorHAnsi" w:cstheme="minorHAnsi"/>
          <w:szCs w:val="16"/>
        </w:rPr>
        <w:t xml:space="preserve"> </w:t>
      </w:r>
      <w:r w:rsidR="00AB6C9B">
        <w:rPr>
          <w:rFonts w:asciiTheme="minorHAnsi" w:hAnsiTheme="minorHAnsi" w:cstheme="minorHAnsi"/>
          <w:szCs w:val="16"/>
        </w:rPr>
        <w:t xml:space="preserve">Of those </w:t>
      </w:r>
      <w:r w:rsidR="00EA7AC3">
        <w:rPr>
          <w:rFonts w:asciiTheme="minorHAnsi" w:hAnsiTheme="minorHAnsi" w:cstheme="minorHAnsi"/>
          <w:szCs w:val="16"/>
        </w:rPr>
        <w:t>referred by FIRB</w:t>
      </w:r>
      <w:r w:rsidR="00AB6C9B">
        <w:rPr>
          <w:rFonts w:asciiTheme="minorHAnsi" w:hAnsiTheme="minorHAnsi" w:cstheme="minorHAnsi"/>
          <w:szCs w:val="16"/>
        </w:rPr>
        <w:t xml:space="preserve">, </w:t>
      </w:r>
      <w:r w:rsidR="00415E08">
        <w:rPr>
          <w:rFonts w:asciiTheme="minorHAnsi" w:hAnsiTheme="minorHAnsi" w:cstheme="minorHAnsi"/>
          <w:szCs w:val="16"/>
        </w:rPr>
        <w:t>6</w:t>
      </w:r>
      <w:r w:rsidR="00856333">
        <w:rPr>
          <w:rFonts w:asciiTheme="minorHAnsi" w:hAnsiTheme="minorHAnsi" w:cstheme="minorHAnsi"/>
          <w:szCs w:val="16"/>
        </w:rPr>
        <w:t xml:space="preserve"> </w:t>
      </w:r>
      <w:r w:rsidRPr="006A3E85">
        <w:rPr>
          <w:rFonts w:asciiTheme="minorHAnsi" w:hAnsiTheme="minorHAnsi" w:cstheme="minorHAnsi"/>
          <w:szCs w:val="16"/>
        </w:rPr>
        <w:t xml:space="preserve">per cent were returned to FIRB on the basis that the ACCC did not view </w:t>
      </w:r>
      <w:r w:rsidR="00595EBE">
        <w:rPr>
          <w:rFonts w:asciiTheme="minorHAnsi" w:hAnsiTheme="minorHAnsi" w:cstheme="minorHAnsi"/>
          <w:szCs w:val="16"/>
        </w:rPr>
        <w:t xml:space="preserve">the </w:t>
      </w:r>
      <w:r w:rsidRPr="006A3E85">
        <w:rPr>
          <w:rFonts w:asciiTheme="minorHAnsi" w:hAnsiTheme="minorHAnsi" w:cstheme="minorHAnsi"/>
          <w:szCs w:val="16"/>
        </w:rPr>
        <w:t xml:space="preserve">referral as necessary, only a very small proportion of </w:t>
      </w:r>
      <w:r w:rsidR="000C09AD">
        <w:rPr>
          <w:rFonts w:asciiTheme="minorHAnsi" w:hAnsiTheme="minorHAnsi" w:cstheme="minorHAnsi"/>
          <w:szCs w:val="16"/>
        </w:rPr>
        <w:t>mergers</w:t>
      </w:r>
      <w:r w:rsidR="000C09AD" w:rsidRPr="006A3E85">
        <w:rPr>
          <w:rFonts w:asciiTheme="minorHAnsi" w:hAnsiTheme="minorHAnsi" w:cstheme="minorHAnsi"/>
          <w:szCs w:val="16"/>
        </w:rPr>
        <w:t xml:space="preserve"> </w:t>
      </w:r>
      <w:r w:rsidRPr="006A3E85">
        <w:rPr>
          <w:rFonts w:asciiTheme="minorHAnsi" w:hAnsiTheme="minorHAnsi" w:cstheme="minorHAnsi"/>
          <w:szCs w:val="16"/>
        </w:rPr>
        <w:t>progressed to a public review</w:t>
      </w:r>
      <w:r w:rsidR="009C0DA7">
        <w:rPr>
          <w:rFonts w:asciiTheme="minorHAnsi" w:hAnsiTheme="minorHAnsi" w:cstheme="minorHAnsi"/>
          <w:szCs w:val="16"/>
        </w:rPr>
        <w:t>, and the remainder raised no competition issues</w:t>
      </w:r>
      <w:r w:rsidRPr="006A3E85">
        <w:rPr>
          <w:rFonts w:asciiTheme="minorHAnsi" w:hAnsiTheme="minorHAnsi" w:cstheme="minorHAnsi"/>
          <w:szCs w:val="16"/>
        </w:rPr>
        <w:t>.</w:t>
      </w:r>
      <w:r w:rsidRPr="006A3E85">
        <w:rPr>
          <w:rStyle w:val="FootnoteReference"/>
          <w:rFonts w:asciiTheme="minorHAnsi" w:hAnsiTheme="minorHAnsi" w:cstheme="minorHAnsi"/>
          <w:szCs w:val="16"/>
        </w:rPr>
        <w:footnoteReference w:id="22"/>
      </w:r>
      <w:r w:rsidRPr="006A3E85">
        <w:rPr>
          <w:rFonts w:asciiTheme="minorHAnsi" w:hAnsiTheme="minorHAnsi" w:cstheme="minorHAnsi"/>
          <w:szCs w:val="16"/>
        </w:rPr>
        <w:t xml:space="preserve"> This </w:t>
      </w:r>
      <w:r>
        <w:rPr>
          <w:rFonts w:asciiTheme="minorHAnsi" w:hAnsiTheme="minorHAnsi" w:cstheme="minorHAnsi"/>
          <w:szCs w:val="16"/>
        </w:rPr>
        <w:t>suggests</w:t>
      </w:r>
      <w:r w:rsidRPr="006A3E85">
        <w:rPr>
          <w:rFonts w:asciiTheme="minorHAnsi" w:hAnsiTheme="minorHAnsi" w:cstheme="minorHAnsi"/>
          <w:szCs w:val="16"/>
        </w:rPr>
        <w:t xml:space="preserve"> the ACCC is reviewing a significant number of low-risk mergers.</w:t>
      </w:r>
    </w:p>
    <w:p w14:paraId="06854E4A" w14:textId="18A7FF4D" w:rsidR="00947E3E" w:rsidRPr="006A3E85" w:rsidRDefault="00947E3E" w:rsidP="00947E3E">
      <w:pPr>
        <w:spacing w:line="240" w:lineRule="auto"/>
        <w:rPr>
          <w:rFonts w:cstheme="minorHAnsi"/>
        </w:rPr>
      </w:pPr>
      <w:r w:rsidRPr="006A3E85">
        <w:rPr>
          <w:rFonts w:cstheme="minorHAnsi"/>
        </w:rPr>
        <w:t>The ACCC’s ability to effectively and efficiently assess mergers relies on the willing compliance of the merger parties and their advisors, which the ACCC submitted has diminished significantly in recent years</w:t>
      </w:r>
      <w:r w:rsidR="00754004">
        <w:rPr>
          <w:rFonts w:cstheme="minorHAnsi"/>
        </w:rPr>
        <w:t>.</w:t>
      </w:r>
      <w:r w:rsidR="003778A9">
        <w:rPr>
          <w:rStyle w:val="FootnoteReference"/>
          <w:rFonts w:cstheme="minorHAnsi"/>
        </w:rPr>
        <w:footnoteReference w:id="23"/>
      </w:r>
    </w:p>
    <w:p w14:paraId="43192142" w14:textId="4B0B817A" w:rsidR="00947E3E" w:rsidRPr="006A3E85" w:rsidRDefault="00920EC9" w:rsidP="00947E3E">
      <w:pPr>
        <w:spacing w:line="240" w:lineRule="auto"/>
        <w:rPr>
          <w:rFonts w:cstheme="minorHAnsi"/>
        </w:rPr>
      </w:pPr>
      <w:r>
        <w:rPr>
          <w:rFonts w:cstheme="minorHAnsi"/>
        </w:rPr>
        <w:t>T</w:t>
      </w:r>
      <w:r w:rsidR="00947E3E" w:rsidRPr="006A3E85">
        <w:rPr>
          <w:rFonts w:cstheme="minorHAnsi"/>
        </w:rPr>
        <w:t xml:space="preserve">here </w:t>
      </w:r>
      <w:r w:rsidR="0058535F">
        <w:rPr>
          <w:rFonts w:cstheme="minorHAnsi"/>
        </w:rPr>
        <w:t xml:space="preserve">is no legislative basis for the ACCC to </w:t>
      </w:r>
      <w:r w:rsidR="007F25AD">
        <w:rPr>
          <w:rFonts w:cstheme="minorHAnsi"/>
        </w:rPr>
        <w:t xml:space="preserve">prescribe information requirements for </w:t>
      </w:r>
      <w:r w:rsidR="00947E3E" w:rsidRPr="006A3E85">
        <w:rPr>
          <w:rFonts w:cstheme="minorHAnsi"/>
        </w:rPr>
        <w:t>merger parties seeking informal merger review</w:t>
      </w:r>
      <w:r w:rsidR="00D17E0A">
        <w:rPr>
          <w:rFonts w:cstheme="minorHAnsi"/>
        </w:rPr>
        <w:t xml:space="preserve">. </w:t>
      </w:r>
      <w:r w:rsidR="007F25AD">
        <w:rPr>
          <w:rFonts w:cstheme="minorHAnsi"/>
        </w:rPr>
        <w:t>M</w:t>
      </w:r>
      <w:r w:rsidR="00947E3E" w:rsidRPr="006A3E85">
        <w:rPr>
          <w:rFonts w:cstheme="minorHAnsi"/>
        </w:rPr>
        <w:t>erger parties</w:t>
      </w:r>
      <w:r w:rsidR="007F25AD">
        <w:rPr>
          <w:rFonts w:cstheme="minorHAnsi"/>
        </w:rPr>
        <w:t xml:space="preserve"> may therefore</w:t>
      </w:r>
      <w:r w:rsidR="00947E3E" w:rsidRPr="006A3E85">
        <w:rPr>
          <w:rFonts w:cstheme="minorHAnsi"/>
        </w:rPr>
        <w:t xml:space="preserve"> be selective about what and how much information they provide to the ACCC. The ACCC submitted this creates information gaps</w:t>
      </w:r>
      <w:r w:rsidR="00C36FBC">
        <w:rPr>
          <w:rFonts w:cstheme="minorHAnsi"/>
        </w:rPr>
        <w:t>,</w:t>
      </w:r>
      <w:r w:rsidR="00947E3E" w:rsidRPr="006A3E85">
        <w:rPr>
          <w:rFonts w:cstheme="minorHAnsi"/>
        </w:rPr>
        <w:t xml:space="preserve"> which impact</w:t>
      </w:r>
      <w:r w:rsidR="000C1A90">
        <w:rPr>
          <w:rFonts w:cstheme="minorHAnsi"/>
        </w:rPr>
        <w:t>s</w:t>
      </w:r>
      <w:r w:rsidR="00947E3E" w:rsidRPr="006A3E85">
        <w:rPr>
          <w:rFonts w:cstheme="minorHAnsi"/>
        </w:rPr>
        <w:t xml:space="preserve"> its ability to </w:t>
      </w:r>
      <w:r>
        <w:rPr>
          <w:rFonts w:cstheme="minorHAnsi"/>
        </w:rPr>
        <w:t xml:space="preserve">accurately and efficiently </w:t>
      </w:r>
      <w:r w:rsidR="00947E3E" w:rsidRPr="006A3E85">
        <w:rPr>
          <w:rFonts w:cstheme="minorHAnsi"/>
        </w:rPr>
        <w:t xml:space="preserve">form a view on whether or not to </w:t>
      </w:r>
      <w:r w:rsidR="00AF49F2">
        <w:rPr>
          <w:rFonts w:cstheme="minorHAnsi"/>
        </w:rPr>
        <w:t>approve</w:t>
      </w:r>
      <w:r w:rsidR="00947E3E" w:rsidRPr="006A3E85">
        <w:rPr>
          <w:rFonts w:cstheme="minorHAnsi"/>
        </w:rPr>
        <w:t xml:space="preserve"> a proposed merger</w:t>
      </w:r>
      <w:r w:rsidR="00754004">
        <w:rPr>
          <w:rFonts w:cstheme="minorHAnsi"/>
        </w:rPr>
        <w:t>.</w:t>
      </w:r>
      <w:r w:rsidR="00827321">
        <w:rPr>
          <w:rStyle w:val="FootnoteReference"/>
          <w:rFonts w:cstheme="minorHAnsi"/>
        </w:rPr>
        <w:footnoteReference w:id="24"/>
      </w:r>
      <w:r w:rsidR="00947E3E" w:rsidRPr="006A3E85">
        <w:rPr>
          <w:rFonts w:cstheme="minorHAnsi"/>
        </w:rPr>
        <w:t xml:space="preserve"> </w:t>
      </w:r>
      <w:r w:rsidR="007F25AD">
        <w:rPr>
          <w:rFonts w:cstheme="minorHAnsi"/>
        </w:rPr>
        <w:t>T</w:t>
      </w:r>
      <w:r w:rsidR="00947E3E" w:rsidRPr="006A3E85">
        <w:rPr>
          <w:rFonts w:cstheme="minorHAnsi"/>
        </w:rPr>
        <w:t xml:space="preserve">here is </w:t>
      </w:r>
      <w:r w:rsidR="007F25AD">
        <w:rPr>
          <w:rFonts w:cstheme="minorHAnsi"/>
        </w:rPr>
        <w:t xml:space="preserve">also </w:t>
      </w:r>
      <w:r w:rsidR="00947E3E" w:rsidRPr="006A3E85">
        <w:rPr>
          <w:rFonts w:cstheme="minorHAnsi"/>
        </w:rPr>
        <w:t xml:space="preserve">no restriction on merger parties introducing new information or evidence later in the ACCC’s review or if the matter proceeds to court. </w:t>
      </w:r>
      <w:r w:rsidR="007F25AD">
        <w:rPr>
          <w:rFonts w:cstheme="minorHAnsi"/>
        </w:rPr>
        <w:t>Consequently</w:t>
      </w:r>
      <w:r w:rsidR="00DE254E">
        <w:rPr>
          <w:rFonts w:cstheme="minorHAnsi"/>
        </w:rPr>
        <w:t>,</w:t>
      </w:r>
      <w:r w:rsidR="007F25AD">
        <w:rPr>
          <w:rFonts w:cstheme="minorHAnsi"/>
        </w:rPr>
        <w:t xml:space="preserve"> </w:t>
      </w:r>
      <w:r w:rsidR="00947E3E" w:rsidRPr="006A3E85">
        <w:rPr>
          <w:rFonts w:cstheme="minorHAnsi"/>
        </w:rPr>
        <w:t xml:space="preserve">merger parties </w:t>
      </w:r>
      <w:r w:rsidR="007F25AD">
        <w:rPr>
          <w:rFonts w:cstheme="minorHAnsi"/>
        </w:rPr>
        <w:t xml:space="preserve">may </w:t>
      </w:r>
      <w:r w:rsidR="00947E3E" w:rsidRPr="006A3E85">
        <w:rPr>
          <w:rFonts w:cstheme="minorHAnsi"/>
        </w:rPr>
        <w:t xml:space="preserve">only provide </w:t>
      </w:r>
      <w:r w:rsidR="0038601D">
        <w:rPr>
          <w:rFonts w:cstheme="minorHAnsi"/>
        </w:rPr>
        <w:t xml:space="preserve">limited </w:t>
      </w:r>
      <w:r w:rsidR="00947E3E" w:rsidRPr="006A3E85">
        <w:rPr>
          <w:rFonts w:cstheme="minorHAnsi"/>
        </w:rPr>
        <w:t xml:space="preserve">information </w:t>
      </w:r>
      <w:r w:rsidR="0038601D">
        <w:rPr>
          <w:rFonts w:cstheme="minorHAnsi"/>
        </w:rPr>
        <w:t xml:space="preserve">upfront that suggests </w:t>
      </w:r>
      <w:r w:rsidR="00947E3E" w:rsidRPr="006A3E85">
        <w:rPr>
          <w:rFonts w:cstheme="minorHAnsi"/>
        </w:rPr>
        <w:t>there are no, or limited, competition issues</w:t>
      </w:r>
      <w:r w:rsidR="005C66E1">
        <w:rPr>
          <w:rFonts w:cstheme="minorHAnsi"/>
        </w:rPr>
        <w:t xml:space="preserve"> and only </w:t>
      </w:r>
      <w:r w:rsidR="00B66EE6">
        <w:rPr>
          <w:rFonts w:cstheme="minorHAnsi"/>
        </w:rPr>
        <w:t>provide further information once requested to do so</w:t>
      </w:r>
      <w:r w:rsidR="00947E3E" w:rsidRPr="006A3E85">
        <w:rPr>
          <w:rFonts w:cstheme="minorHAnsi"/>
        </w:rPr>
        <w:t>.</w:t>
      </w:r>
    </w:p>
    <w:p w14:paraId="2F519464" w14:textId="0AE89D25" w:rsidR="007F25AD" w:rsidRDefault="007F25AD" w:rsidP="00947E3E">
      <w:pPr>
        <w:spacing w:line="240" w:lineRule="auto"/>
        <w:rPr>
          <w:rFonts w:cstheme="minorHAnsi"/>
        </w:rPr>
      </w:pPr>
      <w:r w:rsidRPr="006A3E85">
        <w:rPr>
          <w:rFonts w:cstheme="minorHAnsi"/>
        </w:rPr>
        <w:t xml:space="preserve">The </w:t>
      </w:r>
      <w:r w:rsidR="00A354EC">
        <w:rPr>
          <w:rFonts w:cstheme="minorHAnsi"/>
        </w:rPr>
        <w:t>voluntary</w:t>
      </w:r>
      <w:r w:rsidRPr="006A3E85">
        <w:rPr>
          <w:rFonts w:cstheme="minorHAnsi"/>
        </w:rPr>
        <w:t xml:space="preserve"> nature means that merger parties can proceed to complete, or threaten to complete, the </w:t>
      </w:r>
      <w:r w:rsidR="00321E13">
        <w:rPr>
          <w:rFonts w:cstheme="minorHAnsi"/>
        </w:rPr>
        <w:t>merger</w:t>
      </w:r>
      <w:r w:rsidRPr="006A3E85">
        <w:rPr>
          <w:rFonts w:cstheme="minorHAnsi"/>
        </w:rPr>
        <w:t xml:space="preserve"> before the ACCC has finalised its review. The ACCC cited three instances where this has occurred in recent years – Virtus’ proposed acquisition of Adora (2021); Qube’s acquisition of Newcastle Agri Terminal (2021)</w:t>
      </w:r>
      <w:r w:rsidR="00B34999">
        <w:rPr>
          <w:rFonts w:cstheme="minorHAnsi"/>
        </w:rPr>
        <w:t>,</w:t>
      </w:r>
      <w:r w:rsidRPr="006A3E85">
        <w:rPr>
          <w:rFonts w:cstheme="minorHAnsi"/>
        </w:rPr>
        <w:t xml:space="preserve"> and an example of a</w:t>
      </w:r>
      <w:r w:rsidR="00D803B2">
        <w:rPr>
          <w:rFonts w:cstheme="minorHAnsi"/>
        </w:rPr>
        <w:t>n unnamed</w:t>
      </w:r>
      <w:r w:rsidRPr="006A3E85">
        <w:rPr>
          <w:rFonts w:cstheme="minorHAnsi"/>
        </w:rPr>
        <w:t xml:space="preserve"> large retailer (year not specified).</w:t>
      </w:r>
      <w:r w:rsidRPr="006A3E85">
        <w:rPr>
          <w:rStyle w:val="FootnoteReference"/>
          <w:rFonts w:cstheme="minorHAnsi"/>
        </w:rPr>
        <w:footnoteReference w:id="25"/>
      </w:r>
    </w:p>
    <w:p w14:paraId="361DB98B" w14:textId="31901F61" w:rsidR="00947E3E" w:rsidRPr="006A3E85" w:rsidRDefault="007F25AD" w:rsidP="007E78BA">
      <w:pPr>
        <w:spacing w:line="240" w:lineRule="auto"/>
        <w:rPr>
          <w:rFonts w:cstheme="minorHAnsi"/>
        </w:rPr>
      </w:pPr>
      <w:r>
        <w:rPr>
          <w:rFonts w:cstheme="minorHAnsi"/>
        </w:rPr>
        <w:t>T</w:t>
      </w:r>
      <w:r w:rsidR="00947E3E" w:rsidRPr="006A3E85">
        <w:rPr>
          <w:rFonts w:cstheme="minorHAnsi"/>
        </w:rPr>
        <w:t xml:space="preserve">here is also limited capacity to use and present economic evidence in court. For example, Dr Rhonda Smith and Professor Deborah Healey </w:t>
      </w:r>
      <w:r w:rsidR="00947E3E">
        <w:rPr>
          <w:rFonts w:cstheme="minorHAnsi"/>
        </w:rPr>
        <w:t xml:space="preserve">submitted </w:t>
      </w:r>
      <w:r w:rsidR="00BA2046">
        <w:rPr>
          <w:rFonts w:cstheme="minorHAnsi"/>
        </w:rPr>
        <w:t xml:space="preserve">in relation to the cause of the problem with the current approach </w:t>
      </w:r>
      <w:r w:rsidR="00947E3E" w:rsidRPr="006A3E85">
        <w:rPr>
          <w:rFonts w:cstheme="minorHAnsi"/>
        </w:rPr>
        <w:t>that</w:t>
      </w:r>
      <w:r w:rsidR="00B232A2">
        <w:rPr>
          <w:rFonts w:cstheme="minorHAnsi"/>
        </w:rPr>
        <w:t xml:space="preserve"> the primary issues are</w:t>
      </w:r>
      <w:r w:rsidR="00947E3E" w:rsidRPr="006A3E85">
        <w:rPr>
          <w:rFonts w:cstheme="minorHAnsi"/>
        </w:rPr>
        <w:t xml:space="preserve"> </w:t>
      </w:r>
      <w:r w:rsidR="007E78BA">
        <w:rPr>
          <w:rFonts w:cstheme="minorHAnsi"/>
        </w:rPr>
        <w:t>‘</w:t>
      </w:r>
      <w:r w:rsidR="007E78BA">
        <w:rPr>
          <w:rFonts w:cstheme="minorHAnsi"/>
          <w:i/>
        </w:rPr>
        <w:t>t</w:t>
      </w:r>
      <w:r w:rsidR="00947E3E" w:rsidRPr="006A3E85">
        <w:rPr>
          <w:rFonts w:cstheme="minorHAnsi"/>
          <w:i/>
        </w:rPr>
        <w:t>he requirement for evidence to conform with the Evidence Act 1995 when it is alleged that a merger will substantially lessen competition, and the approach of courts to the reception of economic evidence in merger cases. Providing evidence of the alleged substantial lessening of competition resulting from a merger, and particularly a digital merger, to a standard that s</w:t>
      </w:r>
      <w:r w:rsidR="00947E3E" w:rsidRPr="006A3E85">
        <w:rPr>
          <w:rFonts w:cstheme="minorHAnsi"/>
          <w:i/>
          <w:iCs/>
        </w:rPr>
        <w:t>ati</w:t>
      </w:r>
      <w:r w:rsidR="00947E3E" w:rsidRPr="006A3E85">
        <w:rPr>
          <w:rFonts w:cstheme="minorHAnsi"/>
          <w:i/>
        </w:rPr>
        <w:t>sfies the Evidence Act is extremely difficult, if not impossible. The merger is yet to occur so there is no direct factual evidence concerning the effect of the merger.</w:t>
      </w:r>
      <w:r w:rsidR="00947E3E" w:rsidRPr="006A3E85">
        <w:rPr>
          <w:rFonts w:cstheme="minorHAnsi"/>
        </w:rPr>
        <w:t>’</w:t>
      </w:r>
      <w:r w:rsidR="00947E3E" w:rsidRPr="006A3E85">
        <w:rPr>
          <w:rStyle w:val="FootnoteReference"/>
          <w:rFonts w:cstheme="minorHAnsi"/>
        </w:rPr>
        <w:footnoteReference w:id="26"/>
      </w:r>
    </w:p>
    <w:p w14:paraId="2D63D7CC" w14:textId="39F4C005" w:rsidR="00947E3E" w:rsidRDefault="00947E3E" w:rsidP="00947E3E">
      <w:pPr>
        <w:pStyle w:val="Bullet"/>
        <w:numPr>
          <w:ilvl w:val="0"/>
          <w:numId w:val="0"/>
        </w:numPr>
        <w:spacing w:line="240" w:lineRule="auto"/>
        <w:rPr>
          <w:rFonts w:asciiTheme="minorHAnsi" w:hAnsiTheme="minorHAnsi" w:cstheme="minorHAnsi"/>
        </w:rPr>
      </w:pPr>
      <w:r w:rsidRPr="003C1D4F">
        <w:rPr>
          <w:rFonts w:asciiTheme="minorHAnsi" w:hAnsiTheme="minorHAnsi" w:cstheme="minorHAnsi"/>
        </w:rPr>
        <w:t xml:space="preserve">The </w:t>
      </w:r>
      <w:r w:rsidR="0044128A">
        <w:rPr>
          <w:rFonts w:asciiTheme="minorHAnsi" w:hAnsiTheme="minorHAnsi" w:cstheme="minorHAnsi"/>
        </w:rPr>
        <w:t>challenge</w:t>
      </w:r>
      <w:r w:rsidR="008058EB">
        <w:rPr>
          <w:rFonts w:asciiTheme="minorHAnsi" w:hAnsiTheme="minorHAnsi" w:cstheme="minorHAnsi"/>
        </w:rPr>
        <w:t>s</w:t>
      </w:r>
      <w:r w:rsidR="0044128A">
        <w:rPr>
          <w:rFonts w:asciiTheme="minorHAnsi" w:hAnsiTheme="minorHAnsi" w:cstheme="minorHAnsi"/>
        </w:rPr>
        <w:t xml:space="preserve"> faced by </w:t>
      </w:r>
      <w:r w:rsidRPr="003C1D4F">
        <w:rPr>
          <w:rFonts w:asciiTheme="minorHAnsi" w:hAnsiTheme="minorHAnsi" w:cstheme="minorHAnsi"/>
        </w:rPr>
        <w:t xml:space="preserve">the ACCC </w:t>
      </w:r>
      <w:r w:rsidR="0044128A">
        <w:rPr>
          <w:rFonts w:asciiTheme="minorHAnsi" w:hAnsiTheme="minorHAnsi" w:cstheme="minorHAnsi"/>
        </w:rPr>
        <w:t xml:space="preserve">to </w:t>
      </w:r>
      <w:r w:rsidRPr="003C1D4F">
        <w:rPr>
          <w:rFonts w:asciiTheme="minorHAnsi" w:hAnsiTheme="minorHAnsi" w:cstheme="minorHAnsi"/>
        </w:rPr>
        <w:t>effectively and efficiently detect and prevent anti-competitive mergers</w:t>
      </w:r>
      <w:r w:rsidR="00A217F2">
        <w:rPr>
          <w:rFonts w:asciiTheme="minorHAnsi" w:hAnsiTheme="minorHAnsi" w:cstheme="minorHAnsi"/>
        </w:rPr>
        <w:t xml:space="preserve"> and acquisitions</w:t>
      </w:r>
      <w:r w:rsidRPr="003C1D4F">
        <w:rPr>
          <w:rFonts w:asciiTheme="minorHAnsi" w:hAnsiTheme="minorHAnsi" w:cstheme="minorHAnsi"/>
        </w:rPr>
        <w:t xml:space="preserve"> have significant consequences</w:t>
      </w:r>
      <w:r w:rsidR="00545DC9">
        <w:rPr>
          <w:rFonts w:asciiTheme="minorHAnsi" w:hAnsiTheme="minorHAnsi" w:cstheme="minorHAnsi"/>
        </w:rPr>
        <w:t>,</w:t>
      </w:r>
      <w:r w:rsidRPr="003C1D4F">
        <w:rPr>
          <w:rFonts w:asciiTheme="minorHAnsi" w:hAnsiTheme="minorHAnsi" w:cstheme="minorHAnsi"/>
        </w:rPr>
        <w:t xml:space="preserve"> including flow on costs for consumers (which can include </w:t>
      </w:r>
      <w:r w:rsidR="0044128A">
        <w:rPr>
          <w:rFonts w:asciiTheme="minorHAnsi" w:hAnsiTheme="minorHAnsi" w:cstheme="minorHAnsi"/>
        </w:rPr>
        <w:t>end-</w:t>
      </w:r>
      <w:r w:rsidRPr="003C1D4F">
        <w:rPr>
          <w:rFonts w:asciiTheme="minorHAnsi" w:hAnsiTheme="minorHAnsi" w:cstheme="minorHAnsi"/>
        </w:rPr>
        <w:t>consumers as well as other businesses) from higher prices, reduced quality or service</w:t>
      </w:r>
      <w:r w:rsidR="00DB3531">
        <w:rPr>
          <w:rFonts w:asciiTheme="minorHAnsi" w:hAnsiTheme="minorHAnsi" w:cstheme="minorHAnsi"/>
        </w:rPr>
        <w:t>,</w:t>
      </w:r>
      <w:r w:rsidRPr="003C1D4F">
        <w:rPr>
          <w:rFonts w:asciiTheme="minorHAnsi" w:hAnsiTheme="minorHAnsi" w:cstheme="minorHAnsi"/>
        </w:rPr>
        <w:t xml:space="preserve"> and decreased levels of innovation. Even small increases in prices resulting from anti-competitive mergers can be harmful for consumers. For example, the ACCC’s ex-post review of Caltex’s acquisition of Milemaker found that petrol prices in local areas near the Milemaker sites had increased by around 0.8 cents per litre (or around 0.5</w:t>
      </w:r>
      <w:r w:rsidR="00936F0B">
        <w:rPr>
          <w:rFonts w:asciiTheme="minorHAnsi" w:hAnsiTheme="minorHAnsi" w:cstheme="minorHAnsi"/>
        </w:rPr>
        <w:t>%</w:t>
      </w:r>
      <w:r w:rsidRPr="003C1D4F">
        <w:rPr>
          <w:rFonts w:asciiTheme="minorHAnsi" w:hAnsiTheme="minorHAnsi" w:cstheme="minorHAnsi"/>
        </w:rPr>
        <w:t xml:space="preserve">) costing motorists around $6 million per </w:t>
      </w:r>
      <w:r w:rsidR="00B85903">
        <w:rPr>
          <w:rFonts w:cstheme="minorHAnsi"/>
          <w:noProof/>
        </w:rPr>
        <mc:AlternateContent>
          <mc:Choice Requires="wps">
            <w:drawing>
              <wp:anchor distT="0" distB="0" distL="114300" distR="114300" simplePos="0" relativeHeight="251658243" behindDoc="0" locked="0" layoutInCell="1" allowOverlap="1" wp14:anchorId="4956CDC6" wp14:editId="0DA74F66">
                <wp:simplePos x="0" y="0"/>
                <wp:positionH relativeFrom="margin">
                  <wp:posOffset>-11430</wp:posOffset>
                </wp:positionH>
                <wp:positionV relativeFrom="paragraph">
                  <wp:posOffset>383540</wp:posOffset>
                </wp:positionV>
                <wp:extent cx="5727700" cy="3448050"/>
                <wp:effectExtent l="0" t="0" r="25400" b="19050"/>
                <wp:wrapNone/>
                <wp:docPr id="36665205" name="Text Box 36665205"/>
                <wp:cNvGraphicFramePr/>
                <a:graphic xmlns:a="http://schemas.openxmlformats.org/drawingml/2006/main">
                  <a:graphicData uri="http://schemas.microsoft.com/office/word/2010/wordprocessingShape">
                    <wps:wsp>
                      <wps:cNvSpPr txBox="1"/>
                      <wps:spPr>
                        <a:xfrm>
                          <a:off x="0" y="0"/>
                          <a:ext cx="5727700" cy="3448050"/>
                        </a:xfrm>
                        <a:prstGeom prst="rect">
                          <a:avLst/>
                        </a:prstGeom>
                        <a:solidFill>
                          <a:schemeClr val="lt1"/>
                        </a:solidFill>
                        <a:ln w="6350">
                          <a:solidFill>
                            <a:prstClr val="black"/>
                          </a:solidFill>
                        </a:ln>
                      </wps:spPr>
                      <wps:txbx>
                        <w:txbxContent>
                          <w:p w14:paraId="42A8CBE5" w14:textId="4B4D4036" w:rsidR="00D81B4A" w:rsidRPr="00C939EA" w:rsidRDefault="00F362EE" w:rsidP="00D81B4A">
                            <w:pPr>
                              <w:rPr>
                                <w:b/>
                                <w:bCs/>
                              </w:rPr>
                            </w:pPr>
                            <w:r>
                              <w:rPr>
                                <w:b/>
                                <w:bCs/>
                              </w:rPr>
                              <w:t>Ex-post review of Caltex’s acquisition of Milemaker</w:t>
                            </w:r>
                          </w:p>
                          <w:p w14:paraId="60A2EFF3" w14:textId="566ABC49" w:rsidR="00D81B4A" w:rsidRDefault="0028556A" w:rsidP="00D81B4A">
                            <w:r>
                              <w:t xml:space="preserve">Caltex acquired the Milemaker retail petrol business in 2017. This involved Caltex taking over </w:t>
                            </w:r>
                            <w:r w:rsidR="006001DF">
                              <w:t xml:space="preserve">the operation of 46 retail petrol sites, 33 of which were in Melbourne. </w:t>
                            </w:r>
                            <w:r w:rsidR="0038701E">
                              <w:t xml:space="preserve">Prior to the acquisition, Caltex </w:t>
                            </w:r>
                            <w:r w:rsidR="00246993">
                              <w:t>operated</w:t>
                            </w:r>
                            <w:r w:rsidR="0038701E">
                              <w:t xml:space="preserve"> around 7 per cent of the sites in Melbourne and Milemaker </w:t>
                            </w:r>
                            <w:r w:rsidR="00246993">
                              <w:t>operated</w:t>
                            </w:r>
                            <w:r w:rsidR="0038701E">
                              <w:t xml:space="preserve"> around 4</w:t>
                            </w:r>
                            <w:r w:rsidR="00E7315C">
                              <w:t xml:space="preserve"> per cent</w:t>
                            </w:r>
                            <w:r w:rsidR="0038701E">
                              <w:t>.</w:t>
                            </w:r>
                          </w:p>
                          <w:p w14:paraId="7A0A778F" w14:textId="40327884" w:rsidR="00D5455A" w:rsidRDefault="008133E0" w:rsidP="00D81B4A">
                            <w:r>
                              <w:t xml:space="preserve">The ACCC did not oppose the acquisition, concluding “… that there are a </w:t>
                            </w:r>
                            <w:r w:rsidR="00DF6E5F">
                              <w:t>number of other vigorous and effective price competitors in fuel retailing in Melbourne who are larger than Milemaker and who compete more directly with Caltex on a local site basis</w:t>
                            </w:r>
                            <w:r w:rsidR="005113AD">
                              <w:t>”.</w:t>
                            </w:r>
                          </w:p>
                          <w:p w14:paraId="157BBDA1" w14:textId="1D7275C9" w:rsidR="005113AD" w:rsidRDefault="00DD09C3" w:rsidP="00D81B4A">
                            <w:r>
                              <w:t>In 2021, the ACCC undertook an ex-post review of the acquisition focusing on the effect on retail petrol prices. This involved comparing retail petrol prices observed prior to the acquisition with petrol prices observed after the acquisition.</w:t>
                            </w:r>
                          </w:p>
                          <w:p w14:paraId="28387EB1" w14:textId="06EE2A23" w:rsidR="002F4B6B" w:rsidRDefault="002F4B6B" w:rsidP="00D81B4A">
                            <w:r>
                              <w:t>The ACCC‘s analysis indicated that Caltex changed the pricing approach at the Milemaker sites from aggressive price discounting to a less aggressive and more accommodating strategy. This reduced the competitive influence that the Milemaker sites had on other retail petrol sites in the vicinity</w:t>
                            </w:r>
                            <w:r w:rsidR="00C538D5">
                              <w:t xml:space="preserve">. The ACCC estimated that the </w:t>
                            </w:r>
                            <w:r w:rsidR="005F594B">
                              <w:t>acquisition had the effect of increasing petrol prices in local areas near the Milemaker sites</w:t>
                            </w:r>
                            <w:r w:rsidR="009B4269">
                              <w:t xml:space="preserve"> by around 0.8 cents per litre, costing motorists around $6 million per annum</w:t>
                            </w:r>
                            <w:r>
                              <w:t>.</w:t>
                            </w:r>
                            <w:r w:rsidR="00110B7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56CDC6" id="Text Box 36665205" o:spid="_x0000_s1028" type="#_x0000_t202" style="position:absolute;margin-left:-.9pt;margin-top:30.2pt;width:451pt;height:271.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" fillcolor="white [3201]" strokeweight=".5pt">
                <v:textbox>
                  <w:txbxContent>
                    <w:p w14:paraId="42A8CBE5" w14:textId="4B4D4036" w:rsidR="00D81B4A" w:rsidRPr="00C939EA" w:rsidRDefault="00F362EE" w:rsidP="00D81B4A">
                      <w:pPr>
                        <w:rPr>
                          <w:b/>
                          <w:bCs/>
                        </w:rPr>
                      </w:pPr>
                      <w:r>
                        <w:rPr>
                          <w:b/>
                          <w:bCs/>
                        </w:rPr>
                        <w:t>Ex-post review of Caltex’s acquisition of Milemaker</w:t>
                      </w:r>
                    </w:p>
                    <w:p w14:paraId="60A2EFF3" w14:textId="566ABC49" w:rsidR="00D81B4A" w:rsidRDefault="0028556A" w:rsidP="00D81B4A">
                      <w:r>
                        <w:t xml:space="preserve">Caltex acquired the Milemaker retail petrol business in 2017. This involved Caltex taking over </w:t>
                      </w:r>
                      <w:r w:rsidR="006001DF">
                        <w:t xml:space="preserve">the operation of 46 retail petrol sites, 33 of which were in Melbourne. </w:t>
                      </w:r>
                      <w:r w:rsidR="0038701E">
                        <w:t xml:space="preserve">Prior to the acquisition, Caltex </w:t>
                      </w:r>
                      <w:r w:rsidR="00246993">
                        <w:t>operated</w:t>
                      </w:r>
                      <w:r w:rsidR="0038701E">
                        <w:t xml:space="preserve"> around 7 per cent of the sites in Melbourne and Milemaker </w:t>
                      </w:r>
                      <w:r w:rsidR="00246993">
                        <w:t>operated</w:t>
                      </w:r>
                      <w:r w:rsidR="0038701E">
                        <w:t xml:space="preserve"> around 4</w:t>
                      </w:r>
                      <w:r w:rsidR="00E7315C">
                        <w:t xml:space="preserve"> per cent</w:t>
                      </w:r>
                      <w:r w:rsidR="0038701E">
                        <w:t>.</w:t>
                      </w:r>
                    </w:p>
                    <w:p w14:paraId="7A0A778F" w14:textId="40327884" w:rsidR="00D5455A" w:rsidRDefault="008133E0" w:rsidP="00D81B4A">
                      <w:r>
                        <w:t xml:space="preserve">The ACCC did not oppose the acquisition, concluding “… that there are a </w:t>
                      </w:r>
                      <w:r w:rsidR="00DF6E5F">
                        <w:t>number of other vigorous and effective price competitors in fuel retailing in Melbourne who are larger than Milemaker and who compete more directly with Caltex on a local site basis</w:t>
                      </w:r>
                      <w:r w:rsidR="005113AD">
                        <w:t>”.</w:t>
                      </w:r>
                    </w:p>
                    <w:p w14:paraId="157BBDA1" w14:textId="1D7275C9" w:rsidR="005113AD" w:rsidRDefault="00DD09C3" w:rsidP="00D81B4A">
                      <w:r>
                        <w:t>In 2021, the ACCC undertook an ex-post review of the acquisition focusing on the effect on retail petrol prices. This involved comparing retail petrol prices observed prior to the acquisition with petrol prices observed after the acquisition.</w:t>
                      </w:r>
                    </w:p>
                    <w:p w14:paraId="28387EB1" w14:textId="06EE2A23" w:rsidR="002F4B6B" w:rsidRDefault="002F4B6B" w:rsidP="00D81B4A">
                      <w:r>
                        <w:t>The ACCC‘s analysis indicated that Caltex changed the pricing approach at the Milemaker sites from aggressive price discounting to a less aggressive and more accommodating strategy. This reduced the competitive influence that the Milemaker sites had on other retail petrol sites in the vicinity</w:t>
                      </w:r>
                      <w:r w:rsidR="00C538D5">
                        <w:t xml:space="preserve">. The ACCC estimated that the </w:t>
                      </w:r>
                      <w:r w:rsidR="005F594B">
                        <w:t>acquisition had the effect of increasing petrol prices in local areas near the Milemaker sites</w:t>
                      </w:r>
                      <w:r w:rsidR="009B4269">
                        <w:t xml:space="preserve"> by around 0.8 cents per litre, costing motorists around $6 million per annum</w:t>
                      </w:r>
                      <w:r>
                        <w:t>.</w:t>
                      </w:r>
                      <w:r w:rsidR="00110B78">
                        <w:t xml:space="preserve"> </w:t>
                      </w:r>
                    </w:p>
                  </w:txbxContent>
                </v:textbox>
                <w10:wrap anchorx="margin"/>
              </v:shape>
            </w:pict>
          </mc:Fallback>
        </mc:AlternateContent>
      </w:r>
      <w:r w:rsidRPr="003C1D4F">
        <w:rPr>
          <w:rFonts w:asciiTheme="minorHAnsi" w:hAnsiTheme="minorHAnsi" w:cstheme="minorHAnsi"/>
        </w:rPr>
        <w:t>annum.</w:t>
      </w:r>
      <w:r w:rsidRPr="003C1D4F">
        <w:rPr>
          <w:rStyle w:val="FootnoteReference"/>
          <w:rFonts w:asciiTheme="minorHAnsi" w:hAnsiTheme="minorHAnsi" w:cstheme="minorHAnsi"/>
        </w:rPr>
        <w:footnoteReference w:id="27"/>
      </w:r>
    </w:p>
    <w:p w14:paraId="35B3A860" w14:textId="3EFAE374" w:rsidR="00D81B4A" w:rsidRDefault="00D81B4A" w:rsidP="00A00A2A">
      <w:pPr>
        <w:pStyle w:val="Bullet"/>
        <w:numPr>
          <w:ilvl w:val="0"/>
          <w:numId w:val="0"/>
        </w:numPr>
        <w:spacing w:line="240" w:lineRule="auto"/>
        <w:rPr>
          <w:rFonts w:asciiTheme="minorHAnsi" w:hAnsiTheme="minorHAnsi" w:cstheme="minorHAnsi"/>
        </w:rPr>
      </w:pPr>
    </w:p>
    <w:p w14:paraId="2DBA4A26" w14:textId="065E93CF" w:rsidR="00D81B4A" w:rsidRDefault="00D81B4A" w:rsidP="00A00A2A">
      <w:pPr>
        <w:pStyle w:val="Bullet"/>
        <w:numPr>
          <w:ilvl w:val="0"/>
          <w:numId w:val="0"/>
        </w:numPr>
        <w:spacing w:line="240" w:lineRule="auto"/>
        <w:rPr>
          <w:rFonts w:asciiTheme="minorHAnsi" w:hAnsiTheme="minorHAnsi" w:cstheme="minorHAnsi"/>
        </w:rPr>
      </w:pPr>
    </w:p>
    <w:p w14:paraId="043F594A" w14:textId="77777777" w:rsidR="00D81B4A" w:rsidRDefault="00D81B4A" w:rsidP="00A00A2A">
      <w:pPr>
        <w:pStyle w:val="Bullet"/>
        <w:numPr>
          <w:ilvl w:val="0"/>
          <w:numId w:val="0"/>
        </w:numPr>
        <w:spacing w:line="240" w:lineRule="auto"/>
        <w:rPr>
          <w:rFonts w:asciiTheme="minorHAnsi" w:hAnsiTheme="minorHAnsi" w:cstheme="minorHAnsi"/>
        </w:rPr>
      </w:pPr>
    </w:p>
    <w:p w14:paraId="304BEC15" w14:textId="77777777" w:rsidR="00D81B4A" w:rsidRDefault="00D81B4A" w:rsidP="00A00A2A">
      <w:pPr>
        <w:pStyle w:val="Bullet"/>
        <w:numPr>
          <w:ilvl w:val="0"/>
          <w:numId w:val="0"/>
        </w:numPr>
        <w:spacing w:line="240" w:lineRule="auto"/>
        <w:rPr>
          <w:rFonts w:asciiTheme="minorHAnsi" w:hAnsiTheme="minorHAnsi" w:cstheme="minorHAnsi"/>
        </w:rPr>
      </w:pPr>
    </w:p>
    <w:p w14:paraId="0450A388" w14:textId="77777777" w:rsidR="00D81B4A" w:rsidRDefault="00D81B4A" w:rsidP="00A00A2A">
      <w:pPr>
        <w:pStyle w:val="Bullet"/>
        <w:numPr>
          <w:ilvl w:val="0"/>
          <w:numId w:val="0"/>
        </w:numPr>
        <w:spacing w:line="240" w:lineRule="auto"/>
        <w:rPr>
          <w:rFonts w:asciiTheme="minorHAnsi" w:hAnsiTheme="minorHAnsi" w:cstheme="minorHAnsi"/>
        </w:rPr>
      </w:pPr>
    </w:p>
    <w:p w14:paraId="6F57B9D2" w14:textId="77777777" w:rsidR="00D81B4A" w:rsidRDefault="00D81B4A" w:rsidP="00A00A2A">
      <w:pPr>
        <w:pStyle w:val="Bullet"/>
        <w:numPr>
          <w:ilvl w:val="0"/>
          <w:numId w:val="0"/>
        </w:numPr>
        <w:spacing w:line="240" w:lineRule="auto"/>
        <w:rPr>
          <w:rFonts w:asciiTheme="minorHAnsi" w:hAnsiTheme="minorHAnsi" w:cstheme="minorHAnsi"/>
        </w:rPr>
      </w:pPr>
    </w:p>
    <w:p w14:paraId="7963C759" w14:textId="77777777" w:rsidR="00D81B4A" w:rsidRDefault="00D81B4A" w:rsidP="00A00A2A">
      <w:pPr>
        <w:pStyle w:val="Bullet"/>
        <w:numPr>
          <w:ilvl w:val="0"/>
          <w:numId w:val="0"/>
        </w:numPr>
        <w:spacing w:line="240" w:lineRule="auto"/>
        <w:rPr>
          <w:rFonts w:asciiTheme="minorHAnsi" w:hAnsiTheme="minorHAnsi" w:cstheme="minorHAnsi"/>
        </w:rPr>
      </w:pPr>
    </w:p>
    <w:p w14:paraId="2264C9BA" w14:textId="77777777" w:rsidR="00D81B4A" w:rsidRDefault="00D81B4A" w:rsidP="00A00A2A">
      <w:pPr>
        <w:pStyle w:val="Bullet"/>
        <w:numPr>
          <w:ilvl w:val="0"/>
          <w:numId w:val="0"/>
        </w:numPr>
        <w:spacing w:line="240" w:lineRule="auto"/>
        <w:rPr>
          <w:rFonts w:asciiTheme="minorHAnsi" w:hAnsiTheme="minorHAnsi" w:cstheme="minorHAnsi"/>
        </w:rPr>
      </w:pPr>
    </w:p>
    <w:p w14:paraId="26A551D1" w14:textId="77777777" w:rsidR="00D81B4A" w:rsidRDefault="00D81B4A" w:rsidP="00A00A2A">
      <w:pPr>
        <w:pStyle w:val="Bullet"/>
        <w:numPr>
          <w:ilvl w:val="0"/>
          <w:numId w:val="0"/>
        </w:numPr>
        <w:spacing w:line="240" w:lineRule="auto"/>
        <w:rPr>
          <w:rFonts w:asciiTheme="minorHAnsi" w:hAnsiTheme="minorHAnsi" w:cstheme="minorHAnsi"/>
        </w:rPr>
      </w:pPr>
    </w:p>
    <w:p w14:paraId="1CCBCF01" w14:textId="77777777" w:rsidR="00D81B4A" w:rsidRDefault="00D81B4A" w:rsidP="00A00A2A">
      <w:pPr>
        <w:pStyle w:val="Bullet"/>
        <w:numPr>
          <w:ilvl w:val="0"/>
          <w:numId w:val="0"/>
        </w:numPr>
        <w:spacing w:line="240" w:lineRule="auto"/>
        <w:rPr>
          <w:rFonts w:asciiTheme="minorHAnsi" w:hAnsiTheme="minorHAnsi" w:cstheme="minorHAnsi"/>
        </w:rPr>
      </w:pPr>
    </w:p>
    <w:p w14:paraId="7152FE86" w14:textId="77777777" w:rsidR="005113AD" w:rsidRDefault="005113AD" w:rsidP="00A00A2A">
      <w:pPr>
        <w:pStyle w:val="Bullet"/>
        <w:numPr>
          <w:ilvl w:val="0"/>
          <w:numId w:val="0"/>
        </w:numPr>
        <w:spacing w:line="240" w:lineRule="auto"/>
        <w:rPr>
          <w:rFonts w:asciiTheme="minorHAnsi" w:hAnsiTheme="minorHAnsi" w:cstheme="minorHAnsi"/>
        </w:rPr>
      </w:pPr>
    </w:p>
    <w:p w14:paraId="6C1C1E24" w14:textId="77777777" w:rsidR="005113AD" w:rsidRDefault="005113AD" w:rsidP="00A00A2A">
      <w:pPr>
        <w:pStyle w:val="Bullet"/>
        <w:numPr>
          <w:ilvl w:val="0"/>
          <w:numId w:val="0"/>
        </w:numPr>
        <w:spacing w:line="240" w:lineRule="auto"/>
        <w:rPr>
          <w:rFonts w:asciiTheme="minorHAnsi" w:hAnsiTheme="minorHAnsi" w:cstheme="minorHAnsi"/>
        </w:rPr>
      </w:pPr>
    </w:p>
    <w:p w14:paraId="3D5B9CB2" w14:textId="77777777" w:rsidR="005113AD" w:rsidRDefault="005113AD" w:rsidP="00A00A2A">
      <w:pPr>
        <w:pStyle w:val="Bullet"/>
        <w:numPr>
          <w:ilvl w:val="0"/>
          <w:numId w:val="0"/>
        </w:numPr>
        <w:spacing w:line="240" w:lineRule="auto"/>
        <w:rPr>
          <w:rFonts w:asciiTheme="minorHAnsi" w:hAnsiTheme="minorHAnsi" w:cstheme="minorHAnsi"/>
        </w:rPr>
      </w:pPr>
    </w:p>
    <w:p w14:paraId="4DCDC7C4" w14:textId="77777777" w:rsidR="002F4B6B" w:rsidRDefault="002F4B6B" w:rsidP="00A00A2A">
      <w:pPr>
        <w:pStyle w:val="Bullet"/>
        <w:numPr>
          <w:ilvl w:val="0"/>
          <w:numId w:val="0"/>
        </w:numPr>
        <w:spacing w:line="240" w:lineRule="auto"/>
        <w:rPr>
          <w:rFonts w:asciiTheme="minorHAnsi" w:hAnsiTheme="minorHAnsi" w:cstheme="minorHAnsi"/>
        </w:rPr>
      </w:pPr>
    </w:p>
    <w:p w14:paraId="184FBC48" w14:textId="753CB7E0" w:rsidR="00AF0AF4" w:rsidRPr="00A00A2A" w:rsidRDefault="00AF0AF4" w:rsidP="00A00A2A">
      <w:pPr>
        <w:pStyle w:val="Bullet"/>
        <w:numPr>
          <w:ilvl w:val="0"/>
          <w:numId w:val="0"/>
        </w:numPr>
        <w:spacing w:line="240" w:lineRule="auto"/>
        <w:rPr>
          <w:rFonts w:asciiTheme="minorHAnsi" w:hAnsiTheme="minorHAnsi" w:cstheme="minorHAnsi"/>
        </w:rPr>
      </w:pPr>
      <w:r w:rsidRPr="00A00A2A">
        <w:rPr>
          <w:rFonts w:asciiTheme="minorHAnsi" w:hAnsiTheme="minorHAnsi" w:cstheme="minorHAnsi"/>
        </w:rPr>
        <w:t xml:space="preserve">Dr Graeme Woodbridge (former ACCC chief economist) contends that changes to merger control that make it more or less permissive will mostly affect mergers that are </w:t>
      </w:r>
      <w:r w:rsidR="00DE055A">
        <w:rPr>
          <w:rFonts w:asciiTheme="minorHAnsi" w:hAnsiTheme="minorHAnsi" w:cstheme="minorHAnsi"/>
        </w:rPr>
        <w:t>‘</w:t>
      </w:r>
      <w:r w:rsidRPr="00A00A2A">
        <w:rPr>
          <w:rFonts w:asciiTheme="minorHAnsi" w:hAnsiTheme="minorHAnsi" w:cstheme="minorHAnsi"/>
        </w:rPr>
        <w:t>close calls</w:t>
      </w:r>
      <w:r w:rsidR="00DE055A">
        <w:rPr>
          <w:rFonts w:asciiTheme="minorHAnsi" w:hAnsiTheme="minorHAnsi" w:cstheme="minorHAnsi"/>
        </w:rPr>
        <w:t>’</w:t>
      </w:r>
      <w:r w:rsidRPr="00A00A2A">
        <w:rPr>
          <w:rFonts w:asciiTheme="minorHAnsi" w:hAnsiTheme="minorHAnsi" w:cstheme="minorHAnsi"/>
        </w:rPr>
        <w:t xml:space="preserve"> or are on the enforcement margin.</w:t>
      </w:r>
      <w:r w:rsidRPr="00FD53CD">
        <w:rPr>
          <w:rStyle w:val="FootnoteReference"/>
        </w:rPr>
        <w:footnoteReference w:id="28"/>
      </w:r>
      <w:r w:rsidRPr="00A00A2A">
        <w:rPr>
          <w:rFonts w:asciiTheme="minorHAnsi" w:hAnsiTheme="minorHAnsi" w:cstheme="minorHAnsi"/>
        </w:rPr>
        <w:t xml:space="preserve"> Dr Woodbridge’s analysis estimated this is around 7 mergers a year in Australia, based on the market characteristics of mergers considered by the ACCC between 2020 and 2023.</w:t>
      </w:r>
      <w:r w:rsidRPr="0099491E">
        <w:rPr>
          <w:rStyle w:val="FootnoteReference"/>
        </w:rPr>
        <w:footnoteReference w:id="29"/>
      </w:r>
    </w:p>
    <w:p w14:paraId="45F6D5D8" w14:textId="11626D24" w:rsidR="00AF0AF4" w:rsidRPr="00A00A2A" w:rsidRDefault="00AF0AF4" w:rsidP="007E78BA">
      <w:pPr>
        <w:pStyle w:val="Bullet"/>
        <w:numPr>
          <w:ilvl w:val="0"/>
          <w:numId w:val="0"/>
        </w:numPr>
        <w:spacing w:line="240" w:lineRule="auto"/>
        <w:rPr>
          <w:rFonts w:asciiTheme="minorHAnsi" w:hAnsiTheme="minorHAnsi" w:cstheme="minorHAnsi"/>
        </w:rPr>
      </w:pPr>
      <w:r w:rsidRPr="00A00A2A">
        <w:rPr>
          <w:rFonts w:asciiTheme="minorHAnsi" w:hAnsiTheme="minorHAnsi" w:cstheme="minorHAnsi"/>
        </w:rPr>
        <w:t>Dr Woodbridge observed that erroneously allowing anti-competitive mergers comes at an economic cost. He stated</w:t>
      </w:r>
      <w:r w:rsidR="007E78BA">
        <w:rPr>
          <w:rFonts w:asciiTheme="minorHAnsi" w:hAnsiTheme="minorHAnsi" w:cstheme="minorHAnsi"/>
        </w:rPr>
        <w:t xml:space="preserve"> ‘</w:t>
      </w:r>
      <w:r w:rsidR="007E78BA">
        <w:rPr>
          <w:rFonts w:asciiTheme="minorHAnsi" w:hAnsiTheme="minorHAnsi" w:cstheme="minorHAnsi"/>
          <w:i/>
        </w:rPr>
        <w:t>u</w:t>
      </w:r>
      <w:r w:rsidRPr="007D135F">
        <w:rPr>
          <w:rFonts w:asciiTheme="minorHAnsi" w:hAnsiTheme="minorHAnsi" w:cstheme="minorHAnsi"/>
          <w:i/>
          <w:iCs/>
        </w:rPr>
        <w:t>nder most circumstances, competition enhances welfare through driving productivity growth and economic efficiency more broadly. Competition ensures the pursuit of profits works in favour of the many, including consumers and workers, rather than the few. Allowing anticompetitive mergers foregoes these gains</w:t>
      </w:r>
      <w:r w:rsidR="000F0B32" w:rsidRPr="006F52D2">
        <w:rPr>
          <w:rFonts w:asciiTheme="minorHAnsi" w:hAnsiTheme="minorHAnsi" w:cstheme="minorHAnsi"/>
        </w:rPr>
        <w:t>’</w:t>
      </w:r>
      <w:r w:rsidRPr="00A00A2A">
        <w:rPr>
          <w:rFonts w:asciiTheme="minorHAnsi" w:hAnsiTheme="minorHAnsi" w:cstheme="minorHAnsi"/>
        </w:rPr>
        <w:t>.</w:t>
      </w:r>
      <w:r w:rsidRPr="00FD53CD">
        <w:rPr>
          <w:rStyle w:val="FootnoteReference"/>
        </w:rPr>
        <w:footnoteReference w:id="30"/>
      </w:r>
    </w:p>
    <w:p w14:paraId="04243D37" w14:textId="03187863" w:rsidR="00AF0AF4" w:rsidRDefault="00AF0AF4" w:rsidP="00947E3E">
      <w:pPr>
        <w:pStyle w:val="Bullet"/>
        <w:numPr>
          <w:ilvl w:val="0"/>
          <w:numId w:val="0"/>
        </w:numPr>
        <w:spacing w:line="240" w:lineRule="auto"/>
      </w:pPr>
      <w:r w:rsidRPr="00A00A2A">
        <w:rPr>
          <w:rFonts w:asciiTheme="minorHAnsi" w:hAnsiTheme="minorHAnsi" w:cstheme="minorHAnsi"/>
        </w:rPr>
        <w:t>Dr Woodbridge contends that the most valuable and the most reliable evidence of the effects of mergers on the enforcement margin comes from published studies that examine the effects of completed mergers. While Dr Woodbridge acknowledges these studies suggest that mergers can have significant effects on prices in both directions, the majority of mergers analysed resulted in higher prices. Dr Woodbridge observed that price increases are more likely in concentrated markets.</w:t>
      </w:r>
      <w:r w:rsidRPr="00FD53CD">
        <w:rPr>
          <w:rStyle w:val="FootnoteReference"/>
        </w:rPr>
        <w:footnoteReference w:id="31"/>
      </w:r>
    </w:p>
    <w:p w14:paraId="6A5A7FD4" w14:textId="64076295" w:rsidR="00947E3E" w:rsidRPr="00F26CC7" w:rsidRDefault="00947E3E" w:rsidP="00AC1E78">
      <w:pPr>
        <w:pStyle w:val="Heading4"/>
      </w:pPr>
      <w:r w:rsidRPr="00355A5E">
        <w:t>Uncertainty, delay and added cost</w:t>
      </w:r>
      <w:r w:rsidR="002E0A60" w:rsidRPr="00355A5E">
        <w:t>s</w:t>
      </w:r>
    </w:p>
    <w:p w14:paraId="2CE6D63D" w14:textId="630054C3" w:rsidR="00947E3E" w:rsidRPr="006A3E85" w:rsidRDefault="00947E3E" w:rsidP="00947E3E">
      <w:pPr>
        <w:spacing w:line="240" w:lineRule="auto"/>
        <w:rPr>
          <w:rFonts w:cstheme="minorHAnsi"/>
        </w:rPr>
      </w:pPr>
      <w:r w:rsidRPr="006A3E85">
        <w:rPr>
          <w:rFonts w:cstheme="minorHAnsi"/>
        </w:rPr>
        <w:t xml:space="preserve">For business, some uncontentious mergers are subject to delays, uncertainty, and added costs. </w:t>
      </w:r>
      <w:r w:rsidR="007F50DC">
        <w:rPr>
          <w:rFonts w:cstheme="minorHAnsi"/>
        </w:rPr>
        <w:t>T</w:t>
      </w:r>
      <w:r w:rsidRPr="006A3E85">
        <w:rPr>
          <w:rFonts w:cstheme="minorHAnsi"/>
        </w:rPr>
        <w:t xml:space="preserve">he current informal review process does not have a legislative basis, </w:t>
      </w:r>
      <w:r w:rsidR="007F50DC">
        <w:rPr>
          <w:rFonts w:cstheme="minorHAnsi"/>
        </w:rPr>
        <w:t>and</w:t>
      </w:r>
      <w:r w:rsidRPr="006A3E85">
        <w:rPr>
          <w:rFonts w:cstheme="minorHAnsi"/>
        </w:rPr>
        <w:t xml:space="preserve"> the ACCC is not bound by legislated timelines and processes.</w:t>
      </w:r>
    </w:p>
    <w:p w14:paraId="2EB59D0E" w14:textId="2A252666" w:rsidR="00947E3E" w:rsidRPr="006A3E85" w:rsidRDefault="00947E3E" w:rsidP="00947E3E">
      <w:pPr>
        <w:spacing w:line="240" w:lineRule="auto"/>
        <w:rPr>
          <w:rFonts w:cstheme="minorHAnsi"/>
        </w:rPr>
      </w:pPr>
      <w:r w:rsidRPr="006A3E85">
        <w:rPr>
          <w:rFonts w:cstheme="minorHAnsi"/>
        </w:rPr>
        <w:t>Business stakeholders raised concerns that this created considerable uncertainty, with the Business Council of Australia (BCA) identifying this as a key issue. The BCA submitted ‘</w:t>
      </w:r>
      <w:r w:rsidR="008058EB">
        <w:rPr>
          <w:rFonts w:cstheme="minorHAnsi"/>
          <w:i/>
          <w:iCs/>
        </w:rPr>
        <w:t>T</w:t>
      </w:r>
      <w:r w:rsidRPr="006A3E85">
        <w:rPr>
          <w:rFonts w:cstheme="minorHAnsi"/>
          <w:i/>
          <w:iCs/>
        </w:rPr>
        <w:t xml:space="preserve">he absence of time </w:t>
      </w:r>
      <w:r w:rsidR="00575702" w:rsidRPr="006A3E85">
        <w:rPr>
          <w:rFonts w:cstheme="minorHAnsi"/>
          <w:i/>
          <w:iCs/>
        </w:rPr>
        <w:t>limit</w:t>
      </w:r>
      <w:r w:rsidR="00575702">
        <w:rPr>
          <w:rFonts w:cstheme="minorHAnsi"/>
          <w:i/>
          <w:iCs/>
        </w:rPr>
        <w:t>s</w:t>
      </w:r>
      <w:r w:rsidR="00575702" w:rsidRPr="006A3E85">
        <w:rPr>
          <w:rFonts w:cstheme="minorHAnsi"/>
          <w:i/>
          <w:iCs/>
        </w:rPr>
        <w:t xml:space="preserve"> </w:t>
      </w:r>
      <w:r w:rsidRPr="006A3E85">
        <w:rPr>
          <w:rFonts w:cstheme="minorHAnsi"/>
          <w:i/>
          <w:iCs/>
        </w:rPr>
        <w:t xml:space="preserve">for considering </w:t>
      </w:r>
      <w:r w:rsidR="008058EB">
        <w:rPr>
          <w:rFonts w:cstheme="minorHAnsi"/>
          <w:i/>
          <w:iCs/>
        </w:rPr>
        <w:t>a</w:t>
      </w:r>
      <w:r w:rsidRPr="006A3E85">
        <w:rPr>
          <w:rFonts w:cstheme="minorHAnsi"/>
          <w:i/>
          <w:iCs/>
        </w:rPr>
        <w:t xml:space="preserve"> merger clearance application is one of the most challenging aspects of the current regime. A lengthy clearance process can delay commercial decision</w:t>
      </w:r>
      <w:r w:rsidR="00EE08C4">
        <w:rPr>
          <w:rFonts w:cstheme="minorHAnsi"/>
          <w:i/>
          <w:iCs/>
        </w:rPr>
        <w:t>s</w:t>
      </w:r>
      <w:r w:rsidRPr="006A3E85">
        <w:rPr>
          <w:rFonts w:cstheme="minorHAnsi"/>
          <w:i/>
          <w:iCs/>
        </w:rPr>
        <w:t>, time parties out from deals and impose significant costs on business, including small and family businesses on the sell-side of a transaction’</w:t>
      </w:r>
      <w:r w:rsidRPr="006A3E85">
        <w:rPr>
          <w:rFonts w:cstheme="minorHAnsi"/>
        </w:rPr>
        <w:t>.</w:t>
      </w:r>
      <w:r w:rsidRPr="006A3E85">
        <w:rPr>
          <w:rStyle w:val="FootnoteReference"/>
          <w:rFonts w:cstheme="minorHAnsi"/>
        </w:rPr>
        <w:footnoteReference w:id="32"/>
      </w:r>
      <w:r w:rsidRPr="006A3E85">
        <w:rPr>
          <w:rFonts w:cstheme="minorHAnsi"/>
        </w:rPr>
        <w:t xml:space="preserve"> </w:t>
      </w:r>
      <w:r w:rsidR="00A46D83" w:rsidRPr="006A3E85">
        <w:rPr>
          <w:rFonts w:cstheme="minorHAnsi"/>
        </w:rPr>
        <w:t xml:space="preserve">The opportunity cost of this uncertainty and delay can be significant and impact on financing requirements for businesses. </w:t>
      </w:r>
    </w:p>
    <w:p w14:paraId="0856F316" w14:textId="19556AFB" w:rsidR="00947E3E" w:rsidRDefault="00947E3E" w:rsidP="00947E3E">
      <w:pPr>
        <w:spacing w:line="240" w:lineRule="auto"/>
        <w:rPr>
          <w:rFonts w:cstheme="minorHAnsi"/>
        </w:rPr>
      </w:pPr>
      <w:r w:rsidRPr="006A3E85">
        <w:rPr>
          <w:rFonts w:cstheme="minorHAnsi"/>
        </w:rPr>
        <w:t>As well as being uncertain, the timelines for merger reviews have increased over recent years</w:t>
      </w:r>
      <w:r>
        <w:rPr>
          <w:rFonts w:cstheme="minorHAnsi"/>
        </w:rPr>
        <w:t xml:space="preserve"> as shown in Figure 1 below</w:t>
      </w:r>
      <w:r w:rsidRPr="006A3E85">
        <w:rPr>
          <w:rFonts w:cstheme="minorHAnsi"/>
        </w:rPr>
        <w:t xml:space="preserve">. The time taken for </w:t>
      </w:r>
      <w:r w:rsidR="00091899">
        <w:rPr>
          <w:rFonts w:cstheme="minorHAnsi"/>
        </w:rPr>
        <w:t>P</w:t>
      </w:r>
      <w:r w:rsidRPr="006A3E85">
        <w:rPr>
          <w:rFonts w:cstheme="minorHAnsi"/>
        </w:rPr>
        <w:t xml:space="preserve">hase </w:t>
      </w:r>
      <w:r w:rsidR="003807B0">
        <w:rPr>
          <w:rFonts w:cstheme="minorHAnsi"/>
        </w:rPr>
        <w:t>1</w:t>
      </w:r>
      <w:r w:rsidRPr="006A3E85">
        <w:rPr>
          <w:rFonts w:cstheme="minorHAnsi"/>
        </w:rPr>
        <w:t xml:space="preserve"> public reviews has increased from 22 days in 2006 to 59 days in 2023. Similarly, the time taken for public reviews has increased from 57 days in 2006 to 133 days in 2023 (which </w:t>
      </w:r>
      <w:r w:rsidR="004974AE">
        <w:rPr>
          <w:rFonts w:cstheme="minorHAnsi"/>
        </w:rPr>
        <w:t>exceeds</w:t>
      </w:r>
      <w:r w:rsidRPr="006A3E85">
        <w:rPr>
          <w:rFonts w:cstheme="minorHAnsi"/>
        </w:rPr>
        <w:t xml:space="preserve"> the ACCC’s stated performance measure of 120 </w:t>
      </w:r>
      <w:r w:rsidR="007102EB">
        <w:rPr>
          <w:rFonts w:cstheme="minorHAnsi"/>
        </w:rPr>
        <w:t>business</w:t>
      </w:r>
      <w:r w:rsidR="007102EB" w:rsidRPr="006A3E85">
        <w:rPr>
          <w:rFonts w:cstheme="minorHAnsi"/>
        </w:rPr>
        <w:t xml:space="preserve"> days</w:t>
      </w:r>
      <w:r w:rsidR="007102EB">
        <w:rPr>
          <w:rFonts w:cstheme="minorHAnsi"/>
        </w:rPr>
        <w:t xml:space="preserve"> for Phase 2 reviews as outlined in the ACCC’s Annual Report 2022-23</w:t>
      </w:r>
      <w:r w:rsidR="00AA4FC0">
        <w:rPr>
          <w:rFonts w:cstheme="minorHAnsi"/>
        </w:rPr>
        <w:t>)</w:t>
      </w:r>
      <w:r w:rsidR="007F065B">
        <w:rPr>
          <w:rFonts w:cstheme="minorHAnsi"/>
        </w:rPr>
        <w:t>.</w:t>
      </w:r>
      <w:r w:rsidRPr="006A3E85">
        <w:rPr>
          <w:rStyle w:val="FootnoteReference"/>
          <w:rFonts w:cstheme="minorHAnsi"/>
        </w:rPr>
        <w:footnoteReference w:id="33"/>
      </w:r>
      <w:r w:rsidRPr="006A3E85">
        <w:rPr>
          <w:rFonts w:cstheme="minorHAnsi"/>
        </w:rPr>
        <w:t xml:space="preserve"> </w:t>
      </w:r>
      <w:r w:rsidR="00BB42F4">
        <w:rPr>
          <w:rFonts w:cstheme="minorHAnsi"/>
          <w:kern w:val="0"/>
          <w14:ligatures w14:val="none"/>
        </w:rPr>
        <w:t>This does not include periods when the timeline was suspended while the ACCC waited for information from the parties.</w:t>
      </w:r>
    </w:p>
    <w:p w14:paraId="0AB85409" w14:textId="55576154" w:rsidR="00947E3E" w:rsidRPr="00273A9E" w:rsidRDefault="00947E3E" w:rsidP="00175172">
      <w:pPr>
        <w:keepNext/>
        <w:rPr>
          <w:b/>
          <w:color w:val="2C384A" w:themeColor="accent1"/>
        </w:rPr>
      </w:pPr>
      <w:r w:rsidRPr="00273A9E">
        <w:rPr>
          <w:b/>
          <w:color w:val="2C384A" w:themeColor="accent1"/>
        </w:rPr>
        <w:t>Figure 1</w:t>
      </w:r>
      <w:r w:rsidR="008B4058" w:rsidRPr="00273A9E">
        <w:rPr>
          <w:b/>
          <w:color w:val="2C384A" w:themeColor="accent1"/>
        </w:rPr>
        <w:t>.</w:t>
      </w:r>
      <w:r w:rsidRPr="00273A9E">
        <w:rPr>
          <w:b/>
          <w:color w:val="2C384A" w:themeColor="accent1"/>
        </w:rPr>
        <w:t xml:space="preserve"> Average length of ACCC informal reviews</w:t>
      </w:r>
    </w:p>
    <w:p w14:paraId="1EB1E003" w14:textId="44184026" w:rsidR="00612B33" w:rsidRDefault="00625745" w:rsidP="00AC1E78">
      <w:pPr>
        <w:spacing w:after="0" w:line="240" w:lineRule="auto"/>
        <w:rPr>
          <w:rFonts w:ascii="Calibri" w:eastAsia="Times New Roman" w:hAnsi="Calibri" w:cs="Times New Roman"/>
          <w:color w:val="000000"/>
          <w:kern w:val="0"/>
          <w:sz w:val="18"/>
          <w:szCs w:val="20"/>
          <w:lang w:eastAsia="en-AU"/>
          <w14:ligatures w14:val="none"/>
        </w:rPr>
      </w:pPr>
      <w:r w:rsidRPr="00625745">
        <w:rPr>
          <w:noProof/>
          <w:lang w:eastAsia="en-AU"/>
        </w:rPr>
        <w:drawing>
          <wp:inline distT="0" distB="0" distL="0" distR="0" wp14:anchorId="1F257F36" wp14:editId="2460FFC7">
            <wp:extent cx="5577205" cy="3253105"/>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77205" cy="3253105"/>
                    </a:xfrm>
                    <a:prstGeom prst="rect">
                      <a:avLst/>
                    </a:prstGeom>
                    <a:noFill/>
                    <a:ln>
                      <a:noFill/>
                    </a:ln>
                  </pic:spPr>
                </pic:pic>
              </a:graphicData>
            </a:graphic>
          </wp:inline>
        </w:drawing>
      </w:r>
    </w:p>
    <w:p w14:paraId="2FDB574E" w14:textId="30A8E2E0" w:rsidR="00947E3E" w:rsidRPr="00DF7236" w:rsidRDefault="00947E3E" w:rsidP="00AC1E78">
      <w:pPr>
        <w:spacing w:after="0" w:line="240" w:lineRule="auto"/>
        <w:rPr>
          <w:rFonts w:ascii="Calibri" w:eastAsia="Times New Roman" w:hAnsi="Calibri" w:cs="Times New Roman"/>
          <w:i/>
          <w:iCs/>
          <w:color w:val="000000"/>
          <w:kern w:val="0"/>
          <w:sz w:val="18"/>
          <w:szCs w:val="20"/>
          <w:lang w:eastAsia="en-AU"/>
          <w14:ligatures w14:val="none"/>
        </w:rPr>
      </w:pPr>
      <w:r w:rsidRPr="00DF7236">
        <w:rPr>
          <w:rFonts w:ascii="Calibri" w:eastAsia="Times New Roman" w:hAnsi="Calibri" w:cs="Times New Roman"/>
          <w:i/>
          <w:iCs/>
          <w:color w:val="000000"/>
          <w:kern w:val="0"/>
          <w:sz w:val="18"/>
          <w:szCs w:val="20"/>
          <w:lang w:eastAsia="en-AU"/>
          <w14:ligatures w14:val="none"/>
        </w:rPr>
        <w:t xml:space="preserve">Note: Calendar year. The duration is in business days, excluding any timeline suspensions while the ACCC awaits information from the merger parties. Timeline suspensions were not recorded for confidential reviews prior to 2018. For the purposes of this </w:t>
      </w:r>
      <w:r w:rsidR="00A46D83" w:rsidRPr="00DF7236">
        <w:rPr>
          <w:rFonts w:ascii="Calibri" w:eastAsia="Times New Roman" w:hAnsi="Calibri" w:cs="Times New Roman"/>
          <w:i/>
          <w:iCs/>
          <w:color w:val="000000"/>
          <w:kern w:val="0"/>
          <w:sz w:val="18"/>
          <w:szCs w:val="20"/>
          <w:lang w:eastAsia="en-AU"/>
          <w14:ligatures w14:val="none"/>
        </w:rPr>
        <w:t>analysis</w:t>
      </w:r>
      <w:r w:rsidRPr="00DF7236">
        <w:rPr>
          <w:rFonts w:ascii="Calibri" w:eastAsia="Times New Roman" w:hAnsi="Calibri" w:cs="Times New Roman"/>
          <w:i/>
          <w:iCs/>
          <w:color w:val="000000"/>
          <w:kern w:val="0"/>
          <w:sz w:val="18"/>
          <w:szCs w:val="20"/>
          <w:lang w:eastAsia="en-AU"/>
          <w14:ligatures w14:val="none"/>
        </w:rPr>
        <w:t>, merger assessments include matters that are withdrawn or where no decision is reached. Source: ACCC.</w:t>
      </w:r>
    </w:p>
    <w:p w14:paraId="2B92A02A" w14:textId="152F196C" w:rsidR="00947E3E" w:rsidRPr="007274CB" w:rsidRDefault="00175172" w:rsidP="00F57EAB">
      <w:pPr>
        <w:pStyle w:val="Heading4"/>
      </w:pPr>
      <w:r w:rsidRPr="00355A5E">
        <w:t>L</w:t>
      </w:r>
      <w:r w:rsidR="00947E3E" w:rsidRPr="00355A5E">
        <w:t>ack</w:t>
      </w:r>
      <w:r w:rsidRPr="00355A5E">
        <w:t xml:space="preserve"> of</w:t>
      </w:r>
      <w:r w:rsidR="00947E3E" w:rsidRPr="00355A5E">
        <w:t xml:space="preserve"> transparency and </w:t>
      </w:r>
      <w:r w:rsidRPr="00355A5E">
        <w:t>difficult to engage</w:t>
      </w:r>
    </w:p>
    <w:p w14:paraId="6CEE08C1" w14:textId="3492EDE9" w:rsidR="008B4058" w:rsidRDefault="00947E3E" w:rsidP="00947E3E">
      <w:pPr>
        <w:spacing w:line="240" w:lineRule="auto"/>
        <w:rPr>
          <w:rFonts w:cstheme="minorHAnsi"/>
        </w:rPr>
      </w:pPr>
      <w:r w:rsidRPr="006A3E85">
        <w:rPr>
          <w:rFonts w:cstheme="minorHAnsi"/>
        </w:rPr>
        <w:t>For businesses</w:t>
      </w:r>
      <w:r>
        <w:rPr>
          <w:rFonts w:cstheme="minorHAnsi"/>
        </w:rPr>
        <w:t>, suppliers, consumers, and interested members of the public</w:t>
      </w:r>
      <w:r w:rsidRPr="006A3E85">
        <w:rPr>
          <w:rFonts w:cstheme="minorHAnsi"/>
        </w:rPr>
        <w:t xml:space="preserve">, the current approach provides limited guidance </w:t>
      </w:r>
      <w:r>
        <w:rPr>
          <w:rFonts w:cstheme="minorHAnsi"/>
        </w:rPr>
        <w:t>or precedent and</w:t>
      </w:r>
      <w:r w:rsidRPr="006A3E85">
        <w:rPr>
          <w:rFonts w:cstheme="minorHAnsi"/>
        </w:rPr>
        <w:t xml:space="preserve"> lacks transparency. </w:t>
      </w:r>
      <w:r w:rsidR="00B100EC">
        <w:rPr>
          <w:rFonts w:cstheme="minorHAnsi"/>
        </w:rPr>
        <w:t xml:space="preserve">Only 10 per cent of mergers reviewed by the ACCC </w:t>
      </w:r>
      <w:r w:rsidR="005C476F">
        <w:rPr>
          <w:rFonts w:cstheme="minorHAnsi"/>
        </w:rPr>
        <w:t>are</w:t>
      </w:r>
      <w:r w:rsidR="00B100EC">
        <w:rPr>
          <w:rFonts w:cstheme="minorHAnsi"/>
        </w:rPr>
        <w:t xml:space="preserve"> conducted publicly, with t</w:t>
      </w:r>
      <w:r w:rsidR="00B100EC" w:rsidRPr="006A3E85">
        <w:rPr>
          <w:rFonts w:cstheme="minorHAnsi"/>
        </w:rPr>
        <w:t xml:space="preserve">he </w:t>
      </w:r>
      <w:r w:rsidRPr="006A3E85">
        <w:rPr>
          <w:rFonts w:cstheme="minorHAnsi"/>
        </w:rPr>
        <w:t xml:space="preserve">remaining 90 per cent </w:t>
      </w:r>
      <w:r w:rsidR="00B100EC">
        <w:rPr>
          <w:rFonts w:cstheme="minorHAnsi"/>
        </w:rPr>
        <w:t>being</w:t>
      </w:r>
      <w:r w:rsidR="00B100EC" w:rsidRPr="006A3E85">
        <w:rPr>
          <w:rFonts w:cstheme="minorHAnsi"/>
        </w:rPr>
        <w:t xml:space="preserve"> </w:t>
      </w:r>
      <w:r w:rsidRPr="006A3E85">
        <w:rPr>
          <w:rFonts w:cstheme="minorHAnsi"/>
        </w:rPr>
        <w:t>confidentially pre-assessed</w:t>
      </w:r>
      <w:r>
        <w:rPr>
          <w:rFonts w:cstheme="minorHAnsi"/>
        </w:rPr>
        <w:t xml:space="preserve"> </w:t>
      </w:r>
      <w:r w:rsidR="00B100EC">
        <w:rPr>
          <w:rFonts w:cstheme="minorHAnsi"/>
        </w:rPr>
        <w:t>(</w:t>
      </w:r>
      <w:r w:rsidR="00D42414">
        <w:rPr>
          <w:rFonts w:cstheme="minorHAnsi"/>
        </w:rPr>
        <w:t>s</w:t>
      </w:r>
      <w:r w:rsidR="00B100EC">
        <w:rPr>
          <w:rFonts w:cstheme="minorHAnsi"/>
        </w:rPr>
        <w:t xml:space="preserve">ee </w:t>
      </w:r>
      <w:r w:rsidR="006D2A65">
        <w:rPr>
          <w:rFonts w:cstheme="minorHAnsi"/>
        </w:rPr>
        <w:t>F</w:t>
      </w:r>
      <w:r>
        <w:rPr>
          <w:rFonts w:cstheme="minorHAnsi"/>
        </w:rPr>
        <w:t>igure 2</w:t>
      </w:r>
      <w:r w:rsidR="00B100EC">
        <w:rPr>
          <w:rFonts w:cstheme="minorHAnsi"/>
        </w:rPr>
        <w:t>)</w:t>
      </w:r>
      <w:r w:rsidRPr="006A3E85">
        <w:rPr>
          <w:rFonts w:cstheme="minorHAnsi"/>
        </w:rPr>
        <w:t xml:space="preserve">. </w:t>
      </w:r>
    </w:p>
    <w:p w14:paraId="1EE52034" w14:textId="7F4AD5A7" w:rsidR="00947E3E" w:rsidRPr="00273A9E" w:rsidRDefault="00947E3E" w:rsidP="0032146C">
      <w:pPr>
        <w:keepNext/>
        <w:rPr>
          <w:b/>
          <w:color w:val="2C384A" w:themeColor="accent1"/>
        </w:rPr>
      </w:pPr>
      <w:r w:rsidRPr="00273A9E">
        <w:rPr>
          <w:b/>
          <w:color w:val="2C384A" w:themeColor="accent1"/>
        </w:rPr>
        <w:t>Figure 2</w:t>
      </w:r>
      <w:r w:rsidR="008B4058" w:rsidRPr="00273A9E">
        <w:rPr>
          <w:b/>
          <w:color w:val="2C384A" w:themeColor="accent1"/>
        </w:rPr>
        <w:t>.</w:t>
      </w:r>
      <w:r w:rsidRPr="00273A9E">
        <w:rPr>
          <w:b/>
          <w:color w:val="2C384A" w:themeColor="accent1"/>
        </w:rPr>
        <w:t xml:space="preserve"> Number of ACCC merger reviews </w:t>
      </w:r>
      <w:r w:rsidR="00CE14D8">
        <w:rPr>
          <w:b/>
          <w:color w:val="2C384A" w:themeColor="accent1"/>
        </w:rPr>
        <w:t>per year</w:t>
      </w:r>
      <w:r w:rsidRPr="00273A9E">
        <w:rPr>
          <w:b/>
          <w:color w:val="2C384A" w:themeColor="accent1"/>
        </w:rPr>
        <w:t xml:space="preserve"> since 2009-10</w:t>
      </w:r>
    </w:p>
    <w:p w14:paraId="6B8C07ED" w14:textId="2358CD13" w:rsidR="005670A6" w:rsidRDefault="00454A2D" w:rsidP="00075BCF">
      <w:pPr>
        <w:pStyle w:val="Bullet"/>
        <w:numPr>
          <w:ilvl w:val="0"/>
          <w:numId w:val="0"/>
        </w:numPr>
        <w:spacing w:after="0"/>
        <w:rPr>
          <w:rFonts w:ascii="Calibri" w:hAnsi="Calibri"/>
          <w:color w:val="000000"/>
          <w:sz w:val="18"/>
        </w:rPr>
      </w:pPr>
      <w:r w:rsidRPr="00454A2D">
        <w:rPr>
          <w:noProof/>
        </w:rPr>
        <w:drawing>
          <wp:inline distT="0" distB="0" distL="0" distR="0" wp14:anchorId="704E7B8D" wp14:editId="076CAC13">
            <wp:extent cx="5568287" cy="343224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81066" cy="3440124"/>
                    </a:xfrm>
                    <a:prstGeom prst="rect">
                      <a:avLst/>
                    </a:prstGeom>
                    <a:noFill/>
                    <a:ln>
                      <a:noFill/>
                    </a:ln>
                  </pic:spPr>
                </pic:pic>
              </a:graphicData>
            </a:graphic>
          </wp:inline>
        </w:drawing>
      </w:r>
    </w:p>
    <w:p w14:paraId="4ACBDF85" w14:textId="16692B5B" w:rsidR="00947E3E" w:rsidRPr="00596BA9" w:rsidRDefault="00947E3E" w:rsidP="00947E3E">
      <w:pPr>
        <w:pStyle w:val="Bullet"/>
        <w:numPr>
          <w:ilvl w:val="0"/>
          <w:numId w:val="0"/>
        </w:numPr>
        <w:rPr>
          <w:i/>
          <w:iCs/>
        </w:rPr>
      </w:pPr>
      <w:r w:rsidRPr="00596BA9">
        <w:rPr>
          <w:rFonts w:ascii="Calibri" w:hAnsi="Calibri"/>
          <w:i/>
          <w:iCs/>
          <w:color w:val="000000"/>
          <w:sz w:val="18"/>
        </w:rPr>
        <w:t xml:space="preserve">Note: Financial year. Source: ACCC. </w:t>
      </w:r>
      <w:r w:rsidR="00A82A97" w:rsidRPr="00596BA9">
        <w:rPr>
          <w:rFonts w:ascii="Calibri" w:hAnsi="Calibri"/>
          <w:i/>
          <w:iCs/>
          <w:color w:val="000000"/>
          <w:sz w:val="18"/>
        </w:rPr>
        <w:t xml:space="preserve">Merger Authorisations are limited to applications made to the ACCC </w:t>
      </w:r>
      <w:r w:rsidR="00F32836" w:rsidRPr="00596BA9">
        <w:rPr>
          <w:rFonts w:ascii="Calibri" w:hAnsi="Calibri"/>
          <w:i/>
          <w:iCs/>
          <w:color w:val="000000"/>
          <w:sz w:val="18"/>
        </w:rPr>
        <w:t>after 2017 where the ACCC became the first instance decision maker.</w:t>
      </w:r>
    </w:p>
    <w:p w14:paraId="3894231A" w14:textId="1ED278D5" w:rsidR="003D6697" w:rsidRDefault="000E472B" w:rsidP="00947E3E">
      <w:pPr>
        <w:pStyle w:val="Bullet"/>
        <w:numPr>
          <w:ilvl w:val="0"/>
          <w:numId w:val="0"/>
        </w:numPr>
        <w:spacing w:line="240" w:lineRule="auto"/>
        <w:rPr>
          <w:rFonts w:asciiTheme="minorHAnsi" w:hAnsiTheme="minorHAnsi" w:cstheme="minorHAnsi"/>
        </w:rPr>
      </w:pPr>
      <w:r w:rsidRPr="00F00C63">
        <w:rPr>
          <w:rFonts w:asciiTheme="minorHAnsi" w:hAnsiTheme="minorHAnsi" w:cstheme="minorHAnsi"/>
          <w:szCs w:val="22"/>
        </w:rPr>
        <w:t>The ACCC has also not substantively updated its guidance on the assessment of merger reviews since 2008.</w:t>
      </w:r>
      <w:r>
        <w:rPr>
          <w:rFonts w:cstheme="minorHAnsi"/>
        </w:rPr>
        <w:t xml:space="preserve"> </w:t>
      </w:r>
      <w:r w:rsidR="00844DCF">
        <w:rPr>
          <w:rFonts w:asciiTheme="minorHAnsi" w:hAnsiTheme="minorHAnsi" w:cstheme="minorHAnsi"/>
        </w:rPr>
        <w:t>Consequently, t</w:t>
      </w:r>
      <w:r w:rsidR="00A61A5B">
        <w:rPr>
          <w:rFonts w:asciiTheme="minorHAnsi" w:hAnsiTheme="minorHAnsi" w:cstheme="minorHAnsi"/>
        </w:rPr>
        <w:t xml:space="preserve">here </w:t>
      </w:r>
      <w:r w:rsidR="00243853">
        <w:rPr>
          <w:rFonts w:asciiTheme="minorHAnsi" w:hAnsiTheme="minorHAnsi" w:cstheme="minorHAnsi"/>
        </w:rPr>
        <w:t xml:space="preserve">can be a lack of clarity around </w:t>
      </w:r>
      <w:r w:rsidR="00844DCF">
        <w:rPr>
          <w:rFonts w:asciiTheme="minorHAnsi" w:hAnsiTheme="minorHAnsi" w:cstheme="minorHAnsi"/>
        </w:rPr>
        <w:t>the ACCC’s substantive approach to merger assessments</w:t>
      </w:r>
      <w:r w:rsidR="00CB656C">
        <w:rPr>
          <w:rFonts w:asciiTheme="minorHAnsi" w:hAnsiTheme="minorHAnsi" w:cstheme="minorHAnsi"/>
        </w:rPr>
        <w:t>,</w:t>
      </w:r>
      <w:r w:rsidR="00844DCF">
        <w:rPr>
          <w:rFonts w:asciiTheme="minorHAnsi" w:hAnsiTheme="minorHAnsi" w:cstheme="minorHAnsi"/>
        </w:rPr>
        <w:t xml:space="preserve"> including </w:t>
      </w:r>
      <w:r w:rsidR="00CB656C">
        <w:rPr>
          <w:rFonts w:asciiTheme="minorHAnsi" w:hAnsiTheme="minorHAnsi" w:cstheme="minorHAnsi"/>
        </w:rPr>
        <w:t xml:space="preserve">on </w:t>
      </w:r>
      <w:r w:rsidR="00844DCF">
        <w:rPr>
          <w:rFonts w:asciiTheme="minorHAnsi" w:hAnsiTheme="minorHAnsi" w:cstheme="minorHAnsi"/>
        </w:rPr>
        <w:t>new or novel competition issues</w:t>
      </w:r>
      <w:r w:rsidR="00A343C3">
        <w:rPr>
          <w:rFonts w:asciiTheme="minorHAnsi" w:hAnsiTheme="minorHAnsi" w:cstheme="minorHAnsi"/>
        </w:rPr>
        <w:t>.</w:t>
      </w:r>
      <w:r w:rsidR="00CB62C2">
        <w:rPr>
          <w:rFonts w:asciiTheme="minorHAnsi" w:hAnsiTheme="minorHAnsi" w:cstheme="minorHAnsi"/>
        </w:rPr>
        <w:t xml:space="preserve"> </w:t>
      </w:r>
      <w:r w:rsidR="00924891">
        <w:rPr>
          <w:rFonts w:asciiTheme="minorHAnsi" w:hAnsiTheme="minorHAnsi" w:cstheme="minorHAnsi"/>
        </w:rPr>
        <w:t>Th</w:t>
      </w:r>
      <w:r w:rsidR="00256761">
        <w:rPr>
          <w:rFonts w:asciiTheme="minorHAnsi" w:hAnsiTheme="minorHAnsi" w:cstheme="minorHAnsi"/>
        </w:rPr>
        <w:t>e</w:t>
      </w:r>
      <w:r w:rsidR="00924891">
        <w:rPr>
          <w:rFonts w:asciiTheme="minorHAnsi" w:hAnsiTheme="minorHAnsi" w:cstheme="minorHAnsi"/>
        </w:rPr>
        <w:t xml:space="preserve"> lack of clarity makes it difficult for merger parties to </w:t>
      </w:r>
      <w:r w:rsidR="00903294">
        <w:rPr>
          <w:rFonts w:asciiTheme="minorHAnsi" w:hAnsiTheme="minorHAnsi" w:cstheme="minorHAnsi"/>
        </w:rPr>
        <w:t>self-assess</w:t>
      </w:r>
      <w:r w:rsidR="00924891">
        <w:rPr>
          <w:rFonts w:asciiTheme="minorHAnsi" w:hAnsiTheme="minorHAnsi" w:cstheme="minorHAnsi"/>
        </w:rPr>
        <w:t xml:space="preserve"> when notification is required, and if they do notify, </w:t>
      </w:r>
      <w:r w:rsidR="00D83F48">
        <w:rPr>
          <w:rFonts w:asciiTheme="minorHAnsi" w:hAnsiTheme="minorHAnsi" w:cstheme="minorHAnsi"/>
        </w:rPr>
        <w:t xml:space="preserve">to understand </w:t>
      </w:r>
      <w:r w:rsidR="00924891">
        <w:rPr>
          <w:rFonts w:asciiTheme="minorHAnsi" w:hAnsiTheme="minorHAnsi" w:cstheme="minorHAnsi"/>
        </w:rPr>
        <w:t xml:space="preserve">the type of information the ACCC will need to undertake its assessment. </w:t>
      </w:r>
      <w:r w:rsidR="000F36A9">
        <w:rPr>
          <w:rFonts w:asciiTheme="minorHAnsi" w:hAnsiTheme="minorHAnsi" w:cstheme="minorHAnsi"/>
        </w:rPr>
        <w:t>This may result in merger parties gathering and supplying unnecessary information (which increases costs) or delays to the review while they compile information the ACCC requires.</w:t>
      </w:r>
      <w:r w:rsidR="00520EC4">
        <w:rPr>
          <w:rFonts w:asciiTheme="minorHAnsi" w:hAnsiTheme="minorHAnsi" w:cstheme="minorHAnsi"/>
        </w:rPr>
        <w:t xml:space="preserve"> </w:t>
      </w:r>
      <w:r w:rsidR="00947E3E">
        <w:rPr>
          <w:rFonts w:asciiTheme="minorHAnsi" w:hAnsiTheme="minorHAnsi" w:cstheme="minorHAnsi"/>
        </w:rPr>
        <w:t>T</w:t>
      </w:r>
      <w:r w:rsidR="00947E3E" w:rsidRPr="006A3E85">
        <w:rPr>
          <w:rFonts w:asciiTheme="minorHAnsi" w:hAnsiTheme="minorHAnsi" w:cstheme="minorHAnsi"/>
        </w:rPr>
        <w:t xml:space="preserve">here is </w:t>
      </w:r>
      <w:r w:rsidR="00947E3E">
        <w:rPr>
          <w:rFonts w:asciiTheme="minorHAnsi" w:hAnsiTheme="minorHAnsi" w:cstheme="minorHAnsi"/>
        </w:rPr>
        <w:t xml:space="preserve">also </w:t>
      </w:r>
      <w:r w:rsidR="00947E3E" w:rsidRPr="006A3E85">
        <w:rPr>
          <w:rFonts w:asciiTheme="minorHAnsi" w:hAnsiTheme="minorHAnsi" w:cstheme="minorHAnsi"/>
        </w:rPr>
        <w:t xml:space="preserve">limited transparency about the information the ACCC </w:t>
      </w:r>
      <w:r w:rsidR="00B100EC">
        <w:rPr>
          <w:rFonts w:asciiTheme="minorHAnsi" w:hAnsiTheme="minorHAnsi" w:cstheme="minorHAnsi"/>
        </w:rPr>
        <w:t>consider</w:t>
      </w:r>
      <w:r w:rsidR="00844DCF">
        <w:rPr>
          <w:rFonts w:asciiTheme="minorHAnsi" w:hAnsiTheme="minorHAnsi" w:cstheme="minorHAnsi"/>
        </w:rPr>
        <w:t>s</w:t>
      </w:r>
      <w:r w:rsidR="00947E3E" w:rsidRPr="006A3E85">
        <w:rPr>
          <w:rFonts w:asciiTheme="minorHAnsi" w:hAnsiTheme="minorHAnsi" w:cstheme="minorHAnsi"/>
        </w:rPr>
        <w:t xml:space="preserve"> </w:t>
      </w:r>
      <w:r w:rsidR="00B100EC">
        <w:rPr>
          <w:rFonts w:asciiTheme="minorHAnsi" w:hAnsiTheme="minorHAnsi" w:cstheme="minorHAnsi"/>
        </w:rPr>
        <w:t xml:space="preserve">in making its </w:t>
      </w:r>
      <w:r w:rsidR="00947E3E" w:rsidRPr="006A3E85">
        <w:rPr>
          <w:rFonts w:asciiTheme="minorHAnsi" w:hAnsiTheme="minorHAnsi" w:cstheme="minorHAnsi"/>
        </w:rPr>
        <w:t>decision</w:t>
      </w:r>
      <w:r w:rsidR="00C12E82">
        <w:rPr>
          <w:rFonts w:asciiTheme="minorHAnsi" w:hAnsiTheme="minorHAnsi" w:cstheme="minorHAnsi"/>
        </w:rPr>
        <w:t xml:space="preserve">, and </w:t>
      </w:r>
      <w:r w:rsidR="00947E3E" w:rsidRPr="006A3E85">
        <w:rPr>
          <w:rFonts w:asciiTheme="minorHAnsi" w:hAnsiTheme="minorHAnsi" w:cstheme="minorHAnsi"/>
        </w:rPr>
        <w:t xml:space="preserve">the process </w:t>
      </w:r>
      <w:r w:rsidR="005C476F">
        <w:rPr>
          <w:rFonts w:asciiTheme="minorHAnsi" w:hAnsiTheme="minorHAnsi" w:cstheme="minorHAnsi"/>
        </w:rPr>
        <w:t>for</w:t>
      </w:r>
      <w:r w:rsidR="00B100EC">
        <w:rPr>
          <w:rFonts w:asciiTheme="minorHAnsi" w:hAnsiTheme="minorHAnsi" w:cstheme="minorHAnsi"/>
        </w:rPr>
        <w:t xml:space="preserve"> assess</w:t>
      </w:r>
      <w:r w:rsidR="005C476F">
        <w:rPr>
          <w:rFonts w:asciiTheme="minorHAnsi" w:hAnsiTheme="minorHAnsi" w:cstheme="minorHAnsi"/>
        </w:rPr>
        <w:t>ing</w:t>
      </w:r>
      <w:r w:rsidR="00B100EC">
        <w:rPr>
          <w:rFonts w:asciiTheme="minorHAnsi" w:hAnsiTheme="minorHAnsi" w:cstheme="minorHAnsi"/>
        </w:rPr>
        <w:t xml:space="preserve"> </w:t>
      </w:r>
      <w:r w:rsidR="002F6093">
        <w:rPr>
          <w:rFonts w:asciiTheme="minorHAnsi" w:hAnsiTheme="minorHAnsi" w:cstheme="minorHAnsi"/>
        </w:rPr>
        <w:t>a merger</w:t>
      </w:r>
      <w:r w:rsidR="00947E3E" w:rsidRPr="006A3E85">
        <w:rPr>
          <w:rFonts w:asciiTheme="minorHAnsi" w:hAnsiTheme="minorHAnsi" w:cstheme="minorHAnsi"/>
        </w:rPr>
        <w:t xml:space="preserve">. This is a result of the limited number of mergers that are made public each year, </w:t>
      </w:r>
      <w:r w:rsidR="00BB43C6">
        <w:rPr>
          <w:rFonts w:asciiTheme="minorHAnsi" w:hAnsiTheme="minorHAnsi" w:cstheme="minorHAnsi"/>
        </w:rPr>
        <w:t xml:space="preserve">and is a feature of a judicial enforcement regime. </w:t>
      </w:r>
    </w:p>
    <w:p w14:paraId="7163B22D" w14:textId="77777777" w:rsidR="004D4497" w:rsidRDefault="00947E3E" w:rsidP="00E315DE">
      <w:pPr>
        <w:pStyle w:val="Bullet"/>
        <w:numPr>
          <w:ilvl w:val="0"/>
          <w:numId w:val="0"/>
        </w:numPr>
        <w:tabs>
          <w:tab w:val="clear" w:pos="720"/>
          <w:tab w:val="left" w:pos="1387"/>
        </w:tabs>
        <w:spacing w:line="240" w:lineRule="auto"/>
        <w:rPr>
          <w:rFonts w:asciiTheme="minorHAnsi" w:hAnsiTheme="minorHAnsi" w:cstheme="minorHAnsi"/>
          <w:szCs w:val="22"/>
        </w:rPr>
      </w:pPr>
      <w:r w:rsidRPr="00E315DE">
        <w:rPr>
          <w:rFonts w:asciiTheme="minorHAnsi" w:hAnsiTheme="minorHAnsi" w:cstheme="minorHAnsi"/>
        </w:rPr>
        <w:t xml:space="preserve">The adversarial nature of the judicial enforcement model means that all interactions between the ACCC and merger parties are under the spectre of potential litigation. This imposes additional cost and procedural requirements, and </w:t>
      </w:r>
      <w:r w:rsidR="002F6093" w:rsidRPr="00E315DE">
        <w:rPr>
          <w:rFonts w:asciiTheme="minorHAnsi" w:hAnsiTheme="minorHAnsi" w:cstheme="minorHAnsi"/>
        </w:rPr>
        <w:t xml:space="preserve">can </w:t>
      </w:r>
      <w:r w:rsidRPr="00E315DE">
        <w:rPr>
          <w:rFonts w:asciiTheme="minorHAnsi" w:hAnsiTheme="minorHAnsi" w:cstheme="minorHAnsi"/>
        </w:rPr>
        <w:t>disincentivise engagement with affected market participants</w:t>
      </w:r>
      <w:r w:rsidR="00765284">
        <w:rPr>
          <w:rFonts w:asciiTheme="minorHAnsi" w:hAnsiTheme="minorHAnsi" w:cstheme="minorHAnsi"/>
        </w:rPr>
        <w:t>,</w:t>
      </w:r>
      <w:r w:rsidRPr="00E315DE">
        <w:rPr>
          <w:rFonts w:asciiTheme="minorHAnsi" w:hAnsiTheme="minorHAnsi" w:cstheme="minorHAnsi"/>
        </w:rPr>
        <w:t xml:space="preserve"> including the merger parties, customers and suppliers.</w:t>
      </w:r>
      <w:r w:rsidR="00BE26D3" w:rsidRPr="00E315DE">
        <w:rPr>
          <w:rFonts w:asciiTheme="minorHAnsi" w:hAnsiTheme="minorHAnsi" w:cstheme="minorHAnsi"/>
        </w:rPr>
        <w:t xml:space="preserve"> </w:t>
      </w:r>
      <w:r w:rsidR="009B7F52" w:rsidRPr="00E315DE">
        <w:rPr>
          <w:rFonts w:asciiTheme="minorHAnsi" w:hAnsiTheme="minorHAnsi" w:cstheme="minorHAnsi"/>
        </w:rPr>
        <w:t xml:space="preserve">The Council of Small Business Organisations Australia </w:t>
      </w:r>
      <w:r w:rsidR="0024394D" w:rsidRPr="00E315DE">
        <w:rPr>
          <w:rFonts w:asciiTheme="minorHAnsi" w:hAnsiTheme="minorHAnsi" w:cstheme="minorHAnsi"/>
        </w:rPr>
        <w:t>submitted that</w:t>
      </w:r>
      <w:r w:rsidR="0024394D" w:rsidRPr="00A2369C">
        <w:rPr>
          <w:rFonts w:cstheme="minorHAnsi"/>
        </w:rPr>
        <w:t xml:space="preserve"> </w:t>
      </w:r>
      <w:r w:rsidR="0024394D" w:rsidRPr="000A2788">
        <w:rPr>
          <w:rFonts w:asciiTheme="minorHAnsi" w:hAnsiTheme="minorHAnsi" w:cstheme="minorHAnsi"/>
          <w:szCs w:val="22"/>
        </w:rPr>
        <w:t>‘</w:t>
      </w:r>
      <w:r w:rsidR="0024394D" w:rsidRPr="000A2788">
        <w:rPr>
          <w:rFonts w:asciiTheme="minorHAnsi" w:hAnsiTheme="minorHAnsi" w:cstheme="minorHAnsi"/>
          <w:i/>
          <w:iCs/>
          <w:szCs w:val="22"/>
        </w:rPr>
        <w:t>In any judicial enforcement model, including the current model, COSBOA agrees that court proceedings are time and resource intensive</w:t>
      </w:r>
      <w:r w:rsidR="0024394D" w:rsidRPr="000A2788">
        <w:rPr>
          <w:rFonts w:asciiTheme="minorHAnsi" w:hAnsiTheme="minorHAnsi" w:cstheme="minorHAnsi"/>
          <w:szCs w:val="22"/>
        </w:rPr>
        <w:t>.’</w:t>
      </w:r>
      <w:r w:rsidR="00ED2D16" w:rsidRPr="000A2788">
        <w:rPr>
          <w:rStyle w:val="FootnoteReference"/>
          <w:rFonts w:asciiTheme="minorHAnsi" w:hAnsiTheme="minorHAnsi" w:cstheme="minorHAnsi"/>
          <w:szCs w:val="22"/>
        </w:rPr>
        <w:footnoteReference w:id="34"/>
      </w:r>
      <w:r w:rsidR="0024394D" w:rsidRPr="000A2788">
        <w:rPr>
          <w:rFonts w:asciiTheme="minorHAnsi" w:hAnsiTheme="minorHAnsi" w:cstheme="minorHAnsi"/>
          <w:szCs w:val="22"/>
        </w:rPr>
        <w:t xml:space="preserve"> </w:t>
      </w:r>
    </w:p>
    <w:p w14:paraId="265123CC" w14:textId="04349708" w:rsidR="00173DD1" w:rsidRPr="00E315DE" w:rsidRDefault="004D4497" w:rsidP="00E315DE">
      <w:pPr>
        <w:pStyle w:val="Bullet"/>
        <w:numPr>
          <w:ilvl w:val="0"/>
          <w:numId w:val="0"/>
        </w:numPr>
        <w:tabs>
          <w:tab w:val="clear" w:pos="720"/>
          <w:tab w:val="left" w:pos="1387"/>
        </w:tabs>
        <w:spacing w:line="240" w:lineRule="auto"/>
        <w:rPr>
          <w:rFonts w:asciiTheme="minorHAnsi" w:hAnsiTheme="minorHAnsi" w:cstheme="minorHAnsi"/>
        </w:rPr>
      </w:pPr>
      <w:r>
        <w:rPr>
          <w:rFonts w:asciiTheme="minorHAnsi" w:hAnsiTheme="minorHAnsi" w:cstheme="minorHAnsi"/>
          <w:szCs w:val="22"/>
        </w:rPr>
        <w:t xml:space="preserve">The </w:t>
      </w:r>
      <w:r w:rsidR="00BE26D3" w:rsidRPr="000A2788">
        <w:rPr>
          <w:rFonts w:asciiTheme="minorHAnsi" w:hAnsiTheme="minorHAnsi" w:cstheme="minorHAnsi"/>
          <w:szCs w:val="22"/>
        </w:rPr>
        <w:t xml:space="preserve">ACCC noted that </w:t>
      </w:r>
      <w:r w:rsidR="00517F2F" w:rsidRPr="000A2788">
        <w:rPr>
          <w:rFonts w:asciiTheme="minorHAnsi" w:hAnsiTheme="minorHAnsi" w:cstheme="minorHAnsi"/>
          <w:szCs w:val="22"/>
        </w:rPr>
        <w:t xml:space="preserve">the </w:t>
      </w:r>
      <w:r w:rsidR="00BE26D3" w:rsidRPr="000A2788">
        <w:rPr>
          <w:rFonts w:asciiTheme="minorHAnsi" w:hAnsiTheme="minorHAnsi" w:cstheme="minorHAnsi"/>
          <w:szCs w:val="22"/>
        </w:rPr>
        <w:t>‘</w:t>
      </w:r>
      <w:r w:rsidR="00127B74" w:rsidRPr="000A2788">
        <w:rPr>
          <w:rFonts w:asciiTheme="minorHAnsi" w:hAnsiTheme="minorHAnsi" w:cstheme="minorHAnsi"/>
          <w:szCs w:val="22"/>
        </w:rPr>
        <w:t>…</w:t>
      </w:r>
      <w:r w:rsidR="00F508F9" w:rsidRPr="000A2788">
        <w:rPr>
          <w:rFonts w:asciiTheme="minorHAnsi" w:hAnsiTheme="minorHAnsi" w:cstheme="minorHAnsi"/>
          <w:i/>
          <w:szCs w:val="22"/>
        </w:rPr>
        <w:t>required level of admissible evidence needed to prove that the transaction would breach section 50 if it proceeds may not exist due to the uncertainty about the future or is difficult to obtain because of the information asymmetry that exists between the merger parties and the ACCC and/or the reluctance of third-party witnesses (such as customers) to appear in court</w:t>
      </w:r>
      <w:r w:rsidR="00F508F9" w:rsidRPr="000A2788">
        <w:rPr>
          <w:rStyle w:val="cf01"/>
          <w:rFonts w:asciiTheme="minorHAnsi" w:hAnsiTheme="minorHAnsi" w:cstheme="minorHAnsi"/>
          <w:sz w:val="22"/>
          <w:szCs w:val="22"/>
        </w:rPr>
        <w:t>.</w:t>
      </w:r>
      <w:r w:rsidR="00366C2E" w:rsidRPr="000A2788">
        <w:rPr>
          <w:rStyle w:val="cf01"/>
          <w:rFonts w:asciiTheme="minorHAnsi" w:hAnsiTheme="minorHAnsi" w:cstheme="minorHAnsi"/>
          <w:sz w:val="22"/>
          <w:szCs w:val="22"/>
        </w:rPr>
        <w:t>’</w:t>
      </w:r>
      <w:r w:rsidR="00D70FA3" w:rsidRPr="002B41E9">
        <w:rPr>
          <w:rStyle w:val="FootnoteReference"/>
          <w:rFonts w:cstheme="minorHAnsi"/>
        </w:rPr>
        <w:footnoteReference w:id="35"/>
      </w:r>
      <w:r w:rsidR="00DA6DF4">
        <w:rPr>
          <w:rFonts w:cstheme="minorHAnsi"/>
        </w:rPr>
        <w:t xml:space="preserve"> </w:t>
      </w:r>
      <w:r w:rsidR="00DA6DF4" w:rsidRPr="00E315DE">
        <w:rPr>
          <w:rFonts w:asciiTheme="minorHAnsi" w:hAnsiTheme="minorHAnsi" w:cstheme="minorHAnsi"/>
        </w:rPr>
        <w:t xml:space="preserve">Public communication </w:t>
      </w:r>
      <w:r w:rsidR="00E06E40" w:rsidRPr="00E315DE">
        <w:rPr>
          <w:rFonts w:asciiTheme="minorHAnsi" w:hAnsiTheme="minorHAnsi" w:cstheme="minorHAnsi"/>
        </w:rPr>
        <w:t>by the ACCC may also be impeded, reducing community understanding of the purpose and goals of merger policy.</w:t>
      </w:r>
    </w:p>
    <w:p w14:paraId="756E6C06" w14:textId="1F5B8040" w:rsidR="00947E3E" w:rsidRPr="006A3E85" w:rsidRDefault="00E11E70" w:rsidP="00F005AC">
      <w:pPr>
        <w:pStyle w:val="Bullet"/>
        <w:numPr>
          <w:ilvl w:val="0"/>
          <w:numId w:val="0"/>
        </w:numPr>
        <w:tabs>
          <w:tab w:val="clear" w:pos="720"/>
          <w:tab w:val="left" w:pos="1387"/>
        </w:tabs>
        <w:spacing w:line="240" w:lineRule="auto"/>
        <w:rPr>
          <w:rFonts w:asciiTheme="minorHAnsi" w:hAnsiTheme="minorHAnsi" w:cstheme="minorHAnsi"/>
        </w:rPr>
      </w:pPr>
      <w:r>
        <w:rPr>
          <w:rFonts w:asciiTheme="minorHAnsi" w:hAnsiTheme="minorHAnsi" w:cstheme="minorHAnsi"/>
        </w:rPr>
        <w:t>C</w:t>
      </w:r>
      <w:r w:rsidR="00947E3E" w:rsidRPr="006A3E85">
        <w:rPr>
          <w:rFonts w:asciiTheme="minorHAnsi" w:hAnsiTheme="minorHAnsi" w:cstheme="minorHAnsi"/>
        </w:rPr>
        <w:t xml:space="preserve">ourt </w:t>
      </w:r>
      <w:r w:rsidR="00E429BF">
        <w:rPr>
          <w:rFonts w:asciiTheme="minorHAnsi" w:hAnsiTheme="minorHAnsi" w:cstheme="minorHAnsi"/>
        </w:rPr>
        <w:t xml:space="preserve">proceedings can </w:t>
      </w:r>
      <w:r>
        <w:rPr>
          <w:rFonts w:asciiTheme="minorHAnsi" w:hAnsiTheme="minorHAnsi" w:cstheme="minorHAnsi"/>
        </w:rPr>
        <w:t>also</w:t>
      </w:r>
      <w:r w:rsidR="00E429BF">
        <w:rPr>
          <w:rFonts w:asciiTheme="minorHAnsi" w:hAnsiTheme="minorHAnsi" w:cstheme="minorHAnsi"/>
        </w:rPr>
        <w:t xml:space="preserve"> be </w:t>
      </w:r>
      <w:r w:rsidR="00947E3E" w:rsidRPr="006A3E85">
        <w:rPr>
          <w:rFonts w:asciiTheme="minorHAnsi" w:hAnsiTheme="minorHAnsi" w:cstheme="minorHAnsi"/>
        </w:rPr>
        <w:t>difficult and resource</w:t>
      </w:r>
      <w:r w:rsidR="00B8389B">
        <w:rPr>
          <w:rFonts w:asciiTheme="minorHAnsi" w:hAnsiTheme="minorHAnsi" w:cstheme="minorHAnsi"/>
        </w:rPr>
        <w:t xml:space="preserve"> </w:t>
      </w:r>
      <w:r w:rsidR="00947E3E" w:rsidRPr="006A3E85">
        <w:rPr>
          <w:rFonts w:asciiTheme="minorHAnsi" w:hAnsiTheme="minorHAnsi" w:cstheme="minorHAnsi"/>
        </w:rPr>
        <w:t xml:space="preserve">intensive </w:t>
      </w:r>
      <w:r w:rsidR="00E429BF">
        <w:rPr>
          <w:rFonts w:asciiTheme="minorHAnsi" w:hAnsiTheme="minorHAnsi" w:cstheme="minorHAnsi"/>
        </w:rPr>
        <w:t>particularly for parties</w:t>
      </w:r>
      <w:r w:rsidR="00947E3E" w:rsidRPr="006A3E85">
        <w:rPr>
          <w:rFonts w:asciiTheme="minorHAnsi" w:hAnsiTheme="minorHAnsi" w:cstheme="minorHAnsi"/>
        </w:rPr>
        <w:t xml:space="preserve"> </w:t>
      </w:r>
      <w:r w:rsidR="001F0989">
        <w:rPr>
          <w:rFonts w:asciiTheme="minorHAnsi" w:hAnsiTheme="minorHAnsi" w:cstheme="minorHAnsi"/>
        </w:rPr>
        <w:t xml:space="preserve">who are </w:t>
      </w:r>
      <w:r w:rsidR="00947E3E" w:rsidRPr="006A3E85">
        <w:rPr>
          <w:rFonts w:asciiTheme="minorHAnsi" w:hAnsiTheme="minorHAnsi" w:cstheme="minorHAnsi"/>
        </w:rPr>
        <w:t xml:space="preserve">comparatively under-resourced, such as consumer groups, small businesses, and third-party witnesses. As a result, third parties who may be affected by a merger </w:t>
      </w:r>
      <w:r w:rsidR="001F0989">
        <w:rPr>
          <w:rFonts w:asciiTheme="minorHAnsi" w:hAnsiTheme="minorHAnsi" w:cstheme="minorHAnsi"/>
        </w:rPr>
        <w:t xml:space="preserve">may be </w:t>
      </w:r>
      <w:r w:rsidR="00947E3E" w:rsidRPr="006A3E85">
        <w:rPr>
          <w:rFonts w:asciiTheme="minorHAnsi" w:hAnsiTheme="minorHAnsi" w:cstheme="minorHAnsi"/>
        </w:rPr>
        <w:t>deterred from participation due to a reluctance to appear in court, fear of retribution, and/or cost</w:t>
      </w:r>
      <w:r w:rsidR="004F0628">
        <w:rPr>
          <w:rFonts w:asciiTheme="minorHAnsi" w:hAnsiTheme="minorHAnsi" w:cstheme="minorHAnsi"/>
        </w:rPr>
        <w:t>s</w:t>
      </w:r>
      <w:r w:rsidR="00947E3E">
        <w:rPr>
          <w:rFonts w:asciiTheme="minorHAnsi" w:hAnsiTheme="minorHAnsi" w:cstheme="minorHAnsi"/>
        </w:rPr>
        <w:t>.</w:t>
      </w:r>
      <w:r w:rsidR="00947E3E" w:rsidRPr="006A3E85">
        <w:rPr>
          <w:rStyle w:val="FootnoteReference"/>
          <w:rFonts w:asciiTheme="minorHAnsi" w:hAnsiTheme="minorHAnsi" w:cstheme="minorHAnsi"/>
        </w:rPr>
        <w:footnoteReference w:id="36"/>
      </w:r>
      <w:r w:rsidR="00947E3E" w:rsidRPr="006A3E85">
        <w:rPr>
          <w:rFonts w:asciiTheme="minorHAnsi" w:hAnsiTheme="minorHAnsi" w:cstheme="minorHAnsi"/>
        </w:rPr>
        <w:t xml:space="preserve"> </w:t>
      </w:r>
      <w:r w:rsidR="00755A07" w:rsidRPr="00755A07">
        <w:rPr>
          <w:rFonts w:asciiTheme="minorHAnsi" w:hAnsiTheme="minorHAnsi" w:cstheme="minorHAnsi"/>
          <w:szCs w:val="22"/>
        </w:rPr>
        <w:t>CHOICE and Consumers Federation of Australia noted that ‘</w:t>
      </w:r>
      <w:r w:rsidR="00755A07" w:rsidRPr="00755A07">
        <w:rPr>
          <w:rFonts w:asciiTheme="minorHAnsi" w:eastAsia="ArialMT" w:hAnsiTheme="minorHAnsi" w:cstheme="minorHAnsi"/>
          <w:i/>
          <w:iCs/>
          <w:szCs w:val="22"/>
        </w:rPr>
        <w:t>Consumers and consumer advocates are even more resource constrained than regulators, and there will inevitably be a limit to their capacity to engage with merger control processes…Consumer advocates typically cannot engage with Tribunal or court based processes without funding support</w:t>
      </w:r>
      <w:r w:rsidR="00755A07" w:rsidRPr="00755A07">
        <w:rPr>
          <w:rFonts w:asciiTheme="minorHAnsi" w:eastAsia="ArialMT" w:hAnsiTheme="minorHAnsi" w:cstheme="minorHAnsi"/>
          <w:szCs w:val="22"/>
        </w:rPr>
        <w:t>.’</w:t>
      </w:r>
      <w:r w:rsidR="00755A07" w:rsidRPr="00755A07">
        <w:rPr>
          <w:rStyle w:val="FootnoteReference"/>
          <w:rFonts w:asciiTheme="minorHAnsi" w:eastAsia="ArialMT" w:hAnsiTheme="minorHAnsi" w:cstheme="minorHAnsi"/>
          <w:szCs w:val="22"/>
        </w:rPr>
        <w:footnoteReference w:id="37"/>
      </w:r>
      <w:r w:rsidR="00755A07" w:rsidRPr="00755A07">
        <w:rPr>
          <w:rFonts w:asciiTheme="minorHAnsi" w:eastAsia="ArialMT" w:hAnsiTheme="minorHAnsi" w:cstheme="minorHAnsi"/>
          <w:szCs w:val="22"/>
        </w:rPr>
        <w:t xml:space="preserve"> </w:t>
      </w:r>
    </w:p>
    <w:p w14:paraId="58639F0F" w14:textId="2078B221" w:rsidR="00001F83" w:rsidRDefault="00ED272D" w:rsidP="00947E3E">
      <w:pPr>
        <w:pStyle w:val="Bullet"/>
        <w:numPr>
          <w:ilvl w:val="0"/>
          <w:numId w:val="0"/>
        </w:numPr>
        <w:tabs>
          <w:tab w:val="clear" w:pos="720"/>
          <w:tab w:val="left" w:pos="1387"/>
        </w:tabs>
        <w:spacing w:line="240" w:lineRule="auto"/>
        <w:rPr>
          <w:rFonts w:asciiTheme="minorHAnsi" w:hAnsiTheme="minorHAnsi" w:cstheme="minorHAnsi"/>
        </w:rPr>
      </w:pPr>
      <w:r>
        <w:rPr>
          <w:rFonts w:asciiTheme="minorHAnsi" w:hAnsiTheme="minorHAnsi" w:cstheme="minorHAnsi"/>
        </w:rPr>
        <w:t>Treasury also heard from stakeholders (including consumer and small business groups)</w:t>
      </w:r>
      <w:r w:rsidR="00947E3E" w:rsidRPr="006A3E85">
        <w:rPr>
          <w:rFonts w:asciiTheme="minorHAnsi" w:hAnsiTheme="minorHAnsi" w:cstheme="minorHAnsi"/>
        </w:rPr>
        <w:t xml:space="preserve"> that the </w:t>
      </w:r>
      <w:r w:rsidR="00000856">
        <w:rPr>
          <w:rFonts w:asciiTheme="minorHAnsi" w:hAnsiTheme="minorHAnsi" w:cstheme="minorHAnsi"/>
        </w:rPr>
        <w:t xml:space="preserve">ACCC’s practice of reviewing most mergers confidentially compromises their ability to meaningfully </w:t>
      </w:r>
      <w:r w:rsidR="00947E3E" w:rsidRPr="006A3E85">
        <w:rPr>
          <w:rFonts w:asciiTheme="minorHAnsi" w:hAnsiTheme="minorHAnsi" w:cstheme="minorHAnsi"/>
        </w:rPr>
        <w:t>engage with the ACCC</w:t>
      </w:r>
      <w:r w:rsidR="00000856">
        <w:rPr>
          <w:rFonts w:asciiTheme="minorHAnsi" w:hAnsiTheme="minorHAnsi" w:cstheme="minorHAnsi"/>
        </w:rPr>
        <w:t xml:space="preserve">’s </w:t>
      </w:r>
      <w:r w:rsidR="00F86EEF">
        <w:rPr>
          <w:rFonts w:asciiTheme="minorHAnsi" w:hAnsiTheme="minorHAnsi" w:cstheme="minorHAnsi"/>
        </w:rPr>
        <w:t xml:space="preserve">merger </w:t>
      </w:r>
      <w:r w:rsidR="00000856">
        <w:rPr>
          <w:rFonts w:asciiTheme="minorHAnsi" w:hAnsiTheme="minorHAnsi" w:cstheme="minorHAnsi"/>
        </w:rPr>
        <w:t>review</w:t>
      </w:r>
      <w:r w:rsidR="001A5AD3">
        <w:rPr>
          <w:rFonts w:asciiTheme="minorHAnsi" w:hAnsiTheme="minorHAnsi" w:cstheme="minorHAnsi"/>
        </w:rPr>
        <w:t>s,</w:t>
      </w:r>
      <w:r w:rsidR="00715F3E">
        <w:rPr>
          <w:rFonts w:asciiTheme="minorHAnsi" w:hAnsiTheme="minorHAnsi" w:cstheme="minorHAnsi"/>
        </w:rPr>
        <w:t xml:space="preserve"> as the</w:t>
      </w:r>
      <w:r w:rsidR="002517D9">
        <w:rPr>
          <w:rFonts w:asciiTheme="minorHAnsi" w:hAnsiTheme="minorHAnsi" w:cstheme="minorHAnsi"/>
        </w:rPr>
        <w:t>se</w:t>
      </w:r>
      <w:r w:rsidR="00715F3E">
        <w:rPr>
          <w:rFonts w:asciiTheme="minorHAnsi" w:hAnsiTheme="minorHAnsi" w:cstheme="minorHAnsi"/>
        </w:rPr>
        <w:t xml:space="preserve"> matter</w:t>
      </w:r>
      <w:r w:rsidR="001A5AD3">
        <w:rPr>
          <w:rFonts w:asciiTheme="minorHAnsi" w:hAnsiTheme="minorHAnsi" w:cstheme="minorHAnsi"/>
        </w:rPr>
        <w:t>s</w:t>
      </w:r>
      <w:r w:rsidR="00715F3E">
        <w:rPr>
          <w:rFonts w:asciiTheme="minorHAnsi" w:hAnsiTheme="minorHAnsi" w:cstheme="minorHAnsi"/>
        </w:rPr>
        <w:t xml:space="preserve"> </w:t>
      </w:r>
      <w:r w:rsidR="00240ECE">
        <w:rPr>
          <w:rFonts w:asciiTheme="minorHAnsi" w:hAnsiTheme="minorHAnsi" w:cstheme="minorHAnsi"/>
        </w:rPr>
        <w:t xml:space="preserve">do not </w:t>
      </w:r>
      <w:r w:rsidR="00715F3E">
        <w:rPr>
          <w:rFonts w:asciiTheme="minorHAnsi" w:hAnsiTheme="minorHAnsi" w:cstheme="minorHAnsi"/>
        </w:rPr>
        <w:t>appear on the public register</w:t>
      </w:r>
      <w:r w:rsidR="00FD40E1">
        <w:rPr>
          <w:rFonts w:asciiTheme="minorHAnsi" w:hAnsiTheme="minorHAnsi" w:cstheme="minorHAnsi"/>
        </w:rPr>
        <w:t xml:space="preserve">. These stakeholders </w:t>
      </w:r>
      <w:r w:rsidR="00947E3E" w:rsidRPr="006A3E85">
        <w:rPr>
          <w:rFonts w:asciiTheme="minorHAnsi" w:hAnsiTheme="minorHAnsi" w:cstheme="minorHAnsi"/>
        </w:rPr>
        <w:t xml:space="preserve">advocated for increased transparency to </w:t>
      </w:r>
      <w:r w:rsidR="00B0196C">
        <w:rPr>
          <w:rFonts w:asciiTheme="minorHAnsi" w:hAnsiTheme="minorHAnsi" w:cstheme="minorHAnsi"/>
        </w:rPr>
        <w:t>ensure third parties</w:t>
      </w:r>
      <w:r w:rsidR="00C91EDB">
        <w:rPr>
          <w:rFonts w:asciiTheme="minorHAnsi" w:hAnsiTheme="minorHAnsi" w:cstheme="minorHAnsi"/>
        </w:rPr>
        <w:t xml:space="preserve"> affected by a merger</w:t>
      </w:r>
      <w:r w:rsidR="00B0196C">
        <w:rPr>
          <w:rFonts w:asciiTheme="minorHAnsi" w:hAnsiTheme="minorHAnsi" w:cstheme="minorHAnsi"/>
        </w:rPr>
        <w:t xml:space="preserve"> are aware the ACCC is undertaking a review and </w:t>
      </w:r>
      <w:r w:rsidR="00FC047F">
        <w:rPr>
          <w:rFonts w:asciiTheme="minorHAnsi" w:hAnsiTheme="minorHAnsi" w:cstheme="minorHAnsi"/>
        </w:rPr>
        <w:t>provide</w:t>
      </w:r>
      <w:r w:rsidR="00B0196C">
        <w:rPr>
          <w:rFonts w:asciiTheme="minorHAnsi" w:hAnsiTheme="minorHAnsi" w:cstheme="minorHAnsi"/>
        </w:rPr>
        <w:t xml:space="preserve"> th</w:t>
      </w:r>
      <w:r w:rsidR="00C91EDB">
        <w:rPr>
          <w:rFonts w:asciiTheme="minorHAnsi" w:hAnsiTheme="minorHAnsi" w:cstheme="minorHAnsi"/>
        </w:rPr>
        <w:t xml:space="preserve">em the ability to make </w:t>
      </w:r>
      <w:r w:rsidR="00D4240A">
        <w:rPr>
          <w:rFonts w:asciiTheme="minorHAnsi" w:hAnsiTheme="minorHAnsi" w:cstheme="minorHAnsi"/>
        </w:rPr>
        <w:t xml:space="preserve">submissions to </w:t>
      </w:r>
      <w:r w:rsidR="00000856">
        <w:rPr>
          <w:rFonts w:asciiTheme="minorHAnsi" w:hAnsiTheme="minorHAnsi" w:cstheme="minorHAnsi"/>
        </w:rPr>
        <w:t>the ACCC</w:t>
      </w:r>
      <w:r w:rsidR="00B82D76">
        <w:rPr>
          <w:rFonts w:asciiTheme="minorHAnsi" w:hAnsiTheme="minorHAnsi" w:cstheme="minorHAnsi"/>
        </w:rPr>
        <w:t>.</w:t>
      </w:r>
      <w:r w:rsidR="00B15327">
        <w:rPr>
          <w:rStyle w:val="FootnoteReference"/>
          <w:rFonts w:asciiTheme="minorHAnsi" w:hAnsiTheme="minorHAnsi" w:cstheme="minorHAnsi"/>
        </w:rPr>
        <w:footnoteReference w:id="38"/>
      </w:r>
      <w:r w:rsidR="00947E3E" w:rsidRPr="006A3E85">
        <w:rPr>
          <w:rFonts w:asciiTheme="minorHAnsi" w:hAnsiTheme="minorHAnsi" w:cstheme="minorHAnsi"/>
        </w:rPr>
        <w:t xml:space="preserve"> </w:t>
      </w:r>
    </w:p>
    <w:p w14:paraId="2833198B" w14:textId="6EAC05B3" w:rsidR="00947E3E" w:rsidRPr="00132CFE" w:rsidRDefault="00480C53" w:rsidP="00947E3E">
      <w:pPr>
        <w:pStyle w:val="Bullet"/>
        <w:numPr>
          <w:ilvl w:val="0"/>
          <w:numId w:val="0"/>
        </w:numPr>
        <w:tabs>
          <w:tab w:val="clear" w:pos="720"/>
          <w:tab w:val="left" w:pos="1387"/>
        </w:tabs>
        <w:spacing w:line="240" w:lineRule="auto"/>
        <w:rPr>
          <w:rFonts w:asciiTheme="minorHAnsi" w:hAnsiTheme="minorHAnsi" w:cstheme="minorHAnsi"/>
        </w:rPr>
      </w:pPr>
      <w:r w:rsidRPr="00E0278C">
        <w:rPr>
          <w:rFonts w:asciiTheme="minorHAnsi" w:hAnsiTheme="minorHAnsi" w:cstheme="minorHAnsi"/>
          <w:szCs w:val="22"/>
        </w:rPr>
        <w:t xml:space="preserve">The </w:t>
      </w:r>
      <w:r w:rsidR="002A3CA3" w:rsidRPr="00E0278C">
        <w:rPr>
          <w:rFonts w:asciiTheme="minorHAnsi" w:hAnsiTheme="minorHAnsi" w:cstheme="minorHAnsi"/>
          <w:szCs w:val="22"/>
        </w:rPr>
        <w:t xml:space="preserve">Australian Small Business and Family Enterprise Ombudsman submitted </w:t>
      </w:r>
      <w:r w:rsidR="00FC2EA4" w:rsidRPr="00E0278C">
        <w:rPr>
          <w:rFonts w:asciiTheme="minorHAnsi" w:hAnsiTheme="minorHAnsi" w:cstheme="minorHAnsi"/>
          <w:szCs w:val="22"/>
        </w:rPr>
        <w:t xml:space="preserve">that </w:t>
      </w:r>
      <w:r w:rsidR="00791F74" w:rsidRPr="00E0278C">
        <w:rPr>
          <w:rFonts w:asciiTheme="minorHAnsi" w:hAnsiTheme="minorHAnsi" w:cstheme="minorHAnsi"/>
          <w:szCs w:val="22"/>
        </w:rPr>
        <w:t>‘</w:t>
      </w:r>
      <w:r w:rsidR="00791F74" w:rsidRPr="00E0278C">
        <w:rPr>
          <w:rFonts w:asciiTheme="minorHAnsi" w:hAnsiTheme="minorHAnsi" w:cstheme="minorHAnsi"/>
          <w:i/>
          <w:iCs/>
          <w:szCs w:val="22"/>
        </w:rPr>
        <w:t>a pertinent example is the Woolworths’ purchase of PDF Food Services. Most small businesses would have been unaware of the proposal, and many may not have appreciated future secondary impacts of this acquisition, notably the limiting of supplier options outside the already-concentrated major supermar</w:t>
      </w:r>
      <w:r w:rsidR="00FA107C">
        <w:rPr>
          <w:rFonts w:asciiTheme="minorHAnsi" w:hAnsiTheme="minorHAnsi" w:cstheme="minorHAnsi"/>
          <w:i/>
          <w:iCs/>
          <w:szCs w:val="22"/>
        </w:rPr>
        <w:t>k</w:t>
      </w:r>
      <w:r w:rsidR="00791F74" w:rsidRPr="00E0278C">
        <w:rPr>
          <w:rFonts w:asciiTheme="minorHAnsi" w:hAnsiTheme="minorHAnsi" w:cstheme="minorHAnsi"/>
          <w:i/>
          <w:iCs/>
          <w:szCs w:val="22"/>
        </w:rPr>
        <w:t>et sector</w:t>
      </w:r>
      <w:r w:rsidR="00791F74" w:rsidRPr="00E0278C">
        <w:rPr>
          <w:rFonts w:asciiTheme="minorHAnsi" w:hAnsiTheme="minorHAnsi" w:cstheme="minorHAnsi"/>
          <w:szCs w:val="22"/>
        </w:rPr>
        <w:t xml:space="preserve">’. </w:t>
      </w:r>
    </w:p>
    <w:p w14:paraId="72D91F38" w14:textId="77777777" w:rsidR="0032275B" w:rsidRDefault="00C91EDB" w:rsidP="00947E3E">
      <w:pPr>
        <w:spacing w:line="240" w:lineRule="auto"/>
      </w:pPr>
      <w:r>
        <w:rPr>
          <w:rFonts w:cstheme="minorHAnsi"/>
        </w:rPr>
        <w:t>The ACCC also publish</w:t>
      </w:r>
      <w:r w:rsidR="00F3650D">
        <w:rPr>
          <w:rFonts w:cstheme="minorHAnsi"/>
        </w:rPr>
        <w:t>es limited reasoning for its</w:t>
      </w:r>
      <w:r>
        <w:rPr>
          <w:rFonts w:cstheme="minorHAnsi"/>
        </w:rPr>
        <w:t xml:space="preserve"> </w:t>
      </w:r>
      <w:r w:rsidR="00900A9D">
        <w:rPr>
          <w:rFonts w:cstheme="minorHAnsi"/>
        </w:rPr>
        <w:t>merger assessments</w:t>
      </w:r>
      <w:r w:rsidR="00947E3E" w:rsidRPr="006A3E85">
        <w:rPr>
          <w:rFonts w:cstheme="minorHAnsi"/>
        </w:rPr>
        <w:t xml:space="preserve">. </w:t>
      </w:r>
      <w:r w:rsidR="00947E3E" w:rsidRPr="00891898">
        <w:rPr>
          <w:rFonts w:cstheme="minorHAnsi"/>
        </w:rPr>
        <w:t xml:space="preserve">In the past 10 years, there have been 67 </w:t>
      </w:r>
      <w:r w:rsidR="00F912B4">
        <w:rPr>
          <w:rFonts w:cstheme="minorHAnsi"/>
        </w:rPr>
        <w:t xml:space="preserve">instances </w:t>
      </w:r>
      <w:r w:rsidR="00947E3E" w:rsidRPr="00891898">
        <w:rPr>
          <w:rFonts w:cstheme="minorHAnsi"/>
        </w:rPr>
        <w:t xml:space="preserve">where the ACCC has released a public competition assessment setting out its </w:t>
      </w:r>
      <w:r w:rsidR="00F912B4">
        <w:rPr>
          <w:rFonts w:cstheme="minorHAnsi"/>
        </w:rPr>
        <w:t>views</w:t>
      </w:r>
      <w:r w:rsidR="00947E3E" w:rsidRPr="00891898">
        <w:rPr>
          <w:rFonts w:cstheme="minorHAnsi"/>
        </w:rPr>
        <w:t xml:space="preserve">. This is only </w:t>
      </w:r>
      <w:r w:rsidR="00BA246A">
        <w:rPr>
          <w:rFonts w:cstheme="minorHAnsi"/>
        </w:rPr>
        <w:t>2</w:t>
      </w:r>
      <w:r w:rsidR="00935AA4">
        <w:rPr>
          <w:rFonts w:cstheme="minorHAnsi"/>
        </w:rPr>
        <w:t xml:space="preserve"> </w:t>
      </w:r>
      <w:r w:rsidR="00947E3E" w:rsidRPr="00891898">
        <w:rPr>
          <w:rFonts w:cstheme="minorHAnsi"/>
        </w:rPr>
        <w:t xml:space="preserve">per cent of all </w:t>
      </w:r>
      <w:r w:rsidR="00F912B4">
        <w:rPr>
          <w:rFonts w:cstheme="minorHAnsi"/>
        </w:rPr>
        <w:t>reviews</w:t>
      </w:r>
      <w:r w:rsidR="00947E3E">
        <w:rPr>
          <w:rFonts w:cstheme="minorHAnsi"/>
        </w:rPr>
        <w:t>, and 17 per cent of all public reviews.</w:t>
      </w:r>
      <w:r w:rsidR="00947E3E" w:rsidRPr="00891898">
        <w:rPr>
          <w:rFonts w:cstheme="minorHAnsi"/>
          <w:vertAlign w:val="superscript"/>
        </w:rPr>
        <w:footnoteReference w:id="39"/>
      </w:r>
      <w:r w:rsidR="00947E3E">
        <w:rPr>
          <w:rFonts w:cstheme="minorHAnsi"/>
        </w:rPr>
        <w:t xml:space="preserve"> </w:t>
      </w:r>
      <w:r w:rsidR="00E37D2F">
        <w:rPr>
          <w:rFonts w:cstheme="minorHAnsi"/>
        </w:rPr>
        <w:t xml:space="preserve">For mergers which the ACCC had indicated it would oppose, </w:t>
      </w:r>
      <w:r w:rsidR="00947E3E">
        <w:rPr>
          <w:rFonts w:cstheme="minorHAnsi"/>
        </w:rPr>
        <w:t xml:space="preserve">this </w:t>
      </w:r>
      <w:r w:rsidR="001E25D0">
        <w:rPr>
          <w:rFonts w:cstheme="minorHAnsi"/>
        </w:rPr>
        <w:t xml:space="preserve">may be because the ACCC </w:t>
      </w:r>
      <w:r w:rsidR="00510E28">
        <w:rPr>
          <w:rFonts w:cstheme="minorHAnsi"/>
        </w:rPr>
        <w:t xml:space="preserve">was concerned about </w:t>
      </w:r>
      <w:r w:rsidR="00947E3E">
        <w:t xml:space="preserve">prejudice </w:t>
      </w:r>
      <w:r w:rsidR="00510E28">
        <w:t xml:space="preserve">to </w:t>
      </w:r>
      <w:r w:rsidR="00947E3E">
        <w:t>later enforcement action.</w:t>
      </w:r>
      <w:r w:rsidR="008959B3">
        <w:rPr>
          <w:rStyle w:val="FootnoteReference"/>
        </w:rPr>
        <w:footnoteReference w:id="40"/>
      </w:r>
      <w:r w:rsidR="00C652E4">
        <w:t xml:space="preserve"> </w:t>
      </w:r>
    </w:p>
    <w:p w14:paraId="4B67AA9C" w14:textId="5B266DC9" w:rsidR="00947E3E" w:rsidRPr="00FA4B6A" w:rsidRDefault="00C652E4" w:rsidP="00947E3E">
      <w:pPr>
        <w:spacing w:line="240" w:lineRule="auto"/>
      </w:pPr>
      <w:r>
        <w:rPr>
          <w:rFonts w:cstheme="minorHAnsi"/>
        </w:rPr>
        <w:t>Th</w:t>
      </w:r>
      <w:r w:rsidR="00F45DBD">
        <w:rPr>
          <w:rFonts w:cstheme="minorHAnsi"/>
        </w:rPr>
        <w:t>e</w:t>
      </w:r>
      <w:r>
        <w:rPr>
          <w:rFonts w:cstheme="minorHAnsi"/>
        </w:rPr>
        <w:t xml:space="preserve"> lack of transparency means prospective merger parties do not have a good understanding of the </w:t>
      </w:r>
      <w:r w:rsidR="00850701">
        <w:rPr>
          <w:rFonts w:cstheme="minorHAnsi"/>
        </w:rPr>
        <w:t xml:space="preserve">likely substantive analysis the ACCC may undertake, the process, and ultimately </w:t>
      </w:r>
      <w:r w:rsidR="0032275B">
        <w:rPr>
          <w:rFonts w:cstheme="minorHAnsi"/>
        </w:rPr>
        <w:t xml:space="preserve">the </w:t>
      </w:r>
      <w:r>
        <w:rPr>
          <w:rFonts w:cstheme="minorHAnsi"/>
        </w:rPr>
        <w:t>likely outcomes. In turn</w:t>
      </w:r>
      <w:r w:rsidR="00A46325">
        <w:rPr>
          <w:rFonts w:cstheme="minorHAnsi"/>
        </w:rPr>
        <w:t>,</w:t>
      </w:r>
      <w:r>
        <w:rPr>
          <w:rFonts w:cstheme="minorHAnsi"/>
        </w:rPr>
        <w:t xml:space="preserve"> this </w:t>
      </w:r>
      <w:r w:rsidR="003033F4">
        <w:rPr>
          <w:rFonts w:cstheme="minorHAnsi"/>
        </w:rPr>
        <w:t>limits the capacity</w:t>
      </w:r>
      <w:r w:rsidDel="00CA26E8">
        <w:rPr>
          <w:rFonts w:cstheme="minorHAnsi"/>
        </w:rPr>
        <w:t xml:space="preserve"> </w:t>
      </w:r>
      <w:r w:rsidR="00111FDF">
        <w:rPr>
          <w:rFonts w:cstheme="minorHAnsi"/>
        </w:rPr>
        <w:t>for anti-competitive mergers to be deterred</w:t>
      </w:r>
      <w:r>
        <w:rPr>
          <w:rFonts w:cstheme="minorHAnsi"/>
        </w:rPr>
        <w:t xml:space="preserve"> before they are proposed. A lack of transparency also </w:t>
      </w:r>
      <w:r w:rsidR="007322C6">
        <w:rPr>
          <w:rFonts w:cstheme="minorHAnsi"/>
        </w:rPr>
        <w:t xml:space="preserve">hampers accountability and </w:t>
      </w:r>
      <w:r>
        <w:rPr>
          <w:rFonts w:cstheme="minorHAnsi"/>
        </w:rPr>
        <w:t xml:space="preserve">decreases confidence in the </w:t>
      </w:r>
      <w:r w:rsidR="007322C6">
        <w:rPr>
          <w:rFonts w:cstheme="minorHAnsi"/>
        </w:rPr>
        <w:t>merger control system for stakeholders and the broader community</w:t>
      </w:r>
      <w:r>
        <w:rPr>
          <w:rFonts w:cstheme="minorHAnsi"/>
        </w:rPr>
        <w:t>.</w:t>
      </w:r>
    </w:p>
    <w:p w14:paraId="6308F697" w14:textId="2365AB59" w:rsidR="00947E3E" w:rsidRPr="007274CB" w:rsidRDefault="00947E3E" w:rsidP="00203EEA">
      <w:pPr>
        <w:pStyle w:val="Heading4"/>
      </w:pPr>
      <w:r w:rsidRPr="00355A5E">
        <w:t>Lack of cost recovery</w:t>
      </w:r>
    </w:p>
    <w:p w14:paraId="2751D95E" w14:textId="59DCC471" w:rsidR="00947E3E" w:rsidRPr="006A3E85" w:rsidRDefault="00947E3E" w:rsidP="00947E3E">
      <w:pPr>
        <w:pStyle w:val="Bullet"/>
        <w:numPr>
          <w:ilvl w:val="0"/>
          <w:numId w:val="0"/>
        </w:numPr>
        <w:spacing w:line="240" w:lineRule="auto"/>
        <w:rPr>
          <w:rFonts w:asciiTheme="minorHAnsi" w:eastAsiaTheme="minorHAnsi" w:hAnsiTheme="minorHAnsi" w:cstheme="minorHAnsi"/>
        </w:rPr>
      </w:pPr>
      <w:r w:rsidRPr="006A3E85">
        <w:rPr>
          <w:rFonts w:asciiTheme="minorHAnsi" w:eastAsiaTheme="minorHAnsi" w:hAnsiTheme="minorHAnsi" w:cstheme="minorHAnsi"/>
          <w:kern w:val="2"/>
          <w:szCs w:val="22"/>
          <w:lang w:eastAsia="en-US"/>
          <w14:ligatures w14:val="standardContextual"/>
        </w:rPr>
        <w:t xml:space="preserve">The operational cost of merger control is </w:t>
      </w:r>
      <w:r w:rsidR="00B3707B">
        <w:rPr>
          <w:rFonts w:asciiTheme="minorHAnsi" w:eastAsiaTheme="minorHAnsi" w:hAnsiTheme="minorHAnsi" w:cstheme="minorHAnsi"/>
          <w:kern w:val="2"/>
          <w:szCs w:val="22"/>
          <w:lang w:eastAsia="en-US"/>
          <w14:ligatures w14:val="standardContextual"/>
        </w:rPr>
        <w:t>currently funded</w:t>
      </w:r>
      <w:r w:rsidRPr="006A3E85">
        <w:rPr>
          <w:rFonts w:asciiTheme="minorHAnsi" w:eastAsiaTheme="minorHAnsi" w:hAnsiTheme="minorHAnsi" w:cstheme="minorHAnsi"/>
          <w:kern w:val="2"/>
          <w:szCs w:val="22"/>
          <w:lang w:eastAsia="en-US"/>
          <w14:ligatures w14:val="standardContextual"/>
        </w:rPr>
        <w:t xml:space="preserve"> by the public</w:t>
      </w:r>
      <w:r w:rsidR="006827BC">
        <w:rPr>
          <w:rFonts w:asciiTheme="minorHAnsi" w:eastAsiaTheme="minorHAnsi" w:hAnsiTheme="minorHAnsi" w:cstheme="minorHAnsi"/>
          <w:kern w:val="2"/>
          <w:szCs w:val="22"/>
          <w:lang w:eastAsia="en-US"/>
          <w14:ligatures w14:val="standardContextual"/>
        </w:rPr>
        <w:t xml:space="preserve"> and not based on cost recovery</w:t>
      </w:r>
      <w:r w:rsidR="003D514C">
        <w:rPr>
          <w:rFonts w:asciiTheme="minorHAnsi" w:eastAsiaTheme="minorHAnsi" w:hAnsiTheme="minorHAnsi" w:cstheme="minorHAnsi"/>
          <w:kern w:val="2"/>
          <w:szCs w:val="22"/>
          <w:lang w:eastAsia="en-US"/>
          <w14:ligatures w14:val="standardContextual"/>
        </w:rPr>
        <w:t xml:space="preserve">. </w:t>
      </w:r>
      <w:r w:rsidR="001C6DE3">
        <w:rPr>
          <w:rFonts w:asciiTheme="minorHAnsi" w:eastAsiaTheme="minorHAnsi" w:hAnsiTheme="minorHAnsi" w:cstheme="minorHAnsi"/>
          <w:kern w:val="2"/>
          <w:szCs w:val="22"/>
          <w:lang w:eastAsia="en-US"/>
          <w14:ligatures w14:val="standardContextual"/>
        </w:rPr>
        <w:t xml:space="preserve">The ACCC’s informal merger reviews </w:t>
      </w:r>
      <w:r w:rsidRPr="006A3E85">
        <w:rPr>
          <w:rFonts w:asciiTheme="minorHAnsi" w:eastAsiaTheme="minorHAnsi" w:hAnsiTheme="minorHAnsi" w:cstheme="minorHAnsi"/>
          <w:kern w:val="2"/>
          <w:szCs w:val="22"/>
          <w:lang w:eastAsia="en-US"/>
          <w14:ligatures w14:val="standardContextual"/>
        </w:rPr>
        <w:t xml:space="preserve">do not </w:t>
      </w:r>
      <w:r w:rsidR="00985061">
        <w:rPr>
          <w:rFonts w:asciiTheme="minorHAnsi" w:eastAsiaTheme="minorHAnsi" w:hAnsiTheme="minorHAnsi" w:cstheme="minorHAnsi"/>
          <w:kern w:val="2"/>
          <w:szCs w:val="22"/>
          <w:lang w:eastAsia="en-US"/>
          <w14:ligatures w14:val="standardContextual"/>
        </w:rPr>
        <w:t xml:space="preserve">require the payment of </w:t>
      </w:r>
      <w:r w:rsidRPr="006A3E85">
        <w:rPr>
          <w:rFonts w:asciiTheme="minorHAnsi" w:eastAsiaTheme="minorHAnsi" w:hAnsiTheme="minorHAnsi" w:cstheme="minorHAnsi"/>
          <w:kern w:val="2"/>
          <w:szCs w:val="22"/>
          <w:lang w:eastAsia="en-US"/>
          <w14:ligatures w14:val="standardContextual"/>
        </w:rPr>
        <w:t>fees</w:t>
      </w:r>
      <w:r w:rsidR="00985061">
        <w:rPr>
          <w:rFonts w:asciiTheme="minorHAnsi" w:eastAsiaTheme="minorHAnsi" w:hAnsiTheme="minorHAnsi" w:cstheme="minorHAnsi"/>
          <w:kern w:val="2"/>
          <w:szCs w:val="22"/>
          <w:lang w:eastAsia="en-US"/>
          <w14:ligatures w14:val="standardContextual"/>
        </w:rPr>
        <w:t xml:space="preserve">. Each merger authorisation application </w:t>
      </w:r>
      <w:r w:rsidR="000168B2">
        <w:rPr>
          <w:rFonts w:asciiTheme="minorHAnsi" w:eastAsiaTheme="minorHAnsi" w:hAnsiTheme="minorHAnsi" w:cstheme="minorHAnsi"/>
          <w:kern w:val="2"/>
          <w:szCs w:val="22"/>
          <w:lang w:eastAsia="en-US"/>
          <w14:ligatures w14:val="standardContextual"/>
        </w:rPr>
        <w:t xml:space="preserve">requires payment of </w:t>
      </w:r>
      <w:r w:rsidRPr="006A3E85">
        <w:rPr>
          <w:rFonts w:asciiTheme="minorHAnsi" w:eastAsiaTheme="minorHAnsi" w:hAnsiTheme="minorHAnsi" w:cstheme="minorHAnsi"/>
          <w:kern w:val="2"/>
          <w:szCs w:val="22"/>
          <w:lang w:eastAsia="en-US"/>
          <w14:ligatures w14:val="standardContextual"/>
        </w:rPr>
        <w:t>a $25,000 fee</w:t>
      </w:r>
      <w:r w:rsidR="007B5613">
        <w:rPr>
          <w:rFonts w:asciiTheme="minorHAnsi" w:eastAsiaTheme="minorHAnsi" w:hAnsiTheme="minorHAnsi" w:cstheme="minorHAnsi"/>
          <w:kern w:val="2"/>
          <w:szCs w:val="22"/>
          <w:lang w:eastAsia="en-US"/>
          <w14:ligatures w14:val="standardContextual"/>
        </w:rPr>
        <w:t xml:space="preserve"> </w:t>
      </w:r>
      <w:r w:rsidR="00E755E7">
        <w:rPr>
          <w:rFonts w:asciiTheme="minorHAnsi" w:eastAsiaTheme="minorHAnsi" w:hAnsiTheme="minorHAnsi" w:cstheme="minorHAnsi"/>
          <w:kern w:val="2"/>
          <w:szCs w:val="22"/>
          <w:lang w:eastAsia="en-US"/>
          <w14:ligatures w14:val="standardContextual"/>
        </w:rPr>
        <w:t xml:space="preserve">(not based on cost recovery) </w:t>
      </w:r>
      <w:r w:rsidR="004958A4">
        <w:rPr>
          <w:rFonts w:asciiTheme="minorHAnsi" w:eastAsiaTheme="minorHAnsi" w:hAnsiTheme="minorHAnsi" w:cstheme="minorHAnsi"/>
          <w:kern w:val="2"/>
          <w:szCs w:val="22"/>
          <w:lang w:eastAsia="en-US"/>
          <w14:ligatures w14:val="standardContextual"/>
        </w:rPr>
        <w:t>and there</w:t>
      </w:r>
      <w:r w:rsidRPr="006A3E85">
        <w:rPr>
          <w:rFonts w:asciiTheme="minorHAnsi" w:eastAsiaTheme="minorHAnsi" w:hAnsiTheme="minorHAnsi" w:cstheme="minorHAnsi"/>
          <w:kern w:val="2"/>
          <w:szCs w:val="22"/>
          <w:lang w:eastAsia="en-US"/>
          <w14:ligatures w14:val="standardContextual"/>
        </w:rPr>
        <w:t xml:space="preserve"> have only been 7 such applications since November 2017.</w:t>
      </w:r>
    </w:p>
    <w:p w14:paraId="0A0CC225" w14:textId="2D4D05C5" w:rsidR="00947E3E" w:rsidRPr="006A3E85" w:rsidRDefault="00C733B9" w:rsidP="00947E3E">
      <w:pPr>
        <w:spacing w:line="240" w:lineRule="auto"/>
        <w:rPr>
          <w:rFonts w:cstheme="minorHAnsi"/>
        </w:rPr>
      </w:pPr>
      <w:r>
        <w:rPr>
          <w:rFonts w:cstheme="minorHAnsi"/>
        </w:rPr>
        <w:t>To ensure efficient resource</w:t>
      </w:r>
      <w:r w:rsidR="002200E4">
        <w:rPr>
          <w:rFonts w:cstheme="minorHAnsi"/>
        </w:rPr>
        <w:t xml:space="preserve"> use across the economy, s</w:t>
      </w:r>
      <w:r w:rsidR="00075654">
        <w:rPr>
          <w:rFonts w:cstheme="minorHAnsi"/>
        </w:rPr>
        <w:t xml:space="preserve">ubject to the ACCC operating an efficient merger control system, mergers </w:t>
      </w:r>
      <w:r w:rsidR="00061E7C">
        <w:rPr>
          <w:rFonts w:cstheme="minorHAnsi"/>
        </w:rPr>
        <w:t xml:space="preserve">and acquisitions </w:t>
      </w:r>
      <w:r w:rsidR="00075654">
        <w:rPr>
          <w:rFonts w:cstheme="minorHAnsi"/>
        </w:rPr>
        <w:t>should pay the costs they</w:t>
      </w:r>
      <w:r>
        <w:rPr>
          <w:rFonts w:cstheme="minorHAnsi"/>
        </w:rPr>
        <w:t xml:space="preserve"> individually</w:t>
      </w:r>
      <w:r w:rsidR="00075654">
        <w:rPr>
          <w:rFonts w:cstheme="minorHAnsi"/>
        </w:rPr>
        <w:t xml:space="preserve"> impose on the community for assessing that risk.</w:t>
      </w:r>
      <w:r w:rsidR="00B84EA2">
        <w:rPr>
          <w:rFonts w:cstheme="minorHAnsi"/>
        </w:rPr>
        <w:t xml:space="preserve"> </w:t>
      </w:r>
      <w:r w:rsidR="00C2085E">
        <w:rPr>
          <w:rFonts w:cstheme="minorHAnsi"/>
        </w:rPr>
        <w:t xml:space="preserve">This </w:t>
      </w:r>
      <w:r w:rsidR="009E7E0F">
        <w:rPr>
          <w:rFonts w:cstheme="minorHAnsi"/>
        </w:rPr>
        <w:t>also</w:t>
      </w:r>
      <w:r w:rsidR="00286B5D">
        <w:rPr>
          <w:rFonts w:cstheme="minorHAnsi"/>
        </w:rPr>
        <w:t xml:space="preserve"> </w:t>
      </w:r>
      <w:r w:rsidR="00C2085E">
        <w:rPr>
          <w:rFonts w:cstheme="minorHAnsi"/>
        </w:rPr>
        <w:t>means</w:t>
      </w:r>
      <w:r w:rsidR="00286B5D">
        <w:rPr>
          <w:rFonts w:cstheme="minorHAnsi"/>
        </w:rPr>
        <w:t xml:space="preserve"> </w:t>
      </w:r>
      <w:r w:rsidR="00947E3E" w:rsidRPr="006A3E85">
        <w:rPr>
          <w:rFonts w:cstheme="minorHAnsi"/>
        </w:rPr>
        <w:t>the current approach may not meet the requirements of the Australian Government Charging Framework and the cost recovery principles that stipulate that an identifiable group or individual creating a specific demand for a specific regulatory activity should pay fees.</w:t>
      </w:r>
      <w:r w:rsidR="00947E3E" w:rsidRPr="006A3E85">
        <w:rPr>
          <w:rStyle w:val="FootnoteReference"/>
          <w:rFonts w:cstheme="minorHAnsi"/>
        </w:rPr>
        <w:footnoteReference w:id="41"/>
      </w:r>
      <w:r w:rsidR="00947E3E" w:rsidRPr="006A3E85">
        <w:rPr>
          <w:rFonts w:cstheme="minorHAnsi"/>
        </w:rPr>
        <w:t xml:space="preserve"> </w:t>
      </w:r>
      <w:r w:rsidR="0013333A">
        <w:rPr>
          <w:rFonts w:cstheme="minorHAnsi"/>
        </w:rPr>
        <w:t xml:space="preserve">Under the current voluntary system, any cost recovery fee may disincentivise notification. </w:t>
      </w:r>
      <w:r w:rsidR="00210857">
        <w:rPr>
          <w:rFonts w:cstheme="minorHAnsi"/>
        </w:rPr>
        <w:t>These incentives change under a mandatory notification</w:t>
      </w:r>
      <w:r w:rsidR="00D27805">
        <w:rPr>
          <w:rFonts w:cstheme="minorHAnsi"/>
        </w:rPr>
        <w:t xml:space="preserve"> and</w:t>
      </w:r>
      <w:r w:rsidR="00A61C90">
        <w:rPr>
          <w:rFonts w:cstheme="minorHAnsi"/>
        </w:rPr>
        <w:t xml:space="preserve"> cost recovery</w:t>
      </w:r>
      <w:r w:rsidR="00210857">
        <w:rPr>
          <w:rFonts w:cstheme="minorHAnsi"/>
        </w:rPr>
        <w:t xml:space="preserve"> system.</w:t>
      </w:r>
    </w:p>
    <w:p w14:paraId="2680B480" w14:textId="29AE1FC5" w:rsidR="00947E3E" w:rsidRPr="00AD1CEE" w:rsidRDefault="00947E3E" w:rsidP="00AD1CEE">
      <w:pPr>
        <w:spacing w:line="240" w:lineRule="auto"/>
      </w:pPr>
      <w:r w:rsidRPr="00AD1CEE">
        <w:t>The total cost to the ACCC and Australian taxpayer</w:t>
      </w:r>
      <w:r w:rsidR="00D27805">
        <w:t>s</w:t>
      </w:r>
      <w:r w:rsidRPr="00AD1CEE">
        <w:t xml:space="preserve"> to administer the merger control system are significant. For example, the ACCC estimates the average cost to undertake an informal public review is </w:t>
      </w:r>
      <w:r w:rsidR="00A6245D" w:rsidRPr="00AD1CEE">
        <w:t xml:space="preserve">below </w:t>
      </w:r>
      <w:r w:rsidR="00CE2C6D" w:rsidRPr="00AD1CEE">
        <w:t>$500,000</w:t>
      </w:r>
      <w:r w:rsidR="00051D93" w:rsidRPr="00AD1CEE">
        <w:t xml:space="preserve">, </w:t>
      </w:r>
      <w:r w:rsidRPr="00AD1CEE">
        <w:t xml:space="preserve">and in </w:t>
      </w:r>
      <w:r w:rsidR="00DC56AA" w:rsidRPr="00AD1CEE">
        <w:t xml:space="preserve">the </w:t>
      </w:r>
      <w:r w:rsidRPr="00AD1CEE">
        <w:t>2022</w:t>
      </w:r>
      <w:r w:rsidR="00EF75D7" w:rsidRPr="00AD1CEE">
        <w:t>–</w:t>
      </w:r>
      <w:r w:rsidRPr="00AD1CEE">
        <w:t>23</w:t>
      </w:r>
      <w:r w:rsidR="00DC56AA" w:rsidRPr="00AD1CEE">
        <w:t xml:space="preserve"> financial year</w:t>
      </w:r>
      <w:r w:rsidRPr="00AD1CEE">
        <w:t xml:space="preserve"> there were 23 reviews of this nature</w:t>
      </w:r>
      <w:r w:rsidR="0048550A" w:rsidRPr="00AD1CEE">
        <w:t>, equating to a total cost of</w:t>
      </w:r>
      <w:r w:rsidRPr="00AD1CEE">
        <w:t xml:space="preserve"> </w:t>
      </w:r>
      <w:r w:rsidR="00B86773" w:rsidRPr="00AD1CEE">
        <w:t>$11.5 million</w:t>
      </w:r>
      <w:r w:rsidRPr="00AD1CEE">
        <w:t xml:space="preserve">. The costs for litigated </w:t>
      </w:r>
      <w:r w:rsidR="003A1718" w:rsidRPr="00AD1CEE">
        <w:t xml:space="preserve">mergers </w:t>
      </w:r>
      <w:r w:rsidR="004E6711">
        <w:t>are</w:t>
      </w:r>
      <w:r w:rsidRPr="00AD1CEE">
        <w:t xml:space="preserve"> much larger, which the ACCC estimated costs more than $5 million per </w:t>
      </w:r>
      <w:r w:rsidR="003A1718" w:rsidRPr="00AD1CEE">
        <w:t>merger</w:t>
      </w:r>
      <w:r w:rsidRPr="00AD1CEE">
        <w:t xml:space="preserve">. </w:t>
      </w:r>
    </w:p>
    <w:p w14:paraId="329948AD" w14:textId="77777777" w:rsidR="00947E3E" w:rsidRPr="001466B8" w:rsidRDefault="00947E3E" w:rsidP="00161BD5">
      <w:pPr>
        <w:pStyle w:val="Heading3"/>
      </w:pPr>
      <w:bookmarkStart w:id="24" w:name="_Toc158988614"/>
      <w:bookmarkStart w:id="25" w:name="_Toc160013869"/>
      <w:bookmarkStart w:id="26" w:name="_Toc162428347"/>
      <w:bookmarkStart w:id="27" w:name="_Toc176972355"/>
      <w:r w:rsidRPr="001466B8">
        <w:t>Evidence is emerging that competition is declining in Australia</w:t>
      </w:r>
      <w:bookmarkEnd w:id="24"/>
      <w:bookmarkEnd w:id="25"/>
      <w:bookmarkEnd w:id="26"/>
      <w:bookmarkEnd w:id="27"/>
    </w:p>
    <w:p w14:paraId="3D85D4D6" w14:textId="68FCD01E" w:rsidR="00947E3E" w:rsidRPr="007512F8" w:rsidRDefault="00947E3E" w:rsidP="00947E3E">
      <w:pPr>
        <w:spacing w:line="240" w:lineRule="auto"/>
      </w:pPr>
      <w:r w:rsidRPr="007512F8">
        <w:t>There is evidence that the intensity of competition has weakened across many parts of the economy, accompanied by increasing market concentration and markups in many industries.</w:t>
      </w:r>
      <w:r>
        <w:rPr>
          <w:rStyle w:val="FootnoteReference"/>
        </w:rPr>
        <w:footnoteReference w:id="42"/>
      </w:r>
      <w:r w:rsidRPr="007512F8">
        <w:t xml:space="preserve"> This reduction in competition is likely to have contributed to Australia’s declining productivity performance over a long period. </w:t>
      </w:r>
      <w:r w:rsidRPr="002C12C1">
        <w:t xml:space="preserve">The OECD in its recent economic survey of Australia </w:t>
      </w:r>
      <w:r>
        <w:t>has also</w:t>
      </w:r>
      <w:r w:rsidRPr="002C12C1">
        <w:t xml:space="preserve"> noted evidence that </w:t>
      </w:r>
      <w:r>
        <w:t>‘</w:t>
      </w:r>
      <w:r w:rsidRPr="00110E23">
        <w:rPr>
          <w:i/>
          <w:iCs/>
        </w:rPr>
        <w:t>a growing body of evidence links excessive concentration and market power with a range of poor economic outcomes</w:t>
      </w:r>
      <w:r>
        <w:t>’</w:t>
      </w:r>
      <w:r w:rsidRPr="002C12C1">
        <w:t>.</w:t>
      </w:r>
      <w:r w:rsidRPr="002C12C1">
        <w:rPr>
          <w:rStyle w:val="FootnoteReference"/>
        </w:rPr>
        <w:footnoteReference w:id="43"/>
      </w:r>
      <w:r>
        <w:t xml:space="preserve"> In Australia, </w:t>
      </w:r>
      <w:r w:rsidR="00C157AE">
        <w:t>stakeholders have also raised</w:t>
      </w:r>
      <w:r>
        <w:t xml:space="preserve"> concerns about serial acquisitions</w:t>
      </w:r>
      <w:r w:rsidR="00083048">
        <w:t>,</w:t>
      </w:r>
      <w:r>
        <w:t xml:space="preserve"> particularly by large retailers.</w:t>
      </w:r>
      <w:r>
        <w:rPr>
          <w:rStyle w:val="FootnoteReference"/>
        </w:rPr>
        <w:footnoteReference w:id="44"/>
      </w:r>
    </w:p>
    <w:p w14:paraId="5242F43A" w14:textId="7A1DA60D" w:rsidR="00947E3E" w:rsidRPr="00707967" w:rsidRDefault="00137DEA" w:rsidP="00947E3E">
      <w:pPr>
        <w:spacing w:line="240" w:lineRule="auto"/>
      </w:pPr>
      <w:r>
        <w:t xml:space="preserve">In response to the </w:t>
      </w:r>
      <w:r>
        <w:rPr>
          <w:rFonts w:asciiTheme="majorHAnsi" w:hAnsiTheme="majorHAnsi" w:cstheme="majorHAnsi"/>
          <w:kern w:val="0"/>
          <w:szCs w:val="20"/>
          <w:lang w:eastAsia="en-AU"/>
          <w14:ligatures w14:val="none"/>
        </w:rPr>
        <w:t>2023–24 Merger Reform Consultation</w:t>
      </w:r>
      <w:r w:rsidR="00947E3E">
        <w:t xml:space="preserve">, CHOICE and the Consumers’ Federation of Australia noted that </w:t>
      </w:r>
      <w:r w:rsidR="00757FA3">
        <w:t>‘</w:t>
      </w:r>
      <w:r w:rsidR="00947E3E" w:rsidRPr="00273A9E">
        <w:rPr>
          <w:i/>
        </w:rPr>
        <w:t>Australia has many markets that are highly concentrated; supermarkets, airlines, banking, telecommunications, energy and insurance are all markets where a few dominant companies provide most Australians with essential products and services… Consumers pay the price of highly concentrated markets, including through higher prices, poor customer service and lower product and service quality</w:t>
      </w:r>
      <w:r w:rsidR="00757FA3">
        <w:t>’</w:t>
      </w:r>
      <w:r w:rsidR="00947E3E" w:rsidRPr="00D0346C">
        <w:rPr>
          <w:rStyle w:val="QuoteChar"/>
        </w:rPr>
        <w:t>.</w:t>
      </w:r>
      <w:r w:rsidR="00947E3E" w:rsidRPr="008407D2">
        <w:rPr>
          <w:vertAlign w:val="superscript"/>
        </w:rPr>
        <w:footnoteReference w:id="45"/>
      </w:r>
    </w:p>
    <w:p w14:paraId="6DA030C8" w14:textId="5D84C1E7" w:rsidR="00947E3E" w:rsidRDefault="00947E3E" w:rsidP="00947E3E">
      <w:pPr>
        <w:spacing w:line="240" w:lineRule="auto"/>
      </w:pPr>
      <w:r>
        <w:t xml:space="preserve">Similarly, the Master Grocers Australia noted that </w:t>
      </w:r>
      <w:r w:rsidR="00596C39">
        <w:t>‘</w:t>
      </w:r>
      <w:r w:rsidRPr="00596C39">
        <w:rPr>
          <w:i/>
          <w:iCs/>
        </w:rPr>
        <w:t>10 of the 20 largest industry classes in Australia are highly concentrated</w:t>
      </w:r>
      <w:r w:rsidR="00F327C4">
        <w:rPr>
          <w:i/>
          <w:iCs/>
        </w:rPr>
        <w:t>’</w:t>
      </w:r>
      <w:r w:rsidRPr="00596C39">
        <w:rPr>
          <w:i/>
          <w:iCs/>
        </w:rPr>
        <w:t xml:space="preserve"> </w:t>
      </w:r>
      <w:r w:rsidRPr="00663F92">
        <w:t>and that</w:t>
      </w:r>
      <w:r w:rsidRPr="00596C39">
        <w:rPr>
          <w:i/>
          <w:iCs/>
        </w:rPr>
        <w:t xml:space="preserve"> </w:t>
      </w:r>
      <w:r w:rsidR="003B30E1">
        <w:rPr>
          <w:i/>
          <w:iCs/>
        </w:rPr>
        <w:t>‘</w:t>
      </w:r>
      <w:r w:rsidRPr="00596C39">
        <w:rPr>
          <w:i/>
          <w:iCs/>
        </w:rPr>
        <w:t>the Australian economy has become more concentrated over time, with the average four-firm concentration ratio increasing by 2.2 percentage points from 2001-2 to 2018-19</w:t>
      </w:r>
      <w:r w:rsidR="00596C39">
        <w:rPr>
          <w:i/>
          <w:iCs/>
        </w:rPr>
        <w:t>’</w:t>
      </w:r>
      <w:r w:rsidRPr="00791711">
        <w:rPr>
          <w:rStyle w:val="QuoteChar"/>
        </w:rPr>
        <w:t>.</w:t>
      </w:r>
      <w:r>
        <w:rPr>
          <w:rStyle w:val="FootnoteReference"/>
          <w:i/>
          <w:iCs/>
          <w:color w:val="404040" w:themeColor="text1" w:themeTint="BF"/>
        </w:rPr>
        <w:footnoteReference w:id="46"/>
      </w:r>
    </w:p>
    <w:p w14:paraId="357C4F16" w14:textId="42305139" w:rsidR="00947E3E" w:rsidRPr="00711914" w:rsidRDefault="00947E3E" w:rsidP="00947E3E">
      <w:pPr>
        <w:spacing w:line="240" w:lineRule="auto"/>
        <w:rPr>
          <w:rFonts w:cstheme="minorHAnsi"/>
        </w:rPr>
      </w:pPr>
      <w:r w:rsidRPr="00711914">
        <w:rPr>
          <w:rFonts w:cstheme="minorHAnsi"/>
        </w:rPr>
        <w:t xml:space="preserve">The Office of the Australian Information Commissioner </w:t>
      </w:r>
      <w:r w:rsidR="00B27E82" w:rsidRPr="00711914">
        <w:rPr>
          <w:rFonts w:cstheme="minorHAnsi"/>
        </w:rPr>
        <w:t xml:space="preserve">(OAIC) </w:t>
      </w:r>
      <w:r w:rsidRPr="00711914">
        <w:rPr>
          <w:rFonts w:cstheme="minorHAnsi"/>
        </w:rPr>
        <w:t>observed that lack of choice can have negative impacts on non-price factors of competition such as privacy.</w:t>
      </w:r>
      <w:r w:rsidRPr="00711914">
        <w:rPr>
          <w:rStyle w:val="FootnoteReference"/>
          <w:rFonts w:cstheme="minorHAnsi"/>
        </w:rPr>
        <w:footnoteReference w:id="47"/>
      </w:r>
      <w:r w:rsidR="00C43364" w:rsidRPr="00711914">
        <w:rPr>
          <w:rFonts w:cstheme="minorHAnsi"/>
        </w:rPr>
        <w:t xml:space="preserve"> </w:t>
      </w:r>
      <w:r w:rsidR="00B27E82" w:rsidRPr="00711914">
        <w:rPr>
          <w:rFonts w:cstheme="minorHAnsi"/>
        </w:rPr>
        <w:t xml:space="preserve">For example, studies by the OAIC have </w:t>
      </w:r>
      <w:r w:rsidR="002D0059" w:rsidRPr="00711914">
        <w:rPr>
          <w:rFonts w:cstheme="minorHAnsi"/>
        </w:rPr>
        <w:t>shown that privacy is the third most important factor among Australians when choosing a product or service, coming only after quality and price.</w:t>
      </w:r>
      <w:r w:rsidR="002D0059" w:rsidRPr="00711914">
        <w:rPr>
          <w:rStyle w:val="FootnoteReference"/>
          <w:rFonts w:cstheme="minorHAnsi"/>
        </w:rPr>
        <w:footnoteReference w:id="48"/>
      </w:r>
    </w:p>
    <w:p w14:paraId="07F438AE" w14:textId="77777777" w:rsidR="002E3FFF" w:rsidRDefault="00740CEC" w:rsidP="0006309A">
      <w:pPr>
        <w:spacing w:line="240" w:lineRule="auto"/>
      </w:pPr>
      <w:r>
        <w:t>E</w:t>
      </w:r>
      <w:r w:rsidR="00947E3E" w:rsidRPr="0023520B">
        <w:t xml:space="preserve">vidence </w:t>
      </w:r>
      <w:r>
        <w:t>from overseas</w:t>
      </w:r>
      <w:r w:rsidR="00947E3E" w:rsidRPr="0023520B">
        <w:t xml:space="preserve"> suggests that too many anti-competitive mergers have been allowed to proceed in </w:t>
      </w:r>
      <w:r>
        <w:t>those countries</w:t>
      </w:r>
      <w:r w:rsidR="00947E3E" w:rsidRPr="0023520B">
        <w:t xml:space="preserve"> and that </w:t>
      </w:r>
      <w:r w:rsidR="00947E3E" w:rsidRPr="00273A9E">
        <w:rPr>
          <w:i/>
        </w:rPr>
        <w:t>‘merger enforcement has been too lax over the past 25 years’</w:t>
      </w:r>
      <w:r w:rsidR="00947E3E" w:rsidRPr="0023520B">
        <w:t>.</w:t>
      </w:r>
      <w:r w:rsidR="00947E3E" w:rsidRPr="0023520B">
        <w:rPr>
          <w:vertAlign w:val="superscript"/>
        </w:rPr>
        <w:footnoteReference w:id="49"/>
      </w:r>
      <w:r w:rsidR="00947E3E" w:rsidRPr="0023520B">
        <w:t xml:space="preserve"> </w:t>
      </w:r>
      <w:r w:rsidR="00947E3E" w:rsidRPr="002C12C1">
        <w:t>There is</w:t>
      </w:r>
      <w:r w:rsidR="00947E3E">
        <w:t xml:space="preserve"> also</w:t>
      </w:r>
      <w:r w:rsidR="00947E3E" w:rsidRPr="002C12C1">
        <w:t xml:space="preserve"> evidence that declining firm entry rates have contributed to a reduced rate of convergence to the productivity frontier within industries, and that the rate of convergence is slower within industries that have experienced the largest increases in markups.</w:t>
      </w:r>
      <w:r w:rsidR="00947E3E" w:rsidRPr="002C12C1">
        <w:rPr>
          <w:rStyle w:val="FootnoteReference"/>
        </w:rPr>
        <w:footnoteReference w:id="50"/>
      </w:r>
    </w:p>
    <w:p w14:paraId="0775E318" w14:textId="23B15C05" w:rsidR="00947E3E" w:rsidRDefault="00E2303F" w:rsidP="0006309A">
      <w:pPr>
        <w:spacing w:line="240" w:lineRule="auto"/>
        <w:sectPr w:rsidR="00947E3E" w:rsidSect="00E4687A">
          <w:pgSz w:w="11906" w:h="16838" w:code="9"/>
          <w:pgMar w:top="1843" w:right="1417" w:bottom="1417" w:left="1417" w:header="709" w:footer="709" w:gutter="0"/>
          <w:cols w:space="708"/>
          <w:docGrid w:linePitch="360"/>
        </w:sectPr>
      </w:pPr>
      <w:r>
        <w:t>D</w:t>
      </w:r>
      <w:r w:rsidR="0095562C">
        <w:t xml:space="preserve">espite evidence </w:t>
      </w:r>
      <w:r w:rsidR="00DD60EB">
        <w:t>of falling competiti</w:t>
      </w:r>
      <w:r w:rsidR="009E0891">
        <w:t xml:space="preserve">on in Australia and the views of some stakeholders, there is a lack of evidence </w:t>
      </w:r>
      <w:r w:rsidR="00F36FD5">
        <w:t>attributing</w:t>
      </w:r>
      <w:r w:rsidR="009E0891">
        <w:t xml:space="preserve"> mergers</w:t>
      </w:r>
      <w:r w:rsidR="001341A4">
        <w:t xml:space="preserve"> </w:t>
      </w:r>
      <w:r w:rsidR="00F36FD5">
        <w:t xml:space="preserve">to the decline. </w:t>
      </w:r>
      <w:r w:rsidR="00110E5D">
        <w:t>A</w:t>
      </w:r>
      <w:r w:rsidR="003952F8">
        <w:t xml:space="preserve"> key </w:t>
      </w:r>
      <w:r w:rsidR="00110E5D">
        <w:t>benefit</w:t>
      </w:r>
      <w:r w:rsidR="003952F8">
        <w:t xml:space="preserve"> of the proposed reforms </w:t>
      </w:r>
      <w:r w:rsidR="00110E5D">
        <w:t>is</w:t>
      </w:r>
      <w:r w:rsidR="003952F8">
        <w:t xml:space="preserve"> to provide </w:t>
      </w:r>
      <w:r w:rsidR="008E4A6A">
        <w:t>the information and incentives for data analysis to develop such evidence</w:t>
      </w:r>
      <w:r w:rsidR="00110E5D">
        <w:t>,</w:t>
      </w:r>
      <w:r w:rsidR="008E4A6A">
        <w:t xml:space="preserve"> along with the flexibility to adjust </w:t>
      </w:r>
      <w:r w:rsidR="00270709">
        <w:t>regulatory settings to respond to high</w:t>
      </w:r>
      <w:r w:rsidR="00F70289">
        <w:t>-risk</w:t>
      </w:r>
      <w:r w:rsidR="00270709">
        <w:t xml:space="preserve"> mergers over time.</w:t>
      </w:r>
      <w:r w:rsidR="001341A4">
        <w:t xml:space="preserve"> </w:t>
      </w:r>
    </w:p>
    <w:p w14:paraId="5095CC2F" w14:textId="52721A64" w:rsidR="00947E3E" w:rsidRDefault="00947E3E" w:rsidP="00947E3E">
      <w:pPr>
        <w:pStyle w:val="Heading1"/>
      </w:pPr>
      <w:bookmarkStart w:id="28" w:name="_Toc158988618"/>
      <w:bookmarkStart w:id="29" w:name="_Toc160013873"/>
      <w:bookmarkStart w:id="30" w:name="_Toc162428351"/>
      <w:bookmarkStart w:id="31" w:name="_Toc176972356"/>
      <w:r>
        <w:t>2. What are the objectives, why is government intervention needed to achieve them, and how will success be measured?</w:t>
      </w:r>
      <w:bookmarkEnd w:id="28"/>
      <w:bookmarkEnd w:id="29"/>
      <w:bookmarkEnd w:id="30"/>
      <w:bookmarkEnd w:id="31"/>
    </w:p>
    <w:p w14:paraId="1DC71752" w14:textId="77777777" w:rsidR="00947E3E" w:rsidRPr="00793FE4" w:rsidRDefault="00947E3E" w:rsidP="00947E3E">
      <w:pPr>
        <w:pStyle w:val="Heading2"/>
      </w:pPr>
      <w:bookmarkStart w:id="32" w:name="_Toc158988619"/>
      <w:bookmarkStart w:id="33" w:name="_Toc160013874"/>
      <w:bookmarkStart w:id="34" w:name="_Toc162428352"/>
      <w:bookmarkStart w:id="35" w:name="_Toc176972357"/>
      <w:r w:rsidRPr="00793FE4">
        <w:t>What are the objectives?</w:t>
      </w:r>
      <w:bookmarkEnd w:id="32"/>
      <w:bookmarkEnd w:id="33"/>
      <w:bookmarkEnd w:id="34"/>
      <w:bookmarkEnd w:id="35"/>
    </w:p>
    <w:p w14:paraId="79D65C02" w14:textId="38AB368D" w:rsidR="00947E3E" w:rsidRPr="002C12C1" w:rsidRDefault="00947E3E" w:rsidP="00947E3E">
      <w:pPr>
        <w:spacing w:after="120" w:line="240" w:lineRule="auto"/>
      </w:pPr>
      <w:r w:rsidRPr="002C12C1" w:rsidDel="00CC44C5">
        <w:t>T</w:t>
      </w:r>
      <w:r w:rsidRPr="002C12C1">
        <w:t xml:space="preserve">he overarching policy objective of Australia’s merger control regime </w:t>
      </w:r>
      <w:r>
        <w:t>is</w:t>
      </w:r>
      <w:r w:rsidRPr="002C12C1">
        <w:t xml:space="preserve"> to promote competition that enhances the welfare of Australians, consistent with the object of the </w:t>
      </w:r>
      <w:r>
        <w:t>CCA</w:t>
      </w:r>
      <w:r w:rsidRPr="002C12C1">
        <w:t>.</w:t>
      </w:r>
      <w:r w:rsidRPr="002C12C1">
        <w:rPr>
          <w:rStyle w:val="FootnoteReference"/>
        </w:rPr>
        <w:footnoteReference w:id="51"/>
      </w:r>
      <w:r w:rsidRPr="002C12C1">
        <w:t xml:space="preserve"> An efficient and effective merger control regime should seek to achieve its policy objective at the lowest cost possible and in a timely manner, with appropriate powers and resources for the </w:t>
      </w:r>
      <w:r w:rsidR="004A520E">
        <w:t>ACCC</w:t>
      </w:r>
      <w:r w:rsidRPr="002C12C1">
        <w:t>.</w:t>
      </w:r>
      <w:r w:rsidRPr="002C12C1">
        <w:rPr>
          <w:rStyle w:val="FootnoteReference"/>
        </w:rPr>
        <w:footnoteReference w:id="52"/>
      </w:r>
    </w:p>
    <w:p w14:paraId="09A048A6" w14:textId="78C0C79C" w:rsidR="00392606" w:rsidRDefault="00947E3E" w:rsidP="00392606">
      <w:pPr>
        <w:spacing w:after="120" w:line="240" w:lineRule="auto"/>
      </w:pPr>
      <w:r w:rsidRPr="002C12C1">
        <w:t>Ideally, mergers</w:t>
      </w:r>
      <w:r w:rsidR="00556773">
        <w:t xml:space="preserve"> and acquisitions</w:t>
      </w:r>
      <w:r w:rsidRPr="002C12C1">
        <w:t xml:space="preserve"> that are pro-competitive (or do little or no competitive harm) should proceed, while anti</w:t>
      </w:r>
      <w:r w:rsidRPr="002C12C1">
        <w:noBreakHyphen/>
        <w:t>competitive mergers</w:t>
      </w:r>
      <w:r w:rsidR="00556773">
        <w:t xml:space="preserve"> and acquisitions</w:t>
      </w:r>
      <w:r w:rsidRPr="002C12C1">
        <w:t xml:space="preserve"> should be blocked. </w:t>
      </w:r>
      <w:r w:rsidR="00392606" w:rsidRPr="002C12C1">
        <w:t>In practice, this goal is challenging to achieve, given it is hard to predict the future effects of a proposed merger</w:t>
      </w:r>
      <w:r w:rsidR="00EF5E0A">
        <w:t xml:space="preserve"> or acquisitions</w:t>
      </w:r>
      <w:r w:rsidR="00392606" w:rsidRPr="002C12C1">
        <w:t>.</w:t>
      </w:r>
      <w:r w:rsidR="00392606">
        <w:t xml:space="preserve"> A merger control system must balance risk tolerance to </w:t>
      </w:r>
      <w:r w:rsidR="00392606" w:rsidRPr="009D5AFA">
        <w:t xml:space="preserve">maintain market conditions </w:t>
      </w:r>
      <w:r w:rsidR="007E5EC6">
        <w:t>that</w:t>
      </w:r>
      <w:r w:rsidR="00392606" w:rsidRPr="009D5AFA">
        <w:t xml:space="preserve"> promote investment, innovation and growth to advance the interests of consumers, businesses and our economy.</w:t>
      </w:r>
    </w:p>
    <w:p w14:paraId="4145BF11" w14:textId="1381650E" w:rsidR="00947E3E" w:rsidRDefault="00947E3E" w:rsidP="00947E3E">
      <w:pPr>
        <w:spacing w:after="120" w:line="240" w:lineRule="auto"/>
      </w:pPr>
      <w:r>
        <w:t xml:space="preserve">In modernising Australia’s merger control system, the objectives are to </w:t>
      </w:r>
      <w:r w:rsidRPr="00EA6D9C">
        <w:t xml:space="preserve">promote competition, protect consumers and provide greater </w:t>
      </w:r>
      <w:r w:rsidR="004A520E">
        <w:t xml:space="preserve">predictability by increasing transparency and </w:t>
      </w:r>
      <w:r w:rsidR="00716A7B">
        <w:t>a single streamlined system</w:t>
      </w:r>
      <w:r w:rsidRPr="00EA6D9C">
        <w:t>.</w:t>
      </w:r>
      <w:r>
        <w:t xml:space="preserve"> The new system should </w:t>
      </w:r>
      <w:r w:rsidRPr="00EA6D9C">
        <w:t xml:space="preserve">simplify and speed up the process for mergers, consistent with the national interest, and give the ACCC stronger powers to identify and scrutinise </w:t>
      </w:r>
      <w:r w:rsidR="00321E13">
        <w:t>mergers</w:t>
      </w:r>
      <w:r w:rsidR="00321E13" w:rsidRPr="00EA6D9C">
        <w:t xml:space="preserve"> </w:t>
      </w:r>
      <w:r w:rsidR="00313349">
        <w:t xml:space="preserve">and acquisitions </w:t>
      </w:r>
      <w:r w:rsidRPr="00EA6D9C">
        <w:t xml:space="preserve">that pose </w:t>
      </w:r>
      <w:r w:rsidR="00E65E36">
        <w:t>the greatest</w:t>
      </w:r>
      <w:r w:rsidR="00E65E36" w:rsidRPr="00EA6D9C">
        <w:t xml:space="preserve"> </w:t>
      </w:r>
      <w:r w:rsidRPr="00EA6D9C">
        <w:t>risk to competition, consumers and the economy</w:t>
      </w:r>
      <w:r>
        <w:t>. To achieve this</w:t>
      </w:r>
      <w:r w:rsidR="00C33FA2">
        <w:t>,</w:t>
      </w:r>
      <w:r>
        <w:t xml:space="preserve"> the new system needs to be</w:t>
      </w:r>
      <w:r w:rsidRPr="00EA6D9C">
        <w:t xml:space="preserve"> faster, stronger, simpler, more targeted and more transparent. </w:t>
      </w:r>
    </w:p>
    <w:p w14:paraId="2BBFCAD1" w14:textId="77777777" w:rsidR="00947E3E" w:rsidRPr="00793FE4" w:rsidRDefault="00947E3E" w:rsidP="00947E3E">
      <w:pPr>
        <w:pStyle w:val="Heading2"/>
        <w:spacing w:line="240" w:lineRule="auto"/>
      </w:pPr>
      <w:bookmarkStart w:id="36" w:name="_Toc158988620"/>
      <w:bookmarkStart w:id="37" w:name="_Toc160013875"/>
      <w:bookmarkStart w:id="38" w:name="_Toc162428353"/>
      <w:bookmarkStart w:id="39" w:name="_Toc176972358"/>
      <w:r w:rsidRPr="00793FE4">
        <w:t>Why is government intervention needed to achieve them?</w:t>
      </w:r>
      <w:bookmarkEnd w:id="36"/>
      <w:bookmarkEnd w:id="37"/>
      <w:bookmarkEnd w:id="38"/>
      <w:bookmarkEnd w:id="39"/>
    </w:p>
    <w:p w14:paraId="77D46D05" w14:textId="0D38E57B" w:rsidR="00947E3E" w:rsidRDefault="00947E3E" w:rsidP="00947E3E">
      <w:pPr>
        <w:spacing w:line="240" w:lineRule="auto"/>
      </w:pPr>
      <w:r w:rsidRPr="0053197F">
        <w:t xml:space="preserve">Critical to </w:t>
      </w:r>
      <w:r>
        <w:t xml:space="preserve">Australia’s merger control system </w:t>
      </w:r>
      <w:r w:rsidRPr="0053197F">
        <w:t xml:space="preserve">is </w:t>
      </w:r>
      <w:r>
        <w:t xml:space="preserve">the </w:t>
      </w:r>
      <w:r w:rsidRPr="0053197F">
        <w:t>adequate scrutiny of potentially anti-competitive mergers</w:t>
      </w:r>
      <w:r w:rsidR="00EF5E0A">
        <w:t xml:space="preserve"> and acquisitions</w:t>
      </w:r>
      <w:r w:rsidRPr="0053197F">
        <w:t xml:space="preserve"> before they take place. Once an anti-competitive merger</w:t>
      </w:r>
      <w:r w:rsidR="00EF5E0A">
        <w:t xml:space="preserve"> or acquisition</w:t>
      </w:r>
      <w:r w:rsidRPr="0053197F">
        <w:t xml:space="preserve"> occurs, the market structure changes and the effects can be long-lasting</w:t>
      </w:r>
      <w:r>
        <w:t xml:space="preserve">. </w:t>
      </w:r>
      <w:r w:rsidRPr="0028203B">
        <w:t xml:space="preserve">The </w:t>
      </w:r>
      <w:r>
        <w:t xml:space="preserve">risk of anti-competitive mergers </w:t>
      </w:r>
      <w:r w:rsidR="00CE1F7B">
        <w:t xml:space="preserve">and acquisitions </w:t>
      </w:r>
      <w:r>
        <w:t>proceeding is an ongoing intrinsic risk to consumers and the economy that necessitates a merger control system.</w:t>
      </w:r>
    </w:p>
    <w:p w14:paraId="2B674264" w14:textId="23EAACF6" w:rsidR="00947E3E" w:rsidRDefault="00947E3E" w:rsidP="00947E3E">
      <w:pPr>
        <w:spacing w:after="120" w:line="240" w:lineRule="auto"/>
      </w:pPr>
      <w:r>
        <w:t>This risk is not unique to the Australian economy</w:t>
      </w:r>
      <w:r w:rsidR="00E65E36">
        <w:t>.</w:t>
      </w:r>
      <w:r>
        <w:t xml:space="preserve"> </w:t>
      </w:r>
      <w:r w:rsidR="00E65E36">
        <w:t>A</w:t>
      </w:r>
      <w:r>
        <w:t xml:space="preserve">ll OECD and G7 members have systems to </w:t>
      </w:r>
      <w:r w:rsidRPr="00C449FA">
        <w:t>control mergers</w:t>
      </w:r>
      <w:r w:rsidR="00CE1F7B">
        <w:t xml:space="preserve"> and acquisitions</w:t>
      </w:r>
      <w:r w:rsidRPr="00C449FA">
        <w:t xml:space="preserve">, </w:t>
      </w:r>
      <w:r>
        <w:t xml:space="preserve">recognising that the </w:t>
      </w:r>
      <w:r w:rsidRPr="00095C07">
        <w:t xml:space="preserve">maintenance of competition </w:t>
      </w:r>
      <w:r>
        <w:t>is important to the functioning of an economy</w:t>
      </w:r>
      <w:r w:rsidRPr="00C449FA">
        <w:t>.</w:t>
      </w:r>
    </w:p>
    <w:p w14:paraId="336ACD9F" w14:textId="78C9E847" w:rsidR="00947E3E" w:rsidRDefault="00947E3E" w:rsidP="00947E3E">
      <w:pPr>
        <w:spacing w:after="120" w:line="240" w:lineRule="auto"/>
      </w:pPr>
      <w:r>
        <w:t xml:space="preserve">As discussed in </w:t>
      </w:r>
      <w:r w:rsidR="00E97209">
        <w:t xml:space="preserve">Question </w:t>
      </w:r>
      <w:r>
        <w:t xml:space="preserve">1, the current approach to merger control in Australia is not fit for purpose. Reforming the key elements of Australia’s system of merger control — notification, assessment, decision making and review — requires legislative change to the </w:t>
      </w:r>
      <w:r w:rsidDel="00E86D12">
        <w:t>CCA</w:t>
      </w:r>
      <w:r>
        <w:t xml:space="preserve">. </w:t>
      </w:r>
    </w:p>
    <w:p w14:paraId="4BF1C935" w14:textId="1FF749AB" w:rsidR="00E53C4C" w:rsidRDefault="00D2248E" w:rsidP="00947E3E">
      <w:pPr>
        <w:pStyle w:val="Heading2"/>
        <w:spacing w:line="240" w:lineRule="auto"/>
      </w:pPr>
      <w:bookmarkStart w:id="40" w:name="_Toc176972359"/>
      <w:bookmarkStart w:id="41" w:name="_Toc158988621"/>
      <w:bookmarkStart w:id="42" w:name="_Toc160013876"/>
      <w:bookmarkStart w:id="43" w:name="_Toc162428354"/>
      <w:r>
        <w:t>Constraints and barriers to achieving the objectives</w:t>
      </w:r>
      <w:bookmarkEnd w:id="40"/>
    </w:p>
    <w:p w14:paraId="15AC3201" w14:textId="20B972B6" w:rsidR="00DE19CC" w:rsidRDefault="00DE19CC" w:rsidP="00390849">
      <w:pPr>
        <w:spacing w:after="120" w:line="240" w:lineRule="auto"/>
      </w:pPr>
      <w:r>
        <w:t xml:space="preserve">There are </w:t>
      </w:r>
      <w:r w:rsidR="00130929">
        <w:t xml:space="preserve">several potential constraints and barriers to </w:t>
      </w:r>
      <w:r w:rsidR="00A52C0E">
        <w:t xml:space="preserve">reforming Australia’s merger rules to promote competition, protect consumers and provide greater certainty by streamlining the approvals process. </w:t>
      </w:r>
    </w:p>
    <w:p w14:paraId="0E775FA9" w14:textId="77777777" w:rsidR="001F3C87" w:rsidRDefault="0057447F" w:rsidP="004A2553">
      <w:pPr>
        <w:spacing w:after="120" w:line="240" w:lineRule="auto"/>
      </w:pPr>
      <w:r>
        <w:t>Predicting the likely outcomes of an acquisition and</w:t>
      </w:r>
      <w:r w:rsidR="00D75C1C">
        <w:t xml:space="preserve"> its </w:t>
      </w:r>
      <w:r>
        <w:t xml:space="preserve">effect on competition poses a significant challenge given </w:t>
      </w:r>
      <w:r w:rsidR="00B20AB8">
        <w:t xml:space="preserve">the </w:t>
      </w:r>
      <w:r>
        <w:t xml:space="preserve">uncertainty about the future. </w:t>
      </w:r>
      <w:r w:rsidR="00443666">
        <w:t xml:space="preserve">This </w:t>
      </w:r>
      <w:r w:rsidR="00C979AC">
        <w:t>can be</w:t>
      </w:r>
      <w:r w:rsidR="00443666">
        <w:t xml:space="preserve"> further exacerbated by </w:t>
      </w:r>
      <w:r w:rsidR="00D821FF">
        <w:t xml:space="preserve">information asymmetry between </w:t>
      </w:r>
      <w:r w:rsidR="00B20AB8">
        <w:t xml:space="preserve">the </w:t>
      </w:r>
      <w:r w:rsidR="00D821FF">
        <w:t xml:space="preserve">ACCC and </w:t>
      </w:r>
      <w:r w:rsidR="001F3C87">
        <w:t xml:space="preserve">the </w:t>
      </w:r>
      <w:r w:rsidR="00D821FF">
        <w:t>merger parties</w:t>
      </w:r>
      <w:r w:rsidR="001F3C87">
        <w:t>,</w:t>
      </w:r>
      <w:r w:rsidR="00C7093D">
        <w:t xml:space="preserve"> which may </w:t>
      </w:r>
      <w:r w:rsidR="009F68B6">
        <w:t>lead to</w:t>
      </w:r>
      <w:r w:rsidR="00764323">
        <w:t xml:space="preserve"> </w:t>
      </w:r>
      <w:r w:rsidR="001F3C87">
        <w:t xml:space="preserve">an </w:t>
      </w:r>
      <w:r w:rsidR="00764323">
        <w:t xml:space="preserve">incorrect </w:t>
      </w:r>
      <w:r w:rsidR="00C7093D">
        <w:t>decision</w:t>
      </w:r>
      <w:r w:rsidR="00966B83">
        <w:t xml:space="preserve"> by </w:t>
      </w:r>
      <w:r w:rsidR="001F3C87">
        <w:t xml:space="preserve">the </w:t>
      </w:r>
      <w:r w:rsidR="00966B83">
        <w:t>ACCC</w:t>
      </w:r>
      <w:r w:rsidR="00D821FF">
        <w:t xml:space="preserve">. </w:t>
      </w:r>
      <w:r w:rsidR="00C979AC">
        <w:t xml:space="preserve">To this end, the </w:t>
      </w:r>
      <w:r w:rsidR="00CC0774">
        <w:t>system</w:t>
      </w:r>
      <w:r w:rsidR="001B77AD">
        <w:t xml:space="preserve"> is designed to strengthen integrity and incentivise compliance with </w:t>
      </w:r>
      <w:r w:rsidR="0071249C">
        <w:t xml:space="preserve">notification and review requirements, </w:t>
      </w:r>
      <w:r w:rsidR="00B47179">
        <w:t>ensuring</w:t>
      </w:r>
      <w:r w:rsidR="0071249C">
        <w:t xml:space="preserve"> the</w:t>
      </w:r>
      <w:r w:rsidR="00ED3C77">
        <w:t xml:space="preserve"> ACCC</w:t>
      </w:r>
      <w:r w:rsidR="00B47179">
        <w:t xml:space="preserve"> has sufficient information to conduct reviews efficiently and effectively.</w:t>
      </w:r>
      <w:r w:rsidR="00597BDB">
        <w:t xml:space="preserve"> </w:t>
      </w:r>
    </w:p>
    <w:p w14:paraId="2F9BB6DE" w14:textId="77777777" w:rsidR="00864074" w:rsidRDefault="00597BDB" w:rsidP="004A2553">
      <w:pPr>
        <w:spacing w:after="120" w:line="240" w:lineRule="auto"/>
      </w:pPr>
      <w:r>
        <w:t>Further, t</w:t>
      </w:r>
      <w:r w:rsidR="00E8026E">
        <w:t xml:space="preserve">o assist </w:t>
      </w:r>
      <w:r w:rsidR="00E54577">
        <w:t xml:space="preserve">the ACCC in its role as an administrative decision-maker and ensure explicit </w:t>
      </w:r>
      <w:r w:rsidR="005D71E5">
        <w:t>emphasis is placed on economic methodology and analysis of competitive effects,</w:t>
      </w:r>
      <w:r w:rsidR="004A2553">
        <w:t xml:space="preserve"> the ACCC will set out its findings on material facts, with reference to the evidence or other material on which those findings were based, and the reasons for all determinations, commensurate with the substantive review undertaken. </w:t>
      </w:r>
    </w:p>
    <w:p w14:paraId="13904604" w14:textId="5D22E8B6" w:rsidR="004A2553" w:rsidRDefault="004A2553" w:rsidP="004A2553">
      <w:pPr>
        <w:spacing w:after="120" w:line="240" w:lineRule="auto"/>
      </w:pPr>
      <w:r>
        <w:t xml:space="preserve">While the ACCC will not be bound by previous determinations, this will facilitate transparency and predictability in the administrative system. It will also shape the boundaries of merger control over time as a body of previous determinations, including the economic and legal reasoning, will develop </w:t>
      </w:r>
      <w:r w:rsidR="00EE627F">
        <w:t xml:space="preserve">over time </w:t>
      </w:r>
      <w:r>
        <w:t>to guide stakeholders. The ACCC will be expected to consult on, issue and periodically update substantive guidance on its assessment of mergers and acquisitions.</w:t>
      </w:r>
    </w:p>
    <w:p w14:paraId="546EC0BD" w14:textId="77777777" w:rsidR="000F0DF1" w:rsidRDefault="00086DF9" w:rsidP="003A433C">
      <w:pPr>
        <w:spacing w:after="120" w:line="240" w:lineRule="auto"/>
      </w:pPr>
      <w:r>
        <w:t>T</w:t>
      </w:r>
      <w:r w:rsidR="003A433C">
        <w:t xml:space="preserve">he new, streamlined merger system </w:t>
      </w:r>
      <w:r w:rsidR="00FF28B7">
        <w:t xml:space="preserve">will </w:t>
      </w:r>
      <w:r w:rsidR="003A433C">
        <w:t xml:space="preserve">involve significant change, including for business, advisors, the ACCC and the Tribunal. In particular, a shift in capabilities and practice </w:t>
      </w:r>
      <w:r w:rsidR="009D5DB3">
        <w:t xml:space="preserve">by the ACCC </w:t>
      </w:r>
      <w:r w:rsidR="003A433C">
        <w:t xml:space="preserve">will be required to support the change from enforcement action in court to more data- and economics-led administrative decision-making. </w:t>
      </w:r>
    </w:p>
    <w:p w14:paraId="75AC2831" w14:textId="791C10CA" w:rsidR="003A433C" w:rsidRDefault="003A433C" w:rsidP="003A433C">
      <w:pPr>
        <w:spacing w:after="120" w:line="240" w:lineRule="auto"/>
      </w:pPr>
      <w:r w:rsidRPr="00224B75">
        <w:t>To facilitate this change, new performance standards will be set for the ACCC for merger assessments, including timeliness, guidance and reasons for determinations</w:t>
      </w:r>
      <w:r>
        <w:t xml:space="preserve">. In addition, an independent expert adviser will advise Treasury and the ACCC on implementing the new merger control system effectively, including advice on ACCC capabilities, practice, systems and resourcing. </w:t>
      </w:r>
    </w:p>
    <w:p w14:paraId="3082786F" w14:textId="634A448C" w:rsidR="00813949" w:rsidRDefault="00EB3735" w:rsidP="0086204A">
      <w:pPr>
        <w:spacing w:after="120" w:line="240" w:lineRule="auto"/>
      </w:pPr>
      <w:r>
        <w:t>T</w:t>
      </w:r>
      <w:r w:rsidR="00E27641">
        <w:t xml:space="preserve">he level of scrutiny required to maintain </w:t>
      </w:r>
      <w:r w:rsidR="00ED22B1">
        <w:t xml:space="preserve">an </w:t>
      </w:r>
      <w:r w:rsidR="00E27641">
        <w:t xml:space="preserve">efficient and effective check to prevent anti-competitive mergers may also be subject to contest </w:t>
      </w:r>
      <w:r w:rsidR="0013783D">
        <w:t xml:space="preserve">by businesses </w:t>
      </w:r>
      <w:r w:rsidR="00E27641">
        <w:t>given the strengthening of ACCC’s powers.</w:t>
      </w:r>
      <w:r w:rsidR="00CA3BB9">
        <w:t xml:space="preserve"> </w:t>
      </w:r>
      <w:r w:rsidR="0006644C">
        <w:t xml:space="preserve">It is expected that, in the early years of the new system, there may be more contested decisions as the boundaries of the system are tested and novel issues </w:t>
      </w:r>
      <w:r w:rsidR="00A51221">
        <w:t xml:space="preserve">are </w:t>
      </w:r>
      <w:r w:rsidR="0006644C">
        <w:t xml:space="preserve">explored. This may impact on the ACCC’s ability to continue to process merger reviews, requiring flexibility and adaptability. </w:t>
      </w:r>
    </w:p>
    <w:p w14:paraId="59F6BAD0" w14:textId="219646FD" w:rsidR="00FB5644" w:rsidRDefault="00685A24" w:rsidP="0086204A">
      <w:pPr>
        <w:spacing w:after="120" w:line="240" w:lineRule="auto"/>
      </w:pPr>
      <w:r>
        <w:t>As noted above, the new system introduces a mandatory obligation on parties to acquisitions above certain thresholds to notify proposed acquisition</w:t>
      </w:r>
      <w:r w:rsidR="00DF379B">
        <w:t>s</w:t>
      </w:r>
      <w:r>
        <w:t xml:space="preserve"> before putting them into effect. To ensure the notification thresholds are set with respect to evidence of the risk of potential harms to the community over time, they will be regularly reviewed and set out in </w:t>
      </w:r>
      <w:r w:rsidR="006F2469">
        <w:t>subordinate legislation</w:t>
      </w:r>
      <w:r w:rsidR="00927F22">
        <w:t>,</w:t>
      </w:r>
      <w:r w:rsidR="006F2469">
        <w:t xml:space="preserve"> </w:t>
      </w:r>
      <w:r>
        <w:t xml:space="preserve">with additional targeted notification requirements set by </w:t>
      </w:r>
      <w:r w:rsidR="00FD21BF">
        <w:t>a Treasury</w:t>
      </w:r>
      <w:r w:rsidR="00132C33">
        <w:t xml:space="preserve"> Minister</w:t>
      </w:r>
      <w:r>
        <w:t>, providing flexibility to update or calibrate them over time. This ensures that the new system is risk</w:t>
      </w:r>
      <w:r>
        <w:noBreakHyphen/>
        <w:t xml:space="preserve">based, and targets mergers and acquisitions most likely to result in harm to competition and consumers, while reducing the overall compliance burden on businesses. </w:t>
      </w:r>
    </w:p>
    <w:p w14:paraId="20BBDA74" w14:textId="0C032DCB" w:rsidR="000B4BD1" w:rsidRDefault="00685A24" w:rsidP="0086204A">
      <w:pPr>
        <w:spacing w:after="120" w:line="240" w:lineRule="auto"/>
      </w:pPr>
      <w:r>
        <w:t xml:space="preserve">Further, </w:t>
      </w:r>
      <w:r w:rsidR="00FB5644">
        <w:t xml:space="preserve">the </w:t>
      </w:r>
      <w:r>
        <w:t xml:space="preserve">ACCC will utilise data to investigate and take action for non-notified anti-competitive mergers and acquisitions, alongside its broader enforcement mandate. Accordingly, the notification thresholds may need to be recalibrated. Treasury will also undertake a statutory review to evaluate the functioning of the system 3 years after commencement, which will include </w:t>
      </w:r>
      <w:r w:rsidR="00DC28C5">
        <w:t xml:space="preserve">a </w:t>
      </w:r>
      <w:r>
        <w:t>review of the notification thresholds.</w:t>
      </w:r>
    </w:p>
    <w:p w14:paraId="2CD69217" w14:textId="17EC4DCD" w:rsidR="001F5387" w:rsidRDefault="001F5387" w:rsidP="0086204A">
      <w:pPr>
        <w:spacing w:after="120" w:line="240" w:lineRule="auto"/>
      </w:pPr>
    </w:p>
    <w:p w14:paraId="235F17B1" w14:textId="0F51B0A1" w:rsidR="00947E3E" w:rsidRPr="00793FE4" w:rsidRDefault="00947E3E" w:rsidP="00947E3E">
      <w:pPr>
        <w:pStyle w:val="Heading2"/>
        <w:spacing w:line="240" w:lineRule="auto"/>
      </w:pPr>
      <w:bookmarkStart w:id="44" w:name="_Toc176972360"/>
      <w:r>
        <w:t>How will success be measured?</w:t>
      </w:r>
      <w:bookmarkEnd w:id="41"/>
      <w:bookmarkEnd w:id="42"/>
      <w:bookmarkEnd w:id="43"/>
      <w:bookmarkEnd w:id="44"/>
    </w:p>
    <w:p w14:paraId="145C1E7A" w14:textId="6EF4C327" w:rsidR="00E15D90" w:rsidRPr="00C90C59" w:rsidRDefault="0091551B" w:rsidP="007201E0">
      <w:pPr>
        <w:spacing w:after="120" w:line="240" w:lineRule="auto"/>
        <w:rPr>
          <w:rFonts w:cstheme="minorHAnsi"/>
        </w:rPr>
      </w:pPr>
      <w:r>
        <w:rPr>
          <w:rFonts w:cstheme="minorHAnsi"/>
        </w:rPr>
        <w:t>The Government</w:t>
      </w:r>
      <w:r w:rsidR="00933E10">
        <w:rPr>
          <w:rFonts w:cstheme="minorHAnsi"/>
        </w:rPr>
        <w:t xml:space="preserve"> has </w:t>
      </w:r>
      <w:r w:rsidR="0097402B">
        <w:rPr>
          <w:rFonts w:cstheme="minorHAnsi"/>
        </w:rPr>
        <w:t>outlined its</w:t>
      </w:r>
      <w:r>
        <w:rPr>
          <w:rFonts w:cstheme="minorHAnsi"/>
        </w:rPr>
        <w:t xml:space="preserve"> expectations</w:t>
      </w:r>
      <w:r w:rsidR="00B75FD0">
        <w:rPr>
          <w:rFonts w:cstheme="minorHAnsi"/>
        </w:rPr>
        <w:t xml:space="preserve"> </w:t>
      </w:r>
      <w:r>
        <w:rPr>
          <w:rFonts w:cstheme="minorHAnsi"/>
        </w:rPr>
        <w:t>for how the ACCC will promote a competitive</w:t>
      </w:r>
      <w:r w:rsidR="00DC28C5">
        <w:rPr>
          <w:rFonts w:cstheme="minorHAnsi"/>
        </w:rPr>
        <w:t>,</w:t>
      </w:r>
      <w:r>
        <w:rPr>
          <w:rFonts w:cstheme="minorHAnsi"/>
        </w:rPr>
        <w:t xml:space="preserve"> dynamic and inclusive economy and modern, well-functioning markets that work for consumers</w:t>
      </w:r>
      <w:r w:rsidR="006832EA">
        <w:rPr>
          <w:rFonts w:cstheme="minorHAnsi"/>
        </w:rPr>
        <w:t>.</w:t>
      </w:r>
      <w:r w:rsidR="00F3477A">
        <w:rPr>
          <w:rStyle w:val="FootnoteReference"/>
          <w:rFonts w:cstheme="minorHAnsi"/>
        </w:rPr>
        <w:footnoteReference w:id="53"/>
      </w:r>
      <w:r w:rsidR="006832EA">
        <w:rPr>
          <w:rFonts w:cstheme="minorHAnsi"/>
        </w:rPr>
        <w:t xml:space="preserve"> T</w:t>
      </w:r>
      <w:r w:rsidR="00E15D90" w:rsidRPr="00C90C59">
        <w:rPr>
          <w:rFonts w:cstheme="minorHAnsi"/>
        </w:rPr>
        <w:t>he Government</w:t>
      </w:r>
      <w:r w:rsidR="00F3477A">
        <w:rPr>
          <w:rFonts w:cstheme="minorHAnsi"/>
        </w:rPr>
        <w:t>’s expectation is</w:t>
      </w:r>
      <w:r w:rsidR="00E15D90" w:rsidRPr="00C90C59">
        <w:rPr>
          <w:rFonts w:cstheme="minorHAnsi"/>
        </w:rPr>
        <w:t xml:space="preserve"> that the ACCC </w:t>
      </w:r>
      <w:r w:rsidR="00067E10">
        <w:rPr>
          <w:rFonts w:cstheme="minorHAnsi"/>
        </w:rPr>
        <w:t xml:space="preserve">will </w:t>
      </w:r>
      <w:r w:rsidR="00E15D90" w:rsidRPr="00C90C59">
        <w:rPr>
          <w:rFonts w:cstheme="minorHAnsi"/>
        </w:rPr>
        <w:t>deliver the Government’s merger reforms through:</w:t>
      </w:r>
    </w:p>
    <w:p w14:paraId="2D09E8EA" w14:textId="330549E1" w:rsidR="00E15D90" w:rsidRPr="0041740A" w:rsidRDefault="00AE2650" w:rsidP="00E15D90">
      <w:pPr>
        <w:pStyle w:val="Bullet"/>
        <w:spacing w:line="240" w:lineRule="auto"/>
        <w:rPr>
          <w:rFonts w:asciiTheme="minorHAnsi" w:hAnsiTheme="minorHAnsi" w:cstheme="minorHAnsi"/>
        </w:rPr>
      </w:pPr>
      <w:r>
        <w:rPr>
          <w:rFonts w:asciiTheme="minorHAnsi" w:hAnsiTheme="minorHAnsi" w:cstheme="minorHAnsi"/>
        </w:rPr>
        <w:t>a</w:t>
      </w:r>
      <w:r w:rsidR="00E15D90" w:rsidRPr="0041740A">
        <w:rPr>
          <w:rFonts w:asciiTheme="minorHAnsi" w:hAnsiTheme="minorHAnsi" w:cstheme="minorHAnsi"/>
        </w:rPr>
        <w:t xml:space="preserve"> risk-based approach with resources prioritised to managing or stopping mergers most likely to harm the community</w:t>
      </w:r>
    </w:p>
    <w:p w14:paraId="7039347E" w14:textId="51FAF94C" w:rsidR="00E15D90" w:rsidRPr="0041740A" w:rsidRDefault="00793D79" w:rsidP="00E15D90">
      <w:pPr>
        <w:pStyle w:val="Bullet"/>
        <w:spacing w:line="240" w:lineRule="auto"/>
        <w:rPr>
          <w:rFonts w:asciiTheme="minorHAnsi" w:hAnsiTheme="minorHAnsi" w:cstheme="minorHAnsi"/>
        </w:rPr>
      </w:pPr>
      <w:r>
        <w:rPr>
          <w:rFonts w:asciiTheme="minorHAnsi" w:hAnsiTheme="minorHAnsi" w:cstheme="minorHAnsi"/>
        </w:rPr>
        <w:t>m</w:t>
      </w:r>
      <w:r w:rsidR="00E15D90" w:rsidRPr="0041740A">
        <w:rPr>
          <w:rFonts w:asciiTheme="minorHAnsi" w:hAnsiTheme="minorHAnsi" w:cstheme="minorHAnsi"/>
        </w:rPr>
        <w:t>aking use of data and economic analysis to enhance merger review and to identify risks to the community</w:t>
      </w:r>
      <w:r w:rsidR="00157E24">
        <w:rPr>
          <w:rFonts w:asciiTheme="minorHAnsi" w:hAnsiTheme="minorHAnsi" w:cstheme="minorHAnsi"/>
        </w:rPr>
        <w:t>, and</w:t>
      </w:r>
    </w:p>
    <w:p w14:paraId="5D9FBDA8" w14:textId="5694091D" w:rsidR="00E15D90" w:rsidRPr="0041740A" w:rsidRDefault="00793D79" w:rsidP="00E15D90">
      <w:pPr>
        <w:pStyle w:val="Bullet"/>
        <w:spacing w:line="240" w:lineRule="auto"/>
        <w:rPr>
          <w:rFonts w:asciiTheme="minorHAnsi" w:hAnsiTheme="minorHAnsi" w:cstheme="minorHAnsi"/>
        </w:rPr>
      </w:pPr>
      <w:r>
        <w:rPr>
          <w:rFonts w:asciiTheme="minorHAnsi" w:hAnsiTheme="minorHAnsi" w:cstheme="minorHAnsi"/>
        </w:rPr>
        <w:t>i</w:t>
      </w:r>
      <w:r w:rsidR="00E15D90" w:rsidRPr="0041740A">
        <w:rPr>
          <w:rFonts w:asciiTheme="minorHAnsi" w:hAnsiTheme="minorHAnsi" w:cstheme="minorHAnsi"/>
        </w:rPr>
        <w:t>ncreased transparency and guidance to the community on merger activity and areas of ACCC concern to enhance community understanding and administrative predictability.</w:t>
      </w:r>
    </w:p>
    <w:p w14:paraId="121CAD5B" w14:textId="2B81A0AC" w:rsidR="00947E3E" w:rsidRDefault="00947E3E" w:rsidP="00947E3E">
      <w:pPr>
        <w:spacing w:after="120" w:line="240" w:lineRule="auto"/>
      </w:pPr>
      <w:r>
        <w:t xml:space="preserve">The key metrics to track the success of the reform are the number of mergers that go ahead that have anti-competitive effects </w:t>
      </w:r>
      <w:r w:rsidR="00752720">
        <w:t xml:space="preserve">(reflecting the quality of the ACCC’s assessments) </w:t>
      </w:r>
      <w:r>
        <w:t>and the speed of ACCC assessments. Evaluating the success of this reform will be measured through:</w:t>
      </w:r>
    </w:p>
    <w:p w14:paraId="71333D8B" w14:textId="1BA626C4" w:rsidR="00947E3E" w:rsidRPr="006A333A" w:rsidRDefault="00F44C9D" w:rsidP="00947E3E">
      <w:pPr>
        <w:pStyle w:val="Bullet"/>
        <w:spacing w:line="240" w:lineRule="auto"/>
        <w:rPr>
          <w:rFonts w:asciiTheme="minorHAnsi" w:hAnsiTheme="minorHAnsi" w:cstheme="minorHAnsi"/>
        </w:rPr>
      </w:pPr>
      <w:r>
        <w:rPr>
          <w:rFonts w:asciiTheme="minorHAnsi" w:hAnsiTheme="minorHAnsi" w:cstheme="minorHAnsi"/>
        </w:rPr>
        <w:t>a</w:t>
      </w:r>
      <w:r w:rsidR="006170B1">
        <w:rPr>
          <w:rFonts w:asciiTheme="minorHAnsi" w:hAnsiTheme="minorHAnsi" w:cstheme="minorHAnsi"/>
        </w:rPr>
        <w:t xml:space="preserve">nalysis of ACCC reporting on acquisition activities (linked to the </w:t>
      </w:r>
      <w:r w:rsidR="00AC1433">
        <w:rPr>
          <w:rFonts w:asciiTheme="minorHAnsi" w:hAnsiTheme="minorHAnsi" w:cstheme="minorHAnsi"/>
        </w:rPr>
        <w:t>new mergers and acquisition database</w:t>
      </w:r>
      <w:r w:rsidR="006170B1">
        <w:rPr>
          <w:rFonts w:asciiTheme="minorHAnsi" w:hAnsiTheme="minorHAnsi" w:cstheme="minorHAnsi"/>
        </w:rPr>
        <w:t xml:space="preserve">) and </w:t>
      </w:r>
      <w:r w:rsidR="0090681F">
        <w:rPr>
          <w:rFonts w:asciiTheme="minorHAnsi" w:hAnsiTheme="minorHAnsi" w:cstheme="minorHAnsi"/>
        </w:rPr>
        <w:t xml:space="preserve">ex-post review of decisions to evaluate whether </w:t>
      </w:r>
      <w:r w:rsidR="00947E3E" w:rsidRPr="006A333A">
        <w:rPr>
          <w:rFonts w:asciiTheme="minorHAnsi" w:hAnsiTheme="minorHAnsi" w:cstheme="minorHAnsi"/>
        </w:rPr>
        <w:t xml:space="preserve">ACCC </w:t>
      </w:r>
      <w:r w:rsidR="00947E3E">
        <w:rPr>
          <w:rFonts w:asciiTheme="minorHAnsi" w:hAnsiTheme="minorHAnsi" w:cstheme="minorHAnsi"/>
        </w:rPr>
        <w:t xml:space="preserve">determinations, supported by robust legal and economic analysis, correctly identify </w:t>
      </w:r>
      <w:r w:rsidR="002D603B">
        <w:rPr>
          <w:rFonts w:asciiTheme="minorHAnsi" w:hAnsiTheme="minorHAnsi" w:cstheme="minorHAnsi"/>
        </w:rPr>
        <w:t xml:space="preserve">acquisitions </w:t>
      </w:r>
      <w:r w:rsidR="00947E3E">
        <w:rPr>
          <w:rFonts w:asciiTheme="minorHAnsi" w:hAnsiTheme="minorHAnsi" w:cstheme="minorHAnsi"/>
        </w:rPr>
        <w:t xml:space="preserve">that </w:t>
      </w:r>
      <w:r w:rsidR="000770F8">
        <w:rPr>
          <w:rFonts w:asciiTheme="minorHAnsi" w:hAnsiTheme="minorHAnsi" w:cstheme="minorHAnsi"/>
        </w:rPr>
        <w:t xml:space="preserve">would </w:t>
      </w:r>
      <w:r w:rsidR="00947E3E">
        <w:rPr>
          <w:rFonts w:asciiTheme="minorHAnsi" w:hAnsiTheme="minorHAnsi" w:cstheme="minorHAnsi"/>
        </w:rPr>
        <w:t xml:space="preserve">have the effect, or be likely to have the effect, of SLC, including if </w:t>
      </w:r>
      <w:r w:rsidR="009E404D">
        <w:rPr>
          <w:rFonts w:asciiTheme="minorHAnsi" w:hAnsiTheme="minorHAnsi" w:cstheme="minorHAnsi"/>
        </w:rPr>
        <w:t>they</w:t>
      </w:r>
      <w:r w:rsidR="00947E3E">
        <w:rPr>
          <w:rFonts w:asciiTheme="minorHAnsi" w:hAnsiTheme="minorHAnsi" w:cstheme="minorHAnsi"/>
        </w:rPr>
        <w:t xml:space="preserve"> create, strengthen or entrench a position of substantial market power in any market</w:t>
      </w:r>
    </w:p>
    <w:p w14:paraId="55CCF442" w14:textId="742420D0" w:rsidR="00947E3E" w:rsidRPr="006A333A" w:rsidRDefault="00B676AC" w:rsidP="00947E3E">
      <w:pPr>
        <w:pStyle w:val="Bullet"/>
        <w:spacing w:line="240" w:lineRule="auto"/>
        <w:rPr>
          <w:rFonts w:asciiTheme="minorHAnsi" w:hAnsiTheme="minorHAnsi" w:cstheme="minorHAnsi"/>
        </w:rPr>
      </w:pPr>
      <w:r>
        <w:rPr>
          <w:rFonts w:asciiTheme="minorHAnsi" w:hAnsiTheme="minorHAnsi" w:cstheme="minorHAnsi"/>
        </w:rPr>
        <w:t>m</w:t>
      </w:r>
      <w:r w:rsidR="004B75D5" w:rsidRPr="004C7773">
        <w:rPr>
          <w:rFonts w:asciiTheme="minorHAnsi" w:hAnsiTheme="minorHAnsi" w:cstheme="minorHAnsi"/>
        </w:rPr>
        <w:t xml:space="preserve">andatory notifications </w:t>
      </w:r>
      <w:r w:rsidR="004B75D5">
        <w:rPr>
          <w:rFonts w:asciiTheme="minorHAnsi" w:hAnsiTheme="minorHAnsi" w:cstheme="minorHAnsi"/>
        </w:rPr>
        <w:t>to capture mergers and acquisitions of concern through notification thresholds that are appropriately calibrated to capture mergers which would have greatest impact on consumers and the economy if anti-competitive, and</w:t>
      </w:r>
    </w:p>
    <w:p w14:paraId="36F4B0B1" w14:textId="130157C6" w:rsidR="00A3174F" w:rsidRDefault="00F44C9D" w:rsidP="00252090">
      <w:pPr>
        <w:pStyle w:val="Bullet"/>
        <w:spacing w:line="240" w:lineRule="auto"/>
        <w:rPr>
          <w:rFonts w:asciiTheme="minorHAnsi" w:hAnsiTheme="minorHAnsi" w:cstheme="minorHAnsi"/>
        </w:rPr>
      </w:pPr>
      <w:r>
        <w:rPr>
          <w:rFonts w:asciiTheme="minorHAnsi" w:hAnsiTheme="minorHAnsi" w:cstheme="minorHAnsi"/>
        </w:rPr>
        <w:t>t</w:t>
      </w:r>
      <w:r w:rsidR="00947E3E" w:rsidRPr="004C7773">
        <w:rPr>
          <w:rFonts w:asciiTheme="minorHAnsi" w:hAnsiTheme="minorHAnsi" w:cstheme="minorHAnsi"/>
        </w:rPr>
        <w:t xml:space="preserve">imeliness </w:t>
      </w:r>
      <w:r w:rsidR="00DF482A">
        <w:rPr>
          <w:rFonts w:asciiTheme="minorHAnsi" w:hAnsiTheme="minorHAnsi" w:cstheme="minorHAnsi"/>
        </w:rPr>
        <w:t>for</w:t>
      </w:r>
      <w:r w:rsidR="00947E3E" w:rsidRPr="004C7773">
        <w:rPr>
          <w:rFonts w:asciiTheme="minorHAnsi" w:hAnsiTheme="minorHAnsi" w:cstheme="minorHAnsi"/>
        </w:rPr>
        <w:t xml:space="preserve"> ACCC determinations</w:t>
      </w:r>
      <w:r w:rsidR="000B4C47">
        <w:rPr>
          <w:rFonts w:asciiTheme="minorHAnsi" w:hAnsiTheme="minorHAnsi" w:cstheme="minorHAnsi"/>
        </w:rPr>
        <w:t xml:space="preserve"> </w:t>
      </w:r>
      <w:r w:rsidR="0048673B">
        <w:rPr>
          <w:rFonts w:asciiTheme="minorHAnsi" w:hAnsiTheme="minorHAnsi" w:cstheme="minorHAnsi"/>
        </w:rPr>
        <w:t xml:space="preserve">(including reasonable </w:t>
      </w:r>
      <w:r w:rsidR="00947E3E">
        <w:rPr>
          <w:rFonts w:asciiTheme="minorHAnsi" w:hAnsiTheme="minorHAnsi" w:cstheme="minorHAnsi"/>
        </w:rPr>
        <w:t xml:space="preserve">pre-notification </w:t>
      </w:r>
      <w:r w:rsidR="0048673B">
        <w:rPr>
          <w:rFonts w:asciiTheme="minorHAnsi" w:hAnsiTheme="minorHAnsi" w:cstheme="minorHAnsi"/>
        </w:rPr>
        <w:t>periods</w:t>
      </w:r>
      <w:r w:rsidR="00947E3E" w:rsidRPr="004C7773">
        <w:rPr>
          <w:rFonts w:asciiTheme="minorHAnsi" w:hAnsiTheme="minorHAnsi" w:cstheme="minorHAnsi"/>
        </w:rPr>
        <w:t xml:space="preserve"> and </w:t>
      </w:r>
      <w:r w:rsidR="00690578">
        <w:rPr>
          <w:rFonts w:asciiTheme="minorHAnsi" w:hAnsiTheme="minorHAnsi" w:cstheme="minorHAnsi"/>
        </w:rPr>
        <w:t xml:space="preserve">properly justified </w:t>
      </w:r>
      <w:r w:rsidR="00947E3E" w:rsidRPr="004C7773">
        <w:rPr>
          <w:rFonts w:asciiTheme="minorHAnsi" w:hAnsiTheme="minorHAnsi" w:cstheme="minorHAnsi"/>
        </w:rPr>
        <w:t>extensions to time periods).</w:t>
      </w:r>
      <w:r w:rsidR="00A44923">
        <w:rPr>
          <w:rFonts w:asciiTheme="minorHAnsi" w:hAnsiTheme="minorHAnsi" w:cstheme="minorHAnsi"/>
        </w:rPr>
        <w:t xml:space="preserve"> </w:t>
      </w:r>
    </w:p>
    <w:p w14:paraId="6D3D34AE" w14:textId="43BC7871" w:rsidR="00A55C18" w:rsidRPr="00845DBC" w:rsidRDefault="00047D4F" w:rsidP="00A3174F">
      <w:pPr>
        <w:pStyle w:val="Dash"/>
        <w:rPr>
          <w:rFonts w:asciiTheme="minorHAnsi" w:hAnsiTheme="minorHAnsi" w:cstheme="minorHAnsi"/>
        </w:rPr>
      </w:pPr>
      <w:r w:rsidRPr="00845DBC">
        <w:rPr>
          <w:rFonts w:asciiTheme="minorHAnsi" w:hAnsiTheme="minorHAnsi" w:cstheme="minorHAnsi"/>
        </w:rPr>
        <w:t>All (100</w:t>
      </w:r>
      <w:r w:rsidR="00BE17E1">
        <w:rPr>
          <w:rFonts w:asciiTheme="minorHAnsi" w:hAnsiTheme="minorHAnsi" w:cstheme="minorHAnsi"/>
        </w:rPr>
        <w:t>%</w:t>
      </w:r>
      <w:r w:rsidRPr="00845DBC">
        <w:rPr>
          <w:rFonts w:asciiTheme="minorHAnsi" w:hAnsiTheme="minorHAnsi" w:cstheme="minorHAnsi"/>
        </w:rPr>
        <w:t xml:space="preserve">) acquisitions </w:t>
      </w:r>
      <w:r w:rsidR="006E4105" w:rsidRPr="00845DBC">
        <w:rPr>
          <w:rFonts w:asciiTheme="minorHAnsi" w:hAnsiTheme="minorHAnsi" w:cstheme="minorHAnsi"/>
        </w:rPr>
        <w:t xml:space="preserve">considered by the ACCC will be disclosed to the public </w:t>
      </w:r>
      <w:r w:rsidR="00CB6177" w:rsidRPr="00845DBC">
        <w:rPr>
          <w:rFonts w:asciiTheme="minorHAnsi" w:hAnsiTheme="minorHAnsi" w:cstheme="minorHAnsi"/>
        </w:rPr>
        <w:t>compared to less than 10 per</w:t>
      </w:r>
      <w:r w:rsidR="00D332F8">
        <w:rPr>
          <w:rFonts w:asciiTheme="minorHAnsi" w:hAnsiTheme="minorHAnsi" w:cstheme="minorHAnsi"/>
        </w:rPr>
        <w:t xml:space="preserve"> </w:t>
      </w:r>
      <w:r w:rsidR="00CB6177" w:rsidRPr="00845DBC">
        <w:rPr>
          <w:rFonts w:asciiTheme="minorHAnsi" w:hAnsiTheme="minorHAnsi" w:cstheme="minorHAnsi"/>
        </w:rPr>
        <w:t xml:space="preserve">cent under the status quo. </w:t>
      </w:r>
      <w:r w:rsidR="00D50177" w:rsidRPr="00845DBC">
        <w:rPr>
          <w:rFonts w:asciiTheme="minorHAnsi" w:hAnsiTheme="minorHAnsi" w:cstheme="minorHAnsi"/>
        </w:rPr>
        <w:t>Further, the ACCC will provide reasons for 100 per cent of decisions, compared to only 2 per cent of all mergers assessed or 17 per cent of public reviews under the status quo</w:t>
      </w:r>
      <w:r w:rsidR="00301E80" w:rsidRPr="00845DBC">
        <w:rPr>
          <w:rFonts w:asciiTheme="minorHAnsi" w:hAnsiTheme="minorHAnsi" w:cstheme="minorHAnsi"/>
        </w:rPr>
        <w:t xml:space="preserve">. </w:t>
      </w:r>
    </w:p>
    <w:p w14:paraId="51AD95E0" w14:textId="458F82A7" w:rsidR="00A3174F" w:rsidRPr="00BE17E1" w:rsidRDefault="00D170F1" w:rsidP="00A3174F">
      <w:pPr>
        <w:pStyle w:val="Dash"/>
        <w:rPr>
          <w:rFonts w:asciiTheme="minorHAnsi" w:hAnsiTheme="minorHAnsi" w:cstheme="minorHAnsi"/>
        </w:rPr>
      </w:pPr>
      <w:r w:rsidRPr="00BE17E1">
        <w:rPr>
          <w:rFonts w:asciiTheme="minorHAnsi" w:hAnsiTheme="minorHAnsi" w:cstheme="minorHAnsi"/>
          <w:shd w:val="clear" w:color="auto" w:fill="FFFFFF"/>
        </w:rPr>
        <w:t xml:space="preserve">Reduction of </w:t>
      </w:r>
      <w:r w:rsidR="00845DBC" w:rsidRPr="00BE17E1">
        <w:rPr>
          <w:rFonts w:asciiTheme="minorHAnsi" w:hAnsiTheme="minorHAnsi" w:cstheme="minorHAnsi"/>
          <w:shd w:val="clear" w:color="auto" w:fill="FFFFFF"/>
        </w:rPr>
        <w:t xml:space="preserve">Phase </w:t>
      </w:r>
      <w:r w:rsidR="0024671C" w:rsidRPr="00BE17E1">
        <w:rPr>
          <w:rFonts w:asciiTheme="minorHAnsi" w:hAnsiTheme="minorHAnsi" w:cstheme="minorHAnsi"/>
          <w:shd w:val="clear" w:color="auto" w:fill="FFFFFF"/>
        </w:rPr>
        <w:t>1</w:t>
      </w:r>
      <w:r w:rsidR="00845DBC" w:rsidRPr="00BE17E1">
        <w:rPr>
          <w:rFonts w:asciiTheme="minorHAnsi" w:hAnsiTheme="minorHAnsi" w:cstheme="minorHAnsi"/>
          <w:shd w:val="clear" w:color="auto" w:fill="FFFFFF"/>
        </w:rPr>
        <w:t xml:space="preserve"> review times </w:t>
      </w:r>
      <w:r w:rsidR="009E6553">
        <w:rPr>
          <w:rFonts w:asciiTheme="minorHAnsi" w:hAnsiTheme="minorHAnsi" w:cstheme="minorHAnsi"/>
          <w:shd w:val="clear" w:color="auto" w:fill="FFFFFF"/>
        </w:rPr>
        <w:t xml:space="preserve">from an average of </w:t>
      </w:r>
      <w:r w:rsidR="00766E83">
        <w:rPr>
          <w:rFonts w:asciiTheme="minorHAnsi" w:hAnsiTheme="minorHAnsi" w:cstheme="minorHAnsi"/>
          <w:shd w:val="clear" w:color="auto" w:fill="FFFFFF"/>
        </w:rPr>
        <w:t>75</w:t>
      </w:r>
      <w:r w:rsidR="009E6553">
        <w:rPr>
          <w:rFonts w:asciiTheme="minorHAnsi" w:hAnsiTheme="minorHAnsi" w:cstheme="minorHAnsi"/>
          <w:shd w:val="clear" w:color="auto" w:fill="FFFFFF"/>
        </w:rPr>
        <w:t xml:space="preserve"> days to 30 days</w:t>
      </w:r>
      <w:r w:rsidR="002B452C">
        <w:rPr>
          <w:rFonts w:asciiTheme="minorHAnsi" w:hAnsiTheme="minorHAnsi" w:cstheme="minorHAnsi"/>
          <w:shd w:val="clear" w:color="auto" w:fill="FFFFFF"/>
        </w:rPr>
        <w:t xml:space="preserve"> </w:t>
      </w:r>
      <w:r w:rsidR="00845DBC" w:rsidRPr="00BE17E1">
        <w:rPr>
          <w:rFonts w:asciiTheme="minorHAnsi" w:hAnsiTheme="minorHAnsi" w:cstheme="minorHAnsi"/>
          <w:shd w:val="clear" w:color="auto" w:fill="FFFFFF"/>
        </w:rPr>
        <w:t xml:space="preserve">for the anticipated majority of notified </w:t>
      </w:r>
      <w:r w:rsidR="00285490" w:rsidRPr="00BE17E1">
        <w:rPr>
          <w:rFonts w:asciiTheme="minorHAnsi" w:hAnsiTheme="minorHAnsi" w:cstheme="minorHAnsi"/>
          <w:shd w:val="clear" w:color="auto" w:fill="FFFFFF"/>
        </w:rPr>
        <w:t>acquisitions</w:t>
      </w:r>
      <w:r w:rsidR="00845DBC" w:rsidRPr="00BE17E1">
        <w:rPr>
          <w:rFonts w:asciiTheme="minorHAnsi" w:hAnsiTheme="minorHAnsi" w:cstheme="minorHAnsi"/>
          <w:shd w:val="clear" w:color="auto" w:fill="FFFFFF"/>
        </w:rPr>
        <w:t xml:space="preserve"> (</w:t>
      </w:r>
      <w:r w:rsidR="00560BEB">
        <w:rPr>
          <w:rFonts w:asciiTheme="minorHAnsi" w:hAnsiTheme="minorHAnsi" w:cstheme="minorHAnsi"/>
          <w:shd w:val="clear" w:color="auto" w:fill="FFFFFF"/>
        </w:rPr>
        <w:t>60</w:t>
      </w:r>
      <w:r w:rsidR="00844344">
        <w:rPr>
          <w:rFonts w:asciiTheme="minorHAnsi" w:hAnsiTheme="minorHAnsi" w:cstheme="minorHAnsi"/>
          <w:shd w:val="clear" w:color="auto" w:fill="FFFFFF"/>
        </w:rPr>
        <w:t>% reduction)</w:t>
      </w:r>
      <w:r w:rsidR="00845DBC" w:rsidRPr="00BE17E1">
        <w:rPr>
          <w:rFonts w:asciiTheme="minorHAnsi" w:hAnsiTheme="minorHAnsi" w:cstheme="minorHAnsi"/>
          <w:shd w:val="clear" w:color="auto" w:fill="FFFFFF"/>
        </w:rPr>
        <w:t xml:space="preserve">. </w:t>
      </w:r>
      <w:r w:rsidR="00285490" w:rsidRPr="00BE17E1">
        <w:rPr>
          <w:rFonts w:asciiTheme="minorHAnsi" w:hAnsiTheme="minorHAnsi" w:cstheme="minorHAnsi"/>
          <w:shd w:val="clear" w:color="auto" w:fill="FFFFFF"/>
        </w:rPr>
        <w:t xml:space="preserve">And reduction of the </w:t>
      </w:r>
      <w:r w:rsidR="00845DBC" w:rsidRPr="00BE17E1">
        <w:rPr>
          <w:rFonts w:asciiTheme="minorHAnsi" w:hAnsiTheme="minorHAnsi" w:cstheme="minorHAnsi"/>
          <w:shd w:val="clear" w:color="auto" w:fill="FFFFFF"/>
        </w:rPr>
        <w:t xml:space="preserve">total of Phase </w:t>
      </w:r>
      <w:r w:rsidR="0024671C" w:rsidRPr="00BE17E1">
        <w:rPr>
          <w:rFonts w:asciiTheme="minorHAnsi" w:hAnsiTheme="minorHAnsi" w:cstheme="minorHAnsi"/>
          <w:shd w:val="clear" w:color="auto" w:fill="FFFFFF"/>
        </w:rPr>
        <w:t>1</w:t>
      </w:r>
      <w:r w:rsidR="00845DBC" w:rsidRPr="00BE17E1">
        <w:rPr>
          <w:rFonts w:asciiTheme="minorHAnsi" w:hAnsiTheme="minorHAnsi" w:cstheme="minorHAnsi"/>
          <w:shd w:val="clear" w:color="auto" w:fill="FFFFFF"/>
        </w:rPr>
        <w:t xml:space="preserve"> and Phase </w:t>
      </w:r>
      <w:r w:rsidR="0024671C" w:rsidRPr="00BE17E1">
        <w:rPr>
          <w:rFonts w:asciiTheme="minorHAnsi" w:hAnsiTheme="minorHAnsi" w:cstheme="minorHAnsi"/>
          <w:shd w:val="clear" w:color="auto" w:fill="FFFFFF"/>
        </w:rPr>
        <w:t>2</w:t>
      </w:r>
      <w:r w:rsidR="00844344">
        <w:rPr>
          <w:rFonts w:asciiTheme="minorHAnsi" w:hAnsiTheme="minorHAnsi" w:cstheme="minorHAnsi"/>
          <w:shd w:val="clear" w:color="auto" w:fill="FFFFFF"/>
        </w:rPr>
        <w:t xml:space="preserve"> review times</w:t>
      </w:r>
      <w:r w:rsidR="00DB67F0" w:rsidRPr="00BE17E1">
        <w:rPr>
          <w:rFonts w:asciiTheme="minorHAnsi" w:hAnsiTheme="minorHAnsi" w:cstheme="minorHAnsi"/>
          <w:shd w:val="clear" w:color="auto" w:fill="FFFFFF"/>
        </w:rPr>
        <w:t xml:space="preserve"> </w:t>
      </w:r>
      <w:r w:rsidR="00845DBC" w:rsidRPr="00BE17E1">
        <w:rPr>
          <w:rFonts w:asciiTheme="minorHAnsi" w:hAnsiTheme="minorHAnsi" w:cstheme="minorHAnsi"/>
          <w:shd w:val="clear" w:color="auto" w:fill="FFFFFF"/>
        </w:rPr>
        <w:t>from an average of 1</w:t>
      </w:r>
      <w:r w:rsidR="0077694F">
        <w:rPr>
          <w:rFonts w:asciiTheme="minorHAnsi" w:hAnsiTheme="minorHAnsi" w:cstheme="minorHAnsi"/>
          <w:shd w:val="clear" w:color="auto" w:fill="FFFFFF"/>
        </w:rPr>
        <w:t>92</w:t>
      </w:r>
      <w:r w:rsidR="00845DBC" w:rsidRPr="00BE17E1">
        <w:rPr>
          <w:rFonts w:asciiTheme="minorHAnsi" w:hAnsiTheme="minorHAnsi" w:cstheme="minorHAnsi"/>
          <w:shd w:val="clear" w:color="auto" w:fill="FFFFFF"/>
        </w:rPr>
        <w:t xml:space="preserve"> days in the status quo to 120 days (</w:t>
      </w:r>
      <w:r w:rsidR="0077694F">
        <w:rPr>
          <w:rFonts w:asciiTheme="minorHAnsi" w:hAnsiTheme="minorHAnsi" w:cstheme="minorHAnsi"/>
          <w:shd w:val="clear" w:color="auto" w:fill="FFFFFF"/>
        </w:rPr>
        <w:t>37</w:t>
      </w:r>
      <w:r w:rsidR="00845DBC" w:rsidRPr="00BE17E1">
        <w:rPr>
          <w:rFonts w:asciiTheme="minorHAnsi" w:hAnsiTheme="minorHAnsi" w:cstheme="minorHAnsi"/>
          <w:shd w:val="clear" w:color="auto" w:fill="FFFFFF"/>
        </w:rPr>
        <w:t>% reduction).</w:t>
      </w:r>
    </w:p>
    <w:p w14:paraId="76A1F86F" w14:textId="336E99BA" w:rsidR="00947E3E" w:rsidRPr="006A333A" w:rsidRDefault="00947E3E" w:rsidP="00947E3E">
      <w:pPr>
        <w:pStyle w:val="Bullet"/>
        <w:numPr>
          <w:ilvl w:val="0"/>
          <w:numId w:val="0"/>
        </w:numPr>
        <w:spacing w:line="240" w:lineRule="auto"/>
        <w:rPr>
          <w:rFonts w:asciiTheme="minorHAnsi" w:hAnsiTheme="minorHAnsi" w:cstheme="minorHAnsi"/>
        </w:rPr>
      </w:pPr>
      <w:r>
        <w:rPr>
          <w:rFonts w:asciiTheme="minorHAnsi" w:hAnsiTheme="minorHAnsi" w:cstheme="minorHAnsi"/>
        </w:rPr>
        <w:t xml:space="preserve">Detailed </w:t>
      </w:r>
      <w:r w:rsidR="00B941A0">
        <w:rPr>
          <w:rFonts w:asciiTheme="minorHAnsi" w:hAnsiTheme="minorHAnsi" w:cstheme="minorHAnsi"/>
        </w:rPr>
        <w:t xml:space="preserve">implementation and </w:t>
      </w:r>
      <w:r>
        <w:rPr>
          <w:rFonts w:asciiTheme="minorHAnsi" w:hAnsiTheme="minorHAnsi" w:cstheme="minorHAnsi"/>
        </w:rPr>
        <w:t>evaluati</w:t>
      </w:r>
      <w:r w:rsidR="005E3C2D">
        <w:rPr>
          <w:rFonts w:asciiTheme="minorHAnsi" w:hAnsiTheme="minorHAnsi" w:cstheme="minorHAnsi"/>
        </w:rPr>
        <w:t>on</w:t>
      </w:r>
      <w:r>
        <w:rPr>
          <w:rFonts w:asciiTheme="minorHAnsi" w:hAnsiTheme="minorHAnsi" w:cstheme="minorHAnsi"/>
        </w:rPr>
        <w:t xml:space="preserve"> approach</w:t>
      </w:r>
      <w:r w:rsidR="009D5CBB">
        <w:rPr>
          <w:rFonts w:asciiTheme="minorHAnsi" w:hAnsiTheme="minorHAnsi" w:cstheme="minorHAnsi"/>
        </w:rPr>
        <w:t>, activities</w:t>
      </w:r>
      <w:r>
        <w:rPr>
          <w:rFonts w:asciiTheme="minorHAnsi" w:hAnsiTheme="minorHAnsi" w:cstheme="minorHAnsi"/>
        </w:rPr>
        <w:t xml:space="preserve"> </w:t>
      </w:r>
      <w:r w:rsidR="004D24C2">
        <w:rPr>
          <w:rFonts w:asciiTheme="minorHAnsi" w:hAnsiTheme="minorHAnsi" w:cstheme="minorHAnsi"/>
        </w:rPr>
        <w:t xml:space="preserve">and associated data points </w:t>
      </w:r>
      <w:r w:rsidR="00C626DA">
        <w:rPr>
          <w:rFonts w:asciiTheme="minorHAnsi" w:hAnsiTheme="minorHAnsi" w:cstheme="minorHAnsi"/>
        </w:rPr>
        <w:t xml:space="preserve">are </w:t>
      </w:r>
      <w:r>
        <w:rPr>
          <w:rFonts w:asciiTheme="minorHAnsi" w:hAnsiTheme="minorHAnsi" w:cstheme="minorHAnsi"/>
        </w:rPr>
        <w:t xml:space="preserve">outlined in </w:t>
      </w:r>
      <w:r w:rsidR="00065C9C">
        <w:rPr>
          <w:rFonts w:asciiTheme="minorHAnsi" w:hAnsiTheme="minorHAnsi" w:cstheme="minorHAnsi"/>
        </w:rPr>
        <w:t xml:space="preserve">Question </w:t>
      </w:r>
      <w:r>
        <w:rPr>
          <w:rFonts w:asciiTheme="minorHAnsi" w:hAnsiTheme="minorHAnsi" w:cstheme="minorHAnsi"/>
        </w:rPr>
        <w:t xml:space="preserve">7. </w:t>
      </w:r>
    </w:p>
    <w:p w14:paraId="3EC4C28B" w14:textId="77777777" w:rsidR="00947E3E" w:rsidRDefault="00947E3E" w:rsidP="00947E3E">
      <w:pPr>
        <w:rPr>
          <w:rFonts w:ascii="Calibri" w:eastAsia="Times New Roman" w:hAnsi="Calibri" w:cs="Arial"/>
          <w:b/>
          <w:color w:val="5D779D" w:themeColor="accent3"/>
          <w:kern w:val="32"/>
          <w:sz w:val="44"/>
          <w:szCs w:val="36"/>
          <w:lang w:eastAsia="en-AU"/>
          <w14:ligatures w14:val="none"/>
        </w:rPr>
      </w:pPr>
      <w:r>
        <w:br w:type="page"/>
      </w:r>
    </w:p>
    <w:p w14:paraId="1D683107" w14:textId="77777777" w:rsidR="00947E3E" w:rsidRDefault="00947E3E" w:rsidP="00947E3E">
      <w:pPr>
        <w:pStyle w:val="Heading1"/>
      </w:pPr>
      <w:bookmarkStart w:id="45" w:name="_Toc158988622"/>
      <w:bookmarkStart w:id="46" w:name="_Toc160013877"/>
      <w:bookmarkStart w:id="47" w:name="_Toc162428355"/>
      <w:bookmarkStart w:id="48" w:name="_Toc176972361"/>
      <w:r>
        <w:t xml:space="preserve">3. </w:t>
      </w:r>
      <w:r w:rsidRPr="00CA2B6C">
        <w:t>What policy options are you considering?</w:t>
      </w:r>
      <w:bookmarkEnd w:id="45"/>
      <w:bookmarkEnd w:id="46"/>
      <w:bookmarkEnd w:id="47"/>
      <w:bookmarkEnd w:id="48"/>
    </w:p>
    <w:p w14:paraId="412DADEA" w14:textId="39072AA6" w:rsidR="00947E3E" w:rsidRPr="006161E0" w:rsidRDefault="00947E3E" w:rsidP="00947E3E">
      <w:pPr>
        <w:spacing w:after="120" w:line="240" w:lineRule="auto"/>
      </w:pPr>
      <w:r w:rsidRPr="006161E0">
        <w:t xml:space="preserve">Treasury </w:t>
      </w:r>
      <w:r>
        <w:t xml:space="preserve">has </w:t>
      </w:r>
      <w:r w:rsidRPr="006161E0">
        <w:t xml:space="preserve">considered a range of options for reforming </w:t>
      </w:r>
      <w:r>
        <w:t>Australia’s approach to</w:t>
      </w:r>
      <w:r w:rsidRPr="006161E0">
        <w:t xml:space="preserve"> merger </w:t>
      </w:r>
      <w:r w:rsidR="009D4565">
        <w:t>control</w:t>
      </w:r>
      <w:r w:rsidRPr="006161E0">
        <w:t>, which include</w:t>
      </w:r>
      <w:r>
        <w:t>s</w:t>
      </w:r>
      <w:r w:rsidRPr="006161E0">
        <w:t xml:space="preserve"> the options presented below as part of the net benefit analysis and a </w:t>
      </w:r>
      <w:r w:rsidRPr="0062507B">
        <w:t>number of</w:t>
      </w:r>
      <w:r w:rsidRPr="006161E0">
        <w:t xml:space="preserve"> other</w:t>
      </w:r>
      <w:r w:rsidRPr="0062507B">
        <w:t xml:space="preserve"> general</w:t>
      </w:r>
      <w:r w:rsidRPr="006161E0">
        <w:t xml:space="preserve"> options, including a non-regulatory option. </w:t>
      </w:r>
      <w:r>
        <w:t xml:space="preserve">These options take into account the information and views Treasury received from the consultation process undertaken between November 2023 and </w:t>
      </w:r>
      <w:r w:rsidRPr="00067C6F">
        <w:t>January 2024</w:t>
      </w:r>
      <w:r>
        <w:t xml:space="preserve">. </w:t>
      </w:r>
    </w:p>
    <w:p w14:paraId="1075B1B8" w14:textId="0FF652F8" w:rsidR="00947E3E" w:rsidRPr="00E2357E" w:rsidRDefault="00947E3E" w:rsidP="00947E3E">
      <w:pPr>
        <w:pStyle w:val="Bullet"/>
        <w:spacing w:line="240" w:lineRule="auto"/>
        <w:rPr>
          <w:rFonts w:asciiTheme="minorHAnsi" w:hAnsiTheme="minorHAnsi" w:cstheme="minorHAnsi"/>
        </w:rPr>
      </w:pPr>
      <w:r w:rsidRPr="00E2357E">
        <w:rPr>
          <w:rFonts w:asciiTheme="minorHAnsi" w:hAnsiTheme="minorHAnsi" w:cstheme="minorHAnsi"/>
        </w:rPr>
        <w:t>Option 1</w:t>
      </w:r>
      <w:r w:rsidR="00D30496">
        <w:rPr>
          <w:rFonts w:asciiTheme="minorHAnsi" w:hAnsiTheme="minorHAnsi" w:cstheme="minorHAnsi"/>
        </w:rPr>
        <w:t xml:space="preserve"> – </w:t>
      </w:r>
      <w:r w:rsidRPr="00E2357E">
        <w:rPr>
          <w:rFonts w:asciiTheme="minorHAnsi" w:hAnsiTheme="minorHAnsi" w:cstheme="minorHAnsi"/>
        </w:rPr>
        <w:t>the status quo</w:t>
      </w:r>
      <w:r w:rsidR="006A709D">
        <w:rPr>
          <w:rFonts w:asciiTheme="minorHAnsi" w:hAnsiTheme="minorHAnsi" w:cstheme="minorHAnsi"/>
        </w:rPr>
        <w:t>.</w:t>
      </w:r>
    </w:p>
    <w:p w14:paraId="0E2F8CCE" w14:textId="77D9A851" w:rsidR="00947E3E" w:rsidRPr="00E2357E" w:rsidRDefault="00947E3E" w:rsidP="00947E3E">
      <w:pPr>
        <w:pStyle w:val="Bullet"/>
        <w:spacing w:line="240" w:lineRule="auto"/>
        <w:rPr>
          <w:rFonts w:asciiTheme="minorHAnsi" w:hAnsiTheme="minorHAnsi" w:cstheme="minorHAnsi"/>
        </w:rPr>
      </w:pPr>
      <w:r w:rsidRPr="00E2357E">
        <w:rPr>
          <w:rFonts w:asciiTheme="minorHAnsi" w:hAnsiTheme="minorHAnsi" w:cstheme="minorHAnsi"/>
        </w:rPr>
        <w:t>Option 2</w:t>
      </w:r>
      <w:r w:rsidR="00D30496">
        <w:rPr>
          <w:rFonts w:asciiTheme="minorHAnsi" w:hAnsiTheme="minorHAnsi" w:cstheme="minorHAnsi"/>
        </w:rPr>
        <w:t xml:space="preserve"> – </w:t>
      </w:r>
      <w:r w:rsidRPr="00E2357E">
        <w:rPr>
          <w:rFonts w:asciiTheme="minorHAnsi" w:hAnsiTheme="minorHAnsi" w:cstheme="minorHAnsi"/>
        </w:rPr>
        <w:t xml:space="preserve">a mandatory </w:t>
      </w:r>
      <w:r w:rsidR="004A70AA">
        <w:rPr>
          <w:rFonts w:asciiTheme="minorHAnsi" w:hAnsiTheme="minorHAnsi" w:cstheme="minorHAnsi"/>
        </w:rPr>
        <w:t xml:space="preserve">and suspensory </w:t>
      </w:r>
      <w:r w:rsidRPr="00E2357E">
        <w:rPr>
          <w:rFonts w:asciiTheme="minorHAnsi" w:hAnsiTheme="minorHAnsi" w:cstheme="minorHAnsi"/>
        </w:rPr>
        <w:t>administrative system with an extended SLC test</w:t>
      </w:r>
      <w:r w:rsidR="006A709D">
        <w:rPr>
          <w:rFonts w:asciiTheme="minorHAnsi" w:hAnsiTheme="minorHAnsi" w:cstheme="minorHAnsi"/>
        </w:rPr>
        <w:t>.</w:t>
      </w:r>
    </w:p>
    <w:p w14:paraId="51396DB6" w14:textId="4F1E0B6A" w:rsidR="00947E3E" w:rsidRPr="00E2357E" w:rsidRDefault="00947E3E" w:rsidP="00947E3E">
      <w:pPr>
        <w:pStyle w:val="Bullet"/>
        <w:spacing w:line="240" w:lineRule="auto"/>
        <w:rPr>
          <w:rFonts w:asciiTheme="minorHAnsi" w:hAnsiTheme="minorHAnsi" w:cstheme="minorHAnsi"/>
        </w:rPr>
      </w:pPr>
      <w:r w:rsidRPr="00E2357E">
        <w:rPr>
          <w:rFonts w:asciiTheme="minorHAnsi" w:hAnsiTheme="minorHAnsi" w:cstheme="minorHAnsi"/>
        </w:rPr>
        <w:t>Option 3</w:t>
      </w:r>
      <w:r w:rsidR="00D30496">
        <w:rPr>
          <w:rFonts w:asciiTheme="minorHAnsi" w:hAnsiTheme="minorHAnsi" w:cstheme="minorHAnsi"/>
        </w:rPr>
        <w:t xml:space="preserve"> –</w:t>
      </w:r>
      <w:r w:rsidRPr="00E2357E">
        <w:rPr>
          <w:rFonts w:asciiTheme="minorHAnsi" w:hAnsiTheme="minorHAnsi" w:cstheme="minorHAnsi"/>
        </w:rPr>
        <w:t xml:space="preserve"> a mandatory </w:t>
      </w:r>
      <w:r w:rsidR="00127709">
        <w:rPr>
          <w:rFonts w:asciiTheme="minorHAnsi" w:hAnsiTheme="minorHAnsi" w:cstheme="minorHAnsi"/>
        </w:rPr>
        <w:t xml:space="preserve">and suspensory </w:t>
      </w:r>
      <w:r w:rsidRPr="00E2357E">
        <w:rPr>
          <w:rFonts w:asciiTheme="minorHAnsi" w:hAnsiTheme="minorHAnsi" w:cstheme="minorHAnsi"/>
        </w:rPr>
        <w:t>administrative system with a satisfaction test</w:t>
      </w:r>
      <w:r w:rsidR="006A709D">
        <w:rPr>
          <w:rFonts w:asciiTheme="minorHAnsi" w:hAnsiTheme="minorHAnsi" w:cstheme="minorHAnsi"/>
        </w:rPr>
        <w:t>.</w:t>
      </w:r>
    </w:p>
    <w:p w14:paraId="2332C5C5" w14:textId="4EA8B38E" w:rsidR="00947E3E" w:rsidRPr="00E2357E" w:rsidRDefault="00947E3E" w:rsidP="00947E3E">
      <w:pPr>
        <w:pStyle w:val="Bullet"/>
        <w:spacing w:line="240" w:lineRule="auto"/>
        <w:rPr>
          <w:rFonts w:asciiTheme="minorHAnsi" w:hAnsiTheme="minorHAnsi" w:cstheme="minorHAnsi"/>
        </w:rPr>
      </w:pPr>
      <w:r w:rsidRPr="00E2357E">
        <w:rPr>
          <w:rFonts w:asciiTheme="minorHAnsi" w:hAnsiTheme="minorHAnsi" w:cstheme="minorHAnsi"/>
        </w:rPr>
        <w:t>Option 4</w:t>
      </w:r>
      <w:r w:rsidR="00D30496">
        <w:rPr>
          <w:rFonts w:asciiTheme="minorHAnsi" w:hAnsiTheme="minorHAnsi" w:cstheme="minorHAnsi"/>
        </w:rPr>
        <w:t xml:space="preserve"> – </w:t>
      </w:r>
      <w:r w:rsidRPr="00E2357E">
        <w:rPr>
          <w:rFonts w:asciiTheme="minorHAnsi" w:hAnsiTheme="minorHAnsi" w:cstheme="minorHAnsi"/>
        </w:rPr>
        <w:t xml:space="preserve">a mandatory judicial enforcement system with </w:t>
      </w:r>
      <w:r w:rsidR="003D0C48">
        <w:rPr>
          <w:rFonts w:asciiTheme="minorHAnsi" w:hAnsiTheme="minorHAnsi" w:cstheme="minorHAnsi"/>
        </w:rPr>
        <w:t xml:space="preserve">a </w:t>
      </w:r>
      <w:r w:rsidRPr="00E2357E">
        <w:rPr>
          <w:rFonts w:asciiTheme="minorHAnsi" w:hAnsiTheme="minorHAnsi" w:cstheme="minorHAnsi"/>
        </w:rPr>
        <w:t>SLC test.</w:t>
      </w:r>
    </w:p>
    <w:p w14:paraId="6DD9EA8F" w14:textId="388C7BD1" w:rsidR="00947E3E" w:rsidRDefault="00947E3E" w:rsidP="00947E3E">
      <w:pPr>
        <w:pStyle w:val="Heading2"/>
      </w:pPr>
      <w:bookmarkStart w:id="49" w:name="_Toc176972362"/>
      <w:r w:rsidRPr="00793FE4">
        <w:t>Option 1 –</w:t>
      </w:r>
      <w:r>
        <w:t xml:space="preserve"> </w:t>
      </w:r>
      <w:r w:rsidR="008B4058">
        <w:t>S</w:t>
      </w:r>
      <w:r w:rsidRPr="00793FE4">
        <w:t xml:space="preserve">tatus </w:t>
      </w:r>
      <w:r w:rsidR="008B4058">
        <w:t>Q</w:t>
      </w:r>
      <w:r w:rsidRPr="00793FE4">
        <w:t>uo</w:t>
      </w:r>
      <w:bookmarkEnd w:id="49"/>
    </w:p>
    <w:p w14:paraId="5C08618A" w14:textId="7434AFF8" w:rsidR="00947E3E" w:rsidRDefault="00947E3E" w:rsidP="00947E3E">
      <w:pPr>
        <w:spacing w:line="240" w:lineRule="auto"/>
      </w:pPr>
      <w:r>
        <w:t xml:space="preserve">Option 1 makes no change to the existing approach to merger control </w:t>
      </w:r>
      <w:r w:rsidR="009A1EA4">
        <w:t xml:space="preserve">with </w:t>
      </w:r>
      <w:r>
        <w:t xml:space="preserve">the </w:t>
      </w:r>
      <w:r w:rsidR="00811679">
        <w:t>F</w:t>
      </w:r>
      <w:r>
        <w:t xml:space="preserve">ederal </w:t>
      </w:r>
      <w:r w:rsidR="00466BA5">
        <w:t>C</w:t>
      </w:r>
      <w:r>
        <w:t xml:space="preserve">ourt as the first-instance decision maker, and the ACCC providing a view as to whether </w:t>
      </w:r>
      <w:r w:rsidR="00837861">
        <w:t xml:space="preserve">it </w:t>
      </w:r>
      <w:r>
        <w:t>intend</w:t>
      </w:r>
      <w:r w:rsidR="00837861">
        <w:t>s</w:t>
      </w:r>
      <w:r>
        <w:t xml:space="preserve"> to commence proceedings. This would retain the </w:t>
      </w:r>
      <w:r w:rsidR="0042283F">
        <w:t xml:space="preserve">3 </w:t>
      </w:r>
      <w:r w:rsidRPr="00AF4939">
        <w:t xml:space="preserve">voluntary </w:t>
      </w:r>
      <w:r>
        <w:t>processes by which proposed mergers may be subject to a competition assessment described under the heading ‘Background to merger control’ above</w:t>
      </w:r>
      <w:r w:rsidR="001F62CD">
        <w:t>.</w:t>
      </w:r>
      <w:r>
        <w:rPr>
          <w:rStyle w:val="FootnoteReference"/>
        </w:rPr>
        <w:footnoteReference w:id="54"/>
      </w:r>
      <w:r w:rsidRPr="00E9513C">
        <w:t xml:space="preserve"> </w:t>
      </w:r>
      <w:r>
        <w:t xml:space="preserve"> </w:t>
      </w:r>
    </w:p>
    <w:p w14:paraId="4892D30F" w14:textId="50833CCA" w:rsidR="00947E3E" w:rsidRPr="00B138F1" w:rsidRDefault="00947E3E" w:rsidP="00947E3E">
      <w:pPr>
        <w:pStyle w:val="Heading2"/>
        <w:spacing w:line="240" w:lineRule="auto"/>
      </w:pPr>
      <w:bookmarkStart w:id="50" w:name="_Toc158988625"/>
      <w:bookmarkStart w:id="51" w:name="_Toc160013879"/>
      <w:bookmarkStart w:id="52" w:name="_Toc162428357"/>
      <w:bookmarkStart w:id="53" w:name="_Toc176972363"/>
      <w:bookmarkStart w:id="54" w:name="_Toc158988624"/>
      <w:r>
        <w:t>Option 2</w:t>
      </w:r>
      <w:r w:rsidRPr="00B138F1">
        <w:t xml:space="preserve"> </w:t>
      </w:r>
      <w:r>
        <w:t>– M</w:t>
      </w:r>
      <w:r w:rsidRPr="00B138F1">
        <w:t>andatory and suspensory administrative system</w:t>
      </w:r>
      <w:bookmarkEnd w:id="50"/>
      <w:r>
        <w:t xml:space="preserve"> with </w:t>
      </w:r>
      <w:r w:rsidR="0053481D">
        <w:t xml:space="preserve">an </w:t>
      </w:r>
      <w:r>
        <w:t>extended SLC test</w:t>
      </w:r>
      <w:bookmarkEnd w:id="51"/>
      <w:bookmarkEnd w:id="52"/>
      <w:bookmarkEnd w:id="53"/>
    </w:p>
    <w:p w14:paraId="43B7BDD1" w14:textId="1ADD809A" w:rsidR="00947E3E" w:rsidRPr="00D068E9" w:rsidRDefault="00947E3E" w:rsidP="00947E3E">
      <w:pPr>
        <w:spacing w:line="240" w:lineRule="auto"/>
      </w:pPr>
      <w:r w:rsidRPr="00D068E9">
        <w:t xml:space="preserve">Option </w:t>
      </w:r>
      <w:r>
        <w:t>2</w:t>
      </w:r>
      <w:r w:rsidRPr="00D068E9">
        <w:t xml:space="preserve"> would introduce a </w:t>
      </w:r>
      <w:r>
        <w:t xml:space="preserve">single </w:t>
      </w:r>
      <w:r w:rsidRPr="00F55A66">
        <w:t>mandatory and suspensory administrative merger control system</w:t>
      </w:r>
      <w:r w:rsidR="00374A36">
        <w:t>.</w:t>
      </w:r>
      <w:r w:rsidR="00BD6347">
        <w:t xml:space="preserve"> </w:t>
      </w:r>
      <w:r w:rsidR="007D20AF">
        <w:t xml:space="preserve">Under this option, </w:t>
      </w:r>
      <w:r w:rsidR="007D20AF">
        <w:rPr>
          <w:rFonts w:cstheme="minorHAnsi"/>
        </w:rPr>
        <w:t>t</w:t>
      </w:r>
      <w:r w:rsidR="007D20AF" w:rsidRPr="00E752F3">
        <w:rPr>
          <w:rFonts w:cstheme="minorHAnsi"/>
        </w:rPr>
        <w:t xml:space="preserve">he ACCC will </w:t>
      </w:r>
      <w:r w:rsidR="007D20AF">
        <w:rPr>
          <w:rFonts w:cstheme="minorHAnsi"/>
        </w:rPr>
        <w:t>be the first-instance administrative decision-maker.</w:t>
      </w:r>
      <w:r w:rsidR="007D20AF" w:rsidDel="00625DA6">
        <w:rPr>
          <w:rFonts w:cstheme="minorHAnsi"/>
        </w:rPr>
        <w:t xml:space="preserve"> </w:t>
      </w:r>
      <w:r w:rsidR="00730F14">
        <w:rPr>
          <w:rFonts w:cstheme="minorHAnsi"/>
        </w:rPr>
        <w:t xml:space="preserve">Option 2 </w:t>
      </w:r>
      <w:r w:rsidR="00561E6F">
        <w:rPr>
          <w:rFonts w:cstheme="minorHAnsi"/>
        </w:rPr>
        <w:t>brings</w:t>
      </w:r>
      <w:r w:rsidR="00730F14">
        <w:rPr>
          <w:rFonts w:cstheme="minorHAnsi"/>
        </w:rPr>
        <w:t xml:space="preserve"> Australia in line with </w:t>
      </w:r>
      <w:r w:rsidR="00D237A1">
        <w:rPr>
          <w:rFonts w:cstheme="minorHAnsi"/>
        </w:rPr>
        <w:t>members of the G</w:t>
      </w:r>
      <w:r w:rsidR="00FC613C">
        <w:rPr>
          <w:rFonts w:cstheme="minorHAnsi"/>
        </w:rPr>
        <w:t>7</w:t>
      </w:r>
      <w:r w:rsidR="00D237A1">
        <w:rPr>
          <w:rFonts w:cstheme="minorHAnsi"/>
        </w:rPr>
        <w:t xml:space="preserve"> and</w:t>
      </w:r>
      <w:r w:rsidR="00730F14">
        <w:rPr>
          <w:rFonts w:cstheme="minorHAnsi"/>
        </w:rPr>
        <w:t xml:space="preserve"> the OEC</w:t>
      </w:r>
      <w:r w:rsidR="00DD60F4">
        <w:rPr>
          <w:rFonts w:cstheme="minorHAnsi"/>
        </w:rPr>
        <w:t>D</w:t>
      </w:r>
      <w:r>
        <w:t>.</w:t>
      </w:r>
      <w:r w:rsidR="00D561B2" w:rsidRPr="00D561B2">
        <w:t xml:space="preserve"> </w:t>
      </w:r>
      <w:r w:rsidR="00D561B2" w:rsidRPr="00B4228E">
        <w:t>Six members of the G7 (France, Germany, Italy, Japan, United Kingdom</w:t>
      </w:r>
      <w:r w:rsidR="00CA0404">
        <w:t xml:space="preserve"> and the</w:t>
      </w:r>
      <w:r w:rsidR="00D561B2" w:rsidRPr="00B4228E">
        <w:t xml:space="preserve"> European Union) and around three quarters of OECD </w:t>
      </w:r>
      <w:r w:rsidR="00F72866">
        <w:t>m</w:t>
      </w:r>
      <w:r w:rsidR="00D561B2" w:rsidRPr="00B4228E">
        <w:t>embers have administrative merger control systems (including other advanced economies such as Spain, Norway, Denmark, Sweden and South Korea).</w:t>
      </w:r>
    </w:p>
    <w:p w14:paraId="5C338295" w14:textId="77777777" w:rsidR="00947E3E" w:rsidRPr="00F26CC7" w:rsidRDefault="00947E3E" w:rsidP="00203EEA">
      <w:pPr>
        <w:pStyle w:val="Heading4"/>
      </w:pPr>
      <w:r w:rsidRPr="00355A5E">
        <w:t xml:space="preserve">Notification requirements </w:t>
      </w:r>
    </w:p>
    <w:p w14:paraId="3F25765B" w14:textId="7F10A2A8" w:rsidR="00947E3E" w:rsidRPr="00F06733" w:rsidRDefault="0087129F" w:rsidP="00947E3E">
      <w:pPr>
        <w:pStyle w:val="Bullet"/>
        <w:numPr>
          <w:ilvl w:val="0"/>
          <w:numId w:val="0"/>
        </w:numPr>
        <w:spacing w:line="240" w:lineRule="auto"/>
        <w:rPr>
          <w:rFonts w:asciiTheme="minorHAnsi" w:hAnsiTheme="minorHAnsi" w:cstheme="minorHAnsi"/>
        </w:rPr>
      </w:pPr>
      <w:r>
        <w:rPr>
          <w:rFonts w:asciiTheme="minorHAnsi" w:hAnsiTheme="minorHAnsi" w:cstheme="minorHAnsi"/>
        </w:rPr>
        <w:t>A corporation or person that is a party to acquisition</w:t>
      </w:r>
      <w:r w:rsidR="005E1350">
        <w:rPr>
          <w:rFonts w:asciiTheme="minorHAnsi" w:hAnsiTheme="minorHAnsi" w:cstheme="minorHAnsi"/>
        </w:rPr>
        <w:t>s above certain</w:t>
      </w:r>
      <w:r w:rsidR="00F70170">
        <w:rPr>
          <w:rFonts w:asciiTheme="minorHAnsi" w:hAnsiTheme="minorHAnsi" w:cstheme="minorHAnsi"/>
        </w:rPr>
        <w:t xml:space="preserve"> </w:t>
      </w:r>
      <w:r w:rsidR="005E1350">
        <w:rPr>
          <w:rFonts w:asciiTheme="minorHAnsi" w:hAnsiTheme="minorHAnsi" w:cstheme="minorHAnsi"/>
        </w:rPr>
        <w:t>thresholds</w:t>
      </w:r>
      <w:r>
        <w:rPr>
          <w:rFonts w:asciiTheme="minorHAnsi" w:hAnsiTheme="minorHAnsi" w:cstheme="minorHAnsi"/>
        </w:rPr>
        <w:t xml:space="preserve"> </w:t>
      </w:r>
      <w:r w:rsidR="005E1350">
        <w:rPr>
          <w:rFonts w:asciiTheme="minorHAnsi" w:hAnsiTheme="minorHAnsi" w:cstheme="minorHAnsi"/>
        </w:rPr>
        <w:t>(monetary</w:t>
      </w:r>
      <w:r w:rsidR="0024738E">
        <w:rPr>
          <w:rFonts w:asciiTheme="minorHAnsi" w:hAnsiTheme="minorHAnsi" w:cstheme="minorHAnsi"/>
        </w:rPr>
        <w:t>,</w:t>
      </w:r>
      <w:r w:rsidR="005E1350">
        <w:rPr>
          <w:rFonts w:asciiTheme="minorHAnsi" w:hAnsiTheme="minorHAnsi" w:cstheme="minorHAnsi"/>
        </w:rPr>
        <w:t xml:space="preserve"> </w:t>
      </w:r>
      <w:r w:rsidR="0034746D">
        <w:rPr>
          <w:rFonts w:asciiTheme="minorHAnsi" w:hAnsiTheme="minorHAnsi" w:cstheme="minorHAnsi"/>
        </w:rPr>
        <w:t>market concent</w:t>
      </w:r>
      <w:r w:rsidR="00980FDE">
        <w:rPr>
          <w:rFonts w:asciiTheme="minorHAnsi" w:hAnsiTheme="minorHAnsi" w:cstheme="minorHAnsi"/>
        </w:rPr>
        <w:t xml:space="preserve">ration or </w:t>
      </w:r>
      <w:r w:rsidR="00D077ED">
        <w:rPr>
          <w:rFonts w:asciiTheme="minorHAnsi" w:hAnsiTheme="minorHAnsi" w:cstheme="minorHAnsi"/>
        </w:rPr>
        <w:t xml:space="preserve">additional </w:t>
      </w:r>
      <w:r w:rsidR="00980FDE">
        <w:rPr>
          <w:rFonts w:asciiTheme="minorHAnsi" w:hAnsiTheme="minorHAnsi" w:cstheme="minorHAnsi"/>
        </w:rPr>
        <w:t xml:space="preserve">targeted </w:t>
      </w:r>
      <w:r w:rsidR="00F70170">
        <w:rPr>
          <w:rFonts w:asciiTheme="minorHAnsi" w:hAnsiTheme="minorHAnsi" w:cstheme="minorHAnsi"/>
        </w:rPr>
        <w:t xml:space="preserve">notification </w:t>
      </w:r>
      <w:r w:rsidR="00AD1B23">
        <w:rPr>
          <w:rFonts w:asciiTheme="minorHAnsi" w:hAnsiTheme="minorHAnsi" w:cstheme="minorHAnsi"/>
        </w:rPr>
        <w:t>requirements</w:t>
      </w:r>
      <w:r w:rsidR="005E1350">
        <w:rPr>
          <w:rFonts w:asciiTheme="minorHAnsi" w:hAnsiTheme="minorHAnsi" w:cstheme="minorHAnsi"/>
        </w:rPr>
        <w:t>)</w:t>
      </w:r>
      <w:r w:rsidR="00724B38">
        <w:rPr>
          <w:rFonts w:asciiTheme="minorHAnsi" w:hAnsiTheme="minorHAnsi" w:cstheme="minorHAnsi"/>
        </w:rPr>
        <w:t xml:space="preserve"> </w:t>
      </w:r>
      <w:r w:rsidR="00947E3E" w:rsidRPr="00F06733">
        <w:rPr>
          <w:rFonts w:asciiTheme="minorHAnsi" w:hAnsiTheme="minorHAnsi" w:cstheme="minorHAnsi"/>
        </w:rPr>
        <w:t xml:space="preserve">will be required to notify the ACCC of </w:t>
      </w:r>
      <w:r w:rsidR="00F12435">
        <w:rPr>
          <w:rFonts w:asciiTheme="minorHAnsi" w:hAnsiTheme="minorHAnsi" w:cstheme="minorHAnsi"/>
        </w:rPr>
        <w:t>the proposed acquisition</w:t>
      </w:r>
      <w:r w:rsidR="00947E3E" w:rsidRPr="00F06733">
        <w:rPr>
          <w:rFonts w:asciiTheme="minorHAnsi" w:hAnsiTheme="minorHAnsi" w:cstheme="minorHAnsi"/>
        </w:rPr>
        <w:t>.</w:t>
      </w:r>
      <w:r w:rsidR="001A5781">
        <w:rPr>
          <w:rStyle w:val="FootnoteReference"/>
          <w:rFonts w:asciiTheme="minorHAnsi" w:hAnsiTheme="minorHAnsi" w:cstheme="minorHAnsi"/>
        </w:rPr>
        <w:footnoteReference w:id="55"/>
      </w:r>
      <w:r w:rsidR="00947E3E" w:rsidRPr="00F06733">
        <w:rPr>
          <w:rFonts w:asciiTheme="minorHAnsi" w:hAnsiTheme="minorHAnsi" w:cstheme="minorHAnsi"/>
        </w:rPr>
        <w:t xml:space="preserve"> A</w:t>
      </w:r>
      <w:r w:rsidR="00F12435">
        <w:rPr>
          <w:rFonts w:asciiTheme="minorHAnsi" w:hAnsiTheme="minorHAnsi" w:cstheme="minorHAnsi"/>
        </w:rPr>
        <w:t>n acquisition</w:t>
      </w:r>
      <w:r w:rsidR="00947E3E" w:rsidRPr="00F06733">
        <w:rPr>
          <w:rFonts w:asciiTheme="minorHAnsi" w:hAnsiTheme="minorHAnsi" w:cstheme="minorHAnsi"/>
        </w:rPr>
        <w:t xml:space="preserve"> must not be put into effect until the ACCC has determined that it may be (with or without conditions). </w:t>
      </w:r>
    </w:p>
    <w:p w14:paraId="1B3A4DF0" w14:textId="4B05027B" w:rsidR="00947E3E" w:rsidRPr="00F81D6D" w:rsidRDefault="007613A8" w:rsidP="00947E3E">
      <w:pPr>
        <w:pStyle w:val="Dash"/>
        <w:numPr>
          <w:ilvl w:val="0"/>
          <w:numId w:val="0"/>
        </w:numPr>
        <w:rPr>
          <w:rFonts w:cstheme="minorHAnsi"/>
        </w:rPr>
      </w:pPr>
      <w:r>
        <w:rPr>
          <w:rFonts w:asciiTheme="minorHAnsi" w:hAnsiTheme="minorHAnsi" w:cstheme="minorHAnsi"/>
        </w:rPr>
        <w:t xml:space="preserve">Monetary thresholds are </w:t>
      </w:r>
      <w:r w:rsidRPr="00E752F3">
        <w:rPr>
          <w:rFonts w:asciiTheme="minorHAnsi" w:hAnsiTheme="minorHAnsi" w:cstheme="minorHAnsi"/>
        </w:rPr>
        <w:t>set by reference to typical business metrics such as turnover (sales revenue)</w:t>
      </w:r>
      <w:r>
        <w:rPr>
          <w:rFonts w:asciiTheme="minorHAnsi" w:hAnsiTheme="minorHAnsi" w:cstheme="minorHAnsi"/>
        </w:rPr>
        <w:t>,</w:t>
      </w:r>
      <w:r w:rsidRPr="00E752F3">
        <w:rPr>
          <w:rFonts w:asciiTheme="minorHAnsi" w:hAnsiTheme="minorHAnsi" w:cstheme="minorHAnsi"/>
        </w:rPr>
        <w:t xml:space="preserve"> transaction value</w:t>
      </w:r>
      <w:r>
        <w:rPr>
          <w:rFonts w:asciiTheme="minorHAnsi" w:hAnsiTheme="minorHAnsi" w:cstheme="minorHAnsi"/>
        </w:rPr>
        <w:t xml:space="preserve"> or the value of assets</w:t>
      </w:r>
      <w:r w:rsidRPr="00E752F3">
        <w:rPr>
          <w:rFonts w:asciiTheme="minorHAnsi" w:hAnsiTheme="minorHAnsi" w:cstheme="minorHAnsi"/>
        </w:rPr>
        <w:t xml:space="preserve">. </w:t>
      </w:r>
      <w:r>
        <w:rPr>
          <w:rFonts w:asciiTheme="minorHAnsi" w:hAnsiTheme="minorHAnsi" w:cstheme="minorHAnsi"/>
        </w:rPr>
        <w:t>Market concentration</w:t>
      </w:r>
      <w:r w:rsidRPr="00E752F3">
        <w:rPr>
          <w:rFonts w:asciiTheme="minorHAnsi" w:hAnsiTheme="minorHAnsi" w:cstheme="minorHAnsi"/>
        </w:rPr>
        <w:t xml:space="preserve"> thresholds </w:t>
      </w:r>
      <w:r>
        <w:rPr>
          <w:rFonts w:asciiTheme="minorHAnsi" w:hAnsiTheme="minorHAnsi" w:cstheme="minorHAnsi"/>
        </w:rPr>
        <w:t>would</w:t>
      </w:r>
      <w:r w:rsidRPr="00E752F3">
        <w:rPr>
          <w:rFonts w:asciiTheme="minorHAnsi" w:hAnsiTheme="minorHAnsi" w:cstheme="minorHAnsi"/>
        </w:rPr>
        <w:t xml:space="preserve"> ensure mergers below the monetary thresholds but which otherwise present risks to competition will be notified to the ACCC</w:t>
      </w:r>
      <w:r>
        <w:t>.</w:t>
      </w:r>
      <w:r w:rsidR="00081DE7">
        <w:t xml:space="preserve"> </w:t>
      </w:r>
    </w:p>
    <w:p w14:paraId="26CCB19A" w14:textId="6A9AFEFA" w:rsidR="00947E3E" w:rsidRPr="00B77848" w:rsidRDefault="0057260B" w:rsidP="00947E3E">
      <w:pPr>
        <w:pStyle w:val="Dash"/>
        <w:numPr>
          <w:ilvl w:val="0"/>
          <w:numId w:val="0"/>
        </w:numPr>
        <w:rPr>
          <w:rFonts w:asciiTheme="minorHAnsi" w:hAnsiTheme="minorHAnsi" w:cstheme="minorHAnsi"/>
        </w:rPr>
      </w:pPr>
      <w:r w:rsidRPr="0057260B">
        <w:rPr>
          <w:rFonts w:asciiTheme="minorHAnsi" w:hAnsiTheme="minorHAnsi" w:cstheme="minorHAnsi"/>
        </w:rPr>
        <w:t xml:space="preserve">Over time, the </w:t>
      </w:r>
      <w:r w:rsidR="00A175E2">
        <w:rPr>
          <w:rFonts w:asciiTheme="minorHAnsi" w:hAnsiTheme="minorHAnsi" w:cstheme="minorHAnsi"/>
        </w:rPr>
        <w:t xml:space="preserve">notification </w:t>
      </w:r>
      <w:r w:rsidRPr="0057260B">
        <w:rPr>
          <w:rFonts w:asciiTheme="minorHAnsi" w:hAnsiTheme="minorHAnsi" w:cstheme="minorHAnsi"/>
        </w:rPr>
        <w:t>thresholds are expected to average an overall volume of mandatory notifications similar to current volumes, with around 300 to 500 annual notifications projected using existing available data</w:t>
      </w:r>
      <w:r w:rsidR="00DD79A5">
        <w:rPr>
          <w:rFonts w:asciiTheme="minorHAnsi" w:hAnsiTheme="minorHAnsi" w:cstheme="minorHAnsi"/>
        </w:rPr>
        <w:t xml:space="preserve"> </w:t>
      </w:r>
      <w:r w:rsidR="00FB018D">
        <w:rPr>
          <w:rFonts w:asciiTheme="minorHAnsi" w:hAnsiTheme="minorHAnsi" w:cstheme="minorHAnsi"/>
        </w:rPr>
        <w:t>(</w:t>
      </w:r>
      <w:r w:rsidR="00DD79A5">
        <w:rPr>
          <w:rFonts w:asciiTheme="minorHAnsi" w:hAnsiTheme="minorHAnsi" w:cstheme="minorHAnsi"/>
        </w:rPr>
        <w:t xml:space="preserve">based on the proposed </w:t>
      </w:r>
      <w:r w:rsidR="005F273E">
        <w:rPr>
          <w:rFonts w:asciiTheme="minorHAnsi" w:hAnsiTheme="minorHAnsi" w:cstheme="minorHAnsi"/>
        </w:rPr>
        <w:t xml:space="preserve">notification </w:t>
      </w:r>
      <w:r w:rsidR="00DD79A5">
        <w:rPr>
          <w:rFonts w:asciiTheme="minorHAnsi" w:hAnsiTheme="minorHAnsi" w:cstheme="minorHAnsi"/>
        </w:rPr>
        <w:t xml:space="preserve">thresholds </w:t>
      </w:r>
      <w:r w:rsidR="004619F2">
        <w:rPr>
          <w:rFonts w:asciiTheme="minorHAnsi" w:hAnsiTheme="minorHAnsi" w:cstheme="minorHAnsi"/>
        </w:rPr>
        <w:t xml:space="preserve">outlined </w:t>
      </w:r>
      <w:r w:rsidR="00DD79A5">
        <w:rPr>
          <w:rFonts w:asciiTheme="minorHAnsi" w:hAnsiTheme="minorHAnsi" w:cstheme="minorHAnsi"/>
        </w:rPr>
        <w:t xml:space="preserve">in the </w:t>
      </w:r>
      <w:r w:rsidR="0026511E">
        <w:rPr>
          <w:rFonts w:asciiTheme="minorHAnsi" w:hAnsiTheme="minorHAnsi" w:cstheme="minorHAnsi"/>
        </w:rPr>
        <w:t xml:space="preserve">Merger Notification Thresholds </w:t>
      </w:r>
      <w:r w:rsidR="00DD79A5">
        <w:rPr>
          <w:rFonts w:asciiTheme="minorHAnsi" w:hAnsiTheme="minorHAnsi" w:cstheme="minorHAnsi"/>
        </w:rPr>
        <w:t>consultation paper</w:t>
      </w:r>
      <w:r w:rsidR="00FB018D">
        <w:rPr>
          <w:rFonts w:asciiTheme="minorHAnsi" w:hAnsiTheme="minorHAnsi" w:cstheme="minorHAnsi"/>
        </w:rPr>
        <w:t>)</w:t>
      </w:r>
      <w:r w:rsidRPr="0057260B">
        <w:rPr>
          <w:rFonts w:asciiTheme="minorHAnsi" w:hAnsiTheme="minorHAnsi" w:cstheme="minorHAnsi"/>
        </w:rPr>
        <w:t>.</w:t>
      </w:r>
      <w:r w:rsidR="00927128">
        <w:rPr>
          <w:rStyle w:val="FootnoteReference"/>
          <w:rFonts w:asciiTheme="minorHAnsi" w:hAnsiTheme="minorHAnsi" w:cstheme="minorHAnsi"/>
        </w:rPr>
        <w:footnoteReference w:id="56"/>
      </w:r>
      <w:r w:rsidR="006677BC">
        <w:rPr>
          <w:rFonts w:asciiTheme="minorHAnsi" w:hAnsiTheme="minorHAnsi" w:cstheme="minorHAnsi"/>
        </w:rPr>
        <w:t xml:space="preserve"> </w:t>
      </w:r>
      <w:r w:rsidR="00947E3E" w:rsidRPr="00B77848">
        <w:rPr>
          <w:rFonts w:asciiTheme="minorHAnsi" w:hAnsiTheme="minorHAnsi" w:cstheme="minorHAnsi"/>
        </w:rPr>
        <w:t xml:space="preserve">In setting these </w:t>
      </w:r>
      <w:r w:rsidR="005F273E">
        <w:rPr>
          <w:rFonts w:asciiTheme="minorHAnsi" w:hAnsiTheme="minorHAnsi" w:cstheme="minorHAnsi"/>
        </w:rPr>
        <w:t xml:space="preserve">notification </w:t>
      </w:r>
      <w:r w:rsidR="00947E3E" w:rsidRPr="00B77848">
        <w:rPr>
          <w:rFonts w:asciiTheme="minorHAnsi" w:hAnsiTheme="minorHAnsi" w:cstheme="minorHAnsi"/>
        </w:rPr>
        <w:t>thresholds</w:t>
      </w:r>
      <w:r w:rsidR="00550E31">
        <w:rPr>
          <w:rFonts w:asciiTheme="minorHAnsi" w:hAnsiTheme="minorHAnsi" w:cstheme="minorHAnsi"/>
        </w:rPr>
        <w:t>,</w:t>
      </w:r>
      <w:r w:rsidR="00947E3E" w:rsidRPr="00B77848">
        <w:rPr>
          <w:rFonts w:asciiTheme="minorHAnsi" w:hAnsiTheme="minorHAnsi" w:cstheme="minorHAnsi"/>
        </w:rPr>
        <w:t xml:space="preserve"> regard will be given to confidential data from the ACCC about its </w:t>
      </w:r>
      <w:r w:rsidR="00861452">
        <w:rPr>
          <w:rFonts w:asciiTheme="minorHAnsi" w:hAnsiTheme="minorHAnsi" w:cstheme="minorHAnsi"/>
        </w:rPr>
        <w:t>historical</w:t>
      </w:r>
      <w:r w:rsidR="00861452" w:rsidRPr="00B77848">
        <w:rPr>
          <w:rFonts w:asciiTheme="minorHAnsi" w:hAnsiTheme="minorHAnsi" w:cstheme="minorHAnsi"/>
        </w:rPr>
        <w:t xml:space="preserve"> </w:t>
      </w:r>
      <w:r w:rsidR="00947E3E" w:rsidRPr="00B77848">
        <w:rPr>
          <w:rFonts w:asciiTheme="minorHAnsi" w:hAnsiTheme="minorHAnsi" w:cstheme="minorHAnsi"/>
        </w:rPr>
        <w:t>public reviews, early insights from the Government’s merger database</w:t>
      </w:r>
      <w:r w:rsidR="00947E3E">
        <w:rPr>
          <w:rFonts w:asciiTheme="minorHAnsi" w:hAnsiTheme="minorHAnsi" w:cstheme="minorHAnsi"/>
        </w:rPr>
        <w:t xml:space="preserve"> (based on the ABS </w:t>
      </w:r>
      <w:r w:rsidR="00947E3E" w:rsidRPr="008E27CE">
        <w:rPr>
          <w:rFonts w:asciiTheme="minorHAnsi" w:hAnsiTheme="minorHAnsi" w:cstheme="minorHAnsi"/>
        </w:rPr>
        <w:t>Business Longitudinal and Analysis Data Environment</w:t>
      </w:r>
      <w:r w:rsidR="0028442C">
        <w:rPr>
          <w:rFonts w:asciiTheme="minorHAnsi" w:hAnsiTheme="minorHAnsi" w:cstheme="minorHAnsi"/>
        </w:rPr>
        <w:t xml:space="preserve"> (BLADE)</w:t>
      </w:r>
      <w:r w:rsidR="00947E3E" w:rsidRPr="008E27CE">
        <w:rPr>
          <w:rFonts w:asciiTheme="minorHAnsi" w:hAnsiTheme="minorHAnsi" w:cstheme="minorHAnsi"/>
        </w:rPr>
        <w:t>)</w:t>
      </w:r>
      <w:r w:rsidR="00947E3E" w:rsidRPr="00187118">
        <w:rPr>
          <w:rFonts w:asciiTheme="minorHAnsi" w:hAnsiTheme="minorHAnsi" w:cstheme="minorHAnsi"/>
        </w:rPr>
        <w:t>,</w:t>
      </w:r>
      <w:r w:rsidR="00947E3E" w:rsidRPr="00B77848">
        <w:rPr>
          <w:rFonts w:asciiTheme="minorHAnsi" w:hAnsiTheme="minorHAnsi" w:cstheme="minorHAnsi"/>
        </w:rPr>
        <w:t xml:space="preserve"> </w:t>
      </w:r>
      <w:r w:rsidR="006C2F34">
        <w:rPr>
          <w:rFonts w:asciiTheme="minorHAnsi" w:hAnsiTheme="minorHAnsi" w:cstheme="minorHAnsi"/>
        </w:rPr>
        <w:t xml:space="preserve">the </w:t>
      </w:r>
      <w:r w:rsidR="00947E3E" w:rsidRPr="00C1667A">
        <w:rPr>
          <w:rFonts w:asciiTheme="minorHAnsi" w:hAnsiTheme="minorHAnsi" w:cstheme="minorHAnsi"/>
          <w:i/>
        </w:rPr>
        <w:t>Foreign Acquisitions and Takeovers Act 1975</w:t>
      </w:r>
      <w:r w:rsidR="00947E3E" w:rsidRPr="00B77848">
        <w:rPr>
          <w:rFonts w:asciiTheme="minorHAnsi" w:hAnsiTheme="minorHAnsi" w:cstheme="minorHAnsi"/>
        </w:rPr>
        <w:t xml:space="preserve"> </w:t>
      </w:r>
      <w:r w:rsidR="00C57CF7">
        <w:rPr>
          <w:rFonts w:asciiTheme="minorHAnsi" w:hAnsiTheme="minorHAnsi" w:cstheme="minorHAnsi"/>
        </w:rPr>
        <w:t xml:space="preserve">(Cth) </w:t>
      </w:r>
      <w:r w:rsidR="00947E3E" w:rsidRPr="00B77848">
        <w:rPr>
          <w:rFonts w:asciiTheme="minorHAnsi" w:hAnsiTheme="minorHAnsi" w:cstheme="minorHAnsi"/>
        </w:rPr>
        <w:t xml:space="preserve">application data, other public mergers data and the approach of other jurisdictions. </w:t>
      </w:r>
      <w:r w:rsidR="00947E3E">
        <w:rPr>
          <w:rFonts w:asciiTheme="minorHAnsi" w:hAnsiTheme="minorHAnsi" w:cstheme="minorHAnsi"/>
        </w:rPr>
        <w:t xml:space="preserve">The </w:t>
      </w:r>
      <w:r w:rsidR="00DF0B11">
        <w:rPr>
          <w:rFonts w:asciiTheme="minorHAnsi" w:hAnsiTheme="minorHAnsi" w:cstheme="minorHAnsi"/>
        </w:rPr>
        <w:t xml:space="preserve">notification </w:t>
      </w:r>
      <w:r w:rsidR="00947E3E">
        <w:rPr>
          <w:rFonts w:asciiTheme="minorHAnsi" w:hAnsiTheme="minorHAnsi" w:cstheme="minorHAnsi"/>
        </w:rPr>
        <w:t>t</w:t>
      </w:r>
      <w:r w:rsidR="00947E3E" w:rsidRPr="00B77848">
        <w:rPr>
          <w:rFonts w:asciiTheme="minorHAnsi" w:hAnsiTheme="minorHAnsi" w:cstheme="minorHAnsi"/>
        </w:rPr>
        <w:t xml:space="preserve">hresholds will be set in </w:t>
      </w:r>
      <w:r w:rsidR="00867194">
        <w:rPr>
          <w:rFonts w:asciiTheme="minorHAnsi" w:hAnsiTheme="minorHAnsi" w:cstheme="minorHAnsi"/>
        </w:rPr>
        <w:t>subordinate legislation</w:t>
      </w:r>
      <w:r w:rsidR="00867194" w:rsidRPr="00B77848">
        <w:rPr>
          <w:rFonts w:asciiTheme="minorHAnsi" w:hAnsiTheme="minorHAnsi" w:cstheme="minorHAnsi"/>
        </w:rPr>
        <w:t xml:space="preserve"> </w:t>
      </w:r>
      <w:r w:rsidR="00947E3E" w:rsidRPr="00B77848">
        <w:rPr>
          <w:rFonts w:asciiTheme="minorHAnsi" w:hAnsiTheme="minorHAnsi" w:cstheme="minorHAnsi"/>
        </w:rPr>
        <w:t>and subject to periodic review</w:t>
      </w:r>
      <w:r w:rsidR="000D5506">
        <w:rPr>
          <w:rFonts w:asciiTheme="minorHAnsi" w:hAnsiTheme="minorHAnsi" w:cstheme="minorHAnsi"/>
        </w:rPr>
        <w:t xml:space="preserve"> with respect to the risk of potential</w:t>
      </w:r>
      <w:r w:rsidR="007D4F03">
        <w:rPr>
          <w:rFonts w:asciiTheme="minorHAnsi" w:hAnsiTheme="minorHAnsi" w:cstheme="minorHAnsi"/>
        </w:rPr>
        <w:t xml:space="preserve"> harm to the community over time</w:t>
      </w:r>
      <w:r w:rsidR="00947E3E" w:rsidRPr="00B77848">
        <w:rPr>
          <w:rFonts w:asciiTheme="minorHAnsi" w:hAnsiTheme="minorHAnsi" w:cstheme="minorHAnsi"/>
        </w:rPr>
        <w:t xml:space="preserve">. </w:t>
      </w:r>
    </w:p>
    <w:p w14:paraId="15C62A61" w14:textId="07242918" w:rsidR="00947E3E" w:rsidRDefault="00947E3E" w:rsidP="00947E3E">
      <w:pPr>
        <w:pStyle w:val="Dash"/>
        <w:numPr>
          <w:ilvl w:val="0"/>
          <w:numId w:val="0"/>
        </w:numPr>
        <w:rPr>
          <w:rFonts w:asciiTheme="minorHAnsi" w:hAnsiTheme="minorHAnsi" w:cstheme="minorHAnsi"/>
        </w:rPr>
      </w:pPr>
      <w:r w:rsidRPr="00814C47">
        <w:rPr>
          <w:rFonts w:asciiTheme="minorHAnsi" w:hAnsiTheme="minorHAnsi" w:cstheme="minorHAnsi"/>
        </w:rPr>
        <w:t xml:space="preserve">In addition, a Treasury Minister will be given the power to introduce additional targeted notification </w:t>
      </w:r>
      <w:r w:rsidR="00773D2E" w:rsidRPr="00814C47">
        <w:rPr>
          <w:rFonts w:asciiTheme="minorHAnsi" w:hAnsiTheme="minorHAnsi" w:cstheme="minorHAnsi"/>
        </w:rPr>
        <w:t>requirements</w:t>
      </w:r>
      <w:r w:rsidR="001A03F9" w:rsidRPr="00814C47">
        <w:t xml:space="preserve">, </w:t>
      </w:r>
      <w:r w:rsidR="001A03F9" w:rsidRPr="00814C47">
        <w:rPr>
          <w:rFonts w:asciiTheme="minorHAnsi" w:hAnsiTheme="minorHAnsi" w:cstheme="minorHAnsi"/>
        </w:rPr>
        <w:t xml:space="preserve">if there are evidence-based concerns about high-risk acquisitions, avoiding the need to lower the economy-wide </w:t>
      </w:r>
      <w:r w:rsidR="00AA6E75">
        <w:rPr>
          <w:rFonts w:asciiTheme="minorHAnsi" w:hAnsiTheme="minorHAnsi" w:cstheme="minorHAnsi"/>
        </w:rPr>
        <w:t xml:space="preserve">notification </w:t>
      </w:r>
      <w:r w:rsidR="001A03F9" w:rsidRPr="00814C47">
        <w:rPr>
          <w:rFonts w:asciiTheme="minorHAnsi" w:hAnsiTheme="minorHAnsi" w:cstheme="minorHAnsi"/>
        </w:rPr>
        <w:t xml:space="preserve">thresholds and reducing the incidental capture of benign mergers within the </w:t>
      </w:r>
      <w:r w:rsidR="00AA6E75">
        <w:rPr>
          <w:rFonts w:asciiTheme="minorHAnsi" w:hAnsiTheme="minorHAnsi" w:cstheme="minorHAnsi"/>
        </w:rPr>
        <w:t xml:space="preserve">notification </w:t>
      </w:r>
      <w:r w:rsidR="001A03F9" w:rsidRPr="00814C47">
        <w:rPr>
          <w:rFonts w:asciiTheme="minorHAnsi" w:hAnsiTheme="minorHAnsi" w:cstheme="minorHAnsi"/>
        </w:rPr>
        <w:t>thresholds</w:t>
      </w:r>
      <w:r w:rsidRPr="0077130C">
        <w:rPr>
          <w:rFonts w:asciiTheme="minorHAnsi" w:hAnsiTheme="minorHAnsi" w:cstheme="minorHAnsi"/>
        </w:rPr>
        <w:t>.</w:t>
      </w:r>
      <w:r>
        <w:rPr>
          <w:rFonts w:asciiTheme="minorHAnsi" w:hAnsiTheme="minorHAnsi" w:cstheme="minorHAnsi"/>
        </w:rPr>
        <w:t xml:space="preserve"> </w:t>
      </w:r>
      <w:r w:rsidRPr="00E752F3">
        <w:rPr>
          <w:rFonts w:asciiTheme="minorHAnsi" w:hAnsiTheme="minorHAnsi" w:cstheme="minorHAnsi"/>
        </w:rPr>
        <w:t xml:space="preserve">The ACCC may </w:t>
      </w:r>
      <w:r>
        <w:rPr>
          <w:rFonts w:asciiTheme="minorHAnsi" w:hAnsiTheme="minorHAnsi" w:cstheme="minorHAnsi"/>
        </w:rPr>
        <w:t xml:space="preserve">also </w:t>
      </w:r>
      <w:r w:rsidRPr="00E752F3">
        <w:rPr>
          <w:rFonts w:asciiTheme="minorHAnsi" w:hAnsiTheme="minorHAnsi" w:cstheme="minorHAnsi"/>
        </w:rPr>
        <w:t xml:space="preserve">investigate </w:t>
      </w:r>
      <w:r w:rsidR="002D3A3F">
        <w:rPr>
          <w:rFonts w:asciiTheme="minorHAnsi" w:hAnsiTheme="minorHAnsi" w:cstheme="minorHAnsi"/>
        </w:rPr>
        <w:t>mergers</w:t>
      </w:r>
      <w:r w:rsidR="00E31815">
        <w:rPr>
          <w:rFonts w:asciiTheme="minorHAnsi" w:hAnsiTheme="minorHAnsi" w:cstheme="minorHAnsi"/>
        </w:rPr>
        <w:t xml:space="preserve"> and acquisitions</w:t>
      </w:r>
      <w:r w:rsidR="002D3A3F">
        <w:rPr>
          <w:rFonts w:asciiTheme="minorHAnsi" w:hAnsiTheme="minorHAnsi" w:cstheme="minorHAnsi"/>
        </w:rPr>
        <w:t xml:space="preserve"> which are no</w:t>
      </w:r>
      <w:r w:rsidR="008438E1">
        <w:rPr>
          <w:rFonts w:asciiTheme="minorHAnsi" w:hAnsiTheme="minorHAnsi" w:cstheme="minorHAnsi"/>
        </w:rPr>
        <w:t>t required to be notified</w:t>
      </w:r>
      <w:r w:rsidRPr="00E752F3">
        <w:rPr>
          <w:rFonts w:asciiTheme="minorHAnsi" w:hAnsiTheme="minorHAnsi" w:cstheme="minorHAnsi"/>
        </w:rPr>
        <w:t xml:space="preserve"> for breach of any other relevant provisions of the CCA.</w:t>
      </w:r>
    </w:p>
    <w:p w14:paraId="6E547F03" w14:textId="38A4512F" w:rsidR="00947E3E" w:rsidRPr="00E752F3" w:rsidRDefault="00947E3E" w:rsidP="00947E3E">
      <w:pPr>
        <w:pStyle w:val="Bullet"/>
        <w:numPr>
          <w:ilvl w:val="0"/>
          <w:numId w:val="0"/>
        </w:numPr>
        <w:spacing w:line="240" w:lineRule="auto"/>
        <w:rPr>
          <w:rFonts w:asciiTheme="minorHAnsi" w:hAnsiTheme="minorHAnsi" w:cstheme="minorHAnsi"/>
        </w:rPr>
      </w:pPr>
      <w:r>
        <w:rPr>
          <w:rFonts w:asciiTheme="minorHAnsi" w:hAnsiTheme="minorHAnsi" w:cstheme="minorHAnsi"/>
        </w:rPr>
        <w:t>Option 2 would introduce c</w:t>
      </w:r>
      <w:r w:rsidRPr="00E752F3">
        <w:rPr>
          <w:rFonts w:asciiTheme="minorHAnsi" w:hAnsiTheme="minorHAnsi" w:cstheme="minorHAnsi"/>
        </w:rPr>
        <w:t xml:space="preserve">alibrated upfront information requirements </w:t>
      </w:r>
      <w:r w:rsidR="00207655">
        <w:rPr>
          <w:rFonts w:asciiTheme="minorHAnsi" w:hAnsiTheme="minorHAnsi" w:cstheme="minorHAnsi"/>
        </w:rPr>
        <w:t>to</w:t>
      </w:r>
      <w:r w:rsidRPr="00E752F3">
        <w:rPr>
          <w:rFonts w:asciiTheme="minorHAnsi" w:hAnsiTheme="minorHAnsi" w:cstheme="minorHAnsi"/>
        </w:rPr>
        <w:t xml:space="preserve"> ensure merger parties provide relevant information to the ACCC and mitigate the need for subsequent requests and possible delay</w:t>
      </w:r>
      <w:r w:rsidR="00196E04">
        <w:rPr>
          <w:rFonts w:asciiTheme="minorHAnsi" w:hAnsiTheme="minorHAnsi" w:cstheme="minorHAnsi"/>
        </w:rPr>
        <w:t>s</w:t>
      </w:r>
      <w:r w:rsidRPr="00E752F3">
        <w:rPr>
          <w:rFonts w:asciiTheme="minorHAnsi" w:hAnsiTheme="minorHAnsi" w:cstheme="minorHAnsi"/>
        </w:rPr>
        <w:t>. Merger parties will be required to submit a ‘simple’ shorter notification form for mergers unlikely to raise competition concerns</w:t>
      </w:r>
      <w:r w:rsidR="002978EA">
        <w:rPr>
          <w:rFonts w:asciiTheme="minorHAnsi" w:hAnsiTheme="minorHAnsi" w:cstheme="minorHAnsi"/>
        </w:rPr>
        <w:t>,</w:t>
      </w:r>
      <w:r w:rsidRPr="00E752F3">
        <w:rPr>
          <w:rFonts w:asciiTheme="minorHAnsi" w:hAnsiTheme="minorHAnsi" w:cstheme="minorHAnsi"/>
        </w:rPr>
        <w:t xml:space="preserve"> and a more detailed longer notification form for others.</w:t>
      </w:r>
    </w:p>
    <w:p w14:paraId="3A9983A3" w14:textId="0ACA81EB" w:rsidR="00947E3E" w:rsidRDefault="00947E3E" w:rsidP="00947E3E">
      <w:pPr>
        <w:pStyle w:val="Bullet"/>
        <w:numPr>
          <w:ilvl w:val="0"/>
          <w:numId w:val="0"/>
        </w:numPr>
        <w:spacing w:line="240" w:lineRule="auto"/>
        <w:rPr>
          <w:rFonts w:asciiTheme="minorHAnsi" w:hAnsiTheme="minorHAnsi" w:cstheme="minorHAnsi"/>
        </w:rPr>
      </w:pPr>
      <w:r w:rsidRPr="00E752F3">
        <w:rPr>
          <w:rFonts w:asciiTheme="minorHAnsi" w:hAnsiTheme="minorHAnsi" w:cstheme="minorHAnsi"/>
        </w:rPr>
        <w:t>All merger</w:t>
      </w:r>
      <w:r w:rsidR="00BF0CB6">
        <w:rPr>
          <w:rFonts w:asciiTheme="minorHAnsi" w:hAnsiTheme="minorHAnsi" w:cstheme="minorHAnsi"/>
        </w:rPr>
        <w:t xml:space="preserve"> and acquisition</w:t>
      </w:r>
      <w:r w:rsidRPr="00E752F3">
        <w:rPr>
          <w:rFonts w:asciiTheme="minorHAnsi" w:hAnsiTheme="minorHAnsi" w:cstheme="minorHAnsi"/>
        </w:rPr>
        <w:t xml:space="preserve"> notifications will be accompanied by a fee</w:t>
      </w:r>
      <w:r w:rsidR="00D9526C">
        <w:rPr>
          <w:rFonts w:asciiTheme="minorHAnsi" w:hAnsiTheme="minorHAnsi" w:cstheme="minorHAnsi"/>
        </w:rPr>
        <w:t>, based on cost recovery prin</w:t>
      </w:r>
      <w:r w:rsidR="00FD291B">
        <w:rPr>
          <w:rFonts w:asciiTheme="minorHAnsi" w:hAnsiTheme="minorHAnsi" w:cstheme="minorHAnsi"/>
        </w:rPr>
        <w:t>ciples</w:t>
      </w:r>
      <w:r w:rsidR="00BF6175">
        <w:rPr>
          <w:rFonts w:asciiTheme="minorHAnsi" w:hAnsiTheme="minorHAnsi" w:cstheme="minorHAnsi"/>
        </w:rPr>
        <w:t>.</w:t>
      </w:r>
      <w:r w:rsidR="00FD65B6">
        <w:rPr>
          <w:rStyle w:val="FootnoteReference"/>
          <w:rFonts w:asciiTheme="minorHAnsi" w:hAnsiTheme="minorHAnsi" w:cstheme="minorHAnsi"/>
        </w:rPr>
        <w:footnoteReference w:id="57"/>
      </w:r>
      <w:r w:rsidRPr="00E752F3">
        <w:rPr>
          <w:rFonts w:asciiTheme="minorHAnsi" w:hAnsiTheme="minorHAnsi" w:cstheme="minorHAnsi"/>
        </w:rPr>
        <w:t xml:space="preserve"> Indicatively, Treasury expects this to be around $50,000–100,000 for most mergers</w:t>
      </w:r>
      <w:r w:rsidR="00BF0CB6">
        <w:rPr>
          <w:rFonts w:asciiTheme="minorHAnsi" w:hAnsiTheme="minorHAnsi" w:cstheme="minorHAnsi"/>
        </w:rPr>
        <w:t xml:space="preserve"> and acquisitions</w:t>
      </w:r>
      <w:r>
        <w:rPr>
          <w:rFonts w:asciiTheme="minorHAnsi" w:hAnsiTheme="minorHAnsi" w:cstheme="minorHAnsi"/>
        </w:rPr>
        <w:t xml:space="preserve"> (further detailed in </w:t>
      </w:r>
      <w:r w:rsidR="00E97209">
        <w:rPr>
          <w:rFonts w:asciiTheme="minorHAnsi" w:hAnsiTheme="minorHAnsi" w:cstheme="minorHAnsi"/>
        </w:rPr>
        <w:t xml:space="preserve">Question </w:t>
      </w:r>
      <w:r>
        <w:rPr>
          <w:rFonts w:asciiTheme="minorHAnsi" w:hAnsiTheme="minorHAnsi" w:cstheme="minorHAnsi"/>
        </w:rPr>
        <w:t xml:space="preserve">4 and </w:t>
      </w:r>
      <w:r w:rsidRPr="00996ADD">
        <w:rPr>
          <w:rFonts w:asciiTheme="minorHAnsi" w:hAnsiTheme="minorHAnsi" w:cstheme="minorHAnsi"/>
          <w:u w:val="single"/>
        </w:rPr>
        <w:t>Attachment A</w:t>
      </w:r>
      <w:r>
        <w:rPr>
          <w:rFonts w:asciiTheme="minorHAnsi" w:hAnsiTheme="minorHAnsi" w:cstheme="minorHAnsi"/>
        </w:rPr>
        <w:t>)</w:t>
      </w:r>
      <w:r w:rsidRPr="00E752F3">
        <w:rPr>
          <w:rFonts w:asciiTheme="minorHAnsi" w:hAnsiTheme="minorHAnsi" w:cstheme="minorHAnsi"/>
        </w:rPr>
        <w:t>. An exemption from fees will be available for small business so that the fees are not a disproportionate burden for those businesses.</w:t>
      </w:r>
    </w:p>
    <w:p w14:paraId="2E5BCD45" w14:textId="77777777" w:rsidR="00947E3E" w:rsidRPr="00F26CC7" w:rsidRDefault="00947E3E" w:rsidP="00203EEA">
      <w:pPr>
        <w:pStyle w:val="Heading4"/>
      </w:pPr>
      <w:r w:rsidRPr="00355A5E">
        <w:t xml:space="preserve">Process </w:t>
      </w:r>
    </w:p>
    <w:p w14:paraId="12DEADBB" w14:textId="5734B035" w:rsidR="00947E3E" w:rsidRPr="00E932C2" w:rsidRDefault="00947E3E" w:rsidP="00947E3E">
      <w:pPr>
        <w:pStyle w:val="Bullet"/>
        <w:numPr>
          <w:ilvl w:val="0"/>
          <w:numId w:val="0"/>
        </w:numPr>
        <w:spacing w:line="240" w:lineRule="auto"/>
        <w:rPr>
          <w:rFonts w:asciiTheme="minorHAnsi" w:hAnsiTheme="minorHAnsi" w:cstheme="minorHAnsi"/>
        </w:rPr>
      </w:pPr>
      <w:r w:rsidRPr="00E932C2">
        <w:rPr>
          <w:rFonts w:asciiTheme="minorHAnsi" w:hAnsiTheme="minorHAnsi" w:cstheme="minorHAnsi"/>
        </w:rPr>
        <w:t xml:space="preserve">All mergers </w:t>
      </w:r>
      <w:r w:rsidR="00F17468" w:rsidRPr="00E932C2">
        <w:rPr>
          <w:rFonts w:asciiTheme="minorHAnsi" w:hAnsiTheme="minorHAnsi" w:cstheme="minorHAnsi"/>
        </w:rPr>
        <w:t xml:space="preserve">and acquisitions </w:t>
      </w:r>
      <w:r w:rsidRPr="00E932C2">
        <w:rPr>
          <w:rFonts w:asciiTheme="minorHAnsi" w:hAnsiTheme="minorHAnsi" w:cstheme="minorHAnsi"/>
        </w:rPr>
        <w:t xml:space="preserve">considered by the ACCC will be listed on an ACCC public register, with brief information including the names of the merger parties, a short description of the </w:t>
      </w:r>
      <w:r w:rsidR="007A59D1" w:rsidRPr="00E932C2">
        <w:rPr>
          <w:rFonts w:asciiTheme="minorHAnsi" w:hAnsiTheme="minorHAnsi" w:cstheme="minorHAnsi"/>
        </w:rPr>
        <w:t xml:space="preserve">merger </w:t>
      </w:r>
      <w:r w:rsidRPr="00E932C2">
        <w:rPr>
          <w:rFonts w:asciiTheme="minorHAnsi" w:hAnsiTheme="minorHAnsi" w:cstheme="minorHAnsi"/>
        </w:rPr>
        <w:t>and affected products and/or services, review timeline</w:t>
      </w:r>
      <w:r w:rsidR="00E60C3E" w:rsidRPr="00E932C2">
        <w:rPr>
          <w:rFonts w:asciiTheme="minorHAnsi" w:hAnsiTheme="minorHAnsi" w:cstheme="minorHAnsi"/>
        </w:rPr>
        <w:t xml:space="preserve"> and ACCC’s determination</w:t>
      </w:r>
      <w:r w:rsidR="004E64EB" w:rsidRPr="00E932C2">
        <w:rPr>
          <w:rFonts w:asciiTheme="minorHAnsi" w:hAnsiTheme="minorHAnsi" w:cstheme="minorHAnsi"/>
        </w:rPr>
        <w:t xml:space="preserve"> and reasons</w:t>
      </w:r>
      <w:r w:rsidRPr="00E932C2">
        <w:rPr>
          <w:rFonts w:asciiTheme="minorHAnsi" w:hAnsiTheme="minorHAnsi" w:cstheme="minorHAnsi"/>
        </w:rPr>
        <w:t>.</w:t>
      </w:r>
      <w:r w:rsidR="009D3EB7" w:rsidRPr="00E932C2">
        <w:rPr>
          <w:rFonts w:asciiTheme="minorHAnsi" w:hAnsiTheme="minorHAnsi" w:cstheme="minorHAnsi"/>
        </w:rPr>
        <w:t xml:space="preserve"> </w:t>
      </w:r>
      <w:r w:rsidR="00904562">
        <w:rPr>
          <w:rFonts w:asciiTheme="minorHAnsi" w:hAnsiTheme="minorHAnsi" w:cstheme="minorHAnsi"/>
        </w:rPr>
        <w:t>Subordinate legislation</w:t>
      </w:r>
      <w:r w:rsidR="00904562" w:rsidRPr="00E932C2">
        <w:rPr>
          <w:rFonts w:asciiTheme="minorHAnsi" w:hAnsiTheme="minorHAnsi" w:cstheme="minorHAnsi"/>
        </w:rPr>
        <w:t xml:space="preserve"> </w:t>
      </w:r>
      <w:r w:rsidR="009D3EB7" w:rsidRPr="00E932C2">
        <w:rPr>
          <w:rFonts w:asciiTheme="minorHAnsi" w:hAnsiTheme="minorHAnsi" w:cstheme="minorHAnsi"/>
        </w:rPr>
        <w:t>will set out what other information or documents are to be included, and the time they are to be included, on the register.</w:t>
      </w:r>
    </w:p>
    <w:p w14:paraId="03BB945D" w14:textId="18BEF20B" w:rsidR="00947E3E" w:rsidRPr="00E932C2" w:rsidRDefault="00947E3E" w:rsidP="00947E3E">
      <w:pPr>
        <w:pStyle w:val="Bullet"/>
        <w:numPr>
          <w:ilvl w:val="0"/>
          <w:numId w:val="0"/>
        </w:numPr>
        <w:spacing w:line="240" w:lineRule="auto"/>
        <w:rPr>
          <w:rFonts w:cstheme="minorHAnsi"/>
        </w:rPr>
      </w:pPr>
      <w:r w:rsidRPr="00E932C2">
        <w:rPr>
          <w:rFonts w:asciiTheme="minorHAnsi" w:hAnsiTheme="minorHAnsi" w:cstheme="minorHAnsi"/>
        </w:rPr>
        <w:t>The system will set timelines for the ACCC’s merger</w:t>
      </w:r>
      <w:r w:rsidR="009757FE" w:rsidRPr="00E932C2">
        <w:rPr>
          <w:rFonts w:asciiTheme="minorHAnsi" w:hAnsiTheme="minorHAnsi" w:cstheme="minorHAnsi"/>
        </w:rPr>
        <w:t xml:space="preserve"> and acquisition</w:t>
      </w:r>
      <w:r w:rsidRPr="00E932C2">
        <w:rPr>
          <w:rFonts w:asciiTheme="minorHAnsi" w:hAnsiTheme="minorHAnsi" w:cstheme="minorHAnsi"/>
        </w:rPr>
        <w:t xml:space="preserve"> review. </w:t>
      </w:r>
      <w:r w:rsidR="005462E7" w:rsidRPr="00E932C2">
        <w:rPr>
          <w:rFonts w:asciiTheme="minorHAnsi" w:hAnsiTheme="minorHAnsi" w:cstheme="minorHAnsi"/>
        </w:rPr>
        <w:t>Review</w:t>
      </w:r>
      <w:r w:rsidRPr="00E932C2">
        <w:rPr>
          <w:rFonts w:asciiTheme="minorHAnsi" w:hAnsiTheme="minorHAnsi" w:cstheme="minorHAnsi"/>
        </w:rPr>
        <w:t xml:space="preserve"> timelines, broadly consistent with international best practice, </w:t>
      </w:r>
      <w:r w:rsidR="00E6448C" w:rsidRPr="00E932C2">
        <w:rPr>
          <w:rFonts w:asciiTheme="minorHAnsi" w:hAnsiTheme="minorHAnsi" w:cstheme="minorHAnsi"/>
        </w:rPr>
        <w:t>are</w:t>
      </w:r>
      <w:r w:rsidR="0076552D" w:rsidRPr="00E932C2">
        <w:rPr>
          <w:rFonts w:asciiTheme="minorHAnsi" w:hAnsiTheme="minorHAnsi" w:cstheme="minorHAnsi"/>
        </w:rPr>
        <w:t>:</w:t>
      </w:r>
      <w:r w:rsidR="00E6448C" w:rsidRPr="00E932C2">
        <w:rPr>
          <w:rFonts w:asciiTheme="minorHAnsi" w:hAnsiTheme="minorHAnsi" w:cstheme="minorHAnsi"/>
        </w:rPr>
        <w:t xml:space="preserve"> </w:t>
      </w:r>
      <w:r w:rsidR="002C40B5" w:rsidRPr="00E932C2">
        <w:rPr>
          <w:rFonts w:asciiTheme="minorHAnsi" w:hAnsiTheme="minorHAnsi" w:cstheme="minorHAnsi"/>
        </w:rPr>
        <w:t xml:space="preserve">a ‘Phase </w:t>
      </w:r>
      <w:r w:rsidR="00874586" w:rsidRPr="00E932C2">
        <w:rPr>
          <w:rFonts w:asciiTheme="minorHAnsi" w:hAnsiTheme="minorHAnsi" w:cstheme="minorHAnsi"/>
        </w:rPr>
        <w:t>1</w:t>
      </w:r>
      <w:r w:rsidR="002C40B5" w:rsidRPr="00E932C2">
        <w:rPr>
          <w:rFonts w:asciiTheme="minorHAnsi" w:hAnsiTheme="minorHAnsi" w:cstheme="minorHAnsi"/>
        </w:rPr>
        <w:t xml:space="preserve">’ review period of 30 working days, with </w:t>
      </w:r>
      <w:r w:rsidRPr="00E932C2">
        <w:rPr>
          <w:rFonts w:asciiTheme="minorHAnsi" w:hAnsiTheme="minorHAnsi" w:cstheme="minorHAnsi"/>
        </w:rPr>
        <w:t xml:space="preserve">the option of </w:t>
      </w:r>
      <w:r w:rsidR="00312DC3" w:rsidRPr="00E932C2">
        <w:rPr>
          <w:rFonts w:asciiTheme="minorHAnsi" w:hAnsiTheme="minorHAnsi" w:cstheme="minorHAnsi"/>
        </w:rPr>
        <w:t xml:space="preserve">a </w:t>
      </w:r>
      <w:r w:rsidRPr="00E932C2">
        <w:rPr>
          <w:rFonts w:asciiTheme="minorHAnsi" w:hAnsiTheme="minorHAnsi" w:cstheme="minorHAnsi"/>
        </w:rPr>
        <w:t xml:space="preserve">fast-track determination after at least 15 working days if no concerns are identified by the ACCC; and a more in-depth ‘Phase </w:t>
      </w:r>
      <w:r w:rsidR="00874586" w:rsidRPr="00E932C2">
        <w:rPr>
          <w:rFonts w:asciiTheme="minorHAnsi" w:hAnsiTheme="minorHAnsi" w:cstheme="minorHAnsi"/>
        </w:rPr>
        <w:t>2</w:t>
      </w:r>
      <w:r w:rsidRPr="00E932C2">
        <w:rPr>
          <w:rFonts w:asciiTheme="minorHAnsi" w:hAnsiTheme="minorHAnsi" w:cstheme="minorHAnsi"/>
        </w:rPr>
        <w:t xml:space="preserve">’ review period of 90 working days. It is expected that the ACCC will determine that the vast majority of mergers </w:t>
      </w:r>
      <w:r w:rsidR="00B35298" w:rsidRPr="00E932C2">
        <w:rPr>
          <w:rFonts w:asciiTheme="minorHAnsi" w:hAnsiTheme="minorHAnsi" w:cstheme="minorHAnsi"/>
        </w:rPr>
        <w:t>(</w:t>
      </w:r>
      <w:r w:rsidR="00994EC1" w:rsidRPr="00E932C2">
        <w:rPr>
          <w:rFonts w:asciiTheme="minorHAnsi" w:hAnsiTheme="minorHAnsi" w:cstheme="minorHAnsi"/>
        </w:rPr>
        <w:t>80-90</w:t>
      </w:r>
      <w:r w:rsidR="00B35298" w:rsidRPr="00E932C2">
        <w:rPr>
          <w:rFonts w:asciiTheme="minorHAnsi" w:hAnsiTheme="minorHAnsi" w:cstheme="minorHAnsi"/>
        </w:rPr>
        <w:t xml:space="preserve">%) </w:t>
      </w:r>
      <w:r w:rsidRPr="00E932C2">
        <w:rPr>
          <w:rFonts w:asciiTheme="minorHAnsi" w:hAnsiTheme="minorHAnsi" w:cstheme="minorHAnsi"/>
        </w:rPr>
        <w:t xml:space="preserve">may be put into effect within </w:t>
      </w:r>
      <w:r w:rsidR="00994EC1" w:rsidRPr="00E932C2">
        <w:rPr>
          <w:rFonts w:asciiTheme="minorHAnsi" w:hAnsiTheme="minorHAnsi" w:cstheme="minorHAnsi"/>
        </w:rPr>
        <w:t>20</w:t>
      </w:r>
      <w:r w:rsidRPr="00E932C2">
        <w:rPr>
          <w:rFonts w:asciiTheme="minorHAnsi" w:hAnsiTheme="minorHAnsi" w:cstheme="minorHAnsi"/>
        </w:rPr>
        <w:t xml:space="preserve"> working days.</w:t>
      </w:r>
    </w:p>
    <w:p w14:paraId="4E375474" w14:textId="607C1CF5" w:rsidR="00947E3E" w:rsidRPr="00E752F3" w:rsidRDefault="00947E3E" w:rsidP="00947E3E">
      <w:pPr>
        <w:pStyle w:val="Bullet"/>
        <w:numPr>
          <w:ilvl w:val="0"/>
          <w:numId w:val="0"/>
        </w:numPr>
        <w:spacing w:line="240" w:lineRule="auto"/>
        <w:rPr>
          <w:rFonts w:asciiTheme="minorHAnsi" w:hAnsiTheme="minorHAnsi" w:cstheme="minorHAnsi"/>
        </w:rPr>
      </w:pPr>
      <w:r w:rsidRPr="00E932C2">
        <w:rPr>
          <w:rFonts w:asciiTheme="minorHAnsi" w:hAnsiTheme="minorHAnsi" w:cstheme="minorHAnsi"/>
        </w:rPr>
        <w:t xml:space="preserve">These time periods may be extended by the ACCC in appropriate circumstances and subject to procedural safeguards, for example if </w:t>
      </w:r>
      <w:r w:rsidR="00ED6D5B" w:rsidRPr="00E932C2">
        <w:rPr>
          <w:rFonts w:asciiTheme="minorHAnsi" w:hAnsiTheme="minorHAnsi" w:cstheme="minorHAnsi"/>
        </w:rPr>
        <w:t xml:space="preserve">false or misleading information are provided, </w:t>
      </w:r>
      <w:r w:rsidRPr="00E932C2">
        <w:rPr>
          <w:rFonts w:asciiTheme="minorHAnsi" w:hAnsiTheme="minorHAnsi" w:cstheme="minorHAnsi"/>
        </w:rPr>
        <w:t>remedies are offered by the merger parties, by mutual agreement or if requested information is not promptly provided.</w:t>
      </w:r>
      <w:r w:rsidRPr="00E752F3">
        <w:rPr>
          <w:rFonts w:asciiTheme="minorHAnsi" w:hAnsiTheme="minorHAnsi" w:cstheme="minorHAnsi"/>
        </w:rPr>
        <w:t xml:space="preserve"> </w:t>
      </w:r>
    </w:p>
    <w:p w14:paraId="3BAFC779" w14:textId="77777777" w:rsidR="00947E3E" w:rsidRPr="00F26CC7" w:rsidRDefault="00947E3E" w:rsidP="00203EEA">
      <w:pPr>
        <w:pStyle w:val="Heading4"/>
      </w:pPr>
      <w:r w:rsidRPr="00355A5E">
        <w:t xml:space="preserve">The substantive test </w:t>
      </w:r>
    </w:p>
    <w:p w14:paraId="618444EC" w14:textId="23A2DE14" w:rsidR="00947E3E" w:rsidRPr="00C03C39" w:rsidRDefault="00B861EE" w:rsidP="00947E3E">
      <w:pPr>
        <w:pStyle w:val="Bullet"/>
        <w:numPr>
          <w:ilvl w:val="0"/>
          <w:numId w:val="0"/>
        </w:numPr>
        <w:spacing w:line="240" w:lineRule="auto"/>
        <w:rPr>
          <w:rFonts w:asciiTheme="minorHAnsi" w:hAnsiTheme="minorHAnsi" w:cstheme="minorHAnsi"/>
        </w:rPr>
      </w:pPr>
      <w:r>
        <w:rPr>
          <w:rFonts w:asciiTheme="minorHAnsi" w:hAnsiTheme="minorHAnsi" w:cstheme="minorHAnsi"/>
        </w:rPr>
        <w:t>Under Option 2</w:t>
      </w:r>
      <w:r w:rsidR="00015A68">
        <w:rPr>
          <w:rFonts w:asciiTheme="minorHAnsi" w:hAnsiTheme="minorHAnsi" w:cstheme="minorHAnsi"/>
        </w:rPr>
        <w:t>,</w:t>
      </w:r>
      <w:r>
        <w:rPr>
          <w:rFonts w:asciiTheme="minorHAnsi" w:hAnsiTheme="minorHAnsi" w:cstheme="minorHAnsi"/>
        </w:rPr>
        <w:t xml:space="preserve"> </w:t>
      </w:r>
      <w:r w:rsidR="00947E3E" w:rsidRPr="00E752F3" w:rsidDel="00794C97">
        <w:rPr>
          <w:rFonts w:asciiTheme="minorHAnsi" w:hAnsiTheme="minorHAnsi" w:cstheme="minorHAnsi"/>
        </w:rPr>
        <w:t>t</w:t>
      </w:r>
      <w:r w:rsidR="00947E3E" w:rsidRPr="00E752F3">
        <w:rPr>
          <w:rFonts w:asciiTheme="minorHAnsi" w:hAnsiTheme="minorHAnsi" w:cstheme="minorHAnsi"/>
        </w:rPr>
        <w:t xml:space="preserve">he ACCC </w:t>
      </w:r>
      <w:r w:rsidR="00947E3E" w:rsidRPr="00E752F3">
        <w:rPr>
          <w:rFonts w:asciiTheme="minorHAnsi" w:eastAsia="Calibri Light" w:hAnsiTheme="minorHAnsi" w:cstheme="minorHAnsi"/>
        </w:rPr>
        <w:t xml:space="preserve">must </w:t>
      </w:r>
      <w:r w:rsidR="00A77830">
        <w:rPr>
          <w:rFonts w:asciiTheme="minorHAnsi" w:eastAsia="Calibri Light" w:hAnsiTheme="minorHAnsi" w:cstheme="minorHAnsi"/>
        </w:rPr>
        <w:t>determine that</w:t>
      </w:r>
      <w:r w:rsidR="00A77830" w:rsidRPr="00E752F3">
        <w:rPr>
          <w:rFonts w:asciiTheme="minorHAnsi" w:eastAsia="Calibri Light" w:hAnsiTheme="minorHAnsi" w:cstheme="minorHAnsi"/>
        </w:rPr>
        <w:t xml:space="preserve"> </w:t>
      </w:r>
      <w:r w:rsidR="00947E3E" w:rsidRPr="00E752F3">
        <w:rPr>
          <w:rFonts w:asciiTheme="minorHAnsi" w:eastAsia="Calibri Light" w:hAnsiTheme="minorHAnsi" w:cstheme="minorHAnsi"/>
        </w:rPr>
        <w:t>a</w:t>
      </w:r>
      <w:r w:rsidR="00B56C9E">
        <w:rPr>
          <w:rFonts w:asciiTheme="minorHAnsi" w:eastAsia="Calibri Light" w:hAnsiTheme="minorHAnsi" w:cstheme="minorHAnsi"/>
        </w:rPr>
        <w:t>n acquisition</w:t>
      </w:r>
      <w:r w:rsidR="00947E3E" w:rsidRPr="00E752F3">
        <w:rPr>
          <w:rFonts w:asciiTheme="minorHAnsi" w:eastAsia="Calibri Light" w:hAnsiTheme="minorHAnsi" w:cstheme="minorHAnsi"/>
        </w:rPr>
        <w:t xml:space="preserve"> </w:t>
      </w:r>
      <w:r w:rsidR="00B56C9E">
        <w:rPr>
          <w:rFonts w:asciiTheme="minorHAnsi" w:eastAsia="Calibri Light" w:hAnsiTheme="minorHAnsi" w:cstheme="minorHAnsi"/>
        </w:rPr>
        <w:t xml:space="preserve">may </w:t>
      </w:r>
      <w:r w:rsidR="00947E3E" w:rsidRPr="00E752F3">
        <w:rPr>
          <w:rFonts w:asciiTheme="minorHAnsi" w:eastAsia="Calibri Light" w:hAnsiTheme="minorHAnsi" w:cstheme="minorHAnsi"/>
        </w:rPr>
        <w:t xml:space="preserve">be put into effect unless the ACCC </w:t>
      </w:r>
      <w:r w:rsidR="00B7477E">
        <w:rPr>
          <w:rFonts w:asciiTheme="minorHAnsi" w:eastAsia="Calibri Light" w:hAnsiTheme="minorHAnsi" w:cstheme="minorHAnsi"/>
        </w:rPr>
        <w:t>is satisfied</w:t>
      </w:r>
      <w:r w:rsidR="00947E3E" w:rsidRPr="00E752F3">
        <w:rPr>
          <w:rFonts w:asciiTheme="minorHAnsi" w:eastAsia="Calibri Light" w:hAnsiTheme="minorHAnsi" w:cstheme="minorHAnsi"/>
        </w:rPr>
        <w:t xml:space="preserve"> that the merger </w:t>
      </w:r>
      <w:r w:rsidR="008D34D6">
        <w:rPr>
          <w:rFonts w:asciiTheme="minorHAnsi" w:eastAsia="Calibri Light" w:hAnsiTheme="minorHAnsi" w:cstheme="minorHAnsi"/>
        </w:rPr>
        <w:t xml:space="preserve">or acquisition </w:t>
      </w:r>
      <w:r w:rsidR="00947E3E" w:rsidRPr="00E752F3">
        <w:rPr>
          <w:rFonts w:asciiTheme="minorHAnsi" w:eastAsia="Calibri Light" w:hAnsiTheme="minorHAnsi" w:cstheme="minorHAnsi"/>
        </w:rPr>
        <w:t xml:space="preserve">would have the effect, or be likely to have the effect, of </w:t>
      </w:r>
      <w:r w:rsidR="000971EF">
        <w:rPr>
          <w:rFonts w:asciiTheme="minorHAnsi" w:eastAsia="Calibri Light" w:hAnsiTheme="minorHAnsi" w:cstheme="minorHAnsi"/>
        </w:rPr>
        <w:t>SLC</w:t>
      </w:r>
      <w:r w:rsidR="00947E3E" w:rsidRPr="00E752F3">
        <w:rPr>
          <w:rFonts w:asciiTheme="minorHAnsi" w:eastAsia="Calibri Light" w:hAnsiTheme="minorHAnsi" w:cstheme="minorHAnsi"/>
        </w:rPr>
        <w:t xml:space="preserve"> in any market, including if the merger </w:t>
      </w:r>
      <w:r w:rsidR="00291EC2">
        <w:rPr>
          <w:rFonts w:asciiTheme="minorHAnsi" w:eastAsia="Calibri Light" w:hAnsiTheme="minorHAnsi" w:cstheme="minorHAnsi"/>
        </w:rPr>
        <w:t xml:space="preserve">or acquisition </w:t>
      </w:r>
      <w:r w:rsidR="00947E3E" w:rsidRPr="00E752F3">
        <w:rPr>
          <w:rFonts w:asciiTheme="minorHAnsi" w:hAnsiTheme="minorHAnsi" w:cstheme="minorHAnsi"/>
        </w:rPr>
        <w:t>creates, strengthens or entrenches</w:t>
      </w:r>
      <w:r w:rsidR="00947E3E" w:rsidRPr="00E752F3">
        <w:rPr>
          <w:rFonts w:asciiTheme="minorHAnsi" w:eastAsia="Calibri Light" w:hAnsiTheme="minorHAnsi" w:cstheme="minorHAnsi"/>
        </w:rPr>
        <w:t xml:space="preserve"> a position of substantial market power in a market.</w:t>
      </w:r>
    </w:p>
    <w:p w14:paraId="2A54F504" w14:textId="3A811F99" w:rsidR="00947E3E" w:rsidRPr="00BF12B3" w:rsidRDefault="00947E3E" w:rsidP="00947E3E">
      <w:pPr>
        <w:pStyle w:val="Dash"/>
        <w:numPr>
          <w:ilvl w:val="0"/>
          <w:numId w:val="0"/>
        </w:numPr>
        <w:rPr>
          <w:rFonts w:asciiTheme="minorHAnsi" w:hAnsiTheme="minorHAnsi" w:cstheme="minorHAnsi"/>
        </w:rPr>
      </w:pPr>
      <w:r w:rsidRPr="00E752F3">
        <w:rPr>
          <w:rFonts w:asciiTheme="minorHAnsi" w:hAnsiTheme="minorHAnsi" w:cstheme="minorHAnsi"/>
        </w:rPr>
        <w:t xml:space="preserve">To respond to concerns regarding serial or creeping acquisitions and roll up strategies, the cumulative effect of all mergers within the previous </w:t>
      </w:r>
      <w:r w:rsidR="00C7778A">
        <w:rPr>
          <w:rFonts w:asciiTheme="minorHAnsi" w:hAnsiTheme="minorHAnsi" w:cstheme="minorHAnsi"/>
        </w:rPr>
        <w:t>3</w:t>
      </w:r>
      <w:r>
        <w:rPr>
          <w:rFonts w:asciiTheme="minorHAnsi" w:hAnsiTheme="minorHAnsi" w:cstheme="minorHAnsi"/>
        </w:rPr>
        <w:t xml:space="preserve"> </w:t>
      </w:r>
      <w:r w:rsidRPr="00E752F3">
        <w:rPr>
          <w:rFonts w:asciiTheme="minorHAnsi" w:hAnsiTheme="minorHAnsi" w:cstheme="minorHAnsi"/>
        </w:rPr>
        <w:t xml:space="preserve">years by the merger parties may be considered as part of the assessment of the notified merger, </w:t>
      </w:r>
      <w:r w:rsidR="006B468B">
        <w:rPr>
          <w:rFonts w:asciiTheme="minorHAnsi" w:hAnsiTheme="minorHAnsi" w:cstheme="minorHAnsi"/>
        </w:rPr>
        <w:t xml:space="preserve">regardless of </w:t>
      </w:r>
      <w:r w:rsidRPr="00E752F3">
        <w:rPr>
          <w:rFonts w:asciiTheme="minorHAnsi" w:hAnsiTheme="minorHAnsi" w:cstheme="minorHAnsi"/>
        </w:rPr>
        <w:t>whether those mergers were themselves individually notifiable.</w:t>
      </w:r>
      <w:r w:rsidRPr="00BF12B3">
        <w:rPr>
          <w:rFonts w:asciiTheme="minorHAnsi" w:hAnsiTheme="minorHAnsi" w:cstheme="minorHAnsi"/>
        </w:rPr>
        <w:t xml:space="preserve"> </w:t>
      </w:r>
    </w:p>
    <w:p w14:paraId="184867C8" w14:textId="1BE11475" w:rsidR="00947E3E" w:rsidRPr="00E752F3" w:rsidRDefault="00947E3E" w:rsidP="00947E3E">
      <w:pPr>
        <w:pStyle w:val="Bullet"/>
        <w:numPr>
          <w:ilvl w:val="0"/>
          <w:numId w:val="0"/>
        </w:numPr>
        <w:spacing w:line="240" w:lineRule="auto"/>
        <w:rPr>
          <w:rFonts w:asciiTheme="minorHAnsi" w:eastAsia="Calibri Light" w:hAnsiTheme="minorHAnsi" w:cstheme="minorHAnsi"/>
        </w:rPr>
      </w:pPr>
      <w:r w:rsidRPr="00E752F3">
        <w:rPr>
          <w:rFonts w:asciiTheme="minorHAnsi" w:eastAsia="Calibri Light" w:hAnsiTheme="minorHAnsi" w:cstheme="minorHAnsi"/>
        </w:rPr>
        <w:t>Merger parties may</w:t>
      </w:r>
      <w:r w:rsidRPr="00E752F3" w:rsidDel="00401B0A">
        <w:rPr>
          <w:rFonts w:asciiTheme="minorHAnsi" w:eastAsia="Calibri Light" w:hAnsiTheme="minorHAnsi" w:cstheme="minorHAnsi"/>
        </w:rPr>
        <w:t xml:space="preserve">, </w:t>
      </w:r>
      <w:r w:rsidRPr="00401B0A" w:rsidDel="00401B0A">
        <w:rPr>
          <w:rFonts w:asciiTheme="minorHAnsi" w:eastAsia="Calibri Light" w:hAnsiTheme="minorHAnsi" w:cstheme="minorHAnsi"/>
        </w:rPr>
        <w:t xml:space="preserve">following the ACCC’s Phase </w:t>
      </w:r>
      <w:r w:rsidR="003807B0">
        <w:rPr>
          <w:rFonts w:asciiTheme="minorHAnsi" w:eastAsia="Calibri Light" w:hAnsiTheme="minorHAnsi" w:cstheme="minorHAnsi"/>
        </w:rPr>
        <w:t>2</w:t>
      </w:r>
      <w:r w:rsidRPr="00401B0A" w:rsidDel="00401B0A">
        <w:rPr>
          <w:rFonts w:asciiTheme="minorHAnsi" w:eastAsia="Calibri Light" w:hAnsiTheme="minorHAnsi" w:cstheme="minorHAnsi"/>
        </w:rPr>
        <w:t xml:space="preserve"> determination</w:t>
      </w:r>
      <w:r w:rsidRPr="00E752F3" w:rsidDel="00401B0A">
        <w:rPr>
          <w:rFonts w:asciiTheme="minorHAnsi" w:eastAsia="Calibri Light" w:hAnsiTheme="minorHAnsi" w:cstheme="minorHAnsi"/>
        </w:rPr>
        <w:t>,</w:t>
      </w:r>
      <w:r w:rsidRPr="00E752F3">
        <w:rPr>
          <w:rFonts w:asciiTheme="minorHAnsi" w:eastAsia="Calibri Light" w:hAnsiTheme="minorHAnsi" w:cstheme="minorHAnsi"/>
        </w:rPr>
        <w:t xml:space="preserve"> seek approval from the ACCC </w:t>
      </w:r>
      <w:r w:rsidR="0060146B">
        <w:rPr>
          <w:rFonts w:asciiTheme="minorHAnsi" w:eastAsia="Calibri Light" w:hAnsiTheme="minorHAnsi" w:cstheme="minorHAnsi"/>
        </w:rPr>
        <w:t xml:space="preserve">on public benefit grounds. The ACCC may approve </w:t>
      </w:r>
      <w:r w:rsidRPr="00E752F3">
        <w:rPr>
          <w:rFonts w:asciiTheme="minorHAnsi" w:eastAsia="Calibri Light" w:hAnsiTheme="minorHAnsi" w:cstheme="minorHAnsi"/>
        </w:rPr>
        <w:t xml:space="preserve">the </w:t>
      </w:r>
      <w:r w:rsidR="0060146B">
        <w:rPr>
          <w:rFonts w:asciiTheme="minorHAnsi" w:eastAsia="Calibri Light" w:hAnsiTheme="minorHAnsi" w:cstheme="minorHAnsi"/>
        </w:rPr>
        <w:t>acquisition</w:t>
      </w:r>
      <w:r w:rsidRPr="00E752F3">
        <w:rPr>
          <w:rFonts w:asciiTheme="minorHAnsi" w:eastAsia="Calibri Light" w:hAnsiTheme="minorHAnsi" w:cstheme="minorHAnsi"/>
        </w:rPr>
        <w:t xml:space="preserve"> if </w:t>
      </w:r>
      <w:r w:rsidR="000C0EC2">
        <w:rPr>
          <w:rFonts w:asciiTheme="minorHAnsi" w:eastAsia="Calibri Light" w:hAnsiTheme="minorHAnsi" w:cstheme="minorHAnsi"/>
        </w:rPr>
        <w:t>it</w:t>
      </w:r>
      <w:r w:rsidRPr="00E752F3">
        <w:rPr>
          <w:rFonts w:asciiTheme="minorHAnsi" w:eastAsia="Calibri Light" w:hAnsiTheme="minorHAnsi" w:cstheme="minorHAnsi"/>
        </w:rPr>
        <w:t xml:space="preserve"> is satisfied the merger would result, or be likely to result, in a benefit to the public which outweighs the anti-competitive detriment of the merger. </w:t>
      </w:r>
    </w:p>
    <w:p w14:paraId="2CC22884" w14:textId="13424BA2" w:rsidR="00947E3E" w:rsidRPr="00203EEA" w:rsidRDefault="00947E3E" w:rsidP="00203EEA">
      <w:pPr>
        <w:pStyle w:val="Heading4"/>
        <w:rPr>
          <w:rFonts w:asciiTheme="majorHAnsi" w:eastAsia="Calibri Light" w:hAnsiTheme="majorHAnsi"/>
          <w:lang w:eastAsia="en-US"/>
          <w14:ligatures w14:val="standardContextual"/>
        </w:rPr>
      </w:pPr>
      <w:r w:rsidRPr="00355A5E">
        <w:rPr>
          <w:rFonts w:eastAsia="Calibri Light"/>
        </w:rPr>
        <w:t xml:space="preserve">Review of decisions </w:t>
      </w:r>
    </w:p>
    <w:p w14:paraId="07877E0D" w14:textId="35A31639" w:rsidR="00122C19" w:rsidRDefault="00E21331" w:rsidP="00947E3E">
      <w:pPr>
        <w:pStyle w:val="Bullet"/>
        <w:numPr>
          <w:ilvl w:val="0"/>
          <w:numId w:val="0"/>
        </w:numPr>
        <w:spacing w:line="240" w:lineRule="auto"/>
        <w:rPr>
          <w:rFonts w:asciiTheme="minorHAnsi" w:eastAsia="Calibri Light" w:hAnsiTheme="minorHAnsi" w:cstheme="minorBidi"/>
        </w:rPr>
      </w:pPr>
      <w:r w:rsidRPr="47FE0987">
        <w:rPr>
          <w:rFonts w:asciiTheme="minorHAnsi" w:eastAsia="Calibri Light" w:hAnsiTheme="minorHAnsi" w:cstheme="minorBidi"/>
        </w:rPr>
        <w:t xml:space="preserve">ACCC determinations setting out the outcome of its competition assessment and/or public benefits assessment will be subject to limited merits review by the Tribunal upon application by merger parties or interested parties (if the Tribunal is satisfied that the </w:t>
      </w:r>
      <w:r w:rsidR="00F87457">
        <w:rPr>
          <w:rFonts w:asciiTheme="minorHAnsi" w:eastAsia="Calibri Light" w:hAnsiTheme="minorHAnsi" w:cstheme="minorBidi"/>
        </w:rPr>
        <w:t>interested party</w:t>
      </w:r>
      <w:r w:rsidRPr="47FE0987">
        <w:rPr>
          <w:rFonts w:asciiTheme="minorHAnsi" w:eastAsia="Calibri Light" w:hAnsiTheme="minorHAnsi" w:cstheme="minorBidi"/>
        </w:rPr>
        <w:t xml:space="preserve"> has a sufficient interest). </w:t>
      </w:r>
    </w:p>
    <w:p w14:paraId="12EAB135" w14:textId="1BDDAF49" w:rsidR="005F6D4B" w:rsidRDefault="00E21331" w:rsidP="00947E3E">
      <w:pPr>
        <w:pStyle w:val="Bullet"/>
        <w:numPr>
          <w:ilvl w:val="0"/>
          <w:numId w:val="0"/>
        </w:numPr>
        <w:spacing w:line="240" w:lineRule="auto"/>
        <w:rPr>
          <w:rFonts w:asciiTheme="minorHAnsi" w:eastAsia="Calibri Light" w:hAnsiTheme="minorHAnsi" w:cstheme="minorHAnsi"/>
        </w:rPr>
      </w:pPr>
      <w:r>
        <w:rPr>
          <w:rFonts w:asciiTheme="minorHAnsi" w:eastAsia="Calibri Light" w:hAnsiTheme="minorHAnsi" w:cstheme="minorHAnsi"/>
        </w:rPr>
        <w:t>In its review, t</w:t>
      </w:r>
      <w:r w:rsidRPr="00E752F3">
        <w:rPr>
          <w:rFonts w:asciiTheme="minorHAnsi" w:eastAsia="Calibri Light" w:hAnsiTheme="minorHAnsi" w:cstheme="minorHAnsi"/>
        </w:rPr>
        <w:t xml:space="preserve">he Tribunal </w:t>
      </w:r>
      <w:r>
        <w:rPr>
          <w:rFonts w:asciiTheme="minorHAnsi" w:eastAsia="Calibri Light" w:hAnsiTheme="minorHAnsi" w:cstheme="minorHAnsi"/>
        </w:rPr>
        <w:t>cannot have regard to</w:t>
      </w:r>
      <w:r w:rsidRPr="00E752F3">
        <w:rPr>
          <w:rFonts w:asciiTheme="minorHAnsi" w:eastAsia="Calibri Light" w:hAnsiTheme="minorHAnsi" w:cstheme="minorHAnsi"/>
        </w:rPr>
        <w:t xml:space="preserve"> material </w:t>
      </w:r>
      <w:r>
        <w:rPr>
          <w:rFonts w:asciiTheme="minorHAnsi" w:eastAsia="Calibri Light" w:hAnsiTheme="minorHAnsi" w:cstheme="minorHAnsi"/>
        </w:rPr>
        <w:t xml:space="preserve">that was not </w:t>
      </w:r>
      <w:r w:rsidRPr="00E752F3">
        <w:rPr>
          <w:rFonts w:asciiTheme="minorHAnsi" w:eastAsia="Calibri Light" w:hAnsiTheme="minorHAnsi" w:cstheme="minorHAnsi"/>
        </w:rPr>
        <w:t>before the ACCC</w:t>
      </w:r>
      <w:r>
        <w:rPr>
          <w:rFonts w:asciiTheme="minorHAnsi" w:eastAsia="Calibri Light" w:hAnsiTheme="minorHAnsi" w:cstheme="minorHAnsi"/>
        </w:rPr>
        <w:t xml:space="preserve"> when it was making its determination</w:t>
      </w:r>
      <w:r w:rsidRPr="00E752F3">
        <w:rPr>
          <w:rFonts w:asciiTheme="minorHAnsi" w:eastAsia="Calibri Light" w:hAnsiTheme="minorHAnsi" w:cstheme="minorHAnsi"/>
        </w:rPr>
        <w:t>.</w:t>
      </w:r>
      <w:r>
        <w:rPr>
          <w:rFonts w:asciiTheme="minorHAnsi" w:eastAsia="Calibri Light" w:hAnsiTheme="minorHAnsi" w:cstheme="minorHAnsi"/>
        </w:rPr>
        <w:t xml:space="preserve"> </w:t>
      </w:r>
      <w:r w:rsidRPr="00814C47">
        <w:rPr>
          <w:rFonts w:asciiTheme="minorHAnsi" w:eastAsia="Calibri Light" w:hAnsiTheme="minorHAnsi" w:cstheme="minorHAnsi"/>
        </w:rPr>
        <w:t xml:space="preserve">However, there are some exceptions, including information the Tribunal requests from the ACCC, information </w:t>
      </w:r>
      <w:r w:rsidR="00122C19">
        <w:rPr>
          <w:rFonts w:asciiTheme="minorHAnsi" w:eastAsia="Calibri Light" w:hAnsiTheme="minorHAnsi" w:cstheme="minorHAnsi"/>
        </w:rPr>
        <w:t>that</w:t>
      </w:r>
      <w:r w:rsidR="00122C19" w:rsidRPr="00814C47">
        <w:rPr>
          <w:rFonts w:asciiTheme="minorHAnsi" w:eastAsia="Calibri Light" w:hAnsiTheme="minorHAnsi" w:cstheme="minorHAnsi"/>
        </w:rPr>
        <w:t xml:space="preserve"> </w:t>
      </w:r>
      <w:r w:rsidRPr="00814C47">
        <w:rPr>
          <w:rFonts w:asciiTheme="minorHAnsi" w:eastAsia="Calibri Light" w:hAnsiTheme="minorHAnsi" w:cstheme="minorHAnsi"/>
        </w:rPr>
        <w:t>was not in existence at the time of the ACCC’s determination, and information for the sole purpose of clarifying existing information.</w:t>
      </w:r>
      <w:r w:rsidR="0022154F">
        <w:rPr>
          <w:rFonts w:asciiTheme="minorHAnsi" w:eastAsia="Calibri Light" w:hAnsiTheme="minorHAnsi" w:cstheme="minorHAnsi"/>
        </w:rPr>
        <w:t xml:space="preserve"> </w:t>
      </w:r>
    </w:p>
    <w:p w14:paraId="1B5341A6" w14:textId="66F61625" w:rsidR="0000096C" w:rsidRDefault="00424370" w:rsidP="00947E3E">
      <w:pPr>
        <w:pStyle w:val="Bullet"/>
        <w:numPr>
          <w:ilvl w:val="0"/>
          <w:numId w:val="0"/>
        </w:numPr>
        <w:spacing w:line="240" w:lineRule="auto"/>
        <w:rPr>
          <w:rFonts w:asciiTheme="minorHAnsi" w:eastAsia="Calibri Light" w:hAnsiTheme="minorHAnsi" w:cstheme="minorHAnsi"/>
        </w:rPr>
      </w:pPr>
      <w:r w:rsidRPr="00624289">
        <w:rPr>
          <w:rFonts w:asciiTheme="minorHAnsi" w:eastAsia="Calibri Light" w:hAnsiTheme="minorHAnsi" w:cstheme="minorHAnsi"/>
        </w:rPr>
        <w:t xml:space="preserve">Certain </w:t>
      </w:r>
      <w:r w:rsidR="00D40B7F">
        <w:rPr>
          <w:rFonts w:asciiTheme="minorHAnsi" w:eastAsia="Calibri Light" w:hAnsiTheme="minorHAnsi" w:cstheme="minorHAnsi"/>
        </w:rPr>
        <w:t>administrative</w:t>
      </w:r>
      <w:r w:rsidRPr="00624289">
        <w:rPr>
          <w:rFonts w:asciiTheme="minorHAnsi" w:eastAsia="Calibri Light" w:hAnsiTheme="minorHAnsi" w:cstheme="minorHAnsi"/>
        </w:rPr>
        <w:t xml:space="preserve"> decisions </w:t>
      </w:r>
      <w:r>
        <w:rPr>
          <w:rFonts w:asciiTheme="minorHAnsi" w:eastAsia="Calibri Light" w:hAnsiTheme="minorHAnsi" w:cstheme="minorHAnsi"/>
        </w:rPr>
        <w:t>made by the ACCC</w:t>
      </w:r>
      <w:r w:rsidRPr="00624289">
        <w:rPr>
          <w:rFonts w:asciiTheme="minorHAnsi" w:eastAsia="Calibri Light" w:hAnsiTheme="minorHAnsi" w:cstheme="minorHAnsi"/>
        </w:rPr>
        <w:t xml:space="preserve"> during its </w:t>
      </w:r>
      <w:r w:rsidR="00D40B7F">
        <w:rPr>
          <w:rFonts w:asciiTheme="minorHAnsi" w:eastAsia="Calibri Light" w:hAnsiTheme="minorHAnsi" w:cstheme="minorHAnsi"/>
        </w:rPr>
        <w:t>merger</w:t>
      </w:r>
      <w:r w:rsidR="00D40B7F" w:rsidRPr="00624289">
        <w:rPr>
          <w:rFonts w:asciiTheme="minorHAnsi" w:eastAsia="Calibri Light" w:hAnsiTheme="minorHAnsi" w:cstheme="minorHAnsi"/>
        </w:rPr>
        <w:t xml:space="preserve"> </w:t>
      </w:r>
      <w:r w:rsidR="00D40B7F">
        <w:rPr>
          <w:rFonts w:asciiTheme="minorHAnsi" w:eastAsia="Calibri Light" w:hAnsiTheme="minorHAnsi" w:cstheme="minorHAnsi"/>
        </w:rPr>
        <w:t xml:space="preserve">review </w:t>
      </w:r>
      <w:r w:rsidRPr="00624289">
        <w:rPr>
          <w:rFonts w:asciiTheme="minorHAnsi" w:eastAsia="Calibri Light" w:hAnsiTheme="minorHAnsi" w:cstheme="minorHAnsi"/>
        </w:rPr>
        <w:t>and/or public benefits assessment will be subject to review</w:t>
      </w:r>
      <w:r w:rsidR="00D40B7F">
        <w:rPr>
          <w:rFonts w:asciiTheme="minorHAnsi" w:eastAsia="Calibri Light" w:hAnsiTheme="minorHAnsi" w:cstheme="minorHAnsi"/>
        </w:rPr>
        <w:t>, either internally or by the Tribunal (depending on the nature of the primary decision-maker)</w:t>
      </w:r>
      <w:r w:rsidRPr="00624289">
        <w:rPr>
          <w:rFonts w:asciiTheme="minorHAnsi" w:eastAsia="Calibri Light" w:hAnsiTheme="minorHAnsi" w:cstheme="minorHAnsi"/>
        </w:rPr>
        <w:t xml:space="preserve">. </w:t>
      </w:r>
    </w:p>
    <w:p w14:paraId="640A12E7" w14:textId="3FB28AC9" w:rsidR="001649D8" w:rsidRPr="00624289" w:rsidRDefault="001649D8" w:rsidP="00947E3E">
      <w:pPr>
        <w:pStyle w:val="Bullet"/>
        <w:numPr>
          <w:ilvl w:val="0"/>
          <w:numId w:val="0"/>
        </w:numPr>
        <w:spacing w:line="240" w:lineRule="auto"/>
        <w:rPr>
          <w:rFonts w:asciiTheme="minorHAnsi" w:eastAsia="Calibri Light" w:hAnsiTheme="minorHAnsi" w:cstheme="minorHAnsi"/>
        </w:rPr>
      </w:pPr>
      <w:r w:rsidRPr="00E752F3">
        <w:rPr>
          <w:rFonts w:asciiTheme="minorHAnsi" w:eastAsia="Calibri Light" w:hAnsiTheme="minorHAnsi" w:cstheme="minorHAnsi"/>
        </w:rPr>
        <w:t xml:space="preserve">Judicial review of </w:t>
      </w:r>
      <w:r>
        <w:rPr>
          <w:rFonts w:asciiTheme="minorHAnsi" w:eastAsia="Calibri Light" w:hAnsiTheme="minorHAnsi" w:cstheme="minorHAnsi"/>
        </w:rPr>
        <w:t xml:space="preserve">Tribunal </w:t>
      </w:r>
      <w:r w:rsidRPr="00E752F3">
        <w:rPr>
          <w:rFonts w:asciiTheme="minorHAnsi" w:eastAsia="Calibri Light" w:hAnsiTheme="minorHAnsi" w:cstheme="minorHAnsi"/>
        </w:rPr>
        <w:t>decisions will be available in the Federal Court.</w:t>
      </w:r>
    </w:p>
    <w:p w14:paraId="217AC735" w14:textId="629C26BD" w:rsidR="00947E3E" w:rsidRPr="00B138F1" w:rsidRDefault="00947E3E" w:rsidP="00947E3E">
      <w:pPr>
        <w:pStyle w:val="Heading2"/>
        <w:spacing w:line="240" w:lineRule="auto"/>
      </w:pPr>
      <w:bookmarkStart w:id="55" w:name="_Toc160013880"/>
      <w:bookmarkStart w:id="56" w:name="_Toc162428358"/>
      <w:bookmarkStart w:id="57" w:name="_Toc176972364"/>
      <w:r>
        <w:t xml:space="preserve">Option 3 – Mandatory and suspensory </w:t>
      </w:r>
      <w:bookmarkEnd w:id="54"/>
      <w:r>
        <w:t>administrative</w:t>
      </w:r>
      <w:r w:rsidRPr="00B138F1">
        <w:t xml:space="preserve"> </w:t>
      </w:r>
      <w:r>
        <w:t xml:space="preserve">system with </w:t>
      </w:r>
      <w:r w:rsidR="00121C6D">
        <w:t>a</w:t>
      </w:r>
      <w:r>
        <w:t xml:space="preserve"> satisfaction test</w:t>
      </w:r>
      <w:bookmarkEnd w:id="55"/>
      <w:bookmarkEnd w:id="56"/>
      <w:bookmarkEnd w:id="57"/>
    </w:p>
    <w:p w14:paraId="7E38EE4D" w14:textId="2879E2C1" w:rsidR="00947E3E" w:rsidRDefault="00947E3E" w:rsidP="00947E3E">
      <w:pPr>
        <w:spacing w:line="240" w:lineRule="auto"/>
      </w:pPr>
      <w:r>
        <w:t xml:space="preserve">Option 3 is a variation to Option 2. Like Option 2, Option 3 would also introduce mandatory notification of </w:t>
      </w:r>
      <w:r w:rsidR="00E57765">
        <w:t xml:space="preserve">acquisitions </w:t>
      </w:r>
      <w:r>
        <w:t>above certain thresholds</w:t>
      </w:r>
      <w:r w:rsidR="00A73837">
        <w:t xml:space="preserve"> (as </w:t>
      </w:r>
      <w:r w:rsidR="00C27C8F">
        <w:t>for Option 2</w:t>
      </w:r>
      <w:r w:rsidR="00A73837">
        <w:t>)</w:t>
      </w:r>
      <w:r>
        <w:t xml:space="preserve">. </w:t>
      </w:r>
    </w:p>
    <w:p w14:paraId="691B0D0F" w14:textId="2647E5E8" w:rsidR="00947E3E" w:rsidRDefault="0028708E" w:rsidP="00947E3E">
      <w:pPr>
        <w:spacing w:line="240" w:lineRule="auto"/>
      </w:pPr>
      <w:r>
        <w:t xml:space="preserve">However, </w:t>
      </w:r>
      <w:r w:rsidR="00947E3E" w:rsidRPr="00E752F3">
        <w:rPr>
          <w:rFonts w:cstheme="minorHAnsi"/>
        </w:rPr>
        <w:t xml:space="preserve">the ACCC would only grant clearance if it </w:t>
      </w:r>
      <w:r w:rsidR="00192569">
        <w:rPr>
          <w:rFonts w:cstheme="minorHAnsi"/>
        </w:rPr>
        <w:t>is</w:t>
      </w:r>
      <w:r w:rsidR="00192569" w:rsidRPr="00E752F3">
        <w:rPr>
          <w:rFonts w:cstheme="minorHAnsi"/>
        </w:rPr>
        <w:t xml:space="preserve"> </w:t>
      </w:r>
      <w:r w:rsidR="00947E3E" w:rsidRPr="00E752F3">
        <w:rPr>
          <w:rFonts w:cstheme="minorHAnsi"/>
        </w:rPr>
        <w:t xml:space="preserve">satisfied the merger </w:t>
      </w:r>
      <w:r w:rsidR="0067648F">
        <w:rPr>
          <w:rFonts w:cstheme="minorHAnsi"/>
        </w:rPr>
        <w:t>is</w:t>
      </w:r>
      <w:r w:rsidR="00947E3E" w:rsidRPr="00E752F3">
        <w:rPr>
          <w:rFonts w:cstheme="minorHAnsi"/>
        </w:rPr>
        <w:t xml:space="preserve"> </w:t>
      </w:r>
      <w:r w:rsidR="00947E3E" w:rsidRPr="00E752F3">
        <w:rPr>
          <w:rFonts w:cstheme="minorHAnsi"/>
          <w:u w:val="single"/>
        </w:rPr>
        <w:t>not</w:t>
      </w:r>
      <w:r w:rsidR="00947E3E" w:rsidRPr="00E752F3">
        <w:rPr>
          <w:rFonts w:cstheme="minorHAnsi"/>
        </w:rPr>
        <w:t xml:space="preserve"> likely to </w:t>
      </w:r>
      <w:r w:rsidR="00064FD3">
        <w:rPr>
          <w:rFonts w:cstheme="minorHAnsi"/>
        </w:rPr>
        <w:t>SLC</w:t>
      </w:r>
      <w:r w:rsidR="00947E3E" w:rsidRPr="00E752F3">
        <w:rPr>
          <w:rFonts w:cstheme="minorHAnsi"/>
        </w:rPr>
        <w:t xml:space="preserve">. </w:t>
      </w:r>
      <w:r w:rsidR="007A13DD">
        <w:t>Internationally, t</w:t>
      </w:r>
      <w:r w:rsidR="00346A4A">
        <w:t xml:space="preserve">he only other jurisdiction that has </w:t>
      </w:r>
      <w:r w:rsidR="008F2371">
        <w:t xml:space="preserve">this </w:t>
      </w:r>
      <w:r w:rsidR="002A43A4">
        <w:t>type of</w:t>
      </w:r>
      <w:r w:rsidR="00346A4A">
        <w:t xml:space="preserve"> satisfaction </w:t>
      </w:r>
      <w:r w:rsidR="0067648F">
        <w:t xml:space="preserve">test </w:t>
      </w:r>
      <w:r w:rsidR="00E36E79">
        <w:t>is New Zealand, where the New Zealand Commerce Commission</w:t>
      </w:r>
      <w:r w:rsidR="00903EA7">
        <w:t xml:space="preserve"> must</w:t>
      </w:r>
      <w:r w:rsidR="00B66BB0">
        <w:t>, if voluntarily notified of a merger,</w:t>
      </w:r>
      <w:r w:rsidR="00903EA7">
        <w:t xml:space="preserve"> be satisfied that a merger is not likely to </w:t>
      </w:r>
      <w:r w:rsidR="00F902CC">
        <w:t>SLC</w:t>
      </w:r>
      <w:r w:rsidR="00903EA7">
        <w:t xml:space="preserve">. </w:t>
      </w:r>
    </w:p>
    <w:p w14:paraId="1A481EEB" w14:textId="59E3BD7E" w:rsidR="00903EA7" w:rsidRPr="007201E0" w:rsidRDefault="00903EA7" w:rsidP="00947E3E">
      <w:pPr>
        <w:spacing w:line="240" w:lineRule="auto"/>
        <w:rPr>
          <w:rFonts w:cstheme="minorHAnsi"/>
          <w:bCs/>
        </w:rPr>
      </w:pPr>
      <w:r>
        <w:rPr>
          <w:rFonts w:cstheme="minorHAnsi"/>
          <w:bCs/>
        </w:rPr>
        <w:t xml:space="preserve">Like Option 2, </w:t>
      </w:r>
      <w:r>
        <w:rPr>
          <w:rFonts w:cstheme="minorHAnsi"/>
        </w:rPr>
        <w:t>m</w:t>
      </w:r>
      <w:r w:rsidRPr="009944DC">
        <w:rPr>
          <w:rFonts w:cstheme="minorHAnsi"/>
        </w:rPr>
        <w:t>erger parties may</w:t>
      </w:r>
      <w:r>
        <w:rPr>
          <w:rFonts w:cstheme="minorHAnsi"/>
        </w:rPr>
        <w:t xml:space="preserve"> also</w:t>
      </w:r>
      <w:r w:rsidRPr="009944DC">
        <w:rPr>
          <w:rFonts w:cstheme="minorHAnsi"/>
        </w:rPr>
        <w:t xml:space="preserve">, following the </w:t>
      </w:r>
      <w:r>
        <w:rPr>
          <w:rFonts w:cstheme="minorHAnsi"/>
        </w:rPr>
        <w:t>competition assessment</w:t>
      </w:r>
      <w:r w:rsidRPr="009944DC">
        <w:rPr>
          <w:rFonts w:cstheme="minorHAnsi"/>
        </w:rPr>
        <w:t xml:space="preserve">, seek approval from the ACCC for the merger </w:t>
      </w:r>
      <w:r w:rsidR="008C7166">
        <w:rPr>
          <w:rFonts w:cstheme="minorHAnsi"/>
          <w:kern w:val="0"/>
          <w14:ligatures w14:val="none"/>
        </w:rPr>
        <w:t>on public benefit grounds</w:t>
      </w:r>
      <w:r w:rsidRPr="009944DC">
        <w:rPr>
          <w:rFonts w:cstheme="minorHAnsi"/>
        </w:rPr>
        <w:t>.</w:t>
      </w:r>
      <w:r w:rsidR="000E735F">
        <w:rPr>
          <w:rFonts w:cstheme="minorHAnsi"/>
        </w:rPr>
        <w:t xml:space="preserve"> Option 3 would be subject to the same process for the review of decisions as Option 2.</w:t>
      </w:r>
    </w:p>
    <w:p w14:paraId="650DEE45" w14:textId="27569715" w:rsidR="00947E3E" w:rsidRDefault="00947E3E" w:rsidP="00947E3E">
      <w:pPr>
        <w:pStyle w:val="Heading2"/>
        <w:spacing w:line="240" w:lineRule="auto"/>
      </w:pPr>
      <w:bookmarkStart w:id="58" w:name="_Toc176972365"/>
      <w:r>
        <w:t xml:space="preserve">Option 4 – Mandatory and suspensory judicial enforcement system with </w:t>
      </w:r>
      <w:r w:rsidR="0053481D">
        <w:t xml:space="preserve">a </w:t>
      </w:r>
      <w:r>
        <w:t>SLC test</w:t>
      </w:r>
      <w:bookmarkEnd w:id="58"/>
    </w:p>
    <w:p w14:paraId="17EE921C" w14:textId="5D4C8040" w:rsidR="00947E3E" w:rsidRDefault="00947E3E" w:rsidP="00947E3E">
      <w:pPr>
        <w:spacing w:line="240" w:lineRule="auto"/>
      </w:pPr>
      <w:r>
        <w:t xml:space="preserve">Option 4 </w:t>
      </w:r>
      <w:r w:rsidRPr="004D24FC">
        <w:t>would</w:t>
      </w:r>
      <w:r>
        <w:t xml:space="preserve"> introduce a</w:t>
      </w:r>
      <w:r w:rsidRPr="004D24FC">
        <w:t xml:space="preserve"> </w:t>
      </w:r>
      <w:r w:rsidRPr="004D01FC">
        <w:t xml:space="preserve">mandatory notification and suspensory </w:t>
      </w:r>
      <w:r>
        <w:t>system</w:t>
      </w:r>
      <w:r w:rsidRPr="004D01FC">
        <w:t xml:space="preserve"> </w:t>
      </w:r>
      <w:r>
        <w:t xml:space="preserve">which requires mandatory notification to the ACCC of mergers </w:t>
      </w:r>
      <w:r w:rsidR="00CB050E">
        <w:t xml:space="preserve">and </w:t>
      </w:r>
      <w:r w:rsidR="00E57765">
        <w:t>acquisitions above</w:t>
      </w:r>
      <w:r>
        <w:t xml:space="preserve"> </w:t>
      </w:r>
      <w:r w:rsidR="00F20E95">
        <w:t xml:space="preserve">certain </w:t>
      </w:r>
      <w:r>
        <w:t>threshold</w:t>
      </w:r>
      <w:r w:rsidR="002526C0">
        <w:t>s</w:t>
      </w:r>
      <w:r>
        <w:t xml:space="preserve"> (as for Option 2)</w:t>
      </w:r>
      <w:r w:rsidRPr="002C12C1">
        <w:t xml:space="preserve">. </w:t>
      </w:r>
      <w:r w:rsidR="0048438B">
        <w:rPr>
          <w:rFonts w:cstheme="minorHAnsi"/>
        </w:rPr>
        <w:t>In addition, t</w:t>
      </w:r>
      <w:r w:rsidR="0048438B" w:rsidRPr="00E752F3">
        <w:rPr>
          <w:rFonts w:cstheme="minorHAnsi"/>
        </w:rPr>
        <w:t xml:space="preserve">he ACCC </w:t>
      </w:r>
      <w:r w:rsidR="0048438B">
        <w:rPr>
          <w:rFonts w:cstheme="minorHAnsi"/>
        </w:rPr>
        <w:t xml:space="preserve">would have the ability to call-in </w:t>
      </w:r>
      <w:r w:rsidR="007A59D1">
        <w:rPr>
          <w:rFonts w:cstheme="minorHAnsi"/>
        </w:rPr>
        <w:t>mergers</w:t>
      </w:r>
      <w:r w:rsidR="0048438B">
        <w:rPr>
          <w:rFonts w:cstheme="minorHAnsi"/>
        </w:rPr>
        <w:t xml:space="preserve"> which </w:t>
      </w:r>
      <w:r w:rsidR="00971AF2">
        <w:rPr>
          <w:rFonts w:cstheme="minorHAnsi"/>
        </w:rPr>
        <w:t>are</w:t>
      </w:r>
      <w:r w:rsidR="0048438B">
        <w:rPr>
          <w:rFonts w:cstheme="minorHAnsi"/>
        </w:rPr>
        <w:t xml:space="preserve"> below the thresholds. </w:t>
      </w:r>
      <w:r>
        <w:t xml:space="preserve">Option 4 would retain </w:t>
      </w:r>
      <w:r w:rsidR="00E50915">
        <w:t xml:space="preserve">merger authorisation and </w:t>
      </w:r>
      <w:r>
        <w:t xml:space="preserve">the judicial enforcement model (as </w:t>
      </w:r>
      <w:r w:rsidR="00C52EE9">
        <w:t xml:space="preserve">exists </w:t>
      </w:r>
      <w:r w:rsidR="00185974">
        <w:t>under the status quo</w:t>
      </w:r>
      <w:r>
        <w:t>) with the Federal Court as the first-instance decision</w:t>
      </w:r>
      <w:r w:rsidR="00E50915">
        <w:t>-maker</w:t>
      </w:r>
      <w:r w:rsidR="00185974">
        <w:t xml:space="preserve">. </w:t>
      </w:r>
      <w:r>
        <w:t>Option 4 would be</w:t>
      </w:r>
      <w:r w:rsidRPr="004D01FC">
        <w:t xml:space="preserve"> broadly based on the approach taken in the U</w:t>
      </w:r>
      <w:r>
        <w:t xml:space="preserve">nited </w:t>
      </w:r>
      <w:r w:rsidRPr="004D01FC">
        <w:t>S</w:t>
      </w:r>
      <w:r>
        <w:t>tates</w:t>
      </w:r>
      <w:r w:rsidRPr="004D01FC">
        <w:t xml:space="preserve"> and Canada.</w:t>
      </w:r>
    </w:p>
    <w:p w14:paraId="3667F5F1" w14:textId="07611322" w:rsidR="00947E3E" w:rsidRDefault="00947E3E" w:rsidP="00947E3E">
      <w:pPr>
        <w:spacing w:line="240" w:lineRule="auto"/>
      </w:pPr>
      <w:r w:rsidRPr="004D01FC">
        <w:t xml:space="preserve">At the end of the formal </w:t>
      </w:r>
      <w:r>
        <w:t xml:space="preserve">assessment </w:t>
      </w:r>
      <w:r w:rsidRPr="004D01FC">
        <w:t>process</w:t>
      </w:r>
      <w:r>
        <w:t xml:space="preserve"> following notification to the ACCC</w:t>
      </w:r>
      <w:r w:rsidRPr="004D01FC">
        <w:t>, if the</w:t>
      </w:r>
      <w:r>
        <w:t xml:space="preserve"> ACCC believes the</w:t>
      </w:r>
      <w:r w:rsidRPr="004D01FC">
        <w:t xml:space="preserve"> merger is likely to </w:t>
      </w:r>
      <w:r w:rsidR="00064FD3">
        <w:t xml:space="preserve">SLC </w:t>
      </w:r>
      <w:r w:rsidRPr="004D01FC">
        <w:t xml:space="preserve">and parties do not voluntarily abandon their proposal, the ACCC would need to commence court action </w:t>
      </w:r>
      <w:r>
        <w:t xml:space="preserve">to prevent the </w:t>
      </w:r>
      <w:r w:rsidR="007A59D1">
        <w:t xml:space="preserve">merger </w:t>
      </w:r>
      <w:r>
        <w:t xml:space="preserve">proceeding. </w:t>
      </w:r>
      <w:r w:rsidRPr="001A514B">
        <w:t xml:space="preserve">In those court proceedings, </w:t>
      </w:r>
      <w:r>
        <w:t xml:space="preserve">to stop the merger proceeding, </w:t>
      </w:r>
      <w:r w:rsidRPr="001A514B">
        <w:t xml:space="preserve">the ACCC would </w:t>
      </w:r>
      <w:r>
        <w:t>need</w:t>
      </w:r>
      <w:r w:rsidRPr="001A514B">
        <w:t xml:space="preserve"> to prove to the Federal Court on the balance of probabilities that the proposed merger is likely to </w:t>
      </w:r>
      <w:r w:rsidR="00AC6307">
        <w:t>SLC</w:t>
      </w:r>
      <w:r w:rsidRPr="001A514B">
        <w:t>.</w:t>
      </w:r>
    </w:p>
    <w:p w14:paraId="4D52FA1D" w14:textId="13549B01" w:rsidR="00947E3E" w:rsidRDefault="00947E3E" w:rsidP="00947E3E">
      <w:pPr>
        <w:spacing w:line="240" w:lineRule="auto"/>
      </w:pPr>
      <w:r>
        <w:t xml:space="preserve">Unlike the status quo, there would not be an ability for parties to seek an informal merger review. </w:t>
      </w:r>
    </w:p>
    <w:p w14:paraId="03520308" w14:textId="63E52CEA" w:rsidR="00947E3E" w:rsidRDefault="00947E3E" w:rsidP="00947E3E">
      <w:pPr>
        <w:pStyle w:val="Heading2"/>
      </w:pPr>
      <w:bookmarkStart w:id="59" w:name="_Toc176972366"/>
      <w:r>
        <w:t>Other options considered</w:t>
      </w:r>
      <w:bookmarkEnd w:id="59"/>
    </w:p>
    <w:p w14:paraId="7C4AEADF" w14:textId="77777777" w:rsidR="00947E3E" w:rsidRPr="001466B8" w:rsidRDefault="00947E3E" w:rsidP="00161BD5">
      <w:pPr>
        <w:pStyle w:val="Heading3"/>
      </w:pPr>
      <w:bookmarkStart w:id="60" w:name="_Toc176972367"/>
      <w:r w:rsidRPr="001466B8">
        <w:t>Voluntary formal clearance</w:t>
      </w:r>
      <w:bookmarkEnd w:id="60"/>
      <w:r w:rsidRPr="001466B8">
        <w:t xml:space="preserve"> </w:t>
      </w:r>
    </w:p>
    <w:p w14:paraId="59F4C4D4" w14:textId="7AC25865" w:rsidR="00947E3E" w:rsidRDefault="00947E3E" w:rsidP="00422984">
      <w:pPr>
        <w:spacing w:line="240" w:lineRule="auto"/>
      </w:pPr>
      <w:r>
        <w:t>A</w:t>
      </w:r>
      <w:r w:rsidRPr="008173AF">
        <w:t xml:space="preserve"> voluntary formal clearance </w:t>
      </w:r>
      <w:r>
        <w:t>system</w:t>
      </w:r>
      <w:r w:rsidRPr="008173AF">
        <w:t xml:space="preserve"> </w:t>
      </w:r>
      <w:r>
        <w:t>was also considered</w:t>
      </w:r>
      <w:r w:rsidRPr="00540BE5">
        <w:t xml:space="preserve">. </w:t>
      </w:r>
      <w:r w:rsidR="00422984">
        <w:t xml:space="preserve">It </w:t>
      </w:r>
      <w:r>
        <w:t xml:space="preserve">would allow businesses to </w:t>
      </w:r>
      <w:r w:rsidR="00422984">
        <w:t>voluntarily</w:t>
      </w:r>
      <w:r w:rsidRPr="002C12C1">
        <w:t xml:space="preserve"> notify</w:t>
      </w:r>
      <w:r w:rsidRPr="002C12C1" w:rsidDel="00E4761A">
        <w:t xml:space="preserve"> </w:t>
      </w:r>
      <w:r w:rsidRPr="002C12C1">
        <w:t>a</w:t>
      </w:r>
      <w:r w:rsidR="004B1761">
        <w:t xml:space="preserve">n </w:t>
      </w:r>
      <w:r w:rsidR="003408D2">
        <w:t>acquisition</w:t>
      </w:r>
      <w:r w:rsidRPr="002C12C1">
        <w:t xml:space="preserve"> and the ACCC could grant legal immunity from court action under the prohibition against anti-competitive mergers in section 50 of the </w:t>
      </w:r>
      <w:r w:rsidR="00426708">
        <w:t>CCA</w:t>
      </w:r>
      <w:r>
        <w:t xml:space="preserve"> </w:t>
      </w:r>
      <w:r w:rsidRPr="002C12C1">
        <w:t xml:space="preserve">if </w:t>
      </w:r>
      <w:r w:rsidR="004C698D">
        <w:t xml:space="preserve">it is </w:t>
      </w:r>
      <w:r w:rsidRPr="002C12C1">
        <w:t xml:space="preserve">satisfied the </w:t>
      </w:r>
      <w:r w:rsidR="004C698D">
        <w:t>acquisition</w:t>
      </w:r>
      <w:r w:rsidR="004C698D" w:rsidRPr="002C12C1">
        <w:t xml:space="preserve"> </w:t>
      </w:r>
      <w:r w:rsidRPr="002C12C1">
        <w:t xml:space="preserve">would </w:t>
      </w:r>
      <w:r w:rsidRPr="00422984">
        <w:rPr>
          <w:u w:val="single"/>
        </w:rPr>
        <w:t>not</w:t>
      </w:r>
      <w:r w:rsidRPr="002C12C1">
        <w:t xml:space="preserve"> be likely to </w:t>
      </w:r>
      <w:r w:rsidR="00574D68">
        <w:t>SLC</w:t>
      </w:r>
      <w:r w:rsidRPr="002C12C1">
        <w:t>.</w:t>
      </w:r>
      <w:r w:rsidR="00B96420">
        <w:t xml:space="preserve"> I</w:t>
      </w:r>
      <w:r w:rsidR="00B96420" w:rsidRPr="00B96420">
        <w:t>f the ACCC had concerns</w:t>
      </w:r>
      <w:r w:rsidR="002836CB">
        <w:t>,</w:t>
      </w:r>
      <w:r w:rsidR="00B96420" w:rsidRPr="00B96420">
        <w:t xml:space="preserve"> it would need to commence Federal Court proceedings</w:t>
      </w:r>
      <w:r w:rsidR="002836CB">
        <w:t xml:space="preserve"> to prevent the merger.</w:t>
      </w:r>
    </w:p>
    <w:p w14:paraId="1E2FD4BB" w14:textId="2E4AB486" w:rsidR="00947E3E" w:rsidRPr="00BC7C5E" w:rsidRDefault="00947E3E" w:rsidP="00947E3E">
      <w:pPr>
        <w:pStyle w:val="Bullet"/>
        <w:numPr>
          <w:ilvl w:val="0"/>
          <w:numId w:val="0"/>
        </w:numPr>
        <w:spacing w:line="240" w:lineRule="auto"/>
        <w:rPr>
          <w:rFonts w:asciiTheme="minorHAnsi" w:eastAsiaTheme="minorHAnsi" w:hAnsiTheme="minorHAnsi" w:cstheme="minorBidi"/>
          <w:kern w:val="2"/>
          <w:szCs w:val="22"/>
          <w:lang w:eastAsia="en-US"/>
          <w14:ligatures w14:val="standardContextual"/>
        </w:rPr>
      </w:pPr>
      <w:r w:rsidRPr="00BC7C5E">
        <w:rPr>
          <w:rFonts w:asciiTheme="minorHAnsi" w:eastAsiaTheme="minorHAnsi" w:hAnsiTheme="minorHAnsi" w:cstheme="minorBidi"/>
          <w:kern w:val="2"/>
          <w:szCs w:val="22"/>
          <w:lang w:eastAsia="en-US"/>
          <w14:ligatures w14:val="standardContextual"/>
        </w:rPr>
        <w:t>Treasury does not consider that a voluntary formal clearance system, or a variation of this, meets the objectives of the proposed reform</w:t>
      </w:r>
      <w:r w:rsidRPr="00BC7C5E" w:rsidDel="006228A0">
        <w:rPr>
          <w:rFonts w:asciiTheme="minorHAnsi" w:eastAsiaTheme="minorHAnsi" w:hAnsiTheme="minorHAnsi" w:cstheme="minorHAnsi"/>
          <w:kern w:val="2"/>
          <w:szCs w:val="22"/>
          <w:lang w:eastAsia="en-US"/>
          <w14:ligatures w14:val="standardContextual"/>
        </w:rPr>
        <w:t>.</w:t>
      </w:r>
      <w:r w:rsidRPr="00BC7C5E" w:rsidDel="006228A0">
        <w:rPr>
          <w:rFonts w:asciiTheme="minorHAnsi" w:eastAsiaTheme="minorHAnsi" w:hAnsiTheme="minorHAnsi" w:cstheme="minorBidi"/>
          <w:kern w:val="2"/>
          <w:szCs w:val="22"/>
          <w:lang w:eastAsia="en-US"/>
          <w14:ligatures w14:val="standardContextual"/>
        </w:rPr>
        <w:t xml:space="preserve"> </w:t>
      </w:r>
      <w:r w:rsidRPr="00BC7C5E">
        <w:rPr>
          <w:rFonts w:asciiTheme="minorHAnsi" w:eastAsiaTheme="minorHAnsi" w:hAnsiTheme="minorHAnsi" w:cstheme="minorBidi"/>
          <w:kern w:val="2"/>
          <w:szCs w:val="22"/>
          <w:lang w:eastAsia="en-US"/>
          <w14:ligatures w14:val="standardContextual"/>
        </w:rPr>
        <w:t xml:space="preserve">This is because it is unclear that it would address concerns about </w:t>
      </w:r>
      <w:r w:rsidR="004D5FA1">
        <w:rPr>
          <w:rFonts w:asciiTheme="minorHAnsi" w:eastAsiaTheme="minorHAnsi" w:hAnsiTheme="minorHAnsi" w:cstheme="minorBidi"/>
          <w:kern w:val="2"/>
          <w:szCs w:val="22"/>
          <w:lang w:eastAsia="en-US"/>
          <w14:ligatures w14:val="standardContextual"/>
        </w:rPr>
        <w:t xml:space="preserve">the </w:t>
      </w:r>
      <w:r w:rsidRPr="00BC7C5E">
        <w:rPr>
          <w:rFonts w:asciiTheme="minorHAnsi" w:eastAsiaTheme="minorHAnsi" w:hAnsiTheme="minorHAnsi" w:cstheme="minorBidi"/>
          <w:kern w:val="2"/>
          <w:szCs w:val="22"/>
          <w:lang w:eastAsia="en-US"/>
          <w14:ligatures w14:val="standardContextual"/>
        </w:rPr>
        <w:t xml:space="preserve">non-notification of </w:t>
      </w:r>
      <w:r w:rsidR="003408D2">
        <w:rPr>
          <w:rFonts w:asciiTheme="minorHAnsi" w:eastAsiaTheme="minorHAnsi" w:hAnsiTheme="minorHAnsi" w:cstheme="minorBidi"/>
          <w:kern w:val="2"/>
          <w:szCs w:val="22"/>
          <w:lang w:eastAsia="en-US"/>
          <w14:ligatures w14:val="standardContextual"/>
        </w:rPr>
        <w:t>acquisition</w:t>
      </w:r>
      <w:r w:rsidR="004D5FA1">
        <w:rPr>
          <w:rFonts w:asciiTheme="minorHAnsi" w:eastAsiaTheme="minorHAnsi" w:hAnsiTheme="minorHAnsi" w:cstheme="minorBidi"/>
          <w:kern w:val="2"/>
          <w:szCs w:val="22"/>
          <w:lang w:eastAsia="en-US"/>
          <w14:ligatures w14:val="standardContextual"/>
        </w:rPr>
        <w:t>s</w:t>
      </w:r>
      <w:r w:rsidRPr="00BC7C5E">
        <w:rPr>
          <w:rFonts w:asciiTheme="minorHAnsi" w:eastAsiaTheme="minorHAnsi" w:hAnsiTheme="minorHAnsi" w:cstheme="minorBidi"/>
          <w:kern w:val="2"/>
          <w:szCs w:val="22"/>
          <w:lang w:eastAsia="en-US"/>
          <w14:ligatures w14:val="standardContextual"/>
        </w:rPr>
        <w:t xml:space="preserve">, and </w:t>
      </w:r>
      <w:r>
        <w:rPr>
          <w:rFonts w:asciiTheme="minorHAnsi" w:eastAsiaTheme="minorHAnsi" w:hAnsiTheme="minorHAnsi" w:cstheme="minorBidi"/>
          <w:kern w:val="2"/>
          <w:szCs w:val="22"/>
          <w:lang w:eastAsia="en-US"/>
          <w14:ligatures w14:val="standardContextual"/>
        </w:rPr>
        <w:t>m</w:t>
      </w:r>
      <w:r w:rsidRPr="00BC7C5E">
        <w:rPr>
          <w:rFonts w:asciiTheme="minorHAnsi" w:eastAsiaTheme="minorHAnsi" w:hAnsiTheme="minorHAnsi" w:cstheme="minorBidi"/>
          <w:kern w:val="2"/>
          <w:szCs w:val="22"/>
          <w:lang w:eastAsia="en-US"/>
          <w14:ligatures w14:val="standardContextual"/>
        </w:rPr>
        <w:t>erger parties would have minimal incentive</w:t>
      </w:r>
      <w:r w:rsidR="004D5FA1">
        <w:rPr>
          <w:rFonts w:asciiTheme="minorHAnsi" w:eastAsiaTheme="minorHAnsi" w:hAnsiTheme="minorHAnsi" w:cstheme="minorBidi"/>
          <w:kern w:val="2"/>
          <w:szCs w:val="22"/>
          <w:lang w:eastAsia="en-US"/>
          <w14:ligatures w14:val="standardContextual"/>
        </w:rPr>
        <w:t>s</w:t>
      </w:r>
      <w:r w:rsidRPr="00BC7C5E">
        <w:rPr>
          <w:rFonts w:asciiTheme="minorHAnsi" w:eastAsiaTheme="minorHAnsi" w:hAnsiTheme="minorHAnsi" w:cstheme="minorBidi"/>
          <w:kern w:val="2"/>
          <w:szCs w:val="22"/>
          <w:lang w:eastAsia="en-US"/>
          <w14:ligatures w14:val="standardContextual"/>
        </w:rPr>
        <w:t xml:space="preserve"> to cooperate </w:t>
      </w:r>
      <w:r w:rsidR="0003626A">
        <w:rPr>
          <w:rFonts w:asciiTheme="minorHAnsi" w:eastAsiaTheme="minorHAnsi" w:hAnsiTheme="minorHAnsi" w:cstheme="minorBidi"/>
          <w:kern w:val="2"/>
          <w:szCs w:val="22"/>
          <w:lang w:eastAsia="en-US"/>
          <w14:ligatures w14:val="standardContextual"/>
        </w:rPr>
        <w:t>with the ACCC’s review</w:t>
      </w:r>
      <w:r w:rsidR="005B60C0">
        <w:rPr>
          <w:rFonts w:asciiTheme="minorHAnsi" w:eastAsiaTheme="minorHAnsi" w:hAnsiTheme="minorHAnsi" w:cstheme="minorBidi"/>
          <w:kern w:val="2"/>
          <w:szCs w:val="22"/>
          <w:lang w:eastAsia="en-US"/>
          <w14:ligatures w14:val="standardContextual"/>
        </w:rPr>
        <w:t>, particularly</w:t>
      </w:r>
      <w:r w:rsidR="0003626A">
        <w:rPr>
          <w:rFonts w:asciiTheme="minorHAnsi" w:eastAsiaTheme="minorHAnsi" w:hAnsiTheme="minorHAnsi" w:cstheme="minorBidi"/>
          <w:kern w:val="2"/>
          <w:szCs w:val="22"/>
          <w:lang w:eastAsia="en-US"/>
          <w14:ligatures w14:val="standardContextual"/>
        </w:rPr>
        <w:t xml:space="preserve"> i</w:t>
      </w:r>
      <w:r w:rsidR="00B83D8C">
        <w:rPr>
          <w:rFonts w:asciiTheme="minorHAnsi" w:eastAsiaTheme="minorHAnsi" w:hAnsiTheme="minorHAnsi" w:cstheme="minorBidi"/>
          <w:kern w:val="2"/>
          <w:szCs w:val="22"/>
          <w:lang w:eastAsia="en-US"/>
          <w14:ligatures w14:val="standardContextual"/>
        </w:rPr>
        <w:t>n circums</w:t>
      </w:r>
      <w:r w:rsidR="005B60C0">
        <w:rPr>
          <w:rFonts w:asciiTheme="minorHAnsi" w:eastAsiaTheme="minorHAnsi" w:hAnsiTheme="minorHAnsi" w:cstheme="minorBidi"/>
          <w:kern w:val="2"/>
          <w:szCs w:val="22"/>
          <w:lang w:eastAsia="en-US"/>
          <w14:ligatures w14:val="standardContextual"/>
        </w:rPr>
        <w:t xml:space="preserve">tances where the ACCC commenced proceedings in the Federal Court to stop the </w:t>
      </w:r>
      <w:r w:rsidR="00674977">
        <w:rPr>
          <w:rFonts w:asciiTheme="minorHAnsi" w:eastAsiaTheme="minorHAnsi" w:hAnsiTheme="minorHAnsi" w:cstheme="minorBidi"/>
          <w:kern w:val="2"/>
          <w:szCs w:val="22"/>
          <w:lang w:eastAsia="en-US"/>
          <w14:ligatures w14:val="standardContextual"/>
        </w:rPr>
        <w:t>acquisition</w:t>
      </w:r>
      <w:r w:rsidR="005B60C0">
        <w:rPr>
          <w:rFonts w:asciiTheme="minorHAnsi" w:eastAsiaTheme="minorHAnsi" w:hAnsiTheme="minorHAnsi" w:cstheme="minorBidi"/>
          <w:kern w:val="2"/>
          <w:szCs w:val="22"/>
          <w:lang w:eastAsia="en-US"/>
          <w14:ligatures w14:val="standardContextual"/>
        </w:rPr>
        <w:t xml:space="preserve">. </w:t>
      </w:r>
    </w:p>
    <w:p w14:paraId="2C00CA00" w14:textId="77777777" w:rsidR="00947E3E" w:rsidRPr="001466B8" w:rsidRDefault="00947E3E" w:rsidP="00161BD5">
      <w:pPr>
        <w:pStyle w:val="Heading3"/>
      </w:pPr>
      <w:bookmarkStart w:id="61" w:name="_Toc176972368"/>
      <w:r w:rsidRPr="001466B8">
        <w:t>Non-regulatory option</w:t>
      </w:r>
      <w:bookmarkEnd w:id="61"/>
    </w:p>
    <w:p w14:paraId="35522117" w14:textId="176D01F0" w:rsidR="00947E3E" w:rsidRDefault="00947E3E" w:rsidP="00947E3E">
      <w:pPr>
        <w:spacing w:line="240" w:lineRule="auto"/>
      </w:pPr>
      <w:r>
        <w:t>Treasury also considered options which would not require legislative reform. One option was that the</w:t>
      </w:r>
      <w:r w:rsidRPr="00AF4939">
        <w:t xml:space="preserve"> ACCC</w:t>
      </w:r>
      <w:r>
        <w:t xml:space="preserve"> maintain a more extensive</w:t>
      </w:r>
      <w:r w:rsidR="00F90436">
        <w:t>,</w:t>
      </w:r>
      <w:r>
        <w:t xml:space="preserve"> proactive intelligence gathering function to detect and prevent anti-competitive </w:t>
      </w:r>
      <w:r w:rsidR="00674977">
        <w:t xml:space="preserve">acquisitions </w:t>
      </w:r>
      <w:r w:rsidR="005C3792">
        <w:t>before they occur</w:t>
      </w:r>
      <w:r>
        <w:t xml:space="preserve">. </w:t>
      </w:r>
      <w:r w:rsidR="00C9316E">
        <w:t>A</w:t>
      </w:r>
      <w:r>
        <w:t>nother option considered was requiring the ACCC</w:t>
      </w:r>
      <w:r w:rsidR="004219C1">
        <w:t xml:space="preserve"> to</w:t>
      </w:r>
      <w:r>
        <w:t xml:space="preserve"> publish a (voluntary) notification form on its website to better articulate </w:t>
      </w:r>
      <w:r w:rsidRPr="00483B59">
        <w:t xml:space="preserve">the </w:t>
      </w:r>
      <w:r>
        <w:t xml:space="preserve">information the </w:t>
      </w:r>
      <w:r w:rsidRPr="00483B59">
        <w:t xml:space="preserve">ACCC </w:t>
      </w:r>
      <w:r>
        <w:t xml:space="preserve">considers is necessary </w:t>
      </w:r>
      <w:r w:rsidRPr="00483B59">
        <w:t>to facilitate the efficient and effective review of</w:t>
      </w:r>
      <w:r w:rsidR="004219C1">
        <w:t xml:space="preserve"> a</w:t>
      </w:r>
      <w:r w:rsidR="00F07BCB">
        <w:t>n acquisition</w:t>
      </w:r>
      <w:r w:rsidRPr="00483B59">
        <w:t>.</w:t>
      </w:r>
      <w:bookmarkStart w:id="62" w:name="_Toc158988626"/>
      <w:r>
        <w:t xml:space="preserve"> </w:t>
      </w:r>
    </w:p>
    <w:p w14:paraId="1A572A1C" w14:textId="77777777" w:rsidR="00FD2E97" w:rsidRDefault="00947E3E" w:rsidP="00947E3E">
      <w:pPr>
        <w:spacing w:line="240" w:lineRule="auto"/>
      </w:pPr>
      <w:r w:rsidRPr="00812461">
        <w:t>Treasury considers that th</w:t>
      </w:r>
      <w:r w:rsidR="00D91996">
        <w:t>ese</w:t>
      </w:r>
      <w:r w:rsidRPr="00812461">
        <w:t xml:space="preserve"> </w:t>
      </w:r>
      <w:r w:rsidR="00D91996">
        <w:t>non-regulatory options</w:t>
      </w:r>
      <w:r w:rsidRPr="00812461">
        <w:t xml:space="preserve"> would, at best, be a partial solution</w:t>
      </w:r>
      <w:r>
        <w:t>.</w:t>
      </w:r>
      <w:r w:rsidRPr="00812461">
        <w:t xml:space="preserve"> This is because </w:t>
      </w:r>
      <w:r w:rsidR="00862F96">
        <w:t>these options would</w:t>
      </w:r>
      <w:r w:rsidRPr="00812461">
        <w:t xml:space="preserve"> only result in marginal improvements over the status quo as </w:t>
      </w:r>
      <w:r w:rsidR="002F618E">
        <w:t xml:space="preserve">they are </w:t>
      </w:r>
      <w:r w:rsidRPr="00812461">
        <w:t xml:space="preserve">unlikely to materially address the concerns identified by stakeholders in response to the </w:t>
      </w:r>
      <w:r>
        <w:t>2023</w:t>
      </w:r>
      <w:r w:rsidR="005C717E">
        <w:t>–</w:t>
      </w:r>
      <w:r w:rsidR="00842E50">
        <w:t>24</w:t>
      </w:r>
      <w:r>
        <w:t xml:space="preserve"> Merger Reform </w:t>
      </w:r>
      <w:r w:rsidRPr="00812461">
        <w:t>Consultation</w:t>
      </w:r>
      <w:r>
        <w:t xml:space="preserve">, particularly </w:t>
      </w:r>
      <w:r w:rsidR="000950C3">
        <w:t xml:space="preserve">as </w:t>
      </w:r>
      <w:r>
        <w:t>the ACCC already has a proactive intelligence gathering function</w:t>
      </w:r>
      <w:r w:rsidR="000950C3">
        <w:t xml:space="preserve">. </w:t>
      </w:r>
    </w:p>
    <w:p w14:paraId="2ACC46F3" w14:textId="2FE90AFC" w:rsidR="00947E3E" w:rsidRDefault="000950C3" w:rsidP="00947E3E">
      <w:pPr>
        <w:spacing w:line="240" w:lineRule="auto"/>
      </w:pPr>
      <w:r>
        <w:t xml:space="preserve">The </w:t>
      </w:r>
      <w:r w:rsidR="00B57DC1">
        <w:t>ACCC</w:t>
      </w:r>
      <w:r w:rsidR="00BD64A7">
        <w:t xml:space="preserve"> </w:t>
      </w:r>
      <w:r w:rsidR="007148DC">
        <w:t xml:space="preserve">would still need to </w:t>
      </w:r>
      <w:r w:rsidR="00BD64A7">
        <w:t>seek an injunction in the Federal Court</w:t>
      </w:r>
      <w:r w:rsidR="00B57DC1">
        <w:t xml:space="preserve"> if it is to prevent the </w:t>
      </w:r>
      <w:r w:rsidR="001806D9">
        <w:t xml:space="preserve">acquisition </w:t>
      </w:r>
      <w:r w:rsidR="00B57DC1">
        <w:t>going ahead</w:t>
      </w:r>
      <w:r w:rsidR="00FD2E97">
        <w:t>,</w:t>
      </w:r>
      <w:r w:rsidR="00B57DC1">
        <w:t xml:space="preserve"> which can be challenging with possibly limited information about the proposed </w:t>
      </w:r>
      <w:r w:rsidR="001806D9">
        <w:t>acquisition</w:t>
      </w:r>
      <w:r w:rsidR="00947E3E">
        <w:t xml:space="preserve">. </w:t>
      </w:r>
      <w:r w:rsidR="00E36BE1">
        <w:t xml:space="preserve">If the </w:t>
      </w:r>
      <w:r w:rsidR="001806D9">
        <w:t xml:space="preserve">acquisition </w:t>
      </w:r>
      <w:r w:rsidR="00E36BE1">
        <w:t xml:space="preserve">has completed, the ACCC </w:t>
      </w:r>
      <w:r w:rsidR="007148DC">
        <w:t>must</w:t>
      </w:r>
      <w:r w:rsidR="00E36BE1">
        <w:t xml:space="preserve"> seek an order for divestment in the Federal Court – and it may not be possible to restore competition to its pre-completion state. </w:t>
      </w:r>
      <w:r w:rsidR="007148DC">
        <w:t xml:space="preserve">A voluntary notification form would not </w:t>
      </w:r>
      <w:r w:rsidR="00A00FCC">
        <w:t>sufficiently</w:t>
      </w:r>
      <w:r w:rsidR="007148DC">
        <w:t xml:space="preserve"> address the issues of inadequate notification outlined above. </w:t>
      </w:r>
    </w:p>
    <w:p w14:paraId="79CA98B6" w14:textId="77777777" w:rsidR="00947E3E" w:rsidRDefault="00947E3E" w:rsidP="00161BD5">
      <w:bookmarkStart w:id="63" w:name="_Toc158988627"/>
      <w:bookmarkEnd w:id="62"/>
    </w:p>
    <w:p w14:paraId="6C518669" w14:textId="77777777" w:rsidR="00947E3E" w:rsidRPr="00595FA0" w:rsidRDefault="00947E3E" w:rsidP="00947E3E">
      <w:pPr>
        <w:sectPr w:rsidR="00947E3E" w:rsidRPr="00595FA0" w:rsidSect="00E4687A">
          <w:pgSz w:w="11906" w:h="16838"/>
          <w:pgMar w:top="1440" w:right="1440" w:bottom="1440" w:left="1440" w:header="708" w:footer="708" w:gutter="0"/>
          <w:cols w:space="708"/>
          <w:docGrid w:linePitch="360"/>
        </w:sectPr>
      </w:pPr>
    </w:p>
    <w:p w14:paraId="0E9E5392" w14:textId="77777777" w:rsidR="00947E3E" w:rsidRDefault="00947E3E" w:rsidP="00947E3E">
      <w:pPr>
        <w:pStyle w:val="Heading1"/>
        <w:spacing w:before="0"/>
      </w:pPr>
      <w:bookmarkStart w:id="64" w:name="_Toc160013883"/>
      <w:bookmarkStart w:id="65" w:name="_Toc162428361"/>
      <w:bookmarkStart w:id="66" w:name="_Toc176972369"/>
      <w:r>
        <w:t>4. What is the likely net benefit of each option?</w:t>
      </w:r>
      <w:bookmarkEnd w:id="63"/>
      <w:bookmarkEnd w:id="64"/>
      <w:bookmarkEnd w:id="65"/>
      <w:bookmarkEnd w:id="66"/>
    </w:p>
    <w:p w14:paraId="6AF8D164" w14:textId="018341CD" w:rsidR="00947E3E" w:rsidRDefault="00947E3E" w:rsidP="00947E3E">
      <w:pPr>
        <w:pStyle w:val="Heading2"/>
        <w:spacing w:before="320"/>
      </w:pPr>
      <w:bookmarkStart w:id="67" w:name="_Toc176972370"/>
      <w:bookmarkStart w:id="68" w:name="_Toc158988628"/>
      <w:bookmarkStart w:id="69" w:name="_Toc160013884"/>
      <w:bookmarkStart w:id="70" w:name="_Toc162428362"/>
      <w:r>
        <w:t>Option 1</w:t>
      </w:r>
      <w:r w:rsidR="00D30496">
        <w:t xml:space="preserve"> – </w:t>
      </w:r>
      <w:r w:rsidR="003A6B21">
        <w:t>S</w:t>
      </w:r>
      <w:r>
        <w:t xml:space="preserve">tatus </w:t>
      </w:r>
      <w:r w:rsidR="003A6B21">
        <w:t>Q</w:t>
      </w:r>
      <w:r>
        <w:t>uo</w:t>
      </w:r>
      <w:bookmarkEnd w:id="67"/>
    </w:p>
    <w:p w14:paraId="6685E2DC" w14:textId="24210F34" w:rsidR="00947E3E" w:rsidRDefault="00947E3E" w:rsidP="00947E3E">
      <w:pPr>
        <w:spacing w:line="240" w:lineRule="auto"/>
      </w:pPr>
      <w:r>
        <w:t xml:space="preserve">The status quo, including the current </w:t>
      </w:r>
      <w:r w:rsidR="00E36BE1">
        <w:t xml:space="preserve">challenges </w:t>
      </w:r>
      <w:r>
        <w:t xml:space="preserve">with the approach to merger control, is described in </w:t>
      </w:r>
      <w:r w:rsidR="009959A5">
        <w:t xml:space="preserve">Question </w:t>
      </w:r>
      <w:r>
        <w:t>1</w:t>
      </w:r>
      <w:r w:rsidRPr="26AA07CD">
        <w:t>.</w:t>
      </w:r>
      <w:r>
        <w:t xml:space="preserve"> This is the baseline against which benefits for the other options are measured. </w:t>
      </w:r>
    </w:p>
    <w:p w14:paraId="395D03BD" w14:textId="77777777" w:rsidR="00947E3E" w:rsidRPr="00F26CC7" w:rsidRDefault="00947E3E" w:rsidP="007274CB">
      <w:pPr>
        <w:pStyle w:val="Heading4"/>
      </w:pPr>
      <w:r w:rsidRPr="00E535C6">
        <w:t xml:space="preserve">Number of mergers </w:t>
      </w:r>
    </w:p>
    <w:p w14:paraId="40654021" w14:textId="097CB179" w:rsidR="00947E3E" w:rsidRPr="003C6897" w:rsidRDefault="00947E3E" w:rsidP="00947E3E">
      <w:pPr>
        <w:spacing w:line="240" w:lineRule="auto"/>
        <w:rPr>
          <w:rFonts w:asciiTheme="majorHAnsi" w:hAnsiTheme="majorHAnsi" w:cstheme="majorHAnsi"/>
        </w:rPr>
      </w:pPr>
      <w:r w:rsidRPr="003C789F">
        <w:t xml:space="preserve">As set out in </w:t>
      </w:r>
      <w:r w:rsidR="009959A5" w:rsidRPr="003C789F">
        <w:t xml:space="preserve">Question </w:t>
      </w:r>
      <w:r w:rsidRPr="003C789F">
        <w:t>1, the n</w:t>
      </w:r>
      <w:r w:rsidRPr="003C789F">
        <w:rPr>
          <w:rFonts w:asciiTheme="majorHAnsi" w:hAnsiTheme="majorHAnsi" w:cstheme="majorHAnsi"/>
        </w:rPr>
        <w:t xml:space="preserve">umber of mergers </w:t>
      </w:r>
      <w:r w:rsidR="00B03309" w:rsidRPr="003C789F">
        <w:rPr>
          <w:rFonts w:asciiTheme="majorHAnsi" w:hAnsiTheme="majorHAnsi" w:cstheme="majorHAnsi"/>
        </w:rPr>
        <w:t xml:space="preserve">and acquisitions </w:t>
      </w:r>
      <w:r w:rsidRPr="003C789F">
        <w:rPr>
          <w:rFonts w:asciiTheme="majorHAnsi" w:hAnsiTheme="majorHAnsi" w:cstheme="majorHAnsi"/>
        </w:rPr>
        <w:t>considered by ACCC is on average 330</w:t>
      </w:r>
      <w:r w:rsidR="00E36BE1" w:rsidRPr="003C789F">
        <w:rPr>
          <w:rFonts w:asciiTheme="majorHAnsi" w:hAnsiTheme="majorHAnsi" w:cstheme="majorHAnsi"/>
        </w:rPr>
        <w:t xml:space="preserve"> a year</w:t>
      </w:r>
      <w:r w:rsidRPr="003C789F">
        <w:rPr>
          <w:rFonts w:asciiTheme="majorHAnsi" w:hAnsiTheme="majorHAnsi" w:cstheme="majorHAnsi"/>
        </w:rPr>
        <w:t xml:space="preserve">. The total number of mergers </w:t>
      </w:r>
      <w:r w:rsidR="00B03309" w:rsidRPr="003C789F">
        <w:rPr>
          <w:rFonts w:asciiTheme="majorHAnsi" w:hAnsiTheme="majorHAnsi" w:cstheme="majorHAnsi"/>
        </w:rPr>
        <w:t xml:space="preserve">and acquisitions </w:t>
      </w:r>
      <w:r w:rsidRPr="003C789F">
        <w:rPr>
          <w:rFonts w:asciiTheme="majorHAnsi" w:hAnsiTheme="majorHAnsi" w:cstheme="majorHAnsi"/>
        </w:rPr>
        <w:t xml:space="preserve">in the Australian economy is estimated to be </w:t>
      </w:r>
      <w:r w:rsidR="00B74199" w:rsidRPr="003C789F">
        <w:rPr>
          <w:rFonts w:asciiTheme="majorHAnsi" w:hAnsiTheme="majorHAnsi" w:cstheme="majorHAnsi"/>
        </w:rPr>
        <w:t>around</w:t>
      </w:r>
      <w:r w:rsidRPr="003C789F">
        <w:rPr>
          <w:rFonts w:asciiTheme="majorHAnsi" w:hAnsiTheme="majorHAnsi" w:cstheme="majorHAnsi"/>
        </w:rPr>
        <w:t xml:space="preserve"> 1,500</w:t>
      </w:r>
      <w:r w:rsidR="00E36BE1" w:rsidRPr="003C789F">
        <w:rPr>
          <w:rFonts w:asciiTheme="majorHAnsi" w:hAnsiTheme="majorHAnsi" w:cstheme="majorHAnsi"/>
        </w:rPr>
        <w:t xml:space="preserve"> a year</w:t>
      </w:r>
      <w:r w:rsidRPr="003C789F">
        <w:rPr>
          <w:rFonts w:asciiTheme="majorHAnsi" w:hAnsiTheme="majorHAnsi" w:cstheme="majorHAnsi"/>
        </w:rPr>
        <w:t>.</w:t>
      </w:r>
      <w:r w:rsidRPr="003C6897">
        <w:rPr>
          <w:rFonts w:asciiTheme="majorHAnsi" w:hAnsiTheme="majorHAnsi" w:cstheme="majorHAnsi"/>
        </w:rPr>
        <w:t xml:space="preserve"> </w:t>
      </w:r>
    </w:p>
    <w:p w14:paraId="3F0F7E1A" w14:textId="441B84A7" w:rsidR="00BD74F9" w:rsidRDefault="00947E3E" w:rsidP="00947E3E">
      <w:pPr>
        <w:pStyle w:val="Bullet"/>
        <w:numPr>
          <w:ilvl w:val="0"/>
          <w:numId w:val="0"/>
        </w:numPr>
        <w:spacing w:line="240" w:lineRule="auto"/>
        <w:rPr>
          <w:rFonts w:asciiTheme="majorHAnsi" w:hAnsiTheme="majorHAnsi" w:cstheme="majorHAnsi"/>
        </w:rPr>
      </w:pPr>
      <w:r w:rsidRPr="003C6897">
        <w:rPr>
          <w:rFonts w:asciiTheme="majorHAnsi" w:hAnsiTheme="majorHAnsi" w:cstheme="majorHAnsi"/>
        </w:rPr>
        <w:t xml:space="preserve">Of the mergers </w:t>
      </w:r>
      <w:r w:rsidR="00B03309">
        <w:rPr>
          <w:rFonts w:asciiTheme="majorHAnsi" w:hAnsiTheme="majorHAnsi" w:cstheme="majorHAnsi"/>
        </w:rPr>
        <w:t xml:space="preserve">and acquisitions </w:t>
      </w:r>
      <w:r w:rsidRPr="00273A9E">
        <w:rPr>
          <w:rFonts w:asciiTheme="majorHAnsi" w:hAnsiTheme="majorHAnsi" w:cstheme="majorHAnsi"/>
          <w:u w:val="single"/>
        </w:rPr>
        <w:t>not</w:t>
      </w:r>
      <w:r w:rsidRPr="003C6897">
        <w:rPr>
          <w:rFonts w:asciiTheme="majorHAnsi" w:hAnsiTheme="majorHAnsi" w:cstheme="majorHAnsi"/>
        </w:rPr>
        <w:t xml:space="preserve"> considered by the ACCC</w:t>
      </w:r>
      <w:r w:rsidR="00AA0D03">
        <w:rPr>
          <w:rFonts w:asciiTheme="majorHAnsi" w:hAnsiTheme="majorHAnsi" w:cstheme="majorHAnsi"/>
        </w:rPr>
        <w:t>,</w:t>
      </w:r>
      <w:r w:rsidRPr="003C6897">
        <w:rPr>
          <w:rFonts w:asciiTheme="majorHAnsi" w:hAnsiTheme="majorHAnsi" w:cstheme="majorHAnsi"/>
        </w:rPr>
        <w:t xml:space="preserve"> there is no method to measure the quantum of how many of these mergers </w:t>
      </w:r>
      <w:r w:rsidR="00B03309">
        <w:rPr>
          <w:rFonts w:asciiTheme="majorHAnsi" w:hAnsiTheme="majorHAnsi" w:cstheme="majorHAnsi"/>
        </w:rPr>
        <w:t xml:space="preserve">and acquisitions </w:t>
      </w:r>
      <w:r w:rsidRPr="003C6897">
        <w:rPr>
          <w:rFonts w:asciiTheme="majorHAnsi" w:hAnsiTheme="majorHAnsi" w:cstheme="majorHAnsi"/>
        </w:rPr>
        <w:t xml:space="preserve">raise </w:t>
      </w:r>
      <w:r w:rsidR="00F568EC">
        <w:rPr>
          <w:rFonts w:asciiTheme="majorHAnsi" w:hAnsiTheme="majorHAnsi" w:cstheme="majorHAnsi"/>
        </w:rPr>
        <w:t xml:space="preserve">substantial </w:t>
      </w:r>
      <w:r w:rsidRPr="003C6897">
        <w:rPr>
          <w:rFonts w:asciiTheme="majorHAnsi" w:hAnsiTheme="majorHAnsi" w:cstheme="majorHAnsi"/>
        </w:rPr>
        <w:t xml:space="preserve">competition </w:t>
      </w:r>
      <w:r w:rsidR="00F568EC">
        <w:rPr>
          <w:rFonts w:asciiTheme="majorHAnsi" w:hAnsiTheme="majorHAnsi" w:cstheme="majorHAnsi"/>
        </w:rPr>
        <w:t>concerns</w:t>
      </w:r>
      <w:r w:rsidR="005A2D22">
        <w:rPr>
          <w:rFonts w:asciiTheme="majorHAnsi" w:hAnsiTheme="majorHAnsi" w:cstheme="majorHAnsi"/>
        </w:rPr>
        <w:t xml:space="preserve">. This is due to the </w:t>
      </w:r>
      <w:r w:rsidR="00890251">
        <w:rPr>
          <w:rFonts w:asciiTheme="majorHAnsi" w:hAnsiTheme="majorHAnsi" w:cstheme="majorHAnsi"/>
        </w:rPr>
        <w:t xml:space="preserve">current voluntary </w:t>
      </w:r>
      <w:r w:rsidR="00330733">
        <w:rPr>
          <w:rFonts w:asciiTheme="majorHAnsi" w:hAnsiTheme="majorHAnsi" w:cstheme="majorHAnsi"/>
        </w:rPr>
        <w:t>notification system</w:t>
      </w:r>
      <w:r w:rsidR="008529A3">
        <w:rPr>
          <w:rFonts w:asciiTheme="majorHAnsi" w:hAnsiTheme="majorHAnsi" w:cstheme="majorHAnsi"/>
        </w:rPr>
        <w:t xml:space="preserve"> </w:t>
      </w:r>
      <w:r w:rsidR="00865F6F">
        <w:rPr>
          <w:rFonts w:asciiTheme="majorHAnsi" w:hAnsiTheme="majorHAnsi" w:cstheme="majorHAnsi"/>
        </w:rPr>
        <w:t xml:space="preserve">and lack of a comprehensive database of merger and </w:t>
      </w:r>
      <w:r w:rsidR="00651E07">
        <w:rPr>
          <w:rFonts w:asciiTheme="majorHAnsi" w:hAnsiTheme="majorHAnsi" w:cstheme="majorHAnsi"/>
        </w:rPr>
        <w:t>acquisition activity in Australia</w:t>
      </w:r>
      <w:r w:rsidRPr="003C6897">
        <w:rPr>
          <w:rFonts w:asciiTheme="majorHAnsi" w:hAnsiTheme="majorHAnsi" w:cstheme="majorHAnsi"/>
        </w:rPr>
        <w:t xml:space="preserve">. </w:t>
      </w:r>
    </w:p>
    <w:p w14:paraId="224B6F4C" w14:textId="36F2C705" w:rsidR="00947E3E" w:rsidRPr="003C6897" w:rsidRDefault="00947E3E" w:rsidP="00947E3E">
      <w:pPr>
        <w:pStyle w:val="Bullet"/>
        <w:numPr>
          <w:ilvl w:val="0"/>
          <w:numId w:val="0"/>
        </w:numPr>
        <w:spacing w:line="240" w:lineRule="auto"/>
        <w:rPr>
          <w:rFonts w:asciiTheme="majorHAnsi" w:hAnsiTheme="majorHAnsi" w:cstheme="majorHAnsi"/>
        </w:rPr>
      </w:pPr>
      <w:r w:rsidRPr="003C6897">
        <w:rPr>
          <w:rFonts w:asciiTheme="majorHAnsi" w:hAnsiTheme="majorHAnsi" w:cstheme="majorHAnsi"/>
        </w:rPr>
        <w:t xml:space="preserve">However, examples from the ACCC </w:t>
      </w:r>
      <w:r w:rsidR="00F568EC">
        <w:rPr>
          <w:rFonts w:asciiTheme="majorHAnsi" w:hAnsiTheme="majorHAnsi" w:cstheme="majorHAnsi"/>
        </w:rPr>
        <w:t>show</w:t>
      </w:r>
      <w:r w:rsidRPr="003C6897">
        <w:rPr>
          <w:rFonts w:asciiTheme="majorHAnsi" w:hAnsiTheme="majorHAnsi" w:cstheme="majorHAnsi"/>
        </w:rPr>
        <w:t xml:space="preserve"> there are multiple instances of non-notified</w:t>
      </w:r>
      <w:r w:rsidR="00F568EC">
        <w:rPr>
          <w:rFonts w:asciiTheme="majorHAnsi" w:hAnsiTheme="majorHAnsi" w:cstheme="majorHAnsi"/>
        </w:rPr>
        <w:t xml:space="preserve"> mergers</w:t>
      </w:r>
      <w:r w:rsidRPr="003C6897">
        <w:rPr>
          <w:rFonts w:asciiTheme="majorHAnsi" w:hAnsiTheme="majorHAnsi" w:cstheme="majorHAnsi"/>
        </w:rPr>
        <w:t xml:space="preserve"> that raised competition </w:t>
      </w:r>
      <w:r w:rsidR="007A3F2F">
        <w:rPr>
          <w:rFonts w:asciiTheme="majorHAnsi" w:hAnsiTheme="majorHAnsi" w:cstheme="majorHAnsi"/>
        </w:rPr>
        <w:t>concerns</w:t>
      </w:r>
      <w:r w:rsidRPr="003C6897">
        <w:rPr>
          <w:rFonts w:asciiTheme="majorHAnsi" w:hAnsiTheme="majorHAnsi" w:cstheme="majorHAnsi"/>
        </w:rPr>
        <w:t xml:space="preserve">. The ACCC identified </w:t>
      </w:r>
      <w:r w:rsidR="00BF1005">
        <w:rPr>
          <w:rFonts w:asciiTheme="majorHAnsi" w:hAnsiTheme="majorHAnsi" w:cstheme="majorHAnsi"/>
        </w:rPr>
        <w:t>6</w:t>
      </w:r>
      <w:r w:rsidRPr="003C6897">
        <w:rPr>
          <w:rFonts w:asciiTheme="majorHAnsi" w:hAnsiTheme="majorHAnsi" w:cstheme="majorHAnsi"/>
        </w:rPr>
        <w:t xml:space="preserve"> examples over the past </w:t>
      </w:r>
      <w:r w:rsidR="00BF1005">
        <w:rPr>
          <w:rFonts w:asciiTheme="majorHAnsi" w:hAnsiTheme="majorHAnsi" w:cstheme="majorHAnsi"/>
        </w:rPr>
        <w:t xml:space="preserve">8 </w:t>
      </w:r>
      <w:r w:rsidRPr="003C6897">
        <w:rPr>
          <w:rFonts w:asciiTheme="majorHAnsi" w:hAnsiTheme="majorHAnsi" w:cstheme="majorHAnsi"/>
        </w:rPr>
        <w:t xml:space="preserve">years (some of these examples involve multiple </w:t>
      </w:r>
      <w:r w:rsidR="007A59D1">
        <w:rPr>
          <w:rFonts w:asciiTheme="majorHAnsi" w:hAnsiTheme="majorHAnsi" w:cstheme="majorHAnsi"/>
        </w:rPr>
        <w:t>mergers</w:t>
      </w:r>
      <w:r w:rsidRPr="003C6897">
        <w:rPr>
          <w:rFonts w:asciiTheme="majorHAnsi" w:hAnsiTheme="majorHAnsi" w:cstheme="majorHAnsi"/>
        </w:rPr>
        <w:t>),</w:t>
      </w:r>
      <w:r w:rsidR="00341AB7" w:rsidRPr="003C6897">
        <w:rPr>
          <w:rStyle w:val="FootnoteReference"/>
          <w:rFonts w:asciiTheme="majorHAnsi" w:hAnsiTheme="majorHAnsi" w:cstheme="majorHAnsi"/>
        </w:rPr>
        <w:footnoteReference w:id="58"/>
      </w:r>
      <w:r w:rsidRPr="003C6897">
        <w:rPr>
          <w:rFonts w:asciiTheme="majorHAnsi" w:hAnsiTheme="majorHAnsi" w:cstheme="majorHAnsi"/>
        </w:rPr>
        <w:t xml:space="preserve"> so Treasury estimates that there is at least one</w:t>
      </w:r>
      <w:r>
        <w:rPr>
          <w:rFonts w:asciiTheme="majorHAnsi" w:hAnsiTheme="majorHAnsi" w:cstheme="majorHAnsi"/>
        </w:rPr>
        <w:t xml:space="preserve"> </w:t>
      </w:r>
      <w:r w:rsidRPr="003C6897">
        <w:rPr>
          <w:rFonts w:asciiTheme="majorHAnsi" w:hAnsiTheme="majorHAnsi" w:cstheme="majorHAnsi"/>
        </w:rPr>
        <w:t xml:space="preserve">meaningful </w:t>
      </w:r>
      <w:r w:rsidR="00B24685">
        <w:rPr>
          <w:rFonts w:asciiTheme="majorHAnsi" w:hAnsiTheme="majorHAnsi" w:cstheme="majorHAnsi"/>
        </w:rPr>
        <w:t>merger</w:t>
      </w:r>
      <w:r w:rsidR="00B24685" w:rsidRPr="003C6897">
        <w:rPr>
          <w:rFonts w:asciiTheme="majorHAnsi" w:hAnsiTheme="majorHAnsi" w:cstheme="majorHAnsi"/>
        </w:rPr>
        <w:t xml:space="preserve"> </w:t>
      </w:r>
      <w:r w:rsidRPr="003C6897">
        <w:rPr>
          <w:rFonts w:asciiTheme="majorHAnsi" w:hAnsiTheme="majorHAnsi" w:cstheme="majorHAnsi"/>
        </w:rPr>
        <w:t xml:space="preserve">each year that is not notified. </w:t>
      </w:r>
      <w:r w:rsidR="00B24685">
        <w:rPr>
          <w:rFonts w:asciiTheme="majorHAnsi" w:hAnsiTheme="majorHAnsi" w:cstheme="majorHAnsi"/>
        </w:rPr>
        <w:t>However, as</w:t>
      </w:r>
      <w:r w:rsidR="00B24685" w:rsidRPr="003C6897">
        <w:rPr>
          <w:rFonts w:asciiTheme="majorHAnsi" w:hAnsiTheme="majorHAnsi" w:cstheme="majorHAnsi"/>
        </w:rPr>
        <w:t xml:space="preserve"> </w:t>
      </w:r>
      <w:r w:rsidR="00EB3BD3">
        <w:rPr>
          <w:rFonts w:asciiTheme="majorHAnsi" w:hAnsiTheme="majorHAnsi" w:cstheme="majorHAnsi"/>
        </w:rPr>
        <w:t>the number of</w:t>
      </w:r>
      <w:r w:rsidR="00B24685" w:rsidRPr="003C6897">
        <w:rPr>
          <w:rFonts w:asciiTheme="majorHAnsi" w:hAnsiTheme="majorHAnsi" w:cstheme="majorHAnsi"/>
        </w:rPr>
        <w:t xml:space="preserve"> </w:t>
      </w:r>
      <w:r w:rsidR="00EB3BD3" w:rsidRPr="003C6897">
        <w:rPr>
          <w:rFonts w:asciiTheme="majorHAnsi" w:hAnsiTheme="majorHAnsi" w:cstheme="majorHAnsi"/>
        </w:rPr>
        <w:t xml:space="preserve">mergers not notified </w:t>
      </w:r>
      <w:r w:rsidRPr="003C6897">
        <w:rPr>
          <w:rFonts w:asciiTheme="majorHAnsi" w:hAnsiTheme="majorHAnsi" w:cstheme="majorHAnsi"/>
        </w:rPr>
        <w:t>is unknown</w:t>
      </w:r>
      <w:r w:rsidR="00B80A63">
        <w:rPr>
          <w:rFonts w:asciiTheme="majorHAnsi" w:hAnsiTheme="majorHAnsi" w:cstheme="majorHAnsi"/>
        </w:rPr>
        <w:t>,</w:t>
      </w:r>
      <w:r w:rsidRPr="003C6897">
        <w:rPr>
          <w:rFonts w:asciiTheme="majorHAnsi" w:hAnsiTheme="majorHAnsi" w:cstheme="majorHAnsi"/>
        </w:rPr>
        <w:t xml:space="preserve"> this number </w:t>
      </w:r>
      <w:r>
        <w:rPr>
          <w:rFonts w:asciiTheme="majorHAnsi" w:hAnsiTheme="majorHAnsi" w:cstheme="majorHAnsi"/>
        </w:rPr>
        <w:t>could be</w:t>
      </w:r>
      <w:r w:rsidRPr="003C6897">
        <w:rPr>
          <w:rFonts w:asciiTheme="majorHAnsi" w:hAnsiTheme="majorHAnsi" w:cstheme="majorHAnsi"/>
        </w:rPr>
        <w:t xml:space="preserve"> higher.</w:t>
      </w:r>
    </w:p>
    <w:p w14:paraId="42F973FA" w14:textId="77777777" w:rsidR="00947E3E" w:rsidRPr="00E535C6" w:rsidRDefault="00947E3E" w:rsidP="007274CB">
      <w:pPr>
        <w:pStyle w:val="Heading4"/>
      </w:pPr>
      <w:r w:rsidRPr="00E535C6">
        <w:t xml:space="preserve">Harm from mergers not considered </w:t>
      </w:r>
    </w:p>
    <w:p w14:paraId="68FF83B8" w14:textId="13292C47" w:rsidR="00947E3E" w:rsidRPr="00C041AB" w:rsidRDefault="00947E3E" w:rsidP="00C041AB">
      <w:pPr>
        <w:pStyle w:val="Bullet"/>
        <w:numPr>
          <w:ilvl w:val="0"/>
          <w:numId w:val="0"/>
        </w:numPr>
        <w:spacing w:line="240" w:lineRule="auto"/>
        <w:rPr>
          <w:rFonts w:asciiTheme="majorHAnsi" w:hAnsiTheme="majorHAnsi" w:cstheme="majorHAnsi"/>
        </w:rPr>
      </w:pPr>
      <w:r w:rsidRPr="00C041AB">
        <w:rPr>
          <w:rFonts w:asciiTheme="majorHAnsi" w:hAnsiTheme="majorHAnsi" w:cstheme="majorHAnsi"/>
        </w:rPr>
        <w:t xml:space="preserve">The direct detriment to the Australian economy from non-notified </w:t>
      </w:r>
      <w:r w:rsidR="00B24685" w:rsidRPr="00C041AB">
        <w:rPr>
          <w:rFonts w:asciiTheme="majorHAnsi" w:hAnsiTheme="majorHAnsi" w:cstheme="majorHAnsi"/>
        </w:rPr>
        <w:t xml:space="preserve">mergers </w:t>
      </w:r>
      <w:r w:rsidR="00DC3465">
        <w:rPr>
          <w:rFonts w:asciiTheme="majorHAnsi" w:hAnsiTheme="majorHAnsi" w:cstheme="majorHAnsi"/>
        </w:rPr>
        <w:t xml:space="preserve">and acquisitions </w:t>
      </w:r>
      <w:r w:rsidRPr="00C041AB">
        <w:rPr>
          <w:rFonts w:asciiTheme="majorHAnsi" w:hAnsiTheme="majorHAnsi" w:cstheme="majorHAnsi"/>
        </w:rPr>
        <w:t xml:space="preserve">is not possible to measure, as the identity, number and effect of these </w:t>
      </w:r>
      <w:r w:rsidR="00B24685" w:rsidRPr="00C041AB">
        <w:rPr>
          <w:rFonts w:asciiTheme="majorHAnsi" w:hAnsiTheme="majorHAnsi" w:cstheme="majorHAnsi"/>
        </w:rPr>
        <w:t xml:space="preserve">mergers </w:t>
      </w:r>
      <w:r w:rsidR="00DC3465">
        <w:rPr>
          <w:rFonts w:asciiTheme="majorHAnsi" w:hAnsiTheme="majorHAnsi" w:cstheme="majorHAnsi"/>
        </w:rPr>
        <w:t xml:space="preserve">and acquisitions </w:t>
      </w:r>
      <w:r w:rsidRPr="00C041AB">
        <w:rPr>
          <w:rFonts w:asciiTheme="majorHAnsi" w:hAnsiTheme="majorHAnsi" w:cstheme="majorHAnsi"/>
        </w:rPr>
        <w:t>is unknown. If the</w:t>
      </w:r>
      <w:r w:rsidR="001F6026" w:rsidRPr="00C041AB">
        <w:rPr>
          <w:rFonts w:asciiTheme="majorHAnsi" w:hAnsiTheme="majorHAnsi" w:cstheme="majorHAnsi"/>
        </w:rPr>
        <w:t xml:space="preserve"> mergers</w:t>
      </w:r>
      <w:r w:rsidR="00DC3465">
        <w:rPr>
          <w:rFonts w:asciiTheme="majorHAnsi" w:hAnsiTheme="majorHAnsi" w:cstheme="majorHAnsi"/>
        </w:rPr>
        <w:t xml:space="preserve"> and acquisitions</w:t>
      </w:r>
      <w:r w:rsidRPr="00C041AB">
        <w:rPr>
          <w:rFonts w:asciiTheme="majorHAnsi" w:hAnsiTheme="majorHAnsi" w:cstheme="majorHAnsi"/>
        </w:rPr>
        <w:t xml:space="preserve"> could be identified, the OECD recommends that the direct static consumer harm from a SLC could be calculated by multiplying the size of the ex-ante turnover of </w:t>
      </w:r>
      <w:r w:rsidRPr="00C041AB">
        <w:rPr>
          <w:rFonts w:asciiTheme="majorHAnsi" w:hAnsiTheme="majorHAnsi" w:cstheme="majorHAnsi"/>
          <w:u w:val="single"/>
        </w:rPr>
        <w:t>all</w:t>
      </w:r>
      <w:r w:rsidRPr="00C041AB">
        <w:rPr>
          <w:rFonts w:asciiTheme="majorHAnsi" w:hAnsiTheme="majorHAnsi" w:cstheme="majorHAnsi"/>
        </w:rPr>
        <w:t xml:space="preserve"> the firms in the affected market by an expected price increase, and the number of years it is likely to endure.</w:t>
      </w:r>
      <w:r w:rsidRPr="003C6897">
        <w:rPr>
          <w:rStyle w:val="FootnoteReference"/>
          <w:rFonts w:asciiTheme="majorHAnsi" w:hAnsiTheme="majorHAnsi" w:cstheme="majorHAnsi"/>
        </w:rPr>
        <w:footnoteReference w:id="59"/>
      </w:r>
      <w:r w:rsidRPr="00C041AB">
        <w:rPr>
          <w:rFonts w:asciiTheme="majorHAnsi" w:hAnsiTheme="majorHAnsi" w:cstheme="majorHAnsi"/>
        </w:rPr>
        <w:t xml:space="preserve"> </w:t>
      </w:r>
      <w:r w:rsidR="00880EB9" w:rsidRPr="00C041AB">
        <w:rPr>
          <w:rFonts w:asciiTheme="majorHAnsi" w:hAnsiTheme="majorHAnsi" w:cstheme="majorHAnsi"/>
        </w:rPr>
        <w:t>Treasury ha</w:t>
      </w:r>
      <w:r w:rsidR="00774132" w:rsidRPr="00C041AB">
        <w:rPr>
          <w:rFonts w:asciiTheme="majorHAnsi" w:hAnsiTheme="majorHAnsi" w:cstheme="majorHAnsi"/>
        </w:rPr>
        <w:t>s</w:t>
      </w:r>
      <w:r w:rsidR="00880EB9" w:rsidRPr="00C041AB">
        <w:rPr>
          <w:rFonts w:asciiTheme="majorHAnsi" w:hAnsiTheme="majorHAnsi" w:cstheme="majorHAnsi"/>
        </w:rPr>
        <w:t xml:space="preserve"> estimated </w:t>
      </w:r>
      <w:r w:rsidR="0053098E">
        <w:rPr>
          <w:rFonts w:asciiTheme="majorHAnsi" w:hAnsiTheme="majorHAnsi" w:cstheme="majorHAnsi"/>
        </w:rPr>
        <w:t xml:space="preserve">a range of </w:t>
      </w:r>
      <w:r w:rsidR="002B1540" w:rsidRPr="00C041AB">
        <w:rPr>
          <w:rFonts w:asciiTheme="majorHAnsi" w:hAnsiTheme="majorHAnsi" w:cstheme="majorHAnsi"/>
        </w:rPr>
        <w:t xml:space="preserve">the direct static consumer </w:t>
      </w:r>
      <w:r w:rsidR="001526B1" w:rsidRPr="00C041AB">
        <w:rPr>
          <w:rFonts w:asciiTheme="majorHAnsi" w:hAnsiTheme="majorHAnsi" w:cstheme="majorHAnsi"/>
        </w:rPr>
        <w:t>harm</w:t>
      </w:r>
      <w:r w:rsidRPr="00C041AB">
        <w:rPr>
          <w:rFonts w:asciiTheme="majorHAnsi" w:hAnsiTheme="majorHAnsi" w:cstheme="majorHAnsi"/>
        </w:rPr>
        <w:t xml:space="preserve"> on a</w:t>
      </w:r>
      <w:r w:rsidR="001124CE" w:rsidRPr="00C041AB">
        <w:rPr>
          <w:rFonts w:asciiTheme="majorHAnsi" w:hAnsiTheme="majorHAnsi" w:cstheme="majorHAnsi"/>
        </w:rPr>
        <w:t>n</w:t>
      </w:r>
      <w:r w:rsidRPr="00C041AB">
        <w:rPr>
          <w:rFonts w:asciiTheme="majorHAnsi" w:hAnsiTheme="majorHAnsi" w:cstheme="majorHAnsi"/>
        </w:rPr>
        <w:t xml:space="preserve"> assumption of a </w:t>
      </w:r>
      <w:r w:rsidR="00E55C8B" w:rsidRPr="00C041AB">
        <w:rPr>
          <w:rFonts w:asciiTheme="majorHAnsi" w:hAnsiTheme="majorHAnsi" w:cstheme="majorHAnsi"/>
        </w:rPr>
        <w:t>5</w:t>
      </w:r>
      <w:r w:rsidRPr="00C041AB">
        <w:rPr>
          <w:rFonts w:asciiTheme="majorHAnsi" w:hAnsiTheme="majorHAnsi" w:cstheme="majorHAnsi"/>
        </w:rPr>
        <w:t xml:space="preserve"> per cent price increase enduring for </w:t>
      </w:r>
      <w:r w:rsidR="00874527" w:rsidRPr="00C041AB">
        <w:rPr>
          <w:rFonts w:asciiTheme="majorHAnsi" w:hAnsiTheme="majorHAnsi" w:cstheme="majorHAnsi"/>
        </w:rPr>
        <w:t>2</w:t>
      </w:r>
      <w:r w:rsidRPr="00C041AB">
        <w:rPr>
          <w:rFonts w:asciiTheme="majorHAnsi" w:hAnsiTheme="majorHAnsi" w:cstheme="majorHAnsi"/>
        </w:rPr>
        <w:t xml:space="preserve"> years</w:t>
      </w:r>
      <w:r w:rsidR="00DD4E43" w:rsidRPr="00C041AB">
        <w:rPr>
          <w:rFonts w:asciiTheme="majorHAnsi" w:hAnsiTheme="majorHAnsi" w:cstheme="majorHAnsi"/>
        </w:rPr>
        <w:t>,</w:t>
      </w:r>
      <w:r w:rsidRPr="00C041AB">
        <w:rPr>
          <w:rFonts w:asciiTheme="majorHAnsi" w:hAnsiTheme="majorHAnsi" w:cstheme="majorHAnsi"/>
        </w:rPr>
        <w:t xml:space="preserve"> </w:t>
      </w:r>
      <w:r w:rsidR="001526B1" w:rsidRPr="00C041AB">
        <w:rPr>
          <w:rFonts w:asciiTheme="majorHAnsi" w:hAnsiTheme="majorHAnsi" w:cstheme="majorHAnsi"/>
        </w:rPr>
        <w:t>and</w:t>
      </w:r>
      <w:r w:rsidR="00B17DBE" w:rsidRPr="00C041AB">
        <w:rPr>
          <w:rFonts w:asciiTheme="majorHAnsi" w:hAnsiTheme="majorHAnsi" w:cstheme="majorHAnsi"/>
        </w:rPr>
        <w:t xml:space="preserve"> then</w:t>
      </w:r>
      <w:r w:rsidR="001526B1" w:rsidRPr="00C041AB">
        <w:rPr>
          <w:rFonts w:asciiTheme="majorHAnsi" w:hAnsiTheme="majorHAnsi" w:cstheme="majorHAnsi"/>
        </w:rPr>
        <w:t xml:space="preserve"> on the basis of a 10 per cent price increase enduring for </w:t>
      </w:r>
      <w:r w:rsidR="00DD4E43" w:rsidRPr="00C041AB">
        <w:rPr>
          <w:rFonts w:asciiTheme="majorHAnsi" w:hAnsiTheme="majorHAnsi" w:cstheme="majorHAnsi"/>
        </w:rPr>
        <w:t>5</w:t>
      </w:r>
      <w:r w:rsidR="001526B1" w:rsidRPr="00C041AB">
        <w:rPr>
          <w:rFonts w:asciiTheme="majorHAnsi" w:hAnsiTheme="majorHAnsi" w:cstheme="majorHAnsi"/>
        </w:rPr>
        <w:t xml:space="preserve"> years</w:t>
      </w:r>
      <w:r w:rsidR="00467C4C">
        <w:rPr>
          <w:rFonts w:asciiTheme="majorHAnsi" w:hAnsiTheme="majorHAnsi" w:cstheme="majorHAnsi"/>
        </w:rPr>
        <w:t xml:space="preserve"> in Table 1 below</w:t>
      </w:r>
      <w:r w:rsidR="00721713" w:rsidRPr="00C041AB">
        <w:rPr>
          <w:rFonts w:asciiTheme="majorHAnsi" w:hAnsiTheme="majorHAnsi" w:cstheme="majorHAnsi"/>
        </w:rPr>
        <w:t xml:space="preserve">. </w:t>
      </w:r>
      <w:r w:rsidR="00F86F78" w:rsidRPr="00C041AB">
        <w:rPr>
          <w:rFonts w:asciiTheme="majorHAnsi" w:hAnsiTheme="majorHAnsi" w:cstheme="majorHAnsi"/>
        </w:rPr>
        <w:t xml:space="preserve">The lower bound of 2 years reflects the conservative assumptions adopted by overseas agencies such as the </w:t>
      </w:r>
      <w:r w:rsidR="002763D8">
        <w:rPr>
          <w:rFonts w:asciiTheme="majorHAnsi" w:hAnsiTheme="majorHAnsi" w:cstheme="majorHAnsi"/>
        </w:rPr>
        <w:t xml:space="preserve">US Federal Trade Commission </w:t>
      </w:r>
      <w:r w:rsidR="00F85BC2" w:rsidRPr="00C041AB">
        <w:rPr>
          <w:rFonts w:asciiTheme="majorHAnsi" w:hAnsiTheme="majorHAnsi" w:cstheme="majorHAnsi"/>
        </w:rPr>
        <w:t xml:space="preserve">and </w:t>
      </w:r>
      <w:r w:rsidR="002763D8">
        <w:rPr>
          <w:rFonts w:asciiTheme="majorHAnsi" w:hAnsiTheme="majorHAnsi" w:cstheme="majorHAnsi"/>
        </w:rPr>
        <w:t xml:space="preserve">the UK Competition and Markets Authority </w:t>
      </w:r>
      <w:r w:rsidR="00F85BC2" w:rsidRPr="00C041AB">
        <w:rPr>
          <w:rFonts w:asciiTheme="majorHAnsi" w:hAnsiTheme="majorHAnsi" w:cstheme="majorHAnsi"/>
        </w:rPr>
        <w:t>in undertaking similar exercises.</w:t>
      </w:r>
      <w:r w:rsidR="004C3293">
        <w:rPr>
          <w:rStyle w:val="FootnoteReference"/>
          <w:rFonts w:asciiTheme="majorHAnsi" w:hAnsiTheme="majorHAnsi" w:cstheme="majorHAnsi"/>
        </w:rPr>
        <w:footnoteReference w:id="60"/>
      </w:r>
      <w:r w:rsidR="00F85BC2" w:rsidRPr="00C041AB">
        <w:rPr>
          <w:rFonts w:asciiTheme="majorHAnsi" w:hAnsiTheme="majorHAnsi" w:cstheme="majorHAnsi"/>
        </w:rPr>
        <w:t xml:space="preserve"> The upper bound of 5 years reflects that </w:t>
      </w:r>
      <w:r w:rsidR="00C109CF" w:rsidRPr="00C041AB">
        <w:rPr>
          <w:rFonts w:asciiTheme="majorHAnsi" w:hAnsiTheme="majorHAnsi" w:cstheme="majorHAnsi"/>
        </w:rPr>
        <w:t>mergers result in changes to market structures that can have long lasting effects</w:t>
      </w:r>
      <w:r w:rsidR="00FA1578" w:rsidRPr="00C041AB">
        <w:rPr>
          <w:rFonts w:asciiTheme="majorHAnsi" w:hAnsiTheme="majorHAnsi" w:cstheme="majorHAnsi"/>
        </w:rPr>
        <w:t xml:space="preserve">. </w:t>
      </w:r>
      <w:r w:rsidR="00AE5B8B" w:rsidRPr="00C041AB">
        <w:rPr>
          <w:rFonts w:asciiTheme="majorHAnsi" w:hAnsiTheme="majorHAnsi" w:cstheme="majorHAnsi"/>
        </w:rPr>
        <w:t>The range of 5-10</w:t>
      </w:r>
      <w:r w:rsidR="006146C5">
        <w:rPr>
          <w:rFonts w:asciiTheme="majorHAnsi" w:hAnsiTheme="majorHAnsi" w:cstheme="majorHAnsi"/>
        </w:rPr>
        <w:t xml:space="preserve"> per cent</w:t>
      </w:r>
      <w:r w:rsidR="00AE5B8B" w:rsidRPr="00C041AB">
        <w:rPr>
          <w:rFonts w:asciiTheme="majorHAnsi" w:hAnsiTheme="majorHAnsi" w:cstheme="majorHAnsi"/>
        </w:rPr>
        <w:t xml:space="preserve"> </w:t>
      </w:r>
      <w:r w:rsidR="002763D8">
        <w:rPr>
          <w:rFonts w:asciiTheme="majorHAnsi" w:hAnsiTheme="majorHAnsi" w:cstheme="majorHAnsi"/>
        </w:rPr>
        <w:t xml:space="preserve">is indicative </w:t>
      </w:r>
      <w:r w:rsidR="00091728">
        <w:rPr>
          <w:rFonts w:asciiTheme="majorHAnsi" w:hAnsiTheme="majorHAnsi" w:cstheme="majorHAnsi"/>
        </w:rPr>
        <w:t xml:space="preserve">of a level of concern that </w:t>
      </w:r>
      <w:r w:rsidR="00B50C25">
        <w:rPr>
          <w:rFonts w:asciiTheme="majorHAnsi" w:hAnsiTheme="majorHAnsi" w:cstheme="majorHAnsi"/>
        </w:rPr>
        <w:t xml:space="preserve">a merger </w:t>
      </w:r>
      <w:r w:rsidR="00041B19">
        <w:rPr>
          <w:rFonts w:asciiTheme="majorHAnsi" w:hAnsiTheme="majorHAnsi" w:cstheme="majorHAnsi"/>
        </w:rPr>
        <w:t xml:space="preserve">or acquisition </w:t>
      </w:r>
      <w:r w:rsidR="00B50C25">
        <w:rPr>
          <w:rFonts w:asciiTheme="majorHAnsi" w:hAnsiTheme="majorHAnsi" w:cstheme="majorHAnsi"/>
        </w:rPr>
        <w:t>may substantially lessen competition, noting that t</w:t>
      </w:r>
      <w:r w:rsidR="00C041AB" w:rsidRPr="00C041AB">
        <w:rPr>
          <w:rFonts w:asciiTheme="majorHAnsi" w:hAnsiTheme="majorHAnsi" w:cstheme="majorHAnsi"/>
        </w:rPr>
        <w:t xml:space="preserve">he precise threshold between a lessening of competition and a substantial lessening of competition is a matter of judgement </w:t>
      </w:r>
      <w:r w:rsidR="00463837">
        <w:rPr>
          <w:rFonts w:asciiTheme="majorHAnsi" w:hAnsiTheme="majorHAnsi" w:cstheme="majorHAnsi"/>
        </w:rPr>
        <w:t xml:space="preserve">and in some markets </w:t>
      </w:r>
      <w:r w:rsidR="006B2B4F">
        <w:rPr>
          <w:rFonts w:asciiTheme="majorHAnsi" w:hAnsiTheme="majorHAnsi" w:cstheme="majorHAnsi"/>
        </w:rPr>
        <w:t xml:space="preserve">an increase in price that is very small in magnitude may nonetheless </w:t>
      </w:r>
      <w:r w:rsidR="00A2738D">
        <w:rPr>
          <w:rFonts w:asciiTheme="majorHAnsi" w:hAnsiTheme="majorHAnsi" w:cstheme="majorHAnsi"/>
        </w:rPr>
        <w:t xml:space="preserve">be </w:t>
      </w:r>
      <w:r w:rsidR="006B2B4F">
        <w:rPr>
          <w:rFonts w:asciiTheme="majorHAnsi" w:hAnsiTheme="majorHAnsi" w:cstheme="majorHAnsi"/>
        </w:rPr>
        <w:t>substantial</w:t>
      </w:r>
      <w:r w:rsidR="00C041AB" w:rsidRPr="00C041AB">
        <w:rPr>
          <w:rFonts w:asciiTheme="majorHAnsi" w:hAnsiTheme="majorHAnsi" w:cstheme="majorHAnsi"/>
        </w:rPr>
        <w:t xml:space="preserve">. </w:t>
      </w:r>
      <w:r w:rsidR="00DD4E43" w:rsidRPr="00C041AB">
        <w:rPr>
          <w:rFonts w:asciiTheme="majorHAnsi" w:hAnsiTheme="majorHAnsi" w:cstheme="majorHAnsi"/>
        </w:rPr>
        <w:t xml:space="preserve"> </w:t>
      </w:r>
    </w:p>
    <w:p w14:paraId="34AEB0E0" w14:textId="77777777" w:rsidR="000202C9" w:rsidRDefault="000202C9" w:rsidP="00273A9E">
      <w:pPr>
        <w:rPr>
          <w:b/>
          <w:color w:val="2C384A" w:themeColor="accent1"/>
        </w:rPr>
      </w:pPr>
    </w:p>
    <w:p w14:paraId="379DC875" w14:textId="37FB09AB" w:rsidR="00FF3895" w:rsidRPr="00093DF9" w:rsidRDefault="00FF3895" w:rsidP="00273A9E">
      <w:pPr>
        <w:rPr>
          <w:rFonts w:asciiTheme="majorHAnsi" w:eastAsiaTheme="minorEastAsia" w:hAnsiTheme="majorHAnsi" w:cs="Segoe UI"/>
          <w:color w:val="161C24" w:themeColor="accent1" w:themeShade="80"/>
          <w:kern w:val="0"/>
        </w:rPr>
      </w:pPr>
      <w:r w:rsidRPr="00273A9E">
        <w:rPr>
          <w:b/>
          <w:color w:val="2C384A" w:themeColor="accent1"/>
        </w:rPr>
        <w:t>Table 1</w:t>
      </w:r>
      <w:r w:rsidR="008B4058" w:rsidRPr="005C3438">
        <w:rPr>
          <w:rFonts w:asciiTheme="majorHAnsi" w:eastAsiaTheme="minorEastAsia" w:hAnsiTheme="majorHAnsi" w:cs="Segoe UI"/>
          <w:color w:val="2C384A" w:themeColor="accent1"/>
          <w:kern w:val="0"/>
        </w:rPr>
        <w:t>.</w:t>
      </w:r>
      <w:r w:rsidRPr="005C3438">
        <w:rPr>
          <w:rFonts w:asciiTheme="majorHAnsi" w:eastAsiaTheme="minorEastAsia" w:hAnsiTheme="majorHAnsi" w:cs="Segoe UI"/>
          <w:color w:val="2C384A" w:themeColor="accent1"/>
          <w:kern w:val="0"/>
        </w:rPr>
        <w:t xml:space="preserve"> </w:t>
      </w:r>
      <w:r w:rsidRPr="005C3438">
        <w:rPr>
          <w:rFonts w:asciiTheme="majorHAnsi" w:eastAsiaTheme="minorEastAsia" w:hAnsiTheme="majorHAnsi" w:cs="Segoe UI"/>
          <w:b/>
          <w:bCs/>
          <w:color w:val="2C384A" w:themeColor="accent1"/>
          <w:kern w:val="0"/>
        </w:rPr>
        <w:t>Estimate</w:t>
      </w:r>
      <w:r w:rsidR="005739C5">
        <w:rPr>
          <w:rFonts w:asciiTheme="majorHAnsi" w:eastAsiaTheme="minorEastAsia" w:hAnsiTheme="majorHAnsi" w:cs="Segoe UI"/>
          <w:b/>
          <w:bCs/>
          <w:color w:val="2C384A" w:themeColor="accent1"/>
          <w:kern w:val="0"/>
        </w:rPr>
        <w:t xml:space="preserve">d </w:t>
      </w:r>
      <w:r w:rsidRPr="005C3438">
        <w:rPr>
          <w:rFonts w:asciiTheme="majorHAnsi" w:eastAsiaTheme="minorEastAsia" w:hAnsiTheme="majorHAnsi" w:cs="Segoe UI"/>
          <w:b/>
          <w:color w:val="2C384A" w:themeColor="accent1"/>
          <w:kern w:val="0"/>
        </w:rPr>
        <w:t>harm from mergers</w:t>
      </w:r>
      <w:r w:rsidR="005932A9">
        <w:rPr>
          <w:rFonts w:asciiTheme="majorHAnsi" w:eastAsiaTheme="minorEastAsia" w:hAnsiTheme="majorHAnsi" w:cs="Segoe UI"/>
          <w:b/>
          <w:color w:val="2C384A" w:themeColor="accent1"/>
          <w:kern w:val="0"/>
        </w:rPr>
        <w:t xml:space="preserve"> and acquisitions</w:t>
      </w:r>
      <w:r w:rsidRPr="00093DF9">
        <w:rPr>
          <w:rFonts w:asciiTheme="majorHAnsi" w:eastAsiaTheme="minorEastAsia" w:hAnsiTheme="majorHAnsi" w:cs="Segoe UI"/>
          <w:color w:val="161C24" w:themeColor="accent1" w:themeShade="80"/>
          <w:kern w:val="0"/>
        </w:rPr>
        <w:t xml:space="preserve"> </w:t>
      </w:r>
    </w:p>
    <w:tbl>
      <w:tblPr>
        <w:tblStyle w:val="TableGrid"/>
        <w:tblW w:w="5000" w:type="pct"/>
        <w:tblLook w:val="04A0" w:firstRow="1" w:lastRow="0" w:firstColumn="1" w:lastColumn="0" w:noHBand="0" w:noVBand="1"/>
      </w:tblPr>
      <w:tblGrid>
        <w:gridCol w:w="4513"/>
        <w:gridCol w:w="4513"/>
      </w:tblGrid>
      <w:tr w:rsidR="00FF3895" w:rsidRPr="007D6633" w14:paraId="6B9CCB9C" w14:textId="77777777" w:rsidTr="00ED170A">
        <w:trPr>
          <w:cnfStyle w:val="100000000000" w:firstRow="1" w:lastRow="0" w:firstColumn="0" w:lastColumn="0" w:oddVBand="0" w:evenVBand="0" w:oddHBand="0" w:evenHBand="0" w:firstRowFirstColumn="0" w:firstRowLastColumn="0" w:lastRowFirstColumn="0" w:lastRowLastColumn="0"/>
          <w:trHeight w:val="337"/>
        </w:trPr>
        <w:tc>
          <w:tcPr>
            <w:tcW w:w="2500" w:type="pct"/>
            <w:shd w:val="clear" w:color="auto" w:fill="2C384A" w:themeFill="accent1"/>
            <w:vAlign w:val="center"/>
          </w:tcPr>
          <w:p w14:paraId="3B1FF1EB" w14:textId="4A0865A3" w:rsidR="00FF3895" w:rsidRPr="00ED170A" w:rsidRDefault="00D169C1" w:rsidP="00F4512F">
            <w:pPr>
              <w:pStyle w:val="Bullet"/>
              <w:keepNext/>
              <w:numPr>
                <w:ilvl w:val="0"/>
                <w:numId w:val="0"/>
              </w:numPr>
              <w:spacing w:line="240" w:lineRule="auto"/>
              <w:rPr>
                <w:color w:val="FFFFFF" w:themeColor="background1"/>
                <w:sz w:val="22"/>
                <w:szCs w:val="22"/>
              </w:rPr>
            </w:pPr>
            <w:r w:rsidRPr="00ED170A">
              <w:rPr>
                <w:color w:val="FFFFFF" w:themeColor="background1"/>
                <w:szCs w:val="22"/>
              </w:rPr>
              <w:t>Affected market</w:t>
            </w:r>
          </w:p>
        </w:tc>
        <w:tc>
          <w:tcPr>
            <w:tcW w:w="2500" w:type="pct"/>
            <w:shd w:val="clear" w:color="auto" w:fill="2C384A" w:themeFill="accent1"/>
            <w:vAlign w:val="center"/>
          </w:tcPr>
          <w:p w14:paraId="53908DCD" w14:textId="3A1F9804" w:rsidR="00FF3895" w:rsidRPr="00ED170A" w:rsidRDefault="00D169C1" w:rsidP="00F4512F">
            <w:pPr>
              <w:pStyle w:val="Bullet"/>
              <w:keepNext/>
              <w:numPr>
                <w:ilvl w:val="0"/>
                <w:numId w:val="0"/>
              </w:numPr>
              <w:spacing w:line="240" w:lineRule="auto"/>
              <w:rPr>
                <w:color w:val="FFFFFF" w:themeColor="background1"/>
                <w:sz w:val="22"/>
                <w:szCs w:val="22"/>
              </w:rPr>
            </w:pPr>
            <w:r w:rsidRPr="00ED170A">
              <w:rPr>
                <w:color w:val="FFFFFF" w:themeColor="background1"/>
                <w:szCs w:val="22"/>
              </w:rPr>
              <w:t>Estimate of harm</w:t>
            </w:r>
          </w:p>
        </w:tc>
      </w:tr>
      <w:tr w:rsidR="002947E0" w:rsidRPr="007D6633" w14:paraId="1587A62F" w14:textId="77777777" w:rsidTr="00ED170A">
        <w:tc>
          <w:tcPr>
            <w:tcW w:w="5000" w:type="pct"/>
            <w:gridSpan w:val="2"/>
            <w:tcBorders>
              <w:bottom w:val="single" w:sz="4" w:space="0" w:color="auto"/>
            </w:tcBorders>
            <w:shd w:val="clear" w:color="auto" w:fill="EEEEEE" w:themeFill="background2"/>
          </w:tcPr>
          <w:p w14:paraId="4C453178" w14:textId="197F1B12" w:rsidR="002947E0" w:rsidRPr="00ED170A" w:rsidRDefault="002947E0" w:rsidP="004C41AE">
            <w:pPr>
              <w:pStyle w:val="Bullet"/>
              <w:numPr>
                <w:ilvl w:val="0"/>
                <w:numId w:val="0"/>
              </w:numPr>
              <w:spacing w:line="240" w:lineRule="auto"/>
              <w:rPr>
                <w:rFonts w:asciiTheme="majorHAnsi" w:hAnsiTheme="majorHAnsi" w:cstheme="majorHAnsi"/>
                <w:sz w:val="20"/>
              </w:rPr>
            </w:pPr>
            <w:r w:rsidRPr="00ED170A">
              <w:rPr>
                <w:rFonts w:asciiTheme="majorHAnsi" w:hAnsiTheme="majorHAnsi" w:cstheme="majorHAnsi"/>
                <w:sz w:val="20"/>
              </w:rPr>
              <w:t xml:space="preserve">An assumption of a </w:t>
            </w:r>
            <w:r w:rsidR="00FD6FEE" w:rsidRPr="00ED170A">
              <w:rPr>
                <w:rFonts w:asciiTheme="majorHAnsi" w:hAnsiTheme="majorHAnsi" w:cstheme="majorHAnsi"/>
                <w:sz w:val="20"/>
              </w:rPr>
              <w:t>5</w:t>
            </w:r>
            <w:r w:rsidR="001C5A55">
              <w:rPr>
                <w:rFonts w:asciiTheme="majorHAnsi" w:hAnsiTheme="majorHAnsi" w:cstheme="majorHAnsi"/>
                <w:sz w:val="20"/>
              </w:rPr>
              <w:t>%</w:t>
            </w:r>
            <w:r w:rsidRPr="00ED170A">
              <w:rPr>
                <w:rFonts w:asciiTheme="majorHAnsi" w:hAnsiTheme="majorHAnsi" w:cstheme="majorHAnsi"/>
                <w:sz w:val="20"/>
              </w:rPr>
              <w:t xml:space="preserve"> price increase enduring for </w:t>
            </w:r>
            <w:r w:rsidR="00951540">
              <w:rPr>
                <w:rFonts w:asciiTheme="majorHAnsi" w:hAnsiTheme="majorHAnsi" w:cstheme="majorHAnsi"/>
                <w:sz w:val="20"/>
              </w:rPr>
              <w:t>2</w:t>
            </w:r>
            <w:r w:rsidRPr="00ED170A">
              <w:rPr>
                <w:rFonts w:asciiTheme="majorHAnsi" w:hAnsiTheme="majorHAnsi" w:cstheme="majorHAnsi"/>
                <w:sz w:val="20"/>
              </w:rPr>
              <w:t xml:space="preserve"> years results in:</w:t>
            </w:r>
          </w:p>
        </w:tc>
      </w:tr>
      <w:tr w:rsidR="00FF3895" w:rsidRPr="007D6633" w14:paraId="4F3AB4CA" w14:textId="77777777" w:rsidTr="00ED170A">
        <w:tc>
          <w:tcPr>
            <w:tcW w:w="2500" w:type="pct"/>
            <w:tcBorders>
              <w:top w:val="single" w:sz="4" w:space="0" w:color="auto"/>
              <w:bottom w:val="single" w:sz="4" w:space="0" w:color="auto"/>
            </w:tcBorders>
          </w:tcPr>
          <w:p w14:paraId="793C0D37" w14:textId="71A4A501" w:rsidR="00FF3895" w:rsidRPr="0036266A" w:rsidRDefault="00D169C1">
            <w:pPr>
              <w:pStyle w:val="Bullet"/>
              <w:numPr>
                <w:ilvl w:val="0"/>
                <w:numId w:val="0"/>
              </w:numPr>
              <w:spacing w:line="240" w:lineRule="auto"/>
              <w:rPr>
                <w:rFonts w:asciiTheme="minorHAnsi" w:hAnsiTheme="minorHAnsi" w:cstheme="minorHAnsi"/>
                <w:sz w:val="20"/>
              </w:rPr>
            </w:pPr>
            <w:r w:rsidRPr="00ED170A">
              <w:rPr>
                <w:rFonts w:asciiTheme="majorHAnsi" w:hAnsiTheme="majorHAnsi" w:cstheme="majorHAnsi"/>
                <w:sz w:val="20"/>
              </w:rPr>
              <w:t>if the affected market is worth $10 million</w:t>
            </w:r>
          </w:p>
        </w:tc>
        <w:tc>
          <w:tcPr>
            <w:tcW w:w="2500" w:type="pct"/>
            <w:tcBorders>
              <w:top w:val="single" w:sz="4" w:space="0" w:color="auto"/>
              <w:bottom w:val="single" w:sz="4" w:space="0" w:color="auto"/>
            </w:tcBorders>
          </w:tcPr>
          <w:p w14:paraId="0FD3E667" w14:textId="5113A1D8" w:rsidR="00FF3895" w:rsidRPr="00ED170A" w:rsidRDefault="00D169C1">
            <w:pPr>
              <w:pStyle w:val="Bullet"/>
              <w:numPr>
                <w:ilvl w:val="0"/>
                <w:numId w:val="0"/>
              </w:numPr>
              <w:spacing w:line="240" w:lineRule="auto"/>
              <w:rPr>
                <w:rFonts w:asciiTheme="minorHAnsi" w:hAnsiTheme="minorHAnsi" w:cstheme="minorHAnsi"/>
                <w:sz w:val="20"/>
              </w:rPr>
            </w:pPr>
            <w:r w:rsidRPr="00ED170A">
              <w:rPr>
                <w:rFonts w:asciiTheme="majorHAnsi" w:hAnsiTheme="majorHAnsi" w:cstheme="majorHAnsi"/>
                <w:sz w:val="20"/>
              </w:rPr>
              <w:t>the estimate of the harm would be $</w:t>
            </w:r>
            <w:r w:rsidR="00A450B5" w:rsidRPr="00ED170A">
              <w:rPr>
                <w:rFonts w:asciiTheme="majorHAnsi" w:hAnsiTheme="majorHAnsi" w:cstheme="majorHAnsi"/>
                <w:sz w:val="20"/>
              </w:rPr>
              <w:t>1 million</w:t>
            </w:r>
          </w:p>
        </w:tc>
      </w:tr>
      <w:tr w:rsidR="00FF3895" w:rsidRPr="007D6633" w14:paraId="70C4E29D" w14:textId="77777777" w:rsidTr="00ED170A">
        <w:tc>
          <w:tcPr>
            <w:tcW w:w="2500" w:type="pct"/>
            <w:tcBorders>
              <w:top w:val="single" w:sz="4" w:space="0" w:color="auto"/>
              <w:bottom w:val="single" w:sz="4" w:space="0" w:color="auto"/>
            </w:tcBorders>
          </w:tcPr>
          <w:p w14:paraId="1A368C24" w14:textId="597F5DB5" w:rsidR="00FF3895" w:rsidRPr="00ED170A" w:rsidRDefault="00D169C1">
            <w:pPr>
              <w:pStyle w:val="Bullet"/>
              <w:numPr>
                <w:ilvl w:val="0"/>
                <w:numId w:val="0"/>
              </w:numPr>
              <w:spacing w:line="240" w:lineRule="auto"/>
              <w:rPr>
                <w:rFonts w:asciiTheme="minorHAnsi" w:hAnsiTheme="minorHAnsi" w:cstheme="minorHAnsi"/>
                <w:sz w:val="20"/>
              </w:rPr>
            </w:pPr>
            <w:r w:rsidRPr="00ED170A">
              <w:rPr>
                <w:rFonts w:asciiTheme="majorHAnsi" w:hAnsiTheme="majorHAnsi" w:cstheme="majorHAnsi"/>
                <w:sz w:val="20"/>
              </w:rPr>
              <w:t>if the affected market is worth $100 million</w:t>
            </w:r>
          </w:p>
        </w:tc>
        <w:tc>
          <w:tcPr>
            <w:tcW w:w="2500" w:type="pct"/>
            <w:tcBorders>
              <w:top w:val="single" w:sz="4" w:space="0" w:color="auto"/>
              <w:bottom w:val="single" w:sz="4" w:space="0" w:color="auto"/>
            </w:tcBorders>
          </w:tcPr>
          <w:p w14:paraId="39AB03FD" w14:textId="75D1ACBB" w:rsidR="00FF3895" w:rsidRPr="00ED170A" w:rsidRDefault="00D169C1">
            <w:pPr>
              <w:pStyle w:val="Bullet"/>
              <w:numPr>
                <w:ilvl w:val="0"/>
                <w:numId w:val="0"/>
              </w:numPr>
              <w:spacing w:line="240" w:lineRule="auto"/>
              <w:rPr>
                <w:rFonts w:asciiTheme="minorHAnsi" w:hAnsiTheme="minorHAnsi" w:cstheme="minorHAnsi"/>
                <w:sz w:val="20"/>
              </w:rPr>
            </w:pPr>
            <w:r w:rsidRPr="00ED170A">
              <w:rPr>
                <w:rFonts w:asciiTheme="majorHAnsi" w:hAnsiTheme="majorHAnsi" w:cstheme="majorHAnsi"/>
                <w:sz w:val="20"/>
              </w:rPr>
              <w:t>the estimate of the harm would be $</w:t>
            </w:r>
            <w:r w:rsidR="00A450B5" w:rsidRPr="00ED170A">
              <w:rPr>
                <w:rFonts w:asciiTheme="majorHAnsi" w:hAnsiTheme="majorHAnsi" w:cstheme="majorHAnsi"/>
                <w:sz w:val="20"/>
              </w:rPr>
              <w:t xml:space="preserve">10 </w:t>
            </w:r>
            <w:r w:rsidRPr="00ED170A">
              <w:rPr>
                <w:rFonts w:asciiTheme="majorHAnsi" w:hAnsiTheme="majorHAnsi" w:cstheme="majorHAnsi"/>
                <w:sz w:val="20"/>
              </w:rPr>
              <w:t>million</w:t>
            </w:r>
          </w:p>
        </w:tc>
      </w:tr>
      <w:tr w:rsidR="00FF3895" w:rsidRPr="007D6633" w14:paraId="7B7B4682" w14:textId="77777777" w:rsidTr="00ED170A">
        <w:tc>
          <w:tcPr>
            <w:tcW w:w="2500" w:type="pct"/>
            <w:tcBorders>
              <w:top w:val="single" w:sz="4" w:space="0" w:color="auto"/>
              <w:bottom w:val="single" w:sz="4" w:space="0" w:color="auto"/>
            </w:tcBorders>
          </w:tcPr>
          <w:p w14:paraId="4C369BD8" w14:textId="01457D1A" w:rsidR="00FF3895" w:rsidRPr="00ED170A" w:rsidRDefault="00D169C1">
            <w:pPr>
              <w:pStyle w:val="Bullet"/>
              <w:numPr>
                <w:ilvl w:val="0"/>
                <w:numId w:val="0"/>
              </w:numPr>
              <w:spacing w:line="240" w:lineRule="auto"/>
              <w:rPr>
                <w:rFonts w:asciiTheme="minorHAnsi" w:hAnsiTheme="minorHAnsi" w:cstheme="minorHAnsi"/>
                <w:sz w:val="20"/>
              </w:rPr>
            </w:pPr>
            <w:r w:rsidRPr="00ED170A">
              <w:rPr>
                <w:rFonts w:asciiTheme="majorHAnsi" w:hAnsiTheme="majorHAnsi" w:cstheme="majorHAnsi"/>
                <w:sz w:val="20"/>
              </w:rPr>
              <w:t>If the affected market is worth $1 billion</w:t>
            </w:r>
          </w:p>
        </w:tc>
        <w:tc>
          <w:tcPr>
            <w:tcW w:w="2500" w:type="pct"/>
            <w:tcBorders>
              <w:top w:val="single" w:sz="4" w:space="0" w:color="auto"/>
              <w:bottom w:val="single" w:sz="4" w:space="0" w:color="auto"/>
            </w:tcBorders>
          </w:tcPr>
          <w:p w14:paraId="66057C37" w14:textId="303758F3" w:rsidR="00FF3895" w:rsidRPr="00ED170A" w:rsidRDefault="00D169C1">
            <w:pPr>
              <w:pStyle w:val="Bullet"/>
              <w:numPr>
                <w:ilvl w:val="0"/>
                <w:numId w:val="0"/>
              </w:numPr>
              <w:spacing w:line="240" w:lineRule="auto"/>
              <w:rPr>
                <w:rFonts w:asciiTheme="minorHAnsi" w:hAnsiTheme="minorHAnsi" w:cstheme="minorHAnsi"/>
                <w:sz w:val="20"/>
              </w:rPr>
            </w:pPr>
            <w:r w:rsidRPr="00ED170A">
              <w:rPr>
                <w:rFonts w:asciiTheme="majorHAnsi" w:hAnsiTheme="majorHAnsi" w:cstheme="majorHAnsi"/>
                <w:sz w:val="20"/>
              </w:rPr>
              <w:t>the estimate of the harm would be $</w:t>
            </w:r>
            <w:r w:rsidR="00A450B5" w:rsidRPr="00ED170A">
              <w:rPr>
                <w:rFonts w:asciiTheme="majorHAnsi" w:hAnsiTheme="majorHAnsi" w:cstheme="majorHAnsi"/>
                <w:sz w:val="20"/>
              </w:rPr>
              <w:t xml:space="preserve">100 </w:t>
            </w:r>
            <w:r w:rsidRPr="00ED170A">
              <w:rPr>
                <w:rFonts w:asciiTheme="majorHAnsi" w:hAnsiTheme="majorHAnsi" w:cstheme="majorHAnsi"/>
                <w:sz w:val="20"/>
              </w:rPr>
              <w:t>million</w:t>
            </w:r>
          </w:p>
        </w:tc>
      </w:tr>
      <w:tr w:rsidR="00D169C1" w:rsidRPr="007D6633" w14:paraId="6B0632E6" w14:textId="77777777" w:rsidTr="00ED170A">
        <w:tc>
          <w:tcPr>
            <w:tcW w:w="5000" w:type="pct"/>
            <w:gridSpan w:val="2"/>
            <w:tcBorders>
              <w:top w:val="single" w:sz="4" w:space="0" w:color="auto"/>
              <w:bottom w:val="single" w:sz="4" w:space="0" w:color="auto"/>
            </w:tcBorders>
            <w:shd w:val="clear" w:color="auto" w:fill="EEEEEE" w:themeFill="background2"/>
          </w:tcPr>
          <w:p w14:paraId="710BC15E" w14:textId="5E1C41C3" w:rsidR="00D169C1" w:rsidRPr="00ED170A" w:rsidRDefault="00D169C1">
            <w:pPr>
              <w:pStyle w:val="Bullet"/>
              <w:numPr>
                <w:ilvl w:val="0"/>
                <w:numId w:val="0"/>
              </w:numPr>
              <w:spacing w:line="240" w:lineRule="auto"/>
              <w:rPr>
                <w:rFonts w:asciiTheme="majorHAnsi" w:hAnsiTheme="majorHAnsi" w:cstheme="majorHAnsi"/>
                <w:sz w:val="20"/>
              </w:rPr>
            </w:pPr>
            <w:r w:rsidRPr="00ED170A">
              <w:rPr>
                <w:rFonts w:asciiTheme="majorHAnsi" w:hAnsiTheme="majorHAnsi" w:cstheme="majorHAnsi"/>
                <w:sz w:val="20"/>
              </w:rPr>
              <w:t>An assumption of a 10</w:t>
            </w:r>
            <w:r w:rsidR="0041280B">
              <w:rPr>
                <w:rFonts w:asciiTheme="majorHAnsi" w:hAnsiTheme="majorHAnsi" w:cstheme="majorHAnsi"/>
                <w:sz w:val="20"/>
              </w:rPr>
              <w:t>%</w:t>
            </w:r>
            <w:r w:rsidRPr="00ED170A">
              <w:rPr>
                <w:rFonts w:asciiTheme="majorHAnsi" w:hAnsiTheme="majorHAnsi" w:cstheme="majorHAnsi"/>
                <w:sz w:val="20"/>
              </w:rPr>
              <w:t xml:space="preserve"> price increase enduring for 5 years results in:</w:t>
            </w:r>
          </w:p>
        </w:tc>
      </w:tr>
      <w:tr w:rsidR="00FF3895" w:rsidRPr="007D6633" w14:paraId="48AEEC74" w14:textId="77777777" w:rsidTr="00851478">
        <w:tc>
          <w:tcPr>
            <w:tcW w:w="2500" w:type="pct"/>
            <w:tcBorders>
              <w:top w:val="single" w:sz="12" w:space="0" w:color="auto"/>
              <w:bottom w:val="single" w:sz="12" w:space="0" w:color="auto"/>
            </w:tcBorders>
          </w:tcPr>
          <w:p w14:paraId="434CE515" w14:textId="2C0366C5" w:rsidR="00FF3895" w:rsidRPr="00851478" w:rsidRDefault="00864F77">
            <w:pPr>
              <w:pStyle w:val="Bullet"/>
              <w:numPr>
                <w:ilvl w:val="0"/>
                <w:numId w:val="0"/>
              </w:numPr>
              <w:spacing w:line="240" w:lineRule="auto"/>
              <w:rPr>
                <w:rFonts w:asciiTheme="minorHAnsi" w:hAnsiTheme="minorHAnsi" w:cstheme="minorHAnsi"/>
                <w:sz w:val="20"/>
              </w:rPr>
            </w:pPr>
            <w:r w:rsidRPr="00851478">
              <w:rPr>
                <w:rFonts w:asciiTheme="majorHAnsi" w:hAnsiTheme="majorHAnsi" w:cstheme="majorHAnsi"/>
                <w:sz w:val="20"/>
              </w:rPr>
              <w:t>if the affected market is worth $10 million</w:t>
            </w:r>
          </w:p>
        </w:tc>
        <w:tc>
          <w:tcPr>
            <w:tcW w:w="2500" w:type="pct"/>
            <w:tcBorders>
              <w:top w:val="single" w:sz="12" w:space="0" w:color="auto"/>
              <w:bottom w:val="single" w:sz="12" w:space="0" w:color="auto"/>
            </w:tcBorders>
          </w:tcPr>
          <w:p w14:paraId="77FD3A35" w14:textId="364050D1" w:rsidR="00FF3895" w:rsidRPr="00851478" w:rsidRDefault="00864F77">
            <w:pPr>
              <w:pStyle w:val="Bullet"/>
              <w:numPr>
                <w:ilvl w:val="0"/>
                <w:numId w:val="0"/>
              </w:numPr>
              <w:spacing w:line="240" w:lineRule="auto"/>
              <w:rPr>
                <w:rFonts w:asciiTheme="minorHAnsi" w:hAnsiTheme="minorHAnsi" w:cstheme="minorHAnsi"/>
                <w:sz w:val="20"/>
              </w:rPr>
            </w:pPr>
            <w:r w:rsidRPr="00851478">
              <w:rPr>
                <w:rFonts w:asciiTheme="majorHAnsi" w:hAnsiTheme="majorHAnsi" w:cstheme="majorHAnsi"/>
                <w:sz w:val="20"/>
              </w:rPr>
              <w:t>the estimate of the harm would be $5 million</w:t>
            </w:r>
          </w:p>
        </w:tc>
      </w:tr>
      <w:tr w:rsidR="00FF3895" w:rsidRPr="007D6633" w14:paraId="5D3686C9" w14:textId="77777777" w:rsidTr="00851478">
        <w:tc>
          <w:tcPr>
            <w:tcW w:w="2500" w:type="pct"/>
            <w:tcBorders>
              <w:top w:val="single" w:sz="12" w:space="0" w:color="auto"/>
              <w:bottom w:val="single" w:sz="4" w:space="0" w:color="auto"/>
            </w:tcBorders>
          </w:tcPr>
          <w:p w14:paraId="79B1F8E0" w14:textId="40E08E42" w:rsidR="00FF3895" w:rsidRPr="00851478" w:rsidRDefault="00864F77">
            <w:pPr>
              <w:pStyle w:val="Bullet"/>
              <w:numPr>
                <w:ilvl w:val="0"/>
                <w:numId w:val="0"/>
              </w:numPr>
              <w:spacing w:line="240" w:lineRule="auto"/>
              <w:rPr>
                <w:rFonts w:asciiTheme="minorHAnsi" w:hAnsiTheme="minorHAnsi" w:cstheme="minorHAnsi"/>
                <w:sz w:val="20"/>
              </w:rPr>
            </w:pPr>
            <w:r w:rsidRPr="00851478">
              <w:rPr>
                <w:rFonts w:asciiTheme="majorHAnsi" w:hAnsiTheme="majorHAnsi" w:cstheme="majorHAnsi"/>
                <w:sz w:val="20"/>
              </w:rPr>
              <w:t>if the affected market is worth $100 million</w:t>
            </w:r>
          </w:p>
        </w:tc>
        <w:tc>
          <w:tcPr>
            <w:tcW w:w="2500" w:type="pct"/>
            <w:tcBorders>
              <w:top w:val="single" w:sz="12" w:space="0" w:color="auto"/>
              <w:bottom w:val="single" w:sz="4" w:space="0" w:color="auto"/>
            </w:tcBorders>
          </w:tcPr>
          <w:p w14:paraId="3BA5A84E" w14:textId="2952CDB2" w:rsidR="00FF3895" w:rsidRPr="00851478" w:rsidRDefault="00864F77">
            <w:pPr>
              <w:pStyle w:val="Bullet"/>
              <w:numPr>
                <w:ilvl w:val="0"/>
                <w:numId w:val="0"/>
              </w:numPr>
              <w:spacing w:line="240" w:lineRule="auto"/>
              <w:rPr>
                <w:rFonts w:asciiTheme="minorHAnsi" w:hAnsiTheme="minorHAnsi" w:cstheme="minorHAnsi"/>
                <w:sz w:val="20"/>
              </w:rPr>
            </w:pPr>
            <w:r w:rsidRPr="00851478">
              <w:rPr>
                <w:rFonts w:asciiTheme="majorHAnsi" w:hAnsiTheme="majorHAnsi" w:cstheme="majorHAnsi"/>
                <w:sz w:val="20"/>
              </w:rPr>
              <w:t>the estimate of the harm would be $5</w:t>
            </w:r>
            <w:r w:rsidR="000A446C" w:rsidRPr="00851478">
              <w:rPr>
                <w:rFonts w:asciiTheme="majorHAnsi" w:hAnsiTheme="majorHAnsi" w:cstheme="majorHAnsi"/>
                <w:sz w:val="20"/>
              </w:rPr>
              <w:t>0</w:t>
            </w:r>
            <w:r w:rsidRPr="00851478">
              <w:rPr>
                <w:rFonts w:asciiTheme="majorHAnsi" w:hAnsiTheme="majorHAnsi" w:cstheme="majorHAnsi"/>
                <w:sz w:val="20"/>
              </w:rPr>
              <w:t xml:space="preserve"> million</w:t>
            </w:r>
          </w:p>
        </w:tc>
      </w:tr>
      <w:tr w:rsidR="00FF3895" w:rsidRPr="007D6633" w14:paraId="6C389FA8" w14:textId="77777777" w:rsidTr="00851478">
        <w:tc>
          <w:tcPr>
            <w:tcW w:w="2500" w:type="pct"/>
            <w:tcBorders>
              <w:top w:val="single" w:sz="4" w:space="0" w:color="auto"/>
              <w:bottom w:val="single" w:sz="18" w:space="0" w:color="auto"/>
            </w:tcBorders>
          </w:tcPr>
          <w:p w14:paraId="0FDDADAE" w14:textId="68A9EE58" w:rsidR="00FF3895" w:rsidRPr="00851478" w:rsidRDefault="00864F77">
            <w:pPr>
              <w:pStyle w:val="Bullet"/>
              <w:numPr>
                <w:ilvl w:val="0"/>
                <w:numId w:val="0"/>
              </w:numPr>
              <w:spacing w:line="240" w:lineRule="auto"/>
              <w:rPr>
                <w:rFonts w:asciiTheme="minorHAnsi" w:hAnsiTheme="minorHAnsi" w:cstheme="minorHAnsi"/>
                <w:sz w:val="20"/>
              </w:rPr>
            </w:pPr>
            <w:r w:rsidRPr="00851478">
              <w:rPr>
                <w:rFonts w:asciiTheme="majorHAnsi" w:hAnsiTheme="majorHAnsi" w:cstheme="majorHAnsi"/>
                <w:sz w:val="20"/>
              </w:rPr>
              <w:t>if the affected market is worth $1 billion</w:t>
            </w:r>
          </w:p>
        </w:tc>
        <w:tc>
          <w:tcPr>
            <w:tcW w:w="2500" w:type="pct"/>
            <w:tcBorders>
              <w:top w:val="single" w:sz="4" w:space="0" w:color="auto"/>
              <w:bottom w:val="single" w:sz="18" w:space="0" w:color="auto"/>
            </w:tcBorders>
          </w:tcPr>
          <w:p w14:paraId="465CABD3" w14:textId="5A298726" w:rsidR="00FF3895" w:rsidRPr="00851478" w:rsidRDefault="00864F77">
            <w:pPr>
              <w:pStyle w:val="Bullet"/>
              <w:numPr>
                <w:ilvl w:val="0"/>
                <w:numId w:val="0"/>
              </w:numPr>
              <w:spacing w:line="240" w:lineRule="auto"/>
              <w:rPr>
                <w:rFonts w:asciiTheme="minorHAnsi" w:hAnsiTheme="minorHAnsi" w:cstheme="minorHAnsi"/>
                <w:sz w:val="20"/>
              </w:rPr>
            </w:pPr>
            <w:r w:rsidRPr="00851478">
              <w:rPr>
                <w:rFonts w:asciiTheme="majorHAnsi" w:hAnsiTheme="majorHAnsi" w:cstheme="majorHAnsi"/>
                <w:sz w:val="20"/>
              </w:rPr>
              <w:t>the estimate of the harm would be $</w:t>
            </w:r>
            <w:r w:rsidR="000A446C" w:rsidRPr="00851478">
              <w:rPr>
                <w:rFonts w:asciiTheme="majorHAnsi" w:hAnsiTheme="majorHAnsi" w:cstheme="majorHAnsi"/>
                <w:sz w:val="20"/>
              </w:rPr>
              <w:t xml:space="preserve">500 </w:t>
            </w:r>
            <w:r w:rsidRPr="00851478">
              <w:rPr>
                <w:rFonts w:asciiTheme="majorHAnsi" w:hAnsiTheme="majorHAnsi" w:cstheme="majorHAnsi"/>
                <w:sz w:val="20"/>
              </w:rPr>
              <w:t>million</w:t>
            </w:r>
          </w:p>
        </w:tc>
      </w:tr>
    </w:tbl>
    <w:p w14:paraId="23E7677B" w14:textId="77777777" w:rsidR="00FF3895" w:rsidRPr="003C6897" w:rsidRDefault="00FF3895" w:rsidP="004C41AE">
      <w:pPr>
        <w:pStyle w:val="Dash"/>
        <w:numPr>
          <w:ilvl w:val="0"/>
          <w:numId w:val="0"/>
        </w:numPr>
        <w:spacing w:after="0"/>
        <w:rPr>
          <w:rFonts w:asciiTheme="majorHAnsi" w:hAnsiTheme="majorHAnsi" w:cstheme="majorHAnsi"/>
        </w:rPr>
      </w:pPr>
    </w:p>
    <w:p w14:paraId="2D6D0D20" w14:textId="0E2ABFCA" w:rsidR="00947E3E" w:rsidRPr="003C6897" w:rsidRDefault="00947E3E" w:rsidP="00947E3E">
      <w:pPr>
        <w:pStyle w:val="Bullet"/>
        <w:numPr>
          <w:ilvl w:val="0"/>
          <w:numId w:val="0"/>
        </w:numPr>
        <w:spacing w:line="240" w:lineRule="auto"/>
        <w:rPr>
          <w:rFonts w:asciiTheme="majorHAnsi" w:hAnsiTheme="majorHAnsi" w:cstheme="majorHAnsi"/>
        </w:rPr>
      </w:pPr>
      <w:r w:rsidRPr="003C6897">
        <w:rPr>
          <w:rFonts w:asciiTheme="majorHAnsi" w:hAnsiTheme="majorHAnsi" w:cstheme="majorHAnsi"/>
        </w:rPr>
        <w:t>The most prominent example of non-notification raised by the ACCC (Petstock’s acquisition of a large number of pet stores</w:t>
      </w:r>
      <w:r>
        <w:rPr>
          <w:rFonts w:asciiTheme="majorHAnsi" w:hAnsiTheme="majorHAnsi" w:cstheme="majorHAnsi"/>
        </w:rPr>
        <w:t>)</w:t>
      </w:r>
      <w:r w:rsidRPr="003C6897">
        <w:rPr>
          <w:rFonts w:asciiTheme="majorHAnsi" w:hAnsiTheme="majorHAnsi" w:cstheme="majorHAnsi"/>
        </w:rPr>
        <w:t xml:space="preserve"> took place in a market with revenue </w:t>
      </w:r>
      <w:r w:rsidR="009F6D2D">
        <w:rPr>
          <w:rFonts w:asciiTheme="majorHAnsi" w:hAnsiTheme="majorHAnsi" w:cstheme="majorHAnsi"/>
        </w:rPr>
        <w:t xml:space="preserve">in Australia </w:t>
      </w:r>
      <w:r w:rsidRPr="003C6897">
        <w:rPr>
          <w:rFonts w:asciiTheme="majorHAnsi" w:hAnsiTheme="majorHAnsi" w:cstheme="majorHAnsi"/>
        </w:rPr>
        <w:t>of $3.7 billion in 2023.</w:t>
      </w:r>
      <w:r w:rsidRPr="003C6897">
        <w:rPr>
          <w:rStyle w:val="FootnoteReference"/>
          <w:rFonts w:asciiTheme="majorHAnsi" w:hAnsiTheme="majorHAnsi" w:cstheme="majorHAnsi"/>
        </w:rPr>
        <w:footnoteReference w:id="61"/>
      </w:r>
      <w:r w:rsidRPr="003C6897">
        <w:rPr>
          <w:rFonts w:asciiTheme="majorHAnsi" w:hAnsiTheme="majorHAnsi" w:cstheme="majorHAnsi"/>
        </w:rPr>
        <w:t xml:space="preserve"> </w:t>
      </w:r>
      <w:r>
        <w:rPr>
          <w:rFonts w:asciiTheme="majorHAnsi" w:hAnsiTheme="majorHAnsi" w:cstheme="majorHAnsi"/>
        </w:rPr>
        <w:t>As an illustration, u</w:t>
      </w:r>
      <w:r w:rsidRPr="003C6897">
        <w:rPr>
          <w:rFonts w:asciiTheme="majorHAnsi" w:hAnsiTheme="majorHAnsi" w:cstheme="majorHAnsi"/>
        </w:rPr>
        <w:t>sing the assumptions above</w:t>
      </w:r>
      <w:r>
        <w:rPr>
          <w:rFonts w:asciiTheme="majorHAnsi" w:hAnsiTheme="majorHAnsi" w:cstheme="majorHAnsi"/>
        </w:rPr>
        <w:t>,</w:t>
      </w:r>
      <w:r w:rsidRPr="003C6897">
        <w:rPr>
          <w:rFonts w:asciiTheme="majorHAnsi" w:hAnsiTheme="majorHAnsi" w:cstheme="majorHAnsi"/>
        </w:rPr>
        <w:t xml:space="preserve"> this could result in harm of $</w:t>
      </w:r>
      <w:r w:rsidR="00B100A2">
        <w:rPr>
          <w:rFonts w:asciiTheme="majorHAnsi" w:hAnsiTheme="majorHAnsi" w:cstheme="majorHAnsi"/>
        </w:rPr>
        <w:t>370</w:t>
      </w:r>
      <w:r w:rsidR="00B100A2" w:rsidRPr="003C6897">
        <w:rPr>
          <w:rFonts w:asciiTheme="majorHAnsi" w:hAnsiTheme="majorHAnsi" w:cstheme="majorHAnsi"/>
        </w:rPr>
        <w:t xml:space="preserve"> </w:t>
      </w:r>
      <w:r w:rsidR="00BC72DC">
        <w:rPr>
          <w:rFonts w:asciiTheme="majorHAnsi" w:hAnsiTheme="majorHAnsi" w:cstheme="majorHAnsi"/>
        </w:rPr>
        <w:t>mi</w:t>
      </w:r>
      <w:r w:rsidR="00B41EF1">
        <w:rPr>
          <w:rFonts w:asciiTheme="majorHAnsi" w:hAnsiTheme="majorHAnsi" w:cstheme="majorHAnsi"/>
        </w:rPr>
        <w:t xml:space="preserve">llion </w:t>
      </w:r>
      <w:r w:rsidRPr="003C6897">
        <w:rPr>
          <w:rFonts w:asciiTheme="majorHAnsi" w:hAnsiTheme="majorHAnsi" w:cstheme="majorHAnsi"/>
        </w:rPr>
        <w:t>to $</w:t>
      </w:r>
      <w:r w:rsidR="002A0123">
        <w:rPr>
          <w:rFonts w:asciiTheme="majorHAnsi" w:hAnsiTheme="majorHAnsi" w:cstheme="majorHAnsi"/>
        </w:rPr>
        <w:t xml:space="preserve">1.8 billion </w:t>
      </w:r>
      <w:r w:rsidRPr="003C6897">
        <w:rPr>
          <w:rFonts w:asciiTheme="majorHAnsi" w:hAnsiTheme="majorHAnsi" w:cstheme="majorHAnsi"/>
        </w:rPr>
        <w:t xml:space="preserve">if this type of </w:t>
      </w:r>
      <w:r w:rsidR="007A59D1">
        <w:rPr>
          <w:rFonts w:asciiTheme="majorHAnsi" w:hAnsiTheme="majorHAnsi" w:cstheme="majorHAnsi"/>
        </w:rPr>
        <w:t>merger</w:t>
      </w:r>
      <w:r w:rsidR="007A59D1" w:rsidRPr="003C6897">
        <w:rPr>
          <w:rFonts w:asciiTheme="majorHAnsi" w:hAnsiTheme="majorHAnsi" w:cstheme="majorHAnsi"/>
        </w:rPr>
        <w:t xml:space="preserve"> </w:t>
      </w:r>
      <w:r w:rsidRPr="003C6897">
        <w:rPr>
          <w:rFonts w:asciiTheme="majorHAnsi" w:hAnsiTheme="majorHAnsi" w:cstheme="majorHAnsi"/>
        </w:rPr>
        <w:t>proceeds undetected</w:t>
      </w:r>
      <w:r w:rsidR="006E2E2C">
        <w:rPr>
          <w:rFonts w:asciiTheme="majorHAnsi" w:hAnsiTheme="majorHAnsi" w:cstheme="majorHAnsi"/>
        </w:rPr>
        <w:t xml:space="preserve"> and results in a SLC </w:t>
      </w:r>
      <w:r w:rsidR="00040118">
        <w:rPr>
          <w:rFonts w:asciiTheme="majorHAnsi" w:hAnsiTheme="majorHAnsi" w:cstheme="majorHAnsi"/>
        </w:rPr>
        <w:t>that</w:t>
      </w:r>
      <w:r w:rsidR="006E2E2C">
        <w:rPr>
          <w:rFonts w:asciiTheme="majorHAnsi" w:hAnsiTheme="majorHAnsi" w:cstheme="majorHAnsi"/>
        </w:rPr>
        <w:t xml:space="preserve"> leads to </w:t>
      </w:r>
      <w:r w:rsidR="00A65C84">
        <w:rPr>
          <w:rFonts w:asciiTheme="majorHAnsi" w:hAnsiTheme="majorHAnsi" w:cstheme="majorHAnsi"/>
        </w:rPr>
        <w:t xml:space="preserve">a price increase of </w:t>
      </w:r>
      <w:r w:rsidR="00A47447">
        <w:rPr>
          <w:rFonts w:asciiTheme="majorHAnsi" w:hAnsiTheme="majorHAnsi" w:cstheme="majorHAnsi"/>
        </w:rPr>
        <w:t xml:space="preserve">5 to 10 </w:t>
      </w:r>
      <w:r w:rsidR="00B86EF9">
        <w:rPr>
          <w:rFonts w:asciiTheme="majorHAnsi" w:hAnsiTheme="majorHAnsi" w:cstheme="majorHAnsi"/>
        </w:rPr>
        <w:t>per cent</w:t>
      </w:r>
      <w:r w:rsidR="000172A8">
        <w:rPr>
          <w:rFonts w:asciiTheme="majorHAnsi" w:hAnsiTheme="majorHAnsi" w:cstheme="majorHAnsi"/>
        </w:rPr>
        <w:t xml:space="preserve"> enduring for </w:t>
      </w:r>
      <w:r w:rsidR="00A65C84">
        <w:rPr>
          <w:rFonts w:asciiTheme="majorHAnsi" w:hAnsiTheme="majorHAnsi" w:cstheme="majorHAnsi"/>
        </w:rPr>
        <w:t>between 2 and 5 years</w:t>
      </w:r>
      <w:r w:rsidRPr="003C6897">
        <w:rPr>
          <w:rFonts w:asciiTheme="majorHAnsi" w:hAnsiTheme="majorHAnsi" w:cstheme="majorHAnsi"/>
        </w:rPr>
        <w:t xml:space="preserve">. </w:t>
      </w:r>
    </w:p>
    <w:p w14:paraId="4B9D51F3" w14:textId="5FC920DC" w:rsidR="00947E3E" w:rsidRPr="00E535C6" w:rsidRDefault="00947E3E" w:rsidP="007274CB">
      <w:pPr>
        <w:pStyle w:val="Heading4"/>
      </w:pPr>
      <w:r w:rsidRPr="00E535C6">
        <w:t xml:space="preserve">Time taken to </w:t>
      </w:r>
      <w:r w:rsidR="006E2E2C" w:rsidRPr="00E535C6">
        <w:t xml:space="preserve">assess a </w:t>
      </w:r>
      <w:r w:rsidRPr="00E535C6">
        <w:t>merger</w:t>
      </w:r>
    </w:p>
    <w:p w14:paraId="6D5DC27F" w14:textId="5C4DA6CB" w:rsidR="00947E3E" w:rsidRDefault="00947E3E" w:rsidP="00947E3E">
      <w:pPr>
        <w:pStyle w:val="Dash"/>
        <w:numPr>
          <w:ilvl w:val="0"/>
          <w:numId w:val="0"/>
        </w:numPr>
        <w:rPr>
          <w:rFonts w:asciiTheme="majorHAnsi" w:hAnsiTheme="majorHAnsi" w:cstheme="majorHAnsi"/>
        </w:rPr>
      </w:pPr>
      <w:r>
        <w:rPr>
          <w:rFonts w:asciiTheme="majorHAnsi" w:hAnsiTheme="majorHAnsi" w:cstheme="majorHAnsi"/>
        </w:rPr>
        <w:t>Under the status quo, t</w:t>
      </w:r>
      <w:r w:rsidRPr="00246845">
        <w:rPr>
          <w:rFonts w:asciiTheme="majorHAnsi" w:hAnsiTheme="majorHAnsi" w:cstheme="majorHAnsi"/>
        </w:rPr>
        <w:t xml:space="preserve">he average duration of </w:t>
      </w:r>
      <w:r w:rsidR="005943D0">
        <w:rPr>
          <w:rFonts w:asciiTheme="majorHAnsi" w:hAnsiTheme="majorHAnsi" w:cstheme="majorHAnsi"/>
        </w:rPr>
        <w:t>P</w:t>
      </w:r>
      <w:r w:rsidRPr="00246845">
        <w:rPr>
          <w:rFonts w:asciiTheme="majorHAnsi" w:hAnsiTheme="majorHAnsi" w:cstheme="majorHAnsi"/>
        </w:rPr>
        <w:t xml:space="preserve">hase </w:t>
      </w:r>
      <w:r w:rsidR="009D6C97">
        <w:rPr>
          <w:rFonts w:asciiTheme="majorHAnsi" w:hAnsiTheme="majorHAnsi" w:cstheme="majorHAnsi"/>
        </w:rPr>
        <w:t>1</w:t>
      </w:r>
      <w:r w:rsidRPr="00246845">
        <w:rPr>
          <w:rFonts w:asciiTheme="majorHAnsi" w:hAnsiTheme="majorHAnsi" w:cstheme="majorHAnsi"/>
        </w:rPr>
        <w:t xml:space="preserve"> in 2023 </w:t>
      </w:r>
      <w:r w:rsidR="00B80314">
        <w:rPr>
          <w:rFonts w:asciiTheme="majorHAnsi" w:hAnsiTheme="majorHAnsi" w:cstheme="majorHAnsi"/>
        </w:rPr>
        <w:t>was</w:t>
      </w:r>
      <w:r w:rsidRPr="00246845">
        <w:rPr>
          <w:rFonts w:asciiTheme="majorHAnsi" w:hAnsiTheme="majorHAnsi" w:cstheme="majorHAnsi"/>
        </w:rPr>
        <w:t xml:space="preserve"> 59 </w:t>
      </w:r>
      <w:r>
        <w:rPr>
          <w:rFonts w:asciiTheme="majorHAnsi" w:hAnsiTheme="majorHAnsi" w:cstheme="majorHAnsi"/>
        </w:rPr>
        <w:t xml:space="preserve">working </w:t>
      </w:r>
      <w:r w:rsidRPr="00246845">
        <w:rPr>
          <w:rFonts w:asciiTheme="majorHAnsi" w:hAnsiTheme="majorHAnsi" w:cstheme="majorHAnsi"/>
        </w:rPr>
        <w:t xml:space="preserve">days (with the minimum being 33 and the maximum being 100). The average duration of </w:t>
      </w:r>
      <w:r w:rsidR="005943D0">
        <w:rPr>
          <w:rFonts w:asciiTheme="majorHAnsi" w:hAnsiTheme="majorHAnsi" w:cstheme="majorHAnsi"/>
        </w:rPr>
        <w:t>P</w:t>
      </w:r>
      <w:r w:rsidRPr="00246845">
        <w:rPr>
          <w:rFonts w:asciiTheme="majorHAnsi" w:hAnsiTheme="majorHAnsi" w:cstheme="majorHAnsi"/>
        </w:rPr>
        <w:t xml:space="preserve">hase </w:t>
      </w:r>
      <w:r w:rsidR="009D6C97">
        <w:rPr>
          <w:rFonts w:asciiTheme="majorHAnsi" w:hAnsiTheme="majorHAnsi" w:cstheme="majorHAnsi"/>
        </w:rPr>
        <w:t>2</w:t>
      </w:r>
      <w:r w:rsidRPr="00246845">
        <w:rPr>
          <w:rFonts w:asciiTheme="majorHAnsi" w:hAnsiTheme="majorHAnsi" w:cstheme="majorHAnsi"/>
        </w:rPr>
        <w:t xml:space="preserve"> in 2023 </w:t>
      </w:r>
      <w:r w:rsidR="00B17189">
        <w:rPr>
          <w:rFonts w:asciiTheme="majorHAnsi" w:hAnsiTheme="majorHAnsi" w:cstheme="majorHAnsi"/>
        </w:rPr>
        <w:t>was</w:t>
      </w:r>
      <w:r w:rsidRPr="00246845">
        <w:rPr>
          <w:rFonts w:asciiTheme="majorHAnsi" w:hAnsiTheme="majorHAnsi" w:cstheme="majorHAnsi"/>
        </w:rPr>
        <w:t xml:space="preserve"> 133 </w:t>
      </w:r>
      <w:r>
        <w:rPr>
          <w:rFonts w:asciiTheme="majorHAnsi" w:hAnsiTheme="majorHAnsi" w:cstheme="majorHAnsi"/>
        </w:rPr>
        <w:t xml:space="preserve">working </w:t>
      </w:r>
      <w:r w:rsidRPr="00246845">
        <w:rPr>
          <w:rFonts w:asciiTheme="majorHAnsi" w:hAnsiTheme="majorHAnsi" w:cstheme="majorHAnsi"/>
        </w:rPr>
        <w:t>days (with the minimum being 118 and the maximum being 148)</w:t>
      </w:r>
      <w:r w:rsidR="001D3269">
        <w:rPr>
          <w:rFonts w:asciiTheme="majorHAnsi" w:hAnsiTheme="majorHAnsi" w:cstheme="majorHAnsi"/>
        </w:rPr>
        <w:t>, not including periods where the timeline was suspended while the ACCC waited for information from the merger parties</w:t>
      </w:r>
      <w:r w:rsidR="00FE1A89">
        <w:rPr>
          <w:rFonts w:asciiTheme="majorHAnsi" w:hAnsiTheme="majorHAnsi" w:cstheme="majorHAnsi"/>
        </w:rPr>
        <w:t xml:space="preserve"> </w:t>
      </w:r>
      <w:r w:rsidR="00FE1A89" w:rsidRPr="16D17DFE">
        <w:rPr>
          <w:rFonts w:asciiTheme="majorHAnsi" w:hAnsiTheme="majorHAnsi" w:cstheme="majorBidi"/>
        </w:rPr>
        <w:t xml:space="preserve">and any confidential pre-assessment </w:t>
      </w:r>
      <w:r w:rsidR="00FE1A89" w:rsidRPr="6C6ADF50">
        <w:rPr>
          <w:rFonts w:asciiTheme="majorHAnsi" w:hAnsiTheme="majorHAnsi" w:cstheme="majorBidi"/>
        </w:rPr>
        <w:t>review time</w:t>
      </w:r>
      <w:r w:rsidRPr="00246845">
        <w:rPr>
          <w:rFonts w:asciiTheme="majorHAnsi" w:hAnsiTheme="majorHAnsi" w:cstheme="majorHAnsi"/>
        </w:rPr>
        <w:t xml:space="preserve">. </w:t>
      </w:r>
    </w:p>
    <w:p w14:paraId="40FB7F91" w14:textId="77777777" w:rsidR="00947E3E" w:rsidRPr="00712209" w:rsidRDefault="00947E3E" w:rsidP="00947E3E">
      <w:pPr>
        <w:pStyle w:val="Dash"/>
        <w:numPr>
          <w:ilvl w:val="0"/>
          <w:numId w:val="0"/>
        </w:numPr>
        <w:rPr>
          <w:rFonts w:asciiTheme="majorHAnsi" w:hAnsiTheme="majorHAnsi" w:cstheme="majorHAnsi"/>
        </w:rPr>
      </w:pPr>
      <w:r w:rsidRPr="00712209">
        <w:rPr>
          <w:rFonts w:asciiTheme="majorHAnsi" w:hAnsiTheme="majorHAnsi" w:cstheme="majorHAnsi"/>
        </w:rPr>
        <w:t>The average duration of Federal Court proceedings is 316 calendar days.</w:t>
      </w:r>
      <w:r w:rsidRPr="00712209">
        <w:rPr>
          <w:rStyle w:val="FootnoteReference"/>
          <w:rFonts w:asciiTheme="majorHAnsi" w:hAnsiTheme="majorHAnsi" w:cstheme="majorHAnsi"/>
        </w:rPr>
        <w:footnoteReference w:id="62"/>
      </w:r>
      <w:r w:rsidRPr="00712209">
        <w:rPr>
          <w:rFonts w:asciiTheme="majorHAnsi" w:hAnsiTheme="majorHAnsi" w:cstheme="majorHAnsi"/>
        </w:rPr>
        <w:t xml:space="preserve"> </w:t>
      </w:r>
    </w:p>
    <w:p w14:paraId="0B59BA37" w14:textId="77777777" w:rsidR="00947E3E" w:rsidRPr="00E535C6" w:rsidRDefault="00947E3E" w:rsidP="007274CB">
      <w:pPr>
        <w:pStyle w:val="Heading4"/>
      </w:pPr>
      <w:r w:rsidRPr="00E535C6">
        <w:t>Cost for businesses</w:t>
      </w:r>
    </w:p>
    <w:p w14:paraId="0C498FF9" w14:textId="42672A3E" w:rsidR="00947E3E" w:rsidRDefault="00947E3E" w:rsidP="00E26B9C">
      <w:pPr>
        <w:pStyle w:val="Bullet"/>
        <w:numPr>
          <w:ilvl w:val="0"/>
          <w:numId w:val="0"/>
        </w:numPr>
        <w:spacing w:line="240" w:lineRule="auto"/>
        <w:rPr>
          <w:rFonts w:asciiTheme="majorHAnsi" w:hAnsiTheme="majorHAnsi" w:cstheme="majorHAnsi"/>
        </w:rPr>
      </w:pPr>
      <w:r w:rsidRPr="0071645C">
        <w:rPr>
          <w:rFonts w:asciiTheme="majorHAnsi" w:hAnsiTheme="majorHAnsi" w:cstheme="majorHAnsi"/>
        </w:rPr>
        <w:t>The estimated costs for businesses under the status quo are detailed in Table</w:t>
      </w:r>
      <w:r w:rsidR="006F3160">
        <w:rPr>
          <w:rFonts w:asciiTheme="majorHAnsi" w:hAnsiTheme="majorHAnsi" w:cstheme="majorHAnsi"/>
        </w:rPr>
        <w:t>s</w:t>
      </w:r>
      <w:r w:rsidRPr="0071645C">
        <w:rPr>
          <w:rFonts w:asciiTheme="majorHAnsi" w:hAnsiTheme="majorHAnsi" w:cstheme="majorHAnsi"/>
        </w:rPr>
        <w:t xml:space="preserve"> </w:t>
      </w:r>
      <w:r w:rsidR="009E2192">
        <w:rPr>
          <w:rFonts w:asciiTheme="majorHAnsi" w:hAnsiTheme="majorHAnsi" w:cstheme="majorHAnsi"/>
        </w:rPr>
        <w:t>2</w:t>
      </w:r>
      <w:r w:rsidR="006F3160">
        <w:rPr>
          <w:rFonts w:asciiTheme="majorHAnsi" w:hAnsiTheme="majorHAnsi" w:cstheme="majorHAnsi"/>
        </w:rPr>
        <w:t>a and 2b</w:t>
      </w:r>
      <w:r>
        <w:rPr>
          <w:rFonts w:asciiTheme="majorHAnsi" w:hAnsiTheme="majorHAnsi" w:cstheme="majorHAnsi"/>
        </w:rPr>
        <w:t xml:space="preserve"> below</w:t>
      </w:r>
      <w:r w:rsidRPr="0071645C">
        <w:rPr>
          <w:rFonts w:asciiTheme="majorHAnsi" w:hAnsiTheme="majorHAnsi" w:cstheme="majorHAnsi"/>
        </w:rPr>
        <w:t>.</w:t>
      </w:r>
      <w:r w:rsidR="00826D7F">
        <w:rPr>
          <w:rFonts w:asciiTheme="majorHAnsi" w:hAnsiTheme="majorHAnsi" w:cstheme="majorHAnsi"/>
        </w:rPr>
        <w:t xml:space="preserve"> The methodology and assumptions for these estimates are set out in </w:t>
      </w:r>
      <w:r w:rsidR="00826D7F" w:rsidRPr="006E1825">
        <w:rPr>
          <w:rFonts w:asciiTheme="majorHAnsi" w:hAnsiTheme="majorHAnsi" w:cstheme="majorHAnsi"/>
          <w:u w:val="single"/>
        </w:rPr>
        <w:t>Attachment A</w:t>
      </w:r>
      <w:r w:rsidR="00826D7F">
        <w:rPr>
          <w:rFonts w:asciiTheme="majorHAnsi" w:hAnsiTheme="majorHAnsi" w:cstheme="majorHAnsi"/>
        </w:rPr>
        <w:t>.</w:t>
      </w:r>
    </w:p>
    <w:p w14:paraId="7D24FB93" w14:textId="3E0EE5EF" w:rsidR="00947E3E" w:rsidRPr="000D252F" w:rsidRDefault="00947E3E" w:rsidP="00273A9E">
      <w:pPr>
        <w:rPr>
          <w:rFonts w:asciiTheme="majorHAnsi" w:eastAsiaTheme="minorEastAsia" w:hAnsiTheme="majorHAnsi" w:cs="Segoe UI"/>
          <w:b/>
          <w:color w:val="2C384A" w:themeColor="accent1"/>
          <w:kern w:val="0"/>
        </w:rPr>
      </w:pPr>
      <w:r w:rsidRPr="000D252F">
        <w:rPr>
          <w:rFonts w:asciiTheme="majorHAnsi" w:eastAsiaTheme="minorEastAsia" w:hAnsiTheme="majorHAnsi" w:cs="Segoe UI"/>
          <w:b/>
          <w:color w:val="2C384A" w:themeColor="accent1"/>
          <w:kern w:val="0"/>
        </w:rPr>
        <w:t xml:space="preserve">Table </w:t>
      </w:r>
      <w:r w:rsidR="00BB7046" w:rsidRPr="000D252F">
        <w:rPr>
          <w:rFonts w:asciiTheme="majorHAnsi" w:eastAsiaTheme="minorEastAsia" w:hAnsiTheme="majorHAnsi" w:cs="Segoe UI"/>
          <w:b/>
          <w:color w:val="2C384A" w:themeColor="accent1"/>
          <w:kern w:val="0"/>
        </w:rPr>
        <w:t>2</w:t>
      </w:r>
      <w:r w:rsidR="00715B28" w:rsidRPr="000D252F">
        <w:rPr>
          <w:rFonts w:asciiTheme="majorHAnsi" w:eastAsiaTheme="minorEastAsia" w:hAnsiTheme="majorHAnsi" w:cs="Segoe UI"/>
          <w:b/>
          <w:color w:val="2C384A" w:themeColor="accent1"/>
          <w:kern w:val="0"/>
        </w:rPr>
        <w:t>a</w:t>
      </w:r>
      <w:r w:rsidR="008B4058" w:rsidRPr="000D252F">
        <w:rPr>
          <w:rFonts w:asciiTheme="majorHAnsi" w:eastAsiaTheme="minorEastAsia" w:hAnsiTheme="majorHAnsi" w:cs="Segoe UI"/>
          <w:b/>
          <w:color w:val="2C384A" w:themeColor="accent1"/>
          <w:kern w:val="0"/>
        </w:rPr>
        <w:t>.</w:t>
      </w:r>
      <w:r w:rsidRPr="000D252F">
        <w:rPr>
          <w:rFonts w:asciiTheme="majorHAnsi" w:eastAsiaTheme="minorEastAsia" w:hAnsiTheme="majorHAnsi" w:cs="Segoe UI"/>
          <w:b/>
          <w:color w:val="2C384A" w:themeColor="accent1"/>
          <w:kern w:val="0"/>
        </w:rPr>
        <w:t xml:space="preserve"> </w:t>
      </w:r>
      <w:r w:rsidR="008B4058" w:rsidRPr="000D252F">
        <w:rPr>
          <w:rFonts w:asciiTheme="majorHAnsi" w:eastAsiaTheme="minorEastAsia" w:hAnsiTheme="majorHAnsi" w:cs="Segoe UI"/>
          <w:b/>
          <w:color w:val="2C384A" w:themeColor="accent1"/>
          <w:kern w:val="0"/>
        </w:rPr>
        <w:t>E</w:t>
      </w:r>
      <w:r w:rsidRPr="000D252F">
        <w:rPr>
          <w:rFonts w:asciiTheme="majorHAnsi" w:eastAsiaTheme="minorEastAsia" w:hAnsiTheme="majorHAnsi" w:cs="Segoe UI"/>
          <w:b/>
          <w:color w:val="2C384A" w:themeColor="accent1"/>
          <w:kern w:val="0"/>
        </w:rPr>
        <w:t xml:space="preserve">stimated </w:t>
      </w:r>
      <w:r w:rsidR="00A60B41" w:rsidRPr="000D252F">
        <w:rPr>
          <w:rFonts w:asciiTheme="majorHAnsi" w:eastAsiaTheme="minorEastAsia" w:hAnsiTheme="majorHAnsi" w:cs="Segoe UI"/>
          <w:b/>
          <w:color w:val="2C384A" w:themeColor="accent1"/>
          <w:kern w:val="0"/>
        </w:rPr>
        <w:t xml:space="preserve">direct </w:t>
      </w:r>
      <w:r w:rsidRPr="000D252F">
        <w:rPr>
          <w:rFonts w:asciiTheme="majorHAnsi" w:eastAsiaTheme="minorEastAsia" w:hAnsiTheme="majorHAnsi" w:cs="Segoe UI"/>
          <w:b/>
          <w:color w:val="2C384A" w:themeColor="accent1"/>
          <w:kern w:val="0"/>
        </w:rPr>
        <w:t xml:space="preserve">costs to business under the status quo </w:t>
      </w:r>
      <w:r w:rsidR="00715B28" w:rsidRPr="000D252F">
        <w:rPr>
          <w:rFonts w:asciiTheme="majorHAnsi" w:eastAsiaTheme="minorEastAsia" w:hAnsiTheme="majorHAnsi" w:cs="Segoe UI"/>
          <w:b/>
          <w:color w:val="2C384A" w:themeColor="accent1"/>
          <w:kern w:val="0"/>
        </w:rPr>
        <w:t>(informal review)</w:t>
      </w:r>
    </w:p>
    <w:tbl>
      <w:tblPr>
        <w:tblStyle w:val="TableGrid"/>
        <w:tblW w:w="5000" w:type="pct"/>
        <w:tblBorders>
          <w:bottom w:val="single" w:sz="18" w:space="0" w:color="auto"/>
          <w:insideH w:val="single" w:sz="4" w:space="0" w:color="auto"/>
        </w:tblBorders>
        <w:tblLook w:val="04A0" w:firstRow="1" w:lastRow="0" w:firstColumn="1" w:lastColumn="0" w:noHBand="0" w:noVBand="1"/>
      </w:tblPr>
      <w:tblGrid>
        <w:gridCol w:w="4513"/>
        <w:gridCol w:w="4513"/>
      </w:tblGrid>
      <w:tr w:rsidR="00947E3E" w:rsidRPr="007D6633" w14:paraId="304932D7" w14:textId="77777777" w:rsidTr="0052272B">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2C384A" w:themeFill="accent1"/>
          </w:tcPr>
          <w:p w14:paraId="0ED4387B" w14:textId="77777777" w:rsidR="00947E3E" w:rsidRPr="00F62A12" w:rsidRDefault="00947E3E">
            <w:pPr>
              <w:pStyle w:val="Bullet"/>
              <w:keepNext/>
              <w:numPr>
                <w:ilvl w:val="0"/>
                <w:numId w:val="0"/>
              </w:numPr>
              <w:spacing w:line="240" w:lineRule="auto"/>
              <w:rPr>
                <w:color w:val="FFFFFF" w:themeColor="background1"/>
                <w:sz w:val="22"/>
                <w:szCs w:val="22"/>
              </w:rPr>
            </w:pPr>
            <w:r w:rsidRPr="00F62A12">
              <w:rPr>
                <w:rFonts w:cstheme="minorHAnsi"/>
                <w:color w:val="FFFFFF" w:themeColor="background1"/>
                <w:szCs w:val="22"/>
              </w:rPr>
              <w:t xml:space="preserve">Description of activity </w:t>
            </w:r>
          </w:p>
        </w:tc>
        <w:tc>
          <w:tcPr>
            <w:tcW w:w="2500" w:type="pct"/>
            <w:shd w:val="clear" w:color="auto" w:fill="2C384A" w:themeFill="accent1"/>
          </w:tcPr>
          <w:p w14:paraId="7E8786BE" w14:textId="394F541B" w:rsidR="00947E3E" w:rsidRPr="00F62A12" w:rsidRDefault="00035414">
            <w:pPr>
              <w:pStyle w:val="Bullet"/>
              <w:keepNext/>
              <w:numPr>
                <w:ilvl w:val="0"/>
                <w:numId w:val="0"/>
              </w:numPr>
              <w:spacing w:line="240" w:lineRule="auto"/>
              <w:rPr>
                <w:color w:val="FFFFFF" w:themeColor="background1"/>
                <w:sz w:val="22"/>
                <w:szCs w:val="22"/>
              </w:rPr>
            </w:pPr>
            <w:r>
              <w:rPr>
                <w:color w:val="FFFFFF" w:themeColor="background1"/>
                <w:szCs w:val="22"/>
              </w:rPr>
              <w:t>Estimated c</w:t>
            </w:r>
            <w:r w:rsidR="00947E3E" w:rsidRPr="00F62A12">
              <w:rPr>
                <w:color w:val="FFFFFF" w:themeColor="background1"/>
                <w:szCs w:val="22"/>
              </w:rPr>
              <w:t>ost per merger</w:t>
            </w:r>
            <w:r w:rsidR="0022073B">
              <w:rPr>
                <w:color w:val="FFFFFF" w:themeColor="background1"/>
                <w:szCs w:val="22"/>
              </w:rPr>
              <w:t xml:space="preserve"> (approximate) </w:t>
            </w:r>
          </w:p>
        </w:tc>
      </w:tr>
      <w:tr w:rsidR="00947E3E" w:rsidRPr="007D6633" w14:paraId="56CFB2F2" w14:textId="77777777" w:rsidTr="0052272B">
        <w:tc>
          <w:tcPr>
            <w:tcW w:w="2500" w:type="pct"/>
          </w:tcPr>
          <w:p w14:paraId="033039DA" w14:textId="433DBC12" w:rsidR="00947E3E" w:rsidRPr="0036266A" w:rsidRDefault="00947E3E">
            <w:pPr>
              <w:pStyle w:val="Bullet"/>
              <w:numPr>
                <w:ilvl w:val="0"/>
                <w:numId w:val="0"/>
              </w:numPr>
              <w:spacing w:line="240" w:lineRule="auto"/>
              <w:rPr>
                <w:rFonts w:asciiTheme="minorHAnsi" w:hAnsiTheme="minorHAnsi" w:cstheme="minorHAnsi"/>
                <w:sz w:val="20"/>
              </w:rPr>
            </w:pPr>
            <w:r w:rsidRPr="00F62A12">
              <w:rPr>
                <w:rFonts w:asciiTheme="minorHAnsi" w:hAnsiTheme="minorHAnsi" w:cstheme="minorHAnsi"/>
                <w:sz w:val="20"/>
              </w:rPr>
              <w:t xml:space="preserve">Consider notification </w:t>
            </w:r>
          </w:p>
        </w:tc>
        <w:tc>
          <w:tcPr>
            <w:tcW w:w="2500" w:type="pct"/>
          </w:tcPr>
          <w:p w14:paraId="6C280834" w14:textId="335A6441" w:rsidR="00947E3E" w:rsidRPr="006778BF" w:rsidRDefault="00947E3E">
            <w:pPr>
              <w:pStyle w:val="Bullet"/>
              <w:numPr>
                <w:ilvl w:val="0"/>
                <w:numId w:val="0"/>
              </w:numPr>
              <w:spacing w:line="240" w:lineRule="auto"/>
              <w:rPr>
                <w:rFonts w:asciiTheme="minorHAnsi" w:hAnsiTheme="minorHAnsi" w:cstheme="minorHAnsi"/>
                <w:sz w:val="20"/>
              </w:rPr>
            </w:pPr>
            <w:r w:rsidRPr="006778BF">
              <w:rPr>
                <w:rFonts w:asciiTheme="minorHAnsi" w:hAnsiTheme="minorHAnsi" w:cstheme="minorHAnsi"/>
                <w:sz w:val="20"/>
              </w:rPr>
              <w:t>$</w:t>
            </w:r>
            <w:r w:rsidR="00BE3B31" w:rsidRPr="006778BF">
              <w:rPr>
                <w:rFonts w:asciiTheme="minorHAnsi" w:hAnsiTheme="minorHAnsi" w:cstheme="minorHAnsi"/>
                <w:sz w:val="20"/>
              </w:rPr>
              <w:t>30</w:t>
            </w:r>
            <w:r w:rsidRPr="006778BF">
              <w:rPr>
                <w:rFonts w:asciiTheme="minorHAnsi" w:hAnsiTheme="minorHAnsi" w:cstheme="minorHAnsi"/>
                <w:sz w:val="20"/>
              </w:rPr>
              <w:t>,000</w:t>
            </w:r>
          </w:p>
        </w:tc>
      </w:tr>
      <w:tr w:rsidR="00947E3E" w:rsidRPr="007D6633" w14:paraId="40C6D73F" w14:textId="77777777" w:rsidTr="0052272B">
        <w:tc>
          <w:tcPr>
            <w:tcW w:w="2500" w:type="pct"/>
          </w:tcPr>
          <w:p w14:paraId="7910C8A6" w14:textId="1951AADF" w:rsidR="00947E3E" w:rsidRPr="00F62A12" w:rsidRDefault="00947E3E">
            <w:pPr>
              <w:pStyle w:val="Bullet"/>
              <w:numPr>
                <w:ilvl w:val="0"/>
                <w:numId w:val="0"/>
              </w:numPr>
              <w:spacing w:line="240" w:lineRule="auto"/>
              <w:rPr>
                <w:rFonts w:asciiTheme="minorHAnsi" w:hAnsiTheme="minorHAnsi" w:cstheme="minorHAnsi"/>
                <w:sz w:val="20"/>
              </w:rPr>
            </w:pPr>
            <w:r w:rsidRPr="00F62A12">
              <w:rPr>
                <w:rFonts w:asciiTheme="minorHAnsi" w:hAnsiTheme="minorHAnsi" w:cstheme="minorHAnsi"/>
                <w:sz w:val="20"/>
              </w:rPr>
              <w:t>Prepare a</w:t>
            </w:r>
            <w:r w:rsidR="009C18B9" w:rsidRPr="00F62A12">
              <w:rPr>
                <w:rFonts w:asciiTheme="minorHAnsi" w:hAnsiTheme="minorHAnsi" w:cstheme="minorHAnsi"/>
                <w:sz w:val="20"/>
              </w:rPr>
              <w:t xml:space="preserve"> notification</w:t>
            </w:r>
          </w:p>
        </w:tc>
        <w:tc>
          <w:tcPr>
            <w:tcW w:w="2500" w:type="pct"/>
          </w:tcPr>
          <w:p w14:paraId="13EE873C" w14:textId="28E2BACA" w:rsidR="00947E3E" w:rsidRPr="006778BF" w:rsidRDefault="00C630C8">
            <w:pPr>
              <w:pStyle w:val="Bullet"/>
              <w:numPr>
                <w:ilvl w:val="0"/>
                <w:numId w:val="0"/>
              </w:numPr>
              <w:spacing w:line="240" w:lineRule="auto"/>
              <w:rPr>
                <w:rFonts w:asciiTheme="minorHAnsi" w:hAnsiTheme="minorHAnsi" w:cstheme="minorHAnsi"/>
                <w:sz w:val="20"/>
              </w:rPr>
            </w:pPr>
            <w:bookmarkStart w:id="71" w:name="_Hlk175760907"/>
            <w:r w:rsidRPr="006778BF">
              <w:rPr>
                <w:rFonts w:asciiTheme="minorHAnsi" w:hAnsiTheme="minorHAnsi" w:cstheme="minorHAnsi"/>
                <w:sz w:val="20"/>
              </w:rPr>
              <w:t>$</w:t>
            </w:r>
            <w:r w:rsidR="00F94009" w:rsidRPr="006778BF">
              <w:rPr>
                <w:rFonts w:asciiTheme="minorHAnsi" w:hAnsiTheme="minorHAnsi" w:cstheme="minorHAnsi"/>
                <w:sz w:val="20"/>
              </w:rPr>
              <w:t>38,000</w:t>
            </w:r>
            <w:r w:rsidRPr="006778BF">
              <w:rPr>
                <w:rFonts w:asciiTheme="minorHAnsi" w:hAnsiTheme="minorHAnsi" w:cstheme="minorHAnsi"/>
                <w:sz w:val="20"/>
              </w:rPr>
              <w:t xml:space="preserve"> for simple </w:t>
            </w:r>
            <w:r w:rsidR="00041B47" w:rsidRPr="006778BF">
              <w:rPr>
                <w:rFonts w:asciiTheme="minorHAnsi" w:hAnsiTheme="minorHAnsi" w:cstheme="minorHAnsi"/>
                <w:sz w:val="20"/>
              </w:rPr>
              <w:t>notifications</w:t>
            </w:r>
            <w:r w:rsidRPr="006778BF">
              <w:rPr>
                <w:rFonts w:asciiTheme="minorHAnsi" w:hAnsiTheme="minorHAnsi" w:cstheme="minorHAnsi"/>
                <w:sz w:val="20"/>
              </w:rPr>
              <w:t xml:space="preserve"> </w:t>
            </w:r>
            <w:r w:rsidR="00ED5732" w:rsidRPr="006778BF">
              <w:rPr>
                <w:rFonts w:asciiTheme="minorHAnsi" w:hAnsiTheme="minorHAnsi" w:cstheme="minorHAnsi"/>
                <w:sz w:val="20"/>
              </w:rPr>
              <w:br/>
            </w:r>
            <w:r w:rsidR="00260F2F" w:rsidRPr="006778BF">
              <w:rPr>
                <w:rFonts w:asciiTheme="minorHAnsi" w:hAnsiTheme="minorHAnsi" w:cstheme="minorHAnsi"/>
                <w:sz w:val="20"/>
              </w:rPr>
              <w:t>$</w:t>
            </w:r>
            <w:r w:rsidR="003921A2" w:rsidRPr="006778BF">
              <w:rPr>
                <w:rFonts w:asciiTheme="minorHAnsi" w:hAnsiTheme="minorHAnsi" w:cstheme="minorHAnsi"/>
                <w:sz w:val="20"/>
              </w:rPr>
              <w:t>166,000</w:t>
            </w:r>
            <w:r w:rsidR="00260F2F" w:rsidRPr="006778BF">
              <w:rPr>
                <w:rFonts w:asciiTheme="minorHAnsi" w:hAnsiTheme="minorHAnsi" w:cstheme="minorHAnsi"/>
                <w:sz w:val="20"/>
              </w:rPr>
              <w:t xml:space="preserve"> for </w:t>
            </w:r>
            <w:r w:rsidR="00FD2367" w:rsidRPr="006778BF">
              <w:rPr>
                <w:rFonts w:asciiTheme="minorHAnsi" w:hAnsiTheme="minorHAnsi" w:cstheme="minorHAnsi"/>
                <w:sz w:val="20"/>
              </w:rPr>
              <w:t xml:space="preserve">non-simple notifications </w:t>
            </w:r>
            <w:r w:rsidR="00ED5732" w:rsidRPr="006778BF">
              <w:rPr>
                <w:rFonts w:asciiTheme="minorHAnsi" w:hAnsiTheme="minorHAnsi" w:cstheme="minorHAnsi"/>
                <w:sz w:val="20"/>
              </w:rPr>
              <w:br/>
            </w:r>
            <w:r w:rsidR="00041B47" w:rsidRPr="006778BF">
              <w:rPr>
                <w:rFonts w:asciiTheme="minorHAnsi" w:hAnsiTheme="minorHAnsi" w:cstheme="minorHAnsi"/>
                <w:sz w:val="20"/>
              </w:rPr>
              <w:t>$</w:t>
            </w:r>
            <w:r w:rsidR="004D42E9" w:rsidRPr="006778BF">
              <w:rPr>
                <w:rFonts w:asciiTheme="minorHAnsi" w:hAnsiTheme="minorHAnsi" w:cstheme="minorHAnsi"/>
                <w:sz w:val="20"/>
              </w:rPr>
              <w:t>490,000</w:t>
            </w:r>
            <w:r w:rsidR="00041B47" w:rsidRPr="006778BF">
              <w:rPr>
                <w:rFonts w:asciiTheme="minorHAnsi" w:hAnsiTheme="minorHAnsi" w:cstheme="minorHAnsi"/>
                <w:sz w:val="20"/>
              </w:rPr>
              <w:t xml:space="preserve"> for complex notifications </w:t>
            </w:r>
            <w:bookmarkEnd w:id="71"/>
          </w:p>
        </w:tc>
      </w:tr>
      <w:tr w:rsidR="00947E3E" w:rsidRPr="007D6633" w14:paraId="762861F6" w14:textId="77777777" w:rsidTr="0052272B">
        <w:tc>
          <w:tcPr>
            <w:tcW w:w="2500" w:type="pct"/>
          </w:tcPr>
          <w:p w14:paraId="273C6C8C" w14:textId="60DC0FE2" w:rsidR="00947E3E" w:rsidRPr="00F62A12" w:rsidRDefault="00947E3E">
            <w:pPr>
              <w:pStyle w:val="Bullet"/>
              <w:numPr>
                <w:ilvl w:val="0"/>
                <w:numId w:val="0"/>
              </w:numPr>
              <w:spacing w:line="240" w:lineRule="auto"/>
              <w:rPr>
                <w:rFonts w:asciiTheme="minorHAnsi" w:hAnsiTheme="minorHAnsi" w:cstheme="minorHAnsi"/>
                <w:sz w:val="20"/>
              </w:rPr>
            </w:pPr>
            <w:r w:rsidRPr="00F62A12">
              <w:rPr>
                <w:rFonts w:asciiTheme="minorHAnsi" w:hAnsiTheme="minorHAnsi" w:cstheme="minorHAnsi"/>
                <w:sz w:val="20"/>
              </w:rPr>
              <w:t xml:space="preserve">The costs incurred in </w:t>
            </w:r>
            <w:r w:rsidR="005943D0" w:rsidRPr="00F62A12">
              <w:rPr>
                <w:rFonts w:asciiTheme="minorHAnsi" w:hAnsiTheme="minorHAnsi" w:cstheme="minorHAnsi"/>
                <w:sz w:val="20"/>
              </w:rPr>
              <w:t>P</w:t>
            </w:r>
            <w:r w:rsidRPr="00F62A12">
              <w:rPr>
                <w:rFonts w:asciiTheme="minorHAnsi" w:hAnsiTheme="minorHAnsi" w:cstheme="minorHAnsi"/>
                <w:sz w:val="20"/>
              </w:rPr>
              <w:t xml:space="preserve">hase </w:t>
            </w:r>
            <w:r w:rsidR="00326BBD">
              <w:rPr>
                <w:rFonts w:asciiTheme="minorHAnsi" w:hAnsiTheme="minorHAnsi" w:cstheme="minorHAnsi"/>
                <w:sz w:val="20"/>
              </w:rPr>
              <w:t>1</w:t>
            </w:r>
          </w:p>
        </w:tc>
        <w:tc>
          <w:tcPr>
            <w:tcW w:w="2500" w:type="pct"/>
          </w:tcPr>
          <w:p w14:paraId="541CF679" w14:textId="691FE52A" w:rsidR="00947E3E" w:rsidRPr="006778BF" w:rsidRDefault="00947E3E">
            <w:pPr>
              <w:pStyle w:val="Bullet"/>
              <w:numPr>
                <w:ilvl w:val="0"/>
                <w:numId w:val="0"/>
              </w:numPr>
              <w:spacing w:line="240" w:lineRule="auto"/>
              <w:rPr>
                <w:rFonts w:asciiTheme="minorHAnsi" w:hAnsiTheme="minorHAnsi" w:cstheme="minorHAnsi"/>
                <w:sz w:val="20"/>
              </w:rPr>
            </w:pPr>
            <w:r w:rsidRPr="006778BF">
              <w:rPr>
                <w:rFonts w:asciiTheme="minorHAnsi" w:hAnsiTheme="minorHAnsi" w:cstheme="minorHAnsi"/>
                <w:sz w:val="20"/>
              </w:rPr>
              <w:t>$</w:t>
            </w:r>
            <w:r w:rsidR="008018F3" w:rsidRPr="006778BF">
              <w:rPr>
                <w:rFonts w:asciiTheme="minorHAnsi" w:hAnsiTheme="minorHAnsi" w:cstheme="minorHAnsi"/>
                <w:sz w:val="20"/>
              </w:rPr>
              <w:t>2</w:t>
            </w:r>
            <w:r w:rsidR="00967F35" w:rsidRPr="006778BF">
              <w:rPr>
                <w:rFonts w:asciiTheme="minorHAnsi" w:hAnsiTheme="minorHAnsi" w:cstheme="minorHAnsi"/>
                <w:sz w:val="20"/>
              </w:rPr>
              <w:t>50,000</w:t>
            </w:r>
          </w:p>
        </w:tc>
      </w:tr>
      <w:tr w:rsidR="00947E3E" w:rsidRPr="007D6633" w14:paraId="25C3628F" w14:textId="77777777" w:rsidTr="0052272B">
        <w:tc>
          <w:tcPr>
            <w:tcW w:w="2500" w:type="pct"/>
          </w:tcPr>
          <w:p w14:paraId="06430AB0" w14:textId="7FC9AF47" w:rsidR="00947E3E" w:rsidRPr="00F62A12" w:rsidRDefault="00947E3E">
            <w:pPr>
              <w:pStyle w:val="Bullet"/>
              <w:numPr>
                <w:ilvl w:val="0"/>
                <w:numId w:val="0"/>
              </w:numPr>
              <w:spacing w:line="240" w:lineRule="auto"/>
              <w:rPr>
                <w:rFonts w:asciiTheme="minorHAnsi" w:hAnsiTheme="minorHAnsi" w:cstheme="minorHAnsi"/>
                <w:sz w:val="20"/>
              </w:rPr>
            </w:pPr>
            <w:r w:rsidRPr="00F62A12">
              <w:rPr>
                <w:rFonts w:asciiTheme="minorHAnsi" w:hAnsiTheme="minorHAnsi" w:cstheme="minorHAnsi"/>
                <w:sz w:val="20"/>
              </w:rPr>
              <w:t xml:space="preserve">The costs incurred in </w:t>
            </w:r>
            <w:r w:rsidR="005943D0" w:rsidRPr="00F62A12">
              <w:rPr>
                <w:rFonts w:asciiTheme="minorHAnsi" w:hAnsiTheme="minorHAnsi" w:cstheme="minorHAnsi"/>
                <w:sz w:val="20"/>
              </w:rPr>
              <w:t>P</w:t>
            </w:r>
            <w:r w:rsidRPr="00F62A12">
              <w:rPr>
                <w:rFonts w:asciiTheme="minorHAnsi" w:hAnsiTheme="minorHAnsi" w:cstheme="minorHAnsi"/>
                <w:sz w:val="20"/>
              </w:rPr>
              <w:t xml:space="preserve">hase </w:t>
            </w:r>
            <w:r w:rsidR="00326BBD">
              <w:rPr>
                <w:rFonts w:asciiTheme="minorHAnsi" w:hAnsiTheme="minorHAnsi" w:cstheme="minorHAnsi"/>
                <w:sz w:val="20"/>
              </w:rPr>
              <w:t>2</w:t>
            </w:r>
            <w:r w:rsidRPr="00F62A12">
              <w:rPr>
                <w:rFonts w:asciiTheme="minorHAnsi" w:hAnsiTheme="minorHAnsi" w:cstheme="minorHAnsi"/>
                <w:sz w:val="20"/>
              </w:rPr>
              <w:t xml:space="preserve"> </w:t>
            </w:r>
          </w:p>
        </w:tc>
        <w:tc>
          <w:tcPr>
            <w:tcW w:w="2500" w:type="pct"/>
          </w:tcPr>
          <w:p w14:paraId="54FDC034" w14:textId="325E0D40" w:rsidR="00947E3E" w:rsidRPr="00F62A12" w:rsidRDefault="00947E3E">
            <w:pPr>
              <w:pStyle w:val="Bullet"/>
              <w:numPr>
                <w:ilvl w:val="0"/>
                <w:numId w:val="0"/>
              </w:numPr>
              <w:spacing w:line="240" w:lineRule="auto"/>
              <w:rPr>
                <w:rFonts w:asciiTheme="minorHAnsi" w:hAnsiTheme="minorHAnsi" w:cstheme="minorHAnsi"/>
                <w:sz w:val="20"/>
              </w:rPr>
            </w:pPr>
            <w:r w:rsidRPr="006778BF">
              <w:rPr>
                <w:rFonts w:asciiTheme="minorHAnsi" w:hAnsiTheme="minorHAnsi" w:cstheme="minorHAnsi"/>
                <w:sz w:val="20"/>
              </w:rPr>
              <w:t>$</w:t>
            </w:r>
            <w:r w:rsidR="006479B4" w:rsidRPr="006778BF">
              <w:rPr>
                <w:rFonts w:asciiTheme="minorHAnsi" w:hAnsiTheme="minorHAnsi" w:cstheme="minorHAnsi"/>
                <w:sz w:val="20"/>
              </w:rPr>
              <w:t>1</w:t>
            </w:r>
            <w:r w:rsidRPr="006778BF">
              <w:rPr>
                <w:rFonts w:asciiTheme="minorHAnsi" w:hAnsiTheme="minorHAnsi" w:cstheme="minorHAnsi"/>
                <w:sz w:val="20"/>
              </w:rPr>
              <w:t xml:space="preserve"> million</w:t>
            </w:r>
          </w:p>
        </w:tc>
      </w:tr>
      <w:tr w:rsidR="00947E3E" w:rsidRPr="007D6633" w14:paraId="242C3560" w14:textId="77777777" w:rsidTr="0052272B">
        <w:tc>
          <w:tcPr>
            <w:tcW w:w="2500" w:type="pct"/>
          </w:tcPr>
          <w:p w14:paraId="53A8CF5B" w14:textId="1D9E3EEF" w:rsidR="00947E3E" w:rsidRPr="00F62A12" w:rsidRDefault="00947E3E">
            <w:pPr>
              <w:pStyle w:val="Bullet"/>
              <w:numPr>
                <w:ilvl w:val="0"/>
                <w:numId w:val="0"/>
              </w:numPr>
              <w:spacing w:line="240" w:lineRule="auto"/>
              <w:rPr>
                <w:rFonts w:asciiTheme="minorHAnsi" w:hAnsiTheme="minorHAnsi" w:cstheme="minorHAnsi"/>
                <w:sz w:val="20"/>
              </w:rPr>
            </w:pPr>
            <w:r w:rsidRPr="00F62A12">
              <w:rPr>
                <w:rFonts w:asciiTheme="minorHAnsi" w:hAnsiTheme="minorHAnsi" w:cstheme="minorHAnsi"/>
                <w:sz w:val="20"/>
              </w:rPr>
              <w:t>The costs incurred in proposing remedies</w:t>
            </w:r>
          </w:p>
        </w:tc>
        <w:tc>
          <w:tcPr>
            <w:tcW w:w="2500" w:type="pct"/>
          </w:tcPr>
          <w:p w14:paraId="0E27B3DF" w14:textId="74AFD728" w:rsidR="00947E3E" w:rsidRPr="00F62A12" w:rsidRDefault="00947E3E">
            <w:pPr>
              <w:pStyle w:val="Bullet"/>
              <w:numPr>
                <w:ilvl w:val="0"/>
                <w:numId w:val="0"/>
              </w:numPr>
              <w:spacing w:line="240" w:lineRule="auto"/>
              <w:rPr>
                <w:rFonts w:asciiTheme="minorHAnsi" w:hAnsiTheme="minorHAnsi" w:cstheme="minorHAnsi"/>
                <w:sz w:val="20"/>
              </w:rPr>
            </w:pPr>
            <w:r w:rsidRPr="0052272B">
              <w:rPr>
                <w:rFonts w:asciiTheme="minorHAnsi" w:hAnsiTheme="minorHAnsi" w:cstheme="minorHAnsi"/>
                <w:sz w:val="20"/>
              </w:rPr>
              <w:t>$</w:t>
            </w:r>
            <w:r w:rsidR="000043FC" w:rsidRPr="0052272B">
              <w:rPr>
                <w:rFonts w:asciiTheme="minorHAnsi" w:hAnsiTheme="minorHAnsi" w:cstheme="minorHAnsi"/>
                <w:sz w:val="20"/>
              </w:rPr>
              <w:t>1</w:t>
            </w:r>
            <w:r w:rsidR="008813DE" w:rsidRPr="0052272B">
              <w:rPr>
                <w:rFonts w:asciiTheme="minorHAnsi" w:hAnsiTheme="minorHAnsi" w:cstheme="minorHAnsi"/>
                <w:sz w:val="20"/>
              </w:rPr>
              <w:t>68</w:t>
            </w:r>
            <w:r w:rsidR="000043FC" w:rsidRPr="0052272B">
              <w:rPr>
                <w:rFonts w:asciiTheme="minorHAnsi" w:hAnsiTheme="minorHAnsi" w:cstheme="minorHAnsi"/>
                <w:sz w:val="20"/>
              </w:rPr>
              <w:t>,000</w:t>
            </w:r>
          </w:p>
        </w:tc>
      </w:tr>
      <w:tr w:rsidR="00947E3E" w:rsidRPr="007D6633" w14:paraId="058D0A08" w14:textId="77777777" w:rsidTr="0052272B">
        <w:tc>
          <w:tcPr>
            <w:tcW w:w="2500" w:type="pct"/>
          </w:tcPr>
          <w:p w14:paraId="4F0862AA" w14:textId="05C823FC" w:rsidR="00947E3E" w:rsidRPr="00F62A12" w:rsidRDefault="00947E3E">
            <w:pPr>
              <w:pStyle w:val="Bullet"/>
              <w:numPr>
                <w:ilvl w:val="0"/>
                <w:numId w:val="0"/>
              </w:numPr>
              <w:spacing w:line="240" w:lineRule="auto"/>
              <w:rPr>
                <w:rFonts w:asciiTheme="minorHAnsi" w:hAnsiTheme="minorHAnsi" w:cstheme="minorHAnsi"/>
                <w:sz w:val="20"/>
              </w:rPr>
            </w:pPr>
            <w:r w:rsidRPr="00F62A12">
              <w:rPr>
                <w:rFonts w:asciiTheme="minorHAnsi" w:hAnsiTheme="minorHAnsi" w:cstheme="minorHAnsi"/>
                <w:sz w:val="20"/>
              </w:rPr>
              <w:t>The costs incurred in Federal Court Proceedings</w:t>
            </w:r>
          </w:p>
        </w:tc>
        <w:tc>
          <w:tcPr>
            <w:tcW w:w="2500" w:type="pct"/>
          </w:tcPr>
          <w:p w14:paraId="0FBDF5D8" w14:textId="45E8638B" w:rsidR="00947E3E" w:rsidRPr="00F62A12" w:rsidRDefault="00947E3E">
            <w:pPr>
              <w:pStyle w:val="Bullet"/>
              <w:numPr>
                <w:ilvl w:val="0"/>
                <w:numId w:val="0"/>
              </w:numPr>
              <w:spacing w:line="240" w:lineRule="auto"/>
              <w:rPr>
                <w:rFonts w:asciiTheme="minorHAnsi" w:hAnsiTheme="minorHAnsi" w:cstheme="minorHAnsi"/>
                <w:sz w:val="20"/>
              </w:rPr>
            </w:pPr>
            <w:r w:rsidRPr="0003725B">
              <w:rPr>
                <w:rFonts w:asciiTheme="minorHAnsi" w:hAnsiTheme="minorHAnsi" w:cstheme="minorHAnsi"/>
                <w:sz w:val="20"/>
              </w:rPr>
              <w:t>$11 million</w:t>
            </w:r>
            <w:r w:rsidRPr="0003725B">
              <w:rPr>
                <w:rStyle w:val="FootnoteReference"/>
                <w:rFonts w:asciiTheme="minorHAnsi" w:hAnsiTheme="minorHAnsi" w:cstheme="minorHAnsi"/>
                <w:sz w:val="20"/>
              </w:rPr>
              <w:footnoteReference w:id="63"/>
            </w:r>
          </w:p>
        </w:tc>
      </w:tr>
    </w:tbl>
    <w:p w14:paraId="0EC68EFB" w14:textId="77777777" w:rsidR="00947E3E" w:rsidRDefault="00947E3E">
      <w:pPr>
        <w:pStyle w:val="Bullet"/>
        <w:numPr>
          <w:ilvl w:val="0"/>
          <w:numId w:val="0"/>
        </w:numPr>
        <w:spacing w:after="0" w:line="240" w:lineRule="auto"/>
        <w:rPr>
          <w:rFonts w:asciiTheme="majorHAnsi" w:hAnsiTheme="majorHAnsi" w:cstheme="majorHAnsi"/>
          <w:b/>
          <w:bCs/>
        </w:rPr>
      </w:pPr>
    </w:p>
    <w:p w14:paraId="2004CCF8" w14:textId="4AC1442F" w:rsidR="00715B28" w:rsidRPr="0001145D" w:rsidRDefault="00715B28" w:rsidP="0001145D">
      <w:pPr>
        <w:rPr>
          <w:rFonts w:asciiTheme="majorHAnsi" w:eastAsiaTheme="minorEastAsia" w:hAnsiTheme="majorHAnsi" w:cs="Segoe UI"/>
          <w:b/>
          <w:color w:val="2C384A" w:themeColor="accent1"/>
          <w:kern w:val="0"/>
        </w:rPr>
      </w:pPr>
      <w:r w:rsidRPr="0001145D">
        <w:rPr>
          <w:rFonts w:asciiTheme="majorHAnsi" w:eastAsiaTheme="minorEastAsia" w:hAnsiTheme="majorHAnsi" w:cs="Segoe UI"/>
          <w:b/>
          <w:color w:val="2C384A" w:themeColor="accent1"/>
          <w:kern w:val="0"/>
        </w:rPr>
        <w:t>Table 2b</w:t>
      </w:r>
      <w:r w:rsidR="008B4058" w:rsidRPr="0001145D">
        <w:rPr>
          <w:rFonts w:asciiTheme="majorHAnsi" w:eastAsiaTheme="minorEastAsia" w:hAnsiTheme="majorHAnsi" w:cs="Segoe UI"/>
          <w:b/>
          <w:color w:val="2C384A" w:themeColor="accent1"/>
          <w:kern w:val="0"/>
        </w:rPr>
        <w:t>.</w:t>
      </w:r>
      <w:r w:rsidRPr="0001145D">
        <w:rPr>
          <w:rFonts w:asciiTheme="majorHAnsi" w:eastAsiaTheme="minorEastAsia" w:hAnsiTheme="majorHAnsi" w:cs="Segoe UI"/>
          <w:b/>
          <w:color w:val="2C384A" w:themeColor="accent1"/>
          <w:kern w:val="0"/>
        </w:rPr>
        <w:t xml:space="preserve"> </w:t>
      </w:r>
      <w:r w:rsidR="008B4058" w:rsidRPr="0001145D">
        <w:rPr>
          <w:rFonts w:asciiTheme="majorHAnsi" w:eastAsiaTheme="minorEastAsia" w:hAnsiTheme="majorHAnsi" w:cs="Segoe UI"/>
          <w:b/>
          <w:color w:val="2C384A" w:themeColor="accent1"/>
          <w:kern w:val="0"/>
        </w:rPr>
        <w:t>E</w:t>
      </w:r>
      <w:r w:rsidRPr="0001145D">
        <w:rPr>
          <w:rFonts w:asciiTheme="majorHAnsi" w:eastAsiaTheme="minorEastAsia" w:hAnsiTheme="majorHAnsi" w:cs="Segoe UI"/>
          <w:b/>
          <w:color w:val="2C384A" w:themeColor="accent1"/>
          <w:kern w:val="0"/>
        </w:rPr>
        <w:t xml:space="preserve">stimated </w:t>
      </w:r>
      <w:r w:rsidR="00A60B41" w:rsidRPr="0001145D">
        <w:rPr>
          <w:rFonts w:asciiTheme="majorHAnsi" w:eastAsiaTheme="minorEastAsia" w:hAnsiTheme="majorHAnsi" w:cs="Segoe UI"/>
          <w:b/>
          <w:color w:val="2C384A" w:themeColor="accent1"/>
          <w:kern w:val="0"/>
        </w:rPr>
        <w:t>direct</w:t>
      </w:r>
      <w:r w:rsidRPr="0001145D">
        <w:rPr>
          <w:rFonts w:asciiTheme="majorHAnsi" w:eastAsiaTheme="minorEastAsia" w:hAnsiTheme="majorHAnsi" w:cs="Segoe UI"/>
          <w:b/>
          <w:color w:val="2C384A" w:themeColor="accent1"/>
          <w:kern w:val="0"/>
        </w:rPr>
        <w:t xml:space="preserve"> costs to business under the status quo (merger authorisation)</w:t>
      </w:r>
    </w:p>
    <w:tbl>
      <w:tblPr>
        <w:tblStyle w:val="TableGrid"/>
        <w:tblW w:w="5000" w:type="pct"/>
        <w:tblBorders>
          <w:bottom w:val="single" w:sz="18" w:space="0" w:color="auto"/>
          <w:insideH w:val="single" w:sz="4" w:space="0" w:color="auto"/>
        </w:tblBorders>
        <w:tblLook w:val="04A0" w:firstRow="1" w:lastRow="0" w:firstColumn="1" w:lastColumn="0" w:noHBand="0" w:noVBand="1"/>
      </w:tblPr>
      <w:tblGrid>
        <w:gridCol w:w="4513"/>
        <w:gridCol w:w="4513"/>
      </w:tblGrid>
      <w:tr w:rsidR="00444410" w:rsidRPr="007D6633" w14:paraId="5FEDEF4D" w14:textId="77777777" w:rsidTr="003E5F58">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2C384A" w:themeFill="accent1"/>
          </w:tcPr>
          <w:p w14:paraId="73381657" w14:textId="77777777" w:rsidR="00715B28" w:rsidRPr="00F62A12" w:rsidRDefault="00715B28" w:rsidP="002022E1">
            <w:pPr>
              <w:pStyle w:val="Bullet"/>
              <w:keepNext/>
              <w:numPr>
                <w:ilvl w:val="0"/>
                <w:numId w:val="0"/>
              </w:numPr>
              <w:spacing w:line="240" w:lineRule="auto"/>
              <w:rPr>
                <w:color w:val="FFFFFF" w:themeColor="background1"/>
                <w:sz w:val="22"/>
                <w:szCs w:val="22"/>
              </w:rPr>
            </w:pPr>
            <w:r w:rsidRPr="00F62A12">
              <w:rPr>
                <w:rFonts w:cstheme="minorHAnsi"/>
                <w:color w:val="FFFFFF" w:themeColor="background1"/>
                <w:szCs w:val="22"/>
              </w:rPr>
              <w:t xml:space="preserve">Description of activity </w:t>
            </w:r>
          </w:p>
        </w:tc>
        <w:tc>
          <w:tcPr>
            <w:tcW w:w="2500" w:type="pct"/>
            <w:shd w:val="clear" w:color="auto" w:fill="2C384A" w:themeFill="accent1"/>
          </w:tcPr>
          <w:p w14:paraId="49BDF60D" w14:textId="5C4AE6CD" w:rsidR="00715B28" w:rsidRPr="00F62A12" w:rsidRDefault="00035414" w:rsidP="002022E1">
            <w:pPr>
              <w:pStyle w:val="Bullet"/>
              <w:keepNext/>
              <w:numPr>
                <w:ilvl w:val="0"/>
                <w:numId w:val="0"/>
              </w:numPr>
              <w:spacing w:line="240" w:lineRule="auto"/>
              <w:rPr>
                <w:color w:val="FFFFFF" w:themeColor="background1"/>
                <w:sz w:val="22"/>
                <w:szCs w:val="22"/>
              </w:rPr>
            </w:pPr>
            <w:r>
              <w:rPr>
                <w:color w:val="FFFFFF" w:themeColor="background1"/>
                <w:szCs w:val="22"/>
              </w:rPr>
              <w:t>Estimated c</w:t>
            </w:r>
            <w:r w:rsidR="00715B28" w:rsidRPr="00F62A12">
              <w:rPr>
                <w:color w:val="FFFFFF" w:themeColor="background1"/>
                <w:szCs w:val="22"/>
              </w:rPr>
              <w:t>ost per merger</w:t>
            </w:r>
            <w:r>
              <w:rPr>
                <w:color w:val="FFFFFF" w:themeColor="background1"/>
                <w:szCs w:val="22"/>
              </w:rPr>
              <w:t xml:space="preserve"> (approximate)</w:t>
            </w:r>
          </w:p>
        </w:tc>
      </w:tr>
      <w:tr w:rsidR="00715B28" w:rsidRPr="0003725B" w14:paraId="76AE35A5" w14:textId="77777777" w:rsidTr="00F62A12">
        <w:tc>
          <w:tcPr>
            <w:tcW w:w="2500" w:type="pct"/>
          </w:tcPr>
          <w:p w14:paraId="4F13390E" w14:textId="7190F47E" w:rsidR="00715B28" w:rsidRPr="0003725B" w:rsidRDefault="00715B28" w:rsidP="002022E1">
            <w:pPr>
              <w:pStyle w:val="Bullet"/>
              <w:numPr>
                <w:ilvl w:val="0"/>
                <w:numId w:val="0"/>
              </w:numPr>
              <w:spacing w:line="240" w:lineRule="auto"/>
              <w:rPr>
                <w:rFonts w:asciiTheme="minorHAnsi" w:hAnsiTheme="minorHAnsi" w:cstheme="minorHAnsi"/>
                <w:sz w:val="20"/>
              </w:rPr>
            </w:pPr>
            <w:r w:rsidRPr="0003725B">
              <w:rPr>
                <w:rFonts w:asciiTheme="minorHAnsi" w:hAnsiTheme="minorHAnsi" w:cstheme="minorHAnsi"/>
                <w:sz w:val="20"/>
              </w:rPr>
              <w:t xml:space="preserve">Consider notification </w:t>
            </w:r>
          </w:p>
        </w:tc>
        <w:tc>
          <w:tcPr>
            <w:tcW w:w="2500" w:type="pct"/>
          </w:tcPr>
          <w:p w14:paraId="2F80AE5F" w14:textId="29F276A0" w:rsidR="00715B28" w:rsidRPr="0003725B" w:rsidRDefault="00715B28" w:rsidP="002022E1">
            <w:pPr>
              <w:pStyle w:val="Bullet"/>
              <w:numPr>
                <w:ilvl w:val="0"/>
                <w:numId w:val="0"/>
              </w:numPr>
              <w:spacing w:line="240" w:lineRule="auto"/>
              <w:rPr>
                <w:rFonts w:asciiTheme="minorHAnsi" w:hAnsiTheme="minorHAnsi" w:cstheme="minorHAnsi"/>
                <w:sz w:val="20"/>
              </w:rPr>
            </w:pPr>
            <w:r w:rsidRPr="0003725B">
              <w:rPr>
                <w:rFonts w:asciiTheme="minorHAnsi" w:hAnsiTheme="minorHAnsi" w:cstheme="minorHAnsi"/>
                <w:sz w:val="20"/>
              </w:rPr>
              <w:t>$</w:t>
            </w:r>
            <w:r w:rsidR="00BE3B31" w:rsidRPr="0003725B">
              <w:rPr>
                <w:rFonts w:asciiTheme="minorHAnsi" w:hAnsiTheme="minorHAnsi" w:cstheme="minorHAnsi"/>
                <w:sz w:val="20"/>
              </w:rPr>
              <w:t>30</w:t>
            </w:r>
            <w:r w:rsidRPr="0003725B">
              <w:rPr>
                <w:rFonts w:asciiTheme="minorHAnsi" w:hAnsiTheme="minorHAnsi" w:cstheme="minorHAnsi"/>
                <w:sz w:val="20"/>
              </w:rPr>
              <w:t>,000</w:t>
            </w:r>
          </w:p>
        </w:tc>
      </w:tr>
      <w:tr w:rsidR="00715B28" w:rsidRPr="0003725B" w14:paraId="1218FBCB" w14:textId="77777777" w:rsidTr="00F62A12">
        <w:tc>
          <w:tcPr>
            <w:tcW w:w="2500" w:type="pct"/>
          </w:tcPr>
          <w:p w14:paraId="144CF18E" w14:textId="77777777" w:rsidR="00715B28" w:rsidRPr="0003725B" w:rsidRDefault="00715B28" w:rsidP="002022E1">
            <w:pPr>
              <w:pStyle w:val="Bullet"/>
              <w:numPr>
                <w:ilvl w:val="0"/>
                <w:numId w:val="0"/>
              </w:numPr>
              <w:spacing w:line="240" w:lineRule="auto"/>
              <w:rPr>
                <w:rFonts w:asciiTheme="minorHAnsi" w:hAnsiTheme="minorHAnsi" w:cstheme="minorHAnsi"/>
                <w:sz w:val="20"/>
              </w:rPr>
            </w:pPr>
            <w:r w:rsidRPr="0003725B">
              <w:rPr>
                <w:rFonts w:asciiTheme="minorHAnsi" w:hAnsiTheme="minorHAnsi" w:cstheme="minorHAnsi"/>
                <w:sz w:val="20"/>
              </w:rPr>
              <w:t>Prepare a notification</w:t>
            </w:r>
          </w:p>
        </w:tc>
        <w:tc>
          <w:tcPr>
            <w:tcW w:w="2500" w:type="pct"/>
          </w:tcPr>
          <w:p w14:paraId="66DB9CBD" w14:textId="7B1E4B92" w:rsidR="00715B28" w:rsidRPr="0003725B" w:rsidRDefault="00715B28" w:rsidP="009959A5">
            <w:pPr>
              <w:pStyle w:val="Bullet"/>
              <w:numPr>
                <w:ilvl w:val="0"/>
                <w:numId w:val="0"/>
              </w:numPr>
              <w:spacing w:line="240" w:lineRule="auto"/>
              <w:rPr>
                <w:rFonts w:asciiTheme="minorHAnsi" w:hAnsiTheme="minorHAnsi" w:cstheme="minorHAnsi"/>
                <w:sz w:val="20"/>
              </w:rPr>
            </w:pPr>
            <w:r w:rsidRPr="0003725B">
              <w:rPr>
                <w:rFonts w:asciiTheme="minorHAnsi" w:hAnsiTheme="minorHAnsi" w:cstheme="minorHAnsi"/>
                <w:sz w:val="20"/>
              </w:rPr>
              <w:t>$</w:t>
            </w:r>
            <w:r w:rsidR="00F41983" w:rsidRPr="0003725B">
              <w:rPr>
                <w:rFonts w:asciiTheme="minorHAnsi" w:hAnsiTheme="minorHAnsi" w:cstheme="minorHAnsi"/>
                <w:sz w:val="20"/>
              </w:rPr>
              <w:t>69,000</w:t>
            </w:r>
            <w:r w:rsidRPr="0003725B">
              <w:rPr>
                <w:rFonts w:asciiTheme="minorHAnsi" w:hAnsiTheme="minorHAnsi" w:cstheme="minorHAnsi"/>
                <w:sz w:val="20"/>
              </w:rPr>
              <w:t>for simple notifications</w:t>
            </w:r>
            <w:r w:rsidR="009959A5" w:rsidRPr="0003725B">
              <w:rPr>
                <w:rFonts w:asciiTheme="minorHAnsi" w:hAnsiTheme="minorHAnsi" w:cstheme="minorHAnsi"/>
                <w:sz w:val="20"/>
              </w:rPr>
              <w:br/>
            </w:r>
            <w:r w:rsidRPr="0003725B">
              <w:rPr>
                <w:rFonts w:asciiTheme="minorHAnsi" w:hAnsiTheme="minorHAnsi" w:cstheme="minorHAnsi"/>
                <w:sz w:val="20"/>
              </w:rPr>
              <w:t>$</w:t>
            </w:r>
            <w:r w:rsidR="00C833C2" w:rsidRPr="0003725B">
              <w:rPr>
                <w:rFonts w:asciiTheme="minorHAnsi" w:hAnsiTheme="minorHAnsi" w:cstheme="minorHAnsi"/>
                <w:sz w:val="20"/>
              </w:rPr>
              <w:t>290,000</w:t>
            </w:r>
            <w:r w:rsidRPr="0003725B">
              <w:rPr>
                <w:rFonts w:asciiTheme="minorHAnsi" w:hAnsiTheme="minorHAnsi" w:cstheme="minorHAnsi"/>
                <w:sz w:val="20"/>
              </w:rPr>
              <w:t xml:space="preserve"> for non-simple notifications</w:t>
            </w:r>
            <w:r w:rsidR="009959A5" w:rsidRPr="0003725B">
              <w:rPr>
                <w:rFonts w:asciiTheme="minorHAnsi" w:hAnsiTheme="minorHAnsi" w:cstheme="minorHAnsi"/>
                <w:sz w:val="20"/>
              </w:rPr>
              <w:br/>
            </w:r>
            <w:r w:rsidR="00AB0887" w:rsidRPr="0003725B">
              <w:rPr>
                <w:rFonts w:asciiTheme="minorHAnsi" w:hAnsiTheme="minorHAnsi" w:cstheme="minorHAnsi"/>
                <w:sz w:val="20"/>
              </w:rPr>
              <w:t>$</w:t>
            </w:r>
            <w:r w:rsidR="003D56D5" w:rsidRPr="0003725B">
              <w:rPr>
                <w:rFonts w:asciiTheme="minorHAnsi" w:hAnsiTheme="minorHAnsi" w:cstheme="minorHAnsi"/>
                <w:sz w:val="20"/>
              </w:rPr>
              <w:t>2.4</w:t>
            </w:r>
            <w:r w:rsidR="00AB0887" w:rsidRPr="0003725B">
              <w:rPr>
                <w:rFonts w:asciiTheme="minorHAnsi" w:hAnsiTheme="minorHAnsi" w:cstheme="minorHAnsi"/>
                <w:sz w:val="20"/>
              </w:rPr>
              <w:t xml:space="preserve"> million</w:t>
            </w:r>
            <w:r w:rsidRPr="0003725B">
              <w:rPr>
                <w:rFonts w:asciiTheme="minorHAnsi" w:hAnsiTheme="minorHAnsi" w:cstheme="minorHAnsi"/>
                <w:sz w:val="20"/>
              </w:rPr>
              <w:t xml:space="preserve"> for complex notifications </w:t>
            </w:r>
          </w:p>
        </w:tc>
      </w:tr>
      <w:tr w:rsidR="00715B28" w:rsidRPr="0003725B" w14:paraId="1CB5059B" w14:textId="77777777" w:rsidTr="00F62A12">
        <w:tc>
          <w:tcPr>
            <w:tcW w:w="2500" w:type="pct"/>
          </w:tcPr>
          <w:p w14:paraId="63805B42" w14:textId="2A4D45EE" w:rsidR="00715B28" w:rsidRPr="0003725B" w:rsidRDefault="00715B28" w:rsidP="002022E1">
            <w:pPr>
              <w:pStyle w:val="Bullet"/>
              <w:numPr>
                <w:ilvl w:val="0"/>
                <w:numId w:val="0"/>
              </w:numPr>
              <w:spacing w:line="240" w:lineRule="auto"/>
              <w:rPr>
                <w:rFonts w:asciiTheme="minorHAnsi" w:hAnsiTheme="minorHAnsi" w:cstheme="minorHAnsi"/>
                <w:sz w:val="20"/>
              </w:rPr>
            </w:pPr>
            <w:r w:rsidRPr="0003725B">
              <w:rPr>
                <w:rFonts w:asciiTheme="minorHAnsi" w:hAnsiTheme="minorHAnsi" w:cstheme="minorHAnsi"/>
                <w:sz w:val="20"/>
              </w:rPr>
              <w:t xml:space="preserve">The costs incurred in Phase </w:t>
            </w:r>
            <w:r w:rsidR="002E5CDF" w:rsidRPr="0003725B">
              <w:rPr>
                <w:rFonts w:asciiTheme="minorHAnsi" w:hAnsiTheme="minorHAnsi" w:cstheme="minorHAnsi"/>
                <w:sz w:val="20"/>
              </w:rPr>
              <w:t>1</w:t>
            </w:r>
          </w:p>
        </w:tc>
        <w:tc>
          <w:tcPr>
            <w:tcW w:w="2500" w:type="pct"/>
          </w:tcPr>
          <w:p w14:paraId="4E39DBE0" w14:textId="3F07EEB3" w:rsidR="00715B28" w:rsidRPr="0003725B" w:rsidRDefault="00715B28" w:rsidP="002022E1">
            <w:pPr>
              <w:pStyle w:val="Bullet"/>
              <w:numPr>
                <w:ilvl w:val="0"/>
                <w:numId w:val="0"/>
              </w:numPr>
              <w:spacing w:line="240" w:lineRule="auto"/>
              <w:rPr>
                <w:rFonts w:asciiTheme="minorHAnsi" w:hAnsiTheme="minorHAnsi" w:cstheme="minorHAnsi"/>
                <w:sz w:val="20"/>
              </w:rPr>
            </w:pPr>
            <w:r w:rsidRPr="0003725B">
              <w:rPr>
                <w:rFonts w:asciiTheme="minorHAnsi" w:hAnsiTheme="minorHAnsi" w:cstheme="minorHAnsi"/>
                <w:sz w:val="20"/>
              </w:rPr>
              <w:t>$</w:t>
            </w:r>
            <w:r w:rsidR="00DA4D45" w:rsidRPr="0003725B">
              <w:rPr>
                <w:rFonts w:asciiTheme="minorHAnsi" w:hAnsiTheme="minorHAnsi" w:cstheme="minorHAnsi"/>
                <w:sz w:val="20"/>
              </w:rPr>
              <w:t>800</w:t>
            </w:r>
            <w:r w:rsidR="003A2944" w:rsidRPr="0003725B">
              <w:rPr>
                <w:rFonts w:asciiTheme="minorHAnsi" w:hAnsiTheme="minorHAnsi" w:cstheme="minorHAnsi"/>
                <w:sz w:val="20"/>
              </w:rPr>
              <w:t>,000</w:t>
            </w:r>
          </w:p>
        </w:tc>
      </w:tr>
      <w:tr w:rsidR="00715B28" w:rsidRPr="0003725B" w14:paraId="0DD5B580" w14:textId="77777777" w:rsidTr="00F62A12">
        <w:tc>
          <w:tcPr>
            <w:tcW w:w="2500" w:type="pct"/>
          </w:tcPr>
          <w:p w14:paraId="67A4CDFE" w14:textId="3C39010B" w:rsidR="00715B28" w:rsidRPr="0003725B" w:rsidRDefault="00715B28" w:rsidP="002022E1">
            <w:pPr>
              <w:pStyle w:val="Bullet"/>
              <w:numPr>
                <w:ilvl w:val="0"/>
                <w:numId w:val="0"/>
              </w:numPr>
              <w:spacing w:line="240" w:lineRule="auto"/>
              <w:rPr>
                <w:rFonts w:asciiTheme="minorHAnsi" w:hAnsiTheme="minorHAnsi" w:cstheme="minorHAnsi"/>
                <w:sz w:val="20"/>
              </w:rPr>
            </w:pPr>
            <w:r w:rsidRPr="0003725B">
              <w:rPr>
                <w:rFonts w:asciiTheme="minorHAnsi" w:hAnsiTheme="minorHAnsi" w:cstheme="minorHAnsi"/>
                <w:sz w:val="20"/>
              </w:rPr>
              <w:t xml:space="preserve">The costs incurred in Phase </w:t>
            </w:r>
            <w:r w:rsidR="002E5CDF" w:rsidRPr="0003725B">
              <w:rPr>
                <w:rFonts w:asciiTheme="minorHAnsi" w:hAnsiTheme="minorHAnsi" w:cstheme="minorHAnsi"/>
                <w:sz w:val="20"/>
              </w:rPr>
              <w:t>2</w:t>
            </w:r>
            <w:r w:rsidRPr="0003725B">
              <w:rPr>
                <w:rFonts w:asciiTheme="minorHAnsi" w:hAnsiTheme="minorHAnsi" w:cstheme="minorHAnsi"/>
                <w:sz w:val="20"/>
              </w:rPr>
              <w:t xml:space="preserve"> </w:t>
            </w:r>
          </w:p>
        </w:tc>
        <w:tc>
          <w:tcPr>
            <w:tcW w:w="2500" w:type="pct"/>
          </w:tcPr>
          <w:p w14:paraId="387F7C70" w14:textId="78426652" w:rsidR="00715B28" w:rsidRPr="0003725B" w:rsidRDefault="00715B28" w:rsidP="002022E1">
            <w:pPr>
              <w:pStyle w:val="Bullet"/>
              <w:numPr>
                <w:ilvl w:val="0"/>
                <w:numId w:val="0"/>
              </w:numPr>
              <w:spacing w:line="240" w:lineRule="auto"/>
              <w:rPr>
                <w:rFonts w:asciiTheme="minorHAnsi" w:hAnsiTheme="minorHAnsi" w:cstheme="minorHAnsi"/>
                <w:sz w:val="20"/>
              </w:rPr>
            </w:pPr>
            <w:r w:rsidRPr="0003725B">
              <w:rPr>
                <w:rFonts w:asciiTheme="minorHAnsi" w:hAnsiTheme="minorHAnsi" w:cstheme="minorHAnsi"/>
                <w:sz w:val="20"/>
              </w:rPr>
              <w:t>$</w:t>
            </w:r>
            <w:r w:rsidR="003A2944" w:rsidRPr="0003725B">
              <w:rPr>
                <w:rFonts w:asciiTheme="minorHAnsi" w:hAnsiTheme="minorHAnsi" w:cstheme="minorHAnsi"/>
                <w:sz w:val="20"/>
              </w:rPr>
              <w:t>1.9</w:t>
            </w:r>
            <w:r w:rsidRPr="0003725B">
              <w:rPr>
                <w:rFonts w:asciiTheme="minorHAnsi" w:hAnsiTheme="minorHAnsi" w:cstheme="minorHAnsi"/>
                <w:sz w:val="20"/>
              </w:rPr>
              <w:t xml:space="preserve"> million</w:t>
            </w:r>
          </w:p>
        </w:tc>
      </w:tr>
      <w:tr w:rsidR="00715B28" w:rsidRPr="0003725B" w14:paraId="6BB13F17" w14:textId="77777777" w:rsidTr="00F62A12">
        <w:tc>
          <w:tcPr>
            <w:tcW w:w="2500" w:type="pct"/>
          </w:tcPr>
          <w:p w14:paraId="5AA096B0" w14:textId="77777777" w:rsidR="00715B28" w:rsidRPr="0003725B" w:rsidRDefault="00715B28" w:rsidP="002022E1">
            <w:pPr>
              <w:pStyle w:val="Bullet"/>
              <w:numPr>
                <w:ilvl w:val="0"/>
                <w:numId w:val="0"/>
              </w:numPr>
              <w:spacing w:line="240" w:lineRule="auto"/>
              <w:rPr>
                <w:rFonts w:asciiTheme="minorHAnsi" w:hAnsiTheme="minorHAnsi" w:cstheme="minorHAnsi"/>
                <w:sz w:val="20"/>
              </w:rPr>
            </w:pPr>
            <w:r w:rsidRPr="0003725B">
              <w:rPr>
                <w:rFonts w:asciiTheme="minorHAnsi" w:hAnsiTheme="minorHAnsi" w:cstheme="minorHAnsi"/>
                <w:sz w:val="20"/>
              </w:rPr>
              <w:t>The costs incurred in proposing remedies</w:t>
            </w:r>
          </w:p>
        </w:tc>
        <w:tc>
          <w:tcPr>
            <w:tcW w:w="2500" w:type="pct"/>
          </w:tcPr>
          <w:p w14:paraId="5DC1B7B3" w14:textId="24A0443E" w:rsidR="00715B28" w:rsidRPr="0003725B" w:rsidRDefault="00715B28" w:rsidP="002022E1">
            <w:pPr>
              <w:pStyle w:val="Bullet"/>
              <w:numPr>
                <w:ilvl w:val="0"/>
                <w:numId w:val="0"/>
              </w:numPr>
              <w:spacing w:line="240" w:lineRule="auto"/>
              <w:rPr>
                <w:rFonts w:asciiTheme="minorHAnsi" w:hAnsiTheme="minorHAnsi" w:cstheme="minorHAnsi"/>
                <w:sz w:val="20"/>
              </w:rPr>
            </w:pPr>
            <w:r w:rsidRPr="0003725B">
              <w:rPr>
                <w:rFonts w:asciiTheme="minorHAnsi" w:hAnsiTheme="minorHAnsi" w:cstheme="minorHAnsi"/>
                <w:sz w:val="20"/>
              </w:rPr>
              <w:t>$</w:t>
            </w:r>
            <w:r w:rsidR="00101878" w:rsidRPr="0003725B">
              <w:rPr>
                <w:rFonts w:asciiTheme="minorHAnsi" w:hAnsiTheme="minorHAnsi" w:cstheme="minorHAnsi"/>
                <w:sz w:val="20"/>
              </w:rPr>
              <w:t>410,000</w:t>
            </w:r>
          </w:p>
        </w:tc>
      </w:tr>
      <w:tr w:rsidR="00715B28" w:rsidRPr="0003725B" w14:paraId="1A2B91CC" w14:textId="77777777" w:rsidTr="00F62A12">
        <w:tc>
          <w:tcPr>
            <w:tcW w:w="2500" w:type="pct"/>
          </w:tcPr>
          <w:p w14:paraId="09CE593C" w14:textId="2FC769CF" w:rsidR="00715B28" w:rsidRPr="0003725B" w:rsidRDefault="00715B28" w:rsidP="002022E1">
            <w:pPr>
              <w:pStyle w:val="Bullet"/>
              <w:numPr>
                <w:ilvl w:val="0"/>
                <w:numId w:val="0"/>
              </w:numPr>
              <w:spacing w:line="240" w:lineRule="auto"/>
              <w:rPr>
                <w:rFonts w:asciiTheme="minorHAnsi" w:hAnsiTheme="minorHAnsi" w:cstheme="minorHAnsi"/>
                <w:sz w:val="20"/>
              </w:rPr>
            </w:pPr>
            <w:r w:rsidRPr="0003725B">
              <w:rPr>
                <w:rFonts w:asciiTheme="minorHAnsi" w:hAnsiTheme="minorHAnsi" w:cstheme="minorHAnsi"/>
                <w:sz w:val="20"/>
              </w:rPr>
              <w:t xml:space="preserve">The costs incurred in </w:t>
            </w:r>
            <w:r w:rsidR="00386813" w:rsidRPr="0003725B">
              <w:rPr>
                <w:rFonts w:asciiTheme="minorHAnsi" w:hAnsiTheme="minorHAnsi" w:cstheme="minorHAnsi"/>
                <w:sz w:val="20"/>
              </w:rPr>
              <w:t>review</w:t>
            </w:r>
            <w:r w:rsidR="00A50657" w:rsidRPr="0003725B">
              <w:rPr>
                <w:rFonts w:asciiTheme="minorHAnsi" w:hAnsiTheme="minorHAnsi" w:cstheme="minorHAnsi"/>
                <w:sz w:val="20"/>
              </w:rPr>
              <w:t xml:space="preserve"> by the Tribunal </w:t>
            </w:r>
          </w:p>
        </w:tc>
        <w:tc>
          <w:tcPr>
            <w:tcW w:w="2500" w:type="pct"/>
          </w:tcPr>
          <w:p w14:paraId="4C41FA49" w14:textId="24464787" w:rsidR="00715B28" w:rsidRPr="0003725B" w:rsidRDefault="00AB0887" w:rsidP="002022E1">
            <w:pPr>
              <w:pStyle w:val="Bullet"/>
              <w:numPr>
                <w:ilvl w:val="0"/>
                <w:numId w:val="0"/>
              </w:numPr>
              <w:spacing w:line="240" w:lineRule="auto"/>
              <w:rPr>
                <w:rFonts w:asciiTheme="minorHAnsi" w:hAnsiTheme="minorHAnsi" w:cstheme="minorHAnsi"/>
                <w:sz w:val="20"/>
              </w:rPr>
            </w:pPr>
            <w:r w:rsidRPr="0003725B">
              <w:rPr>
                <w:rFonts w:asciiTheme="minorHAnsi" w:hAnsiTheme="minorHAnsi" w:cstheme="minorHAnsi"/>
                <w:sz w:val="20"/>
              </w:rPr>
              <w:t>$</w:t>
            </w:r>
            <w:r w:rsidR="00FF712A" w:rsidRPr="0003725B">
              <w:rPr>
                <w:rFonts w:asciiTheme="minorHAnsi" w:hAnsiTheme="minorHAnsi" w:cstheme="minorHAnsi"/>
                <w:sz w:val="20"/>
              </w:rPr>
              <w:t>5</w:t>
            </w:r>
            <w:r w:rsidR="00CB1720" w:rsidRPr="0003725B">
              <w:rPr>
                <w:rFonts w:asciiTheme="minorHAnsi" w:hAnsiTheme="minorHAnsi" w:cstheme="minorHAnsi"/>
                <w:sz w:val="20"/>
              </w:rPr>
              <w:t>.</w:t>
            </w:r>
            <w:r w:rsidR="00FF712A" w:rsidRPr="0003725B">
              <w:rPr>
                <w:rFonts w:asciiTheme="minorHAnsi" w:hAnsiTheme="minorHAnsi" w:cstheme="minorHAnsi"/>
                <w:sz w:val="20"/>
              </w:rPr>
              <w:t>6</w:t>
            </w:r>
            <w:r w:rsidRPr="0003725B">
              <w:rPr>
                <w:rFonts w:asciiTheme="minorHAnsi" w:hAnsiTheme="minorHAnsi" w:cstheme="minorHAnsi"/>
                <w:sz w:val="20"/>
              </w:rPr>
              <w:t xml:space="preserve"> million</w:t>
            </w:r>
          </w:p>
        </w:tc>
      </w:tr>
    </w:tbl>
    <w:p w14:paraId="11BFEEFE" w14:textId="77777777" w:rsidR="00715B28" w:rsidRPr="0003725B" w:rsidRDefault="00715B28" w:rsidP="00947E3E">
      <w:pPr>
        <w:pStyle w:val="Bullet"/>
        <w:numPr>
          <w:ilvl w:val="0"/>
          <w:numId w:val="0"/>
        </w:numPr>
        <w:spacing w:line="240" w:lineRule="auto"/>
        <w:rPr>
          <w:rFonts w:asciiTheme="majorHAnsi" w:hAnsiTheme="majorHAnsi" w:cstheme="majorHAnsi"/>
        </w:rPr>
      </w:pPr>
    </w:p>
    <w:p w14:paraId="19984092" w14:textId="4DD0C8B1" w:rsidR="00D175DC" w:rsidRDefault="00D175DC" w:rsidP="00D175DC">
      <w:pPr>
        <w:pStyle w:val="Bullet"/>
        <w:numPr>
          <w:ilvl w:val="0"/>
          <w:numId w:val="0"/>
        </w:numPr>
        <w:spacing w:line="240" w:lineRule="auto"/>
        <w:rPr>
          <w:rFonts w:asciiTheme="majorHAnsi" w:hAnsiTheme="majorHAnsi" w:cstheme="majorHAnsi"/>
        </w:rPr>
      </w:pPr>
      <w:r w:rsidRPr="0003725B">
        <w:rPr>
          <w:rFonts w:asciiTheme="majorHAnsi" w:hAnsiTheme="majorHAnsi" w:cstheme="majorHAnsi"/>
        </w:rPr>
        <w:t xml:space="preserve">The total annual </w:t>
      </w:r>
      <w:r w:rsidR="00A60B41" w:rsidRPr="0003725B">
        <w:rPr>
          <w:rFonts w:asciiTheme="majorHAnsi" w:hAnsiTheme="majorHAnsi" w:cstheme="majorHAnsi"/>
        </w:rPr>
        <w:t xml:space="preserve">direct </w:t>
      </w:r>
      <w:r w:rsidRPr="0003725B">
        <w:rPr>
          <w:rFonts w:asciiTheme="majorHAnsi" w:hAnsiTheme="majorHAnsi" w:cstheme="majorHAnsi"/>
        </w:rPr>
        <w:t>cost</w:t>
      </w:r>
      <w:r w:rsidR="00BC3949" w:rsidRPr="0003725B">
        <w:rPr>
          <w:rFonts w:asciiTheme="majorHAnsi" w:hAnsiTheme="majorHAnsi" w:cstheme="majorHAnsi"/>
        </w:rPr>
        <w:t xml:space="preserve"> to business</w:t>
      </w:r>
      <w:r w:rsidRPr="0003725B">
        <w:rPr>
          <w:rFonts w:asciiTheme="majorHAnsi" w:hAnsiTheme="majorHAnsi" w:cstheme="majorHAnsi"/>
        </w:rPr>
        <w:t xml:space="preserve"> of informal review and merger authorisation under the status quo (assuming 300 informal </w:t>
      </w:r>
      <w:r w:rsidR="002D7BD1" w:rsidRPr="0003725B">
        <w:rPr>
          <w:rFonts w:asciiTheme="majorHAnsi" w:hAnsiTheme="majorHAnsi" w:cstheme="majorHAnsi"/>
        </w:rPr>
        <w:t xml:space="preserve">review </w:t>
      </w:r>
      <w:r w:rsidRPr="0003725B">
        <w:rPr>
          <w:rFonts w:asciiTheme="majorHAnsi" w:hAnsiTheme="majorHAnsi" w:cstheme="majorHAnsi"/>
        </w:rPr>
        <w:t xml:space="preserve">notifications </w:t>
      </w:r>
      <w:r w:rsidR="002D7BD1" w:rsidRPr="0003725B">
        <w:rPr>
          <w:rFonts w:asciiTheme="majorHAnsi" w:hAnsiTheme="majorHAnsi" w:cstheme="majorHAnsi"/>
        </w:rPr>
        <w:t xml:space="preserve">and </w:t>
      </w:r>
      <w:r w:rsidR="00ED380A" w:rsidRPr="0003725B">
        <w:rPr>
          <w:rFonts w:asciiTheme="majorHAnsi" w:hAnsiTheme="majorHAnsi" w:cstheme="majorHAnsi"/>
        </w:rPr>
        <w:t xml:space="preserve">one </w:t>
      </w:r>
      <w:r w:rsidR="002D7BD1" w:rsidRPr="0003725B">
        <w:rPr>
          <w:rFonts w:asciiTheme="majorHAnsi" w:hAnsiTheme="majorHAnsi" w:cstheme="majorHAnsi"/>
        </w:rPr>
        <w:t xml:space="preserve">merger authorisation application </w:t>
      </w:r>
      <w:r w:rsidRPr="0003725B">
        <w:rPr>
          <w:rFonts w:asciiTheme="majorHAnsi" w:hAnsiTheme="majorHAnsi" w:cstheme="majorHAnsi"/>
        </w:rPr>
        <w:t>per year) is estimated to be $</w:t>
      </w:r>
      <w:r w:rsidR="005F6988" w:rsidRPr="0003725B">
        <w:rPr>
          <w:rFonts w:asciiTheme="majorHAnsi" w:hAnsiTheme="majorHAnsi" w:cstheme="majorHAnsi"/>
        </w:rPr>
        <w:t>160.2</w:t>
      </w:r>
      <w:r w:rsidRPr="0003725B">
        <w:rPr>
          <w:rFonts w:asciiTheme="majorHAnsi" w:hAnsiTheme="majorHAnsi" w:cstheme="majorHAnsi"/>
        </w:rPr>
        <w:t xml:space="preserve"> million.</w:t>
      </w:r>
      <w:r>
        <w:rPr>
          <w:rFonts w:asciiTheme="majorHAnsi" w:hAnsiTheme="majorHAnsi" w:cstheme="majorHAnsi"/>
        </w:rPr>
        <w:t xml:space="preserve"> </w:t>
      </w:r>
    </w:p>
    <w:p w14:paraId="7267DDE4" w14:textId="5605E5F7" w:rsidR="00947E3E" w:rsidRDefault="00947E3E" w:rsidP="00947E3E">
      <w:pPr>
        <w:pStyle w:val="Bullet"/>
        <w:numPr>
          <w:ilvl w:val="0"/>
          <w:numId w:val="0"/>
        </w:numPr>
        <w:spacing w:line="240" w:lineRule="auto"/>
        <w:rPr>
          <w:rFonts w:asciiTheme="majorHAnsi" w:hAnsiTheme="majorHAnsi" w:cstheme="majorHAnsi"/>
        </w:rPr>
      </w:pPr>
      <w:r w:rsidRPr="003C6897">
        <w:rPr>
          <w:rFonts w:asciiTheme="majorHAnsi" w:hAnsiTheme="majorHAnsi" w:cstheme="majorHAnsi"/>
        </w:rPr>
        <w:t xml:space="preserve">There is no data </w:t>
      </w:r>
      <w:r w:rsidR="00421AED">
        <w:rPr>
          <w:rFonts w:asciiTheme="majorHAnsi" w:hAnsiTheme="majorHAnsi" w:cstheme="majorHAnsi"/>
        </w:rPr>
        <w:t>that</w:t>
      </w:r>
      <w:r w:rsidRPr="003C6897">
        <w:rPr>
          <w:rFonts w:asciiTheme="majorHAnsi" w:hAnsiTheme="majorHAnsi" w:cstheme="majorHAnsi"/>
        </w:rPr>
        <w:t xml:space="preserve"> informs the average dollar cost of delay for business</w:t>
      </w:r>
      <w:r>
        <w:rPr>
          <w:rFonts w:asciiTheme="majorHAnsi" w:hAnsiTheme="majorHAnsi" w:cstheme="majorHAnsi"/>
        </w:rPr>
        <w:t>.</w:t>
      </w:r>
      <w:r w:rsidRPr="003C6897">
        <w:rPr>
          <w:rFonts w:asciiTheme="majorHAnsi" w:hAnsiTheme="majorHAnsi" w:cstheme="majorHAnsi"/>
        </w:rPr>
        <w:t xml:space="preserve"> </w:t>
      </w:r>
      <w:r w:rsidR="00C4117E" w:rsidRPr="003C6897">
        <w:rPr>
          <w:rFonts w:asciiTheme="majorHAnsi" w:hAnsiTheme="majorHAnsi" w:cstheme="majorHAnsi"/>
        </w:rPr>
        <w:t>However,</w:t>
      </w:r>
      <w:r w:rsidRPr="003C6897">
        <w:rPr>
          <w:rFonts w:asciiTheme="majorHAnsi" w:hAnsiTheme="majorHAnsi" w:cstheme="majorHAnsi"/>
        </w:rPr>
        <w:t xml:space="preserve"> submissions suggest it is significant. For example, </w:t>
      </w:r>
      <w:r w:rsidR="008F50EC">
        <w:rPr>
          <w:rFonts w:asciiTheme="majorHAnsi" w:hAnsiTheme="majorHAnsi" w:cstheme="majorHAnsi"/>
        </w:rPr>
        <w:t xml:space="preserve">as noted above, </w:t>
      </w:r>
      <w:r>
        <w:rPr>
          <w:rFonts w:asciiTheme="minorHAnsi" w:hAnsiTheme="minorHAnsi" w:cstheme="minorHAnsi"/>
        </w:rPr>
        <w:t>t</w:t>
      </w:r>
      <w:r w:rsidRPr="00832617">
        <w:rPr>
          <w:rFonts w:asciiTheme="minorHAnsi" w:hAnsiTheme="minorHAnsi" w:cstheme="minorHAnsi"/>
        </w:rPr>
        <w:t xml:space="preserve">he </w:t>
      </w:r>
      <w:r w:rsidR="001D0D97">
        <w:rPr>
          <w:rFonts w:asciiTheme="minorHAnsi" w:hAnsiTheme="minorHAnsi" w:cstheme="minorHAnsi"/>
        </w:rPr>
        <w:t xml:space="preserve">BCA </w:t>
      </w:r>
      <w:r w:rsidR="008F50EC">
        <w:rPr>
          <w:rFonts w:asciiTheme="minorHAnsi" w:hAnsiTheme="minorHAnsi" w:cstheme="minorHAnsi"/>
        </w:rPr>
        <w:t xml:space="preserve">submitted </w:t>
      </w:r>
      <w:r>
        <w:rPr>
          <w:rFonts w:asciiTheme="minorHAnsi" w:hAnsiTheme="minorHAnsi" w:cstheme="minorHAnsi"/>
        </w:rPr>
        <w:t>that</w:t>
      </w:r>
      <w:r w:rsidR="008F50EC">
        <w:rPr>
          <w:rFonts w:asciiTheme="minorHAnsi" w:hAnsiTheme="minorHAnsi" w:cstheme="minorHAnsi"/>
        </w:rPr>
        <w:t>:</w:t>
      </w:r>
      <w:r w:rsidRPr="00832617">
        <w:rPr>
          <w:rFonts w:asciiTheme="minorHAnsi" w:hAnsiTheme="minorHAnsi" w:cstheme="minorHAnsi"/>
        </w:rPr>
        <w:t xml:space="preserve"> </w:t>
      </w:r>
      <w:r w:rsidR="00DC142A">
        <w:rPr>
          <w:rFonts w:asciiTheme="minorHAnsi" w:hAnsiTheme="minorHAnsi" w:cstheme="minorHAnsi"/>
        </w:rPr>
        <w:t>‘</w:t>
      </w:r>
      <w:r w:rsidRPr="00832617">
        <w:rPr>
          <w:rFonts w:asciiTheme="minorHAnsi" w:hAnsiTheme="minorHAnsi" w:cstheme="minorHAnsi"/>
          <w:i/>
        </w:rPr>
        <w:t>A lengthy clearance process can delay commercial decisions, time parties out from deals and impose significant costs on business, including small and family businesses on the sell-side of a transaction</w:t>
      </w:r>
      <w:r w:rsidR="00DC142A">
        <w:rPr>
          <w:rFonts w:asciiTheme="minorHAnsi" w:hAnsiTheme="minorHAnsi" w:cstheme="minorHAnsi"/>
          <w:i/>
        </w:rPr>
        <w:t>.</w:t>
      </w:r>
      <w:r w:rsidR="00DC142A">
        <w:rPr>
          <w:rFonts w:asciiTheme="minorHAnsi" w:hAnsiTheme="minorHAnsi" w:cstheme="minorHAnsi"/>
        </w:rPr>
        <w:t>’</w:t>
      </w:r>
      <w:r w:rsidRPr="00832617">
        <w:rPr>
          <w:rStyle w:val="FootnoteReference"/>
          <w:rFonts w:asciiTheme="minorHAnsi" w:hAnsiTheme="minorHAnsi" w:cstheme="minorHAnsi"/>
        </w:rPr>
        <w:footnoteReference w:id="64"/>
      </w:r>
      <w:r>
        <w:t xml:space="preserve"> </w:t>
      </w:r>
      <w:r w:rsidR="00BD0A22" w:rsidRPr="007642A4">
        <w:rPr>
          <w:rFonts w:asciiTheme="minorHAnsi" w:hAnsiTheme="minorHAnsi" w:cstheme="minorHAnsi"/>
          <w:lang w:eastAsia="en-US"/>
        </w:rPr>
        <w:t>Indicatively, every ten basis points of additional financing costs on the total value of mergers over the time taken for ACCC assessment of public reviews in 2023 suggests such costs of the current system could be around $19 million.</w:t>
      </w:r>
      <w:r w:rsidR="00BD0A22" w:rsidRPr="007642A4">
        <w:rPr>
          <w:rStyle w:val="FootnoteReference"/>
          <w:rFonts w:asciiTheme="minorHAnsi" w:hAnsiTheme="minorHAnsi" w:cstheme="minorHAnsi"/>
          <w:lang w:eastAsia="en-US"/>
        </w:rPr>
        <w:footnoteReference w:id="65"/>
      </w:r>
    </w:p>
    <w:p w14:paraId="15B86233" w14:textId="77777777" w:rsidR="00947E3E" w:rsidRPr="007F7F29" w:rsidRDefault="00947E3E" w:rsidP="007274CB">
      <w:pPr>
        <w:pStyle w:val="Heading4"/>
      </w:pPr>
      <w:r w:rsidRPr="007F7F29">
        <w:t xml:space="preserve">Cost for the ACCC </w:t>
      </w:r>
    </w:p>
    <w:p w14:paraId="5D9C076E" w14:textId="3DBA69D6" w:rsidR="00947E3E" w:rsidRPr="003C6897" w:rsidRDefault="00947E3E" w:rsidP="00CA0A47">
      <w:pPr>
        <w:pStyle w:val="Bullet"/>
        <w:numPr>
          <w:ilvl w:val="0"/>
          <w:numId w:val="0"/>
        </w:numPr>
        <w:spacing w:line="240" w:lineRule="auto"/>
        <w:rPr>
          <w:rFonts w:asciiTheme="majorHAnsi" w:hAnsiTheme="majorHAnsi" w:cstheme="majorHAnsi"/>
        </w:rPr>
      </w:pPr>
      <w:r w:rsidRPr="00E853E6">
        <w:rPr>
          <w:rFonts w:asciiTheme="minorHAnsi" w:hAnsiTheme="minorHAnsi" w:cstheme="minorHAnsi"/>
        </w:rPr>
        <w:t xml:space="preserve">The average cost to the ACCC to conduct an informal public </w:t>
      </w:r>
      <w:r w:rsidRPr="00EB4D92">
        <w:rPr>
          <w:rFonts w:asciiTheme="minorHAnsi" w:hAnsiTheme="minorHAnsi" w:cstheme="minorHAnsi"/>
        </w:rPr>
        <w:t xml:space="preserve">review is </w:t>
      </w:r>
      <w:r w:rsidR="00A94457" w:rsidRPr="00EB4D92">
        <w:rPr>
          <w:rFonts w:asciiTheme="minorHAnsi" w:hAnsiTheme="minorHAnsi" w:cstheme="minorHAnsi"/>
        </w:rPr>
        <w:t xml:space="preserve">under </w:t>
      </w:r>
      <w:r w:rsidR="004B66E3" w:rsidRPr="00EB4D92">
        <w:rPr>
          <w:rFonts w:asciiTheme="minorHAnsi" w:hAnsiTheme="minorHAnsi" w:cstheme="minorHAnsi"/>
        </w:rPr>
        <w:t>$500,000</w:t>
      </w:r>
      <w:r w:rsidRPr="00EB4D92">
        <w:rPr>
          <w:rFonts w:asciiTheme="majorHAnsi" w:hAnsiTheme="majorHAnsi" w:cstheme="majorHAnsi"/>
        </w:rPr>
        <w:t>.</w:t>
      </w:r>
      <w:r w:rsidRPr="00EB4D92">
        <w:rPr>
          <w:rStyle w:val="FootnoteReference"/>
          <w:rFonts w:asciiTheme="minorHAnsi" w:hAnsiTheme="minorHAnsi" w:cstheme="minorHAnsi"/>
        </w:rPr>
        <w:footnoteReference w:id="66"/>
      </w:r>
      <w:r w:rsidRPr="00EB4D92">
        <w:rPr>
          <w:rFonts w:asciiTheme="majorHAnsi" w:hAnsiTheme="majorHAnsi" w:cstheme="majorHAnsi"/>
        </w:rPr>
        <w:t xml:space="preserve"> </w:t>
      </w:r>
      <w:r w:rsidRPr="00EB4D92">
        <w:rPr>
          <w:rFonts w:asciiTheme="minorHAnsi" w:hAnsiTheme="minorHAnsi" w:cstheme="minorHAnsi"/>
          <w:szCs w:val="22"/>
        </w:rPr>
        <w:t>In the past 10 years</w:t>
      </w:r>
      <w:r w:rsidR="00900D53" w:rsidRPr="00EB4D92">
        <w:rPr>
          <w:rFonts w:asciiTheme="minorHAnsi" w:hAnsiTheme="minorHAnsi" w:cstheme="minorHAnsi"/>
          <w:szCs w:val="22"/>
        </w:rPr>
        <w:t>,</w:t>
      </w:r>
      <w:r w:rsidRPr="00EB4D92">
        <w:rPr>
          <w:rFonts w:asciiTheme="minorHAnsi" w:hAnsiTheme="minorHAnsi" w:cstheme="minorHAnsi"/>
          <w:szCs w:val="22"/>
        </w:rPr>
        <w:t xml:space="preserve"> the ACCC has averaged 32 informal public reviews</w:t>
      </w:r>
      <w:r w:rsidR="009330CF" w:rsidRPr="00EB4D92">
        <w:rPr>
          <w:rFonts w:asciiTheme="minorHAnsi" w:hAnsiTheme="minorHAnsi" w:cstheme="minorHAnsi"/>
          <w:szCs w:val="22"/>
        </w:rPr>
        <w:t xml:space="preserve"> per year</w:t>
      </w:r>
      <w:r w:rsidRPr="00EB4D92">
        <w:rPr>
          <w:rFonts w:asciiTheme="minorHAnsi" w:hAnsiTheme="minorHAnsi" w:cstheme="minorHAnsi"/>
          <w:szCs w:val="22"/>
        </w:rPr>
        <w:t xml:space="preserve">. The average cost for the ACCC for Federal Court proceedings </w:t>
      </w:r>
      <w:r w:rsidR="00B766C9" w:rsidRPr="00EB4D92">
        <w:rPr>
          <w:rFonts w:asciiTheme="minorHAnsi" w:hAnsiTheme="minorHAnsi" w:cstheme="minorHAnsi"/>
          <w:szCs w:val="22"/>
        </w:rPr>
        <w:t xml:space="preserve">is </w:t>
      </w:r>
      <w:r w:rsidRPr="00EB4D92">
        <w:rPr>
          <w:rFonts w:asciiTheme="minorHAnsi" w:hAnsiTheme="minorHAnsi" w:cstheme="minorHAnsi"/>
          <w:szCs w:val="22"/>
        </w:rPr>
        <w:t xml:space="preserve">typically above $5 million per </w:t>
      </w:r>
      <w:r w:rsidR="003A1718" w:rsidRPr="00EB4D92">
        <w:rPr>
          <w:rFonts w:asciiTheme="minorHAnsi" w:hAnsiTheme="minorHAnsi" w:cstheme="minorHAnsi"/>
          <w:szCs w:val="22"/>
        </w:rPr>
        <w:t>merger</w:t>
      </w:r>
      <w:r w:rsidRPr="00EB4D92">
        <w:rPr>
          <w:rFonts w:asciiTheme="minorHAnsi" w:hAnsiTheme="minorHAnsi" w:cstheme="minorHAnsi"/>
          <w:szCs w:val="22"/>
        </w:rPr>
        <w:t>.</w:t>
      </w:r>
      <w:r w:rsidRPr="00EB4D92">
        <w:rPr>
          <w:rStyle w:val="FootnoteReference"/>
          <w:rFonts w:asciiTheme="majorHAnsi" w:hAnsiTheme="majorHAnsi" w:cstheme="majorHAnsi"/>
        </w:rPr>
        <w:footnoteReference w:id="67"/>
      </w:r>
      <w:r w:rsidRPr="003C6897">
        <w:rPr>
          <w:rFonts w:asciiTheme="majorHAnsi" w:hAnsiTheme="majorHAnsi" w:cstheme="majorHAnsi"/>
        </w:rPr>
        <w:t xml:space="preserve"> </w:t>
      </w:r>
    </w:p>
    <w:p w14:paraId="45D5FD0C" w14:textId="4CF0140D" w:rsidR="00947E3E" w:rsidRPr="007F7F29" w:rsidRDefault="00947E3E" w:rsidP="007274CB">
      <w:pPr>
        <w:pStyle w:val="Heading4"/>
      </w:pPr>
      <w:r w:rsidRPr="007F7F29">
        <w:t xml:space="preserve">Transparency </w:t>
      </w:r>
    </w:p>
    <w:p w14:paraId="3D599964" w14:textId="00B28D9D" w:rsidR="00947E3E" w:rsidRPr="003C6897" w:rsidRDefault="00947E3E" w:rsidP="00947E3E">
      <w:pPr>
        <w:pStyle w:val="Dash"/>
        <w:numPr>
          <w:ilvl w:val="0"/>
          <w:numId w:val="0"/>
        </w:numPr>
        <w:rPr>
          <w:rFonts w:asciiTheme="majorHAnsi" w:hAnsiTheme="majorHAnsi" w:cstheme="majorHAnsi"/>
        </w:rPr>
      </w:pPr>
      <w:r w:rsidRPr="003C6897">
        <w:rPr>
          <w:rFonts w:asciiTheme="majorHAnsi" w:hAnsiTheme="majorHAnsi" w:cstheme="majorHAnsi"/>
        </w:rPr>
        <w:t xml:space="preserve">In the past 10 years, on average </w:t>
      </w:r>
      <w:r>
        <w:rPr>
          <w:rFonts w:asciiTheme="majorHAnsi" w:hAnsiTheme="majorHAnsi" w:cstheme="majorHAnsi"/>
        </w:rPr>
        <w:t>only 1</w:t>
      </w:r>
      <w:r w:rsidRPr="003C6897">
        <w:rPr>
          <w:rFonts w:asciiTheme="majorHAnsi" w:hAnsiTheme="majorHAnsi" w:cstheme="majorHAnsi"/>
        </w:rPr>
        <w:t>0</w:t>
      </w:r>
      <w:r w:rsidDel="00D73254">
        <w:rPr>
          <w:rFonts w:asciiTheme="majorHAnsi" w:hAnsiTheme="majorHAnsi" w:cstheme="majorHAnsi"/>
        </w:rPr>
        <w:t xml:space="preserve"> per cent</w:t>
      </w:r>
      <w:r w:rsidRPr="003C6897">
        <w:rPr>
          <w:rFonts w:asciiTheme="majorHAnsi" w:hAnsiTheme="majorHAnsi" w:cstheme="majorHAnsi"/>
        </w:rPr>
        <w:t xml:space="preserve"> of ACCC </w:t>
      </w:r>
      <w:r w:rsidR="00163B77">
        <w:rPr>
          <w:rFonts w:asciiTheme="majorHAnsi" w:hAnsiTheme="majorHAnsi" w:cstheme="majorHAnsi"/>
        </w:rPr>
        <w:t xml:space="preserve">informal reviews </w:t>
      </w:r>
      <w:r>
        <w:rPr>
          <w:rFonts w:asciiTheme="majorHAnsi" w:hAnsiTheme="majorHAnsi" w:cstheme="majorHAnsi"/>
        </w:rPr>
        <w:t>have been made public (with 90</w:t>
      </w:r>
      <w:r w:rsidR="007C15DB">
        <w:rPr>
          <w:rFonts w:asciiTheme="majorHAnsi" w:hAnsiTheme="majorHAnsi" w:cstheme="majorHAnsi"/>
        </w:rPr>
        <w:t xml:space="preserve"> per cent</w:t>
      </w:r>
      <w:r>
        <w:rPr>
          <w:rFonts w:asciiTheme="majorHAnsi" w:hAnsiTheme="majorHAnsi" w:cstheme="majorHAnsi"/>
        </w:rPr>
        <w:t xml:space="preserve"> of </w:t>
      </w:r>
      <w:r w:rsidR="00BD26DE">
        <w:rPr>
          <w:rFonts w:asciiTheme="majorHAnsi" w:hAnsiTheme="majorHAnsi" w:cstheme="majorHAnsi"/>
        </w:rPr>
        <w:t>reviews</w:t>
      </w:r>
      <w:r>
        <w:rPr>
          <w:rFonts w:asciiTheme="majorHAnsi" w:hAnsiTheme="majorHAnsi" w:cstheme="majorHAnsi"/>
        </w:rPr>
        <w:t xml:space="preserve"> </w:t>
      </w:r>
      <w:r w:rsidRPr="003C6897">
        <w:rPr>
          <w:rFonts w:asciiTheme="majorHAnsi" w:hAnsiTheme="majorHAnsi" w:cstheme="majorHAnsi"/>
        </w:rPr>
        <w:t xml:space="preserve">made using the pre-assessment process, where no information is </w:t>
      </w:r>
      <w:r w:rsidR="006B3A66">
        <w:rPr>
          <w:rFonts w:asciiTheme="majorHAnsi" w:hAnsiTheme="majorHAnsi" w:cstheme="majorHAnsi"/>
        </w:rPr>
        <w:t xml:space="preserve">publicly </w:t>
      </w:r>
      <w:r w:rsidRPr="003C6897">
        <w:rPr>
          <w:rFonts w:asciiTheme="majorHAnsi" w:hAnsiTheme="majorHAnsi" w:cstheme="majorHAnsi"/>
        </w:rPr>
        <w:t xml:space="preserve">released identifying the </w:t>
      </w:r>
      <w:r w:rsidR="00C26527">
        <w:rPr>
          <w:rFonts w:asciiTheme="majorHAnsi" w:hAnsiTheme="majorHAnsi" w:cstheme="majorHAnsi"/>
        </w:rPr>
        <w:t>acquisition</w:t>
      </w:r>
      <w:r w:rsidR="000A4004" w:rsidRPr="003C6897">
        <w:rPr>
          <w:rFonts w:asciiTheme="majorHAnsi" w:hAnsiTheme="majorHAnsi" w:cstheme="majorHAnsi"/>
        </w:rPr>
        <w:t xml:space="preserve"> </w:t>
      </w:r>
      <w:r w:rsidRPr="003C6897">
        <w:rPr>
          <w:rFonts w:asciiTheme="majorHAnsi" w:hAnsiTheme="majorHAnsi" w:cstheme="majorHAnsi"/>
        </w:rPr>
        <w:t>or the basis for the assessment</w:t>
      </w:r>
      <w:r>
        <w:rPr>
          <w:rFonts w:asciiTheme="majorHAnsi" w:hAnsiTheme="majorHAnsi" w:cstheme="majorHAnsi"/>
        </w:rPr>
        <w:t>)</w:t>
      </w:r>
      <w:r w:rsidRPr="003C6897">
        <w:rPr>
          <w:rFonts w:asciiTheme="majorHAnsi" w:hAnsiTheme="majorHAnsi" w:cstheme="majorHAnsi"/>
        </w:rPr>
        <w:t xml:space="preserve">. </w:t>
      </w:r>
    </w:p>
    <w:p w14:paraId="315E579D" w14:textId="6933916A" w:rsidR="00947E3E" w:rsidRDefault="00992C5E" w:rsidP="00947E3E">
      <w:pPr>
        <w:pStyle w:val="Dash"/>
        <w:numPr>
          <w:ilvl w:val="0"/>
          <w:numId w:val="0"/>
        </w:numPr>
        <w:rPr>
          <w:rFonts w:asciiTheme="majorHAnsi" w:hAnsiTheme="majorHAnsi" w:cstheme="majorHAnsi"/>
        </w:rPr>
      </w:pPr>
      <w:r w:rsidRPr="00992C5E">
        <w:rPr>
          <w:rFonts w:asciiTheme="majorHAnsi" w:hAnsiTheme="majorHAnsi" w:cstheme="majorHAnsi"/>
        </w:rPr>
        <w:t xml:space="preserve">In the past 10 years, there have been 67 instances where the ACCC has released a public competition assessment setting out its views. This is only </w:t>
      </w:r>
      <w:r w:rsidR="00030689">
        <w:rPr>
          <w:rFonts w:asciiTheme="majorHAnsi" w:hAnsiTheme="majorHAnsi" w:cstheme="majorHAnsi"/>
        </w:rPr>
        <w:t>2</w:t>
      </w:r>
      <w:r w:rsidRPr="00992C5E">
        <w:rPr>
          <w:rFonts w:asciiTheme="majorHAnsi" w:hAnsiTheme="majorHAnsi" w:cstheme="majorHAnsi"/>
        </w:rPr>
        <w:t xml:space="preserve"> per cent of all reviews, and 17 per cent of all public reviews.</w:t>
      </w:r>
      <w:r w:rsidRPr="00992C5E">
        <w:rPr>
          <w:rFonts w:asciiTheme="majorHAnsi" w:hAnsiTheme="majorHAnsi" w:cstheme="majorHAnsi"/>
          <w:vertAlign w:val="superscript"/>
        </w:rPr>
        <w:footnoteReference w:id="68"/>
      </w:r>
    </w:p>
    <w:p w14:paraId="5C881B6F" w14:textId="4383B3EB" w:rsidR="00992C5E" w:rsidRDefault="00160364" w:rsidP="00947E3E">
      <w:pPr>
        <w:pStyle w:val="Dash"/>
        <w:numPr>
          <w:ilvl w:val="0"/>
          <w:numId w:val="0"/>
        </w:numPr>
        <w:rPr>
          <w:rFonts w:asciiTheme="majorHAnsi" w:hAnsiTheme="majorHAnsi" w:cstheme="majorHAnsi"/>
        </w:rPr>
      </w:pPr>
      <w:r>
        <w:rPr>
          <w:rFonts w:asciiTheme="majorHAnsi" w:hAnsiTheme="majorHAnsi" w:cstheme="majorHAnsi"/>
        </w:rPr>
        <w:t xml:space="preserve">The largely confidential nature of the process, the lack of </w:t>
      </w:r>
      <w:r w:rsidR="00165DCB">
        <w:rPr>
          <w:rFonts w:asciiTheme="majorHAnsi" w:hAnsiTheme="majorHAnsi" w:cstheme="majorHAnsi"/>
        </w:rPr>
        <w:t>reasons</w:t>
      </w:r>
      <w:r>
        <w:rPr>
          <w:rFonts w:asciiTheme="majorHAnsi" w:hAnsiTheme="majorHAnsi" w:cstheme="majorHAnsi"/>
        </w:rPr>
        <w:t xml:space="preserve"> for ACCC assessments</w:t>
      </w:r>
      <w:r w:rsidR="00992C5E" w:rsidRPr="00992C5E">
        <w:rPr>
          <w:rFonts w:asciiTheme="majorHAnsi" w:hAnsiTheme="majorHAnsi" w:cstheme="majorHAnsi"/>
        </w:rPr>
        <w:t xml:space="preserve">, </w:t>
      </w:r>
      <w:r>
        <w:rPr>
          <w:rFonts w:asciiTheme="majorHAnsi" w:hAnsiTheme="majorHAnsi" w:cstheme="majorHAnsi"/>
        </w:rPr>
        <w:t xml:space="preserve">and the fact that the merger guidelines have not been </w:t>
      </w:r>
      <w:r w:rsidR="005F33D5">
        <w:rPr>
          <w:rFonts w:asciiTheme="majorHAnsi" w:hAnsiTheme="majorHAnsi" w:cstheme="majorHAnsi"/>
        </w:rPr>
        <w:t xml:space="preserve">substantively </w:t>
      </w:r>
      <w:r>
        <w:rPr>
          <w:rFonts w:asciiTheme="majorHAnsi" w:hAnsiTheme="majorHAnsi" w:cstheme="majorHAnsi"/>
        </w:rPr>
        <w:t xml:space="preserve">updated since 2008, </w:t>
      </w:r>
      <w:r w:rsidR="008B07F5">
        <w:rPr>
          <w:rFonts w:asciiTheme="majorHAnsi" w:hAnsiTheme="majorHAnsi" w:cstheme="majorHAnsi"/>
        </w:rPr>
        <w:t>provides</w:t>
      </w:r>
      <w:r w:rsidR="008B07F5" w:rsidRPr="00992C5E">
        <w:rPr>
          <w:rFonts w:asciiTheme="majorHAnsi" w:hAnsiTheme="majorHAnsi" w:cstheme="majorHAnsi"/>
        </w:rPr>
        <w:t xml:space="preserve"> </w:t>
      </w:r>
      <w:r w:rsidR="00992C5E" w:rsidRPr="00992C5E">
        <w:rPr>
          <w:rFonts w:asciiTheme="majorHAnsi" w:hAnsiTheme="majorHAnsi" w:cstheme="majorHAnsi"/>
        </w:rPr>
        <w:t xml:space="preserve">little guidance for merger parties </w:t>
      </w:r>
      <w:r>
        <w:rPr>
          <w:rFonts w:asciiTheme="majorHAnsi" w:hAnsiTheme="majorHAnsi" w:cstheme="majorHAnsi"/>
        </w:rPr>
        <w:t>in preparing their applications</w:t>
      </w:r>
      <w:r w:rsidR="00B666DF">
        <w:rPr>
          <w:rFonts w:asciiTheme="majorHAnsi" w:hAnsiTheme="majorHAnsi" w:cstheme="majorHAnsi"/>
        </w:rPr>
        <w:t>. I</w:t>
      </w:r>
      <w:r>
        <w:rPr>
          <w:rFonts w:asciiTheme="majorHAnsi" w:hAnsiTheme="majorHAnsi" w:cstheme="majorHAnsi"/>
        </w:rPr>
        <w:t xml:space="preserve">n </w:t>
      </w:r>
      <w:r w:rsidR="00D607D0">
        <w:rPr>
          <w:rFonts w:asciiTheme="majorHAnsi" w:hAnsiTheme="majorHAnsi" w:cstheme="majorHAnsi"/>
        </w:rPr>
        <w:t>turn</w:t>
      </w:r>
      <w:r w:rsidR="00B666DF">
        <w:rPr>
          <w:rFonts w:asciiTheme="majorHAnsi" w:hAnsiTheme="majorHAnsi" w:cstheme="majorHAnsi"/>
        </w:rPr>
        <w:t xml:space="preserve"> this </w:t>
      </w:r>
      <w:r>
        <w:rPr>
          <w:rFonts w:asciiTheme="majorHAnsi" w:hAnsiTheme="majorHAnsi" w:cstheme="majorHAnsi"/>
        </w:rPr>
        <w:t xml:space="preserve">increases </w:t>
      </w:r>
      <w:r w:rsidR="00992C5E" w:rsidRPr="00992C5E">
        <w:rPr>
          <w:rFonts w:asciiTheme="majorHAnsi" w:hAnsiTheme="majorHAnsi" w:cstheme="majorHAnsi"/>
        </w:rPr>
        <w:t>the costs of notificatio</w:t>
      </w:r>
      <w:r w:rsidR="00AB4C1B">
        <w:rPr>
          <w:rFonts w:asciiTheme="majorHAnsi" w:hAnsiTheme="majorHAnsi" w:cstheme="majorHAnsi"/>
        </w:rPr>
        <w:t>n</w:t>
      </w:r>
      <w:r w:rsidR="00B666DF">
        <w:rPr>
          <w:rFonts w:asciiTheme="majorHAnsi" w:hAnsiTheme="majorHAnsi" w:cstheme="majorHAnsi"/>
        </w:rPr>
        <w:t xml:space="preserve"> because </w:t>
      </w:r>
      <w:r w:rsidR="007130C6">
        <w:rPr>
          <w:rFonts w:asciiTheme="minorHAnsi" w:hAnsiTheme="minorHAnsi" w:cstheme="minorHAnsi"/>
        </w:rPr>
        <w:t xml:space="preserve">merger parties do not </w:t>
      </w:r>
      <w:r w:rsidR="0026146A">
        <w:rPr>
          <w:rFonts w:asciiTheme="minorHAnsi" w:hAnsiTheme="minorHAnsi" w:cstheme="minorHAnsi"/>
        </w:rPr>
        <w:t>readily</w:t>
      </w:r>
      <w:r w:rsidR="007130C6">
        <w:rPr>
          <w:rFonts w:asciiTheme="minorHAnsi" w:hAnsiTheme="minorHAnsi" w:cstheme="minorHAnsi"/>
        </w:rPr>
        <w:t xml:space="preserve"> understand</w:t>
      </w:r>
      <w:r w:rsidR="00033EE5">
        <w:rPr>
          <w:rFonts w:asciiTheme="minorHAnsi" w:hAnsiTheme="minorHAnsi" w:cstheme="minorHAnsi"/>
        </w:rPr>
        <w:t xml:space="preserve"> the type of information the ACCC will need to undertake its assessment</w:t>
      </w:r>
      <w:r w:rsidR="007130C6">
        <w:rPr>
          <w:rFonts w:asciiTheme="minorHAnsi" w:hAnsiTheme="minorHAnsi" w:cstheme="minorHAnsi"/>
        </w:rPr>
        <w:t xml:space="preserve">, </w:t>
      </w:r>
      <w:r w:rsidR="0026146A">
        <w:rPr>
          <w:rFonts w:asciiTheme="minorHAnsi" w:hAnsiTheme="minorHAnsi" w:cstheme="minorHAnsi"/>
        </w:rPr>
        <w:t xml:space="preserve">and may </w:t>
      </w:r>
      <w:r w:rsidR="00FA6D99">
        <w:rPr>
          <w:rFonts w:asciiTheme="minorHAnsi" w:hAnsiTheme="minorHAnsi" w:cstheme="minorHAnsi"/>
        </w:rPr>
        <w:t xml:space="preserve">expend time and money gathering </w:t>
      </w:r>
      <w:r w:rsidR="00DF15BA">
        <w:rPr>
          <w:rFonts w:asciiTheme="minorHAnsi" w:hAnsiTheme="minorHAnsi" w:cstheme="minorHAnsi"/>
        </w:rPr>
        <w:t xml:space="preserve">and </w:t>
      </w:r>
      <w:r w:rsidR="00FA6D99">
        <w:rPr>
          <w:rFonts w:asciiTheme="minorHAnsi" w:hAnsiTheme="minorHAnsi" w:cstheme="minorHAnsi"/>
        </w:rPr>
        <w:t xml:space="preserve">supplying </w:t>
      </w:r>
      <w:r w:rsidR="004B00BF">
        <w:rPr>
          <w:rFonts w:asciiTheme="minorHAnsi" w:hAnsiTheme="minorHAnsi" w:cstheme="minorHAnsi"/>
        </w:rPr>
        <w:t xml:space="preserve">unnecessary </w:t>
      </w:r>
      <w:r w:rsidR="00DF15BA">
        <w:rPr>
          <w:rFonts w:asciiTheme="minorHAnsi" w:hAnsiTheme="minorHAnsi" w:cstheme="minorHAnsi"/>
        </w:rPr>
        <w:t>information to the ACCC</w:t>
      </w:r>
      <w:r>
        <w:rPr>
          <w:rFonts w:asciiTheme="majorHAnsi" w:hAnsiTheme="majorHAnsi" w:cstheme="majorHAnsi"/>
        </w:rPr>
        <w:t>.</w:t>
      </w:r>
      <w:r w:rsidR="0026146A">
        <w:rPr>
          <w:rFonts w:asciiTheme="majorHAnsi" w:hAnsiTheme="majorHAnsi" w:cstheme="majorHAnsi"/>
        </w:rPr>
        <w:t xml:space="preserve"> </w:t>
      </w:r>
      <w:r w:rsidR="00D17760">
        <w:rPr>
          <w:rFonts w:asciiTheme="majorHAnsi" w:hAnsiTheme="majorHAnsi" w:cstheme="majorHAnsi"/>
        </w:rPr>
        <w:t xml:space="preserve">The absence of broader guidance also means businesses may commit time and money towards acquisitions </w:t>
      </w:r>
      <w:r w:rsidR="008A1F67">
        <w:rPr>
          <w:rFonts w:asciiTheme="majorHAnsi" w:hAnsiTheme="majorHAnsi" w:cstheme="majorHAnsi"/>
        </w:rPr>
        <w:t>that</w:t>
      </w:r>
      <w:r w:rsidR="00D17760">
        <w:rPr>
          <w:rFonts w:asciiTheme="majorHAnsi" w:hAnsiTheme="majorHAnsi" w:cstheme="majorHAnsi"/>
        </w:rPr>
        <w:t xml:space="preserve"> the ACCC are likely to block – better guidance </w:t>
      </w:r>
      <w:r w:rsidR="00C722C4">
        <w:rPr>
          <w:rFonts w:asciiTheme="majorHAnsi" w:hAnsiTheme="majorHAnsi" w:cstheme="majorHAnsi"/>
        </w:rPr>
        <w:t xml:space="preserve">helps businesses to make </w:t>
      </w:r>
      <w:r w:rsidR="009D1E09">
        <w:rPr>
          <w:rFonts w:asciiTheme="majorHAnsi" w:hAnsiTheme="majorHAnsi" w:cstheme="majorHAnsi"/>
        </w:rPr>
        <w:t>informed choices at an earlier stage</w:t>
      </w:r>
      <w:r w:rsidR="006863B6">
        <w:rPr>
          <w:rFonts w:asciiTheme="majorHAnsi" w:hAnsiTheme="majorHAnsi" w:cstheme="majorHAnsi"/>
        </w:rPr>
        <w:t xml:space="preserve"> of </w:t>
      </w:r>
      <w:r w:rsidR="009D1E09">
        <w:rPr>
          <w:rFonts w:asciiTheme="majorHAnsi" w:hAnsiTheme="majorHAnsi" w:cstheme="majorHAnsi"/>
        </w:rPr>
        <w:t>buying or selling a business or asset.</w:t>
      </w:r>
    </w:p>
    <w:p w14:paraId="0B53E40D" w14:textId="77777777" w:rsidR="00947E3E" w:rsidRPr="0097678A" w:rsidRDefault="00947E3E" w:rsidP="00273A9E">
      <w:pPr>
        <w:pStyle w:val="Heading3"/>
        <w:spacing w:after="120" w:line="240" w:lineRule="auto"/>
      </w:pPr>
      <w:bookmarkStart w:id="72" w:name="_Toc176972371"/>
      <w:r>
        <w:t>Advantages</w:t>
      </w:r>
      <w:bookmarkEnd w:id="72"/>
    </w:p>
    <w:p w14:paraId="2C607B2D" w14:textId="3A3B50DD" w:rsidR="00947E3E" w:rsidRPr="00DC10E6" w:rsidRDefault="00947E3E" w:rsidP="00947E3E">
      <w:pPr>
        <w:spacing w:line="240" w:lineRule="auto"/>
        <w:rPr>
          <w:rFonts w:cstheme="minorHAnsi"/>
        </w:rPr>
      </w:pPr>
      <w:r>
        <w:t xml:space="preserve">Notwithstanding the problems described in </w:t>
      </w:r>
      <w:r w:rsidR="009959A5">
        <w:t xml:space="preserve">Question </w:t>
      </w:r>
      <w:r>
        <w:t xml:space="preserve">1, there are some advantages to the current approach that can be considered when comparing an alternative system. These include that </w:t>
      </w:r>
      <w:r>
        <w:rPr>
          <w:rFonts w:cstheme="minorHAnsi"/>
        </w:rPr>
        <w:t>v</w:t>
      </w:r>
      <w:r w:rsidRPr="00DC10E6">
        <w:rPr>
          <w:rFonts w:cstheme="minorHAnsi"/>
        </w:rPr>
        <w:t xml:space="preserve">oluntary notification </w:t>
      </w:r>
      <w:r>
        <w:rPr>
          <w:rFonts w:cstheme="minorHAnsi"/>
        </w:rPr>
        <w:t xml:space="preserve">permits a business to self-assess whether the merger is likely to SLC, and </w:t>
      </w:r>
      <w:r w:rsidRPr="00DC10E6">
        <w:rPr>
          <w:rFonts w:cstheme="minorHAnsi"/>
        </w:rPr>
        <w:t xml:space="preserve">choose whether to </w:t>
      </w:r>
      <w:r>
        <w:rPr>
          <w:rFonts w:cstheme="minorHAnsi"/>
        </w:rPr>
        <w:t xml:space="preserve">notify the merger to the ACCC </w:t>
      </w:r>
      <w:r w:rsidR="00A722D8">
        <w:rPr>
          <w:rFonts w:cstheme="minorHAnsi"/>
        </w:rPr>
        <w:t xml:space="preserve">(reducing direct incurred costs by not notifying) </w:t>
      </w:r>
      <w:r>
        <w:rPr>
          <w:rFonts w:cstheme="minorHAnsi"/>
        </w:rPr>
        <w:t xml:space="preserve">or seek a declaration in the Federal Court. </w:t>
      </w:r>
    </w:p>
    <w:p w14:paraId="0C622685" w14:textId="3A508244" w:rsidR="00947E3E" w:rsidRPr="00DC10E6" w:rsidRDefault="00947E3E" w:rsidP="00947E3E">
      <w:pPr>
        <w:spacing w:line="240" w:lineRule="auto"/>
        <w:rPr>
          <w:rFonts w:cstheme="minorHAnsi"/>
        </w:rPr>
      </w:pPr>
      <w:r w:rsidRPr="00DC10E6">
        <w:rPr>
          <w:rFonts w:cstheme="minorHAnsi"/>
        </w:rPr>
        <w:t xml:space="preserve">The </w:t>
      </w:r>
      <w:r w:rsidR="00DE045C">
        <w:rPr>
          <w:rFonts w:cstheme="minorHAnsi"/>
        </w:rPr>
        <w:t>i</w:t>
      </w:r>
      <w:r w:rsidRPr="00DC10E6">
        <w:rPr>
          <w:rFonts w:cstheme="minorHAnsi"/>
        </w:rPr>
        <w:t xml:space="preserve">nformal merger review </w:t>
      </w:r>
      <w:r>
        <w:rPr>
          <w:rFonts w:cstheme="minorHAnsi"/>
        </w:rPr>
        <w:t xml:space="preserve">also </w:t>
      </w:r>
      <w:r w:rsidRPr="00DC10E6">
        <w:rPr>
          <w:rFonts w:cstheme="minorHAnsi"/>
        </w:rPr>
        <w:t xml:space="preserve">has the </w:t>
      </w:r>
      <w:r>
        <w:rPr>
          <w:rFonts w:cstheme="minorHAnsi"/>
        </w:rPr>
        <w:t>advantage</w:t>
      </w:r>
      <w:r w:rsidRPr="00DC10E6">
        <w:rPr>
          <w:rFonts w:cstheme="minorHAnsi"/>
        </w:rPr>
        <w:t xml:space="preserve"> of being flexible, </w:t>
      </w:r>
      <w:r>
        <w:rPr>
          <w:rFonts w:cstheme="minorHAnsi"/>
        </w:rPr>
        <w:t xml:space="preserve">it does not </w:t>
      </w:r>
      <w:r w:rsidR="00770ED6">
        <w:rPr>
          <w:rFonts w:cstheme="minorHAnsi"/>
        </w:rPr>
        <w:t xml:space="preserve">prescribe </w:t>
      </w:r>
      <w:r>
        <w:rPr>
          <w:rFonts w:cstheme="minorHAnsi"/>
        </w:rPr>
        <w:t xml:space="preserve">information requirements </w:t>
      </w:r>
      <w:r w:rsidRPr="00DC10E6">
        <w:rPr>
          <w:rFonts w:cstheme="minorHAnsi"/>
        </w:rPr>
        <w:t xml:space="preserve">and has no filing fee. </w:t>
      </w:r>
      <w:r>
        <w:rPr>
          <w:rFonts w:cstheme="minorHAnsi"/>
        </w:rPr>
        <w:t xml:space="preserve">Additionally, </w:t>
      </w:r>
      <w:r w:rsidRPr="0071645C">
        <w:rPr>
          <w:rFonts w:cstheme="minorHAnsi"/>
        </w:rPr>
        <w:t>s</w:t>
      </w:r>
      <w:r w:rsidRPr="00A60C5C">
        <w:rPr>
          <w:rFonts w:cstheme="minorHAnsi"/>
        </w:rPr>
        <w:t xml:space="preserve">ome businesses value the ability to obtain </w:t>
      </w:r>
      <w:r>
        <w:rPr>
          <w:rFonts w:cstheme="minorHAnsi"/>
        </w:rPr>
        <w:t xml:space="preserve">a </w:t>
      </w:r>
      <w:r w:rsidRPr="00DC10E6">
        <w:rPr>
          <w:rFonts w:cstheme="minorHAnsi"/>
        </w:rPr>
        <w:t xml:space="preserve">confidential </w:t>
      </w:r>
      <w:r>
        <w:rPr>
          <w:rFonts w:cstheme="minorHAnsi"/>
        </w:rPr>
        <w:t>informal view</w:t>
      </w:r>
      <w:r w:rsidRPr="00DC10E6">
        <w:rPr>
          <w:rFonts w:cstheme="minorHAnsi"/>
        </w:rPr>
        <w:t xml:space="preserve"> from the ACCC.</w:t>
      </w:r>
      <w:r w:rsidR="009E2CAA">
        <w:rPr>
          <w:rStyle w:val="FootnoteReference"/>
          <w:rFonts w:cstheme="minorHAnsi"/>
        </w:rPr>
        <w:footnoteReference w:id="69"/>
      </w:r>
      <w:r w:rsidRPr="0080756C">
        <w:rPr>
          <w:rFonts w:cstheme="minorHAnsi"/>
        </w:rPr>
        <w:t xml:space="preserve"> </w:t>
      </w:r>
    </w:p>
    <w:p w14:paraId="2C6C867F" w14:textId="77777777" w:rsidR="00947E3E" w:rsidRPr="000621E4" w:rsidRDefault="00947E3E" w:rsidP="00947E3E">
      <w:pPr>
        <w:pStyle w:val="Bullet"/>
        <w:numPr>
          <w:ilvl w:val="0"/>
          <w:numId w:val="0"/>
        </w:numPr>
        <w:spacing w:line="240" w:lineRule="auto"/>
        <w:rPr>
          <w:rFonts w:cstheme="minorHAnsi"/>
        </w:rPr>
      </w:pPr>
      <w:r>
        <w:rPr>
          <w:rFonts w:asciiTheme="minorHAnsi" w:hAnsiTheme="minorHAnsi" w:cstheme="minorHAnsi"/>
        </w:rPr>
        <w:t>The status quo also has the advantage of retaining a</w:t>
      </w:r>
      <w:r w:rsidRPr="00DC10E6">
        <w:rPr>
          <w:rFonts w:asciiTheme="minorHAnsi" w:hAnsiTheme="minorHAnsi" w:cstheme="minorHAnsi"/>
        </w:rPr>
        <w:t xml:space="preserve"> judicial enforcement model </w:t>
      </w:r>
      <w:r>
        <w:rPr>
          <w:rFonts w:asciiTheme="minorHAnsi" w:hAnsiTheme="minorHAnsi" w:cstheme="minorHAnsi"/>
        </w:rPr>
        <w:t>that provides</w:t>
      </w:r>
      <w:r w:rsidRPr="00DC10E6">
        <w:rPr>
          <w:rFonts w:asciiTheme="minorHAnsi" w:hAnsiTheme="minorHAnsi" w:cstheme="minorHAnsi"/>
        </w:rPr>
        <w:t xml:space="preserve"> consistency with the approach taken for the enforcement of other provisions of the CCA. </w:t>
      </w:r>
    </w:p>
    <w:p w14:paraId="5A70893B" w14:textId="0079FB79" w:rsidR="00947E3E" w:rsidRDefault="00947E3E" w:rsidP="00947E3E">
      <w:pPr>
        <w:pStyle w:val="Heading2"/>
        <w:spacing w:line="240" w:lineRule="auto"/>
      </w:pPr>
      <w:bookmarkStart w:id="73" w:name="_Toc176972372"/>
      <w:r>
        <w:t>Option 2</w:t>
      </w:r>
      <w:r w:rsidR="00D30496">
        <w:t xml:space="preserve"> – </w:t>
      </w:r>
      <w:r w:rsidR="000F38CA">
        <w:t>M</w:t>
      </w:r>
      <w:r>
        <w:t xml:space="preserve">andatory </w:t>
      </w:r>
      <w:r w:rsidR="00414187">
        <w:t xml:space="preserve">and suspensory </w:t>
      </w:r>
      <w:r>
        <w:t xml:space="preserve">administrative </w:t>
      </w:r>
      <w:r w:rsidR="00414187">
        <w:t xml:space="preserve">system with an </w:t>
      </w:r>
      <w:r>
        <w:t>extended SLC test</w:t>
      </w:r>
      <w:bookmarkEnd w:id="73"/>
    </w:p>
    <w:p w14:paraId="2A4D8722" w14:textId="77777777" w:rsidR="00947E3E" w:rsidRDefault="00947E3E" w:rsidP="00273A9E">
      <w:pPr>
        <w:pStyle w:val="Heading3"/>
        <w:spacing w:after="120" w:line="240" w:lineRule="auto"/>
      </w:pPr>
      <w:bookmarkStart w:id="74" w:name="_Toc176972373"/>
      <w:r w:rsidRPr="0097678A">
        <w:t>Benefits</w:t>
      </w:r>
      <w:bookmarkEnd w:id="74"/>
      <w:r w:rsidRPr="0097678A">
        <w:t xml:space="preserve"> </w:t>
      </w:r>
    </w:p>
    <w:p w14:paraId="7B45F000" w14:textId="3D9511EA" w:rsidR="00947E3E" w:rsidRPr="00F26CC7" w:rsidRDefault="00947E3E" w:rsidP="00355A5E">
      <w:pPr>
        <w:pStyle w:val="Heading4"/>
      </w:pPr>
      <w:r w:rsidRPr="00355A5E">
        <w:t>Preventing competition from being eroded and providing better outcomes for consumers</w:t>
      </w:r>
      <w:r w:rsidR="00A722D8" w:rsidRPr="00355A5E">
        <w:t xml:space="preserve">, </w:t>
      </w:r>
      <w:r w:rsidRPr="00355A5E">
        <w:t>businesses</w:t>
      </w:r>
      <w:r w:rsidR="00A722D8" w:rsidRPr="00355A5E">
        <w:t xml:space="preserve"> and the economy</w:t>
      </w:r>
    </w:p>
    <w:p w14:paraId="4515293C" w14:textId="3139002B" w:rsidR="00947E3E" w:rsidRDefault="00947E3E" w:rsidP="00947E3E">
      <w:pPr>
        <w:spacing w:line="240" w:lineRule="auto"/>
      </w:pPr>
      <w:r w:rsidDel="00A46AC7">
        <w:t>For</w:t>
      </w:r>
      <w:r>
        <w:t xml:space="preserve"> consumers and businesses of all sizes, an </w:t>
      </w:r>
      <w:r w:rsidRPr="00895CEE">
        <w:t xml:space="preserve">effective </w:t>
      </w:r>
      <w:r>
        <w:t>merger control system prevent</w:t>
      </w:r>
      <w:r w:rsidR="00B4419E">
        <w:t>s</w:t>
      </w:r>
      <w:r>
        <w:t xml:space="preserve"> anti-competitive mergers</w:t>
      </w:r>
      <w:r w:rsidRPr="00FA6A23">
        <w:t xml:space="preserve"> </w:t>
      </w:r>
      <w:r w:rsidR="00FC77FB">
        <w:t>and</w:t>
      </w:r>
      <w:r w:rsidRPr="00FA6A23">
        <w:t xml:space="preserve"> support</w:t>
      </w:r>
      <w:r w:rsidR="00B4419E">
        <w:t>s</w:t>
      </w:r>
      <w:r w:rsidRPr="00FA6A23">
        <w:t xml:space="preserve"> </w:t>
      </w:r>
      <w:r>
        <w:t>competition, put</w:t>
      </w:r>
      <w:r w:rsidR="00B4419E">
        <w:t>ting</w:t>
      </w:r>
      <w:r>
        <w:t xml:space="preserve"> </w:t>
      </w:r>
      <w:r w:rsidRPr="00FA6A23">
        <w:t>downward pressure on prices and deliver</w:t>
      </w:r>
      <w:r w:rsidR="00B4419E">
        <w:t>ing</w:t>
      </w:r>
      <w:r w:rsidRPr="00FA6A23">
        <w:t xml:space="preserve"> more choice</w:t>
      </w:r>
      <w:r>
        <w:t>.</w:t>
      </w:r>
      <w:r w:rsidRPr="003A766C">
        <w:t xml:space="preserve"> </w:t>
      </w:r>
    </w:p>
    <w:p w14:paraId="448CE42A" w14:textId="77777777" w:rsidR="00CE1F29" w:rsidRDefault="00947E3E" w:rsidP="00947E3E">
      <w:pPr>
        <w:spacing w:line="240" w:lineRule="auto"/>
        <w:rPr>
          <w:rFonts w:asciiTheme="majorHAnsi" w:hAnsiTheme="majorHAnsi" w:cstheme="majorHAnsi"/>
        </w:rPr>
      </w:pPr>
      <w:r>
        <w:t xml:space="preserve">This benefit arises from Option 2 </w:t>
      </w:r>
      <w:r w:rsidR="00B4419E">
        <w:t xml:space="preserve">by </w:t>
      </w:r>
      <w:r>
        <w:t xml:space="preserve">improving the ACCC’s ability to effectively and efficiently detect and prevent anti-competitive mergers. </w:t>
      </w:r>
      <w:r w:rsidR="00B4419E">
        <w:t>M</w:t>
      </w:r>
      <w:r>
        <w:t xml:space="preserve">andatory notification requirements mean that merger parties cannot choose to avoid scrutiny of </w:t>
      </w:r>
      <w:r w:rsidR="00B4419E">
        <w:t xml:space="preserve">mergers </w:t>
      </w:r>
      <w:r>
        <w:t xml:space="preserve">above </w:t>
      </w:r>
      <w:r w:rsidR="00B4419E">
        <w:t>certain</w:t>
      </w:r>
      <w:r>
        <w:t xml:space="preserve"> threshold</w:t>
      </w:r>
      <w:r w:rsidR="00DC1F98">
        <w:t>s</w:t>
      </w:r>
      <w:r w:rsidR="00B4419E">
        <w:t xml:space="preserve">, applying a </w:t>
      </w:r>
      <w:r w:rsidR="00013A4E">
        <w:t xml:space="preserve">risk-based approach to </w:t>
      </w:r>
      <w:r w:rsidR="00B4419E">
        <w:t>review</w:t>
      </w:r>
      <w:r>
        <w:t xml:space="preserve">. </w:t>
      </w:r>
      <w:r w:rsidR="00AC5CB5">
        <w:rPr>
          <w:rFonts w:asciiTheme="majorHAnsi" w:hAnsiTheme="majorHAnsi" w:cstheme="majorHAnsi"/>
        </w:rPr>
        <w:t xml:space="preserve">Under this option, identifying and assessing the potential impact of mergers would become more routine given the need for such data in setting </w:t>
      </w:r>
      <w:r w:rsidR="00F9377D">
        <w:rPr>
          <w:rFonts w:asciiTheme="majorHAnsi" w:hAnsiTheme="majorHAnsi" w:cstheme="majorHAnsi"/>
        </w:rPr>
        <w:t xml:space="preserve">the notification </w:t>
      </w:r>
      <w:r w:rsidR="00AC5CB5">
        <w:rPr>
          <w:rFonts w:asciiTheme="majorHAnsi" w:hAnsiTheme="majorHAnsi" w:cstheme="majorHAnsi"/>
        </w:rPr>
        <w:t xml:space="preserve">thresholds and other regulatory instruments mitigating risks to the community. </w:t>
      </w:r>
    </w:p>
    <w:p w14:paraId="57DBB8BD" w14:textId="0C7D78B8" w:rsidR="00947E3E" w:rsidRDefault="00B700B8" w:rsidP="00947E3E">
      <w:pPr>
        <w:spacing w:line="240" w:lineRule="auto"/>
      </w:pPr>
      <w:r>
        <w:t>T</w:t>
      </w:r>
      <w:r w:rsidR="00947E3E">
        <w:t xml:space="preserve">he suspensory nature of the new system </w:t>
      </w:r>
      <w:r>
        <w:t xml:space="preserve">coupled </w:t>
      </w:r>
      <w:r w:rsidR="00947E3E">
        <w:t>with the upfront information requirements reduce</w:t>
      </w:r>
      <w:r>
        <w:t>s</w:t>
      </w:r>
      <w:r w:rsidR="00947E3E">
        <w:t xml:space="preserve"> the ability for </w:t>
      </w:r>
      <w:r>
        <w:t xml:space="preserve">businesses </w:t>
      </w:r>
      <w:r w:rsidR="00947E3E">
        <w:t>to engage in strategic behaviour and prevent</w:t>
      </w:r>
      <w:r>
        <w:t>s</w:t>
      </w:r>
      <w:r w:rsidR="00947E3E">
        <w:t xml:space="preserve"> </w:t>
      </w:r>
      <w:r>
        <w:t xml:space="preserve">businesses </w:t>
      </w:r>
      <w:r w:rsidR="00947E3E">
        <w:t xml:space="preserve">threatening to complete mergers </w:t>
      </w:r>
      <w:r w:rsidR="001B056C">
        <w:t xml:space="preserve">and acquisitions </w:t>
      </w:r>
      <w:r w:rsidR="00947E3E">
        <w:t>before the ACCC has undertaken its assessment. This will make the ACCC a more effective decision</w:t>
      </w:r>
      <w:r w:rsidR="00F71114">
        <w:t>-</w:t>
      </w:r>
      <w:r w:rsidR="00947E3E">
        <w:t xml:space="preserve">maker, putting it in a stronger position to detect and prevent anti-competitive mergers. </w:t>
      </w:r>
    </w:p>
    <w:p w14:paraId="234B119D" w14:textId="3B47E527" w:rsidR="00947E3E" w:rsidRDefault="00947E3E" w:rsidP="00947E3E">
      <w:pPr>
        <w:spacing w:line="240" w:lineRule="auto"/>
      </w:pPr>
      <w:r>
        <w:t>The robustness and quality of decision making will also be improved through making the ACCC the expert, first-instance decision</w:t>
      </w:r>
      <w:r w:rsidR="00023017">
        <w:t>-</w:t>
      </w:r>
      <w:r>
        <w:t>maker. As an administrative decision-maker</w:t>
      </w:r>
      <w:r w:rsidR="00CE1F29">
        <w:t>,</w:t>
      </w:r>
      <w:r>
        <w:t xml:space="preserve"> the ACCC will gather all relevant information and evidence, analyse this material, weigh up relevant considerations and set out objective, factual findings and other considerations in its reasons for decision. Necessary economic rigour will be applied to the assessment of mergers, supported by information and evidence without being limited by the rules of admissibility under the </w:t>
      </w:r>
      <w:r w:rsidRPr="00A40BE2">
        <w:rPr>
          <w:i/>
        </w:rPr>
        <w:t>Evidence Act 1995</w:t>
      </w:r>
      <w:r>
        <w:t xml:space="preserve"> (Cth).</w:t>
      </w:r>
      <w:r w:rsidRPr="00385F55">
        <w:t xml:space="preserve"> </w:t>
      </w:r>
      <w:r>
        <w:t xml:space="preserve">This, in conjunction with review by the Tribunal, will improve merger outcomes, in that it will mitigate the risk of harmful mergers </w:t>
      </w:r>
      <w:r w:rsidR="001B056C">
        <w:t xml:space="preserve">and acquisitions </w:t>
      </w:r>
      <w:r>
        <w:t>being cleared and benign mergers not proceeding.</w:t>
      </w:r>
    </w:p>
    <w:p w14:paraId="11EF7D8B" w14:textId="0E914656" w:rsidR="00947E3E" w:rsidRDefault="00947E3E" w:rsidP="00947E3E">
      <w:pPr>
        <w:spacing w:line="240" w:lineRule="auto"/>
      </w:pPr>
      <w:r>
        <w:t>The quantum of the benefit of preventing anti-competitive mergers is difficult to estimate in dollar terms. Evidence from overseas shows that the order of magnitude of these benefits may be in the hundreds of millions or billions of dollars per year. For example, the UK Competition and Markets Authority (CMA) estimates that i</w:t>
      </w:r>
      <w:r w:rsidRPr="00A07C6B">
        <w:t>n the financial years 2020</w:t>
      </w:r>
      <w:r w:rsidR="00356BAD">
        <w:t>–</w:t>
      </w:r>
      <w:r w:rsidRPr="00A07C6B">
        <w:t>21 to 2022</w:t>
      </w:r>
      <w:r w:rsidR="00356BAD">
        <w:t>–</w:t>
      </w:r>
      <w:r w:rsidRPr="00A07C6B">
        <w:t xml:space="preserve">23, the </w:t>
      </w:r>
      <w:r>
        <w:t xml:space="preserve">UK </w:t>
      </w:r>
      <w:r w:rsidRPr="00A07C6B">
        <w:t xml:space="preserve">merger control system saved consumers </w:t>
      </w:r>
      <w:r w:rsidR="00F06158">
        <w:t xml:space="preserve">GBP </w:t>
      </w:r>
      <w:r w:rsidR="000D3824">
        <w:t>2</w:t>
      </w:r>
      <w:r w:rsidRPr="00A07C6B">
        <w:t xml:space="preserve"> </w:t>
      </w:r>
      <w:r>
        <w:t xml:space="preserve">billion </w:t>
      </w:r>
      <w:r w:rsidRPr="00A07C6B">
        <w:t xml:space="preserve">in total, at an average of </w:t>
      </w:r>
      <w:r w:rsidR="00F06158">
        <w:t xml:space="preserve">GBP </w:t>
      </w:r>
      <w:r w:rsidRPr="00A07C6B">
        <w:t>652.2 million per year (this does not include the significant but difficult to measure benefits of deterrence).</w:t>
      </w:r>
      <w:r w:rsidRPr="00A07C6B">
        <w:rPr>
          <w:rStyle w:val="FootnoteReference"/>
        </w:rPr>
        <w:footnoteReference w:id="70"/>
      </w:r>
      <w:r>
        <w:t xml:space="preserve"> The United States Federal Trade Commission (FTC) estimates its merger and conduct enforcement activities saved consumers US$3.1 billion (five-year rolling average)</w:t>
      </w:r>
      <w:r w:rsidR="005D2C04">
        <w:t xml:space="preserve"> alone</w:t>
      </w:r>
      <w:r>
        <w:t>, which does not account for merger enforcement activity undertaken by the US Department of Justice</w:t>
      </w:r>
      <w:r w:rsidR="00D35457">
        <w:t xml:space="preserve"> </w:t>
      </w:r>
      <w:r w:rsidR="00823C63">
        <w:t>who also shares jurisdiction on mergers</w:t>
      </w:r>
      <w:r w:rsidR="001B056C">
        <w:t xml:space="preserve"> and acquisitions</w:t>
      </w:r>
      <w:r>
        <w:t>.</w:t>
      </w:r>
      <w:r>
        <w:rPr>
          <w:rStyle w:val="FootnoteReference"/>
        </w:rPr>
        <w:footnoteReference w:id="71"/>
      </w:r>
      <w:r>
        <w:t xml:space="preserve"> </w:t>
      </w:r>
    </w:p>
    <w:p w14:paraId="2BAFF83E" w14:textId="75E3635F" w:rsidR="00947E3E" w:rsidRDefault="00947E3E" w:rsidP="00947E3E">
      <w:pPr>
        <w:spacing w:line="240" w:lineRule="auto"/>
      </w:pPr>
      <w:r>
        <w:t>In the Australian context</w:t>
      </w:r>
      <w:r w:rsidR="002A0B4C">
        <w:t>,</w:t>
      </w:r>
      <w:r>
        <w:t xml:space="preserve"> such estimates would need to be adjusted to reflect the smaller size of the Australian economy</w:t>
      </w:r>
      <w:r w:rsidR="004F586A">
        <w:t>.</w:t>
      </w:r>
      <w:r>
        <w:t xml:space="preserve"> </w:t>
      </w:r>
      <w:r w:rsidR="005E296A">
        <w:t>The US and UK estimates represent 0.01</w:t>
      </w:r>
      <w:r w:rsidR="001F4960">
        <w:t>3</w:t>
      </w:r>
      <w:r w:rsidR="005E296A">
        <w:t xml:space="preserve"> </w:t>
      </w:r>
      <w:r w:rsidR="00873591">
        <w:t>per cent</w:t>
      </w:r>
      <w:r w:rsidR="005E296A">
        <w:t xml:space="preserve"> and 0.0</w:t>
      </w:r>
      <w:r w:rsidR="001F4960">
        <w:t>28</w:t>
      </w:r>
      <w:r w:rsidR="00873591">
        <w:t xml:space="preserve"> per cent</w:t>
      </w:r>
      <w:r w:rsidR="005E296A">
        <w:t xml:space="preserve"> of their respective GDP. Applying this range to Australia would </w:t>
      </w:r>
      <w:r w:rsidR="001E5E1C">
        <w:t xml:space="preserve">imply </w:t>
      </w:r>
      <w:r w:rsidR="005E296A">
        <w:t>benefits of between $</w:t>
      </w:r>
      <w:r w:rsidR="00F46465">
        <w:t>340</w:t>
      </w:r>
      <w:r w:rsidR="005E296A">
        <w:t>-</w:t>
      </w:r>
      <w:r w:rsidR="00A1181F">
        <w:t>732</w:t>
      </w:r>
      <w:r w:rsidR="005E296A">
        <w:t xml:space="preserve"> million</w:t>
      </w:r>
      <w:r w:rsidR="00D5560E">
        <w:t>,</w:t>
      </w:r>
      <w:r w:rsidR="0066702D">
        <w:rPr>
          <w:rStyle w:val="FootnoteReference"/>
        </w:rPr>
        <w:footnoteReference w:id="72"/>
      </w:r>
      <w:r w:rsidR="00CB4BCF">
        <w:t xml:space="preserve"> </w:t>
      </w:r>
      <w:r w:rsidR="008D0BA5">
        <w:t xml:space="preserve">although </w:t>
      </w:r>
      <w:r>
        <w:t>some measure of this benefit is already achieved under the status quo.</w:t>
      </w:r>
    </w:p>
    <w:p w14:paraId="18D32596" w14:textId="1E40192A" w:rsidR="00947E3E" w:rsidRDefault="00947E3E" w:rsidP="00947E3E">
      <w:pPr>
        <w:spacing w:line="240" w:lineRule="auto"/>
      </w:pPr>
      <w:r>
        <w:t xml:space="preserve">As outlined in </w:t>
      </w:r>
      <w:r w:rsidR="002507D1">
        <w:t>Question</w:t>
      </w:r>
      <w:r>
        <w:t xml:space="preserve"> 1, t</w:t>
      </w:r>
      <w:r w:rsidRPr="007512F8">
        <w:t>here is evidence that the intensity of competition has weakened across many parts of the economy, accompanied by increasing market concentration and markups in many industries</w:t>
      </w:r>
      <w:r>
        <w:t xml:space="preserve">. </w:t>
      </w:r>
      <w:r w:rsidRPr="00E82F0E">
        <w:t>Illustrative modelling undertaken jointly by the RBA and Treasury highlights the potential value of competition, suggesting that Australia’s GDP could be 1-3 per cent higher if we returned to the level of competition that prevailed in the early 2000s. In today’s dollars, that is approximately $30</w:t>
      </w:r>
      <w:r w:rsidR="000D3824">
        <w:t>-</w:t>
      </w:r>
      <w:r w:rsidRPr="00E82F0E">
        <w:t>80 billion each and every year</w:t>
      </w:r>
      <w:r w:rsidR="00930CE5">
        <w:t>.</w:t>
      </w:r>
      <w:r w:rsidR="00930CE5">
        <w:rPr>
          <w:rStyle w:val="FootnoteReference"/>
        </w:rPr>
        <w:footnoteReference w:id="73"/>
      </w:r>
      <w:r w:rsidR="00930CE5">
        <w:t xml:space="preserve"> </w:t>
      </w:r>
      <w:r w:rsidR="00EF5BBF">
        <w:t>While m</w:t>
      </w:r>
      <w:r>
        <w:t xml:space="preserve">erger control is </w:t>
      </w:r>
      <w:r w:rsidR="00930CE5">
        <w:t xml:space="preserve">not the only </w:t>
      </w:r>
      <w:r w:rsidR="00EF0823">
        <w:t xml:space="preserve">variable </w:t>
      </w:r>
      <w:r w:rsidR="006B5A9D">
        <w:t>that</w:t>
      </w:r>
      <w:r w:rsidR="00EF0823">
        <w:t xml:space="preserve"> affects competition</w:t>
      </w:r>
      <w:r w:rsidR="00EF5BBF">
        <w:t xml:space="preserve">, a significant number of mergers </w:t>
      </w:r>
      <w:r w:rsidR="004F3491">
        <w:t xml:space="preserve">and acquisitions </w:t>
      </w:r>
      <w:r w:rsidR="00EF5BBF">
        <w:t>do take place each year</w:t>
      </w:r>
      <w:r w:rsidR="001A3C79">
        <w:t>.</w:t>
      </w:r>
      <w:r w:rsidR="00B037E3">
        <w:rPr>
          <w:rStyle w:val="FootnoteReference"/>
        </w:rPr>
        <w:footnoteReference w:id="74"/>
      </w:r>
      <w:r>
        <w:t xml:space="preserve">  </w:t>
      </w:r>
    </w:p>
    <w:p w14:paraId="7755B4C5" w14:textId="0086D5A8" w:rsidR="00947E3E" w:rsidRPr="00F26CC7" w:rsidRDefault="00947E3E" w:rsidP="00355A5E">
      <w:pPr>
        <w:pStyle w:val="Heading4"/>
      </w:pPr>
      <w:bookmarkStart w:id="75" w:name="_Hlk168395939"/>
      <w:r w:rsidRPr="00355A5E">
        <w:t xml:space="preserve">Reducing cost of delays through shorter and more certain timelines </w:t>
      </w:r>
    </w:p>
    <w:bookmarkEnd w:id="75"/>
    <w:p w14:paraId="50F70DAF" w14:textId="5FF0176E" w:rsidR="000C1983" w:rsidRDefault="00947E3E" w:rsidP="00947E3E">
      <w:pPr>
        <w:spacing w:line="240" w:lineRule="auto"/>
        <w:rPr>
          <w:rFonts w:cstheme="minorHAnsi"/>
        </w:rPr>
      </w:pPr>
      <w:r>
        <w:rPr>
          <w:rFonts w:cstheme="minorHAnsi"/>
        </w:rPr>
        <w:t xml:space="preserve">Shorter timeframes for </w:t>
      </w:r>
      <w:r w:rsidR="00EF5BBF">
        <w:rPr>
          <w:rFonts w:cstheme="minorHAnsi"/>
        </w:rPr>
        <w:t xml:space="preserve">merger </w:t>
      </w:r>
      <w:r>
        <w:rPr>
          <w:rFonts w:cstheme="minorHAnsi"/>
        </w:rPr>
        <w:t>assessment</w:t>
      </w:r>
      <w:r w:rsidR="0032744A">
        <w:rPr>
          <w:rFonts w:cstheme="minorHAnsi"/>
        </w:rPr>
        <w:t>s</w:t>
      </w:r>
      <w:r>
        <w:rPr>
          <w:rFonts w:cstheme="minorHAnsi"/>
        </w:rPr>
        <w:t xml:space="preserve"> will bring significant </w:t>
      </w:r>
      <w:r w:rsidR="00F52D55">
        <w:rPr>
          <w:rFonts w:cstheme="minorHAnsi"/>
        </w:rPr>
        <w:t xml:space="preserve">direct and indirect </w:t>
      </w:r>
      <w:r>
        <w:rPr>
          <w:rFonts w:cstheme="minorHAnsi"/>
        </w:rPr>
        <w:t xml:space="preserve">benefits for merger parties, but these are difficult to estimate in dollar terms as they are </w:t>
      </w:r>
      <w:r w:rsidR="00D42D50">
        <w:rPr>
          <w:rFonts w:cstheme="minorHAnsi"/>
        </w:rPr>
        <w:t xml:space="preserve">merger </w:t>
      </w:r>
      <w:r>
        <w:rPr>
          <w:rFonts w:cstheme="minorHAnsi"/>
        </w:rPr>
        <w:t>specific.</w:t>
      </w:r>
      <w:r w:rsidR="00F52D55">
        <w:rPr>
          <w:rFonts w:cstheme="minorHAnsi"/>
        </w:rPr>
        <w:t xml:space="preserve"> </w:t>
      </w:r>
      <w:r w:rsidR="00F36633">
        <w:rPr>
          <w:rFonts w:cstheme="minorHAnsi"/>
        </w:rPr>
        <w:t>I</w:t>
      </w:r>
      <w:r w:rsidR="00F52D55">
        <w:rPr>
          <w:rFonts w:cstheme="minorHAnsi"/>
        </w:rPr>
        <w:t>ndirect benefit</w:t>
      </w:r>
      <w:r w:rsidR="0032744A">
        <w:rPr>
          <w:rFonts w:cstheme="minorHAnsi"/>
        </w:rPr>
        <w:t>s</w:t>
      </w:r>
      <w:r w:rsidR="00F52D55">
        <w:rPr>
          <w:rFonts w:cstheme="minorHAnsi"/>
        </w:rPr>
        <w:t xml:space="preserve"> </w:t>
      </w:r>
      <w:r w:rsidR="00F36633">
        <w:rPr>
          <w:rFonts w:cstheme="minorHAnsi"/>
        </w:rPr>
        <w:t xml:space="preserve">include </w:t>
      </w:r>
      <w:r w:rsidR="00F52D55">
        <w:rPr>
          <w:rFonts w:cstheme="minorHAnsi"/>
        </w:rPr>
        <w:t xml:space="preserve">reduced finance </w:t>
      </w:r>
      <w:r w:rsidR="000B040D">
        <w:rPr>
          <w:rFonts w:cstheme="minorHAnsi"/>
        </w:rPr>
        <w:t xml:space="preserve">(funding/holding) </w:t>
      </w:r>
      <w:r w:rsidR="00F52D55">
        <w:rPr>
          <w:rFonts w:cstheme="minorHAnsi"/>
        </w:rPr>
        <w:t>costs</w:t>
      </w:r>
      <w:r w:rsidR="00F36633">
        <w:rPr>
          <w:rFonts w:cstheme="minorHAnsi"/>
        </w:rPr>
        <w:t xml:space="preserve">, </w:t>
      </w:r>
      <w:r w:rsidR="004A3993">
        <w:rPr>
          <w:rFonts w:cstheme="minorHAnsi"/>
        </w:rPr>
        <w:t xml:space="preserve">and </w:t>
      </w:r>
      <w:r w:rsidR="00F36633">
        <w:rPr>
          <w:rFonts w:cstheme="minorHAnsi"/>
        </w:rPr>
        <w:t xml:space="preserve">deterioration in asset </w:t>
      </w:r>
      <w:r w:rsidR="00791897">
        <w:rPr>
          <w:rFonts w:cstheme="minorHAnsi"/>
        </w:rPr>
        <w:t>or</w:t>
      </w:r>
      <w:r w:rsidR="00F36633">
        <w:rPr>
          <w:rFonts w:cstheme="minorHAnsi"/>
        </w:rPr>
        <w:t xml:space="preserve"> business value </w:t>
      </w:r>
      <w:r w:rsidR="00F93E5E">
        <w:rPr>
          <w:rFonts w:cstheme="minorHAnsi"/>
        </w:rPr>
        <w:t>due to uncertainty and delays (e.g.</w:t>
      </w:r>
      <w:r w:rsidR="00E9629C">
        <w:rPr>
          <w:rFonts w:cstheme="minorHAnsi"/>
        </w:rPr>
        <w:t>,</w:t>
      </w:r>
      <w:r w:rsidR="00F93E5E">
        <w:rPr>
          <w:rFonts w:cstheme="minorHAnsi"/>
        </w:rPr>
        <w:t xml:space="preserve"> key staff leaving</w:t>
      </w:r>
      <w:r w:rsidR="004A3993">
        <w:rPr>
          <w:rFonts w:cstheme="minorHAnsi"/>
        </w:rPr>
        <w:t>)</w:t>
      </w:r>
      <w:r w:rsidR="00F52D55">
        <w:rPr>
          <w:rFonts w:cstheme="minorHAnsi"/>
        </w:rPr>
        <w:t xml:space="preserve">. </w:t>
      </w:r>
      <w:r>
        <w:rPr>
          <w:rFonts w:cstheme="minorHAnsi"/>
        </w:rPr>
        <w:t>Submissions to the 2023</w:t>
      </w:r>
      <w:r w:rsidR="0098161E">
        <w:rPr>
          <w:rFonts w:cstheme="minorHAnsi"/>
        </w:rPr>
        <w:t>-24</w:t>
      </w:r>
      <w:r>
        <w:rPr>
          <w:rFonts w:cstheme="minorHAnsi"/>
        </w:rPr>
        <w:t xml:space="preserve"> </w:t>
      </w:r>
      <w:r w:rsidRPr="00B00727">
        <w:rPr>
          <w:rFonts w:cstheme="minorHAnsi"/>
        </w:rPr>
        <w:t>Merger Reform Consultation make clear that a lengthy clearance process can delay commercial decision</w:t>
      </w:r>
      <w:r w:rsidR="0068583E" w:rsidRPr="00B00727">
        <w:rPr>
          <w:rFonts w:cstheme="minorHAnsi"/>
        </w:rPr>
        <w:t>-making</w:t>
      </w:r>
      <w:r w:rsidRPr="00B00727">
        <w:rPr>
          <w:rFonts w:cstheme="minorHAnsi"/>
        </w:rPr>
        <w:t xml:space="preserve"> and impose significant costs on business.</w:t>
      </w:r>
      <w:r w:rsidRPr="00B00727">
        <w:rPr>
          <w:rStyle w:val="FootnoteReference"/>
          <w:rFonts w:cstheme="minorHAnsi"/>
        </w:rPr>
        <w:footnoteReference w:id="75"/>
      </w:r>
      <w:r w:rsidRPr="00B00727">
        <w:rPr>
          <w:rFonts w:cstheme="minorHAnsi"/>
        </w:rPr>
        <w:t xml:space="preserve"> </w:t>
      </w:r>
      <w:r w:rsidR="0001734E" w:rsidRPr="00B00727">
        <w:rPr>
          <w:rFonts w:cstheme="minorHAnsi"/>
        </w:rPr>
        <w:t>For example, the Tech Council of Australia submitted that</w:t>
      </w:r>
      <w:r w:rsidR="00F63A06" w:rsidRPr="00B00727">
        <w:rPr>
          <w:rFonts w:cstheme="minorHAnsi"/>
        </w:rPr>
        <w:t>: ‘</w:t>
      </w:r>
      <w:r w:rsidR="00F63A06" w:rsidRPr="00B00727">
        <w:rPr>
          <w:rFonts w:cstheme="minorHAnsi"/>
          <w:i/>
          <w:iCs/>
        </w:rPr>
        <w:t>Delays in regulatory approval for mergers has</w:t>
      </w:r>
      <w:r w:rsidR="00F63A06" w:rsidRPr="00B00727">
        <w:rPr>
          <w:rFonts w:cstheme="minorHAnsi"/>
        </w:rPr>
        <w:t xml:space="preserve"> </w:t>
      </w:r>
      <w:r w:rsidR="000E2B88" w:rsidRPr="00B00727">
        <w:rPr>
          <w:rFonts w:cstheme="minorHAnsi"/>
        </w:rPr>
        <w:t>[sic]</w:t>
      </w:r>
      <w:r w:rsidR="00F63A06" w:rsidRPr="00B00727">
        <w:rPr>
          <w:rFonts w:cstheme="minorHAnsi"/>
          <w:i/>
          <w:iCs/>
        </w:rPr>
        <w:t xml:space="preserve"> enormous commercial implications, with delays or the expectation of long regulatory delays capable of killing deals</w:t>
      </w:r>
      <w:r w:rsidR="00F63A06" w:rsidRPr="00B00727">
        <w:rPr>
          <w:rFonts w:cstheme="minorHAnsi"/>
        </w:rPr>
        <w:t>.’</w:t>
      </w:r>
      <w:r w:rsidR="004243D5" w:rsidRPr="00B00727">
        <w:rPr>
          <w:rStyle w:val="FootnoteReference"/>
          <w:rFonts w:cstheme="minorHAnsi"/>
        </w:rPr>
        <w:footnoteReference w:id="76"/>
      </w:r>
    </w:p>
    <w:p w14:paraId="2E04DC22" w14:textId="7FC3D74D" w:rsidR="00947E3E" w:rsidRDefault="007165AC" w:rsidP="00947E3E">
      <w:pPr>
        <w:spacing w:line="240" w:lineRule="auto"/>
      </w:pPr>
      <w:r>
        <w:t xml:space="preserve">As </w:t>
      </w:r>
      <w:r w:rsidR="0016688A">
        <w:t xml:space="preserve">merger and </w:t>
      </w:r>
      <w:r>
        <w:t>acquisitions are time-sensitive, prompt decision-making is critical</w:t>
      </w:r>
      <w:r w:rsidR="00C03BAB">
        <w:t xml:space="preserve">. To support prompt reviews, statutory timelines will be set for ACCC reviews. </w:t>
      </w:r>
      <w:r w:rsidR="00947E3E" w:rsidRPr="00B00727">
        <w:rPr>
          <w:rFonts w:cstheme="minorHAnsi"/>
        </w:rPr>
        <w:t xml:space="preserve">Option 2 reduces Phase </w:t>
      </w:r>
      <w:r w:rsidR="003807B0">
        <w:rPr>
          <w:rFonts w:cstheme="minorHAnsi"/>
        </w:rPr>
        <w:t>1</w:t>
      </w:r>
      <w:r w:rsidR="00947E3E" w:rsidRPr="00B00727">
        <w:rPr>
          <w:rFonts w:cstheme="minorHAnsi"/>
        </w:rPr>
        <w:t xml:space="preserve"> from an average of </w:t>
      </w:r>
      <w:r w:rsidR="00730B75">
        <w:rPr>
          <w:rFonts w:cstheme="minorHAnsi"/>
        </w:rPr>
        <w:t>75</w:t>
      </w:r>
      <w:r w:rsidR="00947E3E" w:rsidRPr="00B00727">
        <w:rPr>
          <w:rFonts w:cstheme="minorHAnsi"/>
        </w:rPr>
        <w:t xml:space="preserve"> days to 30 days (a </w:t>
      </w:r>
      <w:r w:rsidR="00730B75">
        <w:rPr>
          <w:rFonts w:cstheme="minorHAnsi"/>
        </w:rPr>
        <w:t>60</w:t>
      </w:r>
      <w:r w:rsidR="006A0B58">
        <w:rPr>
          <w:rFonts w:cstheme="minorHAnsi"/>
        </w:rPr>
        <w:t>%</w:t>
      </w:r>
      <w:r w:rsidR="00947E3E" w:rsidRPr="00B00727">
        <w:rPr>
          <w:rFonts w:cstheme="minorHAnsi"/>
        </w:rPr>
        <w:t xml:space="preserve"> reduction). </w:t>
      </w:r>
      <w:r w:rsidR="00B21D37" w:rsidRPr="00B00727">
        <w:rPr>
          <w:rFonts w:cstheme="minorHAnsi"/>
        </w:rPr>
        <w:t>I</w:t>
      </w:r>
      <w:r w:rsidR="00947E3E" w:rsidRPr="00B00727">
        <w:rPr>
          <w:rFonts w:cstheme="minorHAnsi"/>
        </w:rPr>
        <w:t xml:space="preserve">t </w:t>
      </w:r>
      <w:r w:rsidR="00257E3F">
        <w:rPr>
          <w:rFonts w:cstheme="minorHAnsi"/>
        </w:rPr>
        <w:t xml:space="preserve">also </w:t>
      </w:r>
      <w:r w:rsidR="00947E3E" w:rsidRPr="00B00727">
        <w:rPr>
          <w:rFonts w:cstheme="minorHAnsi"/>
        </w:rPr>
        <w:t xml:space="preserve">reduces </w:t>
      </w:r>
      <w:r w:rsidR="00D607D0" w:rsidRPr="00B00727">
        <w:rPr>
          <w:rFonts w:cstheme="minorHAnsi"/>
        </w:rPr>
        <w:t xml:space="preserve">the total of Phase </w:t>
      </w:r>
      <w:r w:rsidR="003807B0">
        <w:rPr>
          <w:rFonts w:cstheme="minorHAnsi"/>
        </w:rPr>
        <w:t>1</w:t>
      </w:r>
      <w:r w:rsidR="00D607D0" w:rsidRPr="00B00727">
        <w:rPr>
          <w:rFonts w:cstheme="minorHAnsi"/>
        </w:rPr>
        <w:t xml:space="preserve"> and </w:t>
      </w:r>
      <w:r w:rsidR="005943D0" w:rsidRPr="00B00727">
        <w:rPr>
          <w:rFonts w:cstheme="minorHAnsi"/>
        </w:rPr>
        <w:t>P</w:t>
      </w:r>
      <w:r w:rsidR="00947E3E" w:rsidRPr="00B00727">
        <w:rPr>
          <w:rFonts w:cstheme="minorHAnsi"/>
        </w:rPr>
        <w:t xml:space="preserve">hase </w:t>
      </w:r>
      <w:r w:rsidR="003807B0">
        <w:rPr>
          <w:rFonts w:cstheme="minorHAnsi"/>
        </w:rPr>
        <w:t>2</w:t>
      </w:r>
      <w:r w:rsidR="00947E3E" w:rsidRPr="00B00727">
        <w:rPr>
          <w:rFonts w:cstheme="minorHAnsi"/>
        </w:rPr>
        <w:t xml:space="preserve"> from an average of </w:t>
      </w:r>
      <w:r w:rsidR="00470F9C">
        <w:rPr>
          <w:rFonts w:cstheme="minorHAnsi"/>
        </w:rPr>
        <w:t>192</w:t>
      </w:r>
      <w:r w:rsidR="00470F9C" w:rsidRPr="00B00727">
        <w:rPr>
          <w:rFonts w:cstheme="minorHAnsi"/>
        </w:rPr>
        <w:t xml:space="preserve"> </w:t>
      </w:r>
      <w:r w:rsidR="00947E3E" w:rsidRPr="00B00727">
        <w:rPr>
          <w:rFonts w:cstheme="minorHAnsi"/>
        </w:rPr>
        <w:t xml:space="preserve">days in the status quo to 120 days (a </w:t>
      </w:r>
      <w:r w:rsidR="00884F83">
        <w:rPr>
          <w:rFonts w:cstheme="minorHAnsi"/>
        </w:rPr>
        <w:t>37</w:t>
      </w:r>
      <w:r w:rsidR="00852808">
        <w:rPr>
          <w:rFonts w:cstheme="minorHAnsi"/>
        </w:rPr>
        <w:t>%</w:t>
      </w:r>
      <w:r w:rsidR="00947E3E" w:rsidRPr="00B00727">
        <w:rPr>
          <w:rFonts w:cstheme="minorHAnsi"/>
        </w:rPr>
        <w:t xml:space="preserve"> reduction). Legislating these timeframes increase</w:t>
      </w:r>
      <w:r w:rsidR="00ED0F2E">
        <w:rPr>
          <w:rFonts w:cstheme="minorHAnsi"/>
        </w:rPr>
        <w:t>s</w:t>
      </w:r>
      <w:r w:rsidR="00947E3E" w:rsidRPr="00B00727">
        <w:rPr>
          <w:rFonts w:cstheme="minorHAnsi"/>
        </w:rPr>
        <w:t xml:space="preserve"> certainty for business </w:t>
      </w:r>
      <w:r w:rsidR="00581ACB">
        <w:rPr>
          <w:rFonts w:cstheme="minorHAnsi"/>
        </w:rPr>
        <w:t xml:space="preserve">and </w:t>
      </w:r>
      <w:r w:rsidR="00310090">
        <w:rPr>
          <w:rFonts w:cstheme="minorHAnsi"/>
        </w:rPr>
        <w:t>reduc</w:t>
      </w:r>
      <w:r w:rsidR="008158D3">
        <w:rPr>
          <w:rFonts w:cstheme="minorHAnsi"/>
        </w:rPr>
        <w:t>es</w:t>
      </w:r>
      <w:r w:rsidR="00310090">
        <w:rPr>
          <w:rFonts w:cstheme="minorHAnsi"/>
        </w:rPr>
        <w:t xml:space="preserve"> </w:t>
      </w:r>
      <w:r w:rsidR="007E0567">
        <w:rPr>
          <w:rFonts w:cstheme="minorHAnsi"/>
        </w:rPr>
        <w:t>transaction costs</w:t>
      </w:r>
      <w:r w:rsidR="008158D3">
        <w:rPr>
          <w:rFonts w:cstheme="minorHAnsi"/>
        </w:rPr>
        <w:t>,</w:t>
      </w:r>
      <w:r w:rsidR="007E0567">
        <w:rPr>
          <w:rFonts w:cstheme="minorHAnsi"/>
        </w:rPr>
        <w:t xml:space="preserve"> </w:t>
      </w:r>
      <w:r w:rsidR="00947E3E" w:rsidRPr="00B00727">
        <w:rPr>
          <w:rFonts w:cstheme="minorHAnsi"/>
        </w:rPr>
        <w:t>which will assist merger parties</w:t>
      </w:r>
      <w:r w:rsidR="00170F10" w:rsidRPr="00B00727">
        <w:rPr>
          <w:rFonts w:cstheme="minorHAnsi"/>
        </w:rPr>
        <w:t>’</w:t>
      </w:r>
      <w:r w:rsidR="00947E3E" w:rsidRPr="00B00727">
        <w:rPr>
          <w:rFonts w:cstheme="minorHAnsi"/>
        </w:rPr>
        <w:t xml:space="preserve"> planning.</w:t>
      </w:r>
      <w:r w:rsidR="00947E3E">
        <w:rPr>
          <w:rFonts w:cstheme="minorHAnsi"/>
        </w:rPr>
        <w:t xml:space="preserve"> </w:t>
      </w:r>
    </w:p>
    <w:p w14:paraId="0B7DD3DB" w14:textId="18BFC27C" w:rsidR="00947E3E" w:rsidRPr="00F26CC7" w:rsidRDefault="00947E3E" w:rsidP="00355A5E">
      <w:pPr>
        <w:pStyle w:val="Heading4"/>
      </w:pPr>
      <w:r w:rsidRPr="00355A5E">
        <w:t>Increasing transparency</w:t>
      </w:r>
    </w:p>
    <w:p w14:paraId="75352151" w14:textId="4BFCECDC" w:rsidR="00947E3E" w:rsidRDefault="00947E3E" w:rsidP="00947E3E">
      <w:pPr>
        <w:spacing w:line="240" w:lineRule="auto"/>
        <w:rPr>
          <w:rFonts w:cstheme="minorHAnsi"/>
        </w:rPr>
      </w:pPr>
      <w:r>
        <w:rPr>
          <w:rFonts w:cstheme="minorHAnsi"/>
        </w:rPr>
        <w:t>Merger parties</w:t>
      </w:r>
      <w:r w:rsidR="0072586C">
        <w:rPr>
          <w:rFonts w:cstheme="minorHAnsi"/>
        </w:rPr>
        <w:t>, interested stakeholders and the community</w:t>
      </w:r>
      <w:r>
        <w:rPr>
          <w:rFonts w:cstheme="minorHAnsi"/>
        </w:rPr>
        <w:t xml:space="preserve"> will benefit from increased transparency. All mergers considered by the ACCC under Option 2 will be disclosed to the public (in comparison to less than 10</w:t>
      </w:r>
      <w:r w:rsidR="00B36078">
        <w:rPr>
          <w:rFonts w:cstheme="minorHAnsi"/>
        </w:rPr>
        <w:t>%</w:t>
      </w:r>
      <w:r w:rsidR="00487933">
        <w:rPr>
          <w:rFonts w:cstheme="minorHAnsi"/>
        </w:rPr>
        <w:t xml:space="preserve"> </w:t>
      </w:r>
      <w:r>
        <w:rPr>
          <w:rFonts w:cstheme="minorHAnsi"/>
        </w:rPr>
        <w:t xml:space="preserve">under the </w:t>
      </w:r>
      <w:r w:rsidRPr="00E2537B">
        <w:rPr>
          <w:rFonts w:cstheme="minorHAnsi"/>
        </w:rPr>
        <w:t xml:space="preserve">status quo). The ACCC will need to provide reasons for 100 per cent of decisions under Option 2. This is compared to </w:t>
      </w:r>
      <w:r>
        <w:rPr>
          <w:rFonts w:cstheme="minorHAnsi"/>
        </w:rPr>
        <w:t xml:space="preserve">the status quo where </w:t>
      </w:r>
      <w:r w:rsidRPr="00E2537B">
        <w:rPr>
          <w:rFonts w:cstheme="minorHAnsi"/>
        </w:rPr>
        <w:t xml:space="preserve">the ACCC has released a public competition assessment setting out its reasons </w:t>
      </w:r>
      <w:r w:rsidR="00AB1592">
        <w:rPr>
          <w:rFonts w:cstheme="minorHAnsi"/>
        </w:rPr>
        <w:t xml:space="preserve">for </w:t>
      </w:r>
      <w:r w:rsidRPr="00E2537B">
        <w:rPr>
          <w:rFonts w:cstheme="minorHAnsi"/>
        </w:rPr>
        <w:t xml:space="preserve">only 2 per cent of all </w:t>
      </w:r>
      <w:r w:rsidR="00AB1592">
        <w:rPr>
          <w:rFonts w:cstheme="minorHAnsi"/>
        </w:rPr>
        <w:t>mergers</w:t>
      </w:r>
      <w:r w:rsidR="00AB1592" w:rsidRPr="00E2537B">
        <w:rPr>
          <w:rFonts w:cstheme="minorHAnsi"/>
        </w:rPr>
        <w:t xml:space="preserve"> </w:t>
      </w:r>
      <w:r w:rsidRPr="00E2537B">
        <w:rPr>
          <w:rFonts w:cstheme="minorHAnsi"/>
        </w:rPr>
        <w:t>assessed</w:t>
      </w:r>
      <w:r>
        <w:rPr>
          <w:rFonts w:cstheme="minorHAnsi"/>
        </w:rPr>
        <w:t xml:space="preserve"> or</w:t>
      </w:r>
      <w:r w:rsidRPr="00E2537B">
        <w:rPr>
          <w:rFonts w:cstheme="minorHAnsi"/>
        </w:rPr>
        <w:t xml:space="preserve"> 17</w:t>
      </w:r>
      <w:r w:rsidR="00AB1592">
        <w:rPr>
          <w:rFonts w:cstheme="minorHAnsi"/>
        </w:rPr>
        <w:t> </w:t>
      </w:r>
      <w:r w:rsidRPr="00E2537B">
        <w:rPr>
          <w:rFonts w:cstheme="minorHAnsi"/>
        </w:rPr>
        <w:t>per cent of public reviews.</w:t>
      </w:r>
      <w:r w:rsidRPr="00E2537B">
        <w:rPr>
          <w:rStyle w:val="FootnoteReference"/>
          <w:rFonts w:cstheme="minorHAnsi"/>
        </w:rPr>
        <w:footnoteReference w:id="77"/>
      </w:r>
    </w:p>
    <w:p w14:paraId="4977721D" w14:textId="79DA59A5" w:rsidR="00516692" w:rsidRDefault="00994462" w:rsidP="00947E3E">
      <w:pPr>
        <w:spacing w:line="240" w:lineRule="auto"/>
        <w:rPr>
          <w:rFonts w:cstheme="minorHAnsi"/>
        </w:rPr>
      </w:pPr>
      <w:r>
        <w:rPr>
          <w:rFonts w:cstheme="minorHAnsi"/>
        </w:rPr>
        <w:t xml:space="preserve">Greater transparency improves </w:t>
      </w:r>
      <w:r w:rsidR="00B671AD">
        <w:rPr>
          <w:rFonts w:cstheme="minorHAnsi"/>
        </w:rPr>
        <w:t>prospective merger parties</w:t>
      </w:r>
      <w:r w:rsidR="00386B35">
        <w:rPr>
          <w:rFonts w:cstheme="minorHAnsi"/>
        </w:rPr>
        <w:t>’</w:t>
      </w:r>
      <w:r w:rsidR="00B671AD">
        <w:rPr>
          <w:rFonts w:cstheme="minorHAnsi"/>
        </w:rPr>
        <w:t xml:space="preserve"> </w:t>
      </w:r>
      <w:r w:rsidR="00867F35">
        <w:rPr>
          <w:rFonts w:cstheme="minorHAnsi"/>
        </w:rPr>
        <w:t>understanding of the merger control process</w:t>
      </w:r>
      <w:r w:rsidR="00BE5E89">
        <w:rPr>
          <w:rFonts w:cstheme="minorHAnsi"/>
        </w:rPr>
        <w:t xml:space="preserve">es and likely outcomes. By doing so it </w:t>
      </w:r>
      <w:r w:rsidR="00A75188">
        <w:rPr>
          <w:rFonts w:cstheme="minorHAnsi"/>
        </w:rPr>
        <w:t xml:space="preserve">may have a deterrence effect whereby </w:t>
      </w:r>
      <w:r w:rsidR="008816AA">
        <w:rPr>
          <w:rFonts w:cstheme="minorHAnsi"/>
        </w:rPr>
        <w:t>fewer</w:t>
      </w:r>
      <w:r w:rsidR="00A75188">
        <w:rPr>
          <w:rFonts w:cstheme="minorHAnsi"/>
        </w:rPr>
        <w:t xml:space="preserve"> anti-</w:t>
      </w:r>
      <w:r w:rsidR="00240EF5">
        <w:rPr>
          <w:rFonts w:cstheme="minorHAnsi"/>
        </w:rPr>
        <w:t>competitive</w:t>
      </w:r>
      <w:r w:rsidR="00A75188">
        <w:rPr>
          <w:rFonts w:cstheme="minorHAnsi"/>
        </w:rPr>
        <w:t xml:space="preserve"> mergers are </w:t>
      </w:r>
      <w:r w:rsidR="00240EF5">
        <w:rPr>
          <w:rFonts w:cstheme="minorHAnsi"/>
        </w:rPr>
        <w:t>proposed</w:t>
      </w:r>
      <w:r w:rsidR="00A75188">
        <w:rPr>
          <w:rFonts w:cstheme="minorHAnsi"/>
        </w:rPr>
        <w:t>.</w:t>
      </w:r>
      <w:r w:rsidR="00110C18">
        <w:rPr>
          <w:rFonts w:cstheme="minorHAnsi"/>
        </w:rPr>
        <w:t xml:space="preserve"> Overseas analysis shows that the effects of deterrence </w:t>
      </w:r>
      <w:r w:rsidR="0047363E" w:rsidRPr="0047363E">
        <w:rPr>
          <w:rFonts w:cstheme="minorHAnsi"/>
        </w:rPr>
        <w:t>can be significant albeit very difficult to measure precisely.</w:t>
      </w:r>
      <w:r w:rsidR="0047363E">
        <w:rPr>
          <w:rStyle w:val="FootnoteReference"/>
          <w:rFonts w:cstheme="minorHAnsi"/>
        </w:rPr>
        <w:footnoteReference w:id="78"/>
      </w:r>
      <w:r w:rsidR="00045723">
        <w:rPr>
          <w:rFonts w:cstheme="minorHAnsi"/>
        </w:rPr>
        <w:t xml:space="preserve"> For merger parties, transparency also increases confidence in the process</w:t>
      </w:r>
      <w:r w:rsidR="0054492A">
        <w:rPr>
          <w:rFonts w:cstheme="minorHAnsi"/>
        </w:rPr>
        <w:t>.</w:t>
      </w:r>
    </w:p>
    <w:p w14:paraId="17F7868F" w14:textId="19537082" w:rsidR="00785B52" w:rsidRPr="00E2537B" w:rsidRDefault="0054492A" w:rsidP="00947E3E">
      <w:pPr>
        <w:spacing w:line="240" w:lineRule="auto"/>
        <w:rPr>
          <w:rFonts w:cstheme="minorHAnsi"/>
          <w:b/>
          <w:bCs/>
        </w:rPr>
      </w:pPr>
      <w:r>
        <w:rPr>
          <w:rFonts w:cstheme="minorHAnsi"/>
        </w:rPr>
        <w:t xml:space="preserve">For </w:t>
      </w:r>
      <w:r w:rsidR="00875B8F">
        <w:rPr>
          <w:rFonts w:cstheme="minorHAnsi"/>
        </w:rPr>
        <w:t>interested stakeholders</w:t>
      </w:r>
      <w:r>
        <w:rPr>
          <w:rFonts w:cstheme="minorHAnsi"/>
        </w:rPr>
        <w:t>, t</w:t>
      </w:r>
      <w:r w:rsidR="00F11690">
        <w:rPr>
          <w:rFonts w:cstheme="minorHAnsi"/>
        </w:rPr>
        <w:t xml:space="preserve">ransparency ensures </w:t>
      </w:r>
      <w:r w:rsidR="00104E2C">
        <w:rPr>
          <w:rFonts w:cstheme="minorHAnsi"/>
        </w:rPr>
        <w:t xml:space="preserve">confidence in </w:t>
      </w:r>
      <w:r w:rsidR="00B76DA8">
        <w:rPr>
          <w:rFonts w:cstheme="minorHAnsi"/>
        </w:rPr>
        <w:t xml:space="preserve">the </w:t>
      </w:r>
      <w:r w:rsidR="00B5183B">
        <w:rPr>
          <w:rFonts w:cstheme="minorHAnsi"/>
        </w:rPr>
        <w:t>ACCC</w:t>
      </w:r>
      <w:r w:rsidR="00B76DA8">
        <w:rPr>
          <w:rFonts w:cstheme="minorHAnsi"/>
        </w:rPr>
        <w:t>’s</w:t>
      </w:r>
      <w:r w:rsidR="00B5183B">
        <w:rPr>
          <w:rFonts w:cstheme="minorHAnsi"/>
        </w:rPr>
        <w:t xml:space="preserve"> decision making and broader community awareness</w:t>
      </w:r>
      <w:r w:rsidR="00F11690">
        <w:rPr>
          <w:rFonts w:cstheme="minorHAnsi"/>
        </w:rPr>
        <w:t>.</w:t>
      </w:r>
      <w:r w:rsidR="00343DCB">
        <w:rPr>
          <w:rFonts w:cstheme="minorHAnsi"/>
        </w:rPr>
        <w:t xml:space="preserve"> </w:t>
      </w:r>
      <w:r w:rsidR="007E790B">
        <w:rPr>
          <w:rFonts w:cstheme="minorHAnsi"/>
        </w:rPr>
        <w:t>By dis</w:t>
      </w:r>
      <w:r w:rsidR="007903A6">
        <w:rPr>
          <w:rFonts w:cstheme="minorHAnsi"/>
        </w:rPr>
        <w:t xml:space="preserve">closing all mergers under Option 2, </w:t>
      </w:r>
      <w:r w:rsidR="0043756F">
        <w:rPr>
          <w:rFonts w:cstheme="minorHAnsi"/>
        </w:rPr>
        <w:t xml:space="preserve">this will </w:t>
      </w:r>
      <w:r w:rsidR="00996346">
        <w:rPr>
          <w:rFonts w:cstheme="minorHAnsi"/>
        </w:rPr>
        <w:t xml:space="preserve">provide interested </w:t>
      </w:r>
      <w:r w:rsidR="00875B8F">
        <w:rPr>
          <w:rFonts w:cstheme="minorHAnsi"/>
        </w:rPr>
        <w:t>stakeholders</w:t>
      </w:r>
      <w:r w:rsidR="00996346">
        <w:rPr>
          <w:rFonts w:cstheme="minorHAnsi"/>
        </w:rPr>
        <w:t xml:space="preserve"> </w:t>
      </w:r>
      <w:r w:rsidR="00A3108E">
        <w:rPr>
          <w:rFonts w:cstheme="minorHAnsi"/>
        </w:rPr>
        <w:t xml:space="preserve">with the opportunity to </w:t>
      </w:r>
      <w:r w:rsidR="00910689">
        <w:rPr>
          <w:rFonts w:cstheme="minorHAnsi"/>
        </w:rPr>
        <w:t xml:space="preserve">engage by </w:t>
      </w:r>
      <w:r w:rsidR="00A3108E">
        <w:rPr>
          <w:rFonts w:cstheme="minorHAnsi"/>
        </w:rPr>
        <w:t>mak</w:t>
      </w:r>
      <w:r w:rsidR="00910689">
        <w:rPr>
          <w:rFonts w:cstheme="minorHAnsi"/>
        </w:rPr>
        <w:t>ing</w:t>
      </w:r>
      <w:r w:rsidR="00A3108E">
        <w:rPr>
          <w:rFonts w:cstheme="minorHAnsi"/>
        </w:rPr>
        <w:t xml:space="preserve"> submissions to the ACCC or provid</w:t>
      </w:r>
      <w:r w:rsidR="00910689">
        <w:rPr>
          <w:rFonts w:cstheme="minorHAnsi"/>
        </w:rPr>
        <w:t>ing</w:t>
      </w:r>
      <w:r w:rsidR="00A3108E">
        <w:rPr>
          <w:rFonts w:cstheme="minorHAnsi"/>
        </w:rPr>
        <w:t xml:space="preserve"> information, documents</w:t>
      </w:r>
      <w:r w:rsidR="0024754C">
        <w:rPr>
          <w:rFonts w:cstheme="minorHAnsi"/>
        </w:rPr>
        <w:t>,</w:t>
      </w:r>
      <w:r w:rsidR="00A3108E">
        <w:rPr>
          <w:rFonts w:cstheme="minorHAnsi"/>
        </w:rPr>
        <w:t xml:space="preserve"> data</w:t>
      </w:r>
      <w:r w:rsidR="0024754C">
        <w:rPr>
          <w:rFonts w:cstheme="minorHAnsi"/>
        </w:rPr>
        <w:t xml:space="preserve"> or other evidence</w:t>
      </w:r>
      <w:r w:rsidR="009E2D72">
        <w:rPr>
          <w:rFonts w:cstheme="minorHAnsi"/>
        </w:rPr>
        <w:t xml:space="preserve"> </w:t>
      </w:r>
      <w:r w:rsidR="000E6456">
        <w:rPr>
          <w:rFonts w:cstheme="minorHAnsi"/>
        </w:rPr>
        <w:t>that</w:t>
      </w:r>
      <w:r w:rsidR="00EB6627">
        <w:rPr>
          <w:rFonts w:cstheme="minorHAnsi"/>
        </w:rPr>
        <w:t xml:space="preserve"> </w:t>
      </w:r>
      <w:r w:rsidR="006E0793">
        <w:rPr>
          <w:rFonts w:cstheme="minorHAnsi"/>
        </w:rPr>
        <w:t>facilitate</w:t>
      </w:r>
      <w:r w:rsidR="000E6456">
        <w:rPr>
          <w:rFonts w:cstheme="minorHAnsi"/>
        </w:rPr>
        <w:t>s</w:t>
      </w:r>
      <w:r w:rsidR="006E0793">
        <w:rPr>
          <w:rFonts w:cstheme="minorHAnsi"/>
        </w:rPr>
        <w:t xml:space="preserve"> </w:t>
      </w:r>
      <w:r w:rsidR="004E56E9">
        <w:rPr>
          <w:rFonts w:cstheme="minorHAnsi"/>
        </w:rPr>
        <w:t xml:space="preserve">more </w:t>
      </w:r>
      <w:r w:rsidR="00A8663B">
        <w:rPr>
          <w:rFonts w:cstheme="minorHAnsi"/>
        </w:rPr>
        <w:t xml:space="preserve">informed and </w:t>
      </w:r>
      <w:r w:rsidR="00FD1EEC">
        <w:rPr>
          <w:rFonts w:cstheme="minorHAnsi"/>
        </w:rPr>
        <w:t xml:space="preserve">rigorous </w:t>
      </w:r>
      <w:r w:rsidR="00A8663B">
        <w:rPr>
          <w:rFonts w:cstheme="minorHAnsi"/>
        </w:rPr>
        <w:t>decision making</w:t>
      </w:r>
      <w:r w:rsidR="004E56E9">
        <w:rPr>
          <w:rFonts w:cstheme="minorHAnsi"/>
        </w:rPr>
        <w:t xml:space="preserve"> by the ACCC</w:t>
      </w:r>
      <w:r w:rsidR="00A3108E">
        <w:rPr>
          <w:rFonts w:cstheme="minorHAnsi"/>
        </w:rPr>
        <w:t>.</w:t>
      </w:r>
    </w:p>
    <w:p w14:paraId="0A6B32A8" w14:textId="195D4C53" w:rsidR="00947E3E" w:rsidRPr="00F26CC7" w:rsidRDefault="00947E3E" w:rsidP="00355A5E">
      <w:pPr>
        <w:pStyle w:val="Heading4"/>
      </w:pPr>
      <w:r w:rsidRPr="00355A5E">
        <w:t>Risk-based</w:t>
      </w:r>
    </w:p>
    <w:p w14:paraId="279FD70A" w14:textId="19D2FDD4" w:rsidR="00592795" w:rsidRPr="00805849" w:rsidRDefault="00271663" w:rsidP="00E2363A">
      <w:pPr>
        <w:pStyle w:val="Dash"/>
        <w:numPr>
          <w:ilvl w:val="0"/>
          <w:numId w:val="0"/>
        </w:numPr>
        <w:rPr>
          <w:rFonts w:asciiTheme="minorHAnsi" w:hAnsiTheme="minorHAnsi" w:cstheme="minorHAnsi"/>
          <w:szCs w:val="22"/>
        </w:rPr>
      </w:pPr>
      <w:r w:rsidRPr="00805849">
        <w:rPr>
          <w:rFonts w:asciiTheme="minorHAnsi" w:hAnsiTheme="minorHAnsi" w:cstheme="minorHAnsi"/>
          <w:szCs w:val="22"/>
        </w:rPr>
        <w:t xml:space="preserve">The ACCC will be </w:t>
      </w:r>
      <w:r w:rsidR="00602CC6">
        <w:rPr>
          <w:rFonts w:asciiTheme="minorHAnsi" w:hAnsiTheme="minorHAnsi" w:cstheme="minorHAnsi"/>
          <w:szCs w:val="22"/>
        </w:rPr>
        <w:t>notified</w:t>
      </w:r>
      <w:r w:rsidRPr="00805849">
        <w:rPr>
          <w:rFonts w:asciiTheme="minorHAnsi" w:hAnsiTheme="minorHAnsi" w:cstheme="minorHAnsi"/>
          <w:szCs w:val="22"/>
        </w:rPr>
        <w:t xml:space="preserve"> of those mergers most likely to impact Australian consumers if </w:t>
      </w:r>
      <w:r w:rsidR="001C6376">
        <w:rPr>
          <w:rFonts w:asciiTheme="minorHAnsi" w:hAnsiTheme="minorHAnsi" w:cstheme="minorHAnsi"/>
          <w:szCs w:val="22"/>
        </w:rPr>
        <w:t xml:space="preserve">they are </w:t>
      </w:r>
      <w:r w:rsidRPr="00805849">
        <w:rPr>
          <w:rFonts w:asciiTheme="minorHAnsi" w:hAnsiTheme="minorHAnsi" w:cstheme="minorHAnsi"/>
          <w:szCs w:val="22"/>
        </w:rPr>
        <w:t>anti-competitiv</w:t>
      </w:r>
      <w:r w:rsidR="00C004C7" w:rsidRPr="00805849">
        <w:rPr>
          <w:rFonts w:asciiTheme="minorHAnsi" w:hAnsiTheme="minorHAnsi" w:cstheme="minorHAnsi"/>
          <w:szCs w:val="22"/>
        </w:rPr>
        <w:t>e</w:t>
      </w:r>
      <w:r w:rsidRPr="00805849">
        <w:rPr>
          <w:rFonts w:asciiTheme="minorHAnsi" w:hAnsiTheme="minorHAnsi" w:cstheme="minorHAnsi"/>
          <w:szCs w:val="22"/>
        </w:rPr>
        <w:t xml:space="preserve">. </w:t>
      </w:r>
      <w:r w:rsidR="00947E3E" w:rsidRPr="00805849">
        <w:rPr>
          <w:rFonts w:asciiTheme="minorHAnsi" w:hAnsiTheme="minorHAnsi" w:cstheme="minorHAnsi"/>
          <w:szCs w:val="22"/>
        </w:rPr>
        <w:t xml:space="preserve">This will ensure regulatory resources </w:t>
      </w:r>
      <w:r w:rsidR="00D62347" w:rsidRPr="00805849">
        <w:rPr>
          <w:rFonts w:asciiTheme="minorHAnsi" w:hAnsiTheme="minorHAnsi" w:cstheme="minorHAnsi"/>
          <w:szCs w:val="22"/>
        </w:rPr>
        <w:t xml:space="preserve">(and cost) </w:t>
      </w:r>
      <w:r w:rsidR="00947E3E" w:rsidRPr="00805849">
        <w:rPr>
          <w:rFonts w:asciiTheme="minorHAnsi" w:hAnsiTheme="minorHAnsi" w:cstheme="minorHAnsi"/>
          <w:szCs w:val="22"/>
        </w:rPr>
        <w:t xml:space="preserve">are </w:t>
      </w:r>
      <w:r w:rsidRPr="00805849">
        <w:rPr>
          <w:rFonts w:asciiTheme="minorHAnsi" w:hAnsiTheme="minorHAnsi" w:cstheme="minorHAnsi"/>
          <w:szCs w:val="22"/>
        </w:rPr>
        <w:t xml:space="preserve">appropriately targeted based on risk </w:t>
      </w:r>
      <w:r w:rsidR="00B71373" w:rsidRPr="00805849">
        <w:rPr>
          <w:rFonts w:asciiTheme="minorHAnsi" w:hAnsiTheme="minorHAnsi" w:cstheme="minorHAnsi"/>
          <w:szCs w:val="22"/>
        </w:rPr>
        <w:t>to competition and consumers</w:t>
      </w:r>
      <w:r w:rsidR="00947E3E" w:rsidRPr="00805849">
        <w:rPr>
          <w:rFonts w:asciiTheme="minorHAnsi" w:hAnsiTheme="minorHAnsi" w:cstheme="minorHAnsi"/>
          <w:szCs w:val="22"/>
        </w:rPr>
        <w:t xml:space="preserve">. This will be achieved </w:t>
      </w:r>
      <w:r w:rsidR="00C004C7" w:rsidRPr="00805849">
        <w:rPr>
          <w:rFonts w:asciiTheme="minorHAnsi" w:hAnsiTheme="minorHAnsi" w:cstheme="minorHAnsi"/>
          <w:szCs w:val="22"/>
        </w:rPr>
        <w:t>by</w:t>
      </w:r>
      <w:r w:rsidR="00947E3E" w:rsidRPr="00805849">
        <w:rPr>
          <w:rFonts w:asciiTheme="minorHAnsi" w:hAnsiTheme="minorHAnsi" w:cstheme="minorHAnsi"/>
          <w:szCs w:val="22"/>
        </w:rPr>
        <w:t xml:space="preserve"> </w:t>
      </w:r>
      <w:r w:rsidR="00850F69">
        <w:rPr>
          <w:rFonts w:asciiTheme="minorHAnsi" w:hAnsiTheme="minorHAnsi" w:cstheme="minorHAnsi"/>
          <w:szCs w:val="22"/>
        </w:rPr>
        <w:t xml:space="preserve">the application of </w:t>
      </w:r>
      <w:r w:rsidR="00C004C7" w:rsidRPr="00805849">
        <w:rPr>
          <w:rFonts w:asciiTheme="minorHAnsi" w:hAnsiTheme="minorHAnsi" w:cstheme="minorHAnsi"/>
          <w:szCs w:val="22"/>
        </w:rPr>
        <w:t xml:space="preserve">monetary and </w:t>
      </w:r>
      <w:r w:rsidR="003E5EAF">
        <w:rPr>
          <w:rFonts w:asciiTheme="minorHAnsi" w:hAnsiTheme="minorHAnsi" w:cstheme="minorHAnsi"/>
          <w:szCs w:val="22"/>
        </w:rPr>
        <w:t xml:space="preserve">market concentration </w:t>
      </w:r>
      <w:r w:rsidR="00947E3E" w:rsidRPr="00805849">
        <w:rPr>
          <w:rFonts w:asciiTheme="minorHAnsi" w:hAnsiTheme="minorHAnsi" w:cstheme="minorHAnsi"/>
          <w:szCs w:val="22"/>
        </w:rPr>
        <w:t>thresholds to determine</w:t>
      </w:r>
      <w:r w:rsidR="00034614" w:rsidRPr="00805849">
        <w:rPr>
          <w:rFonts w:asciiTheme="minorHAnsi" w:hAnsiTheme="minorHAnsi" w:cstheme="minorHAnsi"/>
          <w:szCs w:val="22"/>
        </w:rPr>
        <w:t xml:space="preserve"> whether a</w:t>
      </w:r>
      <w:r w:rsidR="00C97642">
        <w:rPr>
          <w:rFonts w:asciiTheme="minorHAnsi" w:hAnsiTheme="minorHAnsi" w:cstheme="minorHAnsi"/>
          <w:szCs w:val="22"/>
        </w:rPr>
        <w:t>n</w:t>
      </w:r>
      <w:r w:rsidR="00034614" w:rsidRPr="00805849">
        <w:rPr>
          <w:rFonts w:asciiTheme="minorHAnsi" w:hAnsiTheme="minorHAnsi" w:cstheme="minorHAnsi"/>
          <w:szCs w:val="22"/>
        </w:rPr>
        <w:t xml:space="preserve"> </w:t>
      </w:r>
      <w:r w:rsidR="00C97642">
        <w:rPr>
          <w:rFonts w:asciiTheme="minorHAnsi" w:hAnsiTheme="minorHAnsi" w:cstheme="minorHAnsi"/>
          <w:szCs w:val="22"/>
        </w:rPr>
        <w:t xml:space="preserve">acquisition </w:t>
      </w:r>
      <w:r w:rsidR="00034614" w:rsidRPr="00805849">
        <w:rPr>
          <w:rFonts w:asciiTheme="minorHAnsi" w:hAnsiTheme="minorHAnsi" w:cstheme="minorHAnsi"/>
          <w:szCs w:val="22"/>
        </w:rPr>
        <w:t>must be notified.</w:t>
      </w:r>
      <w:r w:rsidR="00DD7C38" w:rsidRPr="000A7205">
        <w:rPr>
          <w:rFonts w:asciiTheme="minorHAnsi" w:hAnsiTheme="minorHAnsi" w:cstheme="minorHAnsi"/>
          <w:szCs w:val="22"/>
        </w:rPr>
        <w:t xml:space="preserve"> </w:t>
      </w:r>
      <w:r w:rsidR="00ED0BDB" w:rsidRPr="000A7205">
        <w:rPr>
          <w:rFonts w:asciiTheme="minorHAnsi" w:hAnsiTheme="minorHAnsi" w:cstheme="minorHAnsi"/>
          <w:szCs w:val="22"/>
        </w:rPr>
        <w:t xml:space="preserve">A </w:t>
      </w:r>
      <w:r w:rsidR="00DD7C38" w:rsidRPr="00DD7C38">
        <w:rPr>
          <w:rFonts w:asciiTheme="minorHAnsi" w:hAnsiTheme="minorHAnsi" w:cstheme="minorHAnsi"/>
          <w:szCs w:val="22"/>
        </w:rPr>
        <w:t xml:space="preserve">Treasury Minister will </w:t>
      </w:r>
      <w:r w:rsidR="0096204E">
        <w:rPr>
          <w:rFonts w:asciiTheme="minorHAnsi" w:hAnsiTheme="minorHAnsi" w:cstheme="minorHAnsi"/>
          <w:szCs w:val="22"/>
        </w:rPr>
        <w:t>also</w:t>
      </w:r>
      <w:r w:rsidR="00DD7C38" w:rsidRPr="00DD7C38">
        <w:rPr>
          <w:rFonts w:asciiTheme="minorHAnsi" w:hAnsiTheme="minorHAnsi" w:cstheme="minorHAnsi"/>
          <w:szCs w:val="22"/>
        </w:rPr>
        <w:t xml:space="preserve"> be given the power to introduce additional targeted notification requirements, avoiding the need to lower the economy-wide thresholds and reducing the incidental capture of benign mergers within the thresholds</w:t>
      </w:r>
      <w:r w:rsidR="00034614" w:rsidRPr="00805849">
        <w:rPr>
          <w:rFonts w:asciiTheme="minorHAnsi" w:hAnsiTheme="minorHAnsi" w:cstheme="minorHAnsi"/>
          <w:szCs w:val="22"/>
        </w:rPr>
        <w:t>.</w:t>
      </w:r>
      <w:r w:rsidR="00592795" w:rsidRPr="00805849">
        <w:rPr>
          <w:rFonts w:asciiTheme="minorHAnsi" w:hAnsiTheme="minorHAnsi" w:cstheme="minorHAnsi"/>
          <w:szCs w:val="22"/>
        </w:rPr>
        <w:t xml:space="preserve"> </w:t>
      </w:r>
      <w:r w:rsidR="00325A77">
        <w:rPr>
          <w:rFonts w:asciiTheme="minorHAnsi" w:hAnsiTheme="minorHAnsi" w:cstheme="minorHAnsi"/>
          <w:szCs w:val="22"/>
        </w:rPr>
        <w:t>T</w:t>
      </w:r>
      <w:r w:rsidR="007151AA" w:rsidRPr="00805849">
        <w:rPr>
          <w:rFonts w:asciiTheme="minorHAnsi" w:hAnsiTheme="minorHAnsi" w:cstheme="minorHAnsi"/>
          <w:szCs w:val="22"/>
        </w:rPr>
        <w:t xml:space="preserve">hese </w:t>
      </w:r>
      <w:r w:rsidR="000A4D18">
        <w:rPr>
          <w:rFonts w:asciiTheme="minorHAnsi" w:hAnsiTheme="minorHAnsi" w:cstheme="minorHAnsi"/>
          <w:szCs w:val="22"/>
        </w:rPr>
        <w:t xml:space="preserve">notification </w:t>
      </w:r>
      <w:r w:rsidR="00592795" w:rsidRPr="00805849">
        <w:rPr>
          <w:rFonts w:asciiTheme="minorHAnsi" w:hAnsiTheme="minorHAnsi" w:cstheme="minorHAnsi"/>
          <w:szCs w:val="22"/>
        </w:rPr>
        <w:t xml:space="preserve">thresholds will be subject to consultation </w:t>
      </w:r>
      <w:r w:rsidR="007151AA" w:rsidRPr="00805849">
        <w:rPr>
          <w:rFonts w:asciiTheme="minorHAnsi" w:hAnsiTheme="minorHAnsi" w:cstheme="minorHAnsi"/>
          <w:szCs w:val="22"/>
        </w:rPr>
        <w:t xml:space="preserve">before being </w:t>
      </w:r>
      <w:r w:rsidR="00592795" w:rsidRPr="00805849">
        <w:rPr>
          <w:rFonts w:asciiTheme="minorHAnsi" w:hAnsiTheme="minorHAnsi" w:cstheme="minorHAnsi"/>
          <w:szCs w:val="22"/>
        </w:rPr>
        <w:t xml:space="preserve">set in </w:t>
      </w:r>
      <w:r w:rsidR="00904562">
        <w:rPr>
          <w:rFonts w:asciiTheme="minorHAnsi" w:hAnsiTheme="minorHAnsi" w:cstheme="minorHAnsi"/>
          <w:szCs w:val="22"/>
        </w:rPr>
        <w:t>subordinate legislation</w:t>
      </w:r>
      <w:r w:rsidR="00592795" w:rsidRPr="00805849">
        <w:rPr>
          <w:rFonts w:asciiTheme="minorHAnsi" w:hAnsiTheme="minorHAnsi" w:cstheme="minorHAnsi"/>
          <w:szCs w:val="22"/>
        </w:rPr>
        <w:t xml:space="preserve">, and </w:t>
      </w:r>
      <w:r w:rsidR="00B53D10">
        <w:rPr>
          <w:rFonts w:asciiTheme="minorHAnsi" w:hAnsiTheme="minorHAnsi" w:cstheme="minorHAnsi"/>
          <w:szCs w:val="22"/>
        </w:rPr>
        <w:t>will be</w:t>
      </w:r>
      <w:r w:rsidR="00592795" w:rsidRPr="00805849">
        <w:rPr>
          <w:rFonts w:asciiTheme="minorHAnsi" w:hAnsiTheme="minorHAnsi" w:cstheme="minorHAnsi"/>
          <w:szCs w:val="22"/>
        </w:rPr>
        <w:t xml:space="preserve"> </w:t>
      </w:r>
      <w:r w:rsidR="00730C5A">
        <w:rPr>
          <w:rFonts w:asciiTheme="minorHAnsi" w:hAnsiTheme="minorHAnsi" w:cstheme="minorHAnsi"/>
          <w:szCs w:val="22"/>
        </w:rPr>
        <w:t>regularly</w:t>
      </w:r>
      <w:r w:rsidR="00592795" w:rsidRPr="00805849">
        <w:rPr>
          <w:rFonts w:asciiTheme="minorHAnsi" w:hAnsiTheme="minorHAnsi" w:cstheme="minorHAnsi"/>
          <w:szCs w:val="22"/>
        </w:rPr>
        <w:t xml:space="preserve"> review</w:t>
      </w:r>
      <w:r w:rsidR="00B53D10">
        <w:rPr>
          <w:rFonts w:asciiTheme="minorHAnsi" w:hAnsiTheme="minorHAnsi" w:cstheme="minorHAnsi"/>
          <w:szCs w:val="22"/>
        </w:rPr>
        <w:t>ed</w:t>
      </w:r>
      <w:r w:rsidR="00730C5A">
        <w:rPr>
          <w:rFonts w:asciiTheme="minorHAnsi" w:hAnsiTheme="minorHAnsi" w:cstheme="minorHAnsi"/>
          <w:szCs w:val="22"/>
        </w:rPr>
        <w:t xml:space="preserve"> </w:t>
      </w:r>
      <w:r w:rsidR="00BB0A16">
        <w:rPr>
          <w:rFonts w:asciiTheme="minorHAnsi" w:hAnsiTheme="minorHAnsi" w:cstheme="minorHAnsi"/>
          <w:szCs w:val="22"/>
        </w:rPr>
        <w:t>with respect to evidence of the risk of potential harms to the community over time</w:t>
      </w:r>
      <w:r w:rsidR="00592795" w:rsidRPr="00805849">
        <w:rPr>
          <w:rFonts w:asciiTheme="minorHAnsi" w:hAnsiTheme="minorHAnsi" w:cstheme="minorHAnsi"/>
          <w:szCs w:val="22"/>
        </w:rPr>
        <w:t xml:space="preserve">. </w:t>
      </w:r>
      <w:r w:rsidR="007A62A6" w:rsidRPr="007A62A6">
        <w:rPr>
          <w:rFonts w:asciiTheme="minorHAnsi" w:hAnsiTheme="minorHAnsi" w:cstheme="minorHAnsi"/>
          <w:szCs w:val="22"/>
        </w:rPr>
        <w:t>A statutory review</w:t>
      </w:r>
      <w:r w:rsidR="007A62A6">
        <w:rPr>
          <w:rFonts w:asciiTheme="minorHAnsi" w:hAnsiTheme="minorHAnsi" w:cstheme="minorHAnsi"/>
          <w:szCs w:val="22"/>
        </w:rPr>
        <w:t xml:space="preserve"> </w:t>
      </w:r>
      <w:r w:rsidR="00BC7AA7">
        <w:rPr>
          <w:rFonts w:asciiTheme="minorHAnsi" w:hAnsiTheme="minorHAnsi" w:cstheme="minorHAnsi"/>
          <w:szCs w:val="22"/>
        </w:rPr>
        <w:t xml:space="preserve">of the new merger system, including </w:t>
      </w:r>
      <w:r w:rsidR="00AF2C39">
        <w:rPr>
          <w:rFonts w:asciiTheme="minorHAnsi" w:hAnsiTheme="minorHAnsi" w:cstheme="minorHAnsi"/>
          <w:szCs w:val="22"/>
        </w:rPr>
        <w:t xml:space="preserve">the notification </w:t>
      </w:r>
      <w:r w:rsidR="00BC7AA7">
        <w:rPr>
          <w:rFonts w:asciiTheme="minorHAnsi" w:hAnsiTheme="minorHAnsi" w:cstheme="minorHAnsi"/>
          <w:szCs w:val="22"/>
        </w:rPr>
        <w:t>thresholds,</w:t>
      </w:r>
      <w:r w:rsidR="007A62A6">
        <w:rPr>
          <w:rFonts w:asciiTheme="minorHAnsi" w:hAnsiTheme="minorHAnsi" w:cstheme="minorHAnsi"/>
          <w:szCs w:val="22"/>
        </w:rPr>
        <w:t xml:space="preserve"> </w:t>
      </w:r>
      <w:r w:rsidR="007A62A6" w:rsidRPr="007A62A6">
        <w:rPr>
          <w:rFonts w:asciiTheme="minorHAnsi" w:hAnsiTheme="minorHAnsi" w:cstheme="minorHAnsi"/>
          <w:szCs w:val="22"/>
        </w:rPr>
        <w:t xml:space="preserve">will take place </w:t>
      </w:r>
      <w:r w:rsidR="003A39B2">
        <w:rPr>
          <w:rFonts w:asciiTheme="minorHAnsi" w:hAnsiTheme="minorHAnsi" w:cstheme="minorHAnsi"/>
          <w:szCs w:val="22"/>
        </w:rPr>
        <w:t>3</w:t>
      </w:r>
      <w:r w:rsidR="007A62A6" w:rsidRPr="007A62A6">
        <w:rPr>
          <w:rFonts w:asciiTheme="minorHAnsi" w:hAnsiTheme="minorHAnsi" w:cstheme="minorHAnsi"/>
          <w:szCs w:val="22"/>
        </w:rPr>
        <w:t xml:space="preserve"> years from commencement of the new system</w:t>
      </w:r>
      <w:r w:rsidR="007A62A6">
        <w:rPr>
          <w:rFonts w:asciiTheme="minorHAnsi" w:hAnsiTheme="minorHAnsi" w:cstheme="minorHAnsi"/>
          <w:szCs w:val="22"/>
        </w:rPr>
        <w:t xml:space="preserve">, </w:t>
      </w:r>
      <w:r w:rsidR="007A62A6" w:rsidRPr="007A62A6">
        <w:rPr>
          <w:rFonts w:asciiTheme="minorHAnsi" w:hAnsiTheme="minorHAnsi" w:cstheme="minorHAnsi"/>
          <w:szCs w:val="22"/>
        </w:rPr>
        <w:t>supported by annual ACCC reporting on merger activity, ex post merger analysis and data analytics</w:t>
      </w:r>
      <w:r w:rsidR="00374E39">
        <w:rPr>
          <w:rFonts w:asciiTheme="minorHAnsi" w:hAnsiTheme="minorHAnsi" w:cstheme="minorHAnsi"/>
          <w:szCs w:val="22"/>
        </w:rPr>
        <w:t xml:space="preserve"> (please refer to </w:t>
      </w:r>
      <w:r w:rsidR="00E668B7">
        <w:rPr>
          <w:rFonts w:asciiTheme="minorHAnsi" w:hAnsiTheme="minorHAnsi" w:cstheme="minorHAnsi"/>
          <w:szCs w:val="22"/>
        </w:rPr>
        <w:t xml:space="preserve">further </w:t>
      </w:r>
      <w:r w:rsidR="00374E39">
        <w:rPr>
          <w:rFonts w:asciiTheme="minorHAnsi" w:hAnsiTheme="minorHAnsi" w:cstheme="minorHAnsi"/>
          <w:szCs w:val="22"/>
        </w:rPr>
        <w:t>details in Question 7)</w:t>
      </w:r>
      <w:r w:rsidR="007A62A6" w:rsidRPr="007A62A6">
        <w:rPr>
          <w:rFonts w:asciiTheme="minorHAnsi" w:hAnsiTheme="minorHAnsi" w:cstheme="minorHAnsi"/>
          <w:szCs w:val="22"/>
        </w:rPr>
        <w:t>.</w:t>
      </w:r>
    </w:p>
    <w:p w14:paraId="353745EB" w14:textId="77777777" w:rsidR="00947E3E" w:rsidRPr="00273A9E" w:rsidRDefault="00947E3E" w:rsidP="00947E3E">
      <w:pPr>
        <w:spacing w:line="240" w:lineRule="auto"/>
        <w:rPr>
          <w:rFonts w:ascii="Calibri Light" w:eastAsia="Times New Roman" w:hAnsi="Calibri Light" w:cs="Arial"/>
          <w:color w:val="4D7861" w:themeColor="accent2"/>
          <w:kern w:val="32"/>
          <w:sz w:val="24"/>
          <w:szCs w:val="26"/>
          <w:lang w:eastAsia="en-AU"/>
          <w14:ligatures w14:val="none"/>
        </w:rPr>
      </w:pPr>
      <w:r w:rsidRPr="00273A9E">
        <w:rPr>
          <w:rFonts w:ascii="Calibri Light" w:eastAsia="Times New Roman" w:hAnsi="Calibri Light" w:cs="Arial"/>
          <w:color w:val="4D7861" w:themeColor="accent2"/>
          <w:kern w:val="32"/>
          <w:sz w:val="24"/>
          <w:szCs w:val="26"/>
          <w:lang w:eastAsia="en-AU"/>
          <w14:ligatures w14:val="none"/>
        </w:rPr>
        <w:t xml:space="preserve">Cost recovery </w:t>
      </w:r>
    </w:p>
    <w:p w14:paraId="24822668" w14:textId="2FF55B2C" w:rsidR="00947E3E" w:rsidRDefault="00633DC9" w:rsidP="00D45FF1">
      <w:pPr>
        <w:spacing w:after="0" w:line="240" w:lineRule="auto"/>
      </w:pPr>
      <w:r>
        <w:rPr>
          <w:rFonts w:cstheme="minorHAnsi"/>
        </w:rPr>
        <w:t xml:space="preserve">The fees imposed </w:t>
      </w:r>
      <w:r w:rsidR="00396A56">
        <w:rPr>
          <w:rFonts w:cstheme="minorHAnsi"/>
        </w:rPr>
        <w:t xml:space="preserve">will be based on cost recovery principles, </w:t>
      </w:r>
      <w:r w:rsidR="00DC27C6" w:rsidRPr="00491463">
        <w:rPr>
          <w:rFonts w:cstheme="minorHAnsi"/>
        </w:rPr>
        <w:t>reflect</w:t>
      </w:r>
      <w:r w:rsidR="00DC27C6">
        <w:rPr>
          <w:rFonts w:cstheme="minorHAnsi"/>
        </w:rPr>
        <w:t>ing</w:t>
      </w:r>
      <w:r w:rsidR="00DC27C6" w:rsidRPr="00491463">
        <w:rPr>
          <w:rFonts w:cstheme="minorHAnsi"/>
        </w:rPr>
        <w:t xml:space="preserve"> the resources required by the ACCC to efficiently carry out the review of a merger</w:t>
      </w:r>
      <w:r w:rsidR="00DC27C6">
        <w:rPr>
          <w:rFonts w:cstheme="minorHAnsi"/>
        </w:rPr>
        <w:t xml:space="preserve"> or acquisition</w:t>
      </w:r>
      <w:r w:rsidR="00DC27C6" w:rsidRPr="002C6D9B" w:rsidDel="00396A56">
        <w:rPr>
          <w:rFonts w:cstheme="minorHAnsi"/>
        </w:rPr>
        <w:t xml:space="preserve"> </w:t>
      </w:r>
      <w:r w:rsidR="00AF3F58">
        <w:rPr>
          <w:rFonts w:cstheme="minorHAnsi"/>
        </w:rPr>
        <w:t xml:space="preserve">and </w:t>
      </w:r>
      <w:r w:rsidR="002C345F">
        <w:rPr>
          <w:rFonts w:cstheme="minorHAnsi"/>
        </w:rPr>
        <w:t>scaled to reflect the complexity and risk of the merger</w:t>
      </w:r>
      <w:r w:rsidR="00947E3E" w:rsidRPr="002C6D9B">
        <w:rPr>
          <w:rFonts w:cstheme="minorHAnsi"/>
        </w:rPr>
        <w:t>.</w:t>
      </w:r>
      <w:r w:rsidR="00947E3E">
        <w:rPr>
          <w:rFonts w:cstheme="minorHAnsi"/>
        </w:rPr>
        <w:t xml:space="preserve"> </w:t>
      </w:r>
      <w:r w:rsidR="00AF3F58">
        <w:rPr>
          <w:rFonts w:cstheme="minorHAnsi"/>
        </w:rPr>
        <w:t>T</w:t>
      </w:r>
      <w:r w:rsidR="00D20C90">
        <w:rPr>
          <w:rFonts w:cstheme="minorHAnsi"/>
        </w:rPr>
        <w:t xml:space="preserve">he fees will be paid into consolidated revenue, rather than accruing directly to the ACCC. </w:t>
      </w:r>
      <w:r w:rsidR="00B72578">
        <w:rPr>
          <w:rFonts w:cstheme="minorHAnsi"/>
        </w:rPr>
        <w:t>T</w:t>
      </w:r>
      <w:r w:rsidR="00947E3E">
        <w:rPr>
          <w:rFonts w:cstheme="minorHAnsi"/>
        </w:rPr>
        <w:t xml:space="preserve">hese costs are a transfer as they shift </w:t>
      </w:r>
      <w:r w:rsidR="00FA0757">
        <w:rPr>
          <w:rFonts w:cstheme="minorHAnsi"/>
        </w:rPr>
        <w:t>costs</w:t>
      </w:r>
      <w:r w:rsidR="00947E3E">
        <w:rPr>
          <w:rFonts w:cstheme="minorHAnsi"/>
        </w:rPr>
        <w:t xml:space="preserve"> from the public to the merger parties. Under the status quo</w:t>
      </w:r>
      <w:r w:rsidR="00947E3E" w:rsidRPr="006A3E85">
        <w:rPr>
          <w:rFonts w:cstheme="minorHAnsi"/>
        </w:rPr>
        <w:t xml:space="preserve">, the ACCC estimates the average cost to undertake an informal public review is </w:t>
      </w:r>
      <w:r w:rsidR="00967043">
        <w:rPr>
          <w:rFonts w:cstheme="minorHAnsi"/>
        </w:rPr>
        <w:t>under</w:t>
      </w:r>
      <w:r w:rsidR="00967043" w:rsidRPr="006A3E85">
        <w:rPr>
          <w:rFonts w:cstheme="minorHAnsi"/>
        </w:rPr>
        <w:t xml:space="preserve"> </w:t>
      </w:r>
      <w:r w:rsidR="00D45FF1">
        <w:rPr>
          <w:rFonts w:cstheme="minorHAnsi"/>
          <w:kern w:val="0"/>
          <w14:ligatures w14:val="none"/>
        </w:rPr>
        <w:t xml:space="preserve">$500,000 </w:t>
      </w:r>
      <w:r w:rsidR="00947E3E" w:rsidRPr="006A3E85">
        <w:rPr>
          <w:rFonts w:cstheme="minorHAnsi"/>
        </w:rPr>
        <w:t xml:space="preserve">and in </w:t>
      </w:r>
      <w:r w:rsidR="000F607B">
        <w:rPr>
          <w:rFonts w:cstheme="minorHAnsi"/>
        </w:rPr>
        <w:t xml:space="preserve">the </w:t>
      </w:r>
      <w:r w:rsidR="00947E3E" w:rsidRPr="006A3E85">
        <w:rPr>
          <w:rFonts w:cstheme="minorHAnsi"/>
        </w:rPr>
        <w:t>2022</w:t>
      </w:r>
      <w:r w:rsidR="0037427D">
        <w:rPr>
          <w:rFonts w:cstheme="minorHAnsi"/>
        </w:rPr>
        <w:t>–</w:t>
      </w:r>
      <w:r w:rsidR="00947E3E" w:rsidRPr="006A3E85">
        <w:rPr>
          <w:rFonts w:cstheme="minorHAnsi"/>
        </w:rPr>
        <w:t>23</w:t>
      </w:r>
      <w:r w:rsidR="000F607B">
        <w:rPr>
          <w:rFonts w:cstheme="minorHAnsi"/>
        </w:rPr>
        <w:t xml:space="preserve"> financial year</w:t>
      </w:r>
      <w:r w:rsidR="00947E3E" w:rsidRPr="006A3E85">
        <w:rPr>
          <w:rFonts w:cstheme="minorHAnsi"/>
        </w:rPr>
        <w:t xml:space="preserve">, there were 23 reviews of this nature. The total cost for the ACCC to consider these mergers </w:t>
      </w:r>
      <w:r w:rsidR="00086239">
        <w:rPr>
          <w:rFonts w:cstheme="minorHAnsi"/>
        </w:rPr>
        <w:t>is</w:t>
      </w:r>
      <w:r w:rsidR="00947E3E" w:rsidRPr="006A3E85">
        <w:rPr>
          <w:rFonts w:cstheme="minorHAnsi"/>
        </w:rPr>
        <w:t xml:space="preserve"> </w:t>
      </w:r>
      <w:r w:rsidR="00D337BF">
        <w:rPr>
          <w:rFonts w:cstheme="minorHAnsi"/>
          <w:kern w:val="0"/>
          <w14:ligatures w14:val="none"/>
        </w:rPr>
        <w:t>$11.5 million</w:t>
      </w:r>
      <w:r w:rsidR="00947E3E" w:rsidRPr="006A3E85">
        <w:rPr>
          <w:rFonts w:cstheme="minorHAnsi"/>
        </w:rPr>
        <w:t xml:space="preserve">, which does not include pre-assessment matters or litigated matters. The cost for litigated </w:t>
      </w:r>
      <w:r w:rsidR="00E909D0">
        <w:rPr>
          <w:rFonts w:cstheme="minorHAnsi"/>
        </w:rPr>
        <w:t>mergers</w:t>
      </w:r>
      <w:r w:rsidR="00E909D0" w:rsidRPr="006A3E85">
        <w:rPr>
          <w:rFonts w:cstheme="minorHAnsi"/>
        </w:rPr>
        <w:t xml:space="preserve"> </w:t>
      </w:r>
      <w:r w:rsidR="00947E3E" w:rsidRPr="006A3E85">
        <w:rPr>
          <w:rFonts w:cstheme="minorHAnsi"/>
        </w:rPr>
        <w:t xml:space="preserve">is larger, </w:t>
      </w:r>
      <w:r w:rsidR="004D48F8">
        <w:rPr>
          <w:rFonts w:cstheme="minorHAnsi"/>
        </w:rPr>
        <w:t>w</w:t>
      </w:r>
      <w:r w:rsidR="003B353B">
        <w:rPr>
          <w:rFonts w:cstheme="minorHAnsi"/>
        </w:rPr>
        <w:t>hich</w:t>
      </w:r>
      <w:r w:rsidR="004D48F8" w:rsidRPr="006A3E85">
        <w:rPr>
          <w:rFonts w:cstheme="minorHAnsi"/>
        </w:rPr>
        <w:t xml:space="preserve"> </w:t>
      </w:r>
      <w:r w:rsidR="00947E3E" w:rsidRPr="006A3E85">
        <w:rPr>
          <w:rFonts w:cstheme="minorHAnsi"/>
        </w:rPr>
        <w:t xml:space="preserve">the ACCC estimated costs more than $5 million per </w:t>
      </w:r>
      <w:r w:rsidR="00E909D0">
        <w:rPr>
          <w:rFonts w:cstheme="minorHAnsi"/>
        </w:rPr>
        <w:t>merger</w:t>
      </w:r>
      <w:r w:rsidR="00947E3E" w:rsidRPr="006A3E85">
        <w:rPr>
          <w:rFonts w:cstheme="minorHAnsi"/>
        </w:rPr>
        <w:t xml:space="preserve">. </w:t>
      </w:r>
    </w:p>
    <w:p w14:paraId="30083C0C" w14:textId="77777777" w:rsidR="00947E3E" w:rsidRDefault="00947E3E" w:rsidP="00273A9E">
      <w:pPr>
        <w:pStyle w:val="Heading3"/>
        <w:spacing w:after="120" w:line="240" w:lineRule="auto"/>
      </w:pPr>
      <w:bookmarkStart w:id="76" w:name="_Toc176972374"/>
      <w:r w:rsidRPr="0097678A">
        <w:t>Costs</w:t>
      </w:r>
      <w:bookmarkEnd w:id="76"/>
    </w:p>
    <w:p w14:paraId="45D97755" w14:textId="33250253" w:rsidR="00376C0F" w:rsidRDefault="00947E3E" w:rsidP="00947E3E">
      <w:pPr>
        <w:spacing w:line="240" w:lineRule="auto"/>
      </w:pPr>
      <w:r>
        <w:t xml:space="preserve">Compared to the status quo, Option 2 will impose some one-off establishment costs on businesses. Businesses </w:t>
      </w:r>
      <w:r w:rsidR="00B252F2">
        <w:t xml:space="preserve">undertaking a merger </w:t>
      </w:r>
      <w:r>
        <w:t xml:space="preserve">and </w:t>
      </w:r>
      <w:r w:rsidR="00B252F2">
        <w:t>competition lawyers and economists</w:t>
      </w:r>
      <w:r>
        <w:t xml:space="preserve"> will have to familiarise themselves with the new system. To minimise this burden, </w:t>
      </w:r>
      <w:r w:rsidR="005E3D5F">
        <w:t xml:space="preserve">the Government has </w:t>
      </w:r>
      <w:r>
        <w:t xml:space="preserve">adopted </w:t>
      </w:r>
      <w:r w:rsidR="005E3D5F">
        <w:t xml:space="preserve">an approach </w:t>
      </w:r>
      <w:r>
        <w:t xml:space="preserve">that allows businesses and </w:t>
      </w:r>
      <w:r w:rsidR="005E3D5F">
        <w:t>practi</w:t>
      </w:r>
      <w:r w:rsidR="009503AB">
        <w:t>ti</w:t>
      </w:r>
      <w:r w:rsidR="005E3D5F">
        <w:t>oners</w:t>
      </w:r>
      <w:r>
        <w:t xml:space="preserve"> sufficient </w:t>
      </w:r>
      <w:r w:rsidR="00EA6E54">
        <w:t xml:space="preserve">transition </w:t>
      </w:r>
      <w:r>
        <w:t xml:space="preserve">time. </w:t>
      </w:r>
    </w:p>
    <w:p w14:paraId="46F47126" w14:textId="7B9B55DA" w:rsidR="00947E3E" w:rsidRDefault="00947E3E" w:rsidP="00947E3E">
      <w:pPr>
        <w:spacing w:line="240" w:lineRule="auto"/>
      </w:pPr>
      <w:r>
        <w:t xml:space="preserve">Legislation is expected to be introduced into Parliament in 2024, with the ACCC expected to consult on guidelines and notification forms in 2025, ahead of the new system </w:t>
      </w:r>
      <w:r w:rsidR="00C80C13">
        <w:t xml:space="preserve">becoming mandatory from </w:t>
      </w:r>
      <w:r w:rsidR="005713BF">
        <w:t>1 January 2026</w:t>
      </w:r>
      <w:r>
        <w:t xml:space="preserve">. This sequential approach will afford </w:t>
      </w:r>
      <w:r w:rsidRPr="004F3562">
        <w:t xml:space="preserve">businesses, advisors and the community a longer period over which to incur the time </w:t>
      </w:r>
      <w:r w:rsidR="00AC109B" w:rsidRPr="004F3562">
        <w:t xml:space="preserve">cost </w:t>
      </w:r>
      <w:r w:rsidRPr="004F3562">
        <w:t>of familiarisation and have some discretion about when to incur the</w:t>
      </w:r>
      <w:r w:rsidR="00AC109B" w:rsidRPr="004F3562">
        <w:t>se costs</w:t>
      </w:r>
      <w:r w:rsidR="00F63C50" w:rsidRPr="004F3562">
        <w:t>,</w:t>
      </w:r>
      <w:r w:rsidRPr="004F3562">
        <w:t xml:space="preserve"> mitigating some of the burden. The familiarisation costs are estimated </w:t>
      </w:r>
      <w:r w:rsidR="00911944" w:rsidRPr="004F3562">
        <w:t>to be around</w:t>
      </w:r>
      <w:r w:rsidRPr="004F3562">
        <w:t xml:space="preserve"> $</w:t>
      </w:r>
      <w:r w:rsidR="007F3D49" w:rsidRPr="004F3562">
        <w:t>235</w:t>
      </w:r>
      <w:r w:rsidRPr="004F3562">
        <w:t xml:space="preserve">,000 for relevant </w:t>
      </w:r>
      <w:r w:rsidR="00EB54B4" w:rsidRPr="004F3562">
        <w:t>business</w:t>
      </w:r>
      <w:r w:rsidR="0097217F" w:rsidRPr="004F3562">
        <w:t>es</w:t>
      </w:r>
      <w:r w:rsidR="00EB54B4" w:rsidRPr="004F3562">
        <w:t>, law firms</w:t>
      </w:r>
      <w:r w:rsidR="00EB54B4">
        <w:t xml:space="preserve"> and other specialist advisors.</w:t>
      </w:r>
    </w:p>
    <w:p w14:paraId="0B88D668" w14:textId="77777777" w:rsidR="00ED380A" w:rsidRDefault="00947E3E" w:rsidP="00947E3E">
      <w:pPr>
        <w:spacing w:line="240" w:lineRule="auto"/>
      </w:pPr>
      <w:r>
        <w:t xml:space="preserve">Option 2 will also impose ongoing regulatory costs on businesses in the form of administrative (labour costs for business) and substantive costs (purchase costs for legal and economic consultant fees). </w:t>
      </w:r>
    </w:p>
    <w:p w14:paraId="2AA5A203" w14:textId="24BD418F" w:rsidR="00947E3E" w:rsidRDefault="00947E3E" w:rsidP="00947E3E">
      <w:pPr>
        <w:spacing w:line="240" w:lineRule="auto"/>
      </w:pPr>
      <w:r w:rsidRPr="00A37E75">
        <w:t>The</w:t>
      </w:r>
      <w:r>
        <w:t>se</w:t>
      </w:r>
      <w:r w:rsidRPr="00A37E75">
        <w:t xml:space="preserve"> costs per merger are summarised in Table </w:t>
      </w:r>
      <w:r w:rsidR="004B31C8">
        <w:t>3</w:t>
      </w:r>
      <w:r w:rsidRPr="00A37E75">
        <w:t xml:space="preserve"> below, with further detail on </w:t>
      </w:r>
      <w:r w:rsidRPr="00531D0C">
        <w:t xml:space="preserve">the </w:t>
      </w:r>
      <w:r w:rsidRPr="0036266A">
        <w:t xml:space="preserve">costed activities and costs per merger, including total costs, detailed in </w:t>
      </w:r>
      <w:r w:rsidRPr="006E1825">
        <w:rPr>
          <w:u w:val="single"/>
        </w:rPr>
        <w:t>Attachment A</w:t>
      </w:r>
      <w:r w:rsidDel="00A37E75">
        <w:rPr>
          <w:sz w:val="20"/>
          <w:szCs w:val="20"/>
        </w:rPr>
        <w:t>.</w:t>
      </w:r>
    </w:p>
    <w:p w14:paraId="74EF1418" w14:textId="29B69C5E" w:rsidR="000C374B" w:rsidRPr="0001145D" w:rsidRDefault="000C374B" w:rsidP="000C374B">
      <w:pPr>
        <w:rPr>
          <w:rFonts w:asciiTheme="majorHAnsi" w:eastAsiaTheme="minorEastAsia" w:hAnsiTheme="majorHAnsi" w:cs="Segoe UI"/>
          <w:b/>
          <w:color w:val="2C384A" w:themeColor="accent1"/>
          <w:kern w:val="0"/>
        </w:rPr>
      </w:pPr>
      <w:r w:rsidRPr="0001145D">
        <w:rPr>
          <w:rFonts w:asciiTheme="majorHAnsi" w:eastAsiaTheme="minorEastAsia" w:hAnsiTheme="majorHAnsi" w:cs="Segoe UI"/>
          <w:b/>
          <w:color w:val="2C384A" w:themeColor="accent1"/>
          <w:kern w:val="0"/>
        </w:rPr>
        <w:t xml:space="preserve">Table 3. Estimated </w:t>
      </w:r>
      <w:r w:rsidR="005843FF" w:rsidRPr="0001145D">
        <w:rPr>
          <w:rFonts w:asciiTheme="majorHAnsi" w:eastAsiaTheme="minorEastAsia" w:hAnsiTheme="majorHAnsi" w:cs="Segoe UI"/>
          <w:b/>
          <w:color w:val="2C384A" w:themeColor="accent1"/>
          <w:kern w:val="0"/>
        </w:rPr>
        <w:t>direct</w:t>
      </w:r>
      <w:r w:rsidR="00846E58" w:rsidRPr="0001145D">
        <w:rPr>
          <w:rFonts w:asciiTheme="majorHAnsi" w:eastAsiaTheme="minorEastAsia" w:hAnsiTheme="majorHAnsi" w:cs="Segoe UI"/>
          <w:b/>
          <w:color w:val="2C384A" w:themeColor="accent1"/>
          <w:kern w:val="0"/>
        </w:rPr>
        <w:t xml:space="preserve"> </w:t>
      </w:r>
      <w:r w:rsidRPr="0001145D">
        <w:rPr>
          <w:rFonts w:asciiTheme="majorHAnsi" w:eastAsiaTheme="minorEastAsia" w:hAnsiTheme="majorHAnsi" w:cs="Segoe UI"/>
          <w:b/>
          <w:color w:val="2C384A" w:themeColor="accent1"/>
          <w:kern w:val="0"/>
        </w:rPr>
        <w:t xml:space="preserve">costs to business under Option 2 </w:t>
      </w:r>
    </w:p>
    <w:tbl>
      <w:tblPr>
        <w:tblStyle w:val="TableGrid"/>
        <w:tblW w:w="5000" w:type="pct"/>
        <w:tblBorders>
          <w:bottom w:val="single" w:sz="18" w:space="0" w:color="auto"/>
          <w:insideH w:val="single" w:sz="4" w:space="0" w:color="auto"/>
        </w:tblBorders>
        <w:tblLook w:val="04A0" w:firstRow="1" w:lastRow="0" w:firstColumn="1" w:lastColumn="0" w:noHBand="0" w:noVBand="1"/>
      </w:tblPr>
      <w:tblGrid>
        <w:gridCol w:w="4513"/>
        <w:gridCol w:w="4513"/>
      </w:tblGrid>
      <w:tr w:rsidR="000C374B" w:rsidRPr="007D6633" w14:paraId="335CF132" w14:textId="77777777" w:rsidTr="009005E5">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2C384A" w:themeFill="accent1"/>
          </w:tcPr>
          <w:p w14:paraId="12E2C360" w14:textId="77777777" w:rsidR="000C374B" w:rsidRPr="0084793A" w:rsidRDefault="000C374B" w:rsidP="009005E5">
            <w:pPr>
              <w:pStyle w:val="Bullet"/>
              <w:keepNext/>
              <w:numPr>
                <w:ilvl w:val="0"/>
                <w:numId w:val="0"/>
              </w:numPr>
              <w:spacing w:line="240" w:lineRule="auto"/>
              <w:rPr>
                <w:color w:val="FFFFFF" w:themeColor="background1"/>
                <w:sz w:val="22"/>
                <w:szCs w:val="22"/>
              </w:rPr>
            </w:pPr>
            <w:r w:rsidRPr="0084793A">
              <w:rPr>
                <w:rFonts w:cstheme="minorHAnsi"/>
                <w:color w:val="FFFFFF" w:themeColor="background1"/>
                <w:szCs w:val="22"/>
              </w:rPr>
              <w:t xml:space="preserve">Description of activity </w:t>
            </w:r>
          </w:p>
        </w:tc>
        <w:tc>
          <w:tcPr>
            <w:tcW w:w="2500" w:type="pct"/>
            <w:shd w:val="clear" w:color="auto" w:fill="2C384A" w:themeFill="accent1"/>
          </w:tcPr>
          <w:p w14:paraId="206DE7A9" w14:textId="77777777" w:rsidR="000C374B" w:rsidRPr="0084793A" w:rsidRDefault="000C374B" w:rsidP="009005E5">
            <w:pPr>
              <w:pStyle w:val="Bullet"/>
              <w:keepNext/>
              <w:numPr>
                <w:ilvl w:val="0"/>
                <w:numId w:val="0"/>
              </w:numPr>
              <w:spacing w:line="240" w:lineRule="auto"/>
              <w:rPr>
                <w:color w:val="FFFFFF" w:themeColor="background1"/>
                <w:sz w:val="22"/>
                <w:szCs w:val="22"/>
              </w:rPr>
            </w:pPr>
            <w:r>
              <w:rPr>
                <w:color w:val="FFFFFF" w:themeColor="background1"/>
                <w:szCs w:val="22"/>
              </w:rPr>
              <w:t>Estimated c</w:t>
            </w:r>
            <w:r w:rsidRPr="0084793A">
              <w:rPr>
                <w:color w:val="FFFFFF" w:themeColor="background1"/>
                <w:szCs w:val="22"/>
              </w:rPr>
              <w:t>ost per merger</w:t>
            </w:r>
            <w:r>
              <w:rPr>
                <w:color w:val="FFFFFF" w:themeColor="background1"/>
                <w:szCs w:val="22"/>
              </w:rPr>
              <w:t xml:space="preserve"> (approximate compared to informal review under status quo) </w:t>
            </w:r>
          </w:p>
        </w:tc>
      </w:tr>
      <w:tr w:rsidR="000C374B" w:rsidRPr="007D6633" w14:paraId="25125B22" w14:textId="77777777" w:rsidTr="009005E5">
        <w:tc>
          <w:tcPr>
            <w:tcW w:w="2500" w:type="pct"/>
          </w:tcPr>
          <w:p w14:paraId="0F9DEADA" w14:textId="77777777" w:rsidR="000C374B" w:rsidRPr="0036266A" w:rsidRDefault="000C374B" w:rsidP="009005E5">
            <w:pPr>
              <w:pStyle w:val="Bullet"/>
              <w:numPr>
                <w:ilvl w:val="0"/>
                <w:numId w:val="0"/>
              </w:numPr>
              <w:spacing w:line="240" w:lineRule="auto"/>
              <w:rPr>
                <w:rFonts w:asciiTheme="minorHAnsi" w:hAnsiTheme="minorHAnsi" w:cstheme="minorHAnsi"/>
                <w:sz w:val="20"/>
              </w:rPr>
            </w:pPr>
            <w:r w:rsidRPr="0084793A">
              <w:rPr>
                <w:rFonts w:asciiTheme="minorHAnsi" w:hAnsiTheme="minorHAnsi" w:cstheme="minorHAnsi"/>
                <w:sz w:val="20"/>
              </w:rPr>
              <w:t xml:space="preserve">Consider notification </w:t>
            </w:r>
          </w:p>
        </w:tc>
        <w:tc>
          <w:tcPr>
            <w:tcW w:w="2500" w:type="pct"/>
          </w:tcPr>
          <w:p w14:paraId="38475EF3" w14:textId="4EA4BA0E" w:rsidR="000C374B" w:rsidRPr="007533EF" w:rsidRDefault="000C374B" w:rsidP="009005E5">
            <w:pPr>
              <w:pStyle w:val="Bullet"/>
              <w:numPr>
                <w:ilvl w:val="0"/>
                <w:numId w:val="0"/>
              </w:numPr>
              <w:spacing w:line="240" w:lineRule="auto"/>
              <w:rPr>
                <w:rFonts w:asciiTheme="minorHAnsi" w:hAnsiTheme="minorHAnsi" w:cstheme="minorHAnsi"/>
                <w:sz w:val="20"/>
              </w:rPr>
            </w:pPr>
            <w:r w:rsidRPr="007533EF">
              <w:rPr>
                <w:rFonts w:asciiTheme="minorHAnsi" w:hAnsiTheme="minorHAnsi" w:cstheme="minorHAnsi"/>
                <w:sz w:val="20"/>
              </w:rPr>
              <w:t>-$</w:t>
            </w:r>
            <w:r w:rsidR="00D43C67" w:rsidRPr="007533EF">
              <w:rPr>
                <w:rFonts w:asciiTheme="minorHAnsi" w:hAnsiTheme="minorHAnsi" w:cstheme="minorHAnsi"/>
                <w:sz w:val="20"/>
              </w:rPr>
              <w:t>8</w:t>
            </w:r>
            <w:r w:rsidRPr="007533EF">
              <w:rPr>
                <w:rFonts w:asciiTheme="minorHAnsi" w:hAnsiTheme="minorHAnsi" w:cstheme="minorHAnsi"/>
                <w:sz w:val="20"/>
              </w:rPr>
              <w:t xml:space="preserve">,000  </w:t>
            </w:r>
          </w:p>
        </w:tc>
      </w:tr>
      <w:tr w:rsidR="000C374B" w:rsidRPr="007D6633" w14:paraId="3D8C15A2" w14:textId="77777777" w:rsidTr="009005E5">
        <w:tc>
          <w:tcPr>
            <w:tcW w:w="2500" w:type="pct"/>
          </w:tcPr>
          <w:p w14:paraId="4C3EEC6F" w14:textId="77777777" w:rsidR="000C374B" w:rsidRPr="0084793A" w:rsidRDefault="000C374B" w:rsidP="009005E5">
            <w:pPr>
              <w:pStyle w:val="Bullet"/>
              <w:numPr>
                <w:ilvl w:val="0"/>
                <w:numId w:val="0"/>
              </w:numPr>
              <w:spacing w:line="240" w:lineRule="auto"/>
              <w:rPr>
                <w:rFonts w:asciiTheme="minorHAnsi" w:hAnsiTheme="minorHAnsi" w:cstheme="minorHAnsi"/>
                <w:sz w:val="20"/>
              </w:rPr>
            </w:pPr>
            <w:r w:rsidRPr="0084793A">
              <w:rPr>
                <w:rFonts w:asciiTheme="minorHAnsi" w:hAnsiTheme="minorHAnsi" w:cstheme="minorHAnsi"/>
                <w:sz w:val="20"/>
              </w:rPr>
              <w:t>Prepare a notification</w:t>
            </w:r>
          </w:p>
        </w:tc>
        <w:tc>
          <w:tcPr>
            <w:tcW w:w="2500" w:type="pct"/>
          </w:tcPr>
          <w:p w14:paraId="25014A4C" w14:textId="01750F41" w:rsidR="000C374B" w:rsidRPr="007533EF" w:rsidRDefault="000C374B" w:rsidP="009005E5">
            <w:pPr>
              <w:pStyle w:val="Bullet"/>
              <w:numPr>
                <w:ilvl w:val="0"/>
                <w:numId w:val="0"/>
              </w:numPr>
              <w:spacing w:line="240" w:lineRule="auto"/>
              <w:rPr>
                <w:rFonts w:asciiTheme="minorHAnsi" w:hAnsiTheme="minorHAnsi" w:cstheme="minorHAnsi"/>
                <w:sz w:val="20"/>
              </w:rPr>
            </w:pPr>
            <w:r w:rsidRPr="007533EF">
              <w:rPr>
                <w:rFonts w:asciiTheme="minorHAnsi" w:hAnsiTheme="minorHAnsi" w:cstheme="minorHAnsi"/>
                <w:sz w:val="20"/>
              </w:rPr>
              <w:t xml:space="preserve">+$30,000 for simple notifications </w:t>
            </w:r>
            <w:r w:rsidRPr="007533EF">
              <w:rPr>
                <w:rFonts w:asciiTheme="minorHAnsi" w:hAnsiTheme="minorHAnsi" w:cstheme="minorHAnsi"/>
                <w:sz w:val="20"/>
              </w:rPr>
              <w:br/>
              <w:t>+$120,000 for non-simple notifications and +$</w:t>
            </w:r>
            <w:r w:rsidR="00553186" w:rsidRPr="007533EF">
              <w:rPr>
                <w:rFonts w:asciiTheme="minorHAnsi" w:hAnsiTheme="minorHAnsi" w:cstheme="minorHAnsi"/>
                <w:sz w:val="20"/>
              </w:rPr>
              <w:t>720,000</w:t>
            </w:r>
            <w:r w:rsidRPr="007533EF">
              <w:rPr>
                <w:rFonts w:asciiTheme="minorHAnsi" w:hAnsiTheme="minorHAnsi" w:cstheme="minorHAnsi"/>
                <w:sz w:val="20"/>
              </w:rPr>
              <w:t xml:space="preserve"> for complex notifications</w:t>
            </w:r>
          </w:p>
        </w:tc>
      </w:tr>
      <w:tr w:rsidR="000C374B" w:rsidRPr="007D6633" w14:paraId="2237A649" w14:textId="77777777" w:rsidTr="009005E5">
        <w:tc>
          <w:tcPr>
            <w:tcW w:w="2500" w:type="pct"/>
          </w:tcPr>
          <w:p w14:paraId="4226C164" w14:textId="5C8A6D93" w:rsidR="000C374B" w:rsidRPr="0084793A" w:rsidRDefault="000C374B" w:rsidP="009005E5">
            <w:pPr>
              <w:pStyle w:val="Bullet"/>
              <w:numPr>
                <w:ilvl w:val="0"/>
                <w:numId w:val="0"/>
              </w:numPr>
              <w:spacing w:line="240" w:lineRule="auto"/>
              <w:rPr>
                <w:rFonts w:asciiTheme="minorHAnsi" w:hAnsiTheme="minorHAnsi" w:cstheme="minorHAnsi"/>
                <w:sz w:val="20"/>
              </w:rPr>
            </w:pPr>
            <w:r w:rsidRPr="0084793A">
              <w:rPr>
                <w:rFonts w:asciiTheme="minorHAnsi" w:hAnsiTheme="minorHAnsi" w:cstheme="minorHAnsi"/>
                <w:sz w:val="20"/>
              </w:rPr>
              <w:t xml:space="preserve">The costs incurred in Phase </w:t>
            </w:r>
            <w:r w:rsidR="00A329BA">
              <w:rPr>
                <w:rFonts w:asciiTheme="minorHAnsi" w:hAnsiTheme="minorHAnsi" w:cstheme="minorHAnsi"/>
                <w:sz w:val="20"/>
              </w:rPr>
              <w:t>1</w:t>
            </w:r>
          </w:p>
        </w:tc>
        <w:tc>
          <w:tcPr>
            <w:tcW w:w="2500" w:type="pct"/>
          </w:tcPr>
          <w:p w14:paraId="63D5F57D" w14:textId="36CE42D5" w:rsidR="000C374B" w:rsidRPr="007533EF" w:rsidRDefault="00C85DA9" w:rsidP="009005E5">
            <w:pPr>
              <w:pStyle w:val="Bullet"/>
              <w:numPr>
                <w:ilvl w:val="0"/>
                <w:numId w:val="0"/>
              </w:numPr>
              <w:spacing w:line="240" w:lineRule="auto"/>
              <w:rPr>
                <w:rFonts w:asciiTheme="minorHAnsi" w:hAnsiTheme="minorHAnsi" w:cstheme="minorHAnsi"/>
                <w:sz w:val="20"/>
              </w:rPr>
            </w:pPr>
            <w:r w:rsidRPr="007533EF">
              <w:rPr>
                <w:rFonts w:asciiTheme="minorHAnsi" w:hAnsiTheme="minorHAnsi" w:cstheme="minorHAnsi"/>
                <w:sz w:val="20"/>
              </w:rPr>
              <w:t>-$40,000</w:t>
            </w:r>
          </w:p>
        </w:tc>
      </w:tr>
      <w:tr w:rsidR="000C374B" w:rsidRPr="007D6633" w14:paraId="0730363F" w14:textId="77777777" w:rsidTr="009005E5">
        <w:tc>
          <w:tcPr>
            <w:tcW w:w="2500" w:type="pct"/>
          </w:tcPr>
          <w:p w14:paraId="4BF30B3F" w14:textId="188E9977" w:rsidR="000C374B" w:rsidRPr="0084793A" w:rsidRDefault="000C374B" w:rsidP="009005E5">
            <w:pPr>
              <w:pStyle w:val="Bullet"/>
              <w:numPr>
                <w:ilvl w:val="0"/>
                <w:numId w:val="0"/>
              </w:numPr>
              <w:spacing w:line="240" w:lineRule="auto"/>
              <w:rPr>
                <w:rFonts w:asciiTheme="minorHAnsi" w:hAnsiTheme="minorHAnsi" w:cstheme="minorHAnsi"/>
                <w:sz w:val="20"/>
              </w:rPr>
            </w:pPr>
            <w:r w:rsidRPr="0084793A">
              <w:rPr>
                <w:rFonts w:asciiTheme="minorHAnsi" w:hAnsiTheme="minorHAnsi" w:cstheme="minorHAnsi"/>
                <w:sz w:val="20"/>
              </w:rPr>
              <w:t xml:space="preserve">The costs incurred in Phase </w:t>
            </w:r>
            <w:r w:rsidR="00A329BA">
              <w:rPr>
                <w:rFonts w:asciiTheme="minorHAnsi" w:hAnsiTheme="minorHAnsi" w:cstheme="minorHAnsi"/>
                <w:sz w:val="20"/>
              </w:rPr>
              <w:t>2</w:t>
            </w:r>
          </w:p>
        </w:tc>
        <w:tc>
          <w:tcPr>
            <w:tcW w:w="2500" w:type="pct"/>
          </w:tcPr>
          <w:p w14:paraId="460349BA" w14:textId="4F5F6A76" w:rsidR="000C374B" w:rsidRPr="007533EF" w:rsidRDefault="000C374B" w:rsidP="009005E5">
            <w:pPr>
              <w:pStyle w:val="Bullet"/>
              <w:numPr>
                <w:ilvl w:val="0"/>
                <w:numId w:val="0"/>
              </w:numPr>
              <w:spacing w:line="240" w:lineRule="auto"/>
              <w:rPr>
                <w:rFonts w:asciiTheme="minorHAnsi" w:hAnsiTheme="minorHAnsi" w:cstheme="minorHAnsi"/>
                <w:sz w:val="20"/>
              </w:rPr>
            </w:pPr>
            <w:r w:rsidRPr="007533EF">
              <w:rPr>
                <w:rFonts w:asciiTheme="minorHAnsi" w:hAnsiTheme="minorHAnsi" w:cstheme="minorHAnsi"/>
                <w:sz w:val="20"/>
              </w:rPr>
              <w:t>+$</w:t>
            </w:r>
            <w:r w:rsidR="00664EB6" w:rsidRPr="007533EF">
              <w:rPr>
                <w:rFonts w:asciiTheme="minorHAnsi" w:hAnsiTheme="minorHAnsi" w:cstheme="minorHAnsi"/>
                <w:sz w:val="20"/>
              </w:rPr>
              <w:t>880,000</w:t>
            </w:r>
          </w:p>
        </w:tc>
      </w:tr>
      <w:tr w:rsidR="000C374B" w:rsidRPr="007D6633" w14:paraId="1FED558D" w14:textId="77777777" w:rsidTr="009005E5">
        <w:tc>
          <w:tcPr>
            <w:tcW w:w="2500" w:type="pct"/>
          </w:tcPr>
          <w:p w14:paraId="5F9DC1E9" w14:textId="77777777" w:rsidR="000C374B" w:rsidRPr="0084793A" w:rsidRDefault="000C374B" w:rsidP="009005E5">
            <w:pPr>
              <w:pStyle w:val="Bullet"/>
              <w:numPr>
                <w:ilvl w:val="0"/>
                <w:numId w:val="0"/>
              </w:numPr>
              <w:spacing w:line="240" w:lineRule="auto"/>
              <w:rPr>
                <w:rFonts w:asciiTheme="minorHAnsi" w:hAnsiTheme="minorHAnsi" w:cstheme="minorHAnsi"/>
                <w:sz w:val="20"/>
              </w:rPr>
            </w:pPr>
            <w:r w:rsidRPr="0084793A">
              <w:rPr>
                <w:rFonts w:asciiTheme="minorHAnsi" w:hAnsiTheme="minorHAnsi" w:cstheme="minorHAnsi"/>
                <w:sz w:val="20"/>
              </w:rPr>
              <w:t>The costs incurred in proposing remedies</w:t>
            </w:r>
          </w:p>
        </w:tc>
        <w:tc>
          <w:tcPr>
            <w:tcW w:w="2500" w:type="pct"/>
          </w:tcPr>
          <w:p w14:paraId="4224FC3C" w14:textId="34A7ACC9" w:rsidR="000C374B" w:rsidRPr="007533EF" w:rsidRDefault="00CF1B53" w:rsidP="009005E5">
            <w:pPr>
              <w:pStyle w:val="Bullet"/>
              <w:numPr>
                <w:ilvl w:val="0"/>
                <w:numId w:val="0"/>
              </w:numPr>
              <w:spacing w:line="240" w:lineRule="auto"/>
              <w:rPr>
                <w:rFonts w:asciiTheme="minorHAnsi" w:hAnsiTheme="minorHAnsi" w:cstheme="minorHAnsi"/>
                <w:sz w:val="20"/>
              </w:rPr>
            </w:pPr>
            <w:r w:rsidRPr="007533EF">
              <w:rPr>
                <w:rFonts w:asciiTheme="minorHAnsi" w:hAnsiTheme="minorHAnsi" w:cstheme="minorHAnsi"/>
                <w:sz w:val="20"/>
              </w:rPr>
              <w:t>+</w:t>
            </w:r>
            <w:r w:rsidR="00A835A3" w:rsidRPr="007533EF">
              <w:rPr>
                <w:rFonts w:asciiTheme="minorHAnsi" w:hAnsiTheme="minorHAnsi" w:cstheme="minorHAnsi"/>
                <w:sz w:val="20"/>
              </w:rPr>
              <w:t>$</w:t>
            </w:r>
            <w:r w:rsidR="0054793F" w:rsidRPr="007533EF">
              <w:rPr>
                <w:rFonts w:asciiTheme="minorHAnsi" w:hAnsiTheme="minorHAnsi" w:cstheme="minorHAnsi"/>
                <w:sz w:val="20"/>
              </w:rPr>
              <w:t>240,000</w:t>
            </w:r>
          </w:p>
        </w:tc>
      </w:tr>
      <w:tr w:rsidR="000C374B" w:rsidRPr="007D6633" w14:paraId="42F59FBD" w14:textId="77777777" w:rsidTr="009005E5">
        <w:tc>
          <w:tcPr>
            <w:tcW w:w="2500" w:type="pct"/>
          </w:tcPr>
          <w:p w14:paraId="6EF7CE33" w14:textId="77777777" w:rsidR="000C374B" w:rsidRPr="0084793A" w:rsidRDefault="000C374B" w:rsidP="009005E5">
            <w:pPr>
              <w:pStyle w:val="Bullet"/>
              <w:numPr>
                <w:ilvl w:val="0"/>
                <w:numId w:val="0"/>
              </w:numPr>
              <w:spacing w:line="240" w:lineRule="auto"/>
              <w:rPr>
                <w:rFonts w:asciiTheme="minorHAnsi" w:hAnsiTheme="minorHAnsi" w:cstheme="minorHAnsi"/>
                <w:sz w:val="20"/>
              </w:rPr>
            </w:pPr>
            <w:r w:rsidRPr="0084793A">
              <w:rPr>
                <w:rFonts w:asciiTheme="minorHAnsi" w:hAnsiTheme="minorHAnsi" w:cstheme="minorHAnsi"/>
                <w:sz w:val="20"/>
              </w:rPr>
              <w:t>The costs incurred for any public benefit consideration</w:t>
            </w:r>
          </w:p>
        </w:tc>
        <w:tc>
          <w:tcPr>
            <w:tcW w:w="2500" w:type="pct"/>
          </w:tcPr>
          <w:p w14:paraId="33AE5B69" w14:textId="7A8F2B47" w:rsidR="000C374B" w:rsidRPr="007533EF" w:rsidRDefault="000C374B" w:rsidP="009005E5">
            <w:pPr>
              <w:pStyle w:val="Bullet"/>
              <w:numPr>
                <w:ilvl w:val="0"/>
                <w:numId w:val="0"/>
              </w:numPr>
              <w:spacing w:line="240" w:lineRule="auto"/>
              <w:rPr>
                <w:rFonts w:asciiTheme="minorHAnsi" w:hAnsiTheme="minorHAnsi" w:cstheme="minorHAnsi"/>
                <w:sz w:val="20"/>
              </w:rPr>
            </w:pPr>
            <w:r w:rsidRPr="007533EF">
              <w:rPr>
                <w:rFonts w:asciiTheme="minorHAnsi" w:hAnsiTheme="minorHAnsi" w:cstheme="minorHAnsi"/>
                <w:sz w:val="20"/>
              </w:rPr>
              <w:t>N/</w:t>
            </w:r>
            <w:r w:rsidR="003925C3" w:rsidRPr="007533EF">
              <w:rPr>
                <w:rFonts w:asciiTheme="minorHAnsi" w:hAnsiTheme="minorHAnsi" w:cstheme="minorHAnsi"/>
                <w:sz w:val="20"/>
              </w:rPr>
              <w:t>A</w:t>
            </w:r>
            <w:r w:rsidRPr="007533EF">
              <w:rPr>
                <w:rFonts w:asciiTheme="minorHAnsi" w:hAnsiTheme="minorHAnsi" w:cstheme="minorHAnsi"/>
                <w:sz w:val="20"/>
              </w:rPr>
              <w:t xml:space="preserve"> </w:t>
            </w:r>
            <w:r w:rsidR="003925C3" w:rsidRPr="007533EF">
              <w:rPr>
                <w:rFonts w:asciiTheme="minorHAnsi" w:hAnsiTheme="minorHAnsi" w:cstheme="minorHAnsi"/>
                <w:sz w:val="20"/>
              </w:rPr>
              <w:t>(</w:t>
            </w:r>
            <w:r w:rsidR="00AC33C7" w:rsidRPr="007533EF">
              <w:rPr>
                <w:rFonts w:asciiTheme="minorHAnsi" w:hAnsiTheme="minorHAnsi" w:cstheme="minorHAnsi"/>
                <w:sz w:val="20"/>
              </w:rPr>
              <w:t xml:space="preserve">not </w:t>
            </w:r>
            <w:r w:rsidRPr="007533EF">
              <w:rPr>
                <w:rFonts w:asciiTheme="minorHAnsi" w:hAnsiTheme="minorHAnsi" w:cstheme="minorHAnsi"/>
                <w:sz w:val="20"/>
              </w:rPr>
              <w:t>in status quo</w:t>
            </w:r>
            <w:r w:rsidR="003925C3" w:rsidRPr="007533EF">
              <w:rPr>
                <w:rFonts w:asciiTheme="minorHAnsi" w:hAnsiTheme="minorHAnsi" w:cstheme="minorHAnsi"/>
                <w:sz w:val="20"/>
              </w:rPr>
              <w:t>)</w:t>
            </w:r>
            <w:r w:rsidRPr="007533EF">
              <w:rPr>
                <w:rFonts w:asciiTheme="minorHAnsi" w:hAnsiTheme="minorHAnsi" w:cstheme="minorHAnsi"/>
                <w:sz w:val="20"/>
              </w:rPr>
              <w:t xml:space="preserve"> </w:t>
            </w:r>
          </w:p>
        </w:tc>
      </w:tr>
      <w:tr w:rsidR="000C374B" w:rsidRPr="007D6633" w14:paraId="72B46653" w14:textId="77777777" w:rsidTr="009005E5">
        <w:tc>
          <w:tcPr>
            <w:tcW w:w="2500" w:type="pct"/>
          </w:tcPr>
          <w:p w14:paraId="63FDF245" w14:textId="77777777" w:rsidR="000C374B" w:rsidRPr="0084793A" w:rsidRDefault="000C374B" w:rsidP="009005E5">
            <w:pPr>
              <w:pStyle w:val="Bullet"/>
              <w:numPr>
                <w:ilvl w:val="0"/>
                <w:numId w:val="0"/>
              </w:numPr>
              <w:spacing w:line="240" w:lineRule="auto"/>
              <w:rPr>
                <w:rFonts w:asciiTheme="minorHAnsi" w:hAnsiTheme="minorHAnsi" w:cstheme="minorHAnsi"/>
                <w:sz w:val="20"/>
              </w:rPr>
            </w:pPr>
            <w:r w:rsidRPr="0084793A">
              <w:rPr>
                <w:rFonts w:asciiTheme="minorHAnsi" w:hAnsiTheme="minorHAnsi" w:cstheme="minorHAnsi"/>
                <w:sz w:val="20"/>
              </w:rPr>
              <w:t xml:space="preserve">The costs incurred in any review by the Tribunal (excluding any fees). </w:t>
            </w:r>
          </w:p>
        </w:tc>
        <w:tc>
          <w:tcPr>
            <w:tcW w:w="2500" w:type="pct"/>
          </w:tcPr>
          <w:p w14:paraId="20442E64" w14:textId="4897D1C7" w:rsidR="000C374B" w:rsidRPr="0084793A" w:rsidRDefault="000C374B" w:rsidP="009005E5">
            <w:pPr>
              <w:pStyle w:val="Bullet"/>
              <w:numPr>
                <w:ilvl w:val="0"/>
                <w:numId w:val="0"/>
              </w:numPr>
              <w:spacing w:line="240" w:lineRule="auto"/>
              <w:rPr>
                <w:rFonts w:asciiTheme="minorHAnsi" w:hAnsiTheme="minorHAnsi" w:cstheme="minorHAnsi"/>
                <w:sz w:val="20"/>
              </w:rPr>
            </w:pPr>
            <w:r w:rsidRPr="00DF1B94">
              <w:rPr>
                <w:rFonts w:asciiTheme="minorHAnsi" w:hAnsiTheme="minorHAnsi" w:cstheme="minorHAnsi"/>
                <w:sz w:val="20"/>
              </w:rPr>
              <w:t>-$</w:t>
            </w:r>
            <w:r w:rsidR="002A6A67" w:rsidRPr="00DF1B94">
              <w:rPr>
                <w:rFonts w:asciiTheme="minorHAnsi" w:hAnsiTheme="minorHAnsi" w:cstheme="minorHAnsi"/>
                <w:sz w:val="20"/>
              </w:rPr>
              <w:t>5.5</w:t>
            </w:r>
            <w:r w:rsidRPr="00DF1B94">
              <w:rPr>
                <w:rFonts w:asciiTheme="minorHAnsi" w:hAnsiTheme="minorHAnsi" w:cstheme="minorHAnsi"/>
                <w:sz w:val="20"/>
              </w:rPr>
              <w:t xml:space="preserve"> million</w:t>
            </w:r>
            <w:r>
              <w:rPr>
                <w:rFonts w:asciiTheme="minorHAnsi" w:hAnsiTheme="minorHAnsi" w:cstheme="minorHAnsi"/>
                <w:sz w:val="20"/>
              </w:rPr>
              <w:t xml:space="preserve"> (compared to costs incurred in Federal Court Proceedings) </w:t>
            </w:r>
          </w:p>
        </w:tc>
      </w:tr>
    </w:tbl>
    <w:p w14:paraId="3A2A9193" w14:textId="77777777" w:rsidR="00947E3E" w:rsidRPr="0036266A" w:rsidRDefault="00947E3E" w:rsidP="00947E3E">
      <w:pPr>
        <w:spacing w:after="0" w:line="240" w:lineRule="auto"/>
        <w:rPr>
          <w:sz w:val="20"/>
          <w:szCs w:val="20"/>
        </w:rPr>
      </w:pPr>
    </w:p>
    <w:p w14:paraId="7EF97B2E" w14:textId="0CF85264" w:rsidR="00B1134C" w:rsidRDefault="00B1134C" w:rsidP="00B1134C">
      <w:pPr>
        <w:pStyle w:val="Bullet"/>
        <w:numPr>
          <w:ilvl w:val="0"/>
          <w:numId w:val="0"/>
        </w:numPr>
        <w:spacing w:line="240" w:lineRule="auto"/>
        <w:rPr>
          <w:rFonts w:asciiTheme="majorHAnsi" w:hAnsiTheme="majorHAnsi" w:cstheme="majorHAnsi"/>
        </w:rPr>
      </w:pPr>
      <w:r>
        <w:rPr>
          <w:rFonts w:asciiTheme="majorHAnsi" w:hAnsiTheme="majorHAnsi" w:cstheme="majorHAnsi"/>
        </w:rPr>
        <w:t xml:space="preserve">The </w:t>
      </w:r>
      <w:r w:rsidR="000C374B">
        <w:rPr>
          <w:rFonts w:asciiTheme="majorHAnsi" w:hAnsiTheme="majorHAnsi" w:cstheme="majorHAnsi"/>
        </w:rPr>
        <w:t xml:space="preserve">annual </w:t>
      </w:r>
      <w:r>
        <w:rPr>
          <w:rFonts w:asciiTheme="majorHAnsi" w:hAnsiTheme="majorHAnsi" w:cstheme="majorHAnsi"/>
        </w:rPr>
        <w:t xml:space="preserve">cost under Option 2 (assuming 300 notifications per year) is estimated to </w:t>
      </w:r>
      <w:r w:rsidRPr="00DF1B94">
        <w:rPr>
          <w:rFonts w:asciiTheme="majorHAnsi" w:hAnsiTheme="majorHAnsi" w:cstheme="majorHAnsi"/>
        </w:rPr>
        <w:t xml:space="preserve">be </w:t>
      </w:r>
      <w:r w:rsidR="00EA6E76" w:rsidRPr="00DF1B94">
        <w:rPr>
          <w:rFonts w:asciiTheme="majorHAnsi" w:hAnsiTheme="majorHAnsi" w:cstheme="majorHAnsi"/>
        </w:rPr>
        <w:t>$</w:t>
      </w:r>
      <w:r w:rsidR="00532B88" w:rsidRPr="00DF1B94">
        <w:rPr>
          <w:rFonts w:asciiTheme="majorHAnsi" w:hAnsiTheme="majorHAnsi" w:cstheme="majorHAnsi"/>
        </w:rPr>
        <w:t>10.8</w:t>
      </w:r>
      <w:r w:rsidR="00EA6E76" w:rsidRPr="00DF1B94">
        <w:rPr>
          <w:rFonts w:asciiTheme="majorHAnsi" w:hAnsiTheme="majorHAnsi" w:cstheme="majorHAnsi"/>
        </w:rPr>
        <w:t xml:space="preserve"> million above the status quo</w:t>
      </w:r>
      <w:r w:rsidR="00D802B7" w:rsidRPr="00DF1B94">
        <w:rPr>
          <w:rFonts w:asciiTheme="majorHAnsi" w:hAnsiTheme="majorHAnsi" w:cstheme="majorHAnsi"/>
        </w:rPr>
        <w:t xml:space="preserve"> </w:t>
      </w:r>
      <w:r w:rsidR="00D802B7" w:rsidRPr="00DF1B94">
        <w:rPr>
          <w:rFonts w:asciiTheme="minorHAnsi" w:hAnsiTheme="minorHAnsi" w:cstheme="minorHAnsi"/>
          <w:szCs w:val="22"/>
        </w:rPr>
        <w:t>(</w:t>
      </w:r>
      <w:r w:rsidR="00C35297" w:rsidRPr="00DF1B94">
        <w:rPr>
          <w:rFonts w:asciiTheme="minorHAnsi" w:hAnsiTheme="minorHAnsi" w:cstheme="minorHAnsi"/>
        </w:rPr>
        <w:t>which Treasury estimates to have a</w:t>
      </w:r>
      <w:r w:rsidR="00C35297" w:rsidRPr="00DF1B94">
        <w:rPr>
          <w:rFonts w:asciiTheme="minorHAnsi" w:hAnsiTheme="minorHAnsi" w:cstheme="minorHAnsi"/>
          <w:szCs w:val="22"/>
        </w:rPr>
        <w:t xml:space="preserve"> total </w:t>
      </w:r>
      <w:r w:rsidR="00C35297" w:rsidRPr="00DF1B94">
        <w:rPr>
          <w:rFonts w:asciiTheme="minorHAnsi" w:hAnsiTheme="minorHAnsi" w:cstheme="minorHAnsi"/>
        </w:rPr>
        <w:t xml:space="preserve">annual </w:t>
      </w:r>
      <w:r w:rsidR="00C35297" w:rsidRPr="00DF1B94">
        <w:rPr>
          <w:rFonts w:asciiTheme="minorHAnsi" w:hAnsiTheme="minorHAnsi" w:cstheme="minorHAnsi"/>
          <w:szCs w:val="22"/>
        </w:rPr>
        <w:t xml:space="preserve">cost of </w:t>
      </w:r>
      <w:r w:rsidR="00F94578" w:rsidRPr="00DF1B94">
        <w:rPr>
          <w:rFonts w:asciiTheme="minorHAnsi" w:hAnsiTheme="minorHAnsi" w:cstheme="minorHAnsi"/>
          <w:szCs w:val="22"/>
        </w:rPr>
        <w:t>$</w:t>
      </w:r>
      <w:r w:rsidR="00272127" w:rsidRPr="00DF1B94">
        <w:rPr>
          <w:rFonts w:asciiTheme="minorHAnsi" w:hAnsiTheme="minorHAnsi" w:cstheme="minorHAnsi"/>
          <w:szCs w:val="22"/>
        </w:rPr>
        <w:t>17</w:t>
      </w:r>
      <w:r w:rsidR="00332BA3" w:rsidRPr="00DF1B94">
        <w:rPr>
          <w:rFonts w:asciiTheme="minorHAnsi" w:hAnsiTheme="minorHAnsi" w:cstheme="minorHAnsi"/>
          <w:szCs w:val="22"/>
        </w:rPr>
        <w:t>1 million)</w:t>
      </w:r>
      <w:r w:rsidRPr="00DF1B94">
        <w:rPr>
          <w:rFonts w:asciiTheme="majorHAnsi" w:hAnsiTheme="majorHAnsi" w:cstheme="majorHAnsi"/>
        </w:rPr>
        <w:t>.</w:t>
      </w:r>
      <w:r>
        <w:rPr>
          <w:rFonts w:asciiTheme="majorHAnsi" w:hAnsiTheme="majorHAnsi" w:cstheme="majorHAnsi"/>
        </w:rPr>
        <w:t xml:space="preserve"> </w:t>
      </w:r>
    </w:p>
    <w:p w14:paraId="0E1F8D58" w14:textId="1D27AB36" w:rsidR="00947E3E" w:rsidRDefault="00947E3E" w:rsidP="00947E3E">
      <w:pPr>
        <w:spacing w:line="240" w:lineRule="auto"/>
      </w:pPr>
      <w:r>
        <w:t>A significant proportion of these costs are already incurred in the status quo</w:t>
      </w:r>
      <w:r w:rsidR="0009344C">
        <w:t xml:space="preserve"> </w:t>
      </w:r>
      <w:r w:rsidR="0032363A">
        <w:t>(</w:t>
      </w:r>
      <w:r w:rsidR="004F5868">
        <w:t>9</w:t>
      </w:r>
      <w:r w:rsidR="006A6388">
        <w:t>3</w:t>
      </w:r>
      <w:r w:rsidR="00C47993">
        <w:t>%</w:t>
      </w:r>
      <w:r w:rsidR="00555648">
        <w:t xml:space="preserve"> </w:t>
      </w:r>
      <w:r w:rsidR="0032363A">
        <w:t>based on Treasury estimates)</w:t>
      </w:r>
      <w:r>
        <w:t xml:space="preserve">. In some instances, some of these individual costs may be lower than the status quo. </w:t>
      </w:r>
      <w:r w:rsidR="003235E7">
        <w:t>This is because s</w:t>
      </w:r>
      <w:r w:rsidR="003A7986">
        <w:t xml:space="preserve">ome businesses may have been unnecessarily seeking ACCC views under the status quo (due to lack of certainty) and for these </w:t>
      </w:r>
      <w:r w:rsidR="00305031">
        <w:t>businesses’</w:t>
      </w:r>
      <w:r w:rsidR="003A7986">
        <w:t xml:space="preserve"> costs will decrease. </w:t>
      </w:r>
      <w:r>
        <w:t xml:space="preserve">The increased efficiency of the streamlined Tribunal process will also reduce costs for businesses seeking review of decisions. </w:t>
      </w:r>
    </w:p>
    <w:p w14:paraId="29EE7DA1" w14:textId="4FBBFA25" w:rsidR="00CC2B32" w:rsidRDefault="00947E3E" w:rsidP="004B31C8">
      <w:pPr>
        <w:spacing w:line="240" w:lineRule="auto"/>
        <w:rPr>
          <w:rFonts w:cstheme="minorHAnsi"/>
        </w:rPr>
      </w:pPr>
      <w:r w:rsidRPr="003E6772">
        <w:t>Unlike the status quo, fees would be imposed on businesses (with an exception for small businesses</w:t>
      </w:r>
      <w:r w:rsidR="00D032DD">
        <w:t xml:space="preserve"> so </w:t>
      </w:r>
      <w:r w:rsidR="000E7B7E">
        <w:t xml:space="preserve">that the fees </w:t>
      </w:r>
      <w:r w:rsidR="00784042">
        <w:t>are not a disproportionate burden</w:t>
      </w:r>
      <w:r w:rsidR="00A73246">
        <w:t xml:space="preserve"> for those businesses</w:t>
      </w:r>
      <w:r w:rsidRPr="003E6772">
        <w:t>) for notifiable mergers</w:t>
      </w:r>
      <w:r w:rsidR="00314699">
        <w:t xml:space="preserve"> and </w:t>
      </w:r>
      <w:r w:rsidR="00A73246">
        <w:t>acquisitions</w:t>
      </w:r>
      <w:r w:rsidRPr="003E6772">
        <w:t>.</w:t>
      </w:r>
      <w:r w:rsidRPr="00F027D2">
        <w:rPr>
          <w:rFonts w:cstheme="minorHAnsi"/>
        </w:rPr>
        <w:t xml:space="preserve"> </w:t>
      </w:r>
      <w:r w:rsidRPr="00491463">
        <w:rPr>
          <w:rFonts w:cstheme="minorHAnsi"/>
        </w:rPr>
        <w:t xml:space="preserve">The fees </w:t>
      </w:r>
      <w:r>
        <w:rPr>
          <w:rFonts w:cstheme="minorHAnsi"/>
        </w:rPr>
        <w:t>will</w:t>
      </w:r>
      <w:r w:rsidRPr="00491463">
        <w:rPr>
          <w:rFonts w:cstheme="minorHAnsi"/>
        </w:rPr>
        <w:t xml:space="preserve"> reflect the resources required by the ACCC to efficiently carry out the review of a merger</w:t>
      </w:r>
      <w:r w:rsidR="00192146">
        <w:rPr>
          <w:rFonts w:cstheme="minorHAnsi"/>
        </w:rPr>
        <w:t xml:space="preserve"> or acquisition</w:t>
      </w:r>
      <w:r w:rsidRPr="00491463">
        <w:rPr>
          <w:rFonts w:cstheme="minorHAnsi"/>
        </w:rPr>
        <w:t xml:space="preserve">. Indicatively, Treasury anticipates this would be </w:t>
      </w:r>
      <w:r w:rsidR="003E7084">
        <w:rPr>
          <w:rFonts w:cstheme="minorHAnsi"/>
        </w:rPr>
        <w:t>around</w:t>
      </w:r>
      <w:r w:rsidR="00AB63E5" w:rsidRPr="00491463">
        <w:rPr>
          <w:rFonts w:cstheme="minorHAnsi"/>
        </w:rPr>
        <w:t xml:space="preserve"> </w:t>
      </w:r>
      <w:r w:rsidRPr="00491463">
        <w:rPr>
          <w:rFonts w:cstheme="minorHAnsi"/>
        </w:rPr>
        <w:t>$50,000</w:t>
      </w:r>
      <w:r w:rsidR="008C0A46" w:rsidRPr="00491463">
        <w:rPr>
          <w:rFonts w:cstheme="minorHAnsi"/>
        </w:rPr>
        <w:t>–</w:t>
      </w:r>
      <w:r w:rsidRPr="00491463">
        <w:rPr>
          <w:rFonts w:cstheme="minorHAnsi"/>
        </w:rPr>
        <w:t>100,000 for most mergers.</w:t>
      </w:r>
      <w:r w:rsidR="004F7042">
        <w:rPr>
          <w:rStyle w:val="FootnoteReference"/>
          <w:rFonts w:cstheme="minorHAnsi"/>
        </w:rPr>
        <w:footnoteReference w:id="79"/>
      </w:r>
      <w:r w:rsidRPr="00491463">
        <w:rPr>
          <w:rFonts w:cstheme="minorHAnsi"/>
        </w:rPr>
        <w:t xml:space="preserve"> Assuming 300 notifications per year, this amounts to $15–30 million per annum</w:t>
      </w:r>
      <w:r>
        <w:rPr>
          <w:rFonts w:cstheme="minorHAnsi"/>
        </w:rPr>
        <w:t xml:space="preserve"> (not including Phase </w:t>
      </w:r>
      <w:r w:rsidR="00147BAA">
        <w:rPr>
          <w:rFonts w:cstheme="minorHAnsi"/>
        </w:rPr>
        <w:t>2</w:t>
      </w:r>
      <w:r>
        <w:rPr>
          <w:rFonts w:cstheme="minorHAnsi"/>
        </w:rPr>
        <w:t xml:space="preserve">). </w:t>
      </w:r>
    </w:p>
    <w:p w14:paraId="6B7E33BF" w14:textId="4E605DE5" w:rsidR="00947E3E" w:rsidRPr="00E2357E" w:rsidRDefault="00947E3E" w:rsidP="004B31C8">
      <w:pPr>
        <w:spacing w:line="240" w:lineRule="auto"/>
      </w:pPr>
      <w:r>
        <w:rPr>
          <w:rFonts w:cstheme="minorHAnsi"/>
        </w:rPr>
        <w:t xml:space="preserve">Budget Paper </w:t>
      </w:r>
      <w:r w:rsidR="00DC4B00">
        <w:rPr>
          <w:rFonts w:cstheme="minorHAnsi"/>
        </w:rPr>
        <w:t>No.</w:t>
      </w:r>
      <w:r>
        <w:rPr>
          <w:rFonts w:cstheme="minorHAnsi"/>
        </w:rPr>
        <w:t xml:space="preserve"> 2 </w:t>
      </w:r>
      <w:r w:rsidR="008E2779">
        <w:rPr>
          <w:rFonts w:cstheme="minorHAnsi"/>
        </w:rPr>
        <w:t>of the 2024-25 Budget</w:t>
      </w:r>
      <w:r w:rsidR="007D1180">
        <w:rPr>
          <w:rFonts w:cstheme="minorHAnsi"/>
        </w:rPr>
        <w:t xml:space="preserve"> </w:t>
      </w:r>
      <w:r w:rsidR="00E86E87">
        <w:rPr>
          <w:rFonts w:cstheme="minorHAnsi"/>
        </w:rPr>
        <w:t xml:space="preserve">outlines that </w:t>
      </w:r>
      <w:r>
        <w:rPr>
          <w:rFonts w:cstheme="minorHAnsi"/>
        </w:rPr>
        <w:t xml:space="preserve">future cost recovery fee arrangements </w:t>
      </w:r>
      <w:r w:rsidR="00684957">
        <w:rPr>
          <w:rFonts w:cstheme="minorHAnsi"/>
        </w:rPr>
        <w:t xml:space="preserve">with estimated fees </w:t>
      </w:r>
      <w:r>
        <w:rPr>
          <w:rFonts w:cstheme="minorHAnsi"/>
        </w:rPr>
        <w:t xml:space="preserve">of $90.5 million over </w:t>
      </w:r>
      <w:r w:rsidR="00050B30">
        <w:rPr>
          <w:rFonts w:cstheme="minorHAnsi"/>
        </w:rPr>
        <w:t xml:space="preserve">3 </w:t>
      </w:r>
      <w:r>
        <w:rPr>
          <w:rFonts w:cstheme="minorHAnsi"/>
        </w:rPr>
        <w:t xml:space="preserve">years from </w:t>
      </w:r>
      <w:r w:rsidR="00853D15">
        <w:rPr>
          <w:rFonts w:cstheme="minorHAnsi"/>
        </w:rPr>
        <w:t xml:space="preserve">the </w:t>
      </w:r>
      <w:r>
        <w:rPr>
          <w:rFonts w:cstheme="minorHAnsi"/>
        </w:rPr>
        <w:t>2025</w:t>
      </w:r>
      <w:r w:rsidR="00DF0563">
        <w:rPr>
          <w:rFonts w:cstheme="minorHAnsi"/>
        </w:rPr>
        <w:t>–</w:t>
      </w:r>
      <w:r>
        <w:rPr>
          <w:rFonts w:cstheme="minorHAnsi"/>
        </w:rPr>
        <w:t>26</w:t>
      </w:r>
      <w:r w:rsidR="00853D15">
        <w:rPr>
          <w:rFonts w:cstheme="minorHAnsi"/>
        </w:rPr>
        <w:t xml:space="preserve"> financial year</w:t>
      </w:r>
      <w:r>
        <w:rPr>
          <w:rFonts w:cstheme="minorHAnsi"/>
        </w:rPr>
        <w:t xml:space="preserve"> </w:t>
      </w:r>
      <w:r w:rsidR="00E86E87">
        <w:rPr>
          <w:rFonts w:cstheme="minorHAnsi"/>
        </w:rPr>
        <w:t xml:space="preserve">have been </w:t>
      </w:r>
      <w:r>
        <w:rPr>
          <w:rFonts w:cstheme="minorHAnsi"/>
        </w:rPr>
        <w:t>held in the Contingency Reserve pending the finalisation of the policy and implementation details of the new merger system.</w:t>
      </w:r>
      <w:r>
        <w:t xml:space="preserve"> In the absence of fee</w:t>
      </w:r>
      <w:r w:rsidR="000E575A">
        <w:t>s</w:t>
      </w:r>
      <w:r>
        <w:t xml:space="preserve"> these costs would be borne by the ACCC and ultimately the public.</w:t>
      </w:r>
      <w:r>
        <w:rPr>
          <w:rStyle w:val="FootnoteReference"/>
        </w:rPr>
        <w:footnoteReference w:id="80"/>
      </w:r>
      <w:r>
        <w:t xml:space="preserve"> </w:t>
      </w:r>
      <w:r w:rsidR="001931B0">
        <w:t xml:space="preserve">The fees will be set in </w:t>
      </w:r>
      <w:r w:rsidR="00904562">
        <w:t xml:space="preserve">subordinate legislation </w:t>
      </w:r>
      <w:r w:rsidR="001931B0">
        <w:t xml:space="preserve">to enable them to be updated as necessary to reflect changes in the economy and be more responsive to the experience of businesses subject to the fees. </w:t>
      </w:r>
      <w:r>
        <w:t>Treasury will undertake consultation on the proposed fees.</w:t>
      </w:r>
    </w:p>
    <w:p w14:paraId="1013DE86" w14:textId="515F15CB" w:rsidR="00EE79DD" w:rsidRPr="0084793A" w:rsidRDefault="00947E3E" w:rsidP="0084793A">
      <w:pPr>
        <w:rPr>
          <w:lang w:eastAsia="en-AU"/>
        </w:rPr>
      </w:pPr>
      <w:r>
        <w:t xml:space="preserve">The regulatory burden of Option 2 (compared to the status quo) </w:t>
      </w:r>
      <w:r w:rsidRPr="00DF7BDA">
        <w:rPr>
          <w:rFonts w:cstheme="minorHAnsi"/>
        </w:rPr>
        <w:t xml:space="preserve">is set out in Table </w:t>
      </w:r>
      <w:r w:rsidR="00F664FF" w:rsidRPr="00DF7BDA">
        <w:rPr>
          <w:rFonts w:cstheme="minorHAnsi"/>
        </w:rPr>
        <w:t>4</w:t>
      </w:r>
      <w:r w:rsidRPr="00DF7BDA">
        <w:rPr>
          <w:rFonts w:cstheme="minorHAnsi"/>
        </w:rPr>
        <w:t xml:space="preserve"> below. The</w:t>
      </w:r>
      <w:r w:rsidR="00EE79DD" w:rsidRPr="00DF7BDA">
        <w:rPr>
          <w:rFonts w:cstheme="minorHAnsi"/>
        </w:rPr>
        <w:t xml:space="preserve"> </w:t>
      </w:r>
      <w:r w:rsidRPr="00DF7BDA">
        <w:rPr>
          <w:rFonts w:cstheme="minorHAnsi"/>
        </w:rPr>
        <w:t xml:space="preserve">underlying methodology for these calculations is provided at </w:t>
      </w:r>
      <w:r w:rsidRPr="006E1825">
        <w:rPr>
          <w:rFonts w:cstheme="minorHAnsi"/>
          <w:u w:val="single"/>
        </w:rPr>
        <w:t>Attachment A</w:t>
      </w:r>
      <w:r w:rsidRPr="00DF7BDA">
        <w:rPr>
          <w:rFonts w:cstheme="minorHAnsi"/>
        </w:rPr>
        <w:t>.</w:t>
      </w:r>
      <w:r>
        <w:t xml:space="preserve"> </w:t>
      </w:r>
    </w:p>
    <w:p w14:paraId="418B28C2" w14:textId="63A1D504" w:rsidR="00947E3E" w:rsidRPr="002E7D1A" w:rsidRDefault="00947E3E" w:rsidP="002E7D1A">
      <w:pPr>
        <w:rPr>
          <w:color w:val="2C384A" w:themeColor="accent1"/>
        </w:rPr>
      </w:pPr>
      <w:bookmarkStart w:id="77" w:name="_Hlk168401165"/>
      <w:r w:rsidRPr="002E7D1A">
        <w:rPr>
          <w:b/>
          <w:color w:val="2C384A" w:themeColor="accent1"/>
        </w:rPr>
        <w:t xml:space="preserve">Table </w:t>
      </w:r>
      <w:r w:rsidR="00BB7046" w:rsidRPr="002E7D1A">
        <w:rPr>
          <w:b/>
          <w:color w:val="2C384A" w:themeColor="accent1"/>
        </w:rPr>
        <w:t>4</w:t>
      </w:r>
      <w:r w:rsidRPr="002E7D1A">
        <w:rPr>
          <w:b/>
          <w:color w:val="2C384A" w:themeColor="accent1"/>
        </w:rPr>
        <w:t xml:space="preserve">. </w:t>
      </w:r>
      <w:bookmarkEnd w:id="77"/>
      <w:r w:rsidRPr="002E7D1A">
        <w:rPr>
          <w:b/>
          <w:color w:val="2C384A" w:themeColor="accent1"/>
        </w:rPr>
        <w:t xml:space="preserve">Regulatory </w:t>
      </w:r>
      <w:r w:rsidR="00AC4DD0" w:rsidRPr="002E7D1A">
        <w:rPr>
          <w:b/>
          <w:color w:val="2C384A" w:themeColor="accent1"/>
        </w:rPr>
        <w:t xml:space="preserve">cost </w:t>
      </w:r>
      <w:r w:rsidRPr="002E7D1A">
        <w:rPr>
          <w:b/>
          <w:color w:val="2C384A" w:themeColor="accent1"/>
        </w:rPr>
        <w:t xml:space="preserve">estimate </w:t>
      </w:r>
      <w:r w:rsidR="00A068DA" w:rsidRPr="002E7D1A">
        <w:rPr>
          <w:b/>
          <w:color w:val="2C384A" w:themeColor="accent1"/>
        </w:rPr>
        <w:t xml:space="preserve">– </w:t>
      </w:r>
      <w:r w:rsidRPr="002E7D1A">
        <w:rPr>
          <w:b/>
          <w:color w:val="2C384A" w:themeColor="accent1"/>
        </w:rPr>
        <w:t xml:space="preserve">Option 2 </w:t>
      </w:r>
    </w:p>
    <w:tbl>
      <w:tblPr>
        <w:tblStyle w:val="TableGrid"/>
        <w:tblW w:w="5000" w:type="pct"/>
        <w:tblBorders>
          <w:bottom w:val="single" w:sz="18" w:space="0" w:color="auto"/>
          <w:insideH w:val="single" w:sz="4" w:space="0" w:color="auto"/>
        </w:tblBorders>
        <w:tblLayout w:type="fixed"/>
        <w:tblLook w:val="04A0" w:firstRow="1" w:lastRow="0" w:firstColumn="1" w:lastColumn="0" w:noHBand="0" w:noVBand="1"/>
      </w:tblPr>
      <w:tblGrid>
        <w:gridCol w:w="1806"/>
        <w:gridCol w:w="1805"/>
        <w:gridCol w:w="1805"/>
        <w:gridCol w:w="1805"/>
        <w:gridCol w:w="1805"/>
      </w:tblGrid>
      <w:tr w:rsidR="00983A79" w:rsidRPr="007D6633" w14:paraId="5710FD1D" w14:textId="77777777" w:rsidTr="003E5F58">
        <w:trPr>
          <w:cnfStyle w:val="100000000000" w:firstRow="1" w:lastRow="0" w:firstColumn="0" w:lastColumn="0" w:oddVBand="0" w:evenVBand="0" w:oddHBand="0" w:evenHBand="0" w:firstRowFirstColumn="0" w:firstRowLastColumn="0" w:lastRowFirstColumn="0" w:lastRowLastColumn="0"/>
        </w:trPr>
        <w:tc>
          <w:tcPr>
            <w:tcW w:w="1000" w:type="pct"/>
            <w:shd w:val="clear" w:color="auto" w:fill="2C384A" w:themeFill="accent1"/>
          </w:tcPr>
          <w:p w14:paraId="12A7736B" w14:textId="77777777" w:rsidR="00947E3E" w:rsidRPr="00B67035" w:rsidRDefault="00947E3E">
            <w:pPr>
              <w:pStyle w:val="Bullet"/>
              <w:keepNext/>
              <w:numPr>
                <w:ilvl w:val="0"/>
                <w:numId w:val="0"/>
              </w:numPr>
              <w:spacing w:line="240" w:lineRule="auto"/>
              <w:rPr>
                <w:color w:val="FFFFFF" w:themeColor="background1"/>
              </w:rPr>
            </w:pPr>
            <w:r w:rsidRPr="00B67035">
              <w:rPr>
                <w:color w:val="FFFFFF" w:themeColor="background1"/>
              </w:rPr>
              <w:t xml:space="preserve">Change in costs </w:t>
            </w:r>
            <w:r w:rsidRPr="00B67035">
              <w:rPr>
                <w:color w:val="FFFFFF" w:themeColor="background1"/>
              </w:rPr>
              <w:br/>
              <w:t>($ million)</w:t>
            </w:r>
          </w:p>
        </w:tc>
        <w:tc>
          <w:tcPr>
            <w:tcW w:w="1000" w:type="pct"/>
            <w:shd w:val="clear" w:color="auto" w:fill="2C384A" w:themeFill="accent1"/>
          </w:tcPr>
          <w:p w14:paraId="3D039AA6" w14:textId="77777777" w:rsidR="00947E3E" w:rsidRPr="00B67035" w:rsidRDefault="00947E3E">
            <w:pPr>
              <w:pStyle w:val="Bullet"/>
              <w:keepNext/>
              <w:numPr>
                <w:ilvl w:val="0"/>
                <w:numId w:val="0"/>
              </w:numPr>
              <w:spacing w:line="240" w:lineRule="auto"/>
              <w:rPr>
                <w:color w:val="FFFFFF" w:themeColor="background1"/>
              </w:rPr>
            </w:pPr>
            <w:r w:rsidRPr="00B67035">
              <w:rPr>
                <w:color w:val="FFFFFF" w:themeColor="background1"/>
              </w:rPr>
              <w:t>Business</w:t>
            </w:r>
          </w:p>
        </w:tc>
        <w:tc>
          <w:tcPr>
            <w:tcW w:w="1000" w:type="pct"/>
            <w:shd w:val="clear" w:color="auto" w:fill="2C384A" w:themeFill="accent1"/>
          </w:tcPr>
          <w:p w14:paraId="4E50B6C8" w14:textId="77777777" w:rsidR="00947E3E" w:rsidRPr="00B67035" w:rsidRDefault="00947E3E">
            <w:pPr>
              <w:pStyle w:val="Bullet"/>
              <w:keepNext/>
              <w:numPr>
                <w:ilvl w:val="0"/>
                <w:numId w:val="0"/>
              </w:numPr>
              <w:spacing w:line="240" w:lineRule="auto"/>
              <w:rPr>
                <w:color w:val="FFFFFF" w:themeColor="background1"/>
              </w:rPr>
            </w:pPr>
            <w:r w:rsidRPr="00B67035">
              <w:rPr>
                <w:color w:val="FFFFFF" w:themeColor="background1"/>
              </w:rPr>
              <w:t>Community organisations</w:t>
            </w:r>
          </w:p>
        </w:tc>
        <w:tc>
          <w:tcPr>
            <w:tcW w:w="1000" w:type="pct"/>
            <w:shd w:val="clear" w:color="auto" w:fill="2C384A" w:themeFill="accent1"/>
          </w:tcPr>
          <w:p w14:paraId="098106C1" w14:textId="77777777" w:rsidR="00947E3E" w:rsidRPr="00B67035" w:rsidRDefault="00947E3E">
            <w:pPr>
              <w:pStyle w:val="Bullet"/>
              <w:keepNext/>
              <w:numPr>
                <w:ilvl w:val="0"/>
                <w:numId w:val="0"/>
              </w:numPr>
              <w:spacing w:line="240" w:lineRule="auto"/>
              <w:ind w:left="520" w:hanging="520"/>
              <w:rPr>
                <w:color w:val="FFFFFF" w:themeColor="background1"/>
              </w:rPr>
            </w:pPr>
            <w:r w:rsidRPr="00B67035">
              <w:rPr>
                <w:color w:val="FFFFFF" w:themeColor="background1"/>
              </w:rPr>
              <w:t>Individuals</w:t>
            </w:r>
          </w:p>
        </w:tc>
        <w:tc>
          <w:tcPr>
            <w:tcW w:w="1000" w:type="pct"/>
            <w:shd w:val="clear" w:color="auto" w:fill="2C384A" w:themeFill="accent1"/>
          </w:tcPr>
          <w:p w14:paraId="35ECC366" w14:textId="6D99C75E" w:rsidR="00947E3E" w:rsidRPr="00B67035" w:rsidRDefault="00947E3E">
            <w:pPr>
              <w:pStyle w:val="Bullet"/>
              <w:keepNext/>
              <w:numPr>
                <w:ilvl w:val="0"/>
                <w:numId w:val="0"/>
              </w:numPr>
              <w:spacing w:line="240" w:lineRule="auto"/>
              <w:rPr>
                <w:color w:val="FFFFFF" w:themeColor="background1"/>
              </w:rPr>
            </w:pPr>
            <w:r w:rsidRPr="00B67035">
              <w:rPr>
                <w:color w:val="FFFFFF" w:themeColor="background1"/>
              </w:rPr>
              <w:t>Total change in costs</w:t>
            </w:r>
            <w:r w:rsidR="00E647E8" w:rsidRPr="00B67035">
              <w:rPr>
                <w:color w:val="FFFFFF" w:themeColor="background1"/>
              </w:rPr>
              <w:t xml:space="preserve"> (annual)</w:t>
            </w:r>
          </w:p>
        </w:tc>
      </w:tr>
      <w:tr w:rsidR="00947E3E" w:rsidRPr="007D6633" w14:paraId="73FAC63F" w14:textId="77777777" w:rsidTr="00DF7BDA">
        <w:tc>
          <w:tcPr>
            <w:tcW w:w="1000" w:type="pct"/>
          </w:tcPr>
          <w:p w14:paraId="41CB324D" w14:textId="77777777" w:rsidR="00947E3E" w:rsidRPr="00C419C5" w:rsidRDefault="00947E3E">
            <w:pPr>
              <w:pStyle w:val="Bullet"/>
              <w:numPr>
                <w:ilvl w:val="0"/>
                <w:numId w:val="0"/>
              </w:numPr>
              <w:spacing w:line="240" w:lineRule="auto"/>
              <w:ind w:left="520" w:hanging="520"/>
              <w:rPr>
                <w:rFonts w:asciiTheme="minorHAnsi" w:hAnsiTheme="minorHAnsi" w:cstheme="minorHAnsi"/>
                <w:sz w:val="20"/>
              </w:rPr>
            </w:pPr>
            <w:r w:rsidRPr="00C419C5">
              <w:rPr>
                <w:rFonts w:asciiTheme="minorHAnsi" w:hAnsiTheme="minorHAnsi" w:cstheme="minorHAnsi"/>
                <w:sz w:val="20"/>
              </w:rPr>
              <w:t>Total, by sector</w:t>
            </w:r>
          </w:p>
        </w:tc>
        <w:tc>
          <w:tcPr>
            <w:tcW w:w="1000" w:type="pct"/>
          </w:tcPr>
          <w:p w14:paraId="2B559BFA" w14:textId="06352C7A" w:rsidR="00947E3E" w:rsidRPr="00A46FEB" w:rsidRDefault="00947E3E">
            <w:pPr>
              <w:pStyle w:val="Bullet"/>
              <w:numPr>
                <w:ilvl w:val="0"/>
                <w:numId w:val="0"/>
              </w:numPr>
              <w:spacing w:line="240" w:lineRule="auto"/>
              <w:rPr>
                <w:rFonts w:asciiTheme="minorHAnsi" w:hAnsiTheme="minorHAnsi" w:cstheme="minorHAnsi"/>
                <w:sz w:val="20"/>
              </w:rPr>
            </w:pPr>
            <w:r w:rsidRPr="00A46FEB">
              <w:rPr>
                <w:rFonts w:asciiTheme="minorHAnsi" w:hAnsiTheme="minorHAnsi" w:cstheme="minorHAnsi"/>
                <w:sz w:val="20"/>
              </w:rPr>
              <w:t>$</w:t>
            </w:r>
            <w:r w:rsidR="005D6DBA" w:rsidRPr="00A46FEB">
              <w:rPr>
                <w:rFonts w:asciiTheme="minorHAnsi" w:hAnsiTheme="minorHAnsi" w:cstheme="minorHAnsi"/>
                <w:sz w:val="20"/>
              </w:rPr>
              <w:t>10.8</w:t>
            </w:r>
          </w:p>
        </w:tc>
        <w:tc>
          <w:tcPr>
            <w:tcW w:w="1000" w:type="pct"/>
          </w:tcPr>
          <w:p w14:paraId="0E4D7DCC" w14:textId="77777777" w:rsidR="00947E3E" w:rsidRPr="00A46FEB" w:rsidRDefault="00947E3E">
            <w:pPr>
              <w:pStyle w:val="Bullet"/>
              <w:numPr>
                <w:ilvl w:val="0"/>
                <w:numId w:val="0"/>
              </w:numPr>
              <w:spacing w:line="240" w:lineRule="auto"/>
              <w:ind w:left="520" w:hanging="520"/>
              <w:rPr>
                <w:rFonts w:asciiTheme="minorHAnsi" w:hAnsiTheme="minorHAnsi" w:cstheme="minorHAnsi"/>
                <w:sz w:val="20"/>
              </w:rPr>
            </w:pPr>
            <w:r w:rsidRPr="00A46FEB">
              <w:rPr>
                <w:rFonts w:asciiTheme="minorHAnsi" w:hAnsiTheme="minorHAnsi" w:cstheme="minorHAnsi"/>
                <w:sz w:val="20"/>
              </w:rPr>
              <w:t>$ NIL</w:t>
            </w:r>
          </w:p>
        </w:tc>
        <w:tc>
          <w:tcPr>
            <w:tcW w:w="1000" w:type="pct"/>
          </w:tcPr>
          <w:p w14:paraId="4DDFA285" w14:textId="77777777" w:rsidR="00947E3E" w:rsidRPr="00A46FEB" w:rsidRDefault="00947E3E">
            <w:pPr>
              <w:pStyle w:val="Bullet"/>
              <w:numPr>
                <w:ilvl w:val="0"/>
                <w:numId w:val="0"/>
              </w:numPr>
              <w:spacing w:line="240" w:lineRule="auto"/>
              <w:ind w:left="520" w:hanging="520"/>
              <w:rPr>
                <w:rFonts w:asciiTheme="minorHAnsi" w:hAnsiTheme="minorHAnsi" w:cstheme="minorHAnsi"/>
                <w:sz w:val="20"/>
              </w:rPr>
            </w:pPr>
            <w:r w:rsidRPr="00A46FEB">
              <w:rPr>
                <w:rFonts w:asciiTheme="minorHAnsi" w:hAnsiTheme="minorHAnsi" w:cstheme="minorHAnsi"/>
                <w:sz w:val="20"/>
              </w:rPr>
              <w:t>$ NIL</w:t>
            </w:r>
          </w:p>
        </w:tc>
        <w:tc>
          <w:tcPr>
            <w:tcW w:w="1000" w:type="pct"/>
          </w:tcPr>
          <w:p w14:paraId="176AB6FD" w14:textId="4E3DDFA8" w:rsidR="00947E3E" w:rsidRPr="00A46FEB" w:rsidRDefault="00947E3E">
            <w:pPr>
              <w:pStyle w:val="Bullet"/>
              <w:numPr>
                <w:ilvl w:val="0"/>
                <w:numId w:val="0"/>
              </w:numPr>
              <w:spacing w:line="240" w:lineRule="auto"/>
              <w:ind w:left="520" w:hanging="520"/>
              <w:rPr>
                <w:rFonts w:asciiTheme="minorHAnsi" w:hAnsiTheme="minorHAnsi" w:cstheme="minorHAnsi"/>
                <w:sz w:val="20"/>
              </w:rPr>
            </w:pPr>
            <w:r w:rsidRPr="00A46FEB">
              <w:rPr>
                <w:rFonts w:asciiTheme="minorHAnsi" w:hAnsiTheme="minorHAnsi" w:cstheme="minorHAnsi"/>
                <w:sz w:val="20"/>
              </w:rPr>
              <w:t>$</w:t>
            </w:r>
            <w:r w:rsidR="005D6DBA" w:rsidRPr="00A46FEB">
              <w:rPr>
                <w:rFonts w:asciiTheme="minorHAnsi" w:hAnsiTheme="minorHAnsi" w:cstheme="minorHAnsi"/>
                <w:sz w:val="20"/>
              </w:rPr>
              <w:t>10.8</w:t>
            </w:r>
          </w:p>
        </w:tc>
      </w:tr>
    </w:tbl>
    <w:p w14:paraId="0C47CBAB" w14:textId="77777777" w:rsidR="002572DE" w:rsidRDefault="002572DE" w:rsidP="00D92104">
      <w:pPr>
        <w:rPr>
          <w:rFonts w:cstheme="minorHAnsi"/>
        </w:rPr>
      </w:pPr>
    </w:p>
    <w:p w14:paraId="673B0C5E" w14:textId="5BAA5E7F" w:rsidR="00C64A68" w:rsidRDefault="00024B86" w:rsidP="00D92104">
      <w:r>
        <w:rPr>
          <w:rFonts w:cstheme="minorHAnsi"/>
        </w:rPr>
        <w:t>T</w:t>
      </w:r>
      <w:r w:rsidR="00803C31">
        <w:rPr>
          <w:rFonts w:cstheme="minorHAnsi"/>
        </w:rPr>
        <w:t xml:space="preserve">he </w:t>
      </w:r>
      <w:r w:rsidR="008F2E2D">
        <w:rPr>
          <w:rFonts w:cstheme="minorHAnsi"/>
        </w:rPr>
        <w:t>regulatory cost estimate</w:t>
      </w:r>
      <w:r w:rsidR="00754389">
        <w:rPr>
          <w:rFonts w:cstheme="minorHAnsi"/>
        </w:rPr>
        <w:t xml:space="preserve"> is sensitive to </w:t>
      </w:r>
      <w:r w:rsidR="004F7C5F">
        <w:rPr>
          <w:rFonts w:cstheme="minorHAnsi"/>
        </w:rPr>
        <w:t xml:space="preserve">the </w:t>
      </w:r>
      <w:r w:rsidR="00073B45">
        <w:t>number of mergers reviewed</w:t>
      </w:r>
      <w:r w:rsidR="00073B45">
        <w:rPr>
          <w:rFonts w:cstheme="minorHAnsi"/>
        </w:rPr>
        <w:t xml:space="preserve">. </w:t>
      </w:r>
      <w:r w:rsidR="002228D8">
        <w:rPr>
          <w:rFonts w:cstheme="minorHAnsi"/>
        </w:rPr>
        <w:t xml:space="preserve">As outlined in Question 3 above, </w:t>
      </w:r>
      <w:r w:rsidR="002228D8" w:rsidRPr="0057260B">
        <w:rPr>
          <w:rFonts w:cstheme="minorHAnsi"/>
        </w:rPr>
        <w:t xml:space="preserve">the </w:t>
      </w:r>
      <w:r w:rsidR="005C6276">
        <w:rPr>
          <w:rFonts w:cstheme="minorHAnsi"/>
        </w:rPr>
        <w:t xml:space="preserve">notification </w:t>
      </w:r>
      <w:r w:rsidR="002228D8" w:rsidRPr="0057260B">
        <w:rPr>
          <w:rFonts w:cstheme="minorHAnsi"/>
        </w:rPr>
        <w:t>thresholds are expected to average an overall volume of mandatory notifications similar to current volumes, with around 300 to 500 annual notifications projected using existing available data.</w:t>
      </w:r>
      <w:r w:rsidR="002228D8">
        <w:rPr>
          <w:rFonts w:cstheme="minorHAnsi"/>
        </w:rPr>
        <w:t xml:space="preserve"> </w:t>
      </w:r>
      <w:r w:rsidR="00261847">
        <w:rPr>
          <w:rFonts w:cstheme="minorHAnsi"/>
        </w:rPr>
        <w:t>However, t</w:t>
      </w:r>
      <w:r w:rsidR="00C64A68">
        <w:t>hese projected number of notifications are subject to a substantial margin of error. This reflects limitations in the available historical data, which is partly the result of the limited visibility of merger activity that Australia’s voluntary notification system has provided to date. In particular, the data relied upon in our projected notifications are incomplete, and do not fully cover acquisitions of, for example, patents, land or minority interests.</w:t>
      </w:r>
      <w:r w:rsidR="00255B03">
        <w:t xml:space="preserve"> The substantial margin of error in projected notifications also reflects the uncertainty in future merger activity in Australia, which will depend greatly on underlying market conditions that are difficult to predict even a year in advance. Moreover, there may be additional transactions that parties choose to voluntarily notify even when not required to do so by the </w:t>
      </w:r>
      <w:r w:rsidR="00503561">
        <w:t xml:space="preserve">notification </w:t>
      </w:r>
      <w:r w:rsidR="00255B03">
        <w:t>thresholds.</w:t>
      </w:r>
    </w:p>
    <w:p w14:paraId="1B573DDF" w14:textId="0547D4AF" w:rsidR="0054688E" w:rsidRDefault="0054688E" w:rsidP="00D92104">
      <w:r>
        <w:t>Taking</w:t>
      </w:r>
      <w:r w:rsidR="009F74C3">
        <w:t xml:space="preserve"> the above limitations</w:t>
      </w:r>
      <w:r w:rsidR="00F30893">
        <w:t xml:space="preserve"> with projected number </w:t>
      </w:r>
      <w:r w:rsidR="009E6DFC">
        <w:t>of notifications</w:t>
      </w:r>
      <w:r w:rsidR="009F74C3">
        <w:t xml:space="preserve"> into account, </w:t>
      </w:r>
      <w:r w:rsidR="009E6DFC">
        <w:t xml:space="preserve">if the assumed number of </w:t>
      </w:r>
      <w:r w:rsidR="00622259">
        <w:t>mergers are 500</w:t>
      </w:r>
      <w:r w:rsidR="001B73ED">
        <w:t xml:space="preserve"> notifications per year</w:t>
      </w:r>
      <w:r w:rsidR="00622259">
        <w:t xml:space="preserve">, the </w:t>
      </w:r>
      <w:r w:rsidR="0028255B">
        <w:t xml:space="preserve">estimated total cost </w:t>
      </w:r>
      <w:r w:rsidR="006D1FA1">
        <w:t xml:space="preserve">would be </w:t>
      </w:r>
      <w:r w:rsidR="00104A43">
        <w:t>$267 million</w:t>
      </w:r>
      <w:r w:rsidR="00C663E9">
        <w:t xml:space="preserve"> (</w:t>
      </w:r>
      <w:r w:rsidR="003052D7">
        <w:t>a</w:t>
      </w:r>
      <w:r w:rsidR="007849D8">
        <w:t>n</w:t>
      </w:r>
      <w:r w:rsidR="00D042A1">
        <w:t xml:space="preserve"> </w:t>
      </w:r>
      <w:r w:rsidR="003052D7">
        <w:t xml:space="preserve">increase of </w:t>
      </w:r>
      <w:r w:rsidR="003D1047">
        <w:t>$96 million</w:t>
      </w:r>
      <w:r w:rsidR="003052D7">
        <w:t xml:space="preserve"> from </w:t>
      </w:r>
      <w:r w:rsidR="00A708F0">
        <w:t xml:space="preserve">the estimated total cost of </w:t>
      </w:r>
      <w:r w:rsidR="00005CBA">
        <w:t xml:space="preserve">$171 million for </w:t>
      </w:r>
      <w:r w:rsidR="003052D7">
        <w:t>300 notifications</w:t>
      </w:r>
      <w:r w:rsidR="00005CBA">
        <w:t>).</w:t>
      </w:r>
      <w:r w:rsidR="006D1FA1">
        <w:t xml:space="preserve"> </w:t>
      </w:r>
      <w:r w:rsidR="009F74C3">
        <w:t xml:space="preserve"> </w:t>
      </w:r>
    </w:p>
    <w:p w14:paraId="3D9CFBE0" w14:textId="1E9F7AE9" w:rsidR="0073183C" w:rsidRDefault="00D92104" w:rsidP="00D92104">
      <w:r>
        <w:t xml:space="preserve">Treasury has given consideration to non-regulatory costs (such as impacts merger control may have on cost of funds </w:t>
      </w:r>
      <w:r w:rsidR="00FC6EF5">
        <w:t>or finance options for merger parties)</w:t>
      </w:r>
      <w:r w:rsidR="00DB1789">
        <w:t>.</w:t>
      </w:r>
      <w:r w:rsidR="00FC6EF5">
        <w:t xml:space="preserve"> </w:t>
      </w:r>
      <w:r w:rsidR="00DB1789">
        <w:t>H</w:t>
      </w:r>
      <w:r w:rsidR="00FC6EF5">
        <w:t>owever</w:t>
      </w:r>
      <w:r w:rsidR="00DB1789">
        <w:t>,</w:t>
      </w:r>
      <w:r w:rsidR="00FC6EF5">
        <w:t xml:space="preserve"> </w:t>
      </w:r>
      <w:r w:rsidR="0010647A">
        <w:t xml:space="preserve">it is </w:t>
      </w:r>
      <w:r w:rsidR="00FC6EF5">
        <w:t>consider</w:t>
      </w:r>
      <w:r w:rsidR="0010647A">
        <w:t>ed that</w:t>
      </w:r>
      <w:r w:rsidR="00FC6EF5">
        <w:t xml:space="preserve"> they will not have meaningful </w:t>
      </w:r>
      <w:r w:rsidR="007721F9">
        <w:t xml:space="preserve">detrimental </w:t>
      </w:r>
      <w:r w:rsidR="00852253">
        <w:t xml:space="preserve">impacts compared to the status quo. </w:t>
      </w:r>
    </w:p>
    <w:p w14:paraId="769463E2" w14:textId="3A071AD4" w:rsidR="00947E3E" w:rsidRDefault="00947E3E" w:rsidP="002E7D1A">
      <w:pPr>
        <w:pStyle w:val="Heading3"/>
        <w:spacing w:after="120" w:line="240" w:lineRule="auto"/>
      </w:pPr>
      <w:bookmarkStart w:id="78" w:name="_Toc176972375"/>
      <w:r>
        <w:t>Net Benefit</w:t>
      </w:r>
      <w:bookmarkEnd w:id="78"/>
    </w:p>
    <w:p w14:paraId="4B597E29" w14:textId="77777777" w:rsidR="008E32B1" w:rsidRDefault="00947E3E" w:rsidP="00947E3E">
      <w:pPr>
        <w:spacing w:line="240" w:lineRule="auto"/>
        <w:rPr>
          <w:rFonts w:cstheme="minorHAnsi"/>
        </w:rPr>
      </w:pPr>
      <w:r>
        <w:rPr>
          <w:rFonts w:cstheme="minorHAnsi"/>
        </w:rPr>
        <w:t xml:space="preserve">Option 2 generates significant benefits by preventing </w:t>
      </w:r>
      <w:r w:rsidRPr="00F75CF2">
        <w:rPr>
          <w:rFonts w:cstheme="minorHAnsi"/>
        </w:rPr>
        <w:t xml:space="preserve">competition from being eroded and </w:t>
      </w:r>
      <w:r>
        <w:rPr>
          <w:rFonts w:cstheme="minorHAnsi"/>
        </w:rPr>
        <w:t>providing</w:t>
      </w:r>
      <w:r w:rsidRPr="00F75CF2">
        <w:rPr>
          <w:rFonts w:cstheme="minorHAnsi"/>
        </w:rPr>
        <w:t xml:space="preserve"> better outcomes for consumers and businesses</w:t>
      </w:r>
      <w:r>
        <w:rPr>
          <w:rFonts w:cstheme="minorHAnsi"/>
        </w:rPr>
        <w:t>; reducing the</w:t>
      </w:r>
      <w:r w:rsidRPr="00F75CF2">
        <w:rPr>
          <w:rFonts w:cstheme="minorHAnsi"/>
        </w:rPr>
        <w:t xml:space="preserve"> cost of delays through shorter and more certain timelines</w:t>
      </w:r>
      <w:r>
        <w:rPr>
          <w:rFonts w:cstheme="minorHAnsi"/>
        </w:rPr>
        <w:t xml:space="preserve">; making the system more risk-based; </w:t>
      </w:r>
      <w:r w:rsidR="00A27E7B">
        <w:rPr>
          <w:rFonts w:cstheme="minorHAnsi"/>
        </w:rPr>
        <w:t xml:space="preserve">and </w:t>
      </w:r>
      <w:r>
        <w:rPr>
          <w:rFonts w:cstheme="minorHAnsi"/>
        </w:rPr>
        <w:t xml:space="preserve">increasing transparency. </w:t>
      </w:r>
    </w:p>
    <w:p w14:paraId="0BDF6642" w14:textId="5C880137" w:rsidR="00E62309" w:rsidRPr="00B943FA" w:rsidRDefault="00947E3E" w:rsidP="00E62309">
      <w:pPr>
        <w:spacing w:line="240" w:lineRule="auto"/>
      </w:pPr>
      <w:r>
        <w:rPr>
          <w:rFonts w:cstheme="minorHAnsi"/>
        </w:rPr>
        <w:t xml:space="preserve">These benefits are not able to be quantified in dollar terms, but are significant, with </w:t>
      </w:r>
      <w:r>
        <w:t>estimates</w:t>
      </w:r>
      <w:r w:rsidRPr="00E82F0E">
        <w:t xml:space="preserve"> that Australia’s GDP could be 1-3 per cent higher </w:t>
      </w:r>
      <w:r>
        <w:t xml:space="preserve">from stronger levels of competition. </w:t>
      </w:r>
      <w:r w:rsidR="00AB3AED">
        <w:t>In today’s dollars, that is approximately $30-80 billion each and every year</w:t>
      </w:r>
      <w:r w:rsidR="00C54600">
        <w:t xml:space="preserve"> (although as noted above, merger control is not the only variable which affects competition)</w:t>
      </w:r>
      <w:r w:rsidR="00AB3AED">
        <w:t>.</w:t>
      </w:r>
      <w:r w:rsidR="00716811">
        <w:rPr>
          <w:rStyle w:val="FootnoteReference"/>
        </w:rPr>
        <w:footnoteReference w:id="81"/>
      </w:r>
      <w:r>
        <w:t xml:space="preserve"> </w:t>
      </w:r>
      <w:r w:rsidR="00E62309">
        <w:t xml:space="preserve">Applying </w:t>
      </w:r>
      <w:r w:rsidR="00E62309" w:rsidRPr="008C2373">
        <w:t xml:space="preserve">overseas estimates of the benefits gained </w:t>
      </w:r>
      <w:r w:rsidR="00E62309">
        <w:t xml:space="preserve">from effective and efficient </w:t>
      </w:r>
      <w:r w:rsidR="00E62309" w:rsidRPr="00B943FA">
        <w:t xml:space="preserve">merger control (adjusted for the size of the Australian economy) </w:t>
      </w:r>
      <w:r w:rsidR="00584D40" w:rsidRPr="00B943FA">
        <w:t xml:space="preserve">implies </w:t>
      </w:r>
      <w:r w:rsidR="00E62309" w:rsidRPr="00B943FA">
        <w:t>benefits of $</w:t>
      </w:r>
      <w:r w:rsidR="00A35CC0" w:rsidRPr="00B943FA">
        <w:t>340</w:t>
      </w:r>
      <w:r w:rsidR="000D3824" w:rsidRPr="00B943FA">
        <w:t>-</w:t>
      </w:r>
      <w:r w:rsidR="00FE3250" w:rsidRPr="00B943FA">
        <w:t>732</w:t>
      </w:r>
      <w:r w:rsidR="00E62309" w:rsidRPr="00B943FA">
        <w:t xml:space="preserve"> million per year</w:t>
      </w:r>
      <w:r w:rsidR="00E43BDD" w:rsidRPr="00B943FA">
        <w:t xml:space="preserve"> (although, as noted above, some measure of this benefit is already achieved under the status quo)</w:t>
      </w:r>
      <w:r w:rsidR="00802C6C" w:rsidRPr="00B943FA">
        <w:t xml:space="preserve">. Both measures are </w:t>
      </w:r>
      <w:r w:rsidR="00E62309" w:rsidRPr="00B943FA">
        <w:t xml:space="preserve">well in excess of the estimated </w:t>
      </w:r>
      <w:r w:rsidR="00517D21" w:rsidRPr="00B943FA">
        <w:t xml:space="preserve">total </w:t>
      </w:r>
      <w:r w:rsidR="00E62309" w:rsidRPr="00B943FA">
        <w:t xml:space="preserve">cost of </w:t>
      </w:r>
      <w:r w:rsidR="00517D21" w:rsidRPr="00B943FA">
        <w:t>Option 2 of</w:t>
      </w:r>
      <w:r w:rsidR="00984D01" w:rsidRPr="00B943FA">
        <w:t xml:space="preserve"> </w:t>
      </w:r>
      <w:r w:rsidR="00E62309" w:rsidRPr="00B943FA">
        <w:t>$</w:t>
      </w:r>
      <w:r w:rsidR="00590F07" w:rsidRPr="00B943FA">
        <w:t>171</w:t>
      </w:r>
      <w:r w:rsidR="00E62309" w:rsidRPr="00B943FA">
        <w:t xml:space="preserve"> million. </w:t>
      </w:r>
    </w:p>
    <w:p w14:paraId="6FAA983B" w14:textId="62974485" w:rsidR="009A7080" w:rsidRDefault="001F6253" w:rsidP="00941449">
      <w:pPr>
        <w:spacing w:line="240" w:lineRule="auto"/>
      </w:pPr>
      <w:r w:rsidRPr="00B943FA">
        <w:t>Additionally, c</w:t>
      </w:r>
      <w:r w:rsidR="00EC3FE7" w:rsidRPr="00B943FA">
        <w:t>ompared to the status quo</w:t>
      </w:r>
      <w:r w:rsidR="0086007B" w:rsidRPr="00B943FA">
        <w:t xml:space="preserve"> (which Treasury estimates to have a total annual cost of $</w:t>
      </w:r>
      <w:r w:rsidR="00846D7E" w:rsidRPr="00B943FA">
        <w:t>160.2</w:t>
      </w:r>
      <w:r w:rsidR="0086007B" w:rsidRPr="00B943FA">
        <w:t xml:space="preserve"> million)</w:t>
      </w:r>
      <w:r w:rsidR="00EC3FE7" w:rsidRPr="00B943FA">
        <w:t>, the incremental benefits will also outweigh the incremental costs</w:t>
      </w:r>
      <w:r w:rsidR="006D5C44" w:rsidRPr="00B943FA">
        <w:t>, which Treasury estimates to be $</w:t>
      </w:r>
      <w:r w:rsidR="00846D7E" w:rsidRPr="00B943FA">
        <w:t>10.8</w:t>
      </w:r>
      <w:r w:rsidR="006D5C44" w:rsidRPr="00B943FA">
        <w:t xml:space="preserve"> million </w:t>
      </w:r>
      <w:r w:rsidR="00FB3972" w:rsidRPr="00B943FA">
        <w:t>per annum</w:t>
      </w:r>
      <w:r w:rsidR="00A664D9" w:rsidRPr="00B943FA">
        <w:t>.</w:t>
      </w:r>
      <w:r w:rsidR="00EC3FE7" w:rsidRPr="00B943FA">
        <w:t xml:space="preserve"> </w:t>
      </w:r>
      <w:r w:rsidR="0013358B" w:rsidRPr="00B943FA">
        <w:t xml:space="preserve">For </w:t>
      </w:r>
      <w:r w:rsidR="00B52EDC" w:rsidRPr="00B943FA">
        <w:t xml:space="preserve">a net benefit to </w:t>
      </w:r>
      <w:r w:rsidR="0013358B" w:rsidRPr="00B943FA">
        <w:t xml:space="preserve">occur, the system under Option 2 only needs to prevent </w:t>
      </w:r>
      <w:r w:rsidR="0070057C" w:rsidRPr="00B943FA">
        <w:t>one</w:t>
      </w:r>
      <w:r w:rsidR="0013358B" w:rsidRPr="00B943FA">
        <w:t xml:space="preserve"> additional merger that results in a 5 </w:t>
      </w:r>
      <w:r w:rsidR="000C1FF0" w:rsidRPr="00B943FA">
        <w:t>per cent</w:t>
      </w:r>
      <w:r w:rsidR="0013358B" w:rsidRPr="00B943FA">
        <w:t xml:space="preserve"> price rise </w:t>
      </w:r>
      <w:r w:rsidR="00A06D34" w:rsidRPr="00B943FA">
        <w:t>in a market the size of $</w:t>
      </w:r>
      <w:r w:rsidR="002307FE" w:rsidRPr="00B943FA">
        <w:t xml:space="preserve">200 </w:t>
      </w:r>
      <w:r w:rsidR="00A06D34" w:rsidRPr="00B943FA">
        <w:t xml:space="preserve">million </w:t>
      </w:r>
      <w:r w:rsidR="0013358B" w:rsidRPr="00B943FA">
        <w:t xml:space="preserve">that </w:t>
      </w:r>
      <w:r w:rsidR="00B52EDC" w:rsidRPr="00B943FA">
        <w:t>endures</w:t>
      </w:r>
      <w:r w:rsidR="0013358B" w:rsidRPr="00B943FA">
        <w:t xml:space="preserve"> for </w:t>
      </w:r>
      <w:r w:rsidR="002307FE" w:rsidRPr="00B943FA">
        <w:t xml:space="preserve">a </w:t>
      </w:r>
      <w:r w:rsidR="0013358B" w:rsidRPr="00B943FA">
        <w:t>year</w:t>
      </w:r>
      <w:r w:rsidR="00792020" w:rsidRPr="00B943FA">
        <w:t xml:space="preserve"> (</w:t>
      </w:r>
      <w:r w:rsidR="004A63A5" w:rsidRPr="00B943FA">
        <w:t xml:space="preserve">which Treasury estimates would </w:t>
      </w:r>
      <w:r w:rsidR="007D5FB5" w:rsidRPr="00B943FA">
        <w:t>be associated with harm of $10 million)</w:t>
      </w:r>
      <w:r w:rsidR="00A06D34" w:rsidRPr="00B943FA">
        <w:t>.</w:t>
      </w:r>
      <w:r w:rsidR="007D5FB5" w:rsidRPr="00B943FA">
        <w:rPr>
          <w:rStyle w:val="FootnoteReference"/>
        </w:rPr>
        <w:footnoteReference w:id="82"/>
      </w:r>
      <w:r w:rsidR="00A06D34" w:rsidRPr="00B943FA">
        <w:t xml:space="preserve"> </w:t>
      </w:r>
      <w:r w:rsidR="009E633C" w:rsidRPr="00B943FA">
        <w:t xml:space="preserve">Treasury considers there to be </w:t>
      </w:r>
      <w:r w:rsidR="00731051" w:rsidRPr="00B943FA">
        <w:t>significant net benefit</w:t>
      </w:r>
      <w:r w:rsidR="009E633C" w:rsidRPr="00B943FA">
        <w:t>s</w:t>
      </w:r>
      <w:r w:rsidR="00822763" w:rsidRPr="00B943FA">
        <w:t xml:space="preserve"> in Treasury’s estimation</w:t>
      </w:r>
      <w:r w:rsidR="00731051" w:rsidRPr="00B943FA">
        <w:t>.</w:t>
      </w:r>
      <w:r w:rsidR="00731051">
        <w:t xml:space="preserve"> </w:t>
      </w:r>
    </w:p>
    <w:p w14:paraId="46AF65CA" w14:textId="49272D15" w:rsidR="00947E3E" w:rsidRDefault="00947E3E" w:rsidP="00947E3E">
      <w:pPr>
        <w:pStyle w:val="Heading2"/>
        <w:spacing w:line="240" w:lineRule="auto"/>
      </w:pPr>
      <w:bookmarkStart w:id="79" w:name="_Toc176972376"/>
      <w:r>
        <w:t>Option 3</w:t>
      </w:r>
      <w:r w:rsidR="00D30496">
        <w:t xml:space="preserve"> – </w:t>
      </w:r>
      <w:r w:rsidR="00A27C7A">
        <w:t>Mandatory and suspensory</w:t>
      </w:r>
      <w:r>
        <w:t xml:space="preserve"> administrative </w:t>
      </w:r>
      <w:r w:rsidR="003524F7">
        <w:t xml:space="preserve">system with </w:t>
      </w:r>
      <w:r w:rsidR="00121C6D">
        <w:t xml:space="preserve">a </w:t>
      </w:r>
      <w:r>
        <w:t>satisfaction test</w:t>
      </w:r>
      <w:bookmarkEnd w:id="79"/>
    </w:p>
    <w:p w14:paraId="51E0C355" w14:textId="388771B3" w:rsidR="00947E3E" w:rsidRDefault="00947E3E" w:rsidP="00947E3E">
      <w:pPr>
        <w:spacing w:line="240" w:lineRule="auto"/>
      </w:pPr>
      <w:r>
        <w:t xml:space="preserve">Option 3 shares many of the same features, benefits and costs as Option 2. The principal difference between the options is the </w:t>
      </w:r>
      <w:r w:rsidR="00613F17">
        <w:t xml:space="preserve">standard </w:t>
      </w:r>
      <w:r>
        <w:t xml:space="preserve">for which mergers </w:t>
      </w:r>
      <w:r w:rsidR="00BD20F5">
        <w:t xml:space="preserve">and acquisitions </w:t>
      </w:r>
      <w:r>
        <w:t xml:space="preserve">are permitted or opposed. </w:t>
      </w:r>
    </w:p>
    <w:p w14:paraId="36B282A0" w14:textId="77777777" w:rsidR="00947E3E" w:rsidRDefault="00947E3E" w:rsidP="002E7D1A">
      <w:pPr>
        <w:pStyle w:val="Heading3"/>
        <w:spacing w:after="120" w:line="240" w:lineRule="auto"/>
      </w:pPr>
      <w:bookmarkStart w:id="80" w:name="_Toc176972377"/>
      <w:r>
        <w:t>Benefits</w:t>
      </w:r>
      <w:bookmarkEnd w:id="80"/>
    </w:p>
    <w:p w14:paraId="25F2F1D7" w14:textId="54E0DBD0" w:rsidR="00947E3E" w:rsidRDefault="00BE55CB" w:rsidP="00BE55CB">
      <w:pPr>
        <w:spacing w:line="240" w:lineRule="auto"/>
        <w:rPr>
          <w:rFonts w:cstheme="minorHAnsi"/>
        </w:rPr>
      </w:pPr>
      <w:r>
        <w:t xml:space="preserve">Option 3 is likely to </w:t>
      </w:r>
      <w:r w:rsidR="00947E3E">
        <w:t xml:space="preserve">achieve benefits similar to Option 2 </w:t>
      </w:r>
      <w:r w:rsidR="00947E3E">
        <w:rPr>
          <w:rFonts w:cstheme="minorHAnsi"/>
        </w:rPr>
        <w:t xml:space="preserve">by preventing </w:t>
      </w:r>
      <w:r w:rsidR="00947E3E" w:rsidRPr="00F75CF2">
        <w:rPr>
          <w:rFonts w:cstheme="minorHAnsi"/>
        </w:rPr>
        <w:t xml:space="preserve">competition from being eroded and </w:t>
      </w:r>
      <w:r w:rsidR="00947E3E">
        <w:rPr>
          <w:rFonts w:cstheme="minorHAnsi"/>
        </w:rPr>
        <w:t>providing</w:t>
      </w:r>
      <w:r w:rsidR="00947E3E" w:rsidRPr="00F75CF2">
        <w:rPr>
          <w:rFonts w:cstheme="minorHAnsi"/>
        </w:rPr>
        <w:t xml:space="preserve"> better outcomes for consumers and businesses</w:t>
      </w:r>
      <w:r w:rsidR="00947E3E">
        <w:rPr>
          <w:rFonts w:cstheme="minorHAnsi"/>
        </w:rPr>
        <w:t>; reducing the</w:t>
      </w:r>
      <w:r w:rsidR="00947E3E" w:rsidRPr="00F75CF2">
        <w:rPr>
          <w:rFonts w:cstheme="minorHAnsi"/>
        </w:rPr>
        <w:t xml:space="preserve"> cost of delays through shorter and more certain timelines</w:t>
      </w:r>
      <w:r w:rsidR="00947E3E">
        <w:rPr>
          <w:rFonts w:cstheme="minorHAnsi"/>
        </w:rPr>
        <w:t xml:space="preserve">; making the system more risk based and increasing transparency. </w:t>
      </w:r>
      <w:r w:rsidR="004F7C52">
        <w:rPr>
          <w:rFonts w:cstheme="minorHAnsi"/>
        </w:rPr>
        <w:t>Further, it could encourage merger parties to invest more in outlining the likely impact on competition</w:t>
      </w:r>
      <w:r w:rsidR="00684029">
        <w:rPr>
          <w:rFonts w:cstheme="minorHAnsi"/>
        </w:rPr>
        <w:t xml:space="preserve">, </w:t>
      </w:r>
      <w:r w:rsidR="001504E9">
        <w:rPr>
          <w:rFonts w:cstheme="minorHAnsi"/>
        </w:rPr>
        <w:t xml:space="preserve">potentially </w:t>
      </w:r>
      <w:r w:rsidR="00371D8A">
        <w:rPr>
          <w:rFonts w:cstheme="minorHAnsi"/>
        </w:rPr>
        <w:t>resulting in</w:t>
      </w:r>
      <w:r w:rsidR="00074771">
        <w:rPr>
          <w:rFonts w:cstheme="minorHAnsi"/>
        </w:rPr>
        <w:t xml:space="preserve"> </w:t>
      </w:r>
      <w:r w:rsidR="00802AB5">
        <w:rPr>
          <w:rFonts w:cstheme="minorHAnsi"/>
        </w:rPr>
        <w:t xml:space="preserve">even </w:t>
      </w:r>
      <w:r w:rsidR="00074771">
        <w:rPr>
          <w:rFonts w:cstheme="minorHAnsi"/>
        </w:rPr>
        <w:t xml:space="preserve">less anti-competitive mergers to proceed. </w:t>
      </w:r>
    </w:p>
    <w:p w14:paraId="743488C3" w14:textId="77777777" w:rsidR="00947E3E" w:rsidRDefault="00947E3E" w:rsidP="002E7D1A">
      <w:pPr>
        <w:pStyle w:val="Heading3"/>
        <w:spacing w:after="120" w:line="240" w:lineRule="auto"/>
      </w:pPr>
      <w:bookmarkStart w:id="81" w:name="_Toc176972378"/>
      <w:r>
        <w:t>Costs</w:t>
      </w:r>
      <w:bookmarkEnd w:id="81"/>
    </w:p>
    <w:p w14:paraId="1E6FA1DE" w14:textId="15CBA43E" w:rsidR="00947E3E" w:rsidRDefault="006757B1" w:rsidP="00947E3E">
      <w:pPr>
        <w:spacing w:line="240" w:lineRule="auto"/>
      </w:pPr>
      <w:r>
        <w:t xml:space="preserve">However, </w:t>
      </w:r>
      <w:r w:rsidR="00947E3E">
        <w:t xml:space="preserve">Option 3 alters the calculus for the benefits as it </w:t>
      </w:r>
      <w:r w:rsidR="009C1362">
        <w:t>imposes a more onerous</w:t>
      </w:r>
      <w:r w:rsidR="00983118">
        <w:t xml:space="preserve"> </w:t>
      </w:r>
      <w:r w:rsidR="00BA45CC">
        <w:t xml:space="preserve">and restrictive standard of </w:t>
      </w:r>
      <w:r w:rsidR="00983118">
        <w:t>review</w:t>
      </w:r>
      <w:r w:rsidR="008E634A">
        <w:t>,</w:t>
      </w:r>
      <w:r w:rsidR="00376EAD">
        <w:t xml:space="preserve"> </w:t>
      </w:r>
      <w:r w:rsidR="00983118">
        <w:t xml:space="preserve">increasing the </w:t>
      </w:r>
      <w:r w:rsidR="00947E3E">
        <w:t xml:space="preserve">risk </w:t>
      </w:r>
      <w:r w:rsidR="00983118">
        <w:t>of</w:t>
      </w:r>
      <w:r w:rsidR="00947E3E">
        <w:t xml:space="preserve"> a chilling effect where </w:t>
      </w:r>
      <w:r w:rsidR="00923C52">
        <w:t xml:space="preserve">more </w:t>
      </w:r>
      <w:r w:rsidR="00947E3E">
        <w:t xml:space="preserve">pro-competitive or benign mergers are deterred </w:t>
      </w:r>
      <w:r w:rsidR="00983118">
        <w:t>or blocked</w:t>
      </w:r>
      <w:r w:rsidR="00947E3E">
        <w:t xml:space="preserve">. </w:t>
      </w:r>
      <w:r w:rsidR="00E542B7">
        <w:rPr>
          <w:rFonts w:cstheme="minorHAnsi"/>
        </w:rPr>
        <w:t xml:space="preserve">This would increase the costs of moving to an administrative decision-making model. </w:t>
      </w:r>
    </w:p>
    <w:p w14:paraId="0B35DB85" w14:textId="77777777" w:rsidR="00FB7AD4" w:rsidRDefault="00BC421C" w:rsidP="00947E3E">
      <w:pPr>
        <w:spacing w:line="240" w:lineRule="auto"/>
        <w:rPr>
          <w:rFonts w:cstheme="minorHAnsi"/>
        </w:rPr>
      </w:pPr>
      <w:r>
        <w:t>In response to the 2023</w:t>
      </w:r>
      <w:r w:rsidR="008C27E4">
        <w:t>-24</w:t>
      </w:r>
      <w:r>
        <w:t xml:space="preserve"> Merger Reform Consultation, many</w:t>
      </w:r>
      <w:r w:rsidR="00947E3E" w:rsidRPr="00C45763">
        <w:t xml:space="preserve"> stakeholders objected to the perception that th</w:t>
      </w:r>
      <w:r>
        <w:t xml:space="preserve">e </w:t>
      </w:r>
      <w:r w:rsidR="009C1362">
        <w:t xml:space="preserve">requirement to satisfy the ACCC that a merger is </w:t>
      </w:r>
      <w:r w:rsidR="009C1362" w:rsidRPr="007201E0">
        <w:t>not</w:t>
      </w:r>
      <w:r w:rsidR="009C1362">
        <w:t xml:space="preserve"> likely to SLC before approving a merger </w:t>
      </w:r>
      <w:r w:rsidR="00947E3E" w:rsidRPr="00C45763">
        <w:t xml:space="preserve">‘reversed the onus of proof’; effectively introducing a presumptive ‘ban’ on mergers. </w:t>
      </w:r>
      <w:r w:rsidR="00116C4B">
        <w:t>AustralianSuper noted</w:t>
      </w:r>
      <w:r w:rsidR="00DE3389">
        <w:t xml:space="preserve"> </w:t>
      </w:r>
      <w:r w:rsidR="000D0205" w:rsidRPr="004A5B02">
        <w:t>‘</w:t>
      </w:r>
      <w:r w:rsidR="007649C0" w:rsidRPr="007649C0">
        <w:rPr>
          <w:i/>
          <w:iCs/>
        </w:rPr>
        <w:t>It would also create the rebuttable presumption that the merger is negative, unlawful and should not be approved.</w:t>
      </w:r>
      <w:r w:rsidR="007649C0" w:rsidRPr="004A5B02">
        <w:t>’</w:t>
      </w:r>
      <w:r w:rsidR="004A5B02">
        <w:rPr>
          <w:rStyle w:val="FootnoteReference"/>
          <w:rFonts w:cstheme="minorHAnsi"/>
        </w:rPr>
        <w:footnoteReference w:id="83"/>
      </w:r>
      <w:r w:rsidR="000D0205">
        <w:t xml:space="preserve"> </w:t>
      </w:r>
      <w:r w:rsidR="00947E3E" w:rsidRPr="00D4435B">
        <w:rPr>
          <w:rFonts w:cstheme="minorHAnsi"/>
        </w:rPr>
        <w:t xml:space="preserve">Treasury heard from stakeholders that this element could introduce systematic bias, increasing the number of rejected mergers every year. </w:t>
      </w:r>
      <w:r w:rsidR="00476D44">
        <w:rPr>
          <w:rFonts w:cstheme="minorHAnsi"/>
        </w:rPr>
        <w:t>The Law Council of Australia submitted that ‘</w:t>
      </w:r>
      <w:r w:rsidR="00476D44" w:rsidRPr="004B74BE">
        <w:rPr>
          <w:rFonts w:cstheme="minorHAnsi"/>
          <w:i/>
          <w:iCs/>
        </w:rPr>
        <w:t xml:space="preserve">In circumstances where the </w:t>
      </w:r>
      <w:r w:rsidR="00A7557D" w:rsidRPr="004B74BE">
        <w:rPr>
          <w:rFonts w:cstheme="minorHAnsi"/>
          <w:i/>
          <w:iCs/>
        </w:rPr>
        <w:t>vast majority of mergers do not raise competition concerns, it is not appropriate to require the ACCC to be ‘satisfied’ as a mandatory requirement that transactions are not anti-competitive</w:t>
      </w:r>
      <w:r w:rsidR="00A7557D" w:rsidRPr="00DA08CA">
        <w:rPr>
          <w:rFonts w:cstheme="minorHAnsi"/>
        </w:rPr>
        <w:t>.’</w:t>
      </w:r>
      <w:r w:rsidR="008179BB">
        <w:rPr>
          <w:rStyle w:val="FootnoteReference"/>
          <w:rFonts w:cstheme="minorHAnsi"/>
        </w:rPr>
        <w:footnoteReference w:id="84"/>
      </w:r>
      <w:r w:rsidR="00B44001">
        <w:rPr>
          <w:rFonts w:cstheme="minorHAnsi"/>
        </w:rPr>
        <w:t xml:space="preserve"> </w:t>
      </w:r>
      <w:r w:rsidR="00C87DB5">
        <w:rPr>
          <w:rFonts w:cstheme="minorHAnsi"/>
        </w:rPr>
        <w:t xml:space="preserve">The </w:t>
      </w:r>
      <w:r w:rsidR="00CA7DBE">
        <w:rPr>
          <w:rFonts w:cstheme="minorHAnsi"/>
        </w:rPr>
        <w:t>Tech Council of Australia further noted</w:t>
      </w:r>
      <w:r w:rsidR="00E74CE7">
        <w:rPr>
          <w:rFonts w:cstheme="minorHAnsi"/>
        </w:rPr>
        <w:t xml:space="preserve"> that ‘</w:t>
      </w:r>
      <w:r w:rsidR="00947E6B" w:rsidRPr="00947E6B">
        <w:rPr>
          <w:rFonts w:cstheme="minorHAnsi"/>
          <w:i/>
          <w:iCs/>
        </w:rPr>
        <w:t>If the onus of proof is reversed, it is much more likely that transactions with any uncertainty about the future will be rejected as they cannot show that the transaction will not SLC</w:t>
      </w:r>
      <w:r w:rsidR="00947E6B">
        <w:t>.’</w:t>
      </w:r>
      <w:r w:rsidR="00953709" w:rsidRPr="00953709">
        <w:rPr>
          <w:rStyle w:val="FootnoteReference"/>
          <w:rFonts w:cstheme="minorHAnsi"/>
        </w:rPr>
        <w:t xml:space="preserve"> </w:t>
      </w:r>
      <w:r w:rsidR="00953709" w:rsidRPr="00B00727">
        <w:rPr>
          <w:rStyle w:val="FootnoteReference"/>
          <w:rFonts w:cstheme="minorHAnsi"/>
        </w:rPr>
        <w:footnoteReference w:id="85"/>
      </w:r>
      <w:r w:rsidR="00CA7DBE">
        <w:rPr>
          <w:rFonts w:cstheme="minorHAnsi"/>
        </w:rPr>
        <w:t xml:space="preserve"> </w:t>
      </w:r>
    </w:p>
    <w:p w14:paraId="65113ED3" w14:textId="18D2998F" w:rsidR="00947E3E" w:rsidRDefault="00C822A8" w:rsidP="00947E3E">
      <w:pPr>
        <w:spacing w:line="240" w:lineRule="auto"/>
        <w:rPr>
          <w:rFonts w:cstheme="minorHAnsi"/>
        </w:rPr>
      </w:pPr>
      <w:r>
        <w:rPr>
          <w:rFonts w:cstheme="minorHAnsi"/>
        </w:rPr>
        <w:t xml:space="preserve">Treasury also heard concerns </w:t>
      </w:r>
      <w:r w:rsidR="00947E3E" w:rsidRPr="00D4435B">
        <w:rPr>
          <w:rFonts w:cstheme="minorHAnsi"/>
        </w:rPr>
        <w:t xml:space="preserve">that ‘reversing the onus’ may </w:t>
      </w:r>
      <w:r>
        <w:rPr>
          <w:rFonts w:cstheme="minorHAnsi"/>
        </w:rPr>
        <w:t xml:space="preserve">reduce the </w:t>
      </w:r>
      <w:r w:rsidR="00A24479">
        <w:rPr>
          <w:rFonts w:cstheme="minorHAnsi"/>
        </w:rPr>
        <w:t xml:space="preserve">need for </w:t>
      </w:r>
      <w:r w:rsidR="00947E3E" w:rsidRPr="00D4435B">
        <w:rPr>
          <w:rFonts w:cstheme="minorHAnsi"/>
        </w:rPr>
        <w:t>detailed legal and economic analysis required to assess the inherent risks and uncertainty associated with a merger.</w:t>
      </w:r>
      <w:r w:rsidR="00132C45">
        <w:rPr>
          <w:rFonts w:cstheme="minorHAnsi"/>
        </w:rPr>
        <w:t xml:space="preserve"> </w:t>
      </w:r>
      <w:r w:rsidR="0019666C">
        <w:rPr>
          <w:rFonts w:cstheme="minorHAnsi"/>
        </w:rPr>
        <w:t xml:space="preserve">The Business Council of Australia </w:t>
      </w:r>
      <w:r w:rsidR="005A29BD">
        <w:rPr>
          <w:rFonts w:cstheme="minorHAnsi"/>
        </w:rPr>
        <w:t xml:space="preserve">submitted </w:t>
      </w:r>
      <w:r w:rsidR="00F6031D">
        <w:rPr>
          <w:rFonts w:cstheme="minorHAnsi"/>
        </w:rPr>
        <w:t>‘</w:t>
      </w:r>
      <w:r w:rsidR="00F6031D" w:rsidRPr="00F6031D">
        <w:rPr>
          <w:rFonts w:cstheme="minorHAnsi"/>
          <w:i/>
          <w:iCs/>
        </w:rPr>
        <w:t>A subjective ‘satisfaction’ standard is out of step with approaches in overseas jurisdictions which consider whether a transaction raises competition concerns by applying objective tests</w:t>
      </w:r>
      <w:r w:rsidR="00F6031D">
        <w:rPr>
          <w:rFonts w:cstheme="minorHAnsi"/>
        </w:rPr>
        <w:t>.’</w:t>
      </w:r>
      <w:r w:rsidR="00AD3840">
        <w:rPr>
          <w:rStyle w:val="FootnoteReference"/>
          <w:rFonts w:cstheme="minorHAnsi"/>
        </w:rPr>
        <w:footnoteReference w:id="86"/>
      </w:r>
      <w:r w:rsidR="00F6031D">
        <w:rPr>
          <w:rFonts w:cstheme="minorHAnsi"/>
        </w:rPr>
        <w:t xml:space="preserve"> </w:t>
      </w:r>
      <w:r w:rsidR="004B4178">
        <w:rPr>
          <w:rFonts w:cstheme="minorHAnsi"/>
        </w:rPr>
        <w:t xml:space="preserve">The Tech Council of Australia </w:t>
      </w:r>
      <w:r w:rsidR="00A2370C">
        <w:rPr>
          <w:rFonts w:cstheme="minorHAnsi"/>
        </w:rPr>
        <w:t xml:space="preserve">further </w:t>
      </w:r>
      <w:r w:rsidR="001142E3">
        <w:rPr>
          <w:rFonts w:cstheme="minorHAnsi"/>
        </w:rPr>
        <w:t>noted</w:t>
      </w:r>
      <w:r w:rsidR="001142E3" w:rsidRPr="001142E3">
        <w:rPr>
          <w:rFonts w:cstheme="minorHAnsi"/>
        </w:rPr>
        <w:t xml:space="preserve"> ‘</w:t>
      </w:r>
      <w:r w:rsidR="001142E3" w:rsidRPr="001142E3">
        <w:rPr>
          <w:rStyle w:val="cf21"/>
          <w:rFonts w:asciiTheme="minorHAnsi" w:hAnsiTheme="minorHAnsi" w:cstheme="minorHAnsi"/>
          <w:sz w:val="22"/>
          <w:szCs w:val="22"/>
        </w:rPr>
        <w:t>The ACCC has compulsory information gathering powers which it uses in the course of its reviews to gather information from both merger parties and a range of third parties. The ACCC uses this material to build its case that the acquisition will result in an SLC, where that is relevant. Reversing the onus of proof will require merger parties to provide evidence to the ACCC that the acquisition will not SLC, but merger parties do not have the same ability to procure evidence from third parties (either other industry participants, or third parties who may hold key data relevant to the assessment of the acquisition)</w:t>
      </w:r>
      <w:r w:rsidR="001142E3" w:rsidRPr="001142E3">
        <w:rPr>
          <w:rStyle w:val="cf21"/>
          <w:rFonts w:asciiTheme="minorHAnsi" w:hAnsiTheme="minorHAnsi" w:cstheme="minorHAnsi"/>
          <w:i w:val="0"/>
          <w:iCs w:val="0"/>
          <w:sz w:val="22"/>
          <w:szCs w:val="22"/>
        </w:rPr>
        <w:t>.’</w:t>
      </w:r>
      <w:r w:rsidR="004801F8">
        <w:rPr>
          <w:rStyle w:val="FootnoteReference"/>
          <w:rFonts w:cstheme="minorHAnsi"/>
        </w:rPr>
        <w:footnoteReference w:id="87"/>
      </w:r>
      <w:r w:rsidR="001142E3" w:rsidRPr="001142E3">
        <w:rPr>
          <w:rStyle w:val="cf21"/>
          <w:rFonts w:asciiTheme="minorHAnsi" w:hAnsiTheme="minorHAnsi" w:cstheme="minorHAnsi"/>
          <w:i w:val="0"/>
          <w:iCs w:val="0"/>
          <w:sz w:val="22"/>
          <w:szCs w:val="22"/>
        </w:rPr>
        <w:t xml:space="preserve"> </w:t>
      </w:r>
      <w:r w:rsidR="00557DA3">
        <w:rPr>
          <w:rFonts w:cstheme="minorHAnsi"/>
        </w:rPr>
        <w:t>In addition, t</w:t>
      </w:r>
      <w:r w:rsidR="003D0C24">
        <w:rPr>
          <w:rFonts w:cstheme="minorHAnsi"/>
        </w:rPr>
        <w:t>he Law Council of Australia submitted that</w:t>
      </w:r>
      <w:r w:rsidR="008570F8">
        <w:rPr>
          <w:rFonts w:cstheme="minorHAnsi"/>
        </w:rPr>
        <w:t xml:space="preserve"> </w:t>
      </w:r>
      <w:r w:rsidR="008570F8" w:rsidRPr="008F3B7E">
        <w:rPr>
          <w:rFonts w:cstheme="minorHAnsi"/>
          <w:i/>
          <w:iCs/>
        </w:rPr>
        <w:t>‘</w:t>
      </w:r>
      <w:r w:rsidR="008F3B7E" w:rsidRPr="005E6265">
        <w:rPr>
          <w:rStyle w:val="cf21"/>
          <w:rFonts w:asciiTheme="minorHAnsi" w:hAnsiTheme="minorHAnsi" w:cstheme="minorHAnsi"/>
          <w:iCs w:val="0"/>
          <w:sz w:val="22"/>
          <w:szCs w:val="22"/>
        </w:rPr>
        <w:t>This combination of features would be likely to make any Australian model based on an ‘administrative’ standard more uncertain, costly, less flexible and more time consuming for global and local business</w:t>
      </w:r>
      <w:r w:rsidR="008F3B7E" w:rsidRPr="008F3B7E">
        <w:rPr>
          <w:rStyle w:val="cf21"/>
          <w:rFonts w:asciiTheme="minorHAnsi" w:hAnsiTheme="minorHAnsi" w:cstheme="minorHAnsi"/>
          <w:i w:val="0"/>
          <w:sz w:val="22"/>
          <w:szCs w:val="22"/>
        </w:rPr>
        <w:t>.’</w:t>
      </w:r>
      <w:r w:rsidR="00C7401E">
        <w:rPr>
          <w:rStyle w:val="FootnoteReference"/>
          <w:rFonts w:cstheme="minorHAnsi"/>
          <w:iCs/>
        </w:rPr>
        <w:footnoteReference w:id="88"/>
      </w:r>
    </w:p>
    <w:p w14:paraId="61A41724" w14:textId="1870C64A" w:rsidR="00947E3E" w:rsidRDefault="00947E3E" w:rsidP="00947E3E">
      <w:pPr>
        <w:pStyle w:val="Bullet"/>
        <w:numPr>
          <w:ilvl w:val="0"/>
          <w:numId w:val="0"/>
        </w:numPr>
        <w:spacing w:line="240" w:lineRule="auto"/>
        <w:rPr>
          <w:rFonts w:asciiTheme="minorHAnsi" w:eastAsiaTheme="minorHAnsi" w:hAnsiTheme="minorHAnsi" w:cstheme="minorBidi"/>
          <w:kern w:val="2"/>
          <w:szCs w:val="22"/>
          <w:lang w:eastAsia="en-US"/>
          <w14:ligatures w14:val="standardContextual"/>
        </w:rPr>
      </w:pPr>
      <w:r>
        <w:rPr>
          <w:rFonts w:asciiTheme="minorHAnsi" w:eastAsiaTheme="minorHAnsi" w:hAnsiTheme="minorHAnsi" w:cstheme="minorBidi"/>
          <w:kern w:val="2"/>
          <w:szCs w:val="22"/>
          <w:lang w:eastAsia="en-US"/>
          <w14:ligatures w14:val="standardContextual"/>
        </w:rPr>
        <w:t xml:space="preserve">Under </w:t>
      </w:r>
      <w:r w:rsidR="00BA45CC">
        <w:rPr>
          <w:rFonts w:asciiTheme="minorHAnsi" w:eastAsiaTheme="minorHAnsi" w:hAnsiTheme="minorHAnsi" w:cstheme="minorBidi"/>
          <w:kern w:val="2"/>
          <w:szCs w:val="22"/>
          <w:lang w:eastAsia="en-US"/>
          <w14:ligatures w14:val="standardContextual"/>
        </w:rPr>
        <w:t>Option 3</w:t>
      </w:r>
      <w:r>
        <w:rPr>
          <w:rFonts w:asciiTheme="minorHAnsi" w:eastAsiaTheme="minorHAnsi" w:hAnsiTheme="minorHAnsi" w:cstheme="minorBidi"/>
          <w:kern w:val="2"/>
          <w:szCs w:val="22"/>
          <w:lang w:eastAsia="en-US"/>
          <w14:ligatures w14:val="standardContextual"/>
        </w:rPr>
        <w:t>, m</w:t>
      </w:r>
      <w:r w:rsidRPr="00D4435B">
        <w:rPr>
          <w:rFonts w:asciiTheme="minorHAnsi" w:eastAsiaTheme="minorHAnsi" w:hAnsiTheme="minorHAnsi" w:cstheme="minorBidi"/>
          <w:kern w:val="2"/>
          <w:szCs w:val="22"/>
          <w:lang w:eastAsia="en-US"/>
          <w14:ligatures w14:val="standardContextual"/>
        </w:rPr>
        <w:t>ergers</w:t>
      </w:r>
      <w:r w:rsidR="005442F6">
        <w:rPr>
          <w:rFonts w:asciiTheme="minorHAnsi" w:eastAsiaTheme="minorHAnsi" w:hAnsiTheme="minorHAnsi" w:cstheme="minorBidi"/>
          <w:kern w:val="2"/>
          <w:szCs w:val="22"/>
          <w:lang w:eastAsia="en-US"/>
          <w14:ligatures w14:val="standardContextual"/>
        </w:rPr>
        <w:t xml:space="preserve"> and acquisitions</w:t>
      </w:r>
      <w:r w:rsidRPr="00D4435B">
        <w:rPr>
          <w:rFonts w:asciiTheme="minorHAnsi" w:eastAsiaTheme="minorHAnsi" w:hAnsiTheme="minorHAnsi" w:cstheme="minorBidi"/>
          <w:kern w:val="2"/>
          <w:szCs w:val="22"/>
          <w:lang w:eastAsia="en-US"/>
          <w14:ligatures w14:val="standardContextual"/>
        </w:rPr>
        <w:t xml:space="preserve"> in some new and emerging markets (such as new technologies) may</w:t>
      </w:r>
      <w:r>
        <w:rPr>
          <w:rFonts w:asciiTheme="minorHAnsi" w:eastAsiaTheme="minorHAnsi" w:hAnsiTheme="minorHAnsi" w:cstheme="minorBidi"/>
          <w:kern w:val="2"/>
          <w:szCs w:val="22"/>
          <w:lang w:eastAsia="en-US"/>
          <w14:ligatures w14:val="standardContextual"/>
        </w:rPr>
        <w:t xml:space="preserve"> also</w:t>
      </w:r>
      <w:r w:rsidRPr="00D4435B">
        <w:rPr>
          <w:rFonts w:asciiTheme="minorHAnsi" w:eastAsiaTheme="minorHAnsi" w:hAnsiTheme="minorHAnsi" w:cstheme="minorBidi"/>
          <w:kern w:val="2"/>
          <w:szCs w:val="22"/>
          <w:lang w:eastAsia="en-US"/>
          <w14:ligatures w14:val="standardContextual"/>
        </w:rPr>
        <w:t xml:space="preserve"> find it more difficult to satisfy such a test. </w:t>
      </w:r>
      <w:r w:rsidR="007F1F64">
        <w:rPr>
          <w:rFonts w:asciiTheme="minorHAnsi" w:eastAsiaTheme="minorHAnsi" w:hAnsiTheme="minorHAnsi" w:cstheme="minorBidi"/>
          <w:kern w:val="2"/>
          <w:szCs w:val="22"/>
          <w:lang w:eastAsia="en-US"/>
          <w14:ligatures w14:val="standardContextual"/>
        </w:rPr>
        <w:t xml:space="preserve">The Tech Council of Australia submitted </w:t>
      </w:r>
      <w:r w:rsidR="004A11ED">
        <w:rPr>
          <w:rFonts w:asciiTheme="minorHAnsi" w:eastAsiaTheme="minorHAnsi" w:hAnsiTheme="minorHAnsi" w:cstheme="minorBidi"/>
          <w:kern w:val="2"/>
          <w:szCs w:val="22"/>
          <w:lang w:eastAsia="en-US"/>
          <w14:ligatures w14:val="standardContextual"/>
        </w:rPr>
        <w:t>that ‘</w:t>
      </w:r>
      <w:r w:rsidR="00874101" w:rsidRPr="00B259C8">
        <w:rPr>
          <w:rFonts w:asciiTheme="minorHAnsi" w:hAnsiTheme="minorHAnsi" w:cstheme="minorHAnsi"/>
          <w:i/>
          <w:iCs/>
          <w:szCs w:val="22"/>
        </w:rPr>
        <w:t>If the onus of proof is reversed, it is much more likely that transactions with any uncertainty about the future will be rejected as they cannot show that the transaction will not SLC</w:t>
      </w:r>
      <w:r w:rsidR="00B259C8" w:rsidRPr="00B259C8">
        <w:rPr>
          <w:rFonts w:asciiTheme="minorHAnsi" w:hAnsiTheme="minorHAnsi" w:cstheme="minorHAnsi"/>
          <w:szCs w:val="22"/>
        </w:rPr>
        <w:t>’.</w:t>
      </w:r>
      <w:r w:rsidR="00421EDD">
        <w:rPr>
          <w:rStyle w:val="FootnoteReference"/>
          <w:rFonts w:asciiTheme="minorHAnsi" w:hAnsiTheme="minorHAnsi" w:cstheme="minorHAnsi"/>
          <w:szCs w:val="22"/>
        </w:rPr>
        <w:footnoteReference w:id="89"/>
      </w:r>
      <w:r w:rsidR="00B259C8">
        <w:rPr>
          <w:szCs w:val="22"/>
        </w:rPr>
        <w:t xml:space="preserve"> </w:t>
      </w:r>
      <w:r w:rsidR="00655711">
        <w:rPr>
          <w:rFonts w:asciiTheme="minorHAnsi" w:eastAsiaTheme="minorHAnsi" w:hAnsiTheme="minorHAnsi" w:cstheme="minorBidi"/>
          <w:kern w:val="2"/>
          <w:szCs w:val="22"/>
          <w:lang w:eastAsia="en-US"/>
          <w14:ligatures w14:val="standardContextual"/>
        </w:rPr>
        <w:t xml:space="preserve">As indicated above, </w:t>
      </w:r>
      <w:r w:rsidR="00555443" w:rsidRPr="00555443">
        <w:rPr>
          <w:rFonts w:asciiTheme="minorHAnsi" w:hAnsiTheme="minorHAnsi" w:cstheme="minorHAnsi"/>
          <w:szCs w:val="22"/>
        </w:rPr>
        <w:t>Dr Rhonda Smith and Professor Deborah Healey submitted</w:t>
      </w:r>
      <w:r w:rsidR="009A7F17">
        <w:rPr>
          <w:rFonts w:asciiTheme="minorHAnsi" w:hAnsiTheme="minorHAnsi" w:cstheme="minorHAnsi"/>
          <w:szCs w:val="22"/>
        </w:rPr>
        <w:t xml:space="preserve"> that</w:t>
      </w:r>
      <w:r w:rsidR="00555443" w:rsidRPr="00555443">
        <w:rPr>
          <w:rFonts w:asciiTheme="minorHAnsi" w:hAnsiTheme="minorHAnsi" w:cstheme="minorHAnsi"/>
          <w:szCs w:val="22"/>
        </w:rPr>
        <w:t xml:space="preserve"> </w:t>
      </w:r>
      <w:r w:rsidR="00555443" w:rsidRPr="009A7F17">
        <w:rPr>
          <w:rFonts w:asciiTheme="minorHAnsi" w:hAnsiTheme="minorHAnsi" w:cstheme="minorHAnsi"/>
          <w:szCs w:val="22"/>
        </w:rPr>
        <w:t>‘</w:t>
      </w:r>
      <w:r w:rsidR="004B15C5" w:rsidRPr="009A7F17">
        <w:rPr>
          <w:rFonts w:asciiTheme="minorHAnsi" w:eastAsiaTheme="minorHAnsi" w:hAnsiTheme="minorHAnsi" w:cstheme="minorHAnsi"/>
          <w:i/>
          <w:iCs/>
          <w:kern w:val="2"/>
          <w:szCs w:val="22"/>
          <w:lang w:eastAsia="en-US"/>
          <w14:ligatures w14:val="standardContextual"/>
        </w:rPr>
        <w:t>Providing evidence of the alleged substantial lessening of competition resulting from a merger, and particularly a digital merger, to a standard that satisfies the Evidence Act is extremely difficult, if not impossible. The merger is yet to occur so there is no direct factual evidence concerning the effect of the merger.</w:t>
      </w:r>
      <w:r w:rsidR="009A7F17">
        <w:rPr>
          <w:rFonts w:asciiTheme="minorHAnsi" w:eastAsiaTheme="minorHAnsi" w:hAnsiTheme="minorHAnsi" w:cstheme="minorHAnsi"/>
          <w:kern w:val="2"/>
          <w:szCs w:val="22"/>
          <w:lang w:eastAsia="en-US"/>
          <w14:ligatures w14:val="standardContextual"/>
        </w:rPr>
        <w:t>’</w:t>
      </w:r>
      <w:r w:rsidR="009A7F17" w:rsidRPr="009A7F17">
        <w:rPr>
          <w:rStyle w:val="FootnoteReference"/>
          <w:rFonts w:cstheme="minorHAnsi"/>
        </w:rPr>
        <w:t xml:space="preserve"> </w:t>
      </w:r>
      <w:r w:rsidR="009A7F17" w:rsidRPr="006A3E85">
        <w:rPr>
          <w:rStyle w:val="FootnoteReference"/>
          <w:rFonts w:cstheme="minorHAnsi"/>
        </w:rPr>
        <w:footnoteReference w:id="90"/>
      </w:r>
      <w:r w:rsidR="00555443" w:rsidRPr="006A3E85">
        <w:rPr>
          <w:rFonts w:cstheme="minorHAnsi"/>
          <w:i/>
        </w:rPr>
        <w:t xml:space="preserve"> </w:t>
      </w:r>
      <w:r w:rsidRPr="00D4435B">
        <w:rPr>
          <w:rFonts w:asciiTheme="minorHAnsi" w:eastAsiaTheme="minorHAnsi" w:hAnsiTheme="minorHAnsi" w:cstheme="minorBidi"/>
          <w:kern w:val="2"/>
          <w:szCs w:val="22"/>
          <w:lang w:eastAsia="en-US"/>
          <w14:ligatures w14:val="standardContextual"/>
        </w:rPr>
        <w:t xml:space="preserve">It could send a ‘chilling effect' on business investment and innovation, particularly in </w:t>
      </w:r>
      <w:r w:rsidR="005267DB">
        <w:rPr>
          <w:rFonts w:asciiTheme="minorHAnsi" w:eastAsiaTheme="minorHAnsi" w:hAnsiTheme="minorHAnsi" w:cstheme="minorBidi"/>
          <w:kern w:val="2"/>
          <w:szCs w:val="22"/>
          <w:lang w:eastAsia="en-US"/>
          <w14:ligatures w14:val="standardContextual"/>
        </w:rPr>
        <w:t xml:space="preserve">such </w:t>
      </w:r>
      <w:r w:rsidRPr="00D4435B">
        <w:rPr>
          <w:rFonts w:asciiTheme="minorHAnsi" w:eastAsiaTheme="minorHAnsi" w:hAnsiTheme="minorHAnsi" w:cstheme="minorBidi"/>
          <w:kern w:val="2"/>
          <w:szCs w:val="22"/>
          <w:lang w:eastAsia="en-US"/>
          <w14:ligatures w14:val="standardContextual"/>
        </w:rPr>
        <w:t>new and emerging markets, and negatively impact growth.</w:t>
      </w:r>
      <w:r>
        <w:rPr>
          <w:rFonts w:asciiTheme="minorHAnsi" w:eastAsiaTheme="minorHAnsi" w:hAnsiTheme="minorHAnsi" w:cstheme="minorBidi"/>
          <w:kern w:val="2"/>
          <w:szCs w:val="22"/>
          <w:lang w:eastAsia="en-US"/>
          <w14:ligatures w14:val="standardContextual"/>
        </w:rPr>
        <w:t xml:space="preserve"> </w:t>
      </w:r>
      <w:r w:rsidR="00FF1592">
        <w:rPr>
          <w:rFonts w:asciiTheme="minorHAnsi" w:eastAsiaTheme="minorHAnsi" w:hAnsiTheme="minorHAnsi" w:cstheme="minorBidi"/>
          <w:kern w:val="2"/>
          <w:szCs w:val="22"/>
          <w:lang w:eastAsia="en-US"/>
          <w14:ligatures w14:val="standardContextual"/>
        </w:rPr>
        <w:t>Australia would also be a global outlier – the only mandatory and suspensory jurisdiction in the world</w:t>
      </w:r>
      <w:r w:rsidR="002D5A6C">
        <w:rPr>
          <w:rFonts w:asciiTheme="minorHAnsi" w:eastAsiaTheme="minorHAnsi" w:hAnsiTheme="minorHAnsi" w:cstheme="minorBidi"/>
          <w:kern w:val="2"/>
          <w:szCs w:val="22"/>
          <w:lang w:eastAsia="en-US"/>
          <w14:ligatures w14:val="standardContextual"/>
        </w:rPr>
        <w:t xml:space="preserve"> with this more onerous and restrictive standard for merger control.</w:t>
      </w:r>
      <w:r w:rsidR="002D5A6C">
        <w:rPr>
          <w:rStyle w:val="FootnoteReference"/>
          <w:rFonts w:asciiTheme="minorHAnsi" w:eastAsiaTheme="minorHAnsi" w:hAnsiTheme="minorHAnsi" w:cstheme="minorBidi"/>
          <w:kern w:val="2"/>
          <w:szCs w:val="22"/>
          <w:lang w:eastAsia="en-US"/>
          <w14:ligatures w14:val="standardContextual"/>
        </w:rPr>
        <w:footnoteReference w:id="91"/>
      </w:r>
      <w:r w:rsidR="00FF1592">
        <w:rPr>
          <w:rFonts w:asciiTheme="minorHAnsi" w:eastAsiaTheme="minorHAnsi" w:hAnsiTheme="minorHAnsi" w:cstheme="minorBidi"/>
          <w:kern w:val="2"/>
          <w:szCs w:val="22"/>
          <w:lang w:eastAsia="en-US"/>
          <w14:ligatures w14:val="standardContextual"/>
        </w:rPr>
        <w:t xml:space="preserve"> </w:t>
      </w:r>
    </w:p>
    <w:p w14:paraId="61B3EE53" w14:textId="4166C2E1" w:rsidR="005C3182" w:rsidRDefault="00947E3E" w:rsidP="00947E3E">
      <w:pPr>
        <w:spacing w:line="240" w:lineRule="auto"/>
      </w:pPr>
      <w:r>
        <w:t xml:space="preserve">Compared with Option 2, it likely imposes additional costs on businesses in expending resources to </w:t>
      </w:r>
      <w:r w:rsidR="002D5A6C">
        <w:t xml:space="preserve">meet the more onerous standard of </w:t>
      </w:r>
      <w:r w:rsidR="00BA45CC">
        <w:t>satisfying</w:t>
      </w:r>
      <w:r>
        <w:t xml:space="preserve"> the ACCC. </w:t>
      </w:r>
      <w:r w:rsidR="003E7B6B">
        <w:t xml:space="preserve">These costs </w:t>
      </w:r>
      <w:r w:rsidR="00D809D2">
        <w:t>are borne by</w:t>
      </w:r>
      <w:r w:rsidR="003E7B6B" w:rsidRPr="003E7B6B">
        <w:t xml:space="preserve"> all merger parties in satisfying the ACCC</w:t>
      </w:r>
      <w:r w:rsidR="00393FFD">
        <w:t xml:space="preserve">, and </w:t>
      </w:r>
      <w:r w:rsidR="00287806">
        <w:t>disproportionately so for benign or pro-competitive mergers</w:t>
      </w:r>
      <w:r w:rsidR="00F8104A">
        <w:t xml:space="preserve"> and acquisitions</w:t>
      </w:r>
      <w:r w:rsidR="003E7B6B" w:rsidRPr="003E7B6B">
        <w:t xml:space="preserve">. </w:t>
      </w:r>
    </w:p>
    <w:p w14:paraId="20FA79D5" w14:textId="1BE5F4F9" w:rsidR="00947E3E" w:rsidRDefault="00947E3E" w:rsidP="00947E3E">
      <w:pPr>
        <w:spacing w:line="240" w:lineRule="auto"/>
      </w:pPr>
      <w:r w:rsidRPr="00A37E75">
        <w:t>The</w:t>
      </w:r>
      <w:r>
        <w:t>se</w:t>
      </w:r>
      <w:r w:rsidRPr="00A37E75">
        <w:t xml:space="preserve"> costs per merger are summarised in Table </w:t>
      </w:r>
      <w:r w:rsidR="00A85FBD">
        <w:t>5</w:t>
      </w:r>
      <w:r w:rsidRPr="00A37E75">
        <w:t xml:space="preserve"> below, with further detail on </w:t>
      </w:r>
      <w:r w:rsidRPr="00697DCD">
        <w:t xml:space="preserve">the costed activities and costs per merger, including total costs, detailed in </w:t>
      </w:r>
      <w:r w:rsidRPr="006E1825">
        <w:rPr>
          <w:u w:val="single"/>
        </w:rPr>
        <w:t>Attachment A</w:t>
      </w:r>
      <w:r w:rsidR="005C3182">
        <w:t>.</w:t>
      </w:r>
    </w:p>
    <w:p w14:paraId="3F6C49FF" w14:textId="2152C7C8" w:rsidR="00D3679B" w:rsidRPr="002E7D1A" w:rsidRDefault="00D3679B" w:rsidP="00D3679B">
      <w:pPr>
        <w:rPr>
          <w:color w:val="2C384A" w:themeColor="accent1"/>
        </w:rPr>
      </w:pPr>
      <w:r w:rsidRPr="002E7D1A">
        <w:rPr>
          <w:b/>
          <w:color w:val="2C384A" w:themeColor="accent1"/>
        </w:rPr>
        <w:t xml:space="preserve">Table 5. Estimated </w:t>
      </w:r>
      <w:r w:rsidR="00643306">
        <w:rPr>
          <w:b/>
          <w:color w:val="2C384A" w:themeColor="accent1"/>
        </w:rPr>
        <w:t>direct</w:t>
      </w:r>
      <w:r w:rsidR="00AF4366">
        <w:rPr>
          <w:b/>
          <w:color w:val="2C384A" w:themeColor="accent1"/>
        </w:rPr>
        <w:t xml:space="preserve"> </w:t>
      </w:r>
      <w:r w:rsidRPr="002E7D1A">
        <w:rPr>
          <w:b/>
          <w:color w:val="2C384A" w:themeColor="accent1"/>
        </w:rPr>
        <w:t xml:space="preserve">costs to business under Option 3 </w:t>
      </w:r>
    </w:p>
    <w:tbl>
      <w:tblPr>
        <w:tblStyle w:val="TableGrid"/>
        <w:tblW w:w="5000" w:type="pct"/>
        <w:tblBorders>
          <w:bottom w:val="single" w:sz="18" w:space="0" w:color="auto"/>
          <w:insideH w:val="single" w:sz="4" w:space="0" w:color="auto"/>
        </w:tblBorders>
        <w:tblLook w:val="04A0" w:firstRow="1" w:lastRow="0" w:firstColumn="1" w:lastColumn="0" w:noHBand="0" w:noVBand="1"/>
      </w:tblPr>
      <w:tblGrid>
        <w:gridCol w:w="4499"/>
        <w:gridCol w:w="4527"/>
      </w:tblGrid>
      <w:tr w:rsidR="00D3679B" w:rsidRPr="007D6633" w14:paraId="3963D2E7" w14:textId="77777777" w:rsidTr="009005E5">
        <w:trPr>
          <w:cnfStyle w:val="100000000000" w:firstRow="1" w:lastRow="0" w:firstColumn="0" w:lastColumn="0" w:oddVBand="0" w:evenVBand="0" w:oddHBand="0" w:evenHBand="0" w:firstRowFirstColumn="0" w:firstRowLastColumn="0" w:lastRowFirstColumn="0" w:lastRowLastColumn="0"/>
        </w:trPr>
        <w:tc>
          <w:tcPr>
            <w:tcW w:w="2492" w:type="pct"/>
            <w:shd w:val="clear" w:color="auto" w:fill="2C384A" w:themeFill="accent1"/>
          </w:tcPr>
          <w:p w14:paraId="385F9F98" w14:textId="77777777" w:rsidR="00D3679B" w:rsidRPr="00B67035" w:rsidRDefault="00D3679B" w:rsidP="009005E5">
            <w:pPr>
              <w:pStyle w:val="Bullet"/>
              <w:keepNext/>
              <w:numPr>
                <w:ilvl w:val="0"/>
                <w:numId w:val="0"/>
              </w:numPr>
              <w:spacing w:line="240" w:lineRule="auto"/>
              <w:rPr>
                <w:color w:val="FFFFFF" w:themeColor="background1"/>
              </w:rPr>
            </w:pPr>
            <w:r w:rsidRPr="00B67035">
              <w:rPr>
                <w:rFonts w:cstheme="minorHAnsi"/>
                <w:color w:val="FFFFFF" w:themeColor="background1"/>
              </w:rPr>
              <w:t>Description of activity</w:t>
            </w:r>
          </w:p>
        </w:tc>
        <w:tc>
          <w:tcPr>
            <w:tcW w:w="2508" w:type="pct"/>
            <w:shd w:val="clear" w:color="auto" w:fill="2C384A" w:themeFill="accent1"/>
          </w:tcPr>
          <w:p w14:paraId="477A4988" w14:textId="77777777" w:rsidR="00D3679B" w:rsidRPr="00B67035" w:rsidRDefault="00D3679B" w:rsidP="009005E5">
            <w:pPr>
              <w:pStyle w:val="Bullet"/>
              <w:keepNext/>
              <w:numPr>
                <w:ilvl w:val="0"/>
                <w:numId w:val="0"/>
              </w:numPr>
              <w:spacing w:line="240" w:lineRule="auto"/>
              <w:rPr>
                <w:color w:val="FFFFFF" w:themeColor="background1"/>
              </w:rPr>
            </w:pPr>
            <w:r>
              <w:rPr>
                <w:color w:val="FFFFFF" w:themeColor="background1"/>
                <w:szCs w:val="22"/>
              </w:rPr>
              <w:t>Estimated c</w:t>
            </w:r>
            <w:r w:rsidRPr="0084793A">
              <w:rPr>
                <w:color w:val="FFFFFF" w:themeColor="background1"/>
                <w:szCs w:val="22"/>
              </w:rPr>
              <w:t>ost per merger</w:t>
            </w:r>
            <w:r>
              <w:rPr>
                <w:color w:val="FFFFFF" w:themeColor="background1"/>
                <w:szCs w:val="22"/>
              </w:rPr>
              <w:t xml:space="preserve"> (approximate compared to informal review under status quo) </w:t>
            </w:r>
          </w:p>
        </w:tc>
      </w:tr>
      <w:tr w:rsidR="00D3679B" w:rsidRPr="004A73A2" w14:paraId="00783753" w14:textId="77777777" w:rsidTr="009005E5">
        <w:tc>
          <w:tcPr>
            <w:tcW w:w="2492" w:type="pct"/>
          </w:tcPr>
          <w:p w14:paraId="459EC25B" w14:textId="77777777" w:rsidR="00D3679B" w:rsidRPr="004A73A2" w:rsidRDefault="00D3679B" w:rsidP="009005E5">
            <w:pPr>
              <w:pStyle w:val="Bullet"/>
              <w:numPr>
                <w:ilvl w:val="0"/>
                <w:numId w:val="0"/>
              </w:numPr>
              <w:spacing w:line="240" w:lineRule="auto"/>
              <w:rPr>
                <w:sz w:val="20"/>
              </w:rPr>
            </w:pPr>
            <w:r w:rsidRPr="004A73A2">
              <w:rPr>
                <w:rFonts w:asciiTheme="minorHAnsi" w:hAnsiTheme="minorHAnsi" w:cstheme="minorHAnsi"/>
                <w:sz w:val="20"/>
              </w:rPr>
              <w:t>Consider notification</w:t>
            </w:r>
          </w:p>
        </w:tc>
        <w:tc>
          <w:tcPr>
            <w:tcW w:w="2508" w:type="pct"/>
          </w:tcPr>
          <w:p w14:paraId="7693001C" w14:textId="4B9161B6" w:rsidR="00D3679B" w:rsidRPr="004A73A2" w:rsidRDefault="002671C4" w:rsidP="009005E5">
            <w:pPr>
              <w:pStyle w:val="Bullet"/>
              <w:numPr>
                <w:ilvl w:val="0"/>
                <w:numId w:val="0"/>
              </w:numPr>
              <w:spacing w:line="240" w:lineRule="auto"/>
              <w:rPr>
                <w:sz w:val="20"/>
              </w:rPr>
            </w:pPr>
            <w:r w:rsidRPr="007533EF">
              <w:rPr>
                <w:rFonts w:asciiTheme="minorHAnsi" w:hAnsiTheme="minorHAnsi" w:cstheme="minorHAnsi"/>
                <w:sz w:val="20"/>
              </w:rPr>
              <w:t>-$8,000</w:t>
            </w:r>
          </w:p>
        </w:tc>
      </w:tr>
      <w:tr w:rsidR="00D3679B" w:rsidRPr="004A73A2" w14:paraId="0CF45A41" w14:textId="77777777" w:rsidTr="009005E5">
        <w:tc>
          <w:tcPr>
            <w:tcW w:w="2492" w:type="pct"/>
          </w:tcPr>
          <w:p w14:paraId="1EEF1617" w14:textId="77777777" w:rsidR="00D3679B" w:rsidRPr="004A73A2" w:rsidRDefault="00D3679B" w:rsidP="009005E5">
            <w:pPr>
              <w:pStyle w:val="Bullet"/>
              <w:numPr>
                <w:ilvl w:val="0"/>
                <w:numId w:val="0"/>
              </w:numPr>
              <w:spacing w:line="240" w:lineRule="auto"/>
              <w:rPr>
                <w:rFonts w:cstheme="minorHAnsi"/>
                <w:sz w:val="20"/>
              </w:rPr>
            </w:pPr>
            <w:r w:rsidRPr="004A73A2">
              <w:rPr>
                <w:rFonts w:asciiTheme="minorHAnsi" w:hAnsiTheme="minorHAnsi" w:cstheme="minorHAnsi"/>
                <w:sz w:val="20"/>
              </w:rPr>
              <w:t>Prepare a notification</w:t>
            </w:r>
          </w:p>
        </w:tc>
        <w:tc>
          <w:tcPr>
            <w:tcW w:w="2508" w:type="pct"/>
          </w:tcPr>
          <w:p w14:paraId="552F26E7" w14:textId="155B7E4E" w:rsidR="00D3679B" w:rsidRPr="004A73A2" w:rsidRDefault="00D3679B" w:rsidP="009005E5">
            <w:pPr>
              <w:pStyle w:val="Bullet"/>
              <w:numPr>
                <w:ilvl w:val="0"/>
                <w:numId w:val="0"/>
              </w:numPr>
              <w:spacing w:line="240" w:lineRule="auto"/>
              <w:rPr>
                <w:rFonts w:asciiTheme="minorHAnsi" w:hAnsiTheme="minorHAnsi" w:cstheme="minorHAnsi"/>
                <w:sz w:val="20"/>
              </w:rPr>
            </w:pPr>
            <w:r w:rsidRPr="004A73A2">
              <w:rPr>
                <w:rFonts w:asciiTheme="minorHAnsi" w:hAnsiTheme="minorHAnsi" w:cstheme="minorHAnsi"/>
                <w:sz w:val="20"/>
              </w:rPr>
              <w:t>+$</w:t>
            </w:r>
            <w:r w:rsidR="00F24A92" w:rsidRPr="004A73A2">
              <w:rPr>
                <w:rFonts w:asciiTheme="minorHAnsi" w:hAnsiTheme="minorHAnsi" w:cstheme="minorHAnsi"/>
                <w:sz w:val="20"/>
              </w:rPr>
              <w:t>65</w:t>
            </w:r>
            <w:r w:rsidRPr="004A73A2">
              <w:rPr>
                <w:rFonts w:asciiTheme="minorHAnsi" w:hAnsiTheme="minorHAnsi" w:cstheme="minorHAnsi"/>
                <w:sz w:val="20"/>
              </w:rPr>
              <w:t xml:space="preserve">,000 for simple notifications </w:t>
            </w:r>
            <w:r w:rsidRPr="004A73A2">
              <w:rPr>
                <w:rFonts w:asciiTheme="minorHAnsi" w:hAnsiTheme="minorHAnsi" w:cstheme="minorHAnsi"/>
                <w:sz w:val="20"/>
              </w:rPr>
              <w:br/>
              <w:t>+$</w:t>
            </w:r>
            <w:r w:rsidR="00F24A92" w:rsidRPr="004A73A2">
              <w:rPr>
                <w:rFonts w:asciiTheme="minorHAnsi" w:hAnsiTheme="minorHAnsi" w:cstheme="minorHAnsi"/>
                <w:sz w:val="20"/>
              </w:rPr>
              <w:t>2</w:t>
            </w:r>
            <w:r w:rsidRPr="004A73A2">
              <w:rPr>
                <w:rFonts w:asciiTheme="minorHAnsi" w:hAnsiTheme="minorHAnsi" w:cstheme="minorHAnsi"/>
                <w:sz w:val="20"/>
              </w:rPr>
              <w:t xml:space="preserve">60,000 for non-simple notifications </w:t>
            </w:r>
            <w:r w:rsidRPr="004A73A2">
              <w:rPr>
                <w:rFonts w:asciiTheme="minorHAnsi" w:hAnsiTheme="minorHAnsi" w:cstheme="minorHAnsi"/>
                <w:sz w:val="20"/>
              </w:rPr>
              <w:br/>
              <w:t>+$</w:t>
            </w:r>
            <w:r w:rsidR="00BA1697" w:rsidRPr="004A73A2">
              <w:rPr>
                <w:rFonts w:asciiTheme="minorHAnsi" w:hAnsiTheme="minorHAnsi" w:cstheme="minorHAnsi"/>
                <w:sz w:val="20"/>
              </w:rPr>
              <w:t>1,324,000</w:t>
            </w:r>
            <w:r w:rsidRPr="004A73A2">
              <w:rPr>
                <w:rFonts w:asciiTheme="minorHAnsi" w:hAnsiTheme="minorHAnsi" w:cstheme="minorHAnsi"/>
                <w:sz w:val="20"/>
              </w:rPr>
              <w:t xml:space="preserve"> for complex notifications</w:t>
            </w:r>
          </w:p>
        </w:tc>
      </w:tr>
      <w:tr w:rsidR="00D3679B" w:rsidRPr="004A73A2" w14:paraId="01830CCC" w14:textId="77777777" w:rsidTr="009005E5">
        <w:tc>
          <w:tcPr>
            <w:tcW w:w="2492" w:type="pct"/>
          </w:tcPr>
          <w:p w14:paraId="153721D1" w14:textId="01C732C8" w:rsidR="00D3679B" w:rsidRPr="004A73A2" w:rsidRDefault="00D3679B" w:rsidP="009005E5">
            <w:pPr>
              <w:pStyle w:val="Bullet"/>
              <w:numPr>
                <w:ilvl w:val="0"/>
                <w:numId w:val="0"/>
              </w:numPr>
              <w:spacing w:line="240" w:lineRule="auto"/>
              <w:rPr>
                <w:rFonts w:asciiTheme="minorHAnsi" w:hAnsiTheme="minorHAnsi" w:cstheme="minorHAnsi"/>
                <w:sz w:val="20"/>
              </w:rPr>
            </w:pPr>
            <w:r w:rsidRPr="004A73A2">
              <w:rPr>
                <w:rFonts w:asciiTheme="minorHAnsi" w:hAnsiTheme="minorHAnsi" w:cstheme="minorHAnsi"/>
                <w:sz w:val="20"/>
              </w:rPr>
              <w:t xml:space="preserve">The costs incurred in Phase </w:t>
            </w:r>
            <w:r w:rsidR="002A66E9" w:rsidRPr="004A73A2">
              <w:rPr>
                <w:rFonts w:asciiTheme="minorHAnsi" w:hAnsiTheme="minorHAnsi" w:cstheme="minorHAnsi"/>
                <w:sz w:val="20"/>
              </w:rPr>
              <w:t>1</w:t>
            </w:r>
          </w:p>
        </w:tc>
        <w:tc>
          <w:tcPr>
            <w:tcW w:w="2508" w:type="pct"/>
          </w:tcPr>
          <w:p w14:paraId="7F191D39" w14:textId="70B46BF8" w:rsidR="00D3679B" w:rsidRPr="004A73A2" w:rsidRDefault="00736E53" w:rsidP="009005E5">
            <w:pPr>
              <w:pStyle w:val="Bullet"/>
              <w:numPr>
                <w:ilvl w:val="0"/>
                <w:numId w:val="0"/>
              </w:numPr>
              <w:spacing w:line="240" w:lineRule="auto"/>
              <w:rPr>
                <w:rFonts w:cstheme="minorHAnsi"/>
                <w:sz w:val="20"/>
              </w:rPr>
            </w:pPr>
            <w:r w:rsidRPr="004A73A2">
              <w:rPr>
                <w:rFonts w:asciiTheme="minorHAnsi" w:hAnsiTheme="minorHAnsi" w:cstheme="minorHAnsi"/>
                <w:sz w:val="20"/>
              </w:rPr>
              <w:t>The same</w:t>
            </w:r>
          </w:p>
        </w:tc>
      </w:tr>
      <w:tr w:rsidR="00D3679B" w:rsidRPr="004A73A2" w14:paraId="6103EF63" w14:textId="77777777" w:rsidTr="009005E5">
        <w:trPr>
          <w:trHeight w:val="305"/>
        </w:trPr>
        <w:tc>
          <w:tcPr>
            <w:tcW w:w="2492" w:type="pct"/>
          </w:tcPr>
          <w:p w14:paraId="1B8E8F9B" w14:textId="0E67A1C9" w:rsidR="00D3679B" w:rsidRPr="004A73A2" w:rsidRDefault="00D3679B" w:rsidP="009005E5">
            <w:pPr>
              <w:pStyle w:val="Bullet"/>
              <w:numPr>
                <w:ilvl w:val="0"/>
                <w:numId w:val="0"/>
              </w:numPr>
              <w:spacing w:line="240" w:lineRule="auto"/>
              <w:rPr>
                <w:rFonts w:asciiTheme="minorHAnsi" w:hAnsiTheme="minorHAnsi" w:cstheme="minorHAnsi"/>
                <w:sz w:val="20"/>
              </w:rPr>
            </w:pPr>
            <w:r w:rsidRPr="004A73A2">
              <w:rPr>
                <w:rFonts w:asciiTheme="minorHAnsi" w:hAnsiTheme="minorHAnsi" w:cstheme="minorHAnsi"/>
                <w:sz w:val="20"/>
              </w:rPr>
              <w:t xml:space="preserve">The costs incurred in Phase </w:t>
            </w:r>
            <w:r w:rsidR="002A66E9" w:rsidRPr="004A73A2">
              <w:rPr>
                <w:rFonts w:asciiTheme="minorHAnsi" w:hAnsiTheme="minorHAnsi" w:cstheme="minorHAnsi"/>
                <w:sz w:val="20"/>
              </w:rPr>
              <w:t>2</w:t>
            </w:r>
          </w:p>
        </w:tc>
        <w:tc>
          <w:tcPr>
            <w:tcW w:w="2508" w:type="pct"/>
          </w:tcPr>
          <w:p w14:paraId="4727E834" w14:textId="5DCF96E9" w:rsidR="00D3679B" w:rsidRPr="004A73A2" w:rsidRDefault="00D3679B" w:rsidP="009005E5">
            <w:pPr>
              <w:pStyle w:val="Bullet"/>
              <w:numPr>
                <w:ilvl w:val="0"/>
                <w:numId w:val="0"/>
              </w:numPr>
              <w:spacing w:line="240" w:lineRule="auto"/>
              <w:rPr>
                <w:rFonts w:cstheme="minorHAnsi"/>
                <w:sz w:val="20"/>
              </w:rPr>
            </w:pPr>
            <w:r w:rsidRPr="004A73A2">
              <w:rPr>
                <w:rFonts w:asciiTheme="minorHAnsi" w:hAnsiTheme="minorHAnsi" w:cstheme="minorHAnsi"/>
                <w:sz w:val="20"/>
              </w:rPr>
              <w:t>+$</w:t>
            </w:r>
            <w:r w:rsidR="000D6CF4" w:rsidRPr="004A73A2">
              <w:rPr>
                <w:rFonts w:asciiTheme="minorHAnsi" w:hAnsiTheme="minorHAnsi" w:cstheme="minorHAnsi"/>
                <w:sz w:val="20"/>
              </w:rPr>
              <w:t>1,078,000</w:t>
            </w:r>
          </w:p>
        </w:tc>
      </w:tr>
      <w:tr w:rsidR="00D3679B" w:rsidRPr="004A73A2" w14:paraId="1A8C4779" w14:textId="77777777" w:rsidTr="009005E5">
        <w:tc>
          <w:tcPr>
            <w:tcW w:w="2492" w:type="pct"/>
          </w:tcPr>
          <w:p w14:paraId="6F039F0D" w14:textId="77777777" w:rsidR="00D3679B" w:rsidRPr="004A73A2" w:rsidRDefault="00D3679B" w:rsidP="009005E5">
            <w:pPr>
              <w:pStyle w:val="Bullet"/>
              <w:numPr>
                <w:ilvl w:val="0"/>
                <w:numId w:val="0"/>
              </w:numPr>
              <w:spacing w:line="240" w:lineRule="auto"/>
              <w:rPr>
                <w:rFonts w:asciiTheme="minorHAnsi" w:hAnsiTheme="minorHAnsi" w:cstheme="minorHAnsi"/>
                <w:sz w:val="20"/>
              </w:rPr>
            </w:pPr>
            <w:r w:rsidRPr="004A73A2">
              <w:rPr>
                <w:rFonts w:asciiTheme="minorHAnsi" w:hAnsiTheme="minorHAnsi" w:cstheme="minorHAnsi"/>
                <w:sz w:val="20"/>
              </w:rPr>
              <w:t>The costs incurred in proposing remedies</w:t>
            </w:r>
          </w:p>
        </w:tc>
        <w:tc>
          <w:tcPr>
            <w:tcW w:w="2508" w:type="pct"/>
          </w:tcPr>
          <w:p w14:paraId="78F999C0" w14:textId="1263F9BD" w:rsidR="00D3679B" w:rsidRPr="004A73A2" w:rsidRDefault="00CD215E" w:rsidP="009005E5">
            <w:pPr>
              <w:pStyle w:val="Bullet"/>
              <w:numPr>
                <w:ilvl w:val="0"/>
                <w:numId w:val="0"/>
              </w:numPr>
              <w:spacing w:line="240" w:lineRule="auto"/>
              <w:rPr>
                <w:rFonts w:cstheme="minorHAnsi"/>
                <w:sz w:val="20"/>
              </w:rPr>
            </w:pPr>
            <w:r w:rsidRPr="004A73A2">
              <w:rPr>
                <w:rFonts w:asciiTheme="minorHAnsi" w:hAnsiTheme="minorHAnsi" w:cstheme="minorHAnsi"/>
                <w:sz w:val="20"/>
              </w:rPr>
              <w:t>+</w:t>
            </w:r>
            <w:r w:rsidR="00FB2281" w:rsidRPr="004A73A2">
              <w:rPr>
                <w:rFonts w:asciiTheme="minorHAnsi" w:hAnsiTheme="minorHAnsi" w:cstheme="minorHAnsi"/>
                <w:sz w:val="20"/>
              </w:rPr>
              <w:t>$240,000</w:t>
            </w:r>
            <w:r w:rsidR="00D3679B" w:rsidRPr="004A73A2">
              <w:rPr>
                <w:rFonts w:asciiTheme="minorHAnsi" w:hAnsiTheme="minorHAnsi" w:cstheme="minorHAnsi"/>
                <w:sz w:val="20"/>
              </w:rPr>
              <w:t xml:space="preserve"> </w:t>
            </w:r>
          </w:p>
        </w:tc>
      </w:tr>
      <w:tr w:rsidR="00D3679B" w:rsidRPr="004A73A2" w14:paraId="7DDA9789" w14:textId="77777777" w:rsidTr="009005E5">
        <w:tc>
          <w:tcPr>
            <w:tcW w:w="2492" w:type="pct"/>
          </w:tcPr>
          <w:p w14:paraId="129EB604" w14:textId="77777777" w:rsidR="00D3679B" w:rsidRPr="004A73A2" w:rsidRDefault="00D3679B" w:rsidP="009005E5">
            <w:pPr>
              <w:pStyle w:val="Bullet"/>
              <w:numPr>
                <w:ilvl w:val="0"/>
                <w:numId w:val="0"/>
              </w:numPr>
              <w:spacing w:line="240" w:lineRule="auto"/>
              <w:rPr>
                <w:rFonts w:asciiTheme="minorHAnsi" w:hAnsiTheme="minorHAnsi" w:cstheme="minorHAnsi"/>
                <w:sz w:val="20"/>
              </w:rPr>
            </w:pPr>
            <w:r w:rsidRPr="004A73A2">
              <w:rPr>
                <w:rFonts w:asciiTheme="minorHAnsi" w:hAnsiTheme="minorHAnsi" w:cstheme="minorHAnsi"/>
                <w:sz w:val="20"/>
              </w:rPr>
              <w:t>The costs incurred for any public benefit consideration</w:t>
            </w:r>
          </w:p>
        </w:tc>
        <w:tc>
          <w:tcPr>
            <w:tcW w:w="2508" w:type="pct"/>
          </w:tcPr>
          <w:p w14:paraId="6DB96EBF" w14:textId="7136B6F5" w:rsidR="00D3679B" w:rsidRPr="004A73A2" w:rsidRDefault="002A66E9" w:rsidP="009005E5">
            <w:pPr>
              <w:pStyle w:val="Bullet"/>
              <w:numPr>
                <w:ilvl w:val="0"/>
                <w:numId w:val="0"/>
              </w:numPr>
              <w:spacing w:line="240" w:lineRule="auto"/>
              <w:rPr>
                <w:rFonts w:cstheme="minorHAnsi"/>
                <w:sz w:val="20"/>
              </w:rPr>
            </w:pPr>
            <w:r w:rsidRPr="004A73A2">
              <w:rPr>
                <w:rFonts w:asciiTheme="minorHAnsi" w:hAnsiTheme="minorHAnsi" w:cstheme="minorHAnsi"/>
                <w:sz w:val="20"/>
              </w:rPr>
              <w:t>N/A (not in status quo)</w:t>
            </w:r>
          </w:p>
        </w:tc>
      </w:tr>
      <w:tr w:rsidR="00D3679B" w:rsidRPr="004A73A2" w14:paraId="33CE8E95" w14:textId="77777777" w:rsidTr="009005E5">
        <w:tc>
          <w:tcPr>
            <w:tcW w:w="2492" w:type="pct"/>
          </w:tcPr>
          <w:p w14:paraId="45F4503D" w14:textId="77777777" w:rsidR="00D3679B" w:rsidRPr="004A73A2" w:rsidRDefault="00D3679B" w:rsidP="009005E5">
            <w:pPr>
              <w:pStyle w:val="Bullet"/>
              <w:numPr>
                <w:ilvl w:val="0"/>
                <w:numId w:val="0"/>
              </w:numPr>
              <w:spacing w:line="240" w:lineRule="auto"/>
              <w:rPr>
                <w:rFonts w:asciiTheme="minorHAnsi" w:hAnsiTheme="minorHAnsi" w:cstheme="minorHAnsi"/>
                <w:sz w:val="20"/>
              </w:rPr>
            </w:pPr>
            <w:r w:rsidRPr="004A73A2">
              <w:rPr>
                <w:rFonts w:asciiTheme="minorHAnsi" w:hAnsiTheme="minorHAnsi" w:cstheme="minorHAnsi"/>
                <w:sz w:val="20"/>
              </w:rPr>
              <w:t xml:space="preserve">The costs incurred in any review by the Tribunal (excluding any fees). </w:t>
            </w:r>
          </w:p>
        </w:tc>
        <w:tc>
          <w:tcPr>
            <w:tcW w:w="2508" w:type="pct"/>
          </w:tcPr>
          <w:p w14:paraId="48B71C89" w14:textId="039D5DFE" w:rsidR="00D3679B" w:rsidRPr="004A73A2" w:rsidRDefault="00D3679B" w:rsidP="009005E5">
            <w:pPr>
              <w:pStyle w:val="Bullet"/>
              <w:numPr>
                <w:ilvl w:val="0"/>
                <w:numId w:val="0"/>
              </w:numPr>
              <w:spacing w:line="240" w:lineRule="auto"/>
              <w:rPr>
                <w:rFonts w:cstheme="minorHAnsi"/>
                <w:sz w:val="20"/>
              </w:rPr>
            </w:pPr>
            <w:r w:rsidRPr="004A73A2">
              <w:rPr>
                <w:rFonts w:asciiTheme="minorHAnsi" w:hAnsiTheme="minorHAnsi" w:cstheme="minorHAnsi"/>
                <w:sz w:val="20"/>
              </w:rPr>
              <w:t>-$</w:t>
            </w:r>
            <w:r w:rsidR="0031025A" w:rsidRPr="004A73A2">
              <w:rPr>
                <w:rFonts w:asciiTheme="minorHAnsi" w:hAnsiTheme="minorHAnsi" w:cstheme="minorHAnsi"/>
                <w:sz w:val="20"/>
              </w:rPr>
              <w:t>5.5</w:t>
            </w:r>
            <w:r w:rsidRPr="004A73A2">
              <w:rPr>
                <w:rFonts w:asciiTheme="minorHAnsi" w:hAnsiTheme="minorHAnsi" w:cstheme="minorHAnsi"/>
                <w:sz w:val="20"/>
              </w:rPr>
              <w:t xml:space="preserve"> million (compared to costs incurred in Federal Court Proceedings)</w:t>
            </w:r>
          </w:p>
        </w:tc>
      </w:tr>
    </w:tbl>
    <w:p w14:paraId="0683E075" w14:textId="77777777" w:rsidR="00947E3E" w:rsidRPr="004A73A2" w:rsidRDefault="00947E3E" w:rsidP="00947E3E">
      <w:pPr>
        <w:spacing w:line="240" w:lineRule="auto"/>
      </w:pPr>
    </w:p>
    <w:p w14:paraId="7980AE21" w14:textId="3DF318D0" w:rsidR="006F5319" w:rsidRDefault="006F5319" w:rsidP="006F5319">
      <w:pPr>
        <w:pStyle w:val="Bullet"/>
        <w:numPr>
          <w:ilvl w:val="0"/>
          <w:numId w:val="0"/>
        </w:numPr>
        <w:spacing w:line="240" w:lineRule="auto"/>
        <w:rPr>
          <w:rFonts w:asciiTheme="majorHAnsi" w:hAnsiTheme="majorHAnsi" w:cstheme="majorHAnsi"/>
        </w:rPr>
      </w:pPr>
      <w:r w:rsidRPr="004A73A2">
        <w:rPr>
          <w:rFonts w:asciiTheme="majorHAnsi" w:hAnsiTheme="majorHAnsi" w:cstheme="majorHAnsi"/>
        </w:rPr>
        <w:t xml:space="preserve">The annual cost under Option </w:t>
      </w:r>
      <w:r w:rsidR="00DA0BB2" w:rsidRPr="004A73A2">
        <w:rPr>
          <w:rFonts w:asciiTheme="majorHAnsi" w:hAnsiTheme="majorHAnsi" w:cstheme="majorHAnsi"/>
        </w:rPr>
        <w:t>3</w:t>
      </w:r>
      <w:r w:rsidRPr="004A73A2">
        <w:rPr>
          <w:rFonts w:asciiTheme="majorHAnsi" w:hAnsiTheme="majorHAnsi" w:cstheme="majorHAnsi"/>
        </w:rPr>
        <w:t xml:space="preserve"> (assuming 300 notifications per year) is estimated to be</w:t>
      </w:r>
      <w:r w:rsidR="009641DB" w:rsidRPr="004A73A2">
        <w:rPr>
          <w:rFonts w:asciiTheme="majorHAnsi" w:hAnsiTheme="majorHAnsi" w:cstheme="majorHAnsi"/>
        </w:rPr>
        <w:t> </w:t>
      </w:r>
      <w:r w:rsidRPr="004A73A2">
        <w:rPr>
          <w:rFonts w:asciiTheme="majorHAnsi" w:hAnsiTheme="majorHAnsi" w:cstheme="majorHAnsi"/>
        </w:rPr>
        <w:t>$</w:t>
      </w:r>
      <w:r w:rsidR="00A306ED" w:rsidRPr="004A73A2">
        <w:rPr>
          <w:rFonts w:asciiTheme="majorHAnsi" w:hAnsiTheme="majorHAnsi" w:cstheme="majorHAnsi"/>
        </w:rPr>
        <w:t>83.7</w:t>
      </w:r>
      <w:r w:rsidRPr="004A73A2">
        <w:rPr>
          <w:rFonts w:asciiTheme="majorHAnsi" w:hAnsiTheme="majorHAnsi" w:cstheme="majorHAnsi"/>
        </w:rPr>
        <w:t xml:space="preserve"> million above the status quo.</w:t>
      </w:r>
      <w:r>
        <w:rPr>
          <w:rFonts w:asciiTheme="majorHAnsi" w:hAnsiTheme="majorHAnsi" w:cstheme="majorHAnsi"/>
        </w:rPr>
        <w:t xml:space="preserve"> </w:t>
      </w:r>
    </w:p>
    <w:p w14:paraId="0C19E7F4" w14:textId="7C36BE1D" w:rsidR="00185035" w:rsidRPr="004A73A2" w:rsidRDefault="00947E3E" w:rsidP="00947E3E">
      <w:pPr>
        <w:spacing w:line="240" w:lineRule="auto"/>
      </w:pPr>
      <w:r>
        <w:t>The key driver of the cost differences between Option 2 and Option 3 are the assumptions o</w:t>
      </w:r>
      <w:r w:rsidR="00FD1456">
        <w:t>n</w:t>
      </w:r>
      <w:r>
        <w:t xml:space="preserve"> the </w:t>
      </w:r>
      <w:r w:rsidR="00BA45CC">
        <w:t xml:space="preserve">cost of notification, </w:t>
      </w:r>
      <w:r w:rsidR="00B417E2">
        <w:t xml:space="preserve">the </w:t>
      </w:r>
      <w:r>
        <w:t xml:space="preserve">number of mergers that will proceed to Phase </w:t>
      </w:r>
      <w:r w:rsidR="003807B0">
        <w:t>2</w:t>
      </w:r>
      <w:r>
        <w:t xml:space="preserve">, the number of mergers that will be considered on public benefits grounds, and the number of mergers that will be reviewed by the </w:t>
      </w:r>
      <w:r w:rsidR="005D7418">
        <w:t>Tribunal,</w:t>
      </w:r>
      <w:r w:rsidR="003C1199">
        <w:t xml:space="preserve"> </w:t>
      </w:r>
      <w:r w:rsidR="0073143B">
        <w:t>cumulating</w:t>
      </w:r>
      <w:r w:rsidR="00A84653">
        <w:t xml:space="preserve"> </w:t>
      </w:r>
      <w:r w:rsidR="0073143B">
        <w:t>in</w:t>
      </w:r>
      <w:r w:rsidR="00A84653">
        <w:t xml:space="preserve"> higher indirect </w:t>
      </w:r>
      <w:r w:rsidR="00A84653" w:rsidRPr="004A73A2">
        <w:t xml:space="preserve">costs to businesses from longer </w:t>
      </w:r>
      <w:r w:rsidR="007456E8" w:rsidRPr="004A73A2">
        <w:t>timeframe</w:t>
      </w:r>
      <w:r w:rsidR="0073143B" w:rsidRPr="004A73A2">
        <w:t>s</w:t>
      </w:r>
      <w:r w:rsidRPr="004A73A2">
        <w:t xml:space="preserve">. This is because disproving the existence of a SLC </w:t>
      </w:r>
      <w:r w:rsidR="00742190" w:rsidRPr="004A73A2">
        <w:t>is</w:t>
      </w:r>
      <w:r w:rsidRPr="004A73A2">
        <w:t xml:space="preserve"> more difficult for businesses to satisfy</w:t>
      </w:r>
      <w:r w:rsidR="00AB268B" w:rsidRPr="004A73A2">
        <w:t>.</w:t>
      </w:r>
      <w:r w:rsidR="00AB268B" w:rsidRPr="004A73A2">
        <w:rPr>
          <w:rStyle w:val="FootnoteReference"/>
        </w:rPr>
        <w:footnoteReference w:id="92"/>
      </w:r>
      <w:r w:rsidR="00AB268B" w:rsidRPr="004A73A2">
        <w:t xml:space="preserve"> </w:t>
      </w:r>
    </w:p>
    <w:p w14:paraId="0C469C6F" w14:textId="03C7FF17" w:rsidR="00947E3E" w:rsidRDefault="00947E3E" w:rsidP="00947E3E">
      <w:pPr>
        <w:spacing w:line="240" w:lineRule="auto"/>
      </w:pPr>
      <w:r w:rsidRPr="004A73A2">
        <w:t xml:space="preserve">The effect of this is that it is likely </w:t>
      </w:r>
      <w:r w:rsidR="00326164" w:rsidRPr="004A73A2">
        <w:t xml:space="preserve">less </w:t>
      </w:r>
      <w:r w:rsidR="00845B89" w:rsidRPr="004A73A2">
        <w:t xml:space="preserve">mergers </w:t>
      </w:r>
      <w:r w:rsidRPr="004A73A2">
        <w:t xml:space="preserve">would be resolved in Phase </w:t>
      </w:r>
      <w:r w:rsidR="009F5323" w:rsidRPr="004A73A2">
        <w:t>1</w:t>
      </w:r>
      <w:r w:rsidRPr="004A73A2">
        <w:t xml:space="preserve"> (Treasury estimates 30</w:t>
      </w:r>
      <w:r w:rsidR="009641DB" w:rsidRPr="004A73A2">
        <w:t> </w:t>
      </w:r>
      <w:r w:rsidR="00845B89" w:rsidRPr="004A73A2">
        <w:t xml:space="preserve">mergers </w:t>
      </w:r>
      <w:r w:rsidRPr="004A73A2">
        <w:t xml:space="preserve">moving to Phase </w:t>
      </w:r>
      <w:r w:rsidR="009F5323" w:rsidRPr="004A73A2">
        <w:t>2</w:t>
      </w:r>
      <w:r w:rsidRPr="004A73A2">
        <w:t xml:space="preserve">, compared with 15 </w:t>
      </w:r>
      <w:r w:rsidR="00845B89" w:rsidRPr="004A73A2">
        <w:t xml:space="preserve">mergers </w:t>
      </w:r>
      <w:r w:rsidRPr="004A73A2">
        <w:t xml:space="preserve">under Option 2), more merger parties seeking approval on public benefits grounds in situations where the ACCC was </w:t>
      </w:r>
      <w:r w:rsidR="00363DCD" w:rsidRPr="004A73A2">
        <w:t xml:space="preserve">not </w:t>
      </w:r>
      <w:r w:rsidRPr="004A73A2">
        <w:t xml:space="preserve">able to be satisfied that a merger would not SLC (Treasury estimates </w:t>
      </w:r>
      <w:r w:rsidR="0035142A" w:rsidRPr="004A73A2">
        <w:t xml:space="preserve">4 </w:t>
      </w:r>
      <w:r w:rsidRPr="004A73A2">
        <w:t>m</w:t>
      </w:r>
      <w:r w:rsidR="004C0F6A" w:rsidRPr="004A73A2">
        <w:t>ergers</w:t>
      </w:r>
      <w:r w:rsidRPr="004A73A2">
        <w:t xml:space="preserve"> per year considering public benefits, compared with </w:t>
      </w:r>
      <w:r w:rsidR="0035142A" w:rsidRPr="004A73A2">
        <w:t xml:space="preserve">2 </w:t>
      </w:r>
      <w:r w:rsidR="00154248" w:rsidRPr="004A73A2">
        <w:t>merger</w:t>
      </w:r>
      <w:r w:rsidR="009072AB" w:rsidRPr="004A73A2">
        <w:t>s</w:t>
      </w:r>
      <w:r w:rsidRPr="004A73A2">
        <w:t xml:space="preserve"> under Option 2), and more</w:t>
      </w:r>
      <w:r>
        <w:t xml:space="preserve"> applications for review by the Tribunal </w:t>
      </w:r>
      <w:r w:rsidRPr="00130716">
        <w:t xml:space="preserve">(Treasury estimates </w:t>
      </w:r>
      <w:r w:rsidR="003E09B4" w:rsidRPr="00130716">
        <w:t>6</w:t>
      </w:r>
      <w:r w:rsidR="009072AB" w:rsidRPr="00130716">
        <w:t xml:space="preserve"> </w:t>
      </w:r>
      <w:r w:rsidR="004C0F6A" w:rsidRPr="00130716">
        <w:t xml:space="preserve">reviews </w:t>
      </w:r>
      <w:r w:rsidRPr="00130716">
        <w:t xml:space="preserve">per year, compared with 4 </w:t>
      </w:r>
      <w:r w:rsidR="004C0F6A" w:rsidRPr="00130716">
        <w:t xml:space="preserve">reviews </w:t>
      </w:r>
      <w:r w:rsidRPr="00130716">
        <w:t>under Option 2).</w:t>
      </w:r>
      <w:r>
        <w:t xml:space="preserve"> </w:t>
      </w:r>
    </w:p>
    <w:p w14:paraId="0BEBFD15" w14:textId="41080A42" w:rsidR="00947E3E" w:rsidRDefault="00947E3E" w:rsidP="00947E3E">
      <w:pPr>
        <w:spacing w:line="240" w:lineRule="auto"/>
      </w:pPr>
      <w:r>
        <w:t xml:space="preserve">The regulatory burden of Option 3 (compared to the status quo) is set out in </w:t>
      </w:r>
      <w:r w:rsidRPr="00A61BA0">
        <w:t xml:space="preserve">Table </w:t>
      </w:r>
      <w:r w:rsidR="00054628" w:rsidRPr="00A61BA0">
        <w:t>6</w:t>
      </w:r>
      <w:r>
        <w:t xml:space="preserve"> below. The underlying methodology for these calculations is provided at </w:t>
      </w:r>
      <w:r w:rsidRPr="006E1825">
        <w:rPr>
          <w:u w:val="single"/>
        </w:rPr>
        <w:t>Attachment A</w:t>
      </w:r>
      <w:r>
        <w:t xml:space="preserve">. </w:t>
      </w:r>
    </w:p>
    <w:p w14:paraId="7758CF4A" w14:textId="1CFCA807" w:rsidR="00947E3E" w:rsidRPr="002E7D1A" w:rsidRDefault="00947E3E" w:rsidP="002E7D1A">
      <w:pPr>
        <w:rPr>
          <w:color w:val="2C384A" w:themeColor="accent1"/>
        </w:rPr>
      </w:pPr>
      <w:r w:rsidRPr="002E7D1A">
        <w:rPr>
          <w:b/>
          <w:color w:val="2C384A" w:themeColor="accent1"/>
        </w:rPr>
        <w:t xml:space="preserve">Table </w:t>
      </w:r>
      <w:r w:rsidR="00BB7046" w:rsidRPr="002E7D1A">
        <w:rPr>
          <w:b/>
          <w:color w:val="2C384A" w:themeColor="accent1"/>
        </w:rPr>
        <w:t>6</w:t>
      </w:r>
      <w:r w:rsidRPr="002E7D1A">
        <w:rPr>
          <w:b/>
          <w:color w:val="2C384A" w:themeColor="accent1"/>
        </w:rPr>
        <w:t xml:space="preserve">. Regulatory </w:t>
      </w:r>
      <w:r w:rsidR="00660942" w:rsidRPr="002E7D1A">
        <w:rPr>
          <w:b/>
          <w:color w:val="2C384A" w:themeColor="accent1"/>
        </w:rPr>
        <w:t xml:space="preserve">cost </w:t>
      </w:r>
      <w:r w:rsidRPr="002E7D1A">
        <w:rPr>
          <w:b/>
          <w:color w:val="2C384A" w:themeColor="accent1"/>
        </w:rPr>
        <w:t>estimate – Option 3</w:t>
      </w:r>
    </w:p>
    <w:tbl>
      <w:tblPr>
        <w:tblStyle w:val="TableGrid"/>
        <w:tblW w:w="5000" w:type="pct"/>
        <w:tblBorders>
          <w:bottom w:val="single" w:sz="18" w:space="0" w:color="auto"/>
          <w:insideH w:val="single" w:sz="4" w:space="0" w:color="auto"/>
        </w:tblBorders>
        <w:tblLook w:val="04A0" w:firstRow="1" w:lastRow="0" w:firstColumn="1" w:lastColumn="0" w:noHBand="0" w:noVBand="1"/>
      </w:tblPr>
      <w:tblGrid>
        <w:gridCol w:w="1806"/>
        <w:gridCol w:w="1805"/>
        <w:gridCol w:w="1805"/>
        <w:gridCol w:w="1805"/>
        <w:gridCol w:w="1805"/>
      </w:tblGrid>
      <w:tr w:rsidR="00A61BA0" w:rsidRPr="0062507B" w14:paraId="78C0B6CD" w14:textId="77777777" w:rsidTr="003E5F58">
        <w:trPr>
          <w:cnfStyle w:val="100000000000" w:firstRow="1" w:lastRow="0" w:firstColumn="0" w:lastColumn="0" w:oddVBand="0" w:evenVBand="0" w:oddHBand="0" w:evenHBand="0" w:firstRowFirstColumn="0" w:firstRowLastColumn="0" w:lastRowFirstColumn="0" w:lastRowLastColumn="0"/>
        </w:trPr>
        <w:tc>
          <w:tcPr>
            <w:tcW w:w="1000" w:type="pct"/>
            <w:shd w:val="clear" w:color="auto" w:fill="2C384A" w:themeFill="accent1"/>
          </w:tcPr>
          <w:p w14:paraId="251540B9" w14:textId="77777777" w:rsidR="00947E3E" w:rsidRPr="00A61BA0" w:rsidRDefault="00947E3E">
            <w:pPr>
              <w:pStyle w:val="Bullet"/>
              <w:keepNext/>
              <w:numPr>
                <w:ilvl w:val="0"/>
                <w:numId w:val="0"/>
              </w:numPr>
              <w:spacing w:line="240" w:lineRule="auto"/>
              <w:rPr>
                <w:color w:val="FFFFFF" w:themeColor="background1"/>
                <w:sz w:val="22"/>
                <w:szCs w:val="22"/>
              </w:rPr>
            </w:pPr>
            <w:r w:rsidRPr="00A61BA0">
              <w:rPr>
                <w:color w:val="FFFFFF" w:themeColor="background1"/>
                <w:szCs w:val="22"/>
              </w:rPr>
              <w:t xml:space="preserve">Change in costs </w:t>
            </w:r>
            <w:r w:rsidRPr="00A61BA0">
              <w:rPr>
                <w:color w:val="FFFFFF" w:themeColor="background1"/>
                <w:szCs w:val="22"/>
              </w:rPr>
              <w:br/>
              <w:t>($ million)</w:t>
            </w:r>
          </w:p>
        </w:tc>
        <w:tc>
          <w:tcPr>
            <w:tcW w:w="1000" w:type="pct"/>
            <w:shd w:val="clear" w:color="auto" w:fill="2C384A" w:themeFill="accent1"/>
          </w:tcPr>
          <w:p w14:paraId="3B60AFFB" w14:textId="77777777" w:rsidR="00947E3E" w:rsidRPr="00A61BA0" w:rsidRDefault="00947E3E">
            <w:pPr>
              <w:pStyle w:val="Bullet"/>
              <w:keepNext/>
              <w:numPr>
                <w:ilvl w:val="0"/>
                <w:numId w:val="0"/>
              </w:numPr>
              <w:spacing w:line="240" w:lineRule="auto"/>
              <w:rPr>
                <w:color w:val="FFFFFF" w:themeColor="background1"/>
                <w:sz w:val="22"/>
                <w:szCs w:val="22"/>
              </w:rPr>
            </w:pPr>
            <w:r w:rsidRPr="00A61BA0">
              <w:rPr>
                <w:color w:val="FFFFFF" w:themeColor="background1"/>
                <w:szCs w:val="22"/>
              </w:rPr>
              <w:t>Business</w:t>
            </w:r>
          </w:p>
        </w:tc>
        <w:tc>
          <w:tcPr>
            <w:tcW w:w="1000" w:type="pct"/>
            <w:shd w:val="clear" w:color="auto" w:fill="2C384A" w:themeFill="accent1"/>
          </w:tcPr>
          <w:p w14:paraId="074C018F" w14:textId="77777777" w:rsidR="00947E3E" w:rsidRPr="00A61BA0" w:rsidRDefault="00947E3E">
            <w:pPr>
              <w:pStyle w:val="Bullet"/>
              <w:keepNext/>
              <w:numPr>
                <w:ilvl w:val="0"/>
                <w:numId w:val="0"/>
              </w:numPr>
              <w:spacing w:line="240" w:lineRule="auto"/>
              <w:rPr>
                <w:color w:val="FFFFFF" w:themeColor="background1"/>
                <w:sz w:val="22"/>
                <w:szCs w:val="22"/>
              </w:rPr>
            </w:pPr>
            <w:r w:rsidRPr="00A61BA0">
              <w:rPr>
                <w:color w:val="FFFFFF" w:themeColor="background1"/>
                <w:szCs w:val="22"/>
              </w:rPr>
              <w:t>Community organisations</w:t>
            </w:r>
          </w:p>
        </w:tc>
        <w:tc>
          <w:tcPr>
            <w:tcW w:w="1000" w:type="pct"/>
            <w:shd w:val="clear" w:color="auto" w:fill="2C384A" w:themeFill="accent1"/>
          </w:tcPr>
          <w:p w14:paraId="09E48878" w14:textId="77777777" w:rsidR="00947E3E" w:rsidRPr="00A61BA0" w:rsidRDefault="00947E3E">
            <w:pPr>
              <w:pStyle w:val="Bullet"/>
              <w:keepNext/>
              <w:numPr>
                <w:ilvl w:val="0"/>
                <w:numId w:val="0"/>
              </w:numPr>
              <w:spacing w:line="240" w:lineRule="auto"/>
              <w:ind w:left="520" w:hanging="520"/>
              <w:rPr>
                <w:color w:val="FFFFFF" w:themeColor="background1"/>
                <w:sz w:val="22"/>
                <w:szCs w:val="22"/>
              </w:rPr>
            </w:pPr>
            <w:r w:rsidRPr="00A61BA0">
              <w:rPr>
                <w:color w:val="FFFFFF" w:themeColor="background1"/>
                <w:szCs w:val="22"/>
              </w:rPr>
              <w:t>Individuals</w:t>
            </w:r>
          </w:p>
        </w:tc>
        <w:tc>
          <w:tcPr>
            <w:tcW w:w="1000" w:type="pct"/>
            <w:shd w:val="clear" w:color="auto" w:fill="2C384A" w:themeFill="accent1"/>
          </w:tcPr>
          <w:p w14:paraId="1F541BF1" w14:textId="3FCEF8D3" w:rsidR="00947E3E" w:rsidRPr="00A61BA0" w:rsidRDefault="00947E3E">
            <w:pPr>
              <w:pStyle w:val="Bullet"/>
              <w:keepNext/>
              <w:numPr>
                <w:ilvl w:val="0"/>
                <w:numId w:val="0"/>
              </w:numPr>
              <w:spacing w:line="240" w:lineRule="auto"/>
              <w:rPr>
                <w:color w:val="FFFFFF" w:themeColor="background1"/>
                <w:sz w:val="22"/>
                <w:szCs w:val="22"/>
              </w:rPr>
            </w:pPr>
            <w:r w:rsidRPr="00A61BA0">
              <w:rPr>
                <w:color w:val="FFFFFF" w:themeColor="background1"/>
                <w:szCs w:val="22"/>
              </w:rPr>
              <w:t>Total change in costs</w:t>
            </w:r>
            <w:r w:rsidR="00E647E8" w:rsidRPr="00A61BA0">
              <w:rPr>
                <w:color w:val="FFFFFF" w:themeColor="background1"/>
                <w:szCs w:val="22"/>
              </w:rPr>
              <w:t xml:space="preserve"> (annual)</w:t>
            </w:r>
          </w:p>
        </w:tc>
      </w:tr>
      <w:tr w:rsidR="00947E3E" w:rsidRPr="0062507B" w14:paraId="6631369F" w14:textId="77777777" w:rsidTr="00CF2648">
        <w:tc>
          <w:tcPr>
            <w:tcW w:w="0" w:type="pct"/>
          </w:tcPr>
          <w:p w14:paraId="1431D6E7" w14:textId="77777777" w:rsidR="00947E3E" w:rsidRPr="00130716" w:rsidRDefault="00947E3E">
            <w:pPr>
              <w:pStyle w:val="Bullet"/>
              <w:numPr>
                <w:ilvl w:val="0"/>
                <w:numId w:val="0"/>
              </w:numPr>
              <w:spacing w:line="240" w:lineRule="auto"/>
              <w:ind w:left="520" w:hanging="520"/>
              <w:rPr>
                <w:rFonts w:asciiTheme="minorHAnsi" w:hAnsiTheme="minorHAnsi" w:cstheme="minorHAnsi"/>
                <w:sz w:val="20"/>
              </w:rPr>
            </w:pPr>
            <w:r w:rsidRPr="00130716">
              <w:rPr>
                <w:rFonts w:asciiTheme="minorHAnsi" w:hAnsiTheme="minorHAnsi" w:cstheme="minorHAnsi"/>
                <w:sz w:val="20"/>
              </w:rPr>
              <w:t>Total, by sector</w:t>
            </w:r>
          </w:p>
        </w:tc>
        <w:tc>
          <w:tcPr>
            <w:tcW w:w="0" w:type="pct"/>
          </w:tcPr>
          <w:p w14:paraId="570E1C48" w14:textId="28D974B7" w:rsidR="00947E3E" w:rsidRPr="00130716" w:rsidRDefault="00947E3E">
            <w:pPr>
              <w:pStyle w:val="Bullet"/>
              <w:numPr>
                <w:ilvl w:val="0"/>
                <w:numId w:val="0"/>
              </w:numPr>
              <w:spacing w:line="240" w:lineRule="auto"/>
              <w:rPr>
                <w:rFonts w:asciiTheme="minorHAnsi" w:hAnsiTheme="minorHAnsi" w:cstheme="minorHAnsi"/>
                <w:sz w:val="20"/>
              </w:rPr>
            </w:pPr>
            <w:r w:rsidRPr="00130716">
              <w:rPr>
                <w:rFonts w:asciiTheme="minorHAnsi" w:hAnsiTheme="minorHAnsi" w:cstheme="minorHAnsi"/>
                <w:sz w:val="20"/>
              </w:rPr>
              <w:t>$</w:t>
            </w:r>
            <w:r w:rsidR="0090452B" w:rsidRPr="00130716">
              <w:rPr>
                <w:rFonts w:asciiTheme="minorHAnsi" w:hAnsiTheme="minorHAnsi" w:cstheme="minorHAnsi"/>
                <w:sz w:val="20"/>
              </w:rPr>
              <w:t>83.7</w:t>
            </w:r>
          </w:p>
        </w:tc>
        <w:tc>
          <w:tcPr>
            <w:tcW w:w="0" w:type="pct"/>
          </w:tcPr>
          <w:p w14:paraId="535FD11E" w14:textId="77777777" w:rsidR="00947E3E" w:rsidRPr="00130716" w:rsidRDefault="00947E3E">
            <w:pPr>
              <w:pStyle w:val="Bullet"/>
              <w:numPr>
                <w:ilvl w:val="0"/>
                <w:numId w:val="0"/>
              </w:numPr>
              <w:spacing w:line="240" w:lineRule="auto"/>
              <w:ind w:left="520" w:hanging="520"/>
              <w:rPr>
                <w:rFonts w:asciiTheme="minorHAnsi" w:hAnsiTheme="minorHAnsi" w:cstheme="minorHAnsi"/>
                <w:sz w:val="20"/>
              </w:rPr>
            </w:pPr>
            <w:r w:rsidRPr="00130716">
              <w:rPr>
                <w:rFonts w:asciiTheme="minorHAnsi" w:hAnsiTheme="minorHAnsi" w:cstheme="minorHAnsi"/>
                <w:sz w:val="20"/>
              </w:rPr>
              <w:t>$ NIL</w:t>
            </w:r>
          </w:p>
        </w:tc>
        <w:tc>
          <w:tcPr>
            <w:tcW w:w="0" w:type="pct"/>
          </w:tcPr>
          <w:p w14:paraId="1DE6595F" w14:textId="77777777" w:rsidR="00947E3E" w:rsidRPr="00130716" w:rsidRDefault="00947E3E">
            <w:pPr>
              <w:pStyle w:val="Bullet"/>
              <w:numPr>
                <w:ilvl w:val="0"/>
                <w:numId w:val="0"/>
              </w:numPr>
              <w:spacing w:line="240" w:lineRule="auto"/>
              <w:ind w:left="520" w:hanging="520"/>
              <w:rPr>
                <w:rFonts w:asciiTheme="minorHAnsi" w:hAnsiTheme="minorHAnsi" w:cstheme="minorHAnsi"/>
                <w:sz w:val="20"/>
              </w:rPr>
            </w:pPr>
            <w:r w:rsidRPr="00130716">
              <w:rPr>
                <w:rFonts w:asciiTheme="minorHAnsi" w:hAnsiTheme="minorHAnsi" w:cstheme="minorHAnsi"/>
                <w:sz w:val="20"/>
              </w:rPr>
              <w:t>$ NIL</w:t>
            </w:r>
          </w:p>
        </w:tc>
        <w:tc>
          <w:tcPr>
            <w:tcW w:w="0" w:type="pct"/>
          </w:tcPr>
          <w:p w14:paraId="28FF5373" w14:textId="16834A08" w:rsidR="00947E3E" w:rsidRPr="00130716" w:rsidRDefault="00947E3E">
            <w:pPr>
              <w:pStyle w:val="Bullet"/>
              <w:numPr>
                <w:ilvl w:val="0"/>
                <w:numId w:val="0"/>
              </w:numPr>
              <w:spacing w:line="240" w:lineRule="auto"/>
              <w:ind w:left="520" w:hanging="520"/>
              <w:rPr>
                <w:rFonts w:asciiTheme="minorHAnsi" w:hAnsiTheme="minorHAnsi" w:cstheme="minorHAnsi"/>
                <w:sz w:val="20"/>
              </w:rPr>
            </w:pPr>
            <w:r w:rsidRPr="00130716">
              <w:rPr>
                <w:rFonts w:asciiTheme="minorHAnsi" w:hAnsiTheme="minorHAnsi" w:cstheme="minorHAnsi"/>
                <w:sz w:val="20"/>
              </w:rPr>
              <w:t>$</w:t>
            </w:r>
            <w:r w:rsidR="0090452B" w:rsidRPr="00130716">
              <w:rPr>
                <w:rFonts w:asciiTheme="minorHAnsi" w:hAnsiTheme="minorHAnsi" w:cstheme="minorHAnsi"/>
                <w:sz w:val="20"/>
              </w:rPr>
              <w:t>83.7</w:t>
            </w:r>
          </w:p>
        </w:tc>
      </w:tr>
    </w:tbl>
    <w:p w14:paraId="0909556C" w14:textId="77777777" w:rsidR="00947E3E" w:rsidRDefault="00947E3E" w:rsidP="002E7D1A">
      <w:pPr>
        <w:pStyle w:val="Heading3"/>
        <w:spacing w:after="120" w:line="240" w:lineRule="auto"/>
      </w:pPr>
      <w:bookmarkStart w:id="82" w:name="_Toc176972379"/>
      <w:r>
        <w:t>Net Benefit</w:t>
      </w:r>
      <w:bookmarkEnd w:id="82"/>
    </w:p>
    <w:p w14:paraId="2A1E31A2" w14:textId="5B4A9F6A" w:rsidR="001425F3" w:rsidRPr="00130716" w:rsidRDefault="00947E3E" w:rsidP="001425F3">
      <w:pPr>
        <w:spacing w:line="240" w:lineRule="auto"/>
      </w:pPr>
      <w:r w:rsidRPr="00DC10E6">
        <w:t>Option 3 is a mandatory, suspensory and administrative system and will achieve some of the same benefits</w:t>
      </w:r>
      <w:r>
        <w:t xml:space="preserve"> as </w:t>
      </w:r>
      <w:r w:rsidR="004E5A53">
        <w:t xml:space="preserve">discussed in </w:t>
      </w:r>
      <w:r>
        <w:t>Option 2</w:t>
      </w:r>
      <w:r w:rsidR="0086731E">
        <w:t xml:space="preserve"> </w:t>
      </w:r>
      <w:r w:rsidR="009834BC">
        <w:t xml:space="preserve">through effective and </w:t>
      </w:r>
      <w:r w:rsidR="00290215">
        <w:t>efficient</w:t>
      </w:r>
      <w:r w:rsidR="009834BC">
        <w:t xml:space="preserve"> merger control bringing about stronger levels of </w:t>
      </w:r>
      <w:r w:rsidR="00290215">
        <w:t>competition</w:t>
      </w:r>
      <w:r w:rsidR="00185035">
        <w:t>.</w:t>
      </w:r>
      <w:r w:rsidR="0029535E">
        <w:t xml:space="preserve"> </w:t>
      </w:r>
      <w:r w:rsidRPr="00DC10E6">
        <w:t>However, compared to Option 2,</w:t>
      </w:r>
      <w:r w:rsidR="00247CE2">
        <w:t xml:space="preserve"> </w:t>
      </w:r>
      <w:r w:rsidR="00E60BFB">
        <w:t>it</w:t>
      </w:r>
      <w:r w:rsidRPr="00DC10E6">
        <w:t xml:space="preserve"> </w:t>
      </w:r>
      <w:r w:rsidR="00235085">
        <w:t xml:space="preserve">imposes a more onerous and restrictive standard of review increasing the risk of a chilling effect where pro-competitive or benign mergers are deterred or </w:t>
      </w:r>
      <w:r w:rsidR="00235085" w:rsidRPr="00130716">
        <w:t>blocked</w:t>
      </w:r>
      <w:r w:rsidR="007D5392" w:rsidRPr="00130716">
        <w:t>,</w:t>
      </w:r>
      <w:r w:rsidR="0029535E" w:rsidRPr="00130716">
        <w:t xml:space="preserve"> which may mitigate some of these benefits</w:t>
      </w:r>
      <w:r w:rsidRPr="00130716">
        <w:t xml:space="preserve">. </w:t>
      </w:r>
      <w:r w:rsidR="00114F3A" w:rsidRPr="00130716">
        <w:t xml:space="preserve">It will also increase </w:t>
      </w:r>
      <w:r w:rsidR="007D5392" w:rsidRPr="00130716">
        <w:t xml:space="preserve">the </w:t>
      </w:r>
      <w:r w:rsidR="00114F3A" w:rsidRPr="00130716">
        <w:t xml:space="preserve">costs of notification, and </w:t>
      </w:r>
      <w:r w:rsidR="00CC6CB7" w:rsidRPr="00130716">
        <w:t xml:space="preserve">result in longer timeframes. </w:t>
      </w:r>
    </w:p>
    <w:p w14:paraId="60A6D2CC" w14:textId="468D196D" w:rsidR="006A2B19" w:rsidRDefault="00770951" w:rsidP="00947E3E">
      <w:pPr>
        <w:spacing w:line="240" w:lineRule="auto"/>
      </w:pPr>
      <w:r w:rsidRPr="00130716">
        <w:t>C</w:t>
      </w:r>
      <w:r w:rsidR="006A2B19" w:rsidRPr="00130716">
        <w:t>ompared to the status quo</w:t>
      </w:r>
      <w:r w:rsidR="00E90A1B" w:rsidRPr="00130716">
        <w:t xml:space="preserve"> (which Treasury estimates </w:t>
      </w:r>
      <w:r w:rsidR="00383566" w:rsidRPr="00130716">
        <w:t>to have a total annual cost of $</w:t>
      </w:r>
      <w:r w:rsidR="00CD1492" w:rsidRPr="00130716">
        <w:t>160.2</w:t>
      </w:r>
      <w:r w:rsidR="00383566" w:rsidRPr="00130716">
        <w:t xml:space="preserve"> million)</w:t>
      </w:r>
      <w:r w:rsidR="006A2B19" w:rsidRPr="00130716">
        <w:t>, the incremental costs</w:t>
      </w:r>
      <w:r w:rsidR="00C77C85" w:rsidRPr="00130716">
        <w:t xml:space="preserve"> </w:t>
      </w:r>
      <w:r w:rsidR="00D7692B" w:rsidRPr="00130716">
        <w:t>is</w:t>
      </w:r>
      <w:r w:rsidR="0051398C" w:rsidRPr="00130716">
        <w:t xml:space="preserve"> estimate</w:t>
      </w:r>
      <w:r w:rsidR="00C77C85" w:rsidRPr="00130716">
        <w:t>d</w:t>
      </w:r>
      <w:r w:rsidR="0051398C" w:rsidRPr="00130716">
        <w:t xml:space="preserve"> to be $</w:t>
      </w:r>
      <w:r w:rsidR="00FB5D59" w:rsidRPr="00130716">
        <w:t>83.7</w:t>
      </w:r>
      <w:r w:rsidR="0051398C" w:rsidRPr="00130716">
        <w:t xml:space="preserve"> million per annum</w:t>
      </w:r>
      <w:r w:rsidR="00992C6E" w:rsidRPr="00130716">
        <w:t xml:space="preserve"> more than the status quo</w:t>
      </w:r>
      <w:r w:rsidR="006A2B19" w:rsidRPr="00130716">
        <w:t xml:space="preserve">. For a net benefit to occur, the system under Option </w:t>
      </w:r>
      <w:r w:rsidRPr="00130716">
        <w:t>3</w:t>
      </w:r>
      <w:r w:rsidR="006A2B19" w:rsidRPr="00130716">
        <w:t xml:space="preserve"> </w:t>
      </w:r>
      <w:r w:rsidR="009F31F1" w:rsidRPr="00130716">
        <w:t xml:space="preserve">would </w:t>
      </w:r>
      <w:r w:rsidR="006A2B19" w:rsidRPr="00130716">
        <w:t xml:space="preserve">need to prevent </w:t>
      </w:r>
      <w:r w:rsidR="00185035" w:rsidRPr="00130716">
        <w:t xml:space="preserve">one </w:t>
      </w:r>
      <w:r w:rsidR="006A2B19" w:rsidRPr="00130716">
        <w:t xml:space="preserve">additional merger that results in a 5 </w:t>
      </w:r>
      <w:r w:rsidR="000C1FF0" w:rsidRPr="00130716">
        <w:t>per cent</w:t>
      </w:r>
      <w:r w:rsidR="006A2B19" w:rsidRPr="00130716">
        <w:t xml:space="preserve"> price rise in a market the size of $</w:t>
      </w:r>
      <w:r w:rsidR="00640FDE" w:rsidRPr="00130716">
        <w:t xml:space="preserve">2 </w:t>
      </w:r>
      <w:r w:rsidR="006B272D" w:rsidRPr="00130716">
        <w:t xml:space="preserve">billion </w:t>
      </w:r>
      <w:r w:rsidR="006A2B19" w:rsidRPr="00130716">
        <w:t xml:space="preserve">that endures for </w:t>
      </w:r>
      <w:r w:rsidR="00640FDE" w:rsidRPr="00130716">
        <w:t xml:space="preserve">a year </w:t>
      </w:r>
      <w:r w:rsidR="0051398C" w:rsidRPr="00130716">
        <w:t>(which Treasury estimates would be associated with harm of $100 million).</w:t>
      </w:r>
      <w:r w:rsidR="0051398C" w:rsidRPr="00130716">
        <w:rPr>
          <w:rStyle w:val="FootnoteReference"/>
        </w:rPr>
        <w:footnoteReference w:id="93"/>
      </w:r>
      <w:r w:rsidR="0051398C">
        <w:t xml:space="preserve"> </w:t>
      </w:r>
      <w:r w:rsidR="006A2B19">
        <w:t xml:space="preserve"> </w:t>
      </w:r>
    </w:p>
    <w:p w14:paraId="22DFCA78" w14:textId="592DA415" w:rsidR="00947E3E" w:rsidRDefault="00947E3E" w:rsidP="00947E3E">
      <w:pPr>
        <w:pStyle w:val="Heading2"/>
        <w:spacing w:line="240" w:lineRule="auto"/>
      </w:pPr>
      <w:bookmarkStart w:id="83" w:name="_Toc176972380"/>
      <w:r>
        <w:t>Option 4</w:t>
      </w:r>
      <w:r w:rsidR="00D30496">
        <w:t xml:space="preserve"> – </w:t>
      </w:r>
      <w:r w:rsidR="00185035">
        <w:t>M</w:t>
      </w:r>
      <w:r>
        <w:t xml:space="preserve">andatory </w:t>
      </w:r>
      <w:r w:rsidR="00185035">
        <w:t>and suspensory</w:t>
      </w:r>
      <w:r>
        <w:t xml:space="preserve"> judicial enforcement</w:t>
      </w:r>
      <w:r w:rsidR="00185035">
        <w:t xml:space="preserve"> system with a </w:t>
      </w:r>
      <w:r>
        <w:t>SLC test</w:t>
      </w:r>
      <w:bookmarkEnd w:id="83"/>
    </w:p>
    <w:p w14:paraId="7E67102B" w14:textId="77777777" w:rsidR="00947E3E" w:rsidRDefault="00947E3E" w:rsidP="002E7D1A">
      <w:pPr>
        <w:pStyle w:val="Heading3"/>
        <w:spacing w:after="120" w:line="240" w:lineRule="auto"/>
      </w:pPr>
      <w:bookmarkStart w:id="84" w:name="_Toc176972381"/>
      <w:r>
        <w:t>Benefits</w:t>
      </w:r>
      <w:bookmarkEnd w:id="84"/>
    </w:p>
    <w:p w14:paraId="52E432C3" w14:textId="77777777" w:rsidR="00947E3E" w:rsidRDefault="00947E3E" w:rsidP="00947E3E">
      <w:pPr>
        <w:spacing w:line="240" w:lineRule="auto"/>
      </w:pPr>
      <w:r>
        <w:t xml:space="preserve">Option 4 will achieve some of the same benefits discussed under Option 2, to the extent they relate to the introduction of a mandatory and suspensory merger system. </w:t>
      </w:r>
    </w:p>
    <w:p w14:paraId="177C4779" w14:textId="61537CA8" w:rsidR="00947E3E" w:rsidRDefault="00E90F48" w:rsidP="00947E3E">
      <w:pPr>
        <w:spacing w:line="240" w:lineRule="auto"/>
      </w:pPr>
      <w:r>
        <w:t>The b</w:t>
      </w:r>
      <w:r w:rsidR="00947E3E">
        <w:t xml:space="preserve">enefits from retaining </w:t>
      </w:r>
      <w:r>
        <w:t xml:space="preserve">a </w:t>
      </w:r>
      <w:r w:rsidR="00947E3E">
        <w:t>judicial enforcement model include</w:t>
      </w:r>
      <w:r>
        <w:t>s</w:t>
      </w:r>
      <w:r w:rsidR="00947E3E">
        <w:t xml:space="preserve"> more rigorous legal analysis and consistency with the approach taken for the enforcement of other provisions of the CCA, </w:t>
      </w:r>
      <w:r w:rsidR="00DE2FEE">
        <w:t>and</w:t>
      </w:r>
      <w:r w:rsidR="00947E3E">
        <w:t xml:space="preserve"> an objective and independent judicial forum where the ACCC has to </w:t>
      </w:r>
      <w:r w:rsidR="00DE2FEE">
        <w:t xml:space="preserve">establish </w:t>
      </w:r>
      <w:r w:rsidR="007B5887">
        <w:t>in court that the merger is likely to SLC to stop a merger</w:t>
      </w:r>
      <w:r w:rsidR="00947E3E">
        <w:t xml:space="preserve">. </w:t>
      </w:r>
    </w:p>
    <w:p w14:paraId="15CE9E43" w14:textId="436F7553" w:rsidR="00947E3E" w:rsidRDefault="00947E3E" w:rsidP="00947E3E">
      <w:pPr>
        <w:spacing w:line="240" w:lineRule="auto"/>
      </w:pPr>
      <w:r>
        <w:t xml:space="preserve">Another benefit is that businesses and advisors are familiar with the </w:t>
      </w:r>
      <w:r w:rsidR="007B5887">
        <w:t xml:space="preserve">Federal Court </w:t>
      </w:r>
      <w:r>
        <w:t>and established pr</w:t>
      </w:r>
      <w:r w:rsidR="00EB08C6">
        <w:t>actice</w:t>
      </w:r>
      <w:r>
        <w:t>.</w:t>
      </w:r>
    </w:p>
    <w:p w14:paraId="329A37BF" w14:textId="77777777" w:rsidR="00947E3E" w:rsidRDefault="00947E3E" w:rsidP="002E7D1A">
      <w:pPr>
        <w:pStyle w:val="Heading3"/>
        <w:spacing w:after="120" w:line="240" w:lineRule="auto"/>
      </w:pPr>
      <w:bookmarkStart w:id="85" w:name="_Toc176972382"/>
      <w:r>
        <w:t>Costs</w:t>
      </w:r>
      <w:bookmarkEnd w:id="85"/>
    </w:p>
    <w:p w14:paraId="61597832" w14:textId="4B1C3CB3" w:rsidR="00947E3E" w:rsidRPr="00D4435B" w:rsidRDefault="0068325A" w:rsidP="00947E3E">
      <w:pPr>
        <w:spacing w:line="240" w:lineRule="auto"/>
        <w:rPr>
          <w:rFonts w:cstheme="minorHAnsi"/>
        </w:rPr>
      </w:pPr>
      <w:r>
        <w:t>C</w:t>
      </w:r>
      <w:r w:rsidR="00947E3E">
        <w:t>ompared to Option 2</w:t>
      </w:r>
      <w:r w:rsidR="005B7CC5">
        <w:t>,</w:t>
      </w:r>
      <w:r w:rsidR="00947E3E">
        <w:t xml:space="preserve"> these benefits are likely to be diminished due to the </w:t>
      </w:r>
      <w:r w:rsidR="00947E3E">
        <w:rPr>
          <w:rFonts w:cstheme="minorHAnsi"/>
        </w:rPr>
        <w:t>l</w:t>
      </w:r>
      <w:r w:rsidR="00947E3E" w:rsidRPr="00D4435B">
        <w:rPr>
          <w:rFonts w:cstheme="minorHAnsi"/>
        </w:rPr>
        <w:t xml:space="preserve">onger </w:t>
      </w:r>
      <w:r w:rsidR="00947E3E">
        <w:rPr>
          <w:rFonts w:cstheme="minorHAnsi"/>
        </w:rPr>
        <w:t xml:space="preserve">timeframes along with significant additional cost. As occurs in the status quo, </w:t>
      </w:r>
      <w:r w:rsidR="00A935A6">
        <w:rPr>
          <w:rFonts w:cstheme="minorHAnsi"/>
        </w:rPr>
        <w:t>a first instance decision from</w:t>
      </w:r>
      <w:r w:rsidR="00947E3E">
        <w:rPr>
          <w:rFonts w:cstheme="minorHAnsi"/>
        </w:rPr>
        <w:t xml:space="preserve"> the Federal Court would result in businesses incurring costs in the range </w:t>
      </w:r>
      <w:r w:rsidR="00947E3E" w:rsidRPr="002D1DE4">
        <w:rPr>
          <w:rFonts w:cstheme="minorHAnsi"/>
        </w:rPr>
        <w:t>of $11 million</w:t>
      </w:r>
      <w:r w:rsidR="00A935A6" w:rsidRPr="002D1DE4">
        <w:rPr>
          <w:rFonts w:cstheme="minorHAnsi"/>
        </w:rPr>
        <w:t xml:space="preserve"> for</w:t>
      </w:r>
      <w:r w:rsidR="00A935A6">
        <w:rPr>
          <w:rFonts w:cstheme="minorHAnsi"/>
        </w:rPr>
        <w:t xml:space="preserve"> each merger</w:t>
      </w:r>
      <w:r w:rsidR="00947E3E" w:rsidDel="001912D2">
        <w:rPr>
          <w:rFonts w:cstheme="minorHAnsi"/>
        </w:rPr>
        <w:t>.</w:t>
      </w:r>
      <w:r w:rsidR="00947E3E" w:rsidRPr="00D4435B" w:rsidDel="001912D2">
        <w:rPr>
          <w:rFonts w:cstheme="minorHAnsi"/>
        </w:rPr>
        <w:t xml:space="preserve"> </w:t>
      </w:r>
    </w:p>
    <w:p w14:paraId="4064FFE3" w14:textId="4FB04F54" w:rsidR="00947E3E" w:rsidRPr="00D4435B" w:rsidRDefault="00947E3E" w:rsidP="00947E3E">
      <w:pPr>
        <w:pStyle w:val="Bullet"/>
        <w:numPr>
          <w:ilvl w:val="0"/>
          <w:numId w:val="0"/>
        </w:numPr>
        <w:tabs>
          <w:tab w:val="clear" w:pos="720"/>
        </w:tabs>
        <w:spacing w:after="160" w:line="240" w:lineRule="auto"/>
        <w:rPr>
          <w:rFonts w:asciiTheme="minorHAnsi" w:hAnsiTheme="minorHAnsi" w:cstheme="minorHAnsi"/>
        </w:rPr>
      </w:pPr>
      <w:r>
        <w:rPr>
          <w:rFonts w:asciiTheme="minorHAnsi" w:hAnsiTheme="minorHAnsi" w:cstheme="minorHAnsi"/>
        </w:rPr>
        <w:t xml:space="preserve">Additionally, there </w:t>
      </w:r>
      <w:r w:rsidR="005418CE">
        <w:rPr>
          <w:rFonts w:asciiTheme="minorHAnsi" w:hAnsiTheme="minorHAnsi" w:cstheme="minorHAnsi"/>
        </w:rPr>
        <w:t xml:space="preserve">may be </w:t>
      </w:r>
      <w:r>
        <w:rPr>
          <w:rFonts w:asciiTheme="minorHAnsi" w:hAnsiTheme="minorHAnsi" w:cstheme="minorHAnsi"/>
        </w:rPr>
        <w:t xml:space="preserve">less </w:t>
      </w:r>
      <w:r w:rsidRPr="00D4435B">
        <w:rPr>
          <w:rFonts w:asciiTheme="minorHAnsi" w:hAnsiTheme="minorHAnsi" w:cstheme="minorHAnsi"/>
        </w:rPr>
        <w:t>scope for economic</w:t>
      </w:r>
      <w:r w:rsidR="00AD4960">
        <w:rPr>
          <w:rFonts w:asciiTheme="minorHAnsi" w:hAnsiTheme="minorHAnsi" w:cstheme="minorHAnsi"/>
        </w:rPr>
        <w:t xml:space="preserve"> evidence to </w:t>
      </w:r>
      <w:r w:rsidR="003017E2">
        <w:rPr>
          <w:rFonts w:asciiTheme="minorHAnsi" w:hAnsiTheme="minorHAnsi" w:cstheme="minorHAnsi"/>
        </w:rPr>
        <w:t>be presented</w:t>
      </w:r>
      <w:r w:rsidRPr="00D4435B">
        <w:rPr>
          <w:rFonts w:asciiTheme="minorHAnsi" w:hAnsiTheme="minorHAnsi" w:cstheme="minorHAnsi"/>
        </w:rPr>
        <w:t xml:space="preserve"> </w:t>
      </w:r>
      <w:r w:rsidR="005418CE">
        <w:rPr>
          <w:rFonts w:asciiTheme="minorHAnsi" w:hAnsiTheme="minorHAnsi" w:cstheme="minorHAnsi"/>
        </w:rPr>
        <w:t>in the Federal Court</w:t>
      </w:r>
      <w:r w:rsidR="009837D5">
        <w:rPr>
          <w:rFonts w:asciiTheme="minorHAnsi" w:hAnsiTheme="minorHAnsi" w:cstheme="minorHAnsi"/>
        </w:rPr>
        <w:t xml:space="preserve"> </w:t>
      </w:r>
      <w:r w:rsidR="000B34C0">
        <w:rPr>
          <w:rFonts w:asciiTheme="minorHAnsi" w:hAnsiTheme="minorHAnsi" w:cstheme="minorHAnsi"/>
        </w:rPr>
        <w:t xml:space="preserve">as submitted by </w:t>
      </w:r>
      <w:r w:rsidR="000B34C0" w:rsidRPr="00555443">
        <w:rPr>
          <w:rFonts w:asciiTheme="minorHAnsi" w:hAnsiTheme="minorHAnsi" w:cstheme="minorHAnsi"/>
          <w:szCs w:val="22"/>
        </w:rPr>
        <w:t>Dr Rhonda Smith and Professor Deborah Healey</w:t>
      </w:r>
      <w:r w:rsidR="00052EDF" w:rsidRPr="006A3E85">
        <w:rPr>
          <w:rStyle w:val="FootnoteReference"/>
          <w:rFonts w:cstheme="minorHAnsi"/>
        </w:rPr>
        <w:footnoteReference w:id="94"/>
      </w:r>
      <w:r w:rsidR="000B34C0">
        <w:rPr>
          <w:rFonts w:asciiTheme="minorHAnsi" w:hAnsiTheme="minorHAnsi" w:cstheme="minorHAnsi"/>
          <w:szCs w:val="22"/>
        </w:rPr>
        <w:t xml:space="preserve"> and </w:t>
      </w:r>
      <w:r w:rsidR="00F64181">
        <w:rPr>
          <w:rFonts w:asciiTheme="minorHAnsi" w:hAnsiTheme="minorHAnsi" w:cstheme="minorHAnsi"/>
          <w:szCs w:val="22"/>
        </w:rPr>
        <w:t xml:space="preserve">voiced by </w:t>
      </w:r>
      <w:r w:rsidR="005B7CC5">
        <w:rPr>
          <w:rFonts w:asciiTheme="minorHAnsi" w:hAnsiTheme="minorHAnsi" w:cstheme="minorHAnsi"/>
          <w:szCs w:val="22"/>
        </w:rPr>
        <w:t xml:space="preserve">the </w:t>
      </w:r>
      <w:r w:rsidR="000B34C0">
        <w:rPr>
          <w:rFonts w:asciiTheme="minorHAnsi" w:hAnsiTheme="minorHAnsi" w:cstheme="minorHAnsi"/>
          <w:szCs w:val="22"/>
        </w:rPr>
        <w:t>ACCC</w:t>
      </w:r>
      <w:r w:rsidRPr="00DC10E6">
        <w:rPr>
          <w:rFonts w:asciiTheme="minorHAnsi" w:hAnsiTheme="minorHAnsi" w:cstheme="minorHAnsi"/>
        </w:rPr>
        <w:t>.</w:t>
      </w:r>
      <w:r w:rsidRPr="006B5266">
        <w:rPr>
          <w:rFonts w:asciiTheme="minorHAnsi" w:hAnsiTheme="minorHAnsi" w:cstheme="minorHAnsi"/>
        </w:rPr>
        <w:t xml:space="preserve"> </w:t>
      </w:r>
      <w:r>
        <w:rPr>
          <w:rFonts w:asciiTheme="minorHAnsi" w:hAnsiTheme="minorHAnsi" w:cstheme="minorHAnsi"/>
        </w:rPr>
        <w:t>At the same time, there will be higher p</w:t>
      </w:r>
      <w:r w:rsidRPr="00A24F31">
        <w:rPr>
          <w:rFonts w:asciiTheme="minorHAnsi" w:hAnsiTheme="minorHAnsi" w:cstheme="minorHAnsi"/>
        </w:rPr>
        <w:t xml:space="preserve">articipation barriers for affected third parties – competitors, suppliers or </w:t>
      </w:r>
      <w:r w:rsidR="00F20B9B">
        <w:rPr>
          <w:rFonts w:asciiTheme="minorHAnsi" w:hAnsiTheme="minorHAnsi" w:cstheme="minorHAnsi"/>
        </w:rPr>
        <w:t>consumers</w:t>
      </w:r>
      <w:r w:rsidR="00F20B9B">
        <w:rPr>
          <w:rStyle w:val="FootnoteReference"/>
          <w:rFonts w:asciiTheme="minorHAnsi" w:hAnsiTheme="minorHAnsi" w:cstheme="minorHAnsi"/>
        </w:rPr>
        <w:footnoteReference w:id="95"/>
      </w:r>
      <w:r w:rsidR="00F20B9B">
        <w:rPr>
          <w:rFonts w:asciiTheme="minorHAnsi" w:hAnsiTheme="minorHAnsi" w:cstheme="minorHAnsi"/>
        </w:rPr>
        <w:t xml:space="preserve"> </w:t>
      </w:r>
      <w:r w:rsidR="005B7CC5">
        <w:rPr>
          <w:rFonts w:asciiTheme="minorHAnsi" w:hAnsiTheme="minorHAnsi" w:cstheme="minorHAnsi"/>
        </w:rPr>
        <w:t xml:space="preserve">– </w:t>
      </w:r>
      <w:r>
        <w:rPr>
          <w:rFonts w:asciiTheme="minorHAnsi" w:hAnsiTheme="minorHAnsi" w:cstheme="minorHAnsi"/>
        </w:rPr>
        <w:t>because of the expense of participating in judicial proceedings</w:t>
      </w:r>
      <w:r w:rsidR="005B7CC5">
        <w:rPr>
          <w:rFonts w:asciiTheme="minorHAnsi" w:hAnsiTheme="minorHAnsi" w:cstheme="minorHAnsi"/>
        </w:rPr>
        <w:t>,</w:t>
      </w:r>
      <w:r>
        <w:rPr>
          <w:rFonts w:asciiTheme="minorHAnsi" w:hAnsiTheme="minorHAnsi" w:cstheme="minorHAnsi"/>
        </w:rPr>
        <w:t xml:space="preserve"> which will likely necessitate incurring the cost of legal representation</w:t>
      </w:r>
      <w:r w:rsidRPr="00A24F31">
        <w:rPr>
          <w:rFonts w:asciiTheme="minorHAnsi" w:hAnsiTheme="minorHAnsi" w:cstheme="minorHAnsi"/>
        </w:rPr>
        <w:t>.</w:t>
      </w:r>
      <w:r>
        <w:rPr>
          <w:rFonts w:asciiTheme="minorHAnsi" w:hAnsiTheme="minorHAnsi" w:cstheme="minorHAnsi"/>
        </w:rPr>
        <w:t xml:space="preserve"> </w:t>
      </w:r>
    </w:p>
    <w:p w14:paraId="7DB98C9D" w14:textId="27A22B6E" w:rsidR="00947E3E" w:rsidRPr="005F2EDD" w:rsidRDefault="00947E3E" w:rsidP="00947E3E">
      <w:pPr>
        <w:pStyle w:val="Bullet"/>
        <w:numPr>
          <w:ilvl w:val="0"/>
          <w:numId w:val="0"/>
        </w:numPr>
        <w:tabs>
          <w:tab w:val="clear" w:pos="720"/>
        </w:tabs>
        <w:spacing w:after="160" w:line="240" w:lineRule="auto"/>
        <w:rPr>
          <w:rFonts w:asciiTheme="minorHAnsi" w:hAnsiTheme="minorHAnsi" w:cstheme="minorHAnsi"/>
        </w:rPr>
      </w:pPr>
      <w:r>
        <w:rPr>
          <w:rFonts w:asciiTheme="minorHAnsi" w:hAnsiTheme="minorHAnsi" w:cstheme="minorHAnsi"/>
        </w:rPr>
        <w:t>There will also be l</w:t>
      </w:r>
      <w:r w:rsidRPr="005F2EDD">
        <w:rPr>
          <w:rFonts w:asciiTheme="minorHAnsi" w:hAnsiTheme="minorHAnsi" w:cstheme="minorHAnsi"/>
        </w:rPr>
        <w:t xml:space="preserve">ess transparency due to the lack of published reasons for each merger. </w:t>
      </w:r>
      <w:r w:rsidR="00847067">
        <w:rPr>
          <w:rFonts w:asciiTheme="minorHAnsi" w:hAnsiTheme="minorHAnsi" w:cstheme="minorHAnsi"/>
        </w:rPr>
        <w:t xml:space="preserve">For mergers the ACCC had indicated it would oppose, </w:t>
      </w:r>
      <w:r w:rsidR="009F6126">
        <w:rPr>
          <w:rFonts w:asciiTheme="minorHAnsi" w:hAnsiTheme="minorHAnsi" w:cstheme="minorHAnsi"/>
        </w:rPr>
        <w:t>the lack of published reasons</w:t>
      </w:r>
      <w:r w:rsidRPr="005F2EDD">
        <w:rPr>
          <w:rFonts w:asciiTheme="minorHAnsi" w:hAnsiTheme="minorHAnsi" w:cstheme="minorHAnsi"/>
        </w:rPr>
        <w:t xml:space="preserve"> may </w:t>
      </w:r>
      <w:r w:rsidR="009F6126">
        <w:rPr>
          <w:rFonts w:asciiTheme="minorHAnsi" w:hAnsiTheme="minorHAnsi" w:cstheme="minorHAnsi"/>
        </w:rPr>
        <w:t xml:space="preserve">be because the ACCC was concerned about </w:t>
      </w:r>
      <w:r w:rsidRPr="005F2EDD">
        <w:rPr>
          <w:rFonts w:asciiTheme="minorHAnsi" w:hAnsiTheme="minorHAnsi" w:cstheme="minorHAnsi"/>
        </w:rPr>
        <w:t xml:space="preserve">prejudice </w:t>
      </w:r>
      <w:r w:rsidR="00E8704B">
        <w:rPr>
          <w:rFonts w:asciiTheme="minorHAnsi" w:hAnsiTheme="minorHAnsi" w:cstheme="minorHAnsi"/>
        </w:rPr>
        <w:t xml:space="preserve">to </w:t>
      </w:r>
      <w:r w:rsidRPr="005F2EDD">
        <w:rPr>
          <w:rFonts w:asciiTheme="minorHAnsi" w:hAnsiTheme="minorHAnsi" w:cstheme="minorHAnsi"/>
        </w:rPr>
        <w:t xml:space="preserve">later enforcement action. </w:t>
      </w:r>
      <w:r>
        <w:rPr>
          <w:rFonts w:asciiTheme="minorHAnsi" w:hAnsiTheme="minorHAnsi" w:cstheme="minorHAnsi"/>
          <w:bCs/>
        </w:rPr>
        <w:t>T</w:t>
      </w:r>
      <w:r w:rsidRPr="00DC10E6">
        <w:rPr>
          <w:rFonts w:asciiTheme="minorHAnsi" w:hAnsiTheme="minorHAnsi" w:cstheme="minorHAnsi"/>
          <w:bCs/>
        </w:rPr>
        <w:t xml:space="preserve">ransparency </w:t>
      </w:r>
      <w:r>
        <w:rPr>
          <w:rFonts w:asciiTheme="minorHAnsi" w:hAnsiTheme="minorHAnsi" w:cstheme="minorHAnsi"/>
          <w:bCs/>
        </w:rPr>
        <w:t xml:space="preserve">in merger control is desirable because it helps business and advisors understand the boundaries of permissible </w:t>
      </w:r>
      <w:r w:rsidR="00574B93">
        <w:rPr>
          <w:rFonts w:asciiTheme="minorHAnsi" w:hAnsiTheme="minorHAnsi" w:cstheme="minorHAnsi"/>
          <w:bCs/>
        </w:rPr>
        <w:t>mergers</w:t>
      </w:r>
      <w:r>
        <w:rPr>
          <w:rFonts w:asciiTheme="minorHAnsi" w:hAnsiTheme="minorHAnsi" w:cstheme="minorHAnsi"/>
          <w:bCs/>
        </w:rPr>
        <w:t>, shaping business behaviour over time</w:t>
      </w:r>
      <w:r w:rsidRPr="00DC10E6">
        <w:rPr>
          <w:rFonts w:asciiTheme="minorHAnsi" w:hAnsiTheme="minorHAnsi" w:cstheme="minorHAnsi"/>
        </w:rPr>
        <w:t>.</w:t>
      </w:r>
      <w:r>
        <w:rPr>
          <w:rFonts w:asciiTheme="minorHAnsi" w:hAnsiTheme="minorHAnsi" w:cstheme="minorHAnsi"/>
          <w:bCs/>
        </w:rPr>
        <w:t xml:space="preserve"> Under Option 2</w:t>
      </w:r>
      <w:r w:rsidR="005B7CC5">
        <w:rPr>
          <w:rFonts w:asciiTheme="minorHAnsi" w:hAnsiTheme="minorHAnsi" w:cstheme="minorHAnsi"/>
          <w:bCs/>
        </w:rPr>
        <w:t>,</w:t>
      </w:r>
      <w:r>
        <w:rPr>
          <w:rFonts w:asciiTheme="minorHAnsi" w:hAnsiTheme="minorHAnsi" w:cstheme="minorHAnsi"/>
          <w:bCs/>
        </w:rPr>
        <w:t xml:space="preserve"> all mergers assessed by the ACCC would </w:t>
      </w:r>
      <w:r w:rsidR="002833EA">
        <w:rPr>
          <w:rFonts w:asciiTheme="minorHAnsi" w:hAnsiTheme="minorHAnsi" w:cstheme="minorHAnsi"/>
          <w:bCs/>
        </w:rPr>
        <w:t>have</w:t>
      </w:r>
      <w:r>
        <w:rPr>
          <w:rFonts w:asciiTheme="minorHAnsi" w:hAnsiTheme="minorHAnsi" w:cstheme="minorHAnsi"/>
          <w:bCs/>
        </w:rPr>
        <w:t xml:space="preserve"> reasons provided for each decision. Under Option 4</w:t>
      </w:r>
      <w:r w:rsidR="005B7CC5">
        <w:rPr>
          <w:rFonts w:asciiTheme="minorHAnsi" w:hAnsiTheme="minorHAnsi" w:cstheme="minorHAnsi"/>
          <w:bCs/>
        </w:rPr>
        <w:t>,</w:t>
      </w:r>
      <w:r>
        <w:rPr>
          <w:rFonts w:asciiTheme="minorHAnsi" w:hAnsiTheme="minorHAnsi" w:cstheme="minorHAnsi"/>
          <w:bCs/>
        </w:rPr>
        <w:t xml:space="preserve"> only a very small number of mergers (less than 1</w:t>
      </w:r>
      <w:r w:rsidR="004F2130">
        <w:rPr>
          <w:rFonts w:asciiTheme="minorHAnsi" w:hAnsiTheme="minorHAnsi" w:cstheme="minorHAnsi"/>
          <w:bCs/>
        </w:rPr>
        <w:t>%</w:t>
      </w:r>
      <w:r>
        <w:rPr>
          <w:rFonts w:asciiTheme="minorHAnsi" w:hAnsiTheme="minorHAnsi" w:cstheme="minorHAnsi"/>
          <w:bCs/>
        </w:rPr>
        <w:t xml:space="preserve">) would </w:t>
      </w:r>
      <w:r>
        <w:rPr>
          <w:rFonts w:asciiTheme="minorHAnsi" w:hAnsiTheme="minorHAnsi" w:cstheme="minorHAnsi"/>
        </w:rPr>
        <w:t xml:space="preserve">have detailed reasons in the form of a court judgment. </w:t>
      </w:r>
    </w:p>
    <w:p w14:paraId="52546B7B" w14:textId="6B2A23DF" w:rsidR="00947E3E" w:rsidRPr="00531D0C" w:rsidRDefault="00947E3E" w:rsidP="00947E3E">
      <w:pPr>
        <w:pStyle w:val="Bullet"/>
        <w:numPr>
          <w:ilvl w:val="0"/>
          <w:numId w:val="0"/>
        </w:numPr>
        <w:tabs>
          <w:tab w:val="clear" w:pos="720"/>
        </w:tabs>
        <w:spacing w:after="160" w:line="240" w:lineRule="auto"/>
        <w:rPr>
          <w:rFonts w:asciiTheme="minorHAnsi" w:hAnsiTheme="minorHAnsi" w:cstheme="minorHAnsi"/>
        </w:rPr>
      </w:pPr>
      <w:r w:rsidRPr="0036266A">
        <w:rPr>
          <w:rFonts w:asciiTheme="minorHAnsi" w:hAnsiTheme="minorHAnsi" w:cstheme="minorHAnsi"/>
          <w:szCs w:val="22"/>
        </w:rPr>
        <w:t>The</w:t>
      </w:r>
      <w:r w:rsidRPr="0036266A">
        <w:rPr>
          <w:rFonts w:asciiTheme="minorHAnsi" w:hAnsiTheme="minorHAnsi" w:cstheme="minorHAnsi"/>
        </w:rPr>
        <w:t>se</w:t>
      </w:r>
      <w:r w:rsidRPr="0036266A">
        <w:rPr>
          <w:rFonts w:asciiTheme="minorHAnsi" w:hAnsiTheme="minorHAnsi" w:cstheme="minorHAnsi"/>
          <w:szCs w:val="22"/>
        </w:rPr>
        <w:t xml:space="preserve"> </w:t>
      </w:r>
      <w:r w:rsidR="005744DF">
        <w:rPr>
          <w:rFonts w:asciiTheme="minorHAnsi" w:hAnsiTheme="minorHAnsi" w:cstheme="minorHAnsi"/>
          <w:szCs w:val="22"/>
        </w:rPr>
        <w:t>direct</w:t>
      </w:r>
      <w:r w:rsidRPr="0036266A">
        <w:rPr>
          <w:rFonts w:asciiTheme="minorHAnsi" w:hAnsiTheme="minorHAnsi" w:cstheme="minorHAnsi"/>
          <w:szCs w:val="22"/>
        </w:rPr>
        <w:t xml:space="preserve"> costs per merger are summarised in Table </w:t>
      </w:r>
      <w:r w:rsidR="008A02A9">
        <w:rPr>
          <w:rFonts w:asciiTheme="minorHAnsi" w:hAnsiTheme="minorHAnsi" w:cstheme="minorHAnsi"/>
          <w:szCs w:val="22"/>
        </w:rPr>
        <w:t>7</w:t>
      </w:r>
      <w:r w:rsidRPr="0036266A">
        <w:rPr>
          <w:rFonts w:asciiTheme="minorHAnsi" w:hAnsiTheme="minorHAnsi" w:cstheme="minorHAnsi"/>
          <w:szCs w:val="22"/>
        </w:rPr>
        <w:t xml:space="preserve"> below, with further detail on the costed activities and costs per merger, including total costs, detailed in </w:t>
      </w:r>
      <w:r w:rsidRPr="00996ADD">
        <w:rPr>
          <w:rFonts w:asciiTheme="minorHAnsi" w:hAnsiTheme="minorHAnsi" w:cstheme="minorHAnsi"/>
          <w:szCs w:val="22"/>
          <w:u w:val="single"/>
        </w:rPr>
        <w:t>Attachment</w:t>
      </w:r>
      <w:r w:rsidRPr="00996ADD">
        <w:rPr>
          <w:rFonts w:asciiTheme="minorHAnsi" w:hAnsiTheme="minorHAnsi" w:cstheme="minorHAnsi"/>
          <w:u w:val="single"/>
        </w:rPr>
        <w:t xml:space="preserve"> A</w:t>
      </w:r>
      <w:r w:rsidR="00C76ABF">
        <w:rPr>
          <w:rFonts w:asciiTheme="minorHAnsi" w:hAnsiTheme="minorHAnsi" w:cstheme="minorHAnsi"/>
        </w:rPr>
        <w:t>.</w:t>
      </w:r>
    </w:p>
    <w:p w14:paraId="7E100586" w14:textId="17544CB6" w:rsidR="00ED5564" w:rsidRPr="00255DEF" w:rsidRDefault="00ED5564" w:rsidP="00ED5564">
      <w:pPr>
        <w:rPr>
          <w:color w:val="2C384A" w:themeColor="accent1"/>
        </w:rPr>
      </w:pPr>
      <w:r w:rsidRPr="00255DEF">
        <w:rPr>
          <w:b/>
          <w:color w:val="2C384A" w:themeColor="accent1"/>
        </w:rPr>
        <w:t xml:space="preserve">Table 7. Estimated </w:t>
      </w:r>
      <w:r w:rsidR="005744DF">
        <w:rPr>
          <w:b/>
          <w:color w:val="2C384A" w:themeColor="accent1"/>
        </w:rPr>
        <w:t>direct</w:t>
      </w:r>
      <w:r w:rsidR="00087BBF">
        <w:rPr>
          <w:b/>
          <w:color w:val="2C384A" w:themeColor="accent1"/>
        </w:rPr>
        <w:t xml:space="preserve"> </w:t>
      </w:r>
      <w:r w:rsidRPr="00255DEF">
        <w:rPr>
          <w:b/>
          <w:color w:val="2C384A" w:themeColor="accent1"/>
        </w:rPr>
        <w:t xml:space="preserve">cost to business under Option 4 </w:t>
      </w:r>
    </w:p>
    <w:tbl>
      <w:tblPr>
        <w:tblStyle w:val="TableGrid"/>
        <w:tblW w:w="5000" w:type="pct"/>
        <w:tblBorders>
          <w:bottom w:val="single" w:sz="18" w:space="0" w:color="auto"/>
          <w:insideH w:val="single" w:sz="4" w:space="0" w:color="auto"/>
        </w:tblBorders>
        <w:tblLook w:val="04A0" w:firstRow="1" w:lastRow="0" w:firstColumn="1" w:lastColumn="0" w:noHBand="0" w:noVBand="1"/>
      </w:tblPr>
      <w:tblGrid>
        <w:gridCol w:w="4440"/>
        <w:gridCol w:w="4586"/>
      </w:tblGrid>
      <w:tr w:rsidR="002A4B42" w:rsidRPr="007D6633" w14:paraId="4C2D9B42" w14:textId="77777777" w:rsidTr="00CD2B28">
        <w:trPr>
          <w:cnfStyle w:val="100000000000" w:firstRow="1" w:lastRow="0" w:firstColumn="0" w:lastColumn="0" w:oddVBand="0" w:evenVBand="0" w:oddHBand="0" w:evenHBand="0" w:firstRowFirstColumn="0" w:firstRowLastColumn="0" w:lastRowFirstColumn="0" w:lastRowLastColumn="0"/>
        </w:trPr>
        <w:tc>
          <w:tcPr>
            <w:tcW w:w="0" w:type="pct"/>
            <w:shd w:val="clear" w:color="auto" w:fill="2C384A" w:themeFill="accent1"/>
          </w:tcPr>
          <w:p w14:paraId="47B0F22C" w14:textId="77777777" w:rsidR="00ED5564" w:rsidRPr="00A61BA0" w:rsidRDefault="00ED5564" w:rsidP="009005E5">
            <w:pPr>
              <w:pStyle w:val="Bullet"/>
              <w:keepNext/>
              <w:numPr>
                <w:ilvl w:val="0"/>
                <w:numId w:val="0"/>
              </w:numPr>
              <w:spacing w:line="240" w:lineRule="auto"/>
              <w:rPr>
                <w:color w:val="FFFFFF" w:themeColor="background1"/>
                <w:sz w:val="22"/>
                <w:szCs w:val="22"/>
              </w:rPr>
            </w:pPr>
            <w:r w:rsidRPr="00A61BA0">
              <w:rPr>
                <w:rFonts w:cstheme="minorHAnsi"/>
                <w:color w:val="FFFFFF" w:themeColor="background1"/>
                <w:szCs w:val="22"/>
              </w:rPr>
              <w:t xml:space="preserve">Description of activity </w:t>
            </w:r>
          </w:p>
        </w:tc>
        <w:tc>
          <w:tcPr>
            <w:tcW w:w="0" w:type="pct"/>
            <w:shd w:val="clear" w:color="auto" w:fill="2C384A" w:themeFill="accent1"/>
          </w:tcPr>
          <w:p w14:paraId="6A474BA3" w14:textId="77777777" w:rsidR="00ED5564" w:rsidRPr="00A61BA0" w:rsidRDefault="00ED5564" w:rsidP="009005E5">
            <w:pPr>
              <w:pStyle w:val="Bullet"/>
              <w:keepNext/>
              <w:numPr>
                <w:ilvl w:val="0"/>
                <w:numId w:val="0"/>
              </w:numPr>
              <w:spacing w:line="240" w:lineRule="auto"/>
              <w:rPr>
                <w:color w:val="FFFFFF" w:themeColor="background1"/>
                <w:sz w:val="22"/>
                <w:szCs w:val="22"/>
              </w:rPr>
            </w:pPr>
            <w:r>
              <w:rPr>
                <w:color w:val="FFFFFF" w:themeColor="background1"/>
                <w:szCs w:val="22"/>
              </w:rPr>
              <w:t>Estimated c</w:t>
            </w:r>
            <w:r w:rsidRPr="0084793A">
              <w:rPr>
                <w:color w:val="FFFFFF" w:themeColor="background1"/>
                <w:szCs w:val="22"/>
              </w:rPr>
              <w:t>ost per merger</w:t>
            </w:r>
            <w:r>
              <w:rPr>
                <w:color w:val="FFFFFF" w:themeColor="background1"/>
                <w:szCs w:val="22"/>
              </w:rPr>
              <w:t xml:space="preserve"> (approximate compared to informal review under status quo)</w:t>
            </w:r>
          </w:p>
        </w:tc>
      </w:tr>
      <w:tr w:rsidR="00215C7F" w:rsidRPr="007D6633" w14:paraId="2EB27342" w14:textId="77777777" w:rsidTr="00215C7F">
        <w:tc>
          <w:tcPr>
            <w:tcW w:w="0" w:type="pct"/>
          </w:tcPr>
          <w:p w14:paraId="0CAA1429" w14:textId="77777777" w:rsidR="00ED5564" w:rsidRPr="00C0699B" w:rsidRDefault="00ED5564" w:rsidP="009005E5">
            <w:pPr>
              <w:pStyle w:val="Bullet"/>
              <w:numPr>
                <w:ilvl w:val="0"/>
                <w:numId w:val="0"/>
              </w:numPr>
              <w:spacing w:line="240" w:lineRule="auto"/>
              <w:rPr>
                <w:rFonts w:asciiTheme="minorHAnsi" w:hAnsiTheme="minorHAnsi" w:cstheme="minorHAnsi"/>
                <w:sz w:val="20"/>
              </w:rPr>
            </w:pPr>
            <w:r w:rsidRPr="00A61BA0">
              <w:rPr>
                <w:rFonts w:asciiTheme="minorHAnsi" w:hAnsiTheme="minorHAnsi" w:cstheme="minorHAnsi"/>
                <w:sz w:val="20"/>
              </w:rPr>
              <w:t xml:space="preserve">Consider notification </w:t>
            </w:r>
          </w:p>
        </w:tc>
        <w:tc>
          <w:tcPr>
            <w:tcW w:w="0" w:type="pct"/>
          </w:tcPr>
          <w:p w14:paraId="73D432EC" w14:textId="717D67C1" w:rsidR="00ED5564" w:rsidRPr="005A2C8C" w:rsidRDefault="002671C4" w:rsidP="009005E5">
            <w:pPr>
              <w:pStyle w:val="Bullet"/>
              <w:numPr>
                <w:ilvl w:val="0"/>
                <w:numId w:val="0"/>
              </w:numPr>
              <w:spacing w:line="240" w:lineRule="auto"/>
              <w:rPr>
                <w:sz w:val="20"/>
              </w:rPr>
            </w:pPr>
            <w:r w:rsidRPr="007533EF">
              <w:rPr>
                <w:rFonts w:asciiTheme="minorHAnsi" w:hAnsiTheme="minorHAnsi" w:cstheme="minorHAnsi"/>
                <w:sz w:val="20"/>
              </w:rPr>
              <w:t>-$8,000</w:t>
            </w:r>
          </w:p>
        </w:tc>
      </w:tr>
      <w:tr w:rsidR="00215C7F" w:rsidRPr="007D6633" w14:paraId="64AD5536" w14:textId="77777777" w:rsidTr="00215C7F">
        <w:tc>
          <w:tcPr>
            <w:tcW w:w="0" w:type="pct"/>
          </w:tcPr>
          <w:p w14:paraId="0EFC77A2" w14:textId="77777777" w:rsidR="00ED5564" w:rsidRPr="00A61BA0" w:rsidRDefault="00ED5564" w:rsidP="009005E5">
            <w:pPr>
              <w:pStyle w:val="Bullet"/>
              <w:numPr>
                <w:ilvl w:val="0"/>
                <w:numId w:val="0"/>
              </w:numPr>
              <w:spacing w:line="240" w:lineRule="auto"/>
              <w:rPr>
                <w:rFonts w:cstheme="minorHAnsi"/>
                <w:sz w:val="20"/>
              </w:rPr>
            </w:pPr>
            <w:r w:rsidRPr="00A61BA0">
              <w:rPr>
                <w:rFonts w:asciiTheme="minorHAnsi" w:hAnsiTheme="minorHAnsi" w:cstheme="minorHAnsi"/>
                <w:sz w:val="20"/>
              </w:rPr>
              <w:t xml:space="preserve">Prepare a </w:t>
            </w:r>
            <w:r>
              <w:rPr>
                <w:rFonts w:asciiTheme="minorHAnsi" w:hAnsiTheme="minorHAnsi" w:cstheme="minorHAnsi"/>
                <w:sz w:val="20"/>
              </w:rPr>
              <w:t>notification</w:t>
            </w:r>
          </w:p>
        </w:tc>
        <w:tc>
          <w:tcPr>
            <w:tcW w:w="0" w:type="pct"/>
          </w:tcPr>
          <w:p w14:paraId="06862E5D" w14:textId="17896F45" w:rsidR="00ED5564" w:rsidRPr="005A2C8C" w:rsidRDefault="00ED5564" w:rsidP="009005E5">
            <w:pPr>
              <w:pStyle w:val="Bullet"/>
              <w:numPr>
                <w:ilvl w:val="0"/>
                <w:numId w:val="0"/>
              </w:numPr>
              <w:spacing w:line="240" w:lineRule="auto"/>
              <w:rPr>
                <w:rFonts w:asciiTheme="minorHAnsi" w:hAnsiTheme="minorHAnsi" w:cstheme="minorHAnsi"/>
                <w:sz w:val="20"/>
              </w:rPr>
            </w:pPr>
            <w:r w:rsidRPr="005A2C8C">
              <w:rPr>
                <w:rFonts w:asciiTheme="minorHAnsi" w:hAnsiTheme="minorHAnsi" w:cstheme="minorHAnsi"/>
                <w:sz w:val="20"/>
              </w:rPr>
              <w:t xml:space="preserve">+$30,000 for simple notifications </w:t>
            </w:r>
            <w:r w:rsidRPr="005A2C8C">
              <w:rPr>
                <w:rFonts w:asciiTheme="minorHAnsi" w:hAnsiTheme="minorHAnsi" w:cstheme="minorHAnsi"/>
                <w:sz w:val="20"/>
              </w:rPr>
              <w:br/>
              <w:t xml:space="preserve">+$120,000 for non-simple notifications </w:t>
            </w:r>
            <w:r w:rsidRPr="005A2C8C">
              <w:rPr>
                <w:rFonts w:asciiTheme="minorHAnsi" w:hAnsiTheme="minorHAnsi" w:cstheme="minorHAnsi"/>
                <w:sz w:val="20"/>
              </w:rPr>
              <w:br/>
              <w:t>+$</w:t>
            </w:r>
            <w:r w:rsidR="000D7BAE" w:rsidRPr="005A2C8C">
              <w:rPr>
                <w:rFonts w:asciiTheme="minorHAnsi" w:hAnsiTheme="minorHAnsi" w:cstheme="minorHAnsi"/>
                <w:sz w:val="20"/>
              </w:rPr>
              <w:t>72</w:t>
            </w:r>
            <w:r w:rsidRPr="005A2C8C">
              <w:rPr>
                <w:rFonts w:asciiTheme="minorHAnsi" w:hAnsiTheme="minorHAnsi" w:cstheme="minorHAnsi"/>
                <w:sz w:val="20"/>
              </w:rPr>
              <w:t>0,000 for complex notifications</w:t>
            </w:r>
          </w:p>
        </w:tc>
      </w:tr>
      <w:tr w:rsidR="00215C7F" w:rsidRPr="007D6633" w14:paraId="3F6C66F6" w14:textId="77777777" w:rsidTr="00215C7F">
        <w:tc>
          <w:tcPr>
            <w:tcW w:w="0" w:type="pct"/>
          </w:tcPr>
          <w:p w14:paraId="68AAF7FE" w14:textId="37999E8E" w:rsidR="00ED5564" w:rsidRPr="00A61BA0" w:rsidRDefault="00ED5564" w:rsidP="009005E5">
            <w:pPr>
              <w:pStyle w:val="Bullet"/>
              <w:numPr>
                <w:ilvl w:val="0"/>
                <w:numId w:val="0"/>
              </w:numPr>
              <w:spacing w:line="240" w:lineRule="auto"/>
              <w:rPr>
                <w:rFonts w:asciiTheme="minorHAnsi" w:hAnsiTheme="minorHAnsi" w:cstheme="minorHAnsi"/>
                <w:sz w:val="20"/>
              </w:rPr>
            </w:pPr>
            <w:r w:rsidRPr="00A61BA0">
              <w:rPr>
                <w:rFonts w:asciiTheme="minorHAnsi" w:hAnsiTheme="minorHAnsi" w:cstheme="minorHAnsi"/>
                <w:sz w:val="20"/>
              </w:rPr>
              <w:t xml:space="preserve">The costs incurred in Phase </w:t>
            </w:r>
            <w:r w:rsidR="00284FD0">
              <w:rPr>
                <w:rFonts w:asciiTheme="minorHAnsi" w:hAnsiTheme="minorHAnsi" w:cstheme="minorHAnsi"/>
                <w:sz w:val="20"/>
              </w:rPr>
              <w:t>1</w:t>
            </w:r>
          </w:p>
        </w:tc>
        <w:tc>
          <w:tcPr>
            <w:tcW w:w="0" w:type="pct"/>
          </w:tcPr>
          <w:p w14:paraId="01F8C363" w14:textId="1E7C552C" w:rsidR="00ED5564" w:rsidRPr="00F44C5E" w:rsidRDefault="00C60DB0" w:rsidP="009005E5">
            <w:pPr>
              <w:pStyle w:val="Bullet"/>
              <w:numPr>
                <w:ilvl w:val="0"/>
                <w:numId w:val="0"/>
              </w:numPr>
              <w:spacing w:line="240" w:lineRule="auto"/>
              <w:rPr>
                <w:rFonts w:cstheme="minorHAnsi"/>
                <w:sz w:val="20"/>
              </w:rPr>
            </w:pPr>
            <w:r w:rsidRPr="00F44C5E">
              <w:rPr>
                <w:rFonts w:asciiTheme="minorHAnsi" w:hAnsiTheme="minorHAnsi" w:cstheme="minorHAnsi"/>
                <w:sz w:val="20"/>
              </w:rPr>
              <w:t>-$40,000</w:t>
            </w:r>
          </w:p>
        </w:tc>
      </w:tr>
      <w:tr w:rsidR="00215C7F" w:rsidRPr="007D6633" w14:paraId="2A281FBF" w14:textId="77777777" w:rsidTr="00215C7F">
        <w:tc>
          <w:tcPr>
            <w:tcW w:w="0" w:type="pct"/>
          </w:tcPr>
          <w:p w14:paraId="3CB6B579" w14:textId="3EACB7B9" w:rsidR="00ED5564" w:rsidRPr="00A61BA0" w:rsidRDefault="00ED5564" w:rsidP="009005E5">
            <w:pPr>
              <w:pStyle w:val="Bullet"/>
              <w:numPr>
                <w:ilvl w:val="0"/>
                <w:numId w:val="0"/>
              </w:numPr>
              <w:spacing w:line="240" w:lineRule="auto"/>
              <w:rPr>
                <w:rFonts w:asciiTheme="minorHAnsi" w:hAnsiTheme="minorHAnsi" w:cstheme="minorHAnsi"/>
                <w:sz w:val="20"/>
              </w:rPr>
            </w:pPr>
            <w:r w:rsidRPr="00A61BA0">
              <w:rPr>
                <w:rFonts w:asciiTheme="minorHAnsi" w:hAnsiTheme="minorHAnsi" w:cstheme="minorHAnsi"/>
                <w:sz w:val="20"/>
              </w:rPr>
              <w:t xml:space="preserve">The costs incurred in Phase </w:t>
            </w:r>
            <w:r w:rsidR="00284FD0">
              <w:rPr>
                <w:rFonts w:asciiTheme="minorHAnsi" w:hAnsiTheme="minorHAnsi" w:cstheme="minorHAnsi"/>
                <w:sz w:val="20"/>
              </w:rPr>
              <w:t>2</w:t>
            </w:r>
            <w:r w:rsidRPr="00A61BA0">
              <w:rPr>
                <w:rFonts w:asciiTheme="minorHAnsi" w:hAnsiTheme="minorHAnsi" w:cstheme="minorHAnsi"/>
                <w:sz w:val="20"/>
              </w:rPr>
              <w:t xml:space="preserve"> </w:t>
            </w:r>
          </w:p>
        </w:tc>
        <w:tc>
          <w:tcPr>
            <w:tcW w:w="0" w:type="pct"/>
          </w:tcPr>
          <w:p w14:paraId="485CC616" w14:textId="10F403FA" w:rsidR="00ED5564" w:rsidRPr="00F44C5E" w:rsidRDefault="00ED5564" w:rsidP="009005E5">
            <w:pPr>
              <w:pStyle w:val="Bullet"/>
              <w:numPr>
                <w:ilvl w:val="0"/>
                <w:numId w:val="0"/>
              </w:numPr>
              <w:spacing w:line="240" w:lineRule="auto"/>
              <w:rPr>
                <w:rFonts w:cstheme="minorHAnsi"/>
                <w:sz w:val="20"/>
              </w:rPr>
            </w:pPr>
            <w:r w:rsidRPr="00F44C5E">
              <w:rPr>
                <w:rFonts w:asciiTheme="minorHAnsi" w:hAnsiTheme="minorHAnsi" w:cstheme="minorHAnsi"/>
                <w:sz w:val="20"/>
              </w:rPr>
              <w:t>+$</w:t>
            </w:r>
            <w:r w:rsidR="00EF36E3" w:rsidRPr="00F44C5E">
              <w:rPr>
                <w:rFonts w:asciiTheme="minorHAnsi" w:hAnsiTheme="minorHAnsi" w:cstheme="minorHAnsi"/>
                <w:sz w:val="20"/>
              </w:rPr>
              <w:t>878</w:t>
            </w:r>
            <w:r w:rsidRPr="00F44C5E">
              <w:rPr>
                <w:rFonts w:asciiTheme="minorHAnsi" w:hAnsiTheme="minorHAnsi" w:cstheme="minorHAnsi"/>
                <w:sz w:val="20"/>
              </w:rPr>
              <w:t>,000</w:t>
            </w:r>
          </w:p>
        </w:tc>
      </w:tr>
      <w:tr w:rsidR="00215C7F" w:rsidRPr="007D6633" w14:paraId="5968D700" w14:textId="77777777" w:rsidTr="00215C7F">
        <w:tc>
          <w:tcPr>
            <w:tcW w:w="0" w:type="pct"/>
          </w:tcPr>
          <w:p w14:paraId="6056AF7C" w14:textId="77777777" w:rsidR="00ED5564" w:rsidRPr="00A61BA0" w:rsidRDefault="00ED5564" w:rsidP="009005E5">
            <w:pPr>
              <w:pStyle w:val="Bullet"/>
              <w:numPr>
                <w:ilvl w:val="0"/>
                <w:numId w:val="0"/>
              </w:numPr>
              <w:spacing w:line="240" w:lineRule="auto"/>
              <w:rPr>
                <w:rFonts w:asciiTheme="minorHAnsi" w:hAnsiTheme="minorHAnsi" w:cstheme="minorHAnsi"/>
                <w:sz w:val="20"/>
              </w:rPr>
            </w:pPr>
            <w:r w:rsidRPr="00A61BA0">
              <w:rPr>
                <w:rFonts w:asciiTheme="minorHAnsi" w:hAnsiTheme="minorHAnsi" w:cstheme="minorHAnsi"/>
                <w:sz w:val="20"/>
              </w:rPr>
              <w:t>The costs incurred in proposing remedies</w:t>
            </w:r>
          </w:p>
        </w:tc>
        <w:tc>
          <w:tcPr>
            <w:tcW w:w="0" w:type="pct"/>
          </w:tcPr>
          <w:p w14:paraId="789724B9" w14:textId="1EC95728" w:rsidR="00ED5564" w:rsidRPr="00F44C5E" w:rsidRDefault="00D36462" w:rsidP="009005E5">
            <w:pPr>
              <w:pStyle w:val="Bullet"/>
              <w:numPr>
                <w:ilvl w:val="0"/>
                <w:numId w:val="0"/>
              </w:numPr>
              <w:spacing w:line="240" w:lineRule="auto"/>
              <w:rPr>
                <w:rFonts w:cstheme="minorHAnsi"/>
                <w:sz w:val="20"/>
              </w:rPr>
            </w:pPr>
            <w:r w:rsidRPr="00F44C5E">
              <w:rPr>
                <w:rFonts w:asciiTheme="minorHAnsi" w:hAnsiTheme="minorHAnsi" w:cstheme="minorHAnsi"/>
                <w:sz w:val="20"/>
              </w:rPr>
              <w:t>+$240,000</w:t>
            </w:r>
          </w:p>
        </w:tc>
      </w:tr>
      <w:tr w:rsidR="00215C7F" w:rsidRPr="007D6633" w14:paraId="43ACCA7F" w14:textId="77777777" w:rsidTr="00215C7F">
        <w:tc>
          <w:tcPr>
            <w:tcW w:w="0" w:type="pct"/>
          </w:tcPr>
          <w:p w14:paraId="260CF657" w14:textId="77777777" w:rsidR="00ED5564" w:rsidRPr="00A61BA0" w:rsidRDefault="00ED5564" w:rsidP="009005E5">
            <w:pPr>
              <w:pStyle w:val="Bullet"/>
              <w:numPr>
                <w:ilvl w:val="0"/>
                <w:numId w:val="0"/>
              </w:numPr>
              <w:spacing w:line="240" w:lineRule="auto"/>
              <w:rPr>
                <w:rFonts w:asciiTheme="minorHAnsi" w:hAnsiTheme="minorHAnsi" w:cstheme="minorHAnsi"/>
                <w:sz w:val="20"/>
              </w:rPr>
            </w:pPr>
            <w:r w:rsidRPr="00A61BA0">
              <w:rPr>
                <w:rFonts w:asciiTheme="minorHAnsi" w:hAnsiTheme="minorHAnsi" w:cstheme="minorHAnsi"/>
                <w:sz w:val="20"/>
              </w:rPr>
              <w:t xml:space="preserve">The costs incurred in any review by the Federal Court (excluding any fees) </w:t>
            </w:r>
          </w:p>
        </w:tc>
        <w:tc>
          <w:tcPr>
            <w:tcW w:w="0" w:type="pct"/>
          </w:tcPr>
          <w:p w14:paraId="5A532B31" w14:textId="443B93AD" w:rsidR="00ED5564" w:rsidRPr="00F44C5E" w:rsidRDefault="00A04C59" w:rsidP="009005E5">
            <w:pPr>
              <w:pStyle w:val="Bullet"/>
              <w:numPr>
                <w:ilvl w:val="0"/>
                <w:numId w:val="0"/>
              </w:numPr>
              <w:spacing w:line="240" w:lineRule="auto"/>
              <w:rPr>
                <w:rFonts w:cstheme="minorHAnsi"/>
                <w:sz w:val="20"/>
              </w:rPr>
            </w:pPr>
            <w:r w:rsidRPr="00F44C5E">
              <w:rPr>
                <w:rFonts w:asciiTheme="minorHAnsi" w:hAnsiTheme="minorHAnsi" w:cstheme="minorHAnsi"/>
                <w:sz w:val="20"/>
              </w:rPr>
              <w:t>+$45,000</w:t>
            </w:r>
          </w:p>
        </w:tc>
      </w:tr>
    </w:tbl>
    <w:p w14:paraId="3F354094" w14:textId="77777777" w:rsidR="00947E3E" w:rsidRDefault="00947E3E" w:rsidP="00947E3E">
      <w:pPr>
        <w:spacing w:after="0" w:line="240" w:lineRule="auto"/>
      </w:pPr>
    </w:p>
    <w:p w14:paraId="10BDD57D" w14:textId="3CDF33D3" w:rsidR="00BC5A30" w:rsidRDefault="00BC5A30" w:rsidP="00BC5A30">
      <w:pPr>
        <w:pStyle w:val="Bullet"/>
        <w:numPr>
          <w:ilvl w:val="0"/>
          <w:numId w:val="0"/>
        </w:numPr>
        <w:spacing w:line="240" w:lineRule="auto"/>
        <w:rPr>
          <w:rFonts w:asciiTheme="majorHAnsi" w:hAnsiTheme="majorHAnsi" w:cstheme="majorHAnsi"/>
        </w:rPr>
      </w:pPr>
      <w:r>
        <w:rPr>
          <w:rFonts w:asciiTheme="majorHAnsi" w:hAnsiTheme="majorHAnsi" w:cstheme="majorHAnsi"/>
        </w:rPr>
        <w:t>The annual</w:t>
      </w:r>
      <w:r w:rsidR="0042349E">
        <w:rPr>
          <w:rFonts w:asciiTheme="majorHAnsi" w:hAnsiTheme="majorHAnsi" w:cstheme="majorHAnsi"/>
        </w:rPr>
        <w:t xml:space="preserve"> direct</w:t>
      </w:r>
      <w:r>
        <w:rPr>
          <w:rFonts w:asciiTheme="majorHAnsi" w:hAnsiTheme="majorHAnsi" w:cstheme="majorHAnsi"/>
        </w:rPr>
        <w:t xml:space="preserve"> cost </w:t>
      </w:r>
      <w:r w:rsidRPr="005B4109">
        <w:rPr>
          <w:rFonts w:asciiTheme="majorHAnsi" w:hAnsiTheme="majorHAnsi" w:cstheme="majorHAnsi"/>
        </w:rPr>
        <w:t>under Option 4 (assuming 300 notifications per year</w:t>
      </w:r>
      <w:r w:rsidR="00125A93" w:rsidRPr="005B4109">
        <w:rPr>
          <w:rFonts w:asciiTheme="majorHAnsi" w:hAnsiTheme="majorHAnsi" w:cstheme="majorHAnsi"/>
        </w:rPr>
        <w:t>, and 1 merger authorisation</w:t>
      </w:r>
      <w:r w:rsidRPr="005B4109">
        <w:rPr>
          <w:rFonts w:asciiTheme="majorHAnsi" w:hAnsiTheme="majorHAnsi" w:cstheme="majorHAnsi"/>
        </w:rPr>
        <w:t>) is estimated to be $</w:t>
      </w:r>
      <w:r w:rsidR="00B151EB" w:rsidRPr="005B4109">
        <w:rPr>
          <w:rFonts w:asciiTheme="majorHAnsi" w:hAnsiTheme="majorHAnsi" w:cstheme="majorHAnsi"/>
        </w:rPr>
        <w:t>22.1</w:t>
      </w:r>
      <w:r w:rsidRPr="005B4109">
        <w:rPr>
          <w:rFonts w:asciiTheme="majorHAnsi" w:hAnsiTheme="majorHAnsi" w:cstheme="majorHAnsi"/>
        </w:rPr>
        <w:t xml:space="preserve"> million above the status quo.</w:t>
      </w:r>
      <w:r>
        <w:rPr>
          <w:rFonts w:asciiTheme="majorHAnsi" w:hAnsiTheme="majorHAnsi" w:cstheme="majorHAnsi"/>
        </w:rPr>
        <w:t xml:space="preserve"> </w:t>
      </w:r>
    </w:p>
    <w:p w14:paraId="78FB4E6C" w14:textId="15EE2BA8" w:rsidR="00947E3E" w:rsidRDefault="00947E3E" w:rsidP="00947E3E">
      <w:pPr>
        <w:spacing w:line="240" w:lineRule="auto"/>
      </w:pPr>
      <w:r>
        <w:t xml:space="preserve">A key driver of the total costs under Option 4 is that both business and the ACCC will need to expend additional </w:t>
      </w:r>
      <w:r w:rsidR="00816A4F">
        <w:t>cost</w:t>
      </w:r>
      <w:r w:rsidR="00870FFE">
        <w:t>s</w:t>
      </w:r>
      <w:r w:rsidR="00816A4F">
        <w:t xml:space="preserve"> </w:t>
      </w:r>
      <w:r>
        <w:t>on litigation</w:t>
      </w:r>
      <w:r w:rsidR="005E3A36">
        <w:t>,</w:t>
      </w:r>
      <w:r>
        <w:t xml:space="preserve"> which are likely to be higher than costs in an administrative system. </w:t>
      </w:r>
    </w:p>
    <w:p w14:paraId="5BFC6B36" w14:textId="22D01E8C" w:rsidR="00947E3E" w:rsidRDefault="00947E3E" w:rsidP="00947E3E">
      <w:pPr>
        <w:spacing w:line="240" w:lineRule="auto"/>
      </w:pPr>
      <w:r>
        <w:t xml:space="preserve">The regulatory burden of Option 4 (compared to the status quo) is set out in </w:t>
      </w:r>
      <w:r w:rsidRPr="00744366">
        <w:t xml:space="preserve">Table </w:t>
      </w:r>
      <w:r w:rsidR="008A02A9" w:rsidRPr="00744366">
        <w:t>8</w:t>
      </w:r>
      <w:r>
        <w:t xml:space="preserve"> below. The underlying methodology for these calculations is provided at </w:t>
      </w:r>
      <w:r w:rsidRPr="00996ADD">
        <w:rPr>
          <w:u w:val="single"/>
        </w:rPr>
        <w:t>Attachment A</w:t>
      </w:r>
      <w:r>
        <w:t xml:space="preserve">. </w:t>
      </w:r>
    </w:p>
    <w:p w14:paraId="7DA9D8B2" w14:textId="7CDF0828" w:rsidR="00947E3E" w:rsidRPr="00255DEF" w:rsidRDefault="00947E3E" w:rsidP="00255DEF">
      <w:pPr>
        <w:rPr>
          <w:color w:val="2C384A" w:themeColor="accent1"/>
        </w:rPr>
      </w:pPr>
      <w:r w:rsidRPr="00255DEF">
        <w:rPr>
          <w:b/>
          <w:color w:val="2C384A" w:themeColor="accent1"/>
        </w:rPr>
        <w:t xml:space="preserve">Table </w:t>
      </w:r>
      <w:r w:rsidR="00BB7046" w:rsidRPr="00255DEF">
        <w:rPr>
          <w:b/>
          <w:color w:val="2C384A" w:themeColor="accent1"/>
        </w:rPr>
        <w:t>8</w:t>
      </w:r>
      <w:r w:rsidRPr="00255DEF">
        <w:rPr>
          <w:b/>
          <w:color w:val="2C384A" w:themeColor="accent1"/>
        </w:rPr>
        <w:t xml:space="preserve">. Regulatory </w:t>
      </w:r>
      <w:r w:rsidR="00547938" w:rsidRPr="00255DEF">
        <w:rPr>
          <w:b/>
          <w:color w:val="2C384A" w:themeColor="accent1"/>
        </w:rPr>
        <w:t xml:space="preserve">cost </w:t>
      </w:r>
      <w:r w:rsidRPr="00255DEF">
        <w:rPr>
          <w:b/>
          <w:color w:val="2C384A" w:themeColor="accent1"/>
        </w:rPr>
        <w:t>estimate – Option 4</w:t>
      </w:r>
    </w:p>
    <w:tbl>
      <w:tblPr>
        <w:tblStyle w:val="TableGrid"/>
        <w:tblW w:w="5000" w:type="pct"/>
        <w:tblBorders>
          <w:bottom w:val="single" w:sz="18" w:space="0" w:color="auto"/>
          <w:insideH w:val="single" w:sz="4" w:space="0" w:color="auto"/>
        </w:tblBorders>
        <w:tblLayout w:type="fixed"/>
        <w:tblLook w:val="04A0" w:firstRow="1" w:lastRow="0" w:firstColumn="1" w:lastColumn="0" w:noHBand="0" w:noVBand="1"/>
      </w:tblPr>
      <w:tblGrid>
        <w:gridCol w:w="1806"/>
        <w:gridCol w:w="1805"/>
        <w:gridCol w:w="1805"/>
        <w:gridCol w:w="1805"/>
        <w:gridCol w:w="1805"/>
      </w:tblGrid>
      <w:tr w:rsidR="00852341" w:rsidRPr="007D6633" w14:paraId="59C754DD" w14:textId="77777777" w:rsidTr="003E5F58">
        <w:trPr>
          <w:cnfStyle w:val="100000000000" w:firstRow="1" w:lastRow="0" w:firstColumn="0" w:lastColumn="0" w:oddVBand="0" w:evenVBand="0" w:oddHBand="0" w:evenHBand="0" w:firstRowFirstColumn="0" w:firstRowLastColumn="0" w:lastRowFirstColumn="0" w:lastRowLastColumn="0"/>
        </w:trPr>
        <w:tc>
          <w:tcPr>
            <w:tcW w:w="0" w:type="pct"/>
            <w:shd w:val="clear" w:color="auto" w:fill="2C384A" w:themeFill="accent1"/>
          </w:tcPr>
          <w:p w14:paraId="77EB1BF2" w14:textId="77777777" w:rsidR="00947E3E" w:rsidRPr="00744366" w:rsidRDefault="00947E3E">
            <w:pPr>
              <w:pStyle w:val="Bullet"/>
              <w:keepNext/>
              <w:numPr>
                <w:ilvl w:val="0"/>
                <w:numId w:val="0"/>
              </w:numPr>
              <w:spacing w:line="240" w:lineRule="auto"/>
              <w:rPr>
                <w:color w:val="FFFFFF" w:themeColor="background1"/>
                <w:sz w:val="22"/>
                <w:szCs w:val="22"/>
              </w:rPr>
            </w:pPr>
            <w:r w:rsidRPr="00744366">
              <w:rPr>
                <w:color w:val="FFFFFF" w:themeColor="background1"/>
                <w:szCs w:val="22"/>
              </w:rPr>
              <w:t xml:space="preserve">Change in costs </w:t>
            </w:r>
            <w:r w:rsidRPr="00744366">
              <w:rPr>
                <w:color w:val="FFFFFF" w:themeColor="background1"/>
                <w:szCs w:val="22"/>
              </w:rPr>
              <w:br/>
              <w:t>($ million)</w:t>
            </w:r>
          </w:p>
        </w:tc>
        <w:tc>
          <w:tcPr>
            <w:tcW w:w="0" w:type="pct"/>
            <w:shd w:val="clear" w:color="auto" w:fill="2C384A" w:themeFill="accent1"/>
          </w:tcPr>
          <w:p w14:paraId="119C19B7" w14:textId="77777777" w:rsidR="00947E3E" w:rsidRPr="00744366" w:rsidRDefault="00947E3E">
            <w:pPr>
              <w:pStyle w:val="Bullet"/>
              <w:keepNext/>
              <w:numPr>
                <w:ilvl w:val="0"/>
                <w:numId w:val="0"/>
              </w:numPr>
              <w:spacing w:line="240" w:lineRule="auto"/>
              <w:rPr>
                <w:color w:val="FFFFFF" w:themeColor="background1"/>
                <w:sz w:val="22"/>
                <w:szCs w:val="22"/>
              </w:rPr>
            </w:pPr>
            <w:r w:rsidRPr="00744366">
              <w:rPr>
                <w:color w:val="FFFFFF" w:themeColor="background1"/>
                <w:szCs w:val="22"/>
              </w:rPr>
              <w:t>Business</w:t>
            </w:r>
          </w:p>
        </w:tc>
        <w:tc>
          <w:tcPr>
            <w:tcW w:w="0" w:type="pct"/>
            <w:shd w:val="clear" w:color="auto" w:fill="2C384A" w:themeFill="accent1"/>
          </w:tcPr>
          <w:p w14:paraId="2C932C44" w14:textId="77777777" w:rsidR="00947E3E" w:rsidRPr="00744366" w:rsidRDefault="00947E3E">
            <w:pPr>
              <w:pStyle w:val="Bullet"/>
              <w:keepNext/>
              <w:numPr>
                <w:ilvl w:val="0"/>
                <w:numId w:val="0"/>
              </w:numPr>
              <w:spacing w:line="240" w:lineRule="auto"/>
              <w:rPr>
                <w:color w:val="FFFFFF" w:themeColor="background1"/>
                <w:sz w:val="22"/>
                <w:szCs w:val="22"/>
              </w:rPr>
            </w:pPr>
            <w:r w:rsidRPr="00744366">
              <w:rPr>
                <w:color w:val="FFFFFF" w:themeColor="background1"/>
                <w:szCs w:val="22"/>
              </w:rPr>
              <w:t>Community organisations</w:t>
            </w:r>
          </w:p>
        </w:tc>
        <w:tc>
          <w:tcPr>
            <w:tcW w:w="0" w:type="pct"/>
            <w:shd w:val="clear" w:color="auto" w:fill="2C384A" w:themeFill="accent1"/>
          </w:tcPr>
          <w:p w14:paraId="2515FBAE" w14:textId="77777777" w:rsidR="00947E3E" w:rsidRPr="00744366" w:rsidRDefault="00947E3E">
            <w:pPr>
              <w:pStyle w:val="Bullet"/>
              <w:keepNext/>
              <w:numPr>
                <w:ilvl w:val="0"/>
                <w:numId w:val="0"/>
              </w:numPr>
              <w:spacing w:line="240" w:lineRule="auto"/>
              <w:ind w:left="520" w:hanging="520"/>
              <w:rPr>
                <w:color w:val="FFFFFF" w:themeColor="background1"/>
                <w:sz w:val="22"/>
                <w:szCs w:val="22"/>
              </w:rPr>
            </w:pPr>
            <w:r w:rsidRPr="00744366">
              <w:rPr>
                <w:color w:val="FFFFFF" w:themeColor="background1"/>
                <w:szCs w:val="22"/>
              </w:rPr>
              <w:t>Individuals</w:t>
            </w:r>
          </w:p>
        </w:tc>
        <w:tc>
          <w:tcPr>
            <w:tcW w:w="0" w:type="pct"/>
            <w:shd w:val="clear" w:color="auto" w:fill="2C384A" w:themeFill="accent1"/>
          </w:tcPr>
          <w:p w14:paraId="576506EB" w14:textId="18F8F33D" w:rsidR="00947E3E" w:rsidRPr="00744366" w:rsidRDefault="00947E3E">
            <w:pPr>
              <w:pStyle w:val="Bullet"/>
              <w:keepNext/>
              <w:numPr>
                <w:ilvl w:val="0"/>
                <w:numId w:val="0"/>
              </w:numPr>
              <w:spacing w:line="240" w:lineRule="auto"/>
              <w:rPr>
                <w:color w:val="FFFFFF" w:themeColor="background1"/>
                <w:sz w:val="22"/>
                <w:szCs w:val="22"/>
              </w:rPr>
            </w:pPr>
            <w:r w:rsidRPr="00744366">
              <w:rPr>
                <w:color w:val="FFFFFF" w:themeColor="background1"/>
                <w:szCs w:val="22"/>
              </w:rPr>
              <w:t>Total change in costs</w:t>
            </w:r>
            <w:r w:rsidR="00E647E8" w:rsidRPr="00744366">
              <w:rPr>
                <w:color w:val="FFFFFF" w:themeColor="background1"/>
                <w:szCs w:val="22"/>
              </w:rPr>
              <w:t xml:space="preserve"> (annual)</w:t>
            </w:r>
          </w:p>
        </w:tc>
      </w:tr>
      <w:tr w:rsidR="00A90A43" w:rsidRPr="007D6633" w14:paraId="251F0129" w14:textId="77777777" w:rsidTr="003E5F58">
        <w:tc>
          <w:tcPr>
            <w:tcW w:w="0" w:type="pct"/>
          </w:tcPr>
          <w:p w14:paraId="4F0F86EA" w14:textId="77777777" w:rsidR="00947E3E" w:rsidRPr="00EA087A" w:rsidRDefault="00947E3E">
            <w:pPr>
              <w:pStyle w:val="Bullet"/>
              <w:numPr>
                <w:ilvl w:val="0"/>
                <w:numId w:val="0"/>
              </w:numPr>
              <w:spacing w:line="240" w:lineRule="auto"/>
              <w:ind w:left="520" w:hanging="520"/>
              <w:rPr>
                <w:rFonts w:asciiTheme="minorHAnsi" w:hAnsiTheme="minorHAnsi" w:cstheme="minorHAnsi"/>
                <w:sz w:val="20"/>
              </w:rPr>
            </w:pPr>
            <w:r w:rsidRPr="00EA087A">
              <w:rPr>
                <w:rFonts w:asciiTheme="minorHAnsi" w:hAnsiTheme="minorHAnsi" w:cstheme="minorHAnsi"/>
                <w:sz w:val="20"/>
              </w:rPr>
              <w:t>Total, by sector</w:t>
            </w:r>
          </w:p>
        </w:tc>
        <w:tc>
          <w:tcPr>
            <w:tcW w:w="0" w:type="pct"/>
          </w:tcPr>
          <w:p w14:paraId="21B796AD" w14:textId="4AC099B7" w:rsidR="00947E3E" w:rsidRPr="00DA5322" w:rsidRDefault="00947E3E">
            <w:pPr>
              <w:pStyle w:val="Bullet"/>
              <w:numPr>
                <w:ilvl w:val="0"/>
                <w:numId w:val="0"/>
              </w:numPr>
              <w:spacing w:line="240" w:lineRule="auto"/>
              <w:rPr>
                <w:rFonts w:asciiTheme="minorHAnsi" w:hAnsiTheme="minorHAnsi" w:cstheme="minorHAnsi"/>
                <w:sz w:val="20"/>
              </w:rPr>
            </w:pPr>
            <w:r w:rsidRPr="00DA5322">
              <w:rPr>
                <w:rFonts w:asciiTheme="minorHAnsi" w:hAnsiTheme="minorHAnsi" w:cstheme="minorHAnsi"/>
                <w:sz w:val="20"/>
              </w:rPr>
              <w:t>$</w:t>
            </w:r>
            <w:r w:rsidR="00B151EB" w:rsidRPr="00DA5322">
              <w:rPr>
                <w:rFonts w:asciiTheme="minorHAnsi" w:hAnsiTheme="minorHAnsi" w:cstheme="minorHAnsi"/>
                <w:sz w:val="20"/>
              </w:rPr>
              <w:t>22.1</w:t>
            </w:r>
          </w:p>
        </w:tc>
        <w:tc>
          <w:tcPr>
            <w:tcW w:w="0" w:type="pct"/>
          </w:tcPr>
          <w:p w14:paraId="1B1C3242" w14:textId="77777777" w:rsidR="00947E3E" w:rsidRPr="00DA5322" w:rsidRDefault="00947E3E">
            <w:pPr>
              <w:pStyle w:val="Bullet"/>
              <w:numPr>
                <w:ilvl w:val="0"/>
                <w:numId w:val="0"/>
              </w:numPr>
              <w:spacing w:line="240" w:lineRule="auto"/>
              <w:ind w:left="520" w:hanging="520"/>
              <w:rPr>
                <w:rFonts w:asciiTheme="minorHAnsi" w:hAnsiTheme="minorHAnsi" w:cstheme="minorHAnsi"/>
                <w:sz w:val="20"/>
              </w:rPr>
            </w:pPr>
            <w:r w:rsidRPr="00DA5322">
              <w:rPr>
                <w:rFonts w:asciiTheme="minorHAnsi" w:hAnsiTheme="minorHAnsi" w:cstheme="minorHAnsi"/>
                <w:sz w:val="20"/>
              </w:rPr>
              <w:t>$ NIL</w:t>
            </w:r>
          </w:p>
        </w:tc>
        <w:tc>
          <w:tcPr>
            <w:tcW w:w="0" w:type="pct"/>
          </w:tcPr>
          <w:p w14:paraId="23C0C56D" w14:textId="77777777" w:rsidR="00947E3E" w:rsidRPr="00DA5322" w:rsidRDefault="00947E3E">
            <w:pPr>
              <w:pStyle w:val="Bullet"/>
              <w:numPr>
                <w:ilvl w:val="0"/>
                <w:numId w:val="0"/>
              </w:numPr>
              <w:spacing w:line="240" w:lineRule="auto"/>
              <w:ind w:left="520" w:hanging="520"/>
              <w:rPr>
                <w:rFonts w:asciiTheme="minorHAnsi" w:hAnsiTheme="minorHAnsi" w:cstheme="minorHAnsi"/>
                <w:sz w:val="20"/>
              </w:rPr>
            </w:pPr>
            <w:r w:rsidRPr="00DA5322">
              <w:rPr>
                <w:rFonts w:asciiTheme="minorHAnsi" w:hAnsiTheme="minorHAnsi" w:cstheme="minorHAnsi"/>
                <w:sz w:val="20"/>
              </w:rPr>
              <w:t>$ NIL</w:t>
            </w:r>
          </w:p>
        </w:tc>
        <w:tc>
          <w:tcPr>
            <w:tcW w:w="0" w:type="pct"/>
          </w:tcPr>
          <w:p w14:paraId="3562A9F6" w14:textId="6FEDD86D" w:rsidR="00947E3E" w:rsidRPr="00DA5322" w:rsidRDefault="00947E3E">
            <w:pPr>
              <w:pStyle w:val="Bullet"/>
              <w:numPr>
                <w:ilvl w:val="0"/>
                <w:numId w:val="0"/>
              </w:numPr>
              <w:spacing w:line="240" w:lineRule="auto"/>
              <w:ind w:left="520" w:hanging="520"/>
              <w:rPr>
                <w:rFonts w:asciiTheme="minorHAnsi" w:hAnsiTheme="minorHAnsi" w:cstheme="minorHAnsi"/>
                <w:sz w:val="20"/>
              </w:rPr>
            </w:pPr>
            <w:r w:rsidRPr="00DA5322">
              <w:rPr>
                <w:rFonts w:asciiTheme="minorHAnsi" w:hAnsiTheme="minorHAnsi" w:cstheme="minorHAnsi"/>
                <w:sz w:val="20"/>
              </w:rPr>
              <w:t>$</w:t>
            </w:r>
            <w:r w:rsidR="00B151EB" w:rsidRPr="00DA5322">
              <w:rPr>
                <w:rFonts w:asciiTheme="minorHAnsi" w:hAnsiTheme="minorHAnsi" w:cstheme="minorHAnsi"/>
                <w:sz w:val="20"/>
              </w:rPr>
              <w:t>22.1</w:t>
            </w:r>
          </w:p>
        </w:tc>
      </w:tr>
    </w:tbl>
    <w:p w14:paraId="317C3D9D" w14:textId="77777777" w:rsidR="00947E3E" w:rsidRDefault="00947E3E" w:rsidP="00255DEF">
      <w:pPr>
        <w:pStyle w:val="Heading3"/>
        <w:spacing w:after="120" w:line="240" w:lineRule="auto"/>
      </w:pPr>
      <w:bookmarkStart w:id="86" w:name="_Toc176972383"/>
      <w:bookmarkStart w:id="87" w:name="_Toc158988649"/>
      <w:bookmarkStart w:id="88" w:name="_Toc160013907"/>
      <w:bookmarkStart w:id="89" w:name="_Toc162428386"/>
      <w:bookmarkEnd w:id="68"/>
      <w:bookmarkEnd w:id="69"/>
      <w:bookmarkEnd w:id="70"/>
      <w:r>
        <w:t>Net Benefit</w:t>
      </w:r>
      <w:bookmarkEnd w:id="86"/>
    </w:p>
    <w:p w14:paraId="427F5345" w14:textId="52D8ED27" w:rsidR="008E0F98" w:rsidRPr="00AB303F" w:rsidRDefault="008E0F98" w:rsidP="00F47C78">
      <w:pPr>
        <w:spacing w:line="240" w:lineRule="auto"/>
      </w:pPr>
      <w:r>
        <w:t xml:space="preserve">Option 4 is a judicial enforcement model that requires mandatory notification. Option 4 will partially achieve the </w:t>
      </w:r>
      <w:r w:rsidRPr="00AB303F">
        <w:t>benefits of more effective merger control described in Option 2 to the extent that they relate to the mandatory notification of mergers. These benefits are expected to exceed the</w:t>
      </w:r>
      <w:r w:rsidR="00947E3E" w:rsidRPr="00AB303F">
        <w:t xml:space="preserve"> costs </w:t>
      </w:r>
      <w:r w:rsidRPr="00AB303F">
        <w:t xml:space="preserve">of </w:t>
      </w:r>
      <w:r w:rsidR="00947E3E" w:rsidRPr="00AB303F">
        <w:t>$</w:t>
      </w:r>
      <w:r w:rsidR="00F0293D" w:rsidRPr="00AB303F">
        <w:t>182</w:t>
      </w:r>
      <w:r w:rsidR="0046130E">
        <w:t>.3</w:t>
      </w:r>
      <w:r w:rsidR="00E51C9B" w:rsidRPr="00AB303F">
        <w:t xml:space="preserve"> </w:t>
      </w:r>
      <w:r w:rsidR="00947E3E" w:rsidRPr="00AB303F">
        <w:t>million</w:t>
      </w:r>
      <w:r w:rsidRPr="00AB303F">
        <w:t xml:space="preserve">. </w:t>
      </w:r>
    </w:p>
    <w:p w14:paraId="065480F6" w14:textId="191D5001" w:rsidR="00947E3E" w:rsidRPr="00145F2F" w:rsidRDefault="008E0F98" w:rsidP="00947E3E">
      <w:pPr>
        <w:spacing w:line="240" w:lineRule="auto"/>
      </w:pPr>
      <w:r w:rsidRPr="00AB303F">
        <w:t xml:space="preserve">Compared to </w:t>
      </w:r>
      <w:r w:rsidR="00947E3E" w:rsidRPr="00AB303F">
        <w:t>the status</w:t>
      </w:r>
      <w:r w:rsidR="00947E3E">
        <w:t xml:space="preserve"> quo</w:t>
      </w:r>
      <w:r w:rsidR="0057517E">
        <w:t xml:space="preserve"> (which Treasury estimates to </w:t>
      </w:r>
      <w:r w:rsidR="0057517E" w:rsidRPr="00AB303F">
        <w:t>have a total annual cost of $</w:t>
      </w:r>
      <w:r w:rsidR="00AC217B" w:rsidRPr="00AB303F">
        <w:t>160.2</w:t>
      </w:r>
      <w:r w:rsidR="0057517E" w:rsidRPr="00AB303F">
        <w:t xml:space="preserve"> million</w:t>
      </w:r>
      <w:r w:rsidRPr="00AB303F">
        <w:t>), the incremental benefits will also outweigh the incremental costs, which Treasury estimates to be $</w:t>
      </w:r>
      <w:r w:rsidR="00B151EB" w:rsidRPr="00AB303F">
        <w:t>22.1</w:t>
      </w:r>
      <w:r w:rsidRPr="00AB303F">
        <w:t xml:space="preserve"> million per annum</w:t>
      </w:r>
      <w:r w:rsidR="00D448CD" w:rsidRPr="00AB303F">
        <w:t xml:space="preserve"> more than the status quo</w:t>
      </w:r>
      <w:r w:rsidRPr="00AB303F">
        <w:t>. For a net benefit to occur, the system under Option 4</w:t>
      </w:r>
      <w:r w:rsidR="003642C5" w:rsidRPr="00AB303F">
        <w:t xml:space="preserve"> would</w:t>
      </w:r>
      <w:r w:rsidRPr="00AB303F">
        <w:t xml:space="preserve"> need to prevent </w:t>
      </w:r>
      <w:r w:rsidR="00BE6B98" w:rsidRPr="00AB303F">
        <w:t>one</w:t>
      </w:r>
      <w:r w:rsidRPr="00AB303F">
        <w:t xml:space="preserve"> additional merger that results in a 5 per cent price rise in a market the size of $</w:t>
      </w:r>
      <w:r w:rsidR="00F10FC9" w:rsidRPr="00AB303F">
        <w:t>400 million</w:t>
      </w:r>
      <w:r w:rsidR="00640FDE" w:rsidRPr="00AB303F">
        <w:t xml:space="preserve"> </w:t>
      </w:r>
      <w:r w:rsidRPr="00AB303F">
        <w:t xml:space="preserve">that endures for </w:t>
      </w:r>
      <w:r w:rsidR="00640FDE" w:rsidRPr="00AB303F">
        <w:t xml:space="preserve">a </w:t>
      </w:r>
      <w:r w:rsidRPr="00AB303F">
        <w:t>year (which Treasury estimates would be associated with harm of $</w:t>
      </w:r>
      <w:r w:rsidR="004852D1" w:rsidRPr="00AB303F">
        <w:t xml:space="preserve">20 </w:t>
      </w:r>
      <w:r w:rsidRPr="00AB303F">
        <w:t>million).</w:t>
      </w:r>
      <w:r w:rsidRPr="00AB303F">
        <w:rPr>
          <w:rStyle w:val="FootnoteReference"/>
        </w:rPr>
        <w:footnoteReference w:id="96"/>
      </w:r>
      <w:r>
        <w:t xml:space="preserve">  </w:t>
      </w:r>
    </w:p>
    <w:p w14:paraId="72E4176F" w14:textId="77777777" w:rsidR="00947E3E" w:rsidRDefault="00947E3E" w:rsidP="00947E3E">
      <w:pPr>
        <w:rPr>
          <w:rFonts w:ascii="Calibri" w:eastAsia="Times New Roman" w:hAnsi="Calibri" w:cs="Arial"/>
          <w:b/>
          <w:color w:val="5D779D" w:themeColor="accent3"/>
          <w:kern w:val="32"/>
          <w:sz w:val="44"/>
          <w:szCs w:val="36"/>
          <w:lang w:eastAsia="en-AU"/>
          <w14:ligatures w14:val="none"/>
        </w:rPr>
      </w:pPr>
      <w:r>
        <w:br w:type="page"/>
      </w:r>
    </w:p>
    <w:p w14:paraId="3363F4C3" w14:textId="77777777" w:rsidR="00947E3E" w:rsidRDefault="00947E3E" w:rsidP="00947E3E">
      <w:pPr>
        <w:pStyle w:val="Heading1"/>
      </w:pPr>
      <w:bookmarkStart w:id="90" w:name="_Toc176972384"/>
      <w:r>
        <w:t>5. Who did you consult and how did you incorporate their feedback?</w:t>
      </w:r>
      <w:bookmarkEnd w:id="87"/>
      <w:bookmarkEnd w:id="88"/>
      <w:bookmarkEnd w:id="89"/>
      <w:bookmarkEnd w:id="90"/>
    </w:p>
    <w:p w14:paraId="1CB1A500" w14:textId="2B714CAB" w:rsidR="00947E3E" w:rsidRPr="00ED50BE" w:rsidRDefault="00947E3E" w:rsidP="00947E3E">
      <w:pPr>
        <w:pStyle w:val="Heading2"/>
        <w:spacing w:before="240"/>
      </w:pPr>
      <w:bookmarkStart w:id="91" w:name="_Toc176972385"/>
      <w:r>
        <w:t>Consultation paper</w:t>
      </w:r>
      <w:bookmarkEnd w:id="91"/>
    </w:p>
    <w:p w14:paraId="6613A167" w14:textId="0F949A26" w:rsidR="00947E3E" w:rsidRPr="0062507B" w:rsidRDefault="00947E3E" w:rsidP="00947E3E">
      <w:pPr>
        <w:pStyle w:val="Bullet"/>
        <w:numPr>
          <w:ilvl w:val="0"/>
          <w:numId w:val="0"/>
        </w:numPr>
        <w:spacing w:line="240" w:lineRule="auto"/>
        <w:rPr>
          <w:rFonts w:asciiTheme="minorHAnsi" w:eastAsiaTheme="minorHAnsi" w:hAnsiTheme="minorHAnsi" w:cstheme="minorBidi"/>
          <w:kern w:val="2"/>
          <w:szCs w:val="22"/>
          <w:lang w:eastAsia="en-US"/>
          <w14:ligatures w14:val="standardContextual"/>
        </w:rPr>
      </w:pPr>
      <w:r w:rsidRPr="0062507B">
        <w:rPr>
          <w:rFonts w:asciiTheme="minorHAnsi" w:eastAsiaTheme="minorHAnsi" w:hAnsiTheme="minorHAnsi" w:cstheme="minorBidi"/>
          <w:kern w:val="2"/>
          <w:szCs w:val="22"/>
          <w:lang w:eastAsia="en-US"/>
          <w14:ligatures w14:val="standardContextual"/>
        </w:rPr>
        <w:t xml:space="preserve">Between 20 November 2023 and 19 January 2024, the Competition </w:t>
      </w:r>
      <w:r w:rsidR="007D455B">
        <w:rPr>
          <w:rFonts w:asciiTheme="minorHAnsi" w:eastAsiaTheme="minorHAnsi" w:hAnsiTheme="minorHAnsi" w:cstheme="minorBidi"/>
          <w:kern w:val="2"/>
          <w:szCs w:val="22"/>
          <w:lang w:eastAsia="en-US"/>
          <w14:ligatures w14:val="standardContextual"/>
        </w:rPr>
        <w:t>Taskforce</w:t>
      </w:r>
      <w:r w:rsidR="007D455B" w:rsidRPr="0062507B">
        <w:rPr>
          <w:rFonts w:asciiTheme="minorHAnsi" w:eastAsiaTheme="minorHAnsi" w:hAnsiTheme="minorHAnsi" w:cstheme="minorBidi"/>
          <w:kern w:val="2"/>
          <w:szCs w:val="22"/>
          <w:lang w:eastAsia="en-US"/>
          <w14:ligatures w14:val="standardContextual"/>
        </w:rPr>
        <w:t xml:space="preserve"> </w:t>
      </w:r>
      <w:r w:rsidRPr="0062507B">
        <w:rPr>
          <w:rFonts w:asciiTheme="minorHAnsi" w:eastAsiaTheme="minorHAnsi" w:hAnsiTheme="minorHAnsi" w:cstheme="minorBidi"/>
          <w:kern w:val="2"/>
          <w:szCs w:val="22"/>
          <w:lang w:eastAsia="en-US"/>
          <w14:ligatures w14:val="standardContextual"/>
        </w:rPr>
        <w:t xml:space="preserve">publicly consulted on options for modernising Australia’s </w:t>
      </w:r>
      <w:r>
        <w:rPr>
          <w:rFonts w:asciiTheme="minorHAnsi" w:eastAsiaTheme="minorHAnsi" w:hAnsiTheme="minorHAnsi" w:cstheme="minorBidi"/>
          <w:kern w:val="2"/>
          <w:szCs w:val="22"/>
          <w:lang w:eastAsia="en-US"/>
          <w14:ligatures w14:val="standardContextual"/>
        </w:rPr>
        <w:t xml:space="preserve">approach to </w:t>
      </w:r>
      <w:r w:rsidRPr="0062507B">
        <w:rPr>
          <w:rFonts w:asciiTheme="minorHAnsi" w:eastAsiaTheme="minorHAnsi" w:hAnsiTheme="minorHAnsi" w:cstheme="minorBidi"/>
          <w:kern w:val="2"/>
          <w:szCs w:val="22"/>
          <w:lang w:eastAsia="en-US"/>
          <w14:ligatures w14:val="standardContextual"/>
        </w:rPr>
        <w:t xml:space="preserve">merger </w:t>
      </w:r>
      <w:r>
        <w:rPr>
          <w:rFonts w:asciiTheme="minorHAnsi" w:eastAsiaTheme="minorHAnsi" w:hAnsiTheme="minorHAnsi" w:cstheme="minorBidi"/>
          <w:kern w:val="2"/>
          <w:szCs w:val="22"/>
          <w:lang w:eastAsia="en-US"/>
          <w14:ligatures w14:val="standardContextual"/>
        </w:rPr>
        <w:t>control</w:t>
      </w:r>
      <w:r w:rsidRPr="0062507B">
        <w:rPr>
          <w:rFonts w:asciiTheme="minorHAnsi" w:eastAsiaTheme="minorHAnsi" w:hAnsiTheme="minorHAnsi" w:cstheme="minorBidi"/>
          <w:kern w:val="2"/>
          <w:szCs w:val="22"/>
          <w:lang w:eastAsia="en-US"/>
          <w14:ligatures w14:val="standardContextual"/>
        </w:rPr>
        <w:t>.</w:t>
      </w:r>
      <w:r w:rsidRPr="0062507B">
        <w:rPr>
          <w:rStyle w:val="FootnoteReference"/>
          <w:rFonts w:eastAsiaTheme="minorHAnsi"/>
        </w:rPr>
        <w:footnoteReference w:id="97"/>
      </w:r>
      <w:r w:rsidRPr="0062507B">
        <w:rPr>
          <w:rFonts w:asciiTheme="minorHAnsi" w:eastAsiaTheme="minorHAnsi" w:hAnsiTheme="minorHAnsi" w:cstheme="minorBidi"/>
          <w:kern w:val="2"/>
          <w:szCs w:val="22"/>
          <w:lang w:eastAsia="en-US"/>
          <w14:ligatures w14:val="standardContextual"/>
        </w:rPr>
        <w:t xml:space="preserve"> </w:t>
      </w:r>
    </w:p>
    <w:p w14:paraId="1A23D34C" w14:textId="486CD149" w:rsidR="00947E3E" w:rsidRDefault="00947E3E" w:rsidP="00947E3E">
      <w:pPr>
        <w:pStyle w:val="Bullet"/>
        <w:numPr>
          <w:ilvl w:val="0"/>
          <w:numId w:val="0"/>
        </w:numPr>
        <w:spacing w:line="240" w:lineRule="auto"/>
        <w:rPr>
          <w:rFonts w:asciiTheme="minorHAnsi" w:eastAsiaTheme="minorHAnsi" w:hAnsiTheme="minorHAnsi" w:cstheme="minorBidi"/>
          <w:kern w:val="2"/>
          <w:szCs w:val="22"/>
          <w:lang w:eastAsia="en-US"/>
          <w14:ligatures w14:val="standardContextual"/>
        </w:rPr>
      </w:pPr>
      <w:r w:rsidRPr="0062507B">
        <w:rPr>
          <w:rFonts w:asciiTheme="minorHAnsi" w:eastAsiaTheme="minorHAnsi" w:hAnsiTheme="minorHAnsi" w:cstheme="minorBidi"/>
          <w:kern w:val="2"/>
          <w:szCs w:val="22"/>
          <w:lang w:eastAsia="en-US"/>
          <w14:ligatures w14:val="standardContextual"/>
        </w:rPr>
        <w:t xml:space="preserve">The </w:t>
      </w:r>
      <w:r w:rsidR="006A528C">
        <w:rPr>
          <w:rFonts w:asciiTheme="minorHAnsi" w:eastAsiaTheme="minorHAnsi" w:hAnsiTheme="minorHAnsi" w:cstheme="minorBidi"/>
          <w:kern w:val="2"/>
          <w:szCs w:val="22"/>
          <w:lang w:eastAsia="en-US"/>
          <w14:ligatures w14:val="standardContextual"/>
        </w:rPr>
        <w:t>3</w:t>
      </w:r>
      <w:r w:rsidRPr="0062507B">
        <w:rPr>
          <w:rFonts w:asciiTheme="minorHAnsi" w:eastAsiaTheme="minorHAnsi" w:hAnsiTheme="minorHAnsi" w:cstheme="minorBidi"/>
          <w:kern w:val="2"/>
          <w:szCs w:val="22"/>
          <w:lang w:eastAsia="en-US"/>
          <w14:ligatures w14:val="standardContextual"/>
        </w:rPr>
        <w:t xml:space="preserve"> broad options outlined in the </w:t>
      </w:r>
      <w:r>
        <w:rPr>
          <w:rFonts w:asciiTheme="minorHAnsi" w:eastAsiaTheme="minorHAnsi" w:hAnsiTheme="minorHAnsi" w:cstheme="minorBidi"/>
          <w:kern w:val="2"/>
          <w:szCs w:val="22"/>
          <w:lang w:eastAsia="en-US"/>
          <w14:ligatures w14:val="standardContextual"/>
        </w:rPr>
        <w:t>consultation paper</w:t>
      </w:r>
      <w:r w:rsidRPr="0062507B">
        <w:rPr>
          <w:rFonts w:asciiTheme="minorHAnsi" w:eastAsiaTheme="minorHAnsi" w:hAnsiTheme="minorHAnsi" w:cstheme="minorBidi"/>
          <w:kern w:val="2"/>
          <w:szCs w:val="22"/>
          <w:lang w:eastAsia="en-US"/>
          <w14:ligatures w14:val="standardContextual"/>
        </w:rPr>
        <w:t xml:space="preserve"> draw</w:t>
      </w:r>
      <w:r w:rsidR="00FD2E97">
        <w:rPr>
          <w:rFonts w:asciiTheme="minorHAnsi" w:eastAsiaTheme="minorHAnsi" w:hAnsiTheme="minorHAnsi" w:cstheme="minorBidi"/>
          <w:kern w:val="2"/>
          <w:szCs w:val="22"/>
          <w:lang w:eastAsia="en-US"/>
          <w14:ligatures w14:val="standardContextual"/>
        </w:rPr>
        <w:t>s</w:t>
      </w:r>
      <w:r w:rsidRPr="0062507B">
        <w:rPr>
          <w:rFonts w:asciiTheme="minorHAnsi" w:eastAsiaTheme="minorHAnsi" w:hAnsiTheme="minorHAnsi" w:cstheme="minorBidi"/>
          <w:kern w:val="2"/>
          <w:szCs w:val="22"/>
          <w:lang w:eastAsia="en-US"/>
          <w14:ligatures w14:val="standardContextual"/>
        </w:rPr>
        <w:t xml:space="preserve"> from experience globally.</w:t>
      </w:r>
      <w:r w:rsidRPr="0062507B">
        <w:rPr>
          <w:rStyle w:val="FootnoteReference"/>
          <w:rFonts w:eastAsiaTheme="minorHAnsi"/>
        </w:rPr>
        <w:footnoteReference w:id="98"/>
      </w:r>
      <w:r w:rsidR="00495D53">
        <w:rPr>
          <w:rFonts w:asciiTheme="minorHAnsi" w:eastAsiaTheme="minorHAnsi" w:hAnsiTheme="minorHAnsi" w:cstheme="minorBidi"/>
          <w:kern w:val="2"/>
          <w:szCs w:val="22"/>
          <w:lang w:eastAsia="en-US"/>
          <w14:ligatures w14:val="standardContextual"/>
        </w:rPr>
        <w:t xml:space="preserve"> </w:t>
      </w:r>
      <w:r>
        <w:rPr>
          <w:rFonts w:asciiTheme="minorHAnsi" w:eastAsiaTheme="minorHAnsi" w:hAnsiTheme="minorHAnsi" w:cstheme="minorBidi"/>
          <w:kern w:val="2"/>
          <w:szCs w:val="22"/>
          <w:lang w:eastAsia="en-US"/>
          <w14:ligatures w14:val="standardContextual"/>
        </w:rPr>
        <w:t xml:space="preserve">A range of stakeholders </w:t>
      </w:r>
      <w:r w:rsidRPr="00E2357E">
        <w:rPr>
          <w:rFonts w:asciiTheme="minorHAnsi" w:hAnsiTheme="minorHAnsi" w:cstheme="minorHAnsi"/>
        </w:rPr>
        <w:t xml:space="preserve">representing small and large business, </w:t>
      </w:r>
      <w:r w:rsidR="006D73BD">
        <w:rPr>
          <w:rFonts w:asciiTheme="minorHAnsi" w:hAnsiTheme="minorHAnsi" w:cstheme="minorHAnsi"/>
        </w:rPr>
        <w:t xml:space="preserve">farmers, </w:t>
      </w:r>
      <w:r w:rsidRPr="00E2357E">
        <w:rPr>
          <w:rFonts w:asciiTheme="minorHAnsi" w:hAnsiTheme="minorHAnsi" w:cstheme="minorHAnsi"/>
        </w:rPr>
        <w:t>consumer</w:t>
      </w:r>
      <w:r w:rsidR="006D73BD">
        <w:rPr>
          <w:rFonts w:asciiTheme="minorHAnsi" w:hAnsiTheme="minorHAnsi" w:cstheme="minorHAnsi"/>
        </w:rPr>
        <w:t xml:space="preserve"> groups, </w:t>
      </w:r>
      <w:r w:rsidR="00EB50AA">
        <w:rPr>
          <w:rFonts w:asciiTheme="minorHAnsi" w:hAnsiTheme="minorHAnsi" w:cstheme="minorHAnsi"/>
        </w:rPr>
        <w:t>legal profession</w:t>
      </w:r>
      <w:r w:rsidR="006D73BD">
        <w:rPr>
          <w:rFonts w:asciiTheme="minorHAnsi" w:hAnsiTheme="minorHAnsi" w:cstheme="minorHAnsi"/>
        </w:rPr>
        <w:t>, and</w:t>
      </w:r>
      <w:r w:rsidR="00521735">
        <w:rPr>
          <w:rFonts w:asciiTheme="minorHAnsi" w:hAnsiTheme="minorHAnsi" w:cstheme="minorHAnsi"/>
        </w:rPr>
        <w:t xml:space="preserve"> </w:t>
      </w:r>
      <w:r w:rsidRPr="00E2357E">
        <w:rPr>
          <w:rFonts w:asciiTheme="minorHAnsi" w:hAnsiTheme="minorHAnsi" w:cstheme="minorHAnsi"/>
        </w:rPr>
        <w:t>academics</w:t>
      </w:r>
      <w:r>
        <w:rPr>
          <w:rFonts w:asciiTheme="minorHAnsi" w:hAnsiTheme="minorHAnsi" w:cstheme="minorHAnsi"/>
        </w:rPr>
        <w:t>,</w:t>
      </w:r>
      <w:r w:rsidRPr="0062507B">
        <w:rPr>
          <w:rFonts w:asciiTheme="minorHAnsi" w:eastAsiaTheme="minorHAnsi" w:hAnsiTheme="minorHAnsi" w:cstheme="minorBidi"/>
          <w:kern w:val="2"/>
          <w:szCs w:val="22"/>
          <w:lang w:eastAsia="en-US"/>
          <w14:ligatures w14:val="standardContextual"/>
        </w:rPr>
        <w:t xml:space="preserve"> </w:t>
      </w:r>
      <w:r>
        <w:rPr>
          <w:rFonts w:asciiTheme="minorHAnsi" w:eastAsiaTheme="minorHAnsi" w:hAnsiTheme="minorHAnsi" w:cstheme="minorBidi"/>
          <w:kern w:val="2"/>
          <w:szCs w:val="22"/>
          <w:lang w:eastAsia="en-US"/>
          <w14:ligatures w14:val="standardContextual"/>
        </w:rPr>
        <w:t>w</w:t>
      </w:r>
      <w:r w:rsidRPr="0062507B">
        <w:rPr>
          <w:rFonts w:asciiTheme="minorHAnsi" w:eastAsiaTheme="minorHAnsi" w:hAnsiTheme="minorHAnsi" w:cstheme="minorBidi"/>
          <w:kern w:val="2"/>
          <w:szCs w:val="22"/>
          <w:lang w:eastAsia="en-US"/>
          <w14:ligatures w14:val="standardContextual"/>
        </w:rPr>
        <w:t xml:space="preserve">ere invited to suggest alternative options or variations of these options and outline their benefits and risks, as well as provide views on whether the existing </w:t>
      </w:r>
      <w:r>
        <w:rPr>
          <w:rFonts w:asciiTheme="minorHAnsi" w:eastAsiaTheme="minorHAnsi" w:hAnsiTheme="minorHAnsi" w:cstheme="minorBidi"/>
          <w:kern w:val="2"/>
          <w:szCs w:val="22"/>
          <w:lang w:eastAsia="en-US"/>
          <w14:ligatures w14:val="standardContextual"/>
        </w:rPr>
        <w:t xml:space="preserve">approach </w:t>
      </w:r>
      <w:r w:rsidRPr="0062507B">
        <w:rPr>
          <w:rFonts w:asciiTheme="minorHAnsi" w:eastAsiaTheme="minorHAnsi" w:hAnsiTheme="minorHAnsi" w:cstheme="minorBidi"/>
          <w:kern w:val="2"/>
          <w:szCs w:val="22"/>
          <w:lang w:eastAsia="en-US"/>
          <w14:ligatures w14:val="standardContextual"/>
        </w:rPr>
        <w:t>should be retained</w:t>
      </w:r>
      <w:r w:rsidR="00F018AA">
        <w:rPr>
          <w:rFonts w:asciiTheme="minorHAnsi" w:eastAsiaTheme="minorHAnsi" w:hAnsiTheme="minorHAnsi" w:cstheme="minorBidi"/>
          <w:kern w:val="2"/>
          <w:szCs w:val="22"/>
          <w:lang w:eastAsia="en-US"/>
          <w14:ligatures w14:val="standardContextual"/>
        </w:rPr>
        <w:t>.</w:t>
      </w:r>
    </w:p>
    <w:p w14:paraId="6B6DCD25" w14:textId="21BC75D7" w:rsidR="00947E3E" w:rsidRPr="006D73BD" w:rsidRDefault="00947E3E" w:rsidP="00947E3E">
      <w:pPr>
        <w:pStyle w:val="Bullet"/>
        <w:numPr>
          <w:ilvl w:val="0"/>
          <w:numId w:val="1"/>
        </w:numPr>
        <w:spacing w:line="240" w:lineRule="auto"/>
        <w:rPr>
          <w:rFonts w:asciiTheme="minorHAnsi" w:eastAsiaTheme="minorHAnsi" w:hAnsiTheme="minorHAnsi" w:cstheme="minorHAnsi"/>
          <w:bCs/>
          <w:kern w:val="2"/>
          <w:szCs w:val="22"/>
          <w:lang w:eastAsia="en-US"/>
          <w14:ligatures w14:val="standardContextual"/>
        </w:rPr>
      </w:pPr>
      <w:r w:rsidRPr="00255DEF">
        <w:rPr>
          <w:rFonts w:asciiTheme="minorHAnsi" w:hAnsiTheme="minorHAnsi" w:cstheme="minorHAnsi"/>
          <w:b/>
        </w:rPr>
        <w:t>Option 1</w:t>
      </w:r>
      <w:r w:rsidRPr="007201E0">
        <w:rPr>
          <w:rFonts w:asciiTheme="minorHAnsi" w:hAnsiTheme="minorHAnsi" w:cstheme="minorHAnsi"/>
          <w:bCs/>
        </w:rPr>
        <w:t xml:space="preserve"> – </w:t>
      </w:r>
      <w:r w:rsidR="00D30496">
        <w:rPr>
          <w:rFonts w:asciiTheme="minorHAnsi" w:hAnsiTheme="minorHAnsi" w:cstheme="minorHAnsi"/>
          <w:bCs/>
        </w:rPr>
        <w:t>a</w:t>
      </w:r>
      <w:r w:rsidRPr="007201E0">
        <w:rPr>
          <w:rFonts w:asciiTheme="minorHAnsi" w:hAnsiTheme="minorHAnsi" w:cstheme="minorHAnsi"/>
          <w:bCs/>
        </w:rPr>
        <w:t xml:space="preserve"> voluntary formal clearance regime</w:t>
      </w:r>
      <w:r w:rsidRPr="006D73BD">
        <w:rPr>
          <w:rFonts w:asciiTheme="minorHAnsi" w:hAnsiTheme="minorHAnsi" w:cstheme="minorHAnsi"/>
          <w:bCs/>
        </w:rPr>
        <w:t xml:space="preserve"> could be introduced, where businesses could choose to notify</w:t>
      </w:r>
      <w:r w:rsidRPr="006D73BD" w:rsidDel="00E4761A">
        <w:rPr>
          <w:rFonts w:asciiTheme="minorHAnsi" w:hAnsiTheme="minorHAnsi" w:cstheme="minorHAnsi"/>
          <w:bCs/>
        </w:rPr>
        <w:t xml:space="preserve"> </w:t>
      </w:r>
      <w:r w:rsidRPr="006D73BD">
        <w:rPr>
          <w:rFonts w:asciiTheme="minorHAnsi" w:hAnsiTheme="minorHAnsi" w:cstheme="minorHAnsi"/>
          <w:bCs/>
        </w:rPr>
        <w:t xml:space="preserve">a merger and the ACCC could grant legal immunity from court action under the prohibition against anti-competitive mergers in section 50 of the </w:t>
      </w:r>
      <w:r w:rsidR="00985909">
        <w:rPr>
          <w:rFonts w:asciiTheme="minorHAnsi" w:hAnsiTheme="minorHAnsi" w:cstheme="minorHAnsi"/>
          <w:bCs/>
        </w:rPr>
        <w:t>CCA</w:t>
      </w:r>
      <w:r w:rsidRPr="006D73BD">
        <w:rPr>
          <w:rFonts w:asciiTheme="minorHAnsi" w:hAnsiTheme="minorHAnsi" w:cstheme="minorHAnsi"/>
          <w:bCs/>
        </w:rPr>
        <w:t xml:space="preserve"> if satisfied the merger would not be likely to </w:t>
      </w:r>
      <w:r w:rsidR="00127602">
        <w:rPr>
          <w:rFonts w:asciiTheme="minorHAnsi" w:hAnsiTheme="minorHAnsi" w:cstheme="minorHAnsi"/>
          <w:bCs/>
        </w:rPr>
        <w:t>SLC</w:t>
      </w:r>
      <w:r w:rsidRPr="006D73BD">
        <w:rPr>
          <w:rFonts w:asciiTheme="minorHAnsi" w:hAnsiTheme="minorHAnsi" w:cstheme="minorHAnsi"/>
          <w:bCs/>
        </w:rPr>
        <w:t>.</w:t>
      </w:r>
    </w:p>
    <w:p w14:paraId="6E63E9AB" w14:textId="113EEFD4" w:rsidR="00947E3E" w:rsidRPr="006D73BD" w:rsidRDefault="00947E3E" w:rsidP="00947E3E">
      <w:pPr>
        <w:pStyle w:val="Bullet"/>
        <w:numPr>
          <w:ilvl w:val="0"/>
          <w:numId w:val="1"/>
        </w:numPr>
        <w:spacing w:line="240" w:lineRule="auto"/>
        <w:rPr>
          <w:rFonts w:asciiTheme="minorHAnsi" w:eastAsiaTheme="minorHAnsi" w:hAnsiTheme="minorHAnsi" w:cstheme="minorHAnsi"/>
          <w:bCs/>
          <w:kern w:val="2"/>
          <w:szCs w:val="22"/>
          <w:lang w:eastAsia="en-US"/>
          <w14:ligatures w14:val="standardContextual"/>
        </w:rPr>
      </w:pPr>
      <w:r w:rsidRPr="00255DEF">
        <w:rPr>
          <w:rFonts w:asciiTheme="minorHAnsi" w:hAnsiTheme="minorHAnsi" w:cstheme="minorHAnsi"/>
          <w:b/>
        </w:rPr>
        <w:t>Option 2</w:t>
      </w:r>
      <w:r w:rsidRPr="007201E0">
        <w:rPr>
          <w:rFonts w:asciiTheme="minorHAnsi" w:hAnsiTheme="minorHAnsi" w:cstheme="minorHAnsi"/>
          <w:bCs/>
        </w:rPr>
        <w:t xml:space="preserve"> – </w:t>
      </w:r>
      <w:r w:rsidR="00D30496">
        <w:rPr>
          <w:rFonts w:asciiTheme="minorHAnsi" w:hAnsiTheme="minorHAnsi" w:cstheme="minorHAnsi"/>
          <w:bCs/>
        </w:rPr>
        <w:t>a</w:t>
      </w:r>
      <w:r w:rsidRPr="007201E0">
        <w:rPr>
          <w:rFonts w:asciiTheme="minorHAnsi" w:hAnsiTheme="minorHAnsi" w:cstheme="minorHAnsi"/>
          <w:bCs/>
        </w:rPr>
        <w:t xml:space="preserve"> mandatory and suspensory regime</w:t>
      </w:r>
      <w:r w:rsidRPr="006D73BD">
        <w:rPr>
          <w:rFonts w:asciiTheme="minorHAnsi" w:hAnsiTheme="minorHAnsi" w:cstheme="minorHAnsi"/>
          <w:bCs/>
        </w:rPr>
        <w:t xml:space="preserve"> could be introduced, with compulsory notification of mergers above a threshold. Transactions would be suspended for a period while the ACCC conducts its assessment. To prevent an anti-competitive merger, the ACCC would need to prove to the court that the merger would be likely to </w:t>
      </w:r>
      <w:r w:rsidR="00CA4ADF">
        <w:rPr>
          <w:rFonts w:asciiTheme="minorHAnsi" w:hAnsiTheme="minorHAnsi" w:cstheme="minorHAnsi"/>
          <w:bCs/>
        </w:rPr>
        <w:t>SLC</w:t>
      </w:r>
      <w:r w:rsidRPr="006D73BD">
        <w:rPr>
          <w:rFonts w:asciiTheme="minorHAnsi" w:hAnsiTheme="minorHAnsi" w:cstheme="minorHAnsi"/>
          <w:bCs/>
        </w:rPr>
        <w:t>.</w:t>
      </w:r>
    </w:p>
    <w:p w14:paraId="0A082E40" w14:textId="33668B02" w:rsidR="00947E3E" w:rsidRPr="006D73BD" w:rsidRDefault="00947E3E" w:rsidP="00947E3E">
      <w:pPr>
        <w:pStyle w:val="Bullet"/>
        <w:numPr>
          <w:ilvl w:val="0"/>
          <w:numId w:val="1"/>
        </w:numPr>
        <w:spacing w:line="240" w:lineRule="auto"/>
        <w:rPr>
          <w:rFonts w:asciiTheme="minorHAnsi" w:eastAsiaTheme="minorHAnsi" w:hAnsiTheme="minorHAnsi" w:cstheme="minorHAnsi"/>
          <w:bCs/>
          <w:kern w:val="2"/>
          <w:szCs w:val="22"/>
          <w:lang w:eastAsia="en-US"/>
          <w14:ligatures w14:val="standardContextual"/>
        </w:rPr>
      </w:pPr>
      <w:r w:rsidRPr="00255DEF">
        <w:rPr>
          <w:rFonts w:asciiTheme="minorHAnsi" w:hAnsiTheme="minorHAnsi" w:cstheme="minorHAnsi"/>
          <w:b/>
        </w:rPr>
        <w:t>Option 3</w:t>
      </w:r>
      <w:r w:rsidRPr="007201E0">
        <w:rPr>
          <w:rFonts w:asciiTheme="minorHAnsi" w:hAnsiTheme="minorHAnsi" w:cstheme="minorHAnsi"/>
          <w:bCs/>
        </w:rPr>
        <w:t xml:space="preserve"> – </w:t>
      </w:r>
      <w:r w:rsidR="00D30496">
        <w:rPr>
          <w:rFonts w:asciiTheme="minorHAnsi" w:hAnsiTheme="minorHAnsi" w:cstheme="minorHAnsi"/>
          <w:bCs/>
        </w:rPr>
        <w:t>a</w:t>
      </w:r>
      <w:r w:rsidRPr="007201E0">
        <w:rPr>
          <w:rFonts w:asciiTheme="minorHAnsi" w:hAnsiTheme="minorHAnsi" w:cstheme="minorHAnsi"/>
          <w:bCs/>
        </w:rPr>
        <w:t xml:space="preserve"> mandatory formal clearance regime </w:t>
      </w:r>
      <w:r w:rsidRPr="006D73BD">
        <w:rPr>
          <w:rFonts w:asciiTheme="minorHAnsi" w:hAnsiTheme="minorHAnsi" w:cstheme="minorHAnsi"/>
          <w:bCs/>
        </w:rPr>
        <w:t xml:space="preserve">could be introduced, with compulsory notification of mergers above a threshold and allowing the ACCC to ‘call-in’ transactions below the threshold where there are competition concerns. The ACCC would only grant clearance if it was satisfied the merger was not likely to </w:t>
      </w:r>
      <w:r w:rsidR="00CA4ADF">
        <w:rPr>
          <w:rFonts w:asciiTheme="minorHAnsi" w:hAnsiTheme="minorHAnsi" w:cstheme="minorHAnsi"/>
          <w:bCs/>
        </w:rPr>
        <w:t>SLC</w:t>
      </w:r>
      <w:r w:rsidRPr="006D73BD">
        <w:rPr>
          <w:rFonts w:asciiTheme="minorHAnsi" w:hAnsiTheme="minorHAnsi" w:cstheme="minorHAnsi"/>
          <w:bCs/>
        </w:rPr>
        <w:t>. Clearance would provide formal immunity from court action under section 50</w:t>
      </w:r>
      <w:r w:rsidR="00A94751">
        <w:rPr>
          <w:rFonts w:asciiTheme="minorHAnsi" w:hAnsiTheme="minorHAnsi" w:cstheme="minorHAnsi"/>
          <w:bCs/>
        </w:rPr>
        <w:t xml:space="preserve"> of the CCA</w:t>
      </w:r>
      <w:r w:rsidRPr="006D73BD">
        <w:rPr>
          <w:rFonts w:asciiTheme="minorHAnsi" w:hAnsiTheme="minorHAnsi" w:cstheme="minorHAnsi"/>
          <w:bCs/>
        </w:rPr>
        <w:t>.</w:t>
      </w:r>
    </w:p>
    <w:p w14:paraId="76E2FABA" w14:textId="77777777" w:rsidR="00947E3E" w:rsidRPr="006D73BD" w:rsidRDefault="00947E3E" w:rsidP="00947E3E">
      <w:pPr>
        <w:pStyle w:val="Dash"/>
        <w:numPr>
          <w:ilvl w:val="0"/>
          <w:numId w:val="0"/>
        </w:numPr>
        <w:rPr>
          <w:rFonts w:asciiTheme="minorHAnsi" w:hAnsiTheme="minorHAnsi" w:cstheme="minorHAnsi"/>
          <w:bCs/>
        </w:rPr>
      </w:pPr>
      <w:r w:rsidRPr="006D73BD">
        <w:rPr>
          <w:rFonts w:asciiTheme="minorHAnsi" w:hAnsiTheme="minorHAnsi" w:cstheme="minorHAnsi"/>
          <w:bCs/>
        </w:rPr>
        <w:t xml:space="preserve">Options to reform the merger control test were also consulted on. These were: </w:t>
      </w:r>
    </w:p>
    <w:p w14:paraId="7CB9BB96" w14:textId="0EDF93ED" w:rsidR="00947E3E" w:rsidRPr="006D73BD" w:rsidRDefault="00947E3E" w:rsidP="00947E3E">
      <w:pPr>
        <w:pStyle w:val="Bullet"/>
        <w:numPr>
          <w:ilvl w:val="0"/>
          <w:numId w:val="1"/>
        </w:numPr>
        <w:spacing w:line="240" w:lineRule="auto"/>
        <w:rPr>
          <w:rFonts w:asciiTheme="minorHAnsi" w:hAnsiTheme="minorHAnsi" w:cstheme="minorHAnsi"/>
          <w:bCs/>
        </w:rPr>
      </w:pPr>
      <w:r w:rsidRPr="00255DEF">
        <w:rPr>
          <w:rFonts w:asciiTheme="minorHAnsi" w:hAnsiTheme="minorHAnsi" w:cstheme="minorHAnsi"/>
          <w:b/>
        </w:rPr>
        <w:t>Option A</w:t>
      </w:r>
      <w:r w:rsidR="00D30496">
        <w:rPr>
          <w:rFonts w:asciiTheme="minorHAnsi" w:hAnsiTheme="minorHAnsi" w:cstheme="minorHAnsi"/>
          <w:b/>
        </w:rPr>
        <w:t xml:space="preserve"> – </w:t>
      </w:r>
      <w:r w:rsidR="00D30496">
        <w:rPr>
          <w:rFonts w:asciiTheme="minorHAnsi" w:hAnsiTheme="minorHAnsi" w:cstheme="minorHAnsi"/>
          <w:bCs/>
        </w:rPr>
        <w:t>m</w:t>
      </w:r>
      <w:r w:rsidRPr="006D73BD">
        <w:rPr>
          <w:rFonts w:asciiTheme="minorHAnsi" w:hAnsiTheme="minorHAnsi" w:cstheme="minorHAnsi"/>
          <w:bCs/>
        </w:rPr>
        <w:t xml:space="preserve">odernise the list of matters that the ACCC may, and the court must, consider when assessing the impact of mergers on competition (known as the ‘merger factors’ in section 50(3) of the CCA). Alternatively, the test could be simplified by removing the merger factors from the legislation. </w:t>
      </w:r>
    </w:p>
    <w:p w14:paraId="7C5E59CE" w14:textId="1864C9B6" w:rsidR="00947E3E" w:rsidRPr="006D73BD" w:rsidRDefault="00947E3E" w:rsidP="00947E3E">
      <w:pPr>
        <w:pStyle w:val="Bullet"/>
        <w:numPr>
          <w:ilvl w:val="0"/>
          <w:numId w:val="1"/>
        </w:numPr>
        <w:spacing w:line="240" w:lineRule="auto"/>
        <w:rPr>
          <w:rFonts w:asciiTheme="minorHAnsi" w:hAnsiTheme="minorHAnsi" w:cstheme="minorHAnsi"/>
          <w:bCs/>
        </w:rPr>
      </w:pPr>
      <w:r w:rsidRPr="00255DEF">
        <w:rPr>
          <w:rFonts w:asciiTheme="minorHAnsi" w:hAnsiTheme="minorHAnsi" w:cstheme="minorHAnsi"/>
          <w:b/>
        </w:rPr>
        <w:t>Option B</w:t>
      </w:r>
      <w:r w:rsidR="00D30496">
        <w:rPr>
          <w:rFonts w:asciiTheme="minorHAnsi" w:hAnsiTheme="minorHAnsi" w:cstheme="minorHAnsi"/>
          <w:b/>
        </w:rPr>
        <w:t xml:space="preserve"> – </w:t>
      </w:r>
      <w:r w:rsidR="00D30496">
        <w:rPr>
          <w:rFonts w:asciiTheme="minorHAnsi" w:hAnsiTheme="minorHAnsi" w:cstheme="minorHAnsi"/>
          <w:bCs/>
        </w:rPr>
        <w:t>t</w:t>
      </w:r>
      <w:r w:rsidRPr="006D73BD">
        <w:rPr>
          <w:rFonts w:asciiTheme="minorHAnsi" w:hAnsiTheme="minorHAnsi" w:cstheme="minorHAnsi"/>
          <w:bCs/>
        </w:rPr>
        <w:t xml:space="preserve">he </w:t>
      </w:r>
      <w:r w:rsidR="00CA4ADF">
        <w:rPr>
          <w:rFonts w:asciiTheme="minorHAnsi" w:hAnsiTheme="minorHAnsi" w:cstheme="minorHAnsi"/>
          <w:bCs/>
        </w:rPr>
        <w:t xml:space="preserve">SLC </w:t>
      </w:r>
      <w:r w:rsidRPr="006D73BD">
        <w:rPr>
          <w:rFonts w:asciiTheme="minorHAnsi" w:hAnsiTheme="minorHAnsi" w:cstheme="minorHAnsi"/>
          <w:bCs/>
        </w:rPr>
        <w:t xml:space="preserve">test could be expanded to include mergers that ‘entrench, materially increase or materially extend a position of substantial market power’. </w:t>
      </w:r>
    </w:p>
    <w:p w14:paraId="4AA83ED4" w14:textId="6D3DA33F" w:rsidR="00947E3E" w:rsidRPr="00E2357E" w:rsidRDefault="00947E3E" w:rsidP="00947E3E">
      <w:pPr>
        <w:pStyle w:val="Bullet"/>
        <w:numPr>
          <w:ilvl w:val="0"/>
          <w:numId w:val="1"/>
        </w:numPr>
        <w:spacing w:line="240" w:lineRule="auto"/>
        <w:rPr>
          <w:rFonts w:asciiTheme="minorHAnsi" w:hAnsiTheme="minorHAnsi" w:cstheme="minorHAnsi"/>
        </w:rPr>
      </w:pPr>
      <w:r w:rsidRPr="00255DEF">
        <w:rPr>
          <w:rFonts w:asciiTheme="minorHAnsi" w:hAnsiTheme="minorHAnsi" w:cstheme="minorHAnsi"/>
          <w:b/>
        </w:rPr>
        <w:t>Option C</w:t>
      </w:r>
      <w:r w:rsidR="00D30496">
        <w:rPr>
          <w:rFonts w:asciiTheme="minorHAnsi" w:hAnsiTheme="minorHAnsi" w:cstheme="minorHAnsi"/>
          <w:b/>
        </w:rPr>
        <w:t xml:space="preserve"> – </w:t>
      </w:r>
      <w:r w:rsidR="00D30496">
        <w:rPr>
          <w:rFonts w:asciiTheme="minorHAnsi" w:hAnsiTheme="minorHAnsi" w:cstheme="minorHAnsi"/>
          <w:bCs/>
        </w:rPr>
        <w:t>r</w:t>
      </w:r>
      <w:r w:rsidRPr="006D73BD">
        <w:rPr>
          <w:rFonts w:asciiTheme="minorHAnsi" w:hAnsiTheme="minorHAnsi" w:cstheme="minorHAnsi"/>
          <w:bCs/>
        </w:rPr>
        <w:t>elated agreements between merger parties (such as non-compete agreements or agreements concerning supply of goods</w:t>
      </w:r>
      <w:r w:rsidRPr="00E2357E">
        <w:rPr>
          <w:rFonts w:asciiTheme="minorHAnsi" w:hAnsiTheme="minorHAnsi" w:cstheme="minorHAnsi"/>
        </w:rPr>
        <w:t xml:space="preserve"> or services post-merger) could also be considered as part of the consideration of the effect of the merger on competition. </w:t>
      </w:r>
    </w:p>
    <w:p w14:paraId="337F22C2" w14:textId="77EE6322" w:rsidR="00947E3E" w:rsidRDefault="00947E3E" w:rsidP="00947E3E">
      <w:pPr>
        <w:pStyle w:val="Bullet"/>
        <w:numPr>
          <w:ilvl w:val="0"/>
          <w:numId w:val="0"/>
        </w:numPr>
        <w:spacing w:line="240" w:lineRule="auto"/>
        <w:rPr>
          <w:rFonts w:asciiTheme="minorHAnsi" w:hAnsiTheme="minorHAnsi" w:cstheme="minorHAnsi"/>
        </w:rPr>
      </w:pPr>
      <w:r w:rsidRPr="00C10DC4">
        <w:rPr>
          <w:rFonts w:asciiTheme="minorHAnsi" w:hAnsiTheme="minorHAnsi" w:cstheme="minorHAnsi"/>
        </w:rPr>
        <w:t xml:space="preserve">Each of the options </w:t>
      </w:r>
      <w:r w:rsidR="006D73BD">
        <w:rPr>
          <w:rFonts w:asciiTheme="minorHAnsi" w:hAnsiTheme="minorHAnsi" w:cstheme="minorHAnsi"/>
        </w:rPr>
        <w:t xml:space="preserve">to reform the merger control test </w:t>
      </w:r>
      <w:r w:rsidRPr="00C10DC4">
        <w:rPr>
          <w:rFonts w:asciiTheme="minorHAnsi" w:hAnsiTheme="minorHAnsi" w:cstheme="minorHAnsi"/>
        </w:rPr>
        <w:t xml:space="preserve">could be implemented alone, together, or along with the </w:t>
      </w:r>
      <w:r w:rsidR="006D73BD">
        <w:rPr>
          <w:rFonts w:asciiTheme="minorHAnsi" w:hAnsiTheme="minorHAnsi" w:cstheme="minorHAnsi"/>
        </w:rPr>
        <w:t>options to reform</w:t>
      </w:r>
      <w:r w:rsidRPr="00C10DC4">
        <w:rPr>
          <w:rFonts w:asciiTheme="minorHAnsi" w:hAnsiTheme="minorHAnsi" w:cstheme="minorHAnsi"/>
        </w:rPr>
        <w:t xml:space="preserve"> the </w:t>
      </w:r>
      <w:r w:rsidR="006D73BD">
        <w:rPr>
          <w:rFonts w:asciiTheme="minorHAnsi" w:hAnsiTheme="minorHAnsi" w:cstheme="minorHAnsi"/>
        </w:rPr>
        <w:t xml:space="preserve">merger control </w:t>
      </w:r>
      <w:r w:rsidRPr="00C10DC4">
        <w:rPr>
          <w:rFonts w:asciiTheme="minorHAnsi" w:hAnsiTheme="minorHAnsi" w:cstheme="minorHAnsi"/>
        </w:rPr>
        <w:t>process.</w:t>
      </w:r>
    </w:p>
    <w:p w14:paraId="2F653ADA" w14:textId="68F08749" w:rsidR="00947E3E" w:rsidRPr="00E2357E" w:rsidRDefault="00947E3E" w:rsidP="00947E3E">
      <w:pPr>
        <w:pStyle w:val="Bullet"/>
        <w:numPr>
          <w:ilvl w:val="0"/>
          <w:numId w:val="0"/>
        </w:numPr>
        <w:spacing w:line="240" w:lineRule="auto"/>
        <w:rPr>
          <w:rFonts w:asciiTheme="minorHAnsi" w:hAnsiTheme="minorHAnsi" w:cstheme="minorHAnsi"/>
        </w:rPr>
      </w:pPr>
      <w:r w:rsidRPr="00E2357E">
        <w:rPr>
          <w:rFonts w:asciiTheme="minorHAnsi" w:hAnsiTheme="minorHAnsi" w:cstheme="minorHAnsi"/>
        </w:rPr>
        <w:t xml:space="preserve">The public consultation included 9 roundtables attended by 42 organisations across Sydney, </w:t>
      </w:r>
      <w:r w:rsidR="00D06B47" w:rsidRPr="00E2357E">
        <w:rPr>
          <w:rFonts w:asciiTheme="minorHAnsi" w:hAnsiTheme="minorHAnsi" w:cstheme="minorHAnsi"/>
        </w:rPr>
        <w:t>Melbourne,</w:t>
      </w:r>
      <w:r w:rsidRPr="00E2357E">
        <w:rPr>
          <w:rFonts w:asciiTheme="minorHAnsi" w:hAnsiTheme="minorHAnsi" w:cstheme="minorHAnsi"/>
        </w:rPr>
        <w:t xml:space="preserve"> Brisbane and online, and 46 non-confidential written submissions.</w:t>
      </w:r>
      <w:r w:rsidRPr="00E2357E">
        <w:rPr>
          <w:rStyle w:val="FootnoteReference"/>
          <w:rFonts w:asciiTheme="minorHAnsi" w:hAnsiTheme="minorHAnsi" w:cstheme="minorHAnsi"/>
        </w:rPr>
        <w:footnoteReference w:id="99"/>
      </w:r>
    </w:p>
    <w:p w14:paraId="598F96E2" w14:textId="71389299" w:rsidR="00947E3E" w:rsidRPr="00E2357E" w:rsidRDefault="00947E3E" w:rsidP="00947E3E">
      <w:pPr>
        <w:pStyle w:val="Bullet"/>
        <w:numPr>
          <w:ilvl w:val="0"/>
          <w:numId w:val="0"/>
        </w:numPr>
        <w:spacing w:line="240" w:lineRule="auto"/>
        <w:rPr>
          <w:rFonts w:asciiTheme="minorHAnsi" w:hAnsiTheme="minorHAnsi" w:cstheme="minorHAnsi"/>
        </w:rPr>
      </w:pPr>
      <w:r w:rsidRPr="00E2357E">
        <w:rPr>
          <w:rFonts w:asciiTheme="minorHAnsi" w:hAnsiTheme="minorHAnsi" w:cstheme="minorHAnsi"/>
        </w:rPr>
        <w:t>An Expert</w:t>
      </w:r>
      <w:r w:rsidR="00A80512">
        <w:rPr>
          <w:rFonts w:asciiTheme="minorHAnsi" w:hAnsiTheme="minorHAnsi" w:cstheme="minorHAnsi"/>
        </w:rPr>
        <w:t xml:space="preserve"> Advisory</w:t>
      </w:r>
      <w:r w:rsidRPr="00E2357E">
        <w:rPr>
          <w:rFonts w:asciiTheme="minorHAnsi" w:hAnsiTheme="minorHAnsi" w:cstheme="minorHAnsi"/>
        </w:rPr>
        <w:t xml:space="preserve"> Panel </w:t>
      </w:r>
      <w:r w:rsidR="00C053E9">
        <w:rPr>
          <w:rFonts w:asciiTheme="minorHAnsi" w:hAnsiTheme="minorHAnsi" w:cstheme="minorHAnsi"/>
        </w:rPr>
        <w:t xml:space="preserve">– members </w:t>
      </w:r>
      <w:r w:rsidR="00116341">
        <w:rPr>
          <w:rFonts w:asciiTheme="minorHAnsi" w:hAnsiTheme="minorHAnsi" w:cstheme="minorHAnsi"/>
        </w:rPr>
        <w:t xml:space="preserve">of </w:t>
      </w:r>
      <w:r w:rsidR="00045418">
        <w:rPr>
          <w:rFonts w:asciiTheme="minorHAnsi" w:hAnsiTheme="minorHAnsi" w:cstheme="minorHAnsi"/>
        </w:rPr>
        <w:t>which are</w:t>
      </w:r>
      <w:r w:rsidR="00C053E9">
        <w:rPr>
          <w:rFonts w:asciiTheme="minorHAnsi" w:hAnsiTheme="minorHAnsi" w:cstheme="minorHAnsi"/>
        </w:rPr>
        <w:t xml:space="preserve"> </w:t>
      </w:r>
      <w:r w:rsidRPr="00E2357E">
        <w:rPr>
          <w:rFonts w:asciiTheme="minorHAnsi" w:hAnsiTheme="minorHAnsi" w:cstheme="minorHAnsi"/>
        </w:rPr>
        <w:t>Kerry Schott, David Gonski, John Asker, Sharon Henrick, John Fingleton, Danielle Wood and Rod Sims</w:t>
      </w:r>
      <w:r w:rsidR="002C1314">
        <w:rPr>
          <w:rFonts w:asciiTheme="minorHAnsi" w:hAnsiTheme="minorHAnsi" w:cstheme="minorHAnsi"/>
        </w:rPr>
        <w:t xml:space="preserve"> –</w:t>
      </w:r>
      <w:r w:rsidRPr="00E2357E">
        <w:rPr>
          <w:rFonts w:asciiTheme="minorHAnsi" w:hAnsiTheme="minorHAnsi" w:cstheme="minorHAnsi"/>
        </w:rPr>
        <w:t xml:space="preserve"> also contributed their views. </w:t>
      </w:r>
    </w:p>
    <w:p w14:paraId="749C4632" w14:textId="77777777" w:rsidR="00947E3E" w:rsidRPr="00E2357E" w:rsidRDefault="00947E3E" w:rsidP="00161BD5">
      <w:pPr>
        <w:pStyle w:val="Heading3"/>
      </w:pPr>
      <w:bookmarkStart w:id="92" w:name="_Toc176972386"/>
      <w:r w:rsidRPr="00E2357E">
        <w:t>How feedback was incorporated</w:t>
      </w:r>
      <w:bookmarkEnd w:id="92"/>
    </w:p>
    <w:p w14:paraId="2A3DF429" w14:textId="77777777" w:rsidR="00947E3E" w:rsidRDefault="00947E3E" w:rsidP="00947E3E">
      <w:pPr>
        <w:pStyle w:val="Bullet"/>
        <w:numPr>
          <w:ilvl w:val="0"/>
          <w:numId w:val="0"/>
        </w:numPr>
        <w:spacing w:line="240" w:lineRule="auto"/>
        <w:rPr>
          <w:rStyle w:val="ui-provider"/>
          <w:rFonts w:ascii="Calibri" w:hAnsi="Calibri"/>
        </w:rPr>
      </w:pPr>
      <w:r>
        <w:rPr>
          <w:rFonts w:asciiTheme="minorHAnsi" w:hAnsiTheme="minorHAnsi" w:cstheme="minorHAnsi"/>
        </w:rPr>
        <w:t xml:space="preserve">The consultation indicated that there </w:t>
      </w:r>
      <w:r>
        <w:rPr>
          <w:rStyle w:val="ui-provider"/>
          <w:rFonts w:ascii="Calibri" w:hAnsi="Calibri"/>
        </w:rPr>
        <w:t>was support from a range of stakeholders for reform of Australia’s approach to merger control</w:t>
      </w:r>
      <w:r>
        <w:rPr>
          <w:rFonts w:asciiTheme="minorHAnsi" w:hAnsiTheme="minorHAnsi" w:cstheme="minorHAnsi"/>
        </w:rPr>
        <w:t>.</w:t>
      </w:r>
      <w:r>
        <w:rPr>
          <w:rStyle w:val="FootnoteReference"/>
          <w:rFonts w:ascii="Calibri" w:hAnsi="Calibri"/>
        </w:rPr>
        <w:footnoteReference w:id="100"/>
      </w:r>
      <w:r>
        <w:rPr>
          <w:rStyle w:val="ui-provider"/>
          <w:rFonts w:ascii="Calibri" w:hAnsi="Calibri"/>
        </w:rPr>
        <w:t xml:space="preserve"> </w:t>
      </w:r>
    </w:p>
    <w:p w14:paraId="403464D6" w14:textId="5A960C81" w:rsidR="00947E3E" w:rsidRPr="00710D60" w:rsidRDefault="00947E3E" w:rsidP="00255DEF">
      <w:pPr>
        <w:pStyle w:val="Bullet"/>
        <w:spacing w:line="240" w:lineRule="auto"/>
        <w:rPr>
          <w:rFonts w:asciiTheme="minorHAnsi" w:hAnsiTheme="minorHAnsi" w:cstheme="minorHAnsi"/>
        </w:rPr>
      </w:pPr>
      <w:r w:rsidRPr="00710D60">
        <w:rPr>
          <w:rFonts w:asciiTheme="minorHAnsi" w:hAnsiTheme="minorHAnsi" w:cstheme="minorHAnsi"/>
        </w:rPr>
        <w:t>Consumer groups,</w:t>
      </w:r>
      <w:r w:rsidR="0095174D">
        <w:rPr>
          <w:rStyle w:val="FootnoteReference"/>
          <w:rFonts w:asciiTheme="minorHAnsi" w:hAnsiTheme="minorHAnsi" w:cstheme="minorHAnsi"/>
        </w:rPr>
        <w:footnoteReference w:id="101"/>
      </w:r>
      <w:r w:rsidRPr="00710D60">
        <w:rPr>
          <w:rFonts w:asciiTheme="minorHAnsi" w:hAnsiTheme="minorHAnsi" w:cstheme="minorHAnsi"/>
        </w:rPr>
        <w:t xml:space="preserve"> agribusinesses,</w:t>
      </w:r>
      <w:r w:rsidR="00F20CB4">
        <w:rPr>
          <w:rStyle w:val="FootnoteReference"/>
          <w:rFonts w:asciiTheme="minorHAnsi" w:hAnsiTheme="minorHAnsi" w:cstheme="minorHAnsi"/>
        </w:rPr>
        <w:footnoteReference w:id="102"/>
      </w:r>
      <w:r w:rsidRPr="00710D60">
        <w:rPr>
          <w:rFonts w:asciiTheme="minorHAnsi" w:hAnsiTheme="minorHAnsi" w:cstheme="minorHAnsi"/>
        </w:rPr>
        <w:t xml:space="preserve"> small businesses,</w:t>
      </w:r>
      <w:r w:rsidR="001D7509">
        <w:rPr>
          <w:rStyle w:val="FootnoteReference"/>
          <w:rFonts w:asciiTheme="minorHAnsi" w:hAnsiTheme="minorHAnsi" w:cstheme="minorHAnsi"/>
        </w:rPr>
        <w:footnoteReference w:id="103"/>
      </w:r>
      <w:r w:rsidRPr="00710D60">
        <w:rPr>
          <w:rFonts w:asciiTheme="minorHAnsi" w:hAnsiTheme="minorHAnsi" w:cstheme="minorHAnsi"/>
        </w:rPr>
        <w:t xml:space="preserve"> retail</w:t>
      </w:r>
      <w:r w:rsidR="004C4130">
        <w:rPr>
          <w:rStyle w:val="FootnoteReference"/>
          <w:rFonts w:asciiTheme="minorHAnsi" w:hAnsiTheme="minorHAnsi" w:cstheme="minorHAnsi"/>
        </w:rPr>
        <w:footnoteReference w:id="104"/>
      </w:r>
      <w:r w:rsidRPr="00710D60">
        <w:rPr>
          <w:rFonts w:asciiTheme="minorHAnsi" w:hAnsiTheme="minorHAnsi" w:cstheme="minorHAnsi"/>
        </w:rPr>
        <w:t xml:space="preserve"> and grocery industry groups</w:t>
      </w:r>
      <w:r w:rsidR="00790439">
        <w:rPr>
          <w:rStyle w:val="FootnoteReference"/>
          <w:rFonts w:asciiTheme="minorHAnsi" w:hAnsiTheme="minorHAnsi" w:cstheme="minorHAnsi"/>
        </w:rPr>
        <w:footnoteReference w:id="105"/>
      </w:r>
      <w:r w:rsidRPr="00710D60">
        <w:rPr>
          <w:rFonts w:asciiTheme="minorHAnsi" w:hAnsiTheme="minorHAnsi" w:cstheme="minorHAnsi"/>
        </w:rPr>
        <w:t xml:space="preserve"> and academics</w:t>
      </w:r>
      <w:r w:rsidR="003066C7">
        <w:rPr>
          <w:rStyle w:val="FootnoteReference"/>
          <w:rFonts w:asciiTheme="minorHAnsi" w:hAnsiTheme="minorHAnsi" w:cstheme="minorHAnsi"/>
        </w:rPr>
        <w:footnoteReference w:id="106"/>
      </w:r>
      <w:r w:rsidRPr="00710D60">
        <w:rPr>
          <w:rFonts w:asciiTheme="minorHAnsi" w:hAnsiTheme="minorHAnsi" w:cstheme="minorHAnsi"/>
        </w:rPr>
        <w:t xml:space="preserve"> support a mandatory and suspensory administrative merger control system to give the ACCC the tools it needs, and reform to capture mergers that create, strengthen or entrench substantial market power. </w:t>
      </w:r>
    </w:p>
    <w:p w14:paraId="350D438E" w14:textId="5941F1D5" w:rsidR="00947E3E" w:rsidRPr="00710D60" w:rsidRDefault="00947E3E" w:rsidP="00255DEF">
      <w:pPr>
        <w:pStyle w:val="Bullet"/>
        <w:spacing w:line="240" w:lineRule="auto"/>
        <w:rPr>
          <w:rFonts w:asciiTheme="minorHAnsi" w:hAnsiTheme="minorHAnsi" w:cstheme="minorHAnsi"/>
        </w:rPr>
      </w:pPr>
      <w:r w:rsidRPr="00710D60">
        <w:rPr>
          <w:rFonts w:asciiTheme="minorHAnsi" w:hAnsiTheme="minorHAnsi" w:cstheme="minorHAnsi"/>
        </w:rPr>
        <w:t>Consumer groups highlighted adverse consumer outcomes in highly concentrated sectors – grocery, banking, telecommunications, energy, insurance, and the digital economy.</w:t>
      </w:r>
      <w:r w:rsidR="003C0A31">
        <w:rPr>
          <w:rStyle w:val="FootnoteReference"/>
          <w:rFonts w:asciiTheme="minorHAnsi" w:hAnsiTheme="minorHAnsi" w:cstheme="minorHAnsi"/>
        </w:rPr>
        <w:footnoteReference w:id="107"/>
      </w:r>
      <w:r w:rsidRPr="00710D60">
        <w:rPr>
          <w:rFonts w:asciiTheme="minorHAnsi" w:hAnsiTheme="minorHAnsi" w:cstheme="minorHAnsi"/>
        </w:rPr>
        <w:t xml:space="preserve"> Consumer groups and small business also strongly supported giving the ACCC the tools it needs to efficiently prevent harmful mergers and advocated for increased transparency to facilitate engagement with ACCC merger reviews.</w:t>
      </w:r>
      <w:r w:rsidR="006922A0">
        <w:rPr>
          <w:rStyle w:val="FootnoteReference"/>
          <w:rFonts w:asciiTheme="minorHAnsi" w:hAnsiTheme="minorHAnsi" w:cstheme="minorHAnsi"/>
        </w:rPr>
        <w:footnoteReference w:id="108"/>
      </w:r>
    </w:p>
    <w:p w14:paraId="7719553A" w14:textId="2221B6A9" w:rsidR="00947E3E" w:rsidRPr="00710D60" w:rsidRDefault="00947E3E" w:rsidP="00255DEF">
      <w:pPr>
        <w:pStyle w:val="Bullet"/>
        <w:spacing w:line="240" w:lineRule="auto"/>
        <w:rPr>
          <w:rFonts w:asciiTheme="minorHAnsi" w:hAnsiTheme="minorHAnsi" w:cstheme="minorHAnsi"/>
        </w:rPr>
      </w:pPr>
      <w:r w:rsidRPr="00710D60">
        <w:rPr>
          <w:rFonts w:asciiTheme="minorHAnsi" w:hAnsiTheme="minorHAnsi" w:cstheme="minorHAnsi"/>
        </w:rPr>
        <w:t>Farming groups raised concerns about market concentration in supply chains, with limited options for buying inputs and selling products impacting their ability to sell produce at competitive prices.</w:t>
      </w:r>
      <w:r w:rsidR="005445BE">
        <w:rPr>
          <w:rStyle w:val="FootnoteReference"/>
          <w:rFonts w:asciiTheme="minorHAnsi" w:hAnsiTheme="minorHAnsi" w:cstheme="minorHAnsi"/>
        </w:rPr>
        <w:footnoteReference w:id="109"/>
      </w:r>
      <w:r w:rsidRPr="00710D60">
        <w:rPr>
          <w:rFonts w:asciiTheme="minorHAnsi" w:hAnsiTheme="minorHAnsi" w:cstheme="minorHAnsi"/>
        </w:rPr>
        <w:t xml:space="preserve"> Farming</w:t>
      </w:r>
      <w:r w:rsidR="00CF67FE">
        <w:rPr>
          <w:rFonts w:asciiTheme="minorHAnsi" w:hAnsiTheme="minorHAnsi" w:cstheme="minorHAnsi"/>
        </w:rPr>
        <w:t xml:space="preserve"> groups</w:t>
      </w:r>
      <w:r w:rsidRPr="00710D60">
        <w:rPr>
          <w:rFonts w:asciiTheme="minorHAnsi" w:hAnsiTheme="minorHAnsi" w:cstheme="minorHAnsi"/>
        </w:rPr>
        <w:t xml:space="preserve"> advocated for increased transparency to facilitate engagement with ACCC merger reviews.</w:t>
      </w:r>
      <w:r w:rsidR="00862D2F">
        <w:rPr>
          <w:rStyle w:val="FootnoteReference"/>
          <w:rFonts w:asciiTheme="minorHAnsi" w:hAnsiTheme="minorHAnsi" w:cstheme="minorHAnsi"/>
        </w:rPr>
        <w:footnoteReference w:id="110"/>
      </w:r>
    </w:p>
    <w:p w14:paraId="465FE805" w14:textId="0077C56E" w:rsidR="00947E3E" w:rsidRPr="00710D60" w:rsidRDefault="00947E3E" w:rsidP="00255DEF">
      <w:pPr>
        <w:pStyle w:val="Bullet"/>
        <w:spacing w:line="240" w:lineRule="auto"/>
        <w:rPr>
          <w:rFonts w:asciiTheme="minorHAnsi" w:hAnsiTheme="minorHAnsi" w:cstheme="minorHAnsi"/>
        </w:rPr>
      </w:pPr>
      <w:r w:rsidRPr="00710D60">
        <w:rPr>
          <w:rFonts w:asciiTheme="minorHAnsi" w:hAnsiTheme="minorHAnsi" w:cstheme="minorHAnsi"/>
        </w:rPr>
        <w:t>Academics highlighted the significant evidentiary challenges for the ACCC to prevent anti-competitive mergers in court and lack of economic analysis.</w:t>
      </w:r>
      <w:r w:rsidR="004053BC">
        <w:rPr>
          <w:rStyle w:val="FootnoteReference"/>
          <w:rFonts w:asciiTheme="minorHAnsi" w:hAnsiTheme="minorHAnsi" w:cstheme="minorHAnsi"/>
        </w:rPr>
        <w:footnoteReference w:id="111"/>
      </w:r>
      <w:r w:rsidRPr="00710D60">
        <w:rPr>
          <w:rFonts w:asciiTheme="minorHAnsi" w:hAnsiTheme="minorHAnsi" w:cstheme="minorHAnsi"/>
        </w:rPr>
        <w:t xml:space="preserve"> </w:t>
      </w:r>
    </w:p>
    <w:p w14:paraId="6854D5AA" w14:textId="4A727457" w:rsidR="00947E3E" w:rsidRPr="00710D60" w:rsidRDefault="00947E3E" w:rsidP="00255DEF">
      <w:pPr>
        <w:pStyle w:val="Bullet"/>
        <w:spacing w:line="240" w:lineRule="auto"/>
        <w:rPr>
          <w:rFonts w:asciiTheme="minorHAnsi" w:hAnsiTheme="minorHAnsi" w:cstheme="minorHAnsi"/>
        </w:rPr>
      </w:pPr>
      <w:r w:rsidRPr="00710D60">
        <w:rPr>
          <w:rFonts w:asciiTheme="minorHAnsi" w:hAnsiTheme="minorHAnsi" w:cstheme="minorHAnsi"/>
        </w:rPr>
        <w:t>Retail and grocery industry groups suggested reform focused on targeting concentrated markets, the dominant supermarkets, serial acquisitions and greater analysis of both price and non-price effects of anti-competitive mergers.</w:t>
      </w:r>
      <w:r w:rsidR="005445BE">
        <w:rPr>
          <w:rStyle w:val="FootnoteReference"/>
          <w:rFonts w:asciiTheme="minorHAnsi" w:hAnsiTheme="minorHAnsi" w:cstheme="minorHAnsi"/>
        </w:rPr>
        <w:footnoteReference w:id="112"/>
      </w:r>
      <w:r w:rsidRPr="00710D60">
        <w:rPr>
          <w:rFonts w:asciiTheme="minorHAnsi" w:hAnsiTheme="minorHAnsi" w:cstheme="minorHAnsi"/>
        </w:rPr>
        <w:t xml:space="preserve"> </w:t>
      </w:r>
      <w:r w:rsidR="00536DD4">
        <w:rPr>
          <w:rFonts w:asciiTheme="minorHAnsi" w:hAnsiTheme="minorHAnsi" w:cstheme="minorHAnsi"/>
        </w:rPr>
        <w:t>They a</w:t>
      </w:r>
      <w:r w:rsidRPr="00710D60">
        <w:rPr>
          <w:rFonts w:asciiTheme="minorHAnsi" w:hAnsiTheme="minorHAnsi" w:cstheme="minorHAnsi"/>
        </w:rPr>
        <w:t xml:space="preserve">lso noted that any reform should minimise regulatory burden. </w:t>
      </w:r>
    </w:p>
    <w:p w14:paraId="1995D066" w14:textId="364506DD" w:rsidR="00947E3E" w:rsidRPr="00145F2F" w:rsidRDefault="00947E3E" w:rsidP="00255DEF">
      <w:pPr>
        <w:pStyle w:val="Bullet"/>
        <w:spacing w:line="240" w:lineRule="auto"/>
        <w:rPr>
          <w:rStyle w:val="ui-provider"/>
          <w:rFonts w:asciiTheme="minorHAnsi" w:eastAsiaTheme="minorHAnsi" w:hAnsiTheme="minorHAnsi" w:cstheme="minorHAnsi"/>
          <w:kern w:val="2"/>
          <w:szCs w:val="22"/>
          <w:lang w:eastAsia="en-US"/>
          <w14:ligatures w14:val="standardContextual"/>
        </w:rPr>
      </w:pPr>
      <w:r w:rsidRPr="00710D60">
        <w:rPr>
          <w:rFonts w:asciiTheme="minorHAnsi" w:hAnsiTheme="minorHAnsi" w:cstheme="minorHAnsi"/>
        </w:rPr>
        <w:t xml:space="preserve">Large businesses and </w:t>
      </w:r>
      <w:r w:rsidR="00C42F97">
        <w:rPr>
          <w:rFonts w:asciiTheme="minorHAnsi" w:hAnsiTheme="minorHAnsi" w:cstheme="minorHAnsi"/>
        </w:rPr>
        <w:t xml:space="preserve">the </w:t>
      </w:r>
      <w:r w:rsidRPr="00710D60">
        <w:rPr>
          <w:rFonts w:asciiTheme="minorHAnsi" w:hAnsiTheme="minorHAnsi" w:cstheme="minorHAnsi"/>
        </w:rPr>
        <w:t xml:space="preserve">legal </w:t>
      </w:r>
      <w:r w:rsidR="001B46D7">
        <w:rPr>
          <w:rFonts w:asciiTheme="minorHAnsi" w:hAnsiTheme="minorHAnsi" w:cstheme="minorHAnsi"/>
        </w:rPr>
        <w:t>profession</w:t>
      </w:r>
      <w:r w:rsidR="001B46D7" w:rsidRPr="00710D60">
        <w:rPr>
          <w:rFonts w:asciiTheme="minorHAnsi" w:hAnsiTheme="minorHAnsi" w:cstheme="minorHAnsi"/>
        </w:rPr>
        <w:t xml:space="preserve"> </w:t>
      </w:r>
      <w:r w:rsidRPr="00710D60">
        <w:rPr>
          <w:rFonts w:asciiTheme="minorHAnsi" w:hAnsiTheme="minorHAnsi" w:cstheme="minorHAnsi"/>
        </w:rPr>
        <w:t>generally prefer</w:t>
      </w:r>
      <w:r w:rsidR="00BA5E87" w:rsidRPr="00710D60">
        <w:rPr>
          <w:rFonts w:asciiTheme="minorHAnsi" w:hAnsiTheme="minorHAnsi" w:cstheme="minorHAnsi"/>
        </w:rPr>
        <w:t>red</w:t>
      </w:r>
      <w:r w:rsidRPr="00710D60">
        <w:rPr>
          <w:rFonts w:asciiTheme="minorHAnsi" w:hAnsiTheme="minorHAnsi" w:cstheme="minorHAnsi"/>
        </w:rPr>
        <w:t xml:space="preserve"> the flexibility and voluntary nature of the existing approach with the Federal Court as the decision-maker</w:t>
      </w:r>
      <w:r w:rsidR="00E04A5C">
        <w:rPr>
          <w:rStyle w:val="FootnoteReference"/>
          <w:rFonts w:asciiTheme="minorHAnsi" w:hAnsiTheme="minorHAnsi" w:cstheme="minorHAnsi"/>
        </w:rPr>
        <w:footnoteReference w:id="113"/>
      </w:r>
      <w:r w:rsidRPr="00710D60">
        <w:rPr>
          <w:rFonts w:asciiTheme="minorHAnsi" w:hAnsiTheme="minorHAnsi" w:cstheme="minorHAnsi"/>
        </w:rPr>
        <w:t xml:space="preserve"> but acknowledge</w:t>
      </w:r>
      <w:r w:rsidR="00C1614A" w:rsidRPr="00710D60">
        <w:rPr>
          <w:rFonts w:asciiTheme="minorHAnsi" w:hAnsiTheme="minorHAnsi" w:cstheme="minorHAnsi"/>
        </w:rPr>
        <w:t>d</w:t>
      </w:r>
      <w:r w:rsidRPr="00710D60">
        <w:rPr>
          <w:rFonts w:asciiTheme="minorHAnsi" w:hAnsiTheme="minorHAnsi" w:cstheme="minorHAnsi"/>
        </w:rPr>
        <w:t xml:space="preserve"> improvements could be made</w:t>
      </w:r>
      <w:r w:rsidR="00D56DC5">
        <w:rPr>
          <w:rFonts w:asciiTheme="minorHAnsi" w:hAnsiTheme="minorHAnsi" w:cstheme="minorHAnsi"/>
        </w:rPr>
        <w:t>,</w:t>
      </w:r>
      <w:r w:rsidR="005E5472" w:rsidRPr="005E5472">
        <w:rPr>
          <w:rStyle w:val="FootnoteReference"/>
          <w:rFonts w:asciiTheme="minorHAnsi" w:hAnsiTheme="minorHAnsi" w:cstheme="minorHAnsi"/>
        </w:rPr>
        <w:t xml:space="preserve"> </w:t>
      </w:r>
      <w:r w:rsidR="005E5472">
        <w:rPr>
          <w:rStyle w:val="FootnoteReference"/>
          <w:rFonts w:asciiTheme="minorHAnsi" w:hAnsiTheme="minorHAnsi" w:cstheme="minorHAnsi"/>
        </w:rPr>
        <w:footnoteReference w:id="114"/>
      </w:r>
      <w:r w:rsidR="00D56DC5">
        <w:rPr>
          <w:rFonts w:asciiTheme="minorHAnsi" w:hAnsiTheme="minorHAnsi" w:cstheme="minorHAnsi"/>
        </w:rPr>
        <w:t xml:space="preserve"> in particular</w:t>
      </w:r>
      <w:r w:rsidRPr="00710D60">
        <w:rPr>
          <w:rFonts w:asciiTheme="minorHAnsi" w:hAnsiTheme="minorHAnsi" w:cstheme="minorHAnsi"/>
        </w:rPr>
        <w:t xml:space="preserve"> to timeliness, transparency and certainty.</w:t>
      </w:r>
      <w:r w:rsidR="00132FA9">
        <w:rPr>
          <w:rStyle w:val="FootnoteReference"/>
          <w:rFonts w:asciiTheme="minorHAnsi" w:hAnsiTheme="minorHAnsi" w:cstheme="minorHAnsi"/>
        </w:rPr>
        <w:footnoteReference w:id="115"/>
      </w:r>
      <w:r w:rsidRPr="00710D60">
        <w:rPr>
          <w:rFonts w:asciiTheme="minorHAnsi" w:hAnsiTheme="minorHAnsi" w:cstheme="minorHAnsi"/>
        </w:rPr>
        <w:t xml:space="preserve"> </w:t>
      </w:r>
    </w:p>
    <w:p w14:paraId="7DE6C36F" w14:textId="074E004A" w:rsidR="00947E3E" w:rsidRDefault="00951D3A" w:rsidP="00947E3E">
      <w:pPr>
        <w:pStyle w:val="Bullet"/>
        <w:numPr>
          <w:ilvl w:val="0"/>
          <w:numId w:val="0"/>
        </w:numPr>
        <w:spacing w:line="240" w:lineRule="auto"/>
        <w:rPr>
          <w:rFonts w:asciiTheme="minorHAnsi" w:hAnsiTheme="minorHAnsi" w:cstheme="minorHAnsi"/>
        </w:rPr>
      </w:pPr>
      <w:r>
        <w:rPr>
          <w:rStyle w:val="ui-provider"/>
          <w:rFonts w:ascii="Calibri" w:hAnsi="Calibri"/>
        </w:rPr>
        <w:t>As noted above</w:t>
      </w:r>
      <w:r w:rsidR="00C42F97">
        <w:rPr>
          <w:rStyle w:val="ui-provider"/>
          <w:rFonts w:ascii="Calibri" w:hAnsi="Calibri"/>
        </w:rPr>
        <w:t>,</w:t>
      </w:r>
      <w:r>
        <w:rPr>
          <w:rStyle w:val="ui-provider"/>
          <w:rFonts w:ascii="Calibri" w:hAnsi="Calibri"/>
        </w:rPr>
        <w:t xml:space="preserve"> there was </w:t>
      </w:r>
      <w:r w:rsidR="00947E3E" w:rsidRPr="00E2357E">
        <w:rPr>
          <w:rStyle w:val="ui-provider"/>
          <w:rFonts w:ascii="Calibri" w:hAnsi="Calibri"/>
        </w:rPr>
        <w:t>significant</w:t>
      </w:r>
      <w:r>
        <w:rPr>
          <w:rStyle w:val="ui-provider"/>
          <w:rFonts w:ascii="Calibri" w:hAnsi="Calibri"/>
        </w:rPr>
        <w:t xml:space="preserve"> stakeholder</w:t>
      </w:r>
      <w:r w:rsidR="00947E3E" w:rsidRPr="00E2357E">
        <w:rPr>
          <w:rStyle w:val="ui-provider"/>
          <w:rFonts w:ascii="Calibri" w:hAnsi="Calibri"/>
        </w:rPr>
        <w:t xml:space="preserve"> opposition to</w:t>
      </w:r>
      <w:r w:rsidR="00947E3E">
        <w:rPr>
          <w:rStyle w:val="ui-provider"/>
          <w:rFonts w:ascii="Calibri" w:hAnsi="Calibri"/>
        </w:rPr>
        <w:t xml:space="preserve"> the satisfaction test included in Option 3 above. </w:t>
      </w:r>
    </w:p>
    <w:p w14:paraId="18E485D1" w14:textId="2EF30DF0" w:rsidR="00947E3E" w:rsidRPr="00E2357E" w:rsidRDefault="00947E3E" w:rsidP="00947E3E">
      <w:pPr>
        <w:pStyle w:val="Bullet"/>
        <w:numPr>
          <w:ilvl w:val="0"/>
          <w:numId w:val="0"/>
        </w:numPr>
        <w:spacing w:line="240" w:lineRule="auto"/>
        <w:rPr>
          <w:rFonts w:asciiTheme="minorHAnsi" w:hAnsiTheme="minorHAnsi" w:cstheme="minorHAnsi"/>
        </w:rPr>
      </w:pPr>
      <w:r>
        <w:rPr>
          <w:rFonts w:asciiTheme="minorHAnsi" w:hAnsiTheme="minorHAnsi" w:cstheme="minorHAnsi"/>
        </w:rPr>
        <w:t xml:space="preserve">The stakeholder feedback was used to inform the development of the </w:t>
      </w:r>
      <w:r>
        <w:rPr>
          <w:rStyle w:val="ui-provider"/>
          <w:rFonts w:ascii="Calibri" w:hAnsi="Calibri"/>
        </w:rPr>
        <w:t>options</w:t>
      </w:r>
      <w:r w:rsidRPr="00852B8A">
        <w:rPr>
          <w:rStyle w:val="ui-provider"/>
          <w:rFonts w:ascii="Calibri" w:hAnsi="Calibri"/>
        </w:rPr>
        <w:t xml:space="preserve"> </w:t>
      </w:r>
      <w:r>
        <w:rPr>
          <w:rStyle w:val="ui-provider"/>
          <w:rFonts w:ascii="Calibri" w:hAnsi="Calibri"/>
        </w:rPr>
        <w:t xml:space="preserve">considered in this analysis, with </w:t>
      </w:r>
      <w:r w:rsidRPr="00E2357E">
        <w:rPr>
          <w:rFonts w:asciiTheme="minorHAnsi" w:hAnsiTheme="minorHAnsi" w:cstheme="minorHAnsi"/>
        </w:rPr>
        <w:t>the Government’s response outlined in</w:t>
      </w:r>
      <w:r>
        <w:rPr>
          <w:rFonts w:asciiTheme="minorHAnsi" w:hAnsiTheme="minorHAnsi" w:cstheme="minorHAnsi"/>
        </w:rPr>
        <w:t xml:space="preserve"> more detail </w:t>
      </w:r>
      <w:r w:rsidR="009F0B52">
        <w:rPr>
          <w:rFonts w:asciiTheme="minorHAnsi" w:hAnsiTheme="minorHAnsi" w:cstheme="minorHAnsi"/>
        </w:rPr>
        <w:t>in</w:t>
      </w:r>
      <w:r w:rsidRPr="00E2357E">
        <w:rPr>
          <w:rFonts w:asciiTheme="minorHAnsi" w:hAnsiTheme="minorHAnsi" w:cstheme="minorHAnsi"/>
        </w:rPr>
        <w:t xml:space="preserve"> </w:t>
      </w:r>
      <w:r w:rsidRPr="00996ADD">
        <w:rPr>
          <w:rFonts w:asciiTheme="minorHAnsi" w:hAnsiTheme="minorHAnsi" w:cstheme="minorHAnsi"/>
          <w:u w:val="single"/>
        </w:rPr>
        <w:t>Attachment B</w:t>
      </w:r>
      <w:r w:rsidRPr="00E2357E">
        <w:rPr>
          <w:rFonts w:asciiTheme="minorHAnsi" w:hAnsiTheme="minorHAnsi" w:cstheme="minorHAnsi"/>
        </w:rPr>
        <w:t>.</w:t>
      </w:r>
    </w:p>
    <w:p w14:paraId="11EE6C95" w14:textId="77777777" w:rsidR="00947E3E" w:rsidRPr="00ED50BE" w:rsidRDefault="00947E3E" w:rsidP="00947E3E">
      <w:pPr>
        <w:pStyle w:val="Heading2"/>
      </w:pPr>
      <w:bookmarkStart w:id="93" w:name="_Toc176972387"/>
      <w:r w:rsidRPr="00ED50BE">
        <w:t xml:space="preserve">Exposure draft </w:t>
      </w:r>
      <w:r>
        <w:t>and other</w:t>
      </w:r>
      <w:r w:rsidRPr="00ED50BE">
        <w:t xml:space="preserve"> consultation</w:t>
      </w:r>
      <w:bookmarkEnd w:id="93"/>
    </w:p>
    <w:p w14:paraId="02C858D0" w14:textId="22B3CA57" w:rsidR="00947E3E" w:rsidRPr="001F4931" w:rsidRDefault="00C52BD5" w:rsidP="00947E3E">
      <w:pPr>
        <w:spacing w:line="240" w:lineRule="auto"/>
        <w:rPr>
          <w:rFonts w:cstheme="minorHAnsi"/>
        </w:rPr>
      </w:pPr>
      <w:r w:rsidRPr="001F4931">
        <w:rPr>
          <w:rFonts w:cstheme="minorHAnsi"/>
        </w:rPr>
        <w:t xml:space="preserve">Exposure draft of </w:t>
      </w:r>
      <w:r w:rsidRPr="001F4931">
        <w:rPr>
          <w:rFonts w:cstheme="minorHAnsi"/>
          <w:i/>
          <w:iCs/>
        </w:rPr>
        <w:t xml:space="preserve">Treasury Laws Amendment Bill 2024: </w:t>
      </w:r>
      <w:r w:rsidR="00B40801" w:rsidRPr="001F4931">
        <w:rPr>
          <w:rFonts w:cstheme="minorHAnsi"/>
          <w:i/>
          <w:iCs/>
        </w:rPr>
        <w:t>A</w:t>
      </w:r>
      <w:r w:rsidRPr="001F4931">
        <w:rPr>
          <w:rFonts w:cstheme="minorHAnsi"/>
          <w:i/>
          <w:iCs/>
        </w:rPr>
        <w:t>cquisitions</w:t>
      </w:r>
      <w:r w:rsidRPr="001F4931">
        <w:rPr>
          <w:rFonts w:cstheme="minorHAnsi"/>
        </w:rPr>
        <w:t xml:space="preserve"> was released </w:t>
      </w:r>
      <w:r w:rsidR="00AC50A8" w:rsidRPr="001F4931">
        <w:rPr>
          <w:rFonts w:cstheme="minorHAnsi"/>
        </w:rPr>
        <w:t xml:space="preserve">for public comment </w:t>
      </w:r>
      <w:r w:rsidR="00A51565" w:rsidRPr="001F4931">
        <w:rPr>
          <w:rFonts w:cstheme="minorHAnsi"/>
        </w:rPr>
        <w:t>on 24</w:t>
      </w:r>
      <w:r w:rsidR="00B40801" w:rsidRPr="001F4931">
        <w:rPr>
          <w:rFonts w:cstheme="minorHAnsi"/>
        </w:rPr>
        <w:t> July 2024</w:t>
      </w:r>
      <w:r w:rsidR="00947E3E" w:rsidRPr="001F4931">
        <w:rPr>
          <w:rFonts w:cstheme="minorHAnsi"/>
        </w:rPr>
        <w:t>.</w:t>
      </w:r>
      <w:r w:rsidR="008B3540" w:rsidRPr="001F4931">
        <w:rPr>
          <w:rFonts w:cstheme="minorHAnsi"/>
        </w:rPr>
        <w:t xml:space="preserve"> The exposure draft sets out the framework of the new system including:</w:t>
      </w:r>
    </w:p>
    <w:p w14:paraId="4641C5F0" w14:textId="79CC4A98" w:rsidR="008B3540" w:rsidRPr="001F4931" w:rsidRDefault="001F4931" w:rsidP="00D12D03">
      <w:pPr>
        <w:pStyle w:val="Bullet"/>
        <w:rPr>
          <w:rFonts w:asciiTheme="minorHAnsi" w:hAnsiTheme="minorHAnsi" w:cstheme="minorHAnsi"/>
          <w:szCs w:val="22"/>
        </w:rPr>
      </w:pPr>
      <w:r w:rsidRPr="001F4931">
        <w:rPr>
          <w:rFonts w:asciiTheme="minorHAnsi" w:hAnsiTheme="minorHAnsi" w:cstheme="minorHAnsi"/>
          <w:szCs w:val="22"/>
        </w:rPr>
        <w:t>n</w:t>
      </w:r>
      <w:r w:rsidR="008B3540" w:rsidRPr="001F4931">
        <w:rPr>
          <w:rFonts w:asciiTheme="minorHAnsi" w:hAnsiTheme="minorHAnsi" w:cstheme="minorHAnsi"/>
          <w:szCs w:val="22"/>
        </w:rPr>
        <w:t>otification and timelines</w:t>
      </w:r>
    </w:p>
    <w:p w14:paraId="74BCE17A" w14:textId="22A287FF" w:rsidR="008B3540" w:rsidRPr="001F4931" w:rsidRDefault="001F4931" w:rsidP="00D12D03">
      <w:pPr>
        <w:pStyle w:val="Bullet"/>
        <w:rPr>
          <w:rFonts w:asciiTheme="minorHAnsi" w:hAnsiTheme="minorHAnsi" w:cstheme="minorHAnsi"/>
          <w:szCs w:val="22"/>
        </w:rPr>
      </w:pPr>
      <w:r w:rsidRPr="001F4931">
        <w:rPr>
          <w:rFonts w:asciiTheme="minorHAnsi" w:hAnsiTheme="minorHAnsi" w:cstheme="minorHAnsi"/>
          <w:szCs w:val="22"/>
        </w:rPr>
        <w:t>d</w:t>
      </w:r>
      <w:r w:rsidR="008B3540" w:rsidRPr="001F4931">
        <w:rPr>
          <w:rFonts w:asciiTheme="minorHAnsi" w:hAnsiTheme="minorHAnsi" w:cstheme="minorHAnsi"/>
          <w:szCs w:val="22"/>
        </w:rPr>
        <w:t>efinition of acquisitions</w:t>
      </w:r>
    </w:p>
    <w:p w14:paraId="139AE49B" w14:textId="6A320DBD" w:rsidR="008B3540" w:rsidRPr="001F4931" w:rsidRDefault="001F4931" w:rsidP="00D12D03">
      <w:pPr>
        <w:pStyle w:val="Bullet"/>
        <w:rPr>
          <w:rFonts w:asciiTheme="minorHAnsi" w:hAnsiTheme="minorHAnsi" w:cstheme="minorHAnsi"/>
          <w:szCs w:val="22"/>
        </w:rPr>
      </w:pPr>
      <w:r w:rsidRPr="001F4931">
        <w:rPr>
          <w:rFonts w:asciiTheme="minorHAnsi" w:hAnsiTheme="minorHAnsi" w:cstheme="minorHAnsi"/>
          <w:szCs w:val="22"/>
        </w:rPr>
        <w:t>t</w:t>
      </w:r>
      <w:r w:rsidR="008B3540" w:rsidRPr="001F4931">
        <w:rPr>
          <w:rFonts w:asciiTheme="minorHAnsi" w:hAnsiTheme="minorHAnsi" w:cstheme="minorHAnsi"/>
          <w:szCs w:val="22"/>
        </w:rPr>
        <w:t>est to be applied for considering competition impacts and public benefits</w:t>
      </w:r>
    </w:p>
    <w:p w14:paraId="67C70196" w14:textId="69731A6A" w:rsidR="008B3540" w:rsidRPr="001F4931" w:rsidRDefault="001F4931" w:rsidP="00D12D03">
      <w:pPr>
        <w:pStyle w:val="Bullet"/>
        <w:rPr>
          <w:rFonts w:asciiTheme="minorHAnsi" w:hAnsiTheme="minorHAnsi" w:cstheme="minorHAnsi"/>
          <w:szCs w:val="22"/>
        </w:rPr>
      </w:pPr>
      <w:r w:rsidRPr="001F4931">
        <w:rPr>
          <w:rFonts w:asciiTheme="minorHAnsi" w:hAnsiTheme="minorHAnsi" w:cstheme="minorHAnsi"/>
          <w:szCs w:val="22"/>
        </w:rPr>
        <w:t>p</w:t>
      </w:r>
      <w:r w:rsidR="008B3540" w:rsidRPr="001F4931">
        <w:rPr>
          <w:rFonts w:asciiTheme="minorHAnsi" w:hAnsiTheme="minorHAnsi" w:cstheme="minorHAnsi"/>
          <w:szCs w:val="22"/>
        </w:rPr>
        <w:t>rocedural safeguards</w:t>
      </w:r>
      <w:r w:rsidRPr="001F4931">
        <w:rPr>
          <w:rFonts w:asciiTheme="minorHAnsi" w:hAnsiTheme="minorHAnsi" w:cstheme="minorHAnsi"/>
          <w:szCs w:val="22"/>
        </w:rPr>
        <w:t>.</w:t>
      </w:r>
    </w:p>
    <w:p w14:paraId="5B03DE61" w14:textId="089D0321" w:rsidR="00947E3E" w:rsidRPr="001F4931" w:rsidRDefault="00947E3E" w:rsidP="00947E3E">
      <w:pPr>
        <w:pStyle w:val="Bullet"/>
        <w:numPr>
          <w:ilvl w:val="0"/>
          <w:numId w:val="0"/>
        </w:numPr>
        <w:spacing w:line="240" w:lineRule="auto"/>
        <w:rPr>
          <w:rFonts w:asciiTheme="minorHAnsi" w:hAnsiTheme="minorHAnsi" w:cstheme="minorHAnsi"/>
        </w:rPr>
      </w:pPr>
      <w:r w:rsidRPr="001F4931">
        <w:rPr>
          <w:rFonts w:asciiTheme="minorHAnsi" w:hAnsiTheme="minorHAnsi" w:cstheme="minorHAnsi"/>
        </w:rPr>
        <w:t xml:space="preserve">Consultation on the proposed </w:t>
      </w:r>
      <w:r w:rsidR="006E391B" w:rsidRPr="001F4931">
        <w:rPr>
          <w:rFonts w:asciiTheme="minorHAnsi" w:hAnsiTheme="minorHAnsi" w:cstheme="minorHAnsi"/>
        </w:rPr>
        <w:t xml:space="preserve">amendments to the CCA </w:t>
      </w:r>
      <w:r w:rsidRPr="001F4931">
        <w:rPr>
          <w:rFonts w:asciiTheme="minorHAnsi" w:hAnsiTheme="minorHAnsi" w:cstheme="minorHAnsi"/>
        </w:rPr>
        <w:t>also occur</w:t>
      </w:r>
      <w:r w:rsidR="006A1159">
        <w:rPr>
          <w:rFonts w:asciiTheme="minorHAnsi" w:hAnsiTheme="minorHAnsi" w:cstheme="minorHAnsi"/>
        </w:rPr>
        <w:t>red</w:t>
      </w:r>
      <w:r w:rsidRPr="001F4931">
        <w:rPr>
          <w:rFonts w:asciiTheme="minorHAnsi" w:hAnsiTheme="minorHAnsi" w:cstheme="minorHAnsi"/>
        </w:rPr>
        <w:t xml:space="preserve"> with states and territories, with a vote conducted with states and territories on the proposed reforms, as required by intergovernmental competition agreements (1995 </w:t>
      </w:r>
      <w:r w:rsidR="002470D7" w:rsidRPr="002470D7">
        <w:rPr>
          <w:rFonts w:asciiTheme="minorHAnsi" w:hAnsiTheme="minorHAnsi" w:cstheme="minorHAnsi"/>
          <w:i/>
          <w:iCs/>
        </w:rPr>
        <w:t xml:space="preserve">Intergovernmental </w:t>
      </w:r>
      <w:r w:rsidRPr="002470D7">
        <w:rPr>
          <w:rFonts w:asciiTheme="minorHAnsi" w:hAnsiTheme="minorHAnsi" w:cstheme="minorHAnsi"/>
          <w:i/>
          <w:iCs/>
        </w:rPr>
        <w:t>Conduct Code Agreement</w:t>
      </w:r>
      <w:r w:rsidRPr="001F4931">
        <w:rPr>
          <w:rFonts w:asciiTheme="minorHAnsi" w:hAnsiTheme="minorHAnsi" w:cstheme="minorHAnsi"/>
        </w:rPr>
        <w:t xml:space="preserve">). </w:t>
      </w:r>
    </w:p>
    <w:p w14:paraId="318BA62C" w14:textId="269A6BFD" w:rsidR="00947E3E" w:rsidRPr="001F4931" w:rsidRDefault="00947E3E" w:rsidP="00D12D03">
      <w:pPr>
        <w:pStyle w:val="Bullet"/>
        <w:numPr>
          <w:ilvl w:val="0"/>
          <w:numId w:val="0"/>
        </w:numPr>
        <w:spacing w:line="240" w:lineRule="auto"/>
        <w:rPr>
          <w:rFonts w:asciiTheme="minorHAnsi" w:hAnsiTheme="minorHAnsi" w:cstheme="minorHAnsi"/>
        </w:rPr>
      </w:pPr>
      <w:r w:rsidRPr="001F4931">
        <w:rPr>
          <w:rFonts w:asciiTheme="minorHAnsi" w:hAnsiTheme="minorHAnsi" w:cstheme="minorHAnsi"/>
        </w:rPr>
        <w:t>Subordinate legislation will be implemented for some elements of the proposed system following the passage of the legislation. These elements include setting the mandatory notification threshold</w:t>
      </w:r>
      <w:r w:rsidR="002348B5" w:rsidRPr="001F4931">
        <w:rPr>
          <w:rFonts w:asciiTheme="minorHAnsi" w:hAnsiTheme="minorHAnsi" w:cstheme="minorHAnsi"/>
        </w:rPr>
        <w:t>s</w:t>
      </w:r>
      <w:r w:rsidR="00C73ACE">
        <w:rPr>
          <w:rFonts w:asciiTheme="minorHAnsi" w:hAnsiTheme="minorHAnsi" w:cstheme="minorHAnsi"/>
        </w:rPr>
        <w:t xml:space="preserve"> and</w:t>
      </w:r>
      <w:r w:rsidR="00F4145D">
        <w:rPr>
          <w:rFonts w:asciiTheme="minorHAnsi" w:hAnsiTheme="minorHAnsi" w:cstheme="minorHAnsi"/>
        </w:rPr>
        <w:t xml:space="preserve"> </w:t>
      </w:r>
      <w:r w:rsidR="00F4145D" w:rsidRPr="005439D9">
        <w:rPr>
          <w:rFonts w:asciiTheme="minorHAnsi" w:hAnsiTheme="minorHAnsi" w:cstheme="minorHAnsi"/>
          <w:szCs w:val="22"/>
        </w:rPr>
        <w:t>fees</w:t>
      </w:r>
      <w:r w:rsidR="002E04EC">
        <w:rPr>
          <w:rFonts w:asciiTheme="minorHAnsi" w:hAnsiTheme="minorHAnsi" w:cstheme="minorHAnsi"/>
        </w:rPr>
        <w:t>, which</w:t>
      </w:r>
      <w:r w:rsidR="00863A45">
        <w:rPr>
          <w:rFonts w:asciiTheme="minorHAnsi" w:hAnsiTheme="minorHAnsi" w:cstheme="minorHAnsi"/>
        </w:rPr>
        <w:t xml:space="preserve"> will be subject to separate consultations. </w:t>
      </w:r>
      <w:r w:rsidR="004978BC">
        <w:rPr>
          <w:rFonts w:asciiTheme="minorHAnsi" w:hAnsiTheme="minorHAnsi" w:cstheme="minorHAnsi"/>
        </w:rPr>
        <w:t>Once consultation</w:t>
      </w:r>
      <w:r w:rsidR="004A3205">
        <w:rPr>
          <w:rFonts w:asciiTheme="minorHAnsi" w:hAnsiTheme="minorHAnsi" w:cstheme="minorHAnsi"/>
        </w:rPr>
        <w:t>s</w:t>
      </w:r>
      <w:r w:rsidR="004978BC">
        <w:rPr>
          <w:rFonts w:asciiTheme="minorHAnsi" w:hAnsiTheme="minorHAnsi" w:cstheme="minorHAnsi"/>
        </w:rPr>
        <w:t xml:space="preserve"> </w:t>
      </w:r>
      <w:r w:rsidR="004A3205">
        <w:rPr>
          <w:rFonts w:asciiTheme="minorHAnsi" w:hAnsiTheme="minorHAnsi" w:cstheme="minorHAnsi"/>
        </w:rPr>
        <w:t>are</w:t>
      </w:r>
      <w:r w:rsidR="004978BC">
        <w:rPr>
          <w:rFonts w:asciiTheme="minorHAnsi" w:hAnsiTheme="minorHAnsi" w:cstheme="minorHAnsi"/>
        </w:rPr>
        <w:t xml:space="preserve"> completed and stakeholder feedback is considered, Treasury will prepare the necessary supporting </w:t>
      </w:r>
      <w:r w:rsidR="00CC4E64">
        <w:rPr>
          <w:rFonts w:asciiTheme="minorHAnsi" w:hAnsiTheme="minorHAnsi" w:cstheme="minorHAnsi"/>
        </w:rPr>
        <w:t>subordinate legislation</w:t>
      </w:r>
      <w:r w:rsidR="004978BC">
        <w:rPr>
          <w:rFonts w:asciiTheme="minorHAnsi" w:hAnsiTheme="minorHAnsi" w:cstheme="minorHAnsi"/>
        </w:rPr>
        <w:t xml:space="preserve">. </w:t>
      </w:r>
    </w:p>
    <w:p w14:paraId="5572B0B0" w14:textId="29B831A0" w:rsidR="00947E3E" w:rsidRDefault="00E72ECB" w:rsidP="00947E3E">
      <w:pPr>
        <w:pStyle w:val="Bullet"/>
        <w:numPr>
          <w:ilvl w:val="0"/>
          <w:numId w:val="0"/>
        </w:numPr>
        <w:spacing w:line="240" w:lineRule="auto"/>
        <w:rPr>
          <w:rFonts w:asciiTheme="minorHAnsi" w:hAnsiTheme="minorHAnsi" w:cstheme="minorHAnsi"/>
        </w:rPr>
      </w:pPr>
      <w:r w:rsidRPr="001F4931">
        <w:rPr>
          <w:rFonts w:asciiTheme="minorHAnsi" w:hAnsiTheme="minorHAnsi" w:cstheme="minorHAnsi"/>
        </w:rPr>
        <w:t>As outlined above, t</w:t>
      </w:r>
      <w:r w:rsidR="00947E3E" w:rsidRPr="001F4931">
        <w:rPr>
          <w:rFonts w:asciiTheme="minorHAnsi" w:hAnsiTheme="minorHAnsi" w:cstheme="minorHAnsi"/>
        </w:rPr>
        <w:t>here will be an appropriate transition period between legislation passing and commencement to allow for businesses to adjust and for new systems and guidance to be developed</w:t>
      </w:r>
      <w:r w:rsidR="00F7643C" w:rsidRPr="001F4931">
        <w:rPr>
          <w:rFonts w:asciiTheme="minorHAnsi" w:hAnsiTheme="minorHAnsi" w:cstheme="minorHAnsi"/>
        </w:rPr>
        <w:t>.</w:t>
      </w:r>
      <w:r w:rsidR="00947E3E" w:rsidRPr="00255DEF">
        <w:rPr>
          <w:rFonts w:asciiTheme="minorHAnsi" w:hAnsiTheme="minorHAnsi" w:cstheme="minorHAnsi"/>
        </w:rPr>
        <w:t xml:space="preserve"> </w:t>
      </w:r>
    </w:p>
    <w:p w14:paraId="1D3CAED1" w14:textId="77777777" w:rsidR="00E80FCE" w:rsidRDefault="00E80FCE" w:rsidP="00947E3E">
      <w:pPr>
        <w:pStyle w:val="Bullet"/>
        <w:numPr>
          <w:ilvl w:val="0"/>
          <w:numId w:val="0"/>
        </w:numPr>
        <w:spacing w:line="240" w:lineRule="auto"/>
        <w:rPr>
          <w:rFonts w:asciiTheme="minorHAnsi" w:hAnsiTheme="minorHAnsi" w:cstheme="minorHAnsi"/>
        </w:rPr>
      </w:pPr>
    </w:p>
    <w:p w14:paraId="1B7253E8" w14:textId="77777777" w:rsidR="00E80FCE" w:rsidRDefault="00E80FCE" w:rsidP="00947E3E">
      <w:pPr>
        <w:pStyle w:val="Bullet"/>
        <w:numPr>
          <w:ilvl w:val="0"/>
          <w:numId w:val="0"/>
        </w:numPr>
        <w:spacing w:line="240" w:lineRule="auto"/>
        <w:rPr>
          <w:rFonts w:asciiTheme="minorHAnsi" w:hAnsiTheme="minorHAnsi" w:cstheme="minorHAnsi"/>
        </w:rPr>
      </w:pPr>
    </w:p>
    <w:p w14:paraId="1AE77D05" w14:textId="77777777" w:rsidR="00E80FCE" w:rsidRPr="00255DEF" w:rsidRDefault="00E80FCE" w:rsidP="00947E3E">
      <w:pPr>
        <w:pStyle w:val="Bullet"/>
        <w:numPr>
          <w:ilvl w:val="0"/>
          <w:numId w:val="0"/>
        </w:numPr>
        <w:spacing w:line="240" w:lineRule="auto"/>
        <w:rPr>
          <w:rFonts w:asciiTheme="minorHAnsi" w:hAnsiTheme="minorHAnsi" w:cstheme="minorHAnsi"/>
        </w:rPr>
      </w:pPr>
    </w:p>
    <w:p w14:paraId="2BF12D73" w14:textId="77777777" w:rsidR="00947E3E" w:rsidRPr="00377C12" w:rsidRDefault="00947E3E" w:rsidP="00947E3E">
      <w:pPr>
        <w:pStyle w:val="Heading2"/>
      </w:pPr>
      <w:bookmarkStart w:id="94" w:name="_Toc176972388"/>
      <w:r w:rsidRPr="0062507B">
        <w:t xml:space="preserve">Status of the </w:t>
      </w:r>
      <w:r>
        <w:t xml:space="preserve">Impact Analysis </w:t>
      </w:r>
      <w:r w:rsidRPr="0062507B">
        <w:t>at each major decision point</w:t>
      </w:r>
      <w:bookmarkEnd w:id="94"/>
    </w:p>
    <w:p w14:paraId="5E6962A0" w14:textId="0025967F" w:rsidR="00947E3E" w:rsidRPr="00384D4F" w:rsidRDefault="00947E3E" w:rsidP="00710D60">
      <w:pPr>
        <w:rPr>
          <w:b/>
          <w:color w:val="2C384A" w:themeColor="accent1"/>
        </w:rPr>
      </w:pPr>
      <w:r w:rsidRPr="00255DEF">
        <w:rPr>
          <w:b/>
          <w:color w:val="2C384A" w:themeColor="accent1"/>
        </w:rPr>
        <w:t xml:space="preserve">Table </w:t>
      </w:r>
      <w:r w:rsidR="00981D07" w:rsidRPr="00255DEF">
        <w:rPr>
          <w:b/>
          <w:color w:val="2C384A" w:themeColor="accent1"/>
        </w:rPr>
        <w:t>9</w:t>
      </w:r>
      <w:r w:rsidRPr="00384D4F">
        <w:rPr>
          <w:b/>
          <w:color w:val="2C384A" w:themeColor="accent1"/>
        </w:rPr>
        <w:t xml:space="preserve">. Impact Analysis </w:t>
      </w:r>
      <w:r w:rsidR="005E4E0A" w:rsidRPr="00384D4F">
        <w:rPr>
          <w:b/>
          <w:color w:val="2C384A" w:themeColor="accent1"/>
        </w:rPr>
        <w:t xml:space="preserve">(IA) </w:t>
      </w:r>
      <w:r w:rsidRPr="00384D4F">
        <w:rPr>
          <w:b/>
          <w:color w:val="2C384A" w:themeColor="accent1"/>
        </w:rPr>
        <w:t>at each major decision point</w:t>
      </w:r>
    </w:p>
    <w:tbl>
      <w:tblPr>
        <w:tblStyle w:val="GridTable5Dark-Accent1"/>
        <w:tblW w:w="5273"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620" w:firstRow="1" w:lastRow="0" w:firstColumn="0" w:lastColumn="0" w:noHBand="1" w:noVBand="1"/>
      </w:tblPr>
      <w:tblGrid>
        <w:gridCol w:w="3171"/>
        <w:gridCol w:w="2500"/>
        <w:gridCol w:w="3848"/>
      </w:tblGrid>
      <w:tr w:rsidR="00EE4115" w:rsidRPr="00602053" w14:paraId="6E2294A6" w14:textId="77777777" w:rsidTr="0099015D">
        <w:trPr>
          <w:cnfStyle w:val="100000000000" w:firstRow="1" w:lastRow="0" w:firstColumn="0" w:lastColumn="0" w:oddVBand="0" w:evenVBand="0" w:oddHBand="0" w:evenHBand="0" w:firstRowFirstColumn="0" w:firstRowLastColumn="0" w:lastRowFirstColumn="0" w:lastRowLastColumn="0"/>
          <w:trHeight w:val="20"/>
        </w:trPr>
        <w:tc>
          <w:tcPr>
            <w:tcW w:w="1666" w:type="pct"/>
            <w:hideMark/>
          </w:tcPr>
          <w:p w14:paraId="0BF989C4" w14:textId="77777777" w:rsidR="00947E3E" w:rsidRPr="00710D60" w:rsidRDefault="00947E3E" w:rsidP="00710D60">
            <w:pPr>
              <w:pStyle w:val="Bullet"/>
              <w:keepNext/>
              <w:numPr>
                <w:ilvl w:val="0"/>
                <w:numId w:val="0"/>
              </w:numPr>
              <w:spacing w:before="40" w:line="240" w:lineRule="auto"/>
              <w:rPr>
                <w:sz w:val="22"/>
                <w:szCs w:val="22"/>
              </w:rPr>
            </w:pPr>
            <w:r w:rsidRPr="00AB055A">
              <w:rPr>
                <w:szCs w:val="22"/>
              </w:rPr>
              <w:t>Decision point</w:t>
            </w:r>
          </w:p>
        </w:tc>
        <w:tc>
          <w:tcPr>
            <w:tcW w:w="1313" w:type="pct"/>
          </w:tcPr>
          <w:p w14:paraId="7F26DE6B" w14:textId="77777777" w:rsidR="00947E3E" w:rsidRPr="00710D60" w:rsidRDefault="00947E3E" w:rsidP="00710D60">
            <w:pPr>
              <w:pStyle w:val="Bullet"/>
              <w:keepNext/>
              <w:numPr>
                <w:ilvl w:val="0"/>
                <w:numId w:val="0"/>
              </w:numPr>
              <w:spacing w:before="40" w:line="240" w:lineRule="auto"/>
              <w:rPr>
                <w:sz w:val="22"/>
                <w:szCs w:val="22"/>
              </w:rPr>
            </w:pPr>
            <w:r w:rsidRPr="00AB055A">
              <w:rPr>
                <w:szCs w:val="22"/>
              </w:rPr>
              <w:t>Timeframe Due</w:t>
            </w:r>
          </w:p>
        </w:tc>
        <w:tc>
          <w:tcPr>
            <w:tcW w:w="2021" w:type="pct"/>
            <w:hideMark/>
          </w:tcPr>
          <w:p w14:paraId="112FB43F" w14:textId="77777777" w:rsidR="00947E3E" w:rsidRPr="00710D60" w:rsidRDefault="00947E3E" w:rsidP="00710D60">
            <w:pPr>
              <w:pStyle w:val="Bullet"/>
              <w:keepNext/>
              <w:numPr>
                <w:ilvl w:val="0"/>
                <w:numId w:val="0"/>
              </w:numPr>
              <w:spacing w:before="40" w:line="240" w:lineRule="auto"/>
              <w:rPr>
                <w:sz w:val="22"/>
                <w:szCs w:val="22"/>
              </w:rPr>
            </w:pPr>
            <w:r w:rsidRPr="00AB055A">
              <w:rPr>
                <w:szCs w:val="22"/>
              </w:rPr>
              <w:t>Status of the IA</w:t>
            </w:r>
          </w:p>
        </w:tc>
      </w:tr>
      <w:tr w:rsidR="00263BE3" w:rsidRPr="00602053" w14:paraId="7D19D9EB" w14:textId="77777777" w:rsidTr="0099015D">
        <w:trPr>
          <w:trHeight w:val="20"/>
        </w:trPr>
        <w:tc>
          <w:tcPr>
            <w:tcW w:w="1666" w:type="pct"/>
            <w:shd w:val="clear" w:color="auto" w:fill="auto"/>
            <w:hideMark/>
          </w:tcPr>
          <w:p w14:paraId="3FAD943F" w14:textId="77777777" w:rsidR="00947E3E" w:rsidRPr="00710D60" w:rsidRDefault="00947E3E" w:rsidP="00F47C78">
            <w:pPr>
              <w:pStyle w:val="Bullet"/>
              <w:numPr>
                <w:ilvl w:val="0"/>
                <w:numId w:val="0"/>
              </w:numPr>
              <w:spacing w:after="0" w:line="240" w:lineRule="auto"/>
              <w:rPr>
                <w:rFonts w:cstheme="minorHAnsi"/>
                <w:color w:val="auto"/>
              </w:rPr>
            </w:pPr>
            <w:r w:rsidRPr="00CF1C10">
              <w:rPr>
                <w:rFonts w:asciiTheme="minorHAnsi" w:hAnsiTheme="minorHAnsi" w:cstheme="minorHAnsi"/>
              </w:rPr>
              <w:t>Treasurer announced a Competition Review</w:t>
            </w:r>
          </w:p>
        </w:tc>
        <w:tc>
          <w:tcPr>
            <w:tcW w:w="1313" w:type="pct"/>
            <w:shd w:val="clear" w:color="auto" w:fill="auto"/>
          </w:tcPr>
          <w:p w14:paraId="011D1D1E" w14:textId="77777777" w:rsidR="00947E3E" w:rsidRPr="00710D60" w:rsidRDefault="00947E3E" w:rsidP="00F47C78">
            <w:pPr>
              <w:pStyle w:val="Bullet"/>
              <w:numPr>
                <w:ilvl w:val="0"/>
                <w:numId w:val="0"/>
              </w:numPr>
              <w:spacing w:after="0" w:line="240" w:lineRule="auto"/>
              <w:rPr>
                <w:rFonts w:cstheme="minorHAnsi"/>
                <w:color w:val="auto"/>
              </w:rPr>
            </w:pPr>
            <w:r w:rsidRPr="00CF1C10">
              <w:rPr>
                <w:rFonts w:asciiTheme="minorHAnsi" w:hAnsiTheme="minorHAnsi" w:cstheme="minorHAnsi"/>
              </w:rPr>
              <w:t>23 August 2023</w:t>
            </w:r>
          </w:p>
        </w:tc>
        <w:tc>
          <w:tcPr>
            <w:tcW w:w="2021" w:type="pct"/>
            <w:shd w:val="clear" w:color="auto" w:fill="auto"/>
            <w:hideMark/>
          </w:tcPr>
          <w:p w14:paraId="54F2AE69" w14:textId="77777777" w:rsidR="00947E3E" w:rsidRPr="00710D60" w:rsidRDefault="00947E3E" w:rsidP="00F47C78">
            <w:pPr>
              <w:pStyle w:val="Bullet"/>
              <w:numPr>
                <w:ilvl w:val="0"/>
                <w:numId w:val="0"/>
              </w:numPr>
              <w:spacing w:after="0" w:line="240" w:lineRule="auto"/>
              <w:rPr>
                <w:rFonts w:cstheme="minorHAnsi"/>
                <w:color w:val="auto"/>
              </w:rPr>
            </w:pPr>
            <w:r w:rsidRPr="00CF1C10">
              <w:rPr>
                <w:rFonts w:asciiTheme="minorHAnsi" w:hAnsiTheme="minorHAnsi" w:cstheme="minorHAnsi"/>
              </w:rPr>
              <w:t>Undeveloped</w:t>
            </w:r>
          </w:p>
        </w:tc>
      </w:tr>
      <w:tr w:rsidR="00263BE3" w:rsidRPr="00602053" w14:paraId="78B50EFA" w14:textId="77777777" w:rsidTr="0099015D">
        <w:trPr>
          <w:trHeight w:val="20"/>
        </w:trPr>
        <w:tc>
          <w:tcPr>
            <w:tcW w:w="1666" w:type="pct"/>
            <w:shd w:val="clear" w:color="auto" w:fill="auto"/>
          </w:tcPr>
          <w:p w14:paraId="63CA07A0" w14:textId="77777777" w:rsidR="00947E3E" w:rsidRPr="00710D60" w:rsidRDefault="00947E3E" w:rsidP="00F47C78">
            <w:pPr>
              <w:pStyle w:val="Bullet"/>
              <w:numPr>
                <w:ilvl w:val="0"/>
                <w:numId w:val="0"/>
              </w:numPr>
              <w:spacing w:after="0" w:line="240" w:lineRule="auto"/>
              <w:rPr>
                <w:rFonts w:cstheme="minorHAnsi"/>
                <w:color w:val="auto"/>
              </w:rPr>
            </w:pPr>
            <w:r w:rsidRPr="00CF1C10">
              <w:rPr>
                <w:rFonts w:asciiTheme="minorHAnsi" w:hAnsiTheme="minorHAnsi" w:cstheme="minorHAnsi"/>
              </w:rPr>
              <w:t>Merger Reform consultation paper</w:t>
            </w:r>
          </w:p>
        </w:tc>
        <w:tc>
          <w:tcPr>
            <w:tcW w:w="1313" w:type="pct"/>
            <w:shd w:val="clear" w:color="auto" w:fill="auto"/>
          </w:tcPr>
          <w:p w14:paraId="58937DAF" w14:textId="79E97378" w:rsidR="00947E3E" w:rsidRPr="00710D60" w:rsidRDefault="00947E3E" w:rsidP="00F47C78">
            <w:pPr>
              <w:pStyle w:val="Bullet"/>
              <w:numPr>
                <w:ilvl w:val="0"/>
                <w:numId w:val="0"/>
              </w:numPr>
              <w:spacing w:after="0" w:line="240" w:lineRule="auto"/>
              <w:rPr>
                <w:rFonts w:cstheme="minorHAnsi"/>
                <w:color w:val="auto"/>
              </w:rPr>
            </w:pPr>
            <w:r w:rsidRPr="00CF1C10">
              <w:rPr>
                <w:rFonts w:asciiTheme="minorHAnsi" w:hAnsiTheme="minorHAnsi" w:cstheme="minorHAnsi"/>
              </w:rPr>
              <w:t>November 2023</w:t>
            </w:r>
          </w:p>
        </w:tc>
        <w:tc>
          <w:tcPr>
            <w:tcW w:w="2021" w:type="pct"/>
            <w:shd w:val="clear" w:color="auto" w:fill="auto"/>
          </w:tcPr>
          <w:p w14:paraId="2D498661" w14:textId="77777777" w:rsidR="00947E3E" w:rsidRPr="00710D60" w:rsidRDefault="00947E3E" w:rsidP="00F47C78">
            <w:pPr>
              <w:pStyle w:val="Bullet"/>
              <w:numPr>
                <w:ilvl w:val="0"/>
                <w:numId w:val="0"/>
              </w:numPr>
              <w:spacing w:after="0" w:line="240" w:lineRule="auto"/>
              <w:rPr>
                <w:rFonts w:cstheme="minorHAnsi"/>
                <w:color w:val="auto"/>
              </w:rPr>
            </w:pPr>
            <w:r w:rsidRPr="00CF1C10">
              <w:rPr>
                <w:rFonts w:asciiTheme="minorHAnsi" w:hAnsiTheme="minorHAnsi" w:cstheme="minorHAnsi"/>
              </w:rPr>
              <w:t>Undeveloped</w:t>
            </w:r>
          </w:p>
        </w:tc>
      </w:tr>
      <w:tr w:rsidR="00263BE3" w:rsidRPr="00602053" w14:paraId="4647C01F" w14:textId="77777777" w:rsidTr="0099015D">
        <w:trPr>
          <w:trHeight w:val="20"/>
        </w:trPr>
        <w:tc>
          <w:tcPr>
            <w:tcW w:w="1666" w:type="pct"/>
            <w:shd w:val="clear" w:color="auto" w:fill="auto"/>
          </w:tcPr>
          <w:p w14:paraId="6088C38B" w14:textId="475B9EF7" w:rsidR="00947E3E" w:rsidRPr="00710D60" w:rsidRDefault="00947E3E" w:rsidP="00F47C78">
            <w:pPr>
              <w:pStyle w:val="Bullet"/>
              <w:numPr>
                <w:ilvl w:val="0"/>
                <w:numId w:val="0"/>
              </w:numPr>
              <w:spacing w:after="0" w:line="240" w:lineRule="auto"/>
              <w:rPr>
                <w:rFonts w:cstheme="minorHAnsi"/>
                <w:color w:val="auto"/>
              </w:rPr>
            </w:pPr>
            <w:r w:rsidRPr="00CF1C10">
              <w:rPr>
                <w:rFonts w:asciiTheme="minorHAnsi" w:hAnsiTheme="minorHAnsi" w:cstheme="minorHAnsi"/>
              </w:rPr>
              <w:t>O</w:t>
            </w:r>
            <w:r w:rsidR="00706BAC" w:rsidRPr="00CF1C10">
              <w:rPr>
                <w:rFonts w:asciiTheme="minorHAnsi" w:hAnsiTheme="minorHAnsi" w:cstheme="minorHAnsi"/>
              </w:rPr>
              <w:t xml:space="preserve">ffice of </w:t>
            </w:r>
            <w:r w:rsidRPr="00CF1C10">
              <w:rPr>
                <w:rFonts w:asciiTheme="minorHAnsi" w:hAnsiTheme="minorHAnsi" w:cstheme="minorHAnsi"/>
              </w:rPr>
              <w:t>I</w:t>
            </w:r>
            <w:r w:rsidR="00706BAC" w:rsidRPr="00CF1C10">
              <w:rPr>
                <w:rFonts w:asciiTheme="minorHAnsi" w:hAnsiTheme="minorHAnsi" w:cstheme="minorHAnsi"/>
              </w:rPr>
              <w:t xml:space="preserve">mpact </w:t>
            </w:r>
            <w:r w:rsidRPr="00CF1C10">
              <w:rPr>
                <w:rFonts w:asciiTheme="minorHAnsi" w:hAnsiTheme="minorHAnsi" w:cstheme="minorHAnsi"/>
              </w:rPr>
              <w:t>A</w:t>
            </w:r>
            <w:r w:rsidR="00706BAC" w:rsidRPr="00CF1C10">
              <w:rPr>
                <w:rFonts w:asciiTheme="minorHAnsi" w:hAnsiTheme="minorHAnsi" w:cstheme="minorHAnsi"/>
              </w:rPr>
              <w:t>ssessment (OIA)</w:t>
            </w:r>
            <w:r w:rsidRPr="00CF1C10">
              <w:rPr>
                <w:rFonts w:asciiTheme="minorHAnsi" w:hAnsiTheme="minorHAnsi" w:cstheme="minorHAnsi"/>
              </w:rPr>
              <w:t xml:space="preserve"> authority</w:t>
            </w:r>
          </w:p>
        </w:tc>
        <w:tc>
          <w:tcPr>
            <w:tcW w:w="1313" w:type="pct"/>
            <w:shd w:val="clear" w:color="auto" w:fill="auto"/>
          </w:tcPr>
          <w:p w14:paraId="79C29D9C" w14:textId="77777777" w:rsidR="00947E3E" w:rsidRPr="00710D60" w:rsidRDefault="00947E3E" w:rsidP="00F47C78">
            <w:pPr>
              <w:pStyle w:val="Bullet"/>
              <w:numPr>
                <w:ilvl w:val="0"/>
                <w:numId w:val="0"/>
              </w:numPr>
              <w:spacing w:after="0" w:line="240" w:lineRule="auto"/>
              <w:rPr>
                <w:rFonts w:cstheme="minorHAnsi"/>
                <w:color w:val="auto"/>
              </w:rPr>
            </w:pPr>
            <w:r w:rsidRPr="00CF1C10">
              <w:rPr>
                <w:rFonts w:asciiTheme="minorHAnsi" w:hAnsiTheme="minorHAnsi" w:cstheme="minorHAnsi"/>
              </w:rPr>
              <w:t>7 December 2023</w:t>
            </w:r>
          </w:p>
        </w:tc>
        <w:tc>
          <w:tcPr>
            <w:tcW w:w="2021" w:type="pct"/>
            <w:shd w:val="clear" w:color="auto" w:fill="auto"/>
          </w:tcPr>
          <w:p w14:paraId="3A255C03" w14:textId="2F4CF223" w:rsidR="00947E3E" w:rsidRPr="00710D60" w:rsidRDefault="00947E3E" w:rsidP="00F47C78">
            <w:pPr>
              <w:pStyle w:val="Bullet"/>
              <w:numPr>
                <w:ilvl w:val="0"/>
                <w:numId w:val="0"/>
              </w:numPr>
              <w:spacing w:after="0" w:line="240" w:lineRule="auto"/>
              <w:rPr>
                <w:rFonts w:cstheme="minorHAnsi"/>
                <w:color w:val="auto"/>
              </w:rPr>
            </w:pPr>
            <w:r w:rsidRPr="00CF1C10">
              <w:rPr>
                <w:rFonts w:asciiTheme="minorHAnsi" w:hAnsiTheme="minorHAnsi" w:cstheme="minorHAnsi"/>
              </w:rPr>
              <w:t>OIA agreement to prepare an Early Assessment Impact Assessment for the Government decision on elements of the merger system</w:t>
            </w:r>
          </w:p>
        </w:tc>
      </w:tr>
      <w:tr w:rsidR="00263BE3" w:rsidRPr="00602053" w14:paraId="64C30EB2" w14:textId="77777777" w:rsidTr="0099015D">
        <w:trPr>
          <w:trHeight w:val="20"/>
        </w:trPr>
        <w:tc>
          <w:tcPr>
            <w:tcW w:w="1666" w:type="pct"/>
            <w:shd w:val="clear" w:color="auto" w:fill="auto"/>
          </w:tcPr>
          <w:p w14:paraId="5FAE085B" w14:textId="77777777" w:rsidR="00947E3E" w:rsidRPr="00F47C78" w:rsidRDefault="00947E3E" w:rsidP="00F47C78">
            <w:pPr>
              <w:pStyle w:val="Bullet"/>
              <w:numPr>
                <w:ilvl w:val="0"/>
                <w:numId w:val="0"/>
              </w:numPr>
              <w:spacing w:after="0" w:line="240" w:lineRule="auto"/>
              <w:rPr>
                <w:rFonts w:asciiTheme="minorHAnsi" w:hAnsiTheme="minorHAnsi" w:cstheme="minorHAnsi"/>
                <w:color w:val="auto"/>
              </w:rPr>
            </w:pPr>
            <w:r w:rsidRPr="00CF1C10">
              <w:rPr>
                <w:rFonts w:asciiTheme="minorHAnsi" w:hAnsiTheme="minorHAnsi" w:cstheme="minorHAnsi"/>
              </w:rPr>
              <w:t>Government decision on key elements</w:t>
            </w:r>
          </w:p>
        </w:tc>
        <w:tc>
          <w:tcPr>
            <w:tcW w:w="1313" w:type="pct"/>
            <w:shd w:val="clear" w:color="auto" w:fill="auto"/>
          </w:tcPr>
          <w:p w14:paraId="32838651" w14:textId="77777777" w:rsidR="00947E3E" w:rsidRPr="00F47C78" w:rsidRDefault="00947E3E" w:rsidP="00F47C78">
            <w:pPr>
              <w:pStyle w:val="Bullet"/>
              <w:numPr>
                <w:ilvl w:val="0"/>
                <w:numId w:val="0"/>
              </w:numPr>
              <w:spacing w:after="0" w:line="240" w:lineRule="auto"/>
              <w:rPr>
                <w:rFonts w:asciiTheme="minorHAnsi" w:hAnsiTheme="minorHAnsi" w:cstheme="minorHAnsi"/>
                <w:color w:val="auto"/>
              </w:rPr>
            </w:pPr>
            <w:r w:rsidRPr="00CF1C10">
              <w:rPr>
                <w:rFonts w:asciiTheme="minorHAnsi" w:hAnsiTheme="minorHAnsi" w:cstheme="minorHAnsi"/>
              </w:rPr>
              <w:t>March-April 2024</w:t>
            </w:r>
          </w:p>
        </w:tc>
        <w:tc>
          <w:tcPr>
            <w:tcW w:w="2021" w:type="pct"/>
            <w:shd w:val="clear" w:color="auto" w:fill="auto"/>
          </w:tcPr>
          <w:p w14:paraId="7AC4A38B" w14:textId="77777777" w:rsidR="00947E3E" w:rsidRPr="00F47C78" w:rsidRDefault="00947E3E" w:rsidP="00F47C78">
            <w:pPr>
              <w:pStyle w:val="Bullet"/>
              <w:numPr>
                <w:ilvl w:val="0"/>
                <w:numId w:val="0"/>
              </w:numPr>
              <w:spacing w:after="0" w:line="240" w:lineRule="auto"/>
              <w:rPr>
                <w:rFonts w:asciiTheme="minorHAnsi" w:hAnsiTheme="minorHAnsi" w:cstheme="minorHAnsi"/>
                <w:color w:val="auto"/>
              </w:rPr>
            </w:pPr>
            <w:r w:rsidRPr="00CF1C10">
              <w:rPr>
                <w:rFonts w:asciiTheme="minorHAnsi" w:hAnsiTheme="minorHAnsi" w:cstheme="minorHAnsi"/>
              </w:rPr>
              <w:t>Draft partial IA considered as part of the Government decision, noting subject to further stakeholder consultations</w:t>
            </w:r>
          </w:p>
        </w:tc>
      </w:tr>
      <w:tr w:rsidR="00263BE3" w:rsidRPr="00677FD5" w14:paraId="0193D7CD" w14:textId="77777777" w:rsidTr="0099015D">
        <w:trPr>
          <w:trHeight w:val="20"/>
        </w:trPr>
        <w:tc>
          <w:tcPr>
            <w:tcW w:w="1666" w:type="pct"/>
            <w:shd w:val="clear" w:color="auto" w:fill="auto"/>
          </w:tcPr>
          <w:p w14:paraId="2A179E9A" w14:textId="32C78510" w:rsidR="00947E3E" w:rsidRPr="00053D9D" w:rsidRDefault="007F026B" w:rsidP="00F47C78">
            <w:pPr>
              <w:pStyle w:val="Bullet"/>
              <w:numPr>
                <w:ilvl w:val="0"/>
                <w:numId w:val="0"/>
              </w:numPr>
              <w:spacing w:after="0" w:line="240" w:lineRule="auto"/>
              <w:rPr>
                <w:rFonts w:cstheme="minorHAnsi"/>
                <w:color w:val="auto"/>
              </w:rPr>
            </w:pPr>
            <w:r w:rsidRPr="00053D9D">
              <w:rPr>
                <w:rFonts w:asciiTheme="minorHAnsi" w:hAnsiTheme="minorHAnsi" w:cstheme="minorHAnsi"/>
              </w:rPr>
              <w:t>OIA 1st Pass Fina</w:t>
            </w:r>
            <w:r w:rsidR="00D028F8">
              <w:rPr>
                <w:rFonts w:asciiTheme="minorHAnsi" w:hAnsiTheme="minorHAnsi" w:cstheme="minorHAnsi"/>
              </w:rPr>
              <w:t>l</w:t>
            </w:r>
            <w:r w:rsidRPr="00053D9D">
              <w:rPr>
                <w:rFonts w:asciiTheme="minorHAnsi" w:hAnsiTheme="minorHAnsi" w:cstheme="minorHAnsi"/>
              </w:rPr>
              <w:t xml:space="preserve"> </w:t>
            </w:r>
            <w:r w:rsidR="00D76B58" w:rsidRPr="00053D9D">
              <w:rPr>
                <w:rFonts w:asciiTheme="minorHAnsi" w:hAnsiTheme="minorHAnsi" w:cstheme="minorHAnsi"/>
              </w:rPr>
              <w:t xml:space="preserve">assessment </w:t>
            </w:r>
          </w:p>
        </w:tc>
        <w:tc>
          <w:tcPr>
            <w:tcW w:w="1313" w:type="pct"/>
            <w:shd w:val="clear" w:color="auto" w:fill="auto"/>
          </w:tcPr>
          <w:p w14:paraId="672C4EE9" w14:textId="1795C4A3" w:rsidR="00947E3E" w:rsidRPr="00053D9D" w:rsidRDefault="001C5075" w:rsidP="00F47C78">
            <w:pPr>
              <w:pStyle w:val="Bullet"/>
              <w:numPr>
                <w:ilvl w:val="0"/>
                <w:numId w:val="0"/>
              </w:numPr>
              <w:spacing w:after="0" w:line="240" w:lineRule="auto"/>
              <w:rPr>
                <w:rFonts w:cstheme="minorHAnsi"/>
                <w:color w:val="auto"/>
              </w:rPr>
            </w:pPr>
            <w:r w:rsidRPr="00053D9D">
              <w:rPr>
                <w:rFonts w:asciiTheme="minorHAnsi" w:hAnsiTheme="minorHAnsi" w:cstheme="minorHAnsi"/>
              </w:rPr>
              <w:t>June</w:t>
            </w:r>
            <w:r w:rsidR="00232684">
              <w:rPr>
                <w:rFonts w:asciiTheme="minorHAnsi" w:hAnsiTheme="minorHAnsi" w:cstheme="minorHAnsi"/>
              </w:rPr>
              <w:t>-September</w:t>
            </w:r>
            <w:r w:rsidRPr="00053D9D">
              <w:rPr>
                <w:rFonts w:asciiTheme="minorHAnsi" w:hAnsiTheme="minorHAnsi" w:cstheme="minorHAnsi"/>
              </w:rPr>
              <w:t xml:space="preserve"> 2024</w:t>
            </w:r>
          </w:p>
        </w:tc>
        <w:tc>
          <w:tcPr>
            <w:tcW w:w="2021" w:type="pct"/>
            <w:shd w:val="clear" w:color="auto" w:fill="auto"/>
          </w:tcPr>
          <w:p w14:paraId="29DC4019" w14:textId="7BF56F04" w:rsidR="009B797C" w:rsidRPr="00053D9D" w:rsidRDefault="00053D9D" w:rsidP="00053D9D">
            <w:pPr>
              <w:pStyle w:val="Bullet"/>
              <w:numPr>
                <w:ilvl w:val="0"/>
                <w:numId w:val="0"/>
              </w:numPr>
              <w:spacing w:after="0" w:line="240" w:lineRule="auto"/>
              <w:rPr>
                <w:rFonts w:asciiTheme="minorHAnsi" w:hAnsiTheme="minorHAnsi" w:cstheme="minorHAnsi"/>
                <w:color w:val="auto"/>
              </w:rPr>
            </w:pPr>
            <w:r w:rsidRPr="00053D9D">
              <w:rPr>
                <w:rFonts w:asciiTheme="minorHAnsi" w:hAnsiTheme="minorHAnsi" w:cstheme="minorHAnsi"/>
              </w:rPr>
              <w:t>First pass assessment IA completed</w:t>
            </w:r>
            <w:r w:rsidR="00A66467">
              <w:rPr>
                <w:rFonts w:asciiTheme="minorHAnsi" w:hAnsiTheme="minorHAnsi" w:cstheme="minorHAnsi"/>
              </w:rPr>
              <w:t xml:space="preserve">. </w:t>
            </w:r>
            <w:r w:rsidR="007125B9">
              <w:rPr>
                <w:rFonts w:asciiTheme="minorHAnsi" w:hAnsiTheme="minorHAnsi" w:cstheme="minorHAnsi"/>
              </w:rPr>
              <w:t xml:space="preserve">Consultation with stakeholders conducted. </w:t>
            </w:r>
            <w:r w:rsidR="00A66467" w:rsidRPr="00A66467">
              <w:rPr>
                <w:rFonts w:asciiTheme="minorHAnsi" w:hAnsiTheme="minorHAnsi" w:cstheme="minorHAnsi"/>
              </w:rPr>
              <w:t>OIA first pass assessment comments addressed in the IA and certification letter for second pass.</w:t>
            </w:r>
          </w:p>
        </w:tc>
      </w:tr>
      <w:tr w:rsidR="00263BE3" w:rsidRPr="00123E39" w14:paraId="0D17BD05" w14:textId="77777777" w:rsidTr="0099015D">
        <w:trPr>
          <w:trHeight w:val="162"/>
        </w:trPr>
        <w:tc>
          <w:tcPr>
            <w:tcW w:w="1666" w:type="pct"/>
            <w:shd w:val="clear" w:color="auto" w:fill="auto"/>
          </w:tcPr>
          <w:p w14:paraId="22859DD0" w14:textId="3C6C441F" w:rsidR="00947E3E" w:rsidRPr="00123E39" w:rsidRDefault="006F6A5A" w:rsidP="00F47C78">
            <w:pPr>
              <w:pStyle w:val="Bullet"/>
              <w:numPr>
                <w:ilvl w:val="0"/>
                <w:numId w:val="0"/>
              </w:numPr>
              <w:spacing w:after="0" w:line="240" w:lineRule="auto"/>
              <w:rPr>
                <w:rFonts w:cstheme="minorHAnsi"/>
                <w:color w:val="auto"/>
              </w:rPr>
            </w:pPr>
            <w:r w:rsidRPr="00123E39">
              <w:rPr>
                <w:rFonts w:asciiTheme="minorHAnsi" w:hAnsiTheme="minorHAnsi" w:cstheme="minorHAnsi"/>
              </w:rPr>
              <w:t>OIA 2</w:t>
            </w:r>
            <w:r w:rsidR="0076563D" w:rsidRPr="00123E39">
              <w:rPr>
                <w:rFonts w:asciiTheme="minorHAnsi" w:hAnsiTheme="minorHAnsi" w:cstheme="minorHAnsi"/>
              </w:rPr>
              <w:t>nd Pass Final assessment</w:t>
            </w:r>
            <w:r w:rsidR="00947E3E" w:rsidRPr="00123E39">
              <w:rPr>
                <w:rFonts w:asciiTheme="minorHAnsi" w:hAnsiTheme="minorHAnsi" w:cstheme="minorHAnsi"/>
              </w:rPr>
              <w:t xml:space="preserve"> </w:t>
            </w:r>
          </w:p>
        </w:tc>
        <w:tc>
          <w:tcPr>
            <w:tcW w:w="1313" w:type="pct"/>
            <w:shd w:val="clear" w:color="auto" w:fill="auto"/>
          </w:tcPr>
          <w:p w14:paraId="7B040A34" w14:textId="31ECBFAF" w:rsidR="00947E3E" w:rsidRPr="00123E39" w:rsidRDefault="00034310" w:rsidP="00F47C78">
            <w:pPr>
              <w:pStyle w:val="Bullet"/>
              <w:numPr>
                <w:ilvl w:val="0"/>
                <w:numId w:val="0"/>
              </w:numPr>
              <w:spacing w:after="0" w:line="240" w:lineRule="auto"/>
              <w:rPr>
                <w:rFonts w:cstheme="minorHAnsi"/>
                <w:color w:val="auto"/>
              </w:rPr>
            </w:pPr>
            <w:r w:rsidRPr="00123E39">
              <w:rPr>
                <w:rFonts w:asciiTheme="minorHAnsi" w:hAnsiTheme="minorHAnsi" w:cstheme="minorHAnsi"/>
              </w:rPr>
              <w:t>September</w:t>
            </w:r>
            <w:r w:rsidR="00947E3E" w:rsidRPr="00123E39">
              <w:rPr>
                <w:rFonts w:asciiTheme="minorHAnsi" w:hAnsiTheme="minorHAnsi" w:cstheme="minorHAnsi"/>
              </w:rPr>
              <w:t xml:space="preserve"> 2024</w:t>
            </w:r>
          </w:p>
        </w:tc>
        <w:tc>
          <w:tcPr>
            <w:tcW w:w="2021" w:type="pct"/>
            <w:shd w:val="clear" w:color="auto" w:fill="auto"/>
          </w:tcPr>
          <w:p w14:paraId="65085E55" w14:textId="3B3ED12F" w:rsidR="00947E3E" w:rsidRPr="00123E39" w:rsidRDefault="00D82B4A">
            <w:pPr>
              <w:pStyle w:val="Bullet"/>
              <w:numPr>
                <w:ilvl w:val="0"/>
                <w:numId w:val="0"/>
              </w:numPr>
              <w:rPr>
                <w:rFonts w:asciiTheme="minorHAnsi" w:hAnsiTheme="minorHAnsi" w:cstheme="minorHAnsi"/>
              </w:rPr>
            </w:pPr>
            <w:r w:rsidRPr="00123E39">
              <w:rPr>
                <w:rFonts w:asciiTheme="minorHAnsi" w:hAnsiTheme="minorHAnsi" w:cstheme="minorHAnsi"/>
              </w:rPr>
              <w:t>IA for second pass assessment presented to OIA</w:t>
            </w:r>
          </w:p>
        </w:tc>
      </w:tr>
      <w:tr w:rsidR="00263BE3" w:rsidRPr="00677FD5" w14:paraId="769F4B55" w14:textId="77777777" w:rsidTr="0099015D">
        <w:trPr>
          <w:trHeight w:val="162"/>
        </w:trPr>
        <w:tc>
          <w:tcPr>
            <w:tcW w:w="1666" w:type="pct"/>
            <w:shd w:val="clear" w:color="auto" w:fill="auto"/>
          </w:tcPr>
          <w:p w14:paraId="0995D6FA" w14:textId="2473199F" w:rsidR="00947E3E" w:rsidRPr="00123E39" w:rsidRDefault="00947E3E" w:rsidP="00F47C78">
            <w:pPr>
              <w:pStyle w:val="Bullet"/>
              <w:numPr>
                <w:ilvl w:val="0"/>
                <w:numId w:val="0"/>
              </w:numPr>
              <w:spacing w:after="0" w:line="240" w:lineRule="auto"/>
              <w:rPr>
                <w:rFonts w:cstheme="minorHAnsi"/>
                <w:color w:val="auto"/>
              </w:rPr>
            </w:pPr>
            <w:r w:rsidRPr="00123E39">
              <w:rPr>
                <w:rFonts w:asciiTheme="minorHAnsi" w:hAnsiTheme="minorHAnsi" w:cstheme="minorHAnsi"/>
              </w:rPr>
              <w:t xml:space="preserve">Final </w:t>
            </w:r>
            <w:r w:rsidR="00BC18BD" w:rsidRPr="00123E39">
              <w:rPr>
                <w:rFonts w:asciiTheme="minorHAnsi" w:hAnsiTheme="minorHAnsi" w:cstheme="minorHAnsi"/>
              </w:rPr>
              <w:t xml:space="preserve">policy </w:t>
            </w:r>
            <w:r w:rsidR="00DC26E8" w:rsidRPr="00123E39">
              <w:rPr>
                <w:rFonts w:asciiTheme="minorHAnsi" w:hAnsiTheme="minorHAnsi" w:cstheme="minorHAnsi"/>
              </w:rPr>
              <w:t xml:space="preserve">decision </w:t>
            </w:r>
            <w:r w:rsidR="00966DFC" w:rsidRPr="00123E39">
              <w:rPr>
                <w:rFonts w:asciiTheme="minorHAnsi" w:hAnsiTheme="minorHAnsi" w:cstheme="minorHAnsi"/>
              </w:rPr>
              <w:t xml:space="preserve">to proceed with proposal </w:t>
            </w:r>
          </w:p>
        </w:tc>
        <w:tc>
          <w:tcPr>
            <w:tcW w:w="1313" w:type="pct"/>
            <w:shd w:val="clear" w:color="auto" w:fill="auto"/>
          </w:tcPr>
          <w:p w14:paraId="5464F6D5" w14:textId="3F015B05" w:rsidR="00947E3E" w:rsidRPr="00123E39" w:rsidRDefault="00BE11CA" w:rsidP="00F47C78">
            <w:pPr>
              <w:pStyle w:val="Bullet"/>
              <w:numPr>
                <w:ilvl w:val="0"/>
                <w:numId w:val="0"/>
              </w:numPr>
              <w:spacing w:after="0" w:line="240" w:lineRule="auto"/>
              <w:rPr>
                <w:rFonts w:cstheme="minorHAnsi"/>
                <w:color w:val="auto"/>
              </w:rPr>
            </w:pPr>
            <w:r>
              <w:rPr>
                <w:rFonts w:asciiTheme="minorHAnsi" w:hAnsiTheme="minorHAnsi" w:cstheme="minorHAnsi"/>
              </w:rPr>
              <w:t>October 2024</w:t>
            </w:r>
          </w:p>
        </w:tc>
        <w:tc>
          <w:tcPr>
            <w:tcW w:w="2021" w:type="pct"/>
            <w:shd w:val="clear" w:color="auto" w:fill="auto"/>
          </w:tcPr>
          <w:p w14:paraId="405E2431" w14:textId="579AA9B6" w:rsidR="00947E3E" w:rsidRPr="00123E39" w:rsidRDefault="00F248A6" w:rsidP="00F47C78">
            <w:pPr>
              <w:pStyle w:val="Bullet"/>
              <w:numPr>
                <w:ilvl w:val="0"/>
                <w:numId w:val="0"/>
              </w:numPr>
              <w:spacing w:after="0" w:line="240" w:lineRule="auto"/>
              <w:rPr>
                <w:rFonts w:cstheme="minorHAnsi"/>
                <w:color w:val="auto"/>
              </w:rPr>
            </w:pPr>
            <w:r w:rsidRPr="00123E39">
              <w:rPr>
                <w:rFonts w:asciiTheme="minorHAnsi" w:hAnsiTheme="minorHAnsi" w:cstheme="minorHAnsi"/>
              </w:rPr>
              <w:t>To be informed by an IA that had been through a final assessment by OIA</w:t>
            </w:r>
          </w:p>
        </w:tc>
      </w:tr>
    </w:tbl>
    <w:p w14:paraId="5819EC6C" w14:textId="77777777" w:rsidR="00947E3E" w:rsidRDefault="00947E3E" w:rsidP="00947E3E"/>
    <w:p w14:paraId="758FBE7A" w14:textId="77777777" w:rsidR="00947E3E" w:rsidRPr="00EB3302" w:rsidRDefault="00947E3E" w:rsidP="00947E3E">
      <w:pPr>
        <w:sectPr w:rsidR="00947E3E" w:rsidRPr="00EB3302" w:rsidSect="00E4687A">
          <w:pgSz w:w="11906" w:h="16838"/>
          <w:pgMar w:top="1440" w:right="1440" w:bottom="1440" w:left="1440" w:header="708" w:footer="708" w:gutter="0"/>
          <w:cols w:space="708"/>
          <w:docGrid w:linePitch="360"/>
        </w:sectPr>
      </w:pPr>
    </w:p>
    <w:p w14:paraId="268B46F5" w14:textId="77777777" w:rsidR="00947E3E" w:rsidRDefault="00947E3E" w:rsidP="00947E3E">
      <w:pPr>
        <w:pStyle w:val="Heading1"/>
      </w:pPr>
      <w:bookmarkStart w:id="95" w:name="_Toc158988650"/>
      <w:bookmarkStart w:id="96" w:name="_Toc160013908"/>
      <w:bookmarkStart w:id="97" w:name="_Toc162428387"/>
      <w:bookmarkStart w:id="98" w:name="_Toc176972389"/>
      <w:r>
        <w:t>6. What is the best option from those you have considered and how will it be implemented?</w:t>
      </w:r>
      <w:bookmarkEnd w:id="95"/>
      <w:bookmarkEnd w:id="96"/>
      <w:bookmarkEnd w:id="97"/>
      <w:bookmarkEnd w:id="98"/>
    </w:p>
    <w:p w14:paraId="482DE990" w14:textId="77777777" w:rsidR="00947E3E" w:rsidRDefault="00947E3E" w:rsidP="00947E3E">
      <w:pPr>
        <w:pStyle w:val="Heading2"/>
        <w:spacing w:line="240" w:lineRule="auto"/>
      </w:pPr>
      <w:bookmarkStart w:id="99" w:name="_Toc176972390"/>
      <w:bookmarkStart w:id="100" w:name="_Toc158988651"/>
      <w:bookmarkStart w:id="101" w:name="_Toc160013909"/>
      <w:bookmarkStart w:id="102" w:name="_Toc162428388"/>
      <w:r>
        <w:t>What is the best option from those you have considered?</w:t>
      </w:r>
      <w:bookmarkEnd w:id="99"/>
    </w:p>
    <w:p w14:paraId="3DE470CE" w14:textId="56156243" w:rsidR="009435AB" w:rsidRDefault="00947E3E" w:rsidP="00B76399">
      <w:r>
        <w:t xml:space="preserve">Option 2 </w:t>
      </w:r>
      <w:r w:rsidR="00BB39B0">
        <w:t xml:space="preserve">is the recommended option </w:t>
      </w:r>
      <w:r>
        <w:t xml:space="preserve">– </w:t>
      </w:r>
      <w:r>
        <w:rPr>
          <w:rFonts w:cstheme="minorHAnsi"/>
        </w:rPr>
        <w:t>a mandatory and suspensory administrative merger control system</w:t>
      </w:r>
      <w:r>
        <w:t xml:space="preserve">. </w:t>
      </w:r>
      <w:r w:rsidR="005C69A7">
        <w:t xml:space="preserve">A single, streamlined merger control system will enhance efficiency, predictability and transparency for businesses, stakeholders and the community, and removes the scope for strategic behaviour by merger parties. It will ensure the ACCC is significantly better equipped to detect, review and act against those mergers that </w:t>
      </w:r>
      <w:r w:rsidR="0077448F">
        <w:t>SLC</w:t>
      </w:r>
      <w:r w:rsidR="005C69A7">
        <w:t xml:space="preserve">. </w:t>
      </w:r>
    </w:p>
    <w:p w14:paraId="7C21A384" w14:textId="29831C5C" w:rsidR="00947E3E" w:rsidRDefault="00947E3E" w:rsidP="00947E3E">
      <w:pPr>
        <w:spacing w:line="240" w:lineRule="auto"/>
      </w:pPr>
      <w:r>
        <w:t xml:space="preserve">Treasury considered the impact of allowing the status quo (Option 1) to continue. </w:t>
      </w:r>
      <w:r w:rsidR="009B1B11">
        <w:t>However, r</w:t>
      </w:r>
      <w:r w:rsidR="00823D8B">
        <w:t xml:space="preserve">etaining the status quo would not address the feedback received from stakeholders that the current ‘ad hoc’ merger process is unfit for a modern economy. </w:t>
      </w:r>
      <w:r w:rsidR="00745186">
        <w:t xml:space="preserve">Further, </w:t>
      </w:r>
      <w:r w:rsidR="00D347F1">
        <w:t xml:space="preserve">Option 1 does not meet community expectations that the ACCC can detect and stop anti-competitive mergers. </w:t>
      </w:r>
    </w:p>
    <w:p w14:paraId="318AFC3C" w14:textId="3A8AA327" w:rsidR="00947E3E" w:rsidRDefault="00947E3E" w:rsidP="00947E3E">
      <w:pPr>
        <w:spacing w:line="240" w:lineRule="auto"/>
      </w:pPr>
      <w:r>
        <w:t>Compared to the Option 2 (preferred), Option 3 also strengthens Australia’s merger control system by introducing a mandatory and suspensory administrative merger system</w:t>
      </w:r>
      <w:r w:rsidR="00D347F1">
        <w:t>. Howeve</w:t>
      </w:r>
      <w:r w:rsidR="00E25D9E">
        <w:t xml:space="preserve">r, requiring merger parties to satisfy the ACCC that the merger is </w:t>
      </w:r>
      <w:r w:rsidR="00E25D9E">
        <w:rPr>
          <w:u w:val="single"/>
        </w:rPr>
        <w:t>not</w:t>
      </w:r>
      <w:r w:rsidR="00E25D9E">
        <w:t xml:space="preserve"> likely to SLC introduces a restrictive and onerous standard, significantly increasing the cost on all merger parties</w:t>
      </w:r>
      <w:r w:rsidR="00FB5CAA">
        <w:t xml:space="preserve">. </w:t>
      </w:r>
      <w:r w:rsidR="00225AA3">
        <w:t xml:space="preserve">With a stronger, better-equipped ACCC under Option 2, there are currently insufficient grounds for adopting Option 3. </w:t>
      </w:r>
    </w:p>
    <w:p w14:paraId="3BFB583F" w14:textId="3FF61B6A" w:rsidR="00947E3E" w:rsidRDefault="00947E3E" w:rsidP="00947E3E">
      <w:pPr>
        <w:spacing w:line="240" w:lineRule="auto"/>
      </w:pPr>
      <w:r>
        <w:t xml:space="preserve">Option 4 (mandatory </w:t>
      </w:r>
      <w:r w:rsidR="00416C7A">
        <w:t xml:space="preserve">and suspensory </w:t>
      </w:r>
      <w:r>
        <w:t>judicial enforcement</w:t>
      </w:r>
      <w:r w:rsidR="00416C7A">
        <w:t xml:space="preserve"> system with a </w:t>
      </w:r>
      <w:r>
        <w:t xml:space="preserve">SLC test) will achieve some of the same benefits as under Option 2 (preferred). However, </w:t>
      </w:r>
      <w:r w:rsidR="00780A01">
        <w:t>risks include</w:t>
      </w:r>
      <w:r>
        <w:t xml:space="preserve"> </w:t>
      </w:r>
      <w:r w:rsidR="00CD3AB2">
        <w:t xml:space="preserve">uncertain and lengthy timeframes </w:t>
      </w:r>
      <w:r>
        <w:t>due to the nature of the judicial process, lack of transparency, less scope for economic analysis, along with significant additional costs (as compared to both Option 1 and Option 2)</w:t>
      </w:r>
      <w:r w:rsidR="00CD3AB2">
        <w:t>.</w:t>
      </w:r>
      <w:r>
        <w:t xml:space="preserve"> </w:t>
      </w:r>
    </w:p>
    <w:p w14:paraId="3475498C" w14:textId="77777777" w:rsidR="00947E3E" w:rsidRDefault="00947E3E" w:rsidP="00947E3E">
      <w:pPr>
        <w:pStyle w:val="Heading2"/>
      </w:pPr>
      <w:bookmarkStart w:id="103" w:name="_Toc158988652"/>
      <w:bookmarkStart w:id="104" w:name="_Toc160013910"/>
      <w:bookmarkStart w:id="105" w:name="_Toc162428389"/>
      <w:bookmarkStart w:id="106" w:name="_Toc176972391"/>
      <w:bookmarkEnd w:id="100"/>
      <w:bookmarkEnd w:id="101"/>
      <w:bookmarkEnd w:id="102"/>
      <w:r>
        <w:t>How will it be implemented?</w:t>
      </w:r>
      <w:bookmarkEnd w:id="103"/>
      <w:bookmarkEnd w:id="104"/>
      <w:bookmarkEnd w:id="105"/>
      <w:bookmarkEnd w:id="106"/>
    </w:p>
    <w:p w14:paraId="12933F7A" w14:textId="65E270AE" w:rsidR="00947E3E" w:rsidRPr="00E2357E" w:rsidRDefault="00947E3E" w:rsidP="00947E3E">
      <w:pPr>
        <w:spacing w:line="240" w:lineRule="auto"/>
      </w:pPr>
      <w:r>
        <w:t xml:space="preserve">The Government recognises a new merger </w:t>
      </w:r>
      <w:r w:rsidR="000A5B39">
        <w:t xml:space="preserve">control </w:t>
      </w:r>
      <w:r>
        <w:t xml:space="preserve">system involves significant change, including for business, advisors, the ACCC and the Tribunal. </w:t>
      </w:r>
    </w:p>
    <w:p w14:paraId="35F6E6F7" w14:textId="77777777" w:rsidR="00947E3E" w:rsidRPr="00C0788E" w:rsidRDefault="00947E3E" w:rsidP="004040E7">
      <w:pPr>
        <w:pStyle w:val="Heading3"/>
      </w:pPr>
      <w:bookmarkStart w:id="107" w:name="_Toc176972392"/>
      <w:r w:rsidRPr="00C0788E">
        <w:t>Legislative change</w:t>
      </w:r>
      <w:bookmarkEnd w:id="107"/>
    </w:p>
    <w:p w14:paraId="5C075BAF" w14:textId="0298161B" w:rsidR="00947E3E" w:rsidRPr="00E2357E" w:rsidRDefault="00947E3E" w:rsidP="00947E3E">
      <w:pPr>
        <w:spacing w:before="120" w:after="120" w:line="240" w:lineRule="auto"/>
      </w:pPr>
      <w:r>
        <w:t xml:space="preserve">The merger reform will be principally implemented through amendments to the </w:t>
      </w:r>
      <w:r w:rsidR="00AC4046">
        <w:t xml:space="preserve">CCA </w:t>
      </w:r>
      <w:r>
        <w:t xml:space="preserve">and associated subordinate legislation, following </w:t>
      </w:r>
      <w:r w:rsidR="005B41D4">
        <w:t xml:space="preserve">public </w:t>
      </w:r>
      <w:r>
        <w:t xml:space="preserve">consultation </w:t>
      </w:r>
      <w:r w:rsidR="002A4904">
        <w:t>on the draft legislation</w:t>
      </w:r>
      <w:r>
        <w:t>.</w:t>
      </w:r>
      <w:r w:rsidR="00252AB5">
        <w:rPr>
          <w:rStyle w:val="FootnoteReference"/>
        </w:rPr>
        <w:footnoteReference w:id="116"/>
      </w:r>
      <w:r>
        <w:t xml:space="preserve"> </w:t>
      </w:r>
    </w:p>
    <w:p w14:paraId="5BB11BAF" w14:textId="7FECBBE8" w:rsidR="00947E3E" w:rsidRDefault="00947E3E" w:rsidP="00947E3E">
      <w:pPr>
        <w:pStyle w:val="Bullet"/>
        <w:numPr>
          <w:ilvl w:val="0"/>
          <w:numId w:val="0"/>
        </w:numPr>
        <w:spacing w:line="240" w:lineRule="auto"/>
        <w:rPr>
          <w:rFonts w:asciiTheme="majorHAnsi" w:hAnsiTheme="majorHAnsi" w:cstheme="majorHAnsi"/>
        </w:rPr>
      </w:pPr>
      <w:r w:rsidRPr="001671BD">
        <w:rPr>
          <w:rFonts w:asciiTheme="majorHAnsi" w:hAnsiTheme="majorHAnsi" w:cstheme="majorHAnsi"/>
        </w:rPr>
        <w:t xml:space="preserve">Subject to the Government’s legislation prioritisation process and available drafting resources, legislation is expected to be introduced into the Parliament in the 2024 Spring sittings, ahead of commencement on 1 January 2026. </w:t>
      </w:r>
      <w:r w:rsidR="005439D9" w:rsidRPr="005439D9">
        <w:rPr>
          <w:rFonts w:asciiTheme="minorHAnsi" w:hAnsiTheme="minorHAnsi" w:cstheme="minorHAnsi"/>
          <w:szCs w:val="22"/>
        </w:rPr>
        <w:t xml:space="preserve">Subordinate legislation will also be implemented for </w:t>
      </w:r>
      <w:r w:rsidR="001A0995">
        <w:rPr>
          <w:rFonts w:asciiTheme="minorHAnsi" w:hAnsiTheme="minorHAnsi" w:cstheme="minorHAnsi"/>
          <w:szCs w:val="22"/>
        </w:rPr>
        <w:t xml:space="preserve">key </w:t>
      </w:r>
      <w:r w:rsidR="005439D9" w:rsidRPr="005439D9">
        <w:rPr>
          <w:rFonts w:asciiTheme="minorHAnsi" w:hAnsiTheme="minorHAnsi" w:cstheme="minorHAnsi"/>
          <w:szCs w:val="22"/>
        </w:rPr>
        <w:t xml:space="preserve">elements of the proposed system following the passage of the legislation. These elements include setting the mandatory notification </w:t>
      </w:r>
      <w:r w:rsidR="008B1C61">
        <w:rPr>
          <w:rFonts w:asciiTheme="minorHAnsi" w:hAnsiTheme="minorHAnsi" w:cstheme="minorHAnsi"/>
          <w:szCs w:val="22"/>
        </w:rPr>
        <w:t>thresholds and</w:t>
      </w:r>
      <w:r w:rsidR="005439D9" w:rsidRPr="005439D9">
        <w:rPr>
          <w:rFonts w:asciiTheme="minorHAnsi" w:hAnsiTheme="minorHAnsi" w:cstheme="minorHAnsi"/>
          <w:szCs w:val="22"/>
        </w:rPr>
        <w:t xml:space="preserve"> fees.</w:t>
      </w:r>
    </w:p>
    <w:p w14:paraId="3A633A7F" w14:textId="4662C9D5" w:rsidR="00802B09" w:rsidRPr="00E46F17" w:rsidRDefault="00802B09" w:rsidP="00802B09">
      <w:pPr>
        <w:spacing w:before="120" w:after="120" w:line="240" w:lineRule="auto"/>
      </w:pPr>
      <w:r>
        <w:t xml:space="preserve">Prior to parliamentary consideration, pursuant to the </w:t>
      </w:r>
      <w:r w:rsidRPr="00526C96">
        <w:t xml:space="preserve">1995 </w:t>
      </w:r>
      <w:r w:rsidR="00B90667" w:rsidRPr="00B90667">
        <w:rPr>
          <w:i/>
          <w:iCs/>
        </w:rPr>
        <w:t xml:space="preserve">Intergovernmental </w:t>
      </w:r>
      <w:r w:rsidRPr="00B90667">
        <w:rPr>
          <w:i/>
          <w:iCs/>
        </w:rPr>
        <w:t>Conduct Code Agreement</w:t>
      </w:r>
      <w:r w:rsidR="000F3978">
        <w:t xml:space="preserve"> (</w:t>
      </w:r>
      <w:r w:rsidR="009C73E8">
        <w:t xml:space="preserve">‘the </w:t>
      </w:r>
      <w:r w:rsidR="009C73E8" w:rsidRPr="00CA2B99">
        <w:t>Agreement’</w:t>
      </w:r>
      <w:r w:rsidR="000F3978" w:rsidRPr="00CA2B99">
        <w:t>)</w:t>
      </w:r>
      <w:r w:rsidRPr="00CA2B99">
        <w:t>, the Commonwealth is required to consult with State</w:t>
      </w:r>
      <w:r w:rsidR="00E44579" w:rsidRPr="00CA2B99">
        <w:t>s</w:t>
      </w:r>
      <w:r w:rsidRPr="00CA2B99">
        <w:t xml:space="preserve"> and Territories for a 3</w:t>
      </w:r>
      <w:r w:rsidRPr="00CA2B99">
        <w:noBreakHyphen/>
        <w:t xml:space="preserve">month period on the proposed changes to the CCA, </w:t>
      </w:r>
      <w:r w:rsidR="00F9127D" w:rsidRPr="00CA2B99">
        <w:t>followed by a 35-day voting period</w:t>
      </w:r>
      <w:r w:rsidRPr="00CA2B99">
        <w:t xml:space="preserve">. </w:t>
      </w:r>
      <w:r w:rsidR="004E6696" w:rsidRPr="00CA2B99">
        <w:t>A</w:t>
      </w:r>
      <w:r w:rsidRPr="00CA2B99">
        <w:t>mendments to the CCA are subject to the approval of a majority of votes of the Commonwealth, States and Territories. The Commonwealth ha</w:t>
      </w:r>
      <w:r w:rsidR="001D6C5E" w:rsidRPr="00CA2B99">
        <w:t>s</w:t>
      </w:r>
      <w:r w:rsidRPr="00CA2B99">
        <w:t xml:space="preserve"> </w:t>
      </w:r>
      <w:r w:rsidR="00B136B4" w:rsidRPr="00CA2B99">
        <w:t>2</w:t>
      </w:r>
      <w:r w:rsidRPr="00CA2B99">
        <w:t xml:space="preserve"> votes and each State and Territory ha</w:t>
      </w:r>
      <w:r w:rsidR="00A804B6" w:rsidRPr="00CA2B99">
        <w:t>s</w:t>
      </w:r>
      <w:r w:rsidRPr="00CA2B99">
        <w:t xml:space="preserve"> </w:t>
      </w:r>
      <w:r w:rsidR="00D20ABF" w:rsidRPr="00CA2B99">
        <w:t xml:space="preserve">one </w:t>
      </w:r>
      <w:r w:rsidRPr="00CA2B99">
        <w:t>vote. The Commonwealth also ha</w:t>
      </w:r>
      <w:r w:rsidR="00A804B6" w:rsidRPr="00CA2B99">
        <w:t>s</w:t>
      </w:r>
      <w:r w:rsidRPr="00CA2B99">
        <w:t xml:space="preserve"> a casting vote. Any jurisdiction that does not vote within the </w:t>
      </w:r>
      <w:r w:rsidR="00B15C69" w:rsidRPr="00CA2B99">
        <w:t>35-day</w:t>
      </w:r>
      <w:r w:rsidRPr="00CA2B99">
        <w:t xml:space="preserve"> voting period will be taken to have voted in favour of the amendment.</w:t>
      </w:r>
      <w:r w:rsidR="000710D4">
        <w:t xml:space="preserve"> </w:t>
      </w:r>
    </w:p>
    <w:p w14:paraId="347FFA77" w14:textId="77777777" w:rsidR="00947E3E" w:rsidRPr="00C0788E" w:rsidRDefault="00947E3E" w:rsidP="004040E7">
      <w:pPr>
        <w:pStyle w:val="Heading3"/>
      </w:pPr>
      <w:bookmarkStart w:id="108" w:name="_Toc176972393"/>
      <w:r w:rsidRPr="00C0788E">
        <w:t>The ACCC</w:t>
      </w:r>
      <w:bookmarkEnd w:id="108"/>
    </w:p>
    <w:p w14:paraId="2CB884AB" w14:textId="64D73C9B" w:rsidR="00947E3E" w:rsidRDefault="00947E3E" w:rsidP="00947E3E">
      <w:pPr>
        <w:spacing w:line="240" w:lineRule="auto"/>
      </w:pPr>
      <w:r>
        <w:t xml:space="preserve">The ACCC will be given the resources and mandate </w:t>
      </w:r>
      <w:r w:rsidRPr="00592DB1">
        <w:t xml:space="preserve">to act as </w:t>
      </w:r>
      <w:r w:rsidR="00A804B6">
        <w:t xml:space="preserve">the </w:t>
      </w:r>
      <w:r>
        <w:t xml:space="preserve">merger system </w:t>
      </w:r>
      <w:r w:rsidRPr="00592DB1">
        <w:t xml:space="preserve">steward to promote and maintain competitive markets in Australia. </w:t>
      </w:r>
      <w:r w:rsidRPr="00673EC6">
        <w:t>A</w:t>
      </w:r>
      <w:r w:rsidRPr="00592DB1">
        <w:t xml:space="preserve"> shift in capabilities and practice will be required to support the change from enforcement action in court to more data- and economics-led administrative</w:t>
      </w:r>
      <w:r w:rsidRPr="002912FF">
        <w:t xml:space="preserve"> decision-mak</w:t>
      </w:r>
      <w:r>
        <w:t>ing.</w:t>
      </w:r>
      <w:r w:rsidRPr="002912FF">
        <w:t xml:space="preserve"> </w:t>
      </w:r>
      <w:r>
        <w:t>To facilitate this change, new performance standards will be set for the ACCC for merger assessments, including timeliness, guidance and reasons for determinations.</w:t>
      </w:r>
    </w:p>
    <w:p w14:paraId="3DC65B01" w14:textId="76C04699" w:rsidR="00947E3E" w:rsidRDefault="00947E3E" w:rsidP="00947E3E">
      <w:pPr>
        <w:spacing w:line="240" w:lineRule="auto"/>
      </w:pPr>
      <w:r>
        <w:t>The Government also released a Statement of Expectations (SOE) to the ACCC that outlines the Government’s expectations for how the</w:t>
      </w:r>
      <w:r w:rsidRPr="003F6297">
        <w:t xml:space="preserve"> ACCC will promote a competitive, dynamic and inclusive economy and modern, well-functioning markets that work for consumers.</w:t>
      </w:r>
      <w:r w:rsidR="007A5AD3">
        <w:rPr>
          <w:rStyle w:val="FootnoteReference"/>
        </w:rPr>
        <w:footnoteReference w:id="117"/>
      </w:r>
      <w:r w:rsidRPr="003F6297">
        <w:t xml:space="preserve"> </w:t>
      </w:r>
    </w:p>
    <w:p w14:paraId="7D9E08C1" w14:textId="171495D1" w:rsidR="00947E3E" w:rsidRDefault="00947E3E" w:rsidP="00947E3E">
      <w:pPr>
        <w:spacing w:line="240" w:lineRule="auto"/>
      </w:pPr>
      <w:r>
        <w:t>As part of the ACCC’s Statement of Intent in response to the SOE,</w:t>
      </w:r>
      <w:r w:rsidR="00245163">
        <w:rPr>
          <w:rStyle w:val="FootnoteReference"/>
        </w:rPr>
        <w:footnoteReference w:id="118"/>
      </w:r>
      <w:r>
        <w:t xml:space="preserve"> the ACCC has committed to </w:t>
      </w:r>
      <w:r w:rsidRPr="00A94708">
        <w:t>support the delivery of merger reform, including through a risk</w:t>
      </w:r>
      <w:r w:rsidRPr="00A94708">
        <w:rPr>
          <w:rFonts w:ascii="Cambria Math" w:hAnsi="Cambria Math" w:cs="Cambria Math"/>
        </w:rPr>
        <w:t>‑</w:t>
      </w:r>
      <w:r w:rsidRPr="00A94708">
        <w:t>based approach, making use of data and economic analysis, and increased transparency and guidance.</w:t>
      </w:r>
    </w:p>
    <w:p w14:paraId="391B4547" w14:textId="2034C7C0" w:rsidR="00F33011" w:rsidRDefault="003A247A" w:rsidP="00947E3E">
      <w:pPr>
        <w:spacing w:line="240" w:lineRule="auto"/>
      </w:pPr>
      <w:bookmarkStart w:id="109" w:name="_Hlk175758574"/>
      <w:r>
        <w:t>A</w:t>
      </w:r>
      <w:r w:rsidR="00802B09">
        <w:t xml:space="preserve">n </w:t>
      </w:r>
      <w:r w:rsidR="00802B09" w:rsidRPr="00891499">
        <w:t xml:space="preserve">independent expert adviser </w:t>
      </w:r>
      <w:r w:rsidR="000A2E73">
        <w:t xml:space="preserve">has </w:t>
      </w:r>
      <w:r w:rsidR="007B4E34">
        <w:t>been</w:t>
      </w:r>
      <w:r w:rsidR="00802B09" w:rsidRPr="00891499">
        <w:t xml:space="preserve"> appointed</w:t>
      </w:r>
      <w:r w:rsidR="007B4E34">
        <w:t xml:space="preserve"> to </w:t>
      </w:r>
      <w:r w:rsidR="00892CCA">
        <w:rPr>
          <w:rStyle w:val="normaltextrun"/>
          <w:rFonts w:ascii="Calibri" w:hAnsi="Calibri" w:cs="Calibri"/>
          <w:color w:val="000000"/>
          <w:bdr w:val="none" w:sz="0" w:space="0" w:color="auto" w:frame="1"/>
        </w:rPr>
        <w:t>provide advice to Treasury and the ACCC on effective implementation of the new system, specifically the mandatory notification thresholds and statutory assessment timelines, as well as ACCC capability, culture, practice, systems and resourcing</w:t>
      </w:r>
      <w:r w:rsidR="00F33011">
        <w:t>.</w:t>
      </w:r>
      <w:r w:rsidR="00DE6880" w:rsidRPr="00DE6880">
        <w:rPr>
          <w:rFonts w:cstheme="minorHAnsi"/>
        </w:rPr>
        <w:t xml:space="preserve"> </w:t>
      </w:r>
      <w:r w:rsidR="00DE6880" w:rsidRPr="00D4055B">
        <w:rPr>
          <w:rFonts w:cstheme="minorHAnsi"/>
        </w:rPr>
        <w:t>This</w:t>
      </w:r>
      <w:r w:rsidR="00DE6880">
        <w:rPr>
          <w:rFonts w:cstheme="minorHAnsi"/>
        </w:rPr>
        <w:t xml:space="preserve"> will</w:t>
      </w:r>
      <w:r w:rsidR="00DE6880" w:rsidRPr="00D4055B">
        <w:rPr>
          <w:rFonts w:cstheme="minorHAnsi"/>
        </w:rPr>
        <w:t xml:space="preserve"> include advice on delivering the Government’s merger reforms through a risk-based approach to merger review, supporting the change from enforcement action in court to more data- and economics-led administrative decision making and increased transparency and guidance to the community to enhance community understanding and administrative predictability.</w:t>
      </w:r>
      <w:bookmarkEnd w:id="109"/>
      <w:r w:rsidR="00DE6880">
        <w:rPr>
          <w:rFonts w:cstheme="minorHAnsi"/>
        </w:rPr>
        <w:t xml:space="preserve">  </w:t>
      </w:r>
    </w:p>
    <w:p w14:paraId="32C2DAB0" w14:textId="77777777" w:rsidR="00947E3E" w:rsidRPr="00E2357E" w:rsidRDefault="00947E3E" w:rsidP="004040E7">
      <w:pPr>
        <w:pStyle w:val="Heading3"/>
        <w:rPr>
          <w:rFonts w:cstheme="minorHAnsi"/>
          <w:i/>
        </w:rPr>
      </w:pPr>
      <w:bookmarkStart w:id="110" w:name="_Toc176972394"/>
      <w:r w:rsidRPr="00C0788E">
        <w:t>The Treasury</w:t>
      </w:r>
      <w:bookmarkEnd w:id="110"/>
    </w:p>
    <w:p w14:paraId="784C4E1A" w14:textId="244A2195" w:rsidR="00947E3E" w:rsidRDefault="00947E3E" w:rsidP="00947E3E">
      <w:pPr>
        <w:pStyle w:val="Bullet"/>
        <w:numPr>
          <w:ilvl w:val="0"/>
          <w:numId w:val="0"/>
        </w:numPr>
        <w:spacing w:line="240" w:lineRule="auto"/>
        <w:rPr>
          <w:rFonts w:asciiTheme="minorHAnsi" w:hAnsiTheme="minorHAnsi" w:cstheme="minorHAnsi"/>
        </w:rPr>
      </w:pPr>
      <w:r>
        <w:rPr>
          <w:rFonts w:asciiTheme="minorHAnsi" w:hAnsiTheme="minorHAnsi" w:cstheme="minorHAnsi"/>
        </w:rPr>
        <w:t>Treasury has been provided additional resourcing to facilitate development of the legislation and implement the new system. This include</w:t>
      </w:r>
      <w:r w:rsidR="005E62E3">
        <w:rPr>
          <w:rFonts w:asciiTheme="minorHAnsi" w:hAnsiTheme="minorHAnsi" w:cstheme="minorHAnsi"/>
        </w:rPr>
        <w:t>d</w:t>
      </w:r>
      <w:r>
        <w:rPr>
          <w:rFonts w:asciiTheme="minorHAnsi" w:hAnsiTheme="minorHAnsi" w:cstheme="minorHAnsi"/>
        </w:rPr>
        <w:t xml:space="preserve"> the appointment of </w:t>
      </w:r>
      <w:r w:rsidRPr="007D2C5D">
        <w:rPr>
          <w:rFonts w:asciiTheme="minorHAnsi" w:hAnsiTheme="minorHAnsi" w:cstheme="minorHAnsi"/>
        </w:rPr>
        <w:t xml:space="preserve">an independent expert adviser </w:t>
      </w:r>
      <w:r w:rsidR="00852A0F" w:rsidRPr="00852A0F">
        <w:rPr>
          <w:rFonts w:asciiTheme="minorHAnsi" w:hAnsiTheme="minorHAnsi" w:cstheme="minorHAnsi"/>
        </w:rPr>
        <w:t xml:space="preserve">on </w:t>
      </w:r>
      <w:r w:rsidR="006E5EF6">
        <w:rPr>
          <w:rFonts w:asciiTheme="minorHAnsi" w:hAnsiTheme="minorHAnsi" w:cstheme="minorHAnsi"/>
        </w:rPr>
        <w:t xml:space="preserve">the </w:t>
      </w:r>
      <w:r w:rsidR="00852A0F" w:rsidRPr="00852A0F">
        <w:rPr>
          <w:rFonts w:asciiTheme="minorHAnsi" w:hAnsiTheme="minorHAnsi" w:cstheme="minorHAnsi"/>
        </w:rPr>
        <w:t xml:space="preserve">implementation of </w:t>
      </w:r>
      <w:r w:rsidR="006E5EF6">
        <w:rPr>
          <w:rFonts w:asciiTheme="minorHAnsi" w:hAnsiTheme="minorHAnsi" w:cstheme="minorHAnsi"/>
        </w:rPr>
        <w:t>the m</w:t>
      </w:r>
      <w:r w:rsidR="00852A0F" w:rsidRPr="00852A0F">
        <w:rPr>
          <w:rFonts w:asciiTheme="minorHAnsi" w:hAnsiTheme="minorHAnsi" w:cstheme="minorHAnsi"/>
        </w:rPr>
        <w:t xml:space="preserve">erger </w:t>
      </w:r>
      <w:r w:rsidR="006E5EF6">
        <w:rPr>
          <w:rFonts w:asciiTheme="minorHAnsi" w:hAnsiTheme="minorHAnsi" w:cstheme="minorHAnsi"/>
        </w:rPr>
        <w:t>r</w:t>
      </w:r>
      <w:r w:rsidR="00852A0F" w:rsidRPr="00852A0F">
        <w:rPr>
          <w:rFonts w:asciiTheme="minorHAnsi" w:hAnsiTheme="minorHAnsi" w:cstheme="minorHAnsi"/>
        </w:rPr>
        <w:t>eform</w:t>
      </w:r>
      <w:r w:rsidR="006E5EF6">
        <w:rPr>
          <w:rFonts w:asciiTheme="minorHAnsi" w:hAnsiTheme="minorHAnsi" w:cstheme="minorHAnsi"/>
        </w:rPr>
        <w:t>s</w:t>
      </w:r>
      <w:r w:rsidR="00852A0F">
        <w:rPr>
          <w:rFonts w:asciiTheme="minorHAnsi" w:hAnsiTheme="minorHAnsi" w:cstheme="minorHAnsi"/>
        </w:rPr>
        <w:t xml:space="preserve">. </w:t>
      </w:r>
      <w:r w:rsidR="00D4055B">
        <w:rPr>
          <w:rFonts w:asciiTheme="minorHAnsi" w:hAnsiTheme="minorHAnsi" w:cstheme="minorHAnsi"/>
        </w:rPr>
        <w:t>The adviser will</w:t>
      </w:r>
      <w:r w:rsidR="00D4055B" w:rsidRPr="00D4055B">
        <w:t xml:space="preserve"> </w:t>
      </w:r>
      <w:r w:rsidR="00D4055B" w:rsidRPr="00D4055B">
        <w:rPr>
          <w:rFonts w:asciiTheme="minorHAnsi" w:hAnsiTheme="minorHAnsi" w:cstheme="minorHAnsi"/>
        </w:rPr>
        <w:t>provide advice to both the Treasury and the ACCC to assist effective implementation of the new system</w:t>
      </w:r>
      <w:r w:rsidR="001F1385">
        <w:rPr>
          <w:rFonts w:asciiTheme="minorHAnsi" w:hAnsiTheme="minorHAnsi" w:cstheme="minorHAnsi"/>
        </w:rPr>
        <w:t xml:space="preserve"> as indicated above</w:t>
      </w:r>
      <w:r w:rsidR="00D4055B" w:rsidRPr="00D4055B">
        <w:rPr>
          <w:rFonts w:asciiTheme="minorHAnsi" w:hAnsiTheme="minorHAnsi" w:cstheme="minorHAnsi"/>
        </w:rPr>
        <w:t xml:space="preserve">. </w:t>
      </w:r>
    </w:p>
    <w:p w14:paraId="225D362E" w14:textId="07EDD53F" w:rsidR="00947E3E" w:rsidRPr="00517713" w:rsidRDefault="00947E3E" w:rsidP="004040E7">
      <w:pPr>
        <w:pStyle w:val="Heading3"/>
      </w:pPr>
      <w:bookmarkStart w:id="111" w:name="_Toc176972395"/>
      <w:r w:rsidRPr="00517713">
        <w:t xml:space="preserve">The </w:t>
      </w:r>
      <w:r w:rsidR="00F32C6D" w:rsidRPr="00517713">
        <w:t xml:space="preserve">Australian Competition </w:t>
      </w:r>
      <w:r w:rsidRPr="00517713">
        <w:t>Tribunal</w:t>
      </w:r>
      <w:bookmarkEnd w:id="111"/>
    </w:p>
    <w:p w14:paraId="6CF44A91" w14:textId="1DD1AB3F" w:rsidR="00947E3E" w:rsidRPr="00814C47" w:rsidRDefault="00947E3E" w:rsidP="00947E3E">
      <w:pPr>
        <w:pStyle w:val="Bullet"/>
        <w:numPr>
          <w:ilvl w:val="0"/>
          <w:numId w:val="0"/>
        </w:numPr>
        <w:spacing w:line="240" w:lineRule="auto"/>
        <w:rPr>
          <w:rFonts w:asciiTheme="minorHAnsi" w:hAnsiTheme="minorHAnsi" w:cstheme="minorHAnsi"/>
        </w:rPr>
      </w:pPr>
      <w:r w:rsidRPr="00814C47">
        <w:rPr>
          <w:rFonts w:asciiTheme="minorHAnsi" w:hAnsiTheme="minorHAnsi" w:cstheme="minorHAnsi"/>
        </w:rPr>
        <w:t xml:space="preserve">ACCC determinations under the new merger review system will be subject to review by the Tribunal upon application by the merger parties or third parties (subject to </w:t>
      </w:r>
      <w:r w:rsidR="00D06597" w:rsidRPr="00814C47">
        <w:rPr>
          <w:rFonts w:asciiTheme="minorHAnsi" w:hAnsiTheme="minorHAnsi" w:cstheme="minorHAnsi"/>
        </w:rPr>
        <w:t>sufficient interest</w:t>
      </w:r>
      <w:r w:rsidRPr="00814C47">
        <w:rPr>
          <w:rFonts w:asciiTheme="minorHAnsi" w:hAnsiTheme="minorHAnsi" w:cstheme="minorHAnsi"/>
        </w:rPr>
        <w:t xml:space="preserve">). Judicial review of decisions by </w:t>
      </w:r>
      <w:r w:rsidR="007150C2" w:rsidRPr="00814C47">
        <w:rPr>
          <w:rFonts w:asciiTheme="minorHAnsi" w:hAnsiTheme="minorHAnsi" w:cstheme="minorHAnsi"/>
        </w:rPr>
        <w:t xml:space="preserve">the ACCC </w:t>
      </w:r>
      <w:r w:rsidR="00924221" w:rsidRPr="00814C47">
        <w:rPr>
          <w:rFonts w:asciiTheme="minorHAnsi" w:hAnsiTheme="minorHAnsi" w:cstheme="minorHAnsi"/>
        </w:rPr>
        <w:t>and</w:t>
      </w:r>
      <w:r w:rsidR="00F058CD" w:rsidRPr="00814C47">
        <w:rPr>
          <w:rFonts w:asciiTheme="minorHAnsi" w:hAnsiTheme="minorHAnsi" w:cstheme="minorHAnsi"/>
        </w:rPr>
        <w:t xml:space="preserve"> </w:t>
      </w:r>
      <w:r w:rsidRPr="00814C47">
        <w:rPr>
          <w:rFonts w:asciiTheme="minorHAnsi" w:hAnsiTheme="minorHAnsi" w:cstheme="minorHAnsi"/>
        </w:rPr>
        <w:t>Tribunal will be available in the Federal Court.</w:t>
      </w:r>
    </w:p>
    <w:p w14:paraId="39E6584A" w14:textId="0A1926A6" w:rsidR="00373F37" w:rsidRPr="001533F5" w:rsidRDefault="00480510" w:rsidP="004040E7">
      <w:pPr>
        <w:pStyle w:val="Heading3"/>
      </w:pPr>
      <w:bookmarkStart w:id="112" w:name="_Toc176972396"/>
      <w:bookmarkStart w:id="113" w:name="_Toc158988653"/>
      <w:bookmarkStart w:id="114" w:name="_Toc160013911"/>
      <w:bookmarkStart w:id="115" w:name="_Toc162428390"/>
      <w:r w:rsidRPr="13FCB000">
        <w:t>Implementation challenges and risks</w:t>
      </w:r>
      <w:bookmarkEnd w:id="112"/>
    </w:p>
    <w:p w14:paraId="008564BE" w14:textId="701EF957" w:rsidR="00FA0D7B" w:rsidRDefault="002245D3">
      <w:r w:rsidRPr="0077099E">
        <w:t xml:space="preserve">Implementation of the new system has the following </w:t>
      </w:r>
      <w:r w:rsidR="0077099E" w:rsidRPr="0077099E">
        <w:t>challenges and risks</w:t>
      </w:r>
      <w:r w:rsidR="004A08A1">
        <w:t>.</w:t>
      </w:r>
    </w:p>
    <w:p w14:paraId="1DB6C03A" w14:textId="07A2CE21" w:rsidR="00470CEB" w:rsidRPr="00AB5296" w:rsidRDefault="004A08A1" w:rsidP="00FA0D7B">
      <w:pPr>
        <w:pStyle w:val="Bullet"/>
        <w:rPr>
          <w:rFonts w:asciiTheme="minorHAnsi" w:eastAsiaTheme="minorEastAsia" w:hAnsiTheme="minorHAnsi" w:cstheme="minorBidi"/>
        </w:rPr>
      </w:pPr>
      <w:r>
        <w:rPr>
          <w:rFonts w:asciiTheme="minorHAnsi" w:eastAsiaTheme="minorEastAsia" w:hAnsiTheme="minorHAnsi" w:cstheme="minorBidi"/>
        </w:rPr>
        <w:t>T</w:t>
      </w:r>
      <w:r w:rsidR="6ED4E38B" w:rsidRPr="697BF44B">
        <w:rPr>
          <w:rFonts w:asciiTheme="minorHAnsi" w:eastAsiaTheme="minorEastAsia" w:hAnsiTheme="minorHAnsi" w:cstheme="minorBidi"/>
        </w:rPr>
        <w:t xml:space="preserve">he </w:t>
      </w:r>
      <w:r w:rsidR="00872E9E">
        <w:rPr>
          <w:rFonts w:asciiTheme="minorHAnsi" w:eastAsiaTheme="minorEastAsia" w:hAnsiTheme="minorHAnsi" w:cstheme="minorBidi"/>
        </w:rPr>
        <w:t xml:space="preserve">notification </w:t>
      </w:r>
      <w:r w:rsidR="00470CEB" w:rsidRPr="697BF44B">
        <w:rPr>
          <w:rFonts w:asciiTheme="minorHAnsi" w:eastAsiaTheme="minorEastAsia" w:hAnsiTheme="minorHAnsi" w:cstheme="minorBidi"/>
        </w:rPr>
        <w:t xml:space="preserve">thresholds over-capture or under-capture </w:t>
      </w:r>
      <w:r w:rsidR="0029274C" w:rsidRPr="697BF44B">
        <w:rPr>
          <w:rFonts w:asciiTheme="minorHAnsi" w:eastAsiaTheme="minorEastAsia" w:hAnsiTheme="minorHAnsi" w:cstheme="minorBidi"/>
        </w:rPr>
        <w:t>(false positives and negatives)</w:t>
      </w:r>
      <w:r>
        <w:rPr>
          <w:rFonts w:asciiTheme="minorHAnsi" w:eastAsiaTheme="minorEastAsia" w:hAnsiTheme="minorHAnsi" w:cstheme="minorBidi"/>
        </w:rPr>
        <w:t>.</w:t>
      </w:r>
    </w:p>
    <w:p w14:paraId="5D8CAC85" w14:textId="396E469E" w:rsidR="00AB5296" w:rsidRDefault="004A08A1" w:rsidP="00AB5296">
      <w:pPr>
        <w:pStyle w:val="Bullet"/>
        <w:rPr>
          <w:rFonts w:asciiTheme="minorHAnsi" w:eastAsiaTheme="minorEastAsia" w:hAnsiTheme="minorHAnsi" w:cstheme="minorBidi"/>
        </w:rPr>
      </w:pPr>
      <w:r>
        <w:rPr>
          <w:rFonts w:asciiTheme="minorHAnsi" w:eastAsiaTheme="minorEastAsia" w:hAnsiTheme="minorHAnsi" w:cstheme="minorBidi"/>
        </w:rPr>
        <w:t>A</w:t>
      </w:r>
      <w:r w:rsidR="272A7181" w:rsidRPr="597D3948">
        <w:rPr>
          <w:rFonts w:asciiTheme="minorHAnsi" w:eastAsiaTheme="minorEastAsia" w:hAnsiTheme="minorHAnsi" w:cstheme="minorBidi"/>
        </w:rPr>
        <w:t>nti-</w:t>
      </w:r>
      <w:r w:rsidR="272A7181" w:rsidRPr="62EA001E">
        <w:rPr>
          <w:rFonts w:asciiTheme="minorHAnsi" w:eastAsiaTheme="minorEastAsia" w:hAnsiTheme="minorHAnsi" w:cstheme="minorBidi"/>
        </w:rPr>
        <w:t>competitive</w:t>
      </w:r>
      <w:r w:rsidR="000B5F32" w:rsidRPr="55CEC3A0">
        <w:rPr>
          <w:rFonts w:asciiTheme="minorHAnsi" w:eastAsiaTheme="minorEastAsia" w:hAnsiTheme="minorHAnsi" w:cstheme="minorBidi"/>
        </w:rPr>
        <w:t xml:space="preserve"> mergers </w:t>
      </w:r>
      <w:r w:rsidR="4BA3A5F4" w:rsidRPr="62EA001E">
        <w:rPr>
          <w:rFonts w:asciiTheme="minorHAnsi" w:eastAsiaTheme="minorEastAsia" w:hAnsiTheme="minorHAnsi" w:cstheme="minorBidi"/>
        </w:rPr>
        <w:t xml:space="preserve">that have an appreciable effect on competition </w:t>
      </w:r>
      <w:r w:rsidR="794AAB5B" w:rsidRPr="597D3948">
        <w:rPr>
          <w:rFonts w:asciiTheme="minorHAnsi" w:eastAsiaTheme="minorEastAsia" w:hAnsiTheme="minorHAnsi" w:cstheme="minorBidi"/>
        </w:rPr>
        <w:t xml:space="preserve">are not </w:t>
      </w:r>
      <w:r w:rsidR="000B5F32" w:rsidRPr="55CEC3A0">
        <w:rPr>
          <w:rFonts w:asciiTheme="minorHAnsi" w:eastAsiaTheme="minorEastAsia" w:hAnsiTheme="minorHAnsi" w:cstheme="minorBidi"/>
        </w:rPr>
        <w:t>captured</w:t>
      </w:r>
      <w:r w:rsidR="2B0695B8" w:rsidRPr="597D3948">
        <w:rPr>
          <w:rFonts w:asciiTheme="minorHAnsi" w:eastAsiaTheme="minorEastAsia" w:hAnsiTheme="minorHAnsi" w:cstheme="minorBidi"/>
        </w:rPr>
        <w:t xml:space="preserve"> or </w:t>
      </w:r>
      <w:r w:rsidR="33AAEA88" w:rsidRPr="1C02F5F2">
        <w:rPr>
          <w:rFonts w:asciiTheme="minorHAnsi" w:eastAsiaTheme="minorEastAsia" w:hAnsiTheme="minorHAnsi" w:cstheme="minorBidi"/>
        </w:rPr>
        <w:t>action</w:t>
      </w:r>
      <w:r w:rsidR="005711C9">
        <w:rPr>
          <w:rFonts w:asciiTheme="minorHAnsi" w:eastAsiaTheme="minorEastAsia" w:hAnsiTheme="minorHAnsi" w:cstheme="minorBidi"/>
        </w:rPr>
        <w:t xml:space="preserve"> is</w:t>
      </w:r>
      <w:r w:rsidR="33AAEA88" w:rsidRPr="1C02F5F2">
        <w:rPr>
          <w:rFonts w:asciiTheme="minorHAnsi" w:eastAsiaTheme="minorEastAsia" w:hAnsiTheme="minorHAnsi" w:cstheme="minorBidi"/>
        </w:rPr>
        <w:t xml:space="preserve"> taken by the ACCC under the Part IV of the CCA</w:t>
      </w:r>
      <w:r>
        <w:rPr>
          <w:rFonts w:asciiTheme="minorHAnsi" w:eastAsiaTheme="minorEastAsia" w:hAnsiTheme="minorHAnsi" w:cstheme="minorBidi"/>
        </w:rPr>
        <w:t>.</w:t>
      </w:r>
    </w:p>
    <w:p w14:paraId="33EC815D" w14:textId="1BB6D8B8" w:rsidR="005B40F0" w:rsidRDefault="005711C9" w:rsidP="00AB5296">
      <w:pPr>
        <w:pStyle w:val="Bullet"/>
        <w:rPr>
          <w:rFonts w:asciiTheme="minorHAnsi" w:eastAsiaTheme="minorEastAsia" w:hAnsiTheme="minorHAnsi" w:cstheme="minorBidi"/>
        </w:rPr>
      </w:pPr>
      <w:r>
        <w:rPr>
          <w:rFonts w:asciiTheme="minorHAnsi" w:eastAsiaTheme="minorEastAsia" w:hAnsiTheme="minorHAnsi" w:cstheme="minorBidi"/>
        </w:rPr>
        <w:t>A</w:t>
      </w:r>
      <w:r w:rsidR="1D157688" w:rsidRPr="1C02F5F2">
        <w:rPr>
          <w:rFonts w:asciiTheme="minorHAnsi" w:eastAsiaTheme="minorEastAsia" w:hAnsiTheme="minorHAnsi" w:cstheme="minorBidi"/>
        </w:rPr>
        <w:t xml:space="preserve">cquisitions </w:t>
      </w:r>
      <w:r>
        <w:rPr>
          <w:rFonts w:asciiTheme="minorHAnsi" w:eastAsiaTheme="minorEastAsia" w:hAnsiTheme="minorHAnsi" w:cstheme="minorBidi"/>
        </w:rPr>
        <w:t xml:space="preserve">are </w:t>
      </w:r>
      <w:r w:rsidR="1D157688" w:rsidRPr="4024F8E4">
        <w:rPr>
          <w:rFonts w:asciiTheme="minorHAnsi" w:eastAsiaTheme="minorEastAsia" w:hAnsiTheme="minorHAnsi" w:cstheme="minorBidi"/>
        </w:rPr>
        <w:t xml:space="preserve">voided </w:t>
      </w:r>
      <w:r w:rsidR="00AB4A32" w:rsidRPr="1C02F5F2">
        <w:rPr>
          <w:rFonts w:asciiTheme="minorHAnsi" w:eastAsiaTheme="minorEastAsia" w:hAnsiTheme="minorHAnsi" w:cstheme="minorBidi"/>
        </w:rPr>
        <w:t xml:space="preserve">due to businesses not </w:t>
      </w:r>
      <w:r w:rsidR="39EC07AA" w:rsidRPr="4024F8E4">
        <w:rPr>
          <w:rFonts w:asciiTheme="minorHAnsi" w:eastAsiaTheme="minorEastAsia" w:hAnsiTheme="minorHAnsi" w:cstheme="minorBidi"/>
        </w:rPr>
        <w:t>being aware of</w:t>
      </w:r>
      <w:r w:rsidR="00AB4A32" w:rsidRPr="1C02F5F2">
        <w:rPr>
          <w:rFonts w:asciiTheme="minorHAnsi" w:eastAsiaTheme="minorEastAsia" w:hAnsiTheme="minorHAnsi" w:cstheme="minorBidi"/>
        </w:rPr>
        <w:t xml:space="preserve"> the new requirements</w:t>
      </w:r>
      <w:r>
        <w:rPr>
          <w:rFonts w:asciiTheme="minorHAnsi" w:eastAsiaTheme="minorEastAsia" w:hAnsiTheme="minorHAnsi" w:cstheme="minorBidi"/>
        </w:rPr>
        <w:t>.</w:t>
      </w:r>
    </w:p>
    <w:p w14:paraId="24BDE0C3" w14:textId="5BE998AA" w:rsidR="007D7A8C" w:rsidRDefault="005711C9" w:rsidP="00AB5296">
      <w:pPr>
        <w:pStyle w:val="Bullet"/>
        <w:rPr>
          <w:rFonts w:asciiTheme="minorHAnsi" w:eastAsiaTheme="minorEastAsia" w:hAnsiTheme="minorHAnsi" w:cstheme="minorBidi"/>
        </w:rPr>
      </w:pPr>
      <w:r>
        <w:rPr>
          <w:rFonts w:asciiTheme="minorHAnsi" w:eastAsiaTheme="minorEastAsia" w:hAnsiTheme="minorHAnsi" w:cstheme="minorBidi"/>
        </w:rPr>
        <w:t>S</w:t>
      </w:r>
      <w:r w:rsidR="009D64C2" w:rsidRPr="4024F8E4">
        <w:rPr>
          <w:rFonts w:asciiTheme="minorHAnsi" w:eastAsiaTheme="minorEastAsia" w:hAnsiTheme="minorHAnsi" w:cstheme="minorBidi"/>
        </w:rPr>
        <w:t xml:space="preserve">ystems </w:t>
      </w:r>
      <w:r w:rsidR="000075A4" w:rsidRPr="4024F8E4">
        <w:rPr>
          <w:rFonts w:asciiTheme="minorHAnsi" w:eastAsiaTheme="minorEastAsia" w:hAnsiTheme="minorHAnsi" w:cstheme="minorBidi"/>
        </w:rPr>
        <w:t xml:space="preserve">and processes </w:t>
      </w:r>
      <w:r>
        <w:rPr>
          <w:rFonts w:asciiTheme="minorHAnsi" w:eastAsiaTheme="minorEastAsia" w:hAnsiTheme="minorHAnsi" w:cstheme="minorBidi"/>
        </w:rPr>
        <w:t xml:space="preserve">are </w:t>
      </w:r>
      <w:r w:rsidR="009D64C2" w:rsidRPr="4024F8E4">
        <w:rPr>
          <w:rFonts w:asciiTheme="minorHAnsi" w:eastAsiaTheme="minorEastAsia" w:hAnsiTheme="minorHAnsi" w:cstheme="minorBidi"/>
        </w:rPr>
        <w:t>not in place (</w:t>
      </w:r>
      <w:r w:rsidR="00BA112F" w:rsidRPr="4024F8E4">
        <w:rPr>
          <w:rFonts w:asciiTheme="minorHAnsi" w:eastAsiaTheme="minorEastAsia" w:hAnsiTheme="minorHAnsi" w:cstheme="minorBidi"/>
        </w:rPr>
        <w:t xml:space="preserve">for example, </w:t>
      </w:r>
      <w:r w:rsidR="009D64C2" w:rsidRPr="4024F8E4">
        <w:rPr>
          <w:rFonts w:asciiTheme="minorHAnsi" w:eastAsiaTheme="minorEastAsia" w:hAnsiTheme="minorHAnsi" w:cstheme="minorBidi"/>
        </w:rPr>
        <w:t xml:space="preserve">IT, </w:t>
      </w:r>
      <w:r w:rsidR="000569D1" w:rsidRPr="4024F8E4">
        <w:rPr>
          <w:rFonts w:asciiTheme="minorHAnsi" w:eastAsiaTheme="minorEastAsia" w:hAnsiTheme="minorHAnsi" w:cstheme="minorBidi"/>
        </w:rPr>
        <w:t xml:space="preserve">forms, </w:t>
      </w:r>
      <w:r w:rsidR="003C0445" w:rsidRPr="4024F8E4">
        <w:rPr>
          <w:rFonts w:asciiTheme="minorHAnsi" w:eastAsiaTheme="minorEastAsia" w:hAnsiTheme="minorHAnsi" w:cstheme="minorBidi"/>
        </w:rPr>
        <w:t>policies</w:t>
      </w:r>
      <w:r w:rsidR="000569D1" w:rsidRPr="4024F8E4">
        <w:rPr>
          <w:rFonts w:asciiTheme="minorHAnsi" w:eastAsiaTheme="minorEastAsia" w:hAnsiTheme="minorHAnsi" w:cstheme="minorBidi"/>
        </w:rPr>
        <w:t>, procedures,</w:t>
      </w:r>
      <w:r>
        <w:rPr>
          <w:rFonts w:asciiTheme="minorHAnsi" w:eastAsiaTheme="minorEastAsia" w:hAnsiTheme="minorHAnsi" w:cstheme="minorBidi"/>
        </w:rPr>
        <w:t xml:space="preserve"> and</w:t>
      </w:r>
      <w:r w:rsidR="000569D1" w:rsidRPr="4024F8E4">
        <w:rPr>
          <w:rFonts w:asciiTheme="minorHAnsi" w:eastAsiaTheme="minorEastAsia" w:hAnsiTheme="minorHAnsi" w:cstheme="minorBidi"/>
        </w:rPr>
        <w:t xml:space="preserve"> guidance</w:t>
      </w:r>
      <w:r w:rsidR="009D64C2" w:rsidRPr="4024F8E4">
        <w:rPr>
          <w:rFonts w:asciiTheme="minorHAnsi" w:eastAsiaTheme="minorEastAsia" w:hAnsiTheme="minorHAnsi" w:cstheme="minorBidi"/>
        </w:rPr>
        <w:t xml:space="preserve"> </w:t>
      </w:r>
      <w:r>
        <w:rPr>
          <w:rFonts w:asciiTheme="minorHAnsi" w:eastAsiaTheme="minorEastAsia" w:hAnsiTheme="minorHAnsi" w:cstheme="minorBidi"/>
        </w:rPr>
        <w:t xml:space="preserve">is </w:t>
      </w:r>
      <w:r w:rsidR="00542904" w:rsidRPr="4024F8E4">
        <w:rPr>
          <w:rFonts w:asciiTheme="minorHAnsi" w:eastAsiaTheme="minorEastAsia" w:hAnsiTheme="minorHAnsi" w:cstheme="minorBidi"/>
        </w:rPr>
        <w:t>not developed and consulted on</w:t>
      </w:r>
      <w:r w:rsidR="006716B8" w:rsidRPr="4024F8E4">
        <w:rPr>
          <w:rFonts w:asciiTheme="minorHAnsi" w:eastAsiaTheme="minorEastAsia" w:hAnsiTheme="minorHAnsi" w:cstheme="minorBidi"/>
        </w:rPr>
        <w:t xml:space="preserve">) </w:t>
      </w:r>
      <w:r w:rsidR="00542904" w:rsidRPr="4024F8E4">
        <w:rPr>
          <w:rFonts w:asciiTheme="minorHAnsi" w:eastAsiaTheme="minorEastAsia" w:hAnsiTheme="minorHAnsi" w:cstheme="minorBidi"/>
        </w:rPr>
        <w:t>prior to commencement of the new system, leading to</w:t>
      </w:r>
      <w:r w:rsidR="000569D1" w:rsidRPr="4024F8E4">
        <w:rPr>
          <w:rFonts w:asciiTheme="minorHAnsi" w:eastAsiaTheme="minorEastAsia" w:hAnsiTheme="minorHAnsi" w:cstheme="minorBidi"/>
        </w:rPr>
        <w:t xml:space="preserve"> </w:t>
      </w:r>
      <w:r>
        <w:rPr>
          <w:rFonts w:asciiTheme="minorHAnsi" w:eastAsiaTheme="minorEastAsia" w:hAnsiTheme="minorHAnsi" w:cstheme="minorBidi"/>
        </w:rPr>
        <w:t xml:space="preserve">the </w:t>
      </w:r>
      <w:r w:rsidR="00CB033E" w:rsidRPr="4024F8E4">
        <w:rPr>
          <w:rFonts w:asciiTheme="minorHAnsi" w:eastAsiaTheme="minorEastAsia" w:hAnsiTheme="minorHAnsi" w:cstheme="minorBidi"/>
        </w:rPr>
        <w:t xml:space="preserve">ACCC not </w:t>
      </w:r>
      <w:r>
        <w:rPr>
          <w:rFonts w:asciiTheme="minorHAnsi" w:eastAsiaTheme="minorEastAsia" w:hAnsiTheme="minorHAnsi" w:cstheme="minorBidi"/>
        </w:rPr>
        <w:t xml:space="preserve">being </w:t>
      </w:r>
      <w:r w:rsidR="003D1623" w:rsidRPr="4024F8E4">
        <w:rPr>
          <w:rFonts w:asciiTheme="minorHAnsi" w:eastAsiaTheme="minorEastAsia" w:hAnsiTheme="minorHAnsi" w:cstheme="minorBidi"/>
        </w:rPr>
        <w:t>able to</w:t>
      </w:r>
      <w:r w:rsidR="005A68FA" w:rsidRPr="4024F8E4">
        <w:rPr>
          <w:rFonts w:asciiTheme="minorHAnsi" w:eastAsiaTheme="minorEastAsia" w:hAnsiTheme="minorHAnsi" w:cstheme="minorBidi"/>
        </w:rPr>
        <w:t xml:space="preserve"> </w:t>
      </w:r>
      <w:r w:rsidR="00DA0C85" w:rsidRPr="4024F8E4">
        <w:rPr>
          <w:rFonts w:asciiTheme="minorHAnsi" w:eastAsiaTheme="minorEastAsia" w:hAnsiTheme="minorHAnsi" w:cstheme="minorBidi"/>
        </w:rPr>
        <w:t>rece</w:t>
      </w:r>
      <w:r w:rsidR="0094732D" w:rsidRPr="4024F8E4">
        <w:rPr>
          <w:rFonts w:asciiTheme="minorHAnsi" w:eastAsiaTheme="minorEastAsia" w:hAnsiTheme="minorHAnsi" w:cstheme="minorBidi"/>
        </w:rPr>
        <w:t xml:space="preserve">ive and </w:t>
      </w:r>
      <w:r w:rsidR="005A68FA" w:rsidRPr="4024F8E4">
        <w:rPr>
          <w:rFonts w:asciiTheme="minorHAnsi" w:eastAsiaTheme="minorEastAsia" w:hAnsiTheme="minorHAnsi" w:cstheme="minorBidi"/>
        </w:rPr>
        <w:t xml:space="preserve">efficiently </w:t>
      </w:r>
      <w:r w:rsidR="0094732D" w:rsidRPr="4024F8E4">
        <w:rPr>
          <w:rFonts w:asciiTheme="minorHAnsi" w:eastAsiaTheme="minorEastAsia" w:hAnsiTheme="minorHAnsi" w:cstheme="minorBidi"/>
        </w:rPr>
        <w:t>assess notifiable mergers at</w:t>
      </w:r>
      <w:r w:rsidR="008D31F1" w:rsidRPr="4024F8E4">
        <w:rPr>
          <w:rFonts w:asciiTheme="minorHAnsi" w:eastAsiaTheme="minorEastAsia" w:hAnsiTheme="minorHAnsi" w:cstheme="minorBidi"/>
        </w:rPr>
        <w:t xml:space="preserve"> </w:t>
      </w:r>
      <w:r>
        <w:rPr>
          <w:rFonts w:asciiTheme="minorHAnsi" w:eastAsiaTheme="minorEastAsia" w:hAnsiTheme="minorHAnsi" w:cstheme="minorBidi"/>
        </w:rPr>
        <w:t xml:space="preserve">the </w:t>
      </w:r>
      <w:r w:rsidR="0094732D" w:rsidRPr="4024F8E4">
        <w:rPr>
          <w:rFonts w:asciiTheme="minorHAnsi" w:eastAsiaTheme="minorEastAsia" w:hAnsiTheme="minorHAnsi" w:cstheme="minorBidi"/>
        </w:rPr>
        <w:t xml:space="preserve">commencement of its </w:t>
      </w:r>
      <w:r w:rsidR="00DB2B36" w:rsidRPr="4024F8E4">
        <w:rPr>
          <w:rFonts w:asciiTheme="minorHAnsi" w:eastAsiaTheme="minorEastAsia" w:hAnsiTheme="minorHAnsi" w:cstheme="minorBidi"/>
        </w:rPr>
        <w:t xml:space="preserve">new </w:t>
      </w:r>
      <w:r w:rsidR="0094732D" w:rsidRPr="4024F8E4">
        <w:rPr>
          <w:rFonts w:asciiTheme="minorHAnsi" w:eastAsiaTheme="minorEastAsia" w:hAnsiTheme="minorHAnsi" w:cstheme="minorBidi"/>
        </w:rPr>
        <w:t>r</w:t>
      </w:r>
      <w:r w:rsidR="00E31A9D" w:rsidRPr="4024F8E4">
        <w:rPr>
          <w:rFonts w:asciiTheme="minorHAnsi" w:eastAsiaTheme="minorEastAsia" w:hAnsiTheme="minorHAnsi" w:cstheme="minorBidi"/>
        </w:rPr>
        <w:t>egulatory powers</w:t>
      </w:r>
      <w:r>
        <w:rPr>
          <w:rFonts w:asciiTheme="minorHAnsi" w:eastAsiaTheme="minorEastAsia" w:hAnsiTheme="minorHAnsi" w:cstheme="minorBidi"/>
        </w:rPr>
        <w:t>.</w:t>
      </w:r>
    </w:p>
    <w:p w14:paraId="1B8DF6F1" w14:textId="255FE2BD" w:rsidR="006D711D" w:rsidRPr="00CC0FE7" w:rsidRDefault="007D7A8C" w:rsidP="00CC0FE7">
      <w:pPr>
        <w:pStyle w:val="Bullet"/>
        <w:rPr>
          <w:rFonts w:asciiTheme="minorHAnsi" w:eastAsiaTheme="minorHAnsi" w:hAnsiTheme="minorHAnsi" w:cstheme="minorHAnsi"/>
        </w:rPr>
      </w:pPr>
      <w:r>
        <w:rPr>
          <w:rStyle w:val="normaltextrun"/>
          <w:rFonts w:ascii="Calibri" w:hAnsi="Calibri" w:cs="Calibri"/>
          <w:color w:val="000000"/>
          <w:szCs w:val="22"/>
          <w:bdr w:val="none" w:sz="0" w:space="0" w:color="auto" w:frame="1"/>
        </w:rPr>
        <w:t xml:space="preserve">ACCC </w:t>
      </w:r>
      <w:r w:rsidR="003D599D">
        <w:rPr>
          <w:rStyle w:val="normaltextrun"/>
          <w:rFonts w:ascii="Calibri" w:hAnsi="Calibri" w:cs="Calibri"/>
          <w:color w:val="000000"/>
          <w:szCs w:val="22"/>
          <w:bdr w:val="none" w:sz="0" w:space="0" w:color="auto" w:frame="1"/>
        </w:rPr>
        <w:t>staffing complement, resourcing, capability</w:t>
      </w:r>
      <w:r w:rsidR="00344A4E">
        <w:rPr>
          <w:rStyle w:val="normaltextrun"/>
          <w:rFonts w:ascii="Calibri" w:hAnsi="Calibri" w:cs="Calibri"/>
          <w:color w:val="000000"/>
          <w:szCs w:val="22"/>
          <w:bdr w:val="none" w:sz="0" w:space="0" w:color="auto" w:frame="1"/>
        </w:rPr>
        <w:t xml:space="preserve"> not sufficient to meet the </w:t>
      </w:r>
      <w:r w:rsidR="00F85A34">
        <w:rPr>
          <w:rStyle w:val="normaltextrun"/>
          <w:rFonts w:ascii="Calibri" w:hAnsi="Calibri" w:cs="Calibri"/>
          <w:color w:val="000000"/>
          <w:szCs w:val="22"/>
          <w:bdr w:val="none" w:sz="0" w:space="0" w:color="auto" w:frame="1"/>
        </w:rPr>
        <w:t>needs of the new system</w:t>
      </w:r>
      <w:r w:rsidR="00CC0FE7">
        <w:rPr>
          <w:rStyle w:val="normaltextrun"/>
          <w:rFonts w:ascii="Calibri" w:hAnsi="Calibri" w:cs="Calibri"/>
          <w:color w:val="000000"/>
          <w:szCs w:val="22"/>
          <w:bdr w:val="none" w:sz="0" w:space="0" w:color="auto" w:frame="1"/>
        </w:rPr>
        <w:t>.</w:t>
      </w:r>
      <w:r w:rsidR="00F85A34" w:rsidRPr="00CC0FE7">
        <w:rPr>
          <w:rStyle w:val="normaltextrun"/>
          <w:rFonts w:ascii="Calibri" w:hAnsi="Calibri" w:cs="Calibri"/>
          <w:color w:val="000000"/>
          <w:szCs w:val="22"/>
          <w:bdr w:val="none" w:sz="0" w:space="0" w:color="auto" w:frame="1"/>
        </w:rPr>
        <w:t xml:space="preserve"> </w:t>
      </w:r>
    </w:p>
    <w:p w14:paraId="4F1D36F8" w14:textId="4B9419CB" w:rsidR="00816760" w:rsidRDefault="00AB5296" w:rsidP="00AB5296">
      <w:r>
        <w:t xml:space="preserve">To mitigate </w:t>
      </w:r>
      <w:r w:rsidR="00170DA7">
        <w:t>risk</w:t>
      </w:r>
      <w:r w:rsidR="00044036">
        <w:t xml:space="preserve">, </w:t>
      </w:r>
      <w:r w:rsidR="002C4D00">
        <w:t xml:space="preserve">a merger </w:t>
      </w:r>
      <w:r w:rsidR="00412925">
        <w:t xml:space="preserve">or acquisition that is required to be notified will be </w:t>
      </w:r>
      <w:r w:rsidR="0084380E">
        <w:t xml:space="preserve">set out in </w:t>
      </w:r>
      <w:r w:rsidR="002715AB">
        <w:t xml:space="preserve">subordinate legislation </w:t>
      </w:r>
      <w:r w:rsidR="006D4D47">
        <w:t xml:space="preserve">with additional targeted notification requirements set by </w:t>
      </w:r>
      <w:r w:rsidR="00412925">
        <w:t xml:space="preserve">a </w:t>
      </w:r>
      <w:r w:rsidR="00C64319">
        <w:t>Treasury Minister</w:t>
      </w:r>
      <w:r w:rsidR="00EF68FD">
        <w:t xml:space="preserve">. </w:t>
      </w:r>
      <w:r w:rsidR="00FF1F8C">
        <w:t xml:space="preserve">This provides the </w:t>
      </w:r>
      <w:r w:rsidR="00FF1F8C" w:rsidRPr="00FF1F8C">
        <w:t xml:space="preserve">flexibility to </w:t>
      </w:r>
      <w:r w:rsidR="007602E6">
        <w:t>calibrate and update them over time</w:t>
      </w:r>
      <w:r w:rsidR="00A057B8">
        <w:t xml:space="preserve">, </w:t>
      </w:r>
      <w:r w:rsidR="00FF1F8C" w:rsidRPr="00FF1F8C">
        <w:t>ensur</w:t>
      </w:r>
      <w:r w:rsidR="00A057B8">
        <w:t>ing</w:t>
      </w:r>
      <w:r w:rsidR="00FF1F8C" w:rsidRPr="00FF1F8C">
        <w:t xml:space="preserve"> that the system is risk-based and targeted at those mergers most likely to result in harm to competition and consumers, while reducing the overall compliance burden on businesses. </w:t>
      </w:r>
      <w:r w:rsidR="4920528E">
        <w:t>Setting</w:t>
      </w:r>
      <w:r w:rsidR="00FF1F8C" w:rsidRPr="00FF1F8C">
        <w:t xml:space="preserve"> </w:t>
      </w:r>
      <w:r w:rsidR="00BA7DD2">
        <w:t xml:space="preserve">notification </w:t>
      </w:r>
      <w:r w:rsidR="00FF1F8C" w:rsidRPr="00FF1F8C">
        <w:t xml:space="preserve">thresholds in </w:t>
      </w:r>
      <w:r w:rsidR="00245CEF">
        <w:t>subordinate legislation</w:t>
      </w:r>
      <w:r w:rsidR="00245CEF" w:rsidRPr="00FF1F8C">
        <w:t xml:space="preserve"> </w:t>
      </w:r>
      <w:r w:rsidR="00FF1F8C" w:rsidRPr="00FF1F8C">
        <w:t xml:space="preserve">and a </w:t>
      </w:r>
      <w:r w:rsidR="28ECCAB9">
        <w:t xml:space="preserve">Ministerial power </w:t>
      </w:r>
      <w:r w:rsidR="30FF1879">
        <w:t>(following consultation</w:t>
      </w:r>
      <w:r w:rsidR="00327EC2">
        <w:t>, which may include</w:t>
      </w:r>
      <w:r w:rsidR="30FF1879">
        <w:t xml:space="preserve"> advice from the ACCC) to</w:t>
      </w:r>
      <w:r w:rsidR="00FF1F8C">
        <w:t xml:space="preserve"> </w:t>
      </w:r>
      <w:r w:rsidR="00FF1F8C" w:rsidRPr="00FF1F8C">
        <w:t xml:space="preserve">specify additional mergers </w:t>
      </w:r>
      <w:r w:rsidR="005772B9">
        <w:t xml:space="preserve">and acquisitions </w:t>
      </w:r>
      <w:r w:rsidR="00FF1F8C" w:rsidRPr="00FF1F8C">
        <w:t xml:space="preserve">that </w:t>
      </w:r>
      <w:r w:rsidR="0D77EB50">
        <w:t>must be notified</w:t>
      </w:r>
      <w:r w:rsidR="00FF1F8C" w:rsidRPr="00FF1F8C">
        <w:t xml:space="preserve"> offers flexibility to achieve these objectives over time.</w:t>
      </w:r>
      <w:r w:rsidR="00044036">
        <w:t xml:space="preserve"> </w:t>
      </w:r>
    </w:p>
    <w:p w14:paraId="4AD8AA17" w14:textId="1C71443F" w:rsidR="003F3B1D" w:rsidRDefault="000D219E" w:rsidP="00AB5296">
      <w:r w:rsidRPr="00016D11">
        <w:t>Up until now, Australia has lacked a comprehensive database of merger and acquisition activity in Australia. This gap has made it difficult to understand trends in merger activity and evaluate the impact of mergers and merger policy on the economy. At present, the ACCC has only patchy visibility of mergers and acquisitions, based on whether companies voluntarily report such activities to the ACCC or the ACCC is informed by FIRB referrals.</w:t>
      </w:r>
      <w:r>
        <w:t xml:space="preserve"> </w:t>
      </w:r>
      <w:r w:rsidR="003121F4">
        <w:t xml:space="preserve">As noted in </w:t>
      </w:r>
      <w:r w:rsidR="009959A5">
        <w:t xml:space="preserve">Question </w:t>
      </w:r>
      <w:r w:rsidR="003121F4">
        <w:t>1 above, t</w:t>
      </w:r>
      <w:r w:rsidR="003D7A49">
        <w:t xml:space="preserve">he new </w:t>
      </w:r>
      <w:r w:rsidR="00A34028">
        <w:t xml:space="preserve">comprehensive database of merger and acquisition activity </w:t>
      </w:r>
      <w:r w:rsidR="00DF678F">
        <w:t xml:space="preserve">will </w:t>
      </w:r>
      <w:r w:rsidR="00755A66">
        <w:t xml:space="preserve">facilitate the evaluation of broader competition policies, including the calibration of the notification thresholds. </w:t>
      </w:r>
    </w:p>
    <w:p w14:paraId="4F4249D3" w14:textId="7BDE8421" w:rsidR="003F428C" w:rsidRDefault="003F3B1D" w:rsidP="00AB5296">
      <w:r>
        <w:t xml:space="preserve">As outlined in </w:t>
      </w:r>
      <w:r w:rsidR="009959A5">
        <w:t xml:space="preserve">Question </w:t>
      </w:r>
      <w:r>
        <w:t>4 above,</w:t>
      </w:r>
      <w:r w:rsidR="009E795C">
        <w:t xml:space="preserve"> legislation is expected to be introduced into Parliament in 2024, </w:t>
      </w:r>
      <w:r w:rsidR="48C140C4">
        <w:t>and</w:t>
      </w:r>
      <w:r w:rsidR="009E795C">
        <w:t xml:space="preserve"> </w:t>
      </w:r>
      <w:r w:rsidR="5FE94E88">
        <w:t>substantive</w:t>
      </w:r>
      <w:r w:rsidR="31D79EF2">
        <w:t xml:space="preserve"> and procedural guidance </w:t>
      </w:r>
      <w:r w:rsidR="00DA5DC2">
        <w:t xml:space="preserve">will be </w:t>
      </w:r>
      <w:r w:rsidR="31D79EF2">
        <w:t>consulted on and published</w:t>
      </w:r>
      <w:r w:rsidR="5FE94E88">
        <w:t xml:space="preserve"> </w:t>
      </w:r>
      <w:r w:rsidR="009E795C">
        <w:t>in 2025</w:t>
      </w:r>
      <w:r w:rsidR="0039091E">
        <w:t xml:space="preserve"> by </w:t>
      </w:r>
      <w:r w:rsidR="005E4487">
        <w:t xml:space="preserve">the </w:t>
      </w:r>
      <w:r w:rsidR="0039091E">
        <w:t>ACCC</w:t>
      </w:r>
      <w:r w:rsidR="009E795C">
        <w:t xml:space="preserve">, ahead of the new system </w:t>
      </w:r>
      <w:r w:rsidR="104C14A7">
        <w:t xml:space="preserve">being mandatory </w:t>
      </w:r>
      <w:r w:rsidR="009E795C">
        <w:t xml:space="preserve">on 1 January 2026. </w:t>
      </w:r>
      <w:r w:rsidR="5B4DFF45">
        <w:t>This will facilitate transition for businesses, advisors and the community</w:t>
      </w:r>
      <w:r w:rsidR="00B30F36">
        <w:t>,</w:t>
      </w:r>
      <w:r w:rsidR="00F00959">
        <w:t xml:space="preserve"> afford</w:t>
      </w:r>
      <w:r w:rsidR="6A338E50">
        <w:t>ing</w:t>
      </w:r>
      <w:r w:rsidR="00F00959">
        <w:t xml:space="preserve"> a longer period over which to incur the time cost of familiarisation and have some discretion about when to incur these costs</w:t>
      </w:r>
      <w:r w:rsidR="00CA3936">
        <w:t>,</w:t>
      </w:r>
      <w:r w:rsidR="00F00959">
        <w:t xml:space="preserve"> </w:t>
      </w:r>
      <w:r w:rsidR="00CA3936">
        <w:t xml:space="preserve">which </w:t>
      </w:r>
      <w:r w:rsidR="00F00959">
        <w:t>mitigat</w:t>
      </w:r>
      <w:r w:rsidR="00CA3936">
        <w:t>es</w:t>
      </w:r>
      <w:r w:rsidR="00F00959">
        <w:t xml:space="preserve"> some of the burden.</w:t>
      </w:r>
    </w:p>
    <w:p w14:paraId="702E8D46" w14:textId="396D6026" w:rsidR="00E55802" w:rsidRDefault="003F428C">
      <w:pPr>
        <w:rPr>
          <w:rFonts w:ascii="Calibri" w:eastAsia="Times New Roman" w:hAnsi="Calibri" w:cs="Arial"/>
          <w:b/>
          <w:color w:val="5D779D" w:themeColor="accent3"/>
          <w:kern w:val="32"/>
          <w:sz w:val="44"/>
          <w:szCs w:val="44"/>
          <w:lang w:eastAsia="en-AU"/>
          <w14:ligatures w14:val="none"/>
        </w:rPr>
      </w:pPr>
      <w:r w:rsidRPr="00C571BA">
        <w:t>The proposed reform</w:t>
      </w:r>
      <w:r>
        <w:t xml:space="preserve"> would involve considerable change for the ACCC </w:t>
      </w:r>
      <w:r w:rsidRPr="005D5D1D">
        <w:t xml:space="preserve">as it moves from a law enforcement approach to an administrative decision-making role. </w:t>
      </w:r>
      <w:r w:rsidR="0032423E" w:rsidRPr="005D5D1D">
        <w:t>This change will require</w:t>
      </w:r>
      <w:r w:rsidR="0032423E">
        <w:t xml:space="preserve"> </w:t>
      </w:r>
      <w:r w:rsidR="0032423E" w:rsidRPr="005D5D1D">
        <w:t>additional resources and a change in ACCC culture, capability and practice.</w:t>
      </w:r>
      <w:r w:rsidR="002801E7" w:rsidRPr="002801E7">
        <w:t xml:space="preserve"> </w:t>
      </w:r>
      <w:r w:rsidR="002801E7" w:rsidRPr="00701054">
        <w:t xml:space="preserve">To support this change, </w:t>
      </w:r>
      <w:r w:rsidR="00CD6B9C">
        <w:t>as outlined above</w:t>
      </w:r>
      <w:r w:rsidR="004C1BBE">
        <w:t xml:space="preserve">, </w:t>
      </w:r>
      <w:r w:rsidR="002801E7">
        <w:t xml:space="preserve">an </w:t>
      </w:r>
      <w:r w:rsidR="002801E7" w:rsidRPr="00701054">
        <w:t xml:space="preserve">independent </w:t>
      </w:r>
      <w:r w:rsidR="002801E7">
        <w:t xml:space="preserve">expert </w:t>
      </w:r>
      <w:r w:rsidR="002801E7" w:rsidRPr="00701054">
        <w:t xml:space="preserve">adviser to the chair of the ACCC and </w:t>
      </w:r>
      <w:r w:rsidR="002801E7">
        <w:t>Secretary of the Treasury</w:t>
      </w:r>
      <w:r w:rsidR="002801E7" w:rsidRPr="00701054">
        <w:t xml:space="preserve"> will be appointed, to be supported by a Treasury secretariat. Th</w:t>
      </w:r>
      <w:r w:rsidR="002801E7">
        <w:t>e</w:t>
      </w:r>
      <w:r w:rsidR="002801E7" w:rsidRPr="00701054">
        <w:t xml:space="preserve"> independent expert </w:t>
      </w:r>
      <w:r w:rsidR="002801E7">
        <w:t>adviser</w:t>
      </w:r>
      <w:r w:rsidR="002801E7" w:rsidRPr="00701054">
        <w:t xml:space="preserve"> will provide advice </w:t>
      </w:r>
      <w:r w:rsidR="002801E7">
        <w:t xml:space="preserve">to Treasury and the ACCC </w:t>
      </w:r>
      <w:r w:rsidR="002801E7" w:rsidRPr="00701054">
        <w:t xml:space="preserve">on </w:t>
      </w:r>
      <w:r w:rsidR="002801E7">
        <w:t xml:space="preserve">effective </w:t>
      </w:r>
      <w:r w:rsidR="002801E7" w:rsidRPr="00701054">
        <w:t>implementation</w:t>
      </w:r>
      <w:r w:rsidR="002801E7">
        <w:t xml:space="preserve"> of the new system</w:t>
      </w:r>
      <w:r w:rsidR="002801E7" w:rsidRPr="00701054">
        <w:t xml:space="preserve">, including the ACCC’s capabilities, </w:t>
      </w:r>
      <w:r w:rsidR="002801E7">
        <w:t>culture and practice</w:t>
      </w:r>
      <w:r w:rsidR="002801E7" w:rsidRPr="00701054">
        <w:t>.</w:t>
      </w:r>
      <w:r w:rsidR="002801E7">
        <w:t xml:space="preserve"> </w:t>
      </w:r>
      <w:r w:rsidR="00E55802">
        <w:br w:type="page"/>
      </w:r>
    </w:p>
    <w:p w14:paraId="023A25A3" w14:textId="24C9E3A2" w:rsidR="00947E3E" w:rsidRDefault="00947E3E" w:rsidP="00947E3E">
      <w:pPr>
        <w:pStyle w:val="Heading1"/>
      </w:pPr>
      <w:bookmarkStart w:id="116" w:name="_Toc176972397"/>
      <w:r>
        <w:t>7. How will you evaluate your chosen option against the success metrics?</w:t>
      </w:r>
      <w:bookmarkEnd w:id="113"/>
      <w:bookmarkEnd w:id="114"/>
      <w:bookmarkEnd w:id="115"/>
      <w:bookmarkEnd w:id="116"/>
    </w:p>
    <w:p w14:paraId="0BC28136" w14:textId="6B3A3CBC" w:rsidR="00947E3E" w:rsidRDefault="00947E3E" w:rsidP="00947E3E">
      <w:pPr>
        <w:spacing w:line="240" w:lineRule="auto"/>
      </w:pPr>
      <w:r>
        <w:t>Treasury will undertake a statutory review to evaluate the functioning of the system</w:t>
      </w:r>
      <w:r w:rsidR="009A5A81">
        <w:t xml:space="preserve"> 3 </w:t>
      </w:r>
      <w:r>
        <w:t xml:space="preserve">years after commencement. </w:t>
      </w:r>
      <w:r w:rsidR="00AC6823" w:rsidRPr="00AC6823">
        <w:t xml:space="preserve">The </w:t>
      </w:r>
      <w:r w:rsidR="003473CE">
        <w:t xml:space="preserve">design of the </w:t>
      </w:r>
      <w:r w:rsidR="00AC6823" w:rsidRPr="00AC6823">
        <w:t>review will be supported by the Australian Centre for Evaluation.</w:t>
      </w:r>
      <w:r>
        <w:t xml:space="preserve"> </w:t>
      </w:r>
      <w:r w:rsidR="00AC6823">
        <w:t>It</w:t>
      </w:r>
      <w:r w:rsidRPr="00A12B1C">
        <w:t xml:space="preserve"> will be informed by evidence of the new system in practice, including a better understanding of how mergers </w:t>
      </w:r>
      <w:r w:rsidR="00916B66">
        <w:t xml:space="preserve">and acquisitions </w:t>
      </w:r>
      <w:r w:rsidRPr="00A12B1C">
        <w:t xml:space="preserve">affect the economy and the performance of the ACCC. </w:t>
      </w:r>
    </w:p>
    <w:p w14:paraId="3FE3A16D" w14:textId="729C36AE" w:rsidR="00947E3E" w:rsidRDefault="00947E3E" w:rsidP="00947E3E">
      <w:pPr>
        <w:spacing w:line="240" w:lineRule="auto"/>
      </w:pPr>
      <w:r w:rsidDel="00377E78">
        <w:t>This</w:t>
      </w:r>
      <w:r>
        <w:t xml:space="preserve"> will be supported by post-implementation monitoring of the impact of the reform on an ongoing basis through annual ACCC reporting on merger activity</w:t>
      </w:r>
      <w:r w:rsidR="00F83773">
        <w:rPr>
          <w:rStyle w:val="FootnoteReference"/>
        </w:rPr>
        <w:footnoteReference w:id="119"/>
      </w:r>
      <w:r>
        <w:t>, ex-post merger analysis and data analytics</w:t>
      </w:r>
      <w:r w:rsidR="00752B6C">
        <w:t>.</w:t>
      </w:r>
      <w:r w:rsidR="006667E6">
        <w:rPr>
          <w:rStyle w:val="FootnoteReference"/>
        </w:rPr>
        <w:footnoteReference w:id="120"/>
      </w:r>
      <w:r w:rsidR="006C3AD8">
        <w:t xml:space="preserve"> </w:t>
      </w:r>
      <w:r w:rsidR="007A4F9F" w:rsidRPr="004A10CD">
        <w:t>Annual ACCC reporting on merger activity will provide transparency on merger activity to raise community awareness of this activity, which will be particularly important during the early years of the new system.</w:t>
      </w:r>
      <w:r w:rsidR="007D41FB">
        <w:t xml:space="preserve"> </w:t>
      </w:r>
      <w:r w:rsidR="006C3345">
        <w:t>E</w:t>
      </w:r>
      <w:r w:rsidRPr="00E752F3">
        <w:t xml:space="preserve">x-post merger analysis </w:t>
      </w:r>
      <w:r w:rsidR="00514C44">
        <w:t xml:space="preserve">on </w:t>
      </w:r>
      <w:r w:rsidR="00B45BA6">
        <w:t>selected matters</w:t>
      </w:r>
      <w:r w:rsidR="007001BD" w:rsidRPr="00E752F3">
        <w:t xml:space="preserve"> </w:t>
      </w:r>
      <w:r w:rsidR="00514C44">
        <w:t xml:space="preserve">(based on </w:t>
      </w:r>
      <w:r w:rsidR="006B039F">
        <w:t>availability of information and data, the time elapsed since the merger, the unique issues raised, and the potential relevance to future ACCC investigations)</w:t>
      </w:r>
      <w:r w:rsidR="006B039F" w:rsidRPr="00E752F3">
        <w:t xml:space="preserve"> </w:t>
      </w:r>
      <w:r w:rsidRPr="00E752F3">
        <w:t>will permit insights into the impacts of mergers, helping to refine and improve merger assessments and decision-making by the ACCC</w:t>
      </w:r>
      <w:r>
        <w:t>.</w:t>
      </w:r>
    </w:p>
    <w:p w14:paraId="3BF95C49" w14:textId="77777777" w:rsidR="001260C5" w:rsidRDefault="00947E3E" w:rsidP="00947E3E">
      <w:pPr>
        <w:spacing w:line="240" w:lineRule="auto"/>
      </w:pPr>
      <w:r>
        <w:t xml:space="preserve">Further, </w:t>
      </w:r>
      <w:r w:rsidR="00C63A6B">
        <w:t xml:space="preserve">as noted in </w:t>
      </w:r>
      <w:r w:rsidR="009959A5">
        <w:t xml:space="preserve">Question </w:t>
      </w:r>
      <w:r w:rsidR="00C63A6B">
        <w:t>1 above</w:t>
      </w:r>
      <w:r>
        <w:t xml:space="preserve">, </w:t>
      </w:r>
      <w:r w:rsidR="007E1660">
        <w:t xml:space="preserve">a </w:t>
      </w:r>
      <w:r w:rsidR="00FA76CB">
        <w:t xml:space="preserve">merger tracking methodology will be created to build the capability to examine </w:t>
      </w:r>
      <w:r w:rsidR="004C1C1A">
        <w:t>microdata-based</w:t>
      </w:r>
      <w:r w:rsidR="00FA76CB">
        <w:t xml:space="preserve"> methodology to track mergers and their impacts. </w:t>
      </w:r>
      <w:r w:rsidR="00111781">
        <w:t xml:space="preserve">Specifically, </w:t>
      </w:r>
      <w:r>
        <w:t xml:space="preserve">a </w:t>
      </w:r>
      <w:r w:rsidRPr="00A12B1C">
        <w:t xml:space="preserve">new comprehensive database of merger and acquisition activity in Australia, </w:t>
      </w:r>
      <w:r>
        <w:t xml:space="preserve">based on the existing ABS BLADE and linked to ABS </w:t>
      </w:r>
      <w:r w:rsidR="00733440">
        <w:t xml:space="preserve">Consumer Price Index </w:t>
      </w:r>
      <w:r>
        <w:t xml:space="preserve">and wholesale price data, will facilitate analysis of the impact of mergers on prices, as well as wages, employment, productivity, market share, </w:t>
      </w:r>
      <w:r w:rsidR="006C3345">
        <w:t xml:space="preserve">and </w:t>
      </w:r>
      <w:r>
        <w:t>profitability across industries.</w:t>
      </w:r>
    </w:p>
    <w:p w14:paraId="61A5DA2B" w14:textId="44A431F5" w:rsidR="00492387" w:rsidRDefault="0032355C" w:rsidP="00947E3E">
      <w:pPr>
        <w:spacing w:line="240" w:lineRule="auto"/>
      </w:pPr>
      <w:r w:rsidRPr="00FE0D33">
        <w:t xml:space="preserve">Annual ACCC reporting on merger activity will provide transparency on key metrics associated with the new system </w:t>
      </w:r>
      <w:r w:rsidR="00E81677">
        <w:t>and</w:t>
      </w:r>
      <w:r w:rsidR="00224BFA" w:rsidRPr="00D24B6B">
        <w:t xml:space="preserve"> support integration into broader ABS administrative datasets</w:t>
      </w:r>
      <w:r w:rsidR="006C2117">
        <w:t xml:space="preserve"> once implementation begins</w:t>
      </w:r>
      <w:r w:rsidR="00224BFA" w:rsidRPr="00D24B6B">
        <w:t xml:space="preserve">. </w:t>
      </w:r>
      <w:r w:rsidR="00947E3E">
        <w:t>Evaluation</w:t>
      </w:r>
      <w:r w:rsidR="006876EE">
        <w:t>s</w:t>
      </w:r>
      <w:r w:rsidR="00947E3E">
        <w:t xml:space="preserve"> </w:t>
      </w:r>
      <w:r w:rsidR="006876EE">
        <w:t>undertaken u</w:t>
      </w:r>
      <w:r w:rsidR="00947E3E">
        <w:t>sing this comprehensive merger database will also help inform the 3-year statutory review of the effectiveness of the new merger control system</w:t>
      </w:r>
      <w:r w:rsidR="00947E3E" w:rsidRPr="00A12B1C">
        <w:t>.</w:t>
      </w:r>
    </w:p>
    <w:p w14:paraId="218C8BBC" w14:textId="4CAC777F" w:rsidR="00947E3E" w:rsidRDefault="00947E3E" w:rsidP="00947E3E">
      <w:pPr>
        <w:spacing w:line="240" w:lineRule="auto"/>
      </w:pPr>
      <w:r>
        <w:t xml:space="preserve">Stakeholder consultation, interviews and surveys may be conducted to inform and supplement the quantitative analysis. </w:t>
      </w:r>
    </w:p>
    <w:p w14:paraId="27D97D45" w14:textId="77777777" w:rsidR="00947E3E" w:rsidRPr="00C0788E" w:rsidRDefault="00947E3E" w:rsidP="004040E7">
      <w:pPr>
        <w:pStyle w:val="Heading3"/>
      </w:pPr>
      <w:bookmarkStart w:id="117" w:name="_Toc176972398"/>
      <w:r w:rsidRPr="00C0788E">
        <w:t>Evaluative measures</w:t>
      </w:r>
      <w:bookmarkEnd w:id="117"/>
    </w:p>
    <w:p w14:paraId="5DA78EF7" w14:textId="246A8B8F" w:rsidR="00947E3E" w:rsidRDefault="00947E3E" w:rsidP="00BD6185">
      <w:pPr>
        <w:spacing w:line="240" w:lineRule="auto"/>
        <w:rPr>
          <w:rFonts w:cstheme="minorHAnsi"/>
        </w:rPr>
      </w:pPr>
      <w:r>
        <w:t xml:space="preserve">As outlined in </w:t>
      </w:r>
      <w:r w:rsidR="00E97209">
        <w:t xml:space="preserve">Question </w:t>
      </w:r>
      <w:r>
        <w:t xml:space="preserve">2, the key metrics to track the </w:t>
      </w:r>
      <w:r w:rsidR="009860CC">
        <w:t xml:space="preserve">effectiveness </w:t>
      </w:r>
      <w:r>
        <w:t>of the reform</w:t>
      </w:r>
      <w:r w:rsidR="00D11C69">
        <w:t>s</w:t>
      </w:r>
      <w:r>
        <w:t xml:space="preserve"> are</w:t>
      </w:r>
      <w:r w:rsidR="00ED0CB6">
        <w:t xml:space="preserve"> </w:t>
      </w:r>
      <w:r w:rsidR="00B01241">
        <w:t xml:space="preserve">the number of mergers that go ahead that have anti-competitive effects (reflecting the quality of the ACCC’s assessments) and the speed of ACCC assessments. </w:t>
      </w:r>
      <w:r w:rsidR="00D95615">
        <w:rPr>
          <w:rFonts w:cstheme="minorHAnsi"/>
        </w:rPr>
        <w:t>Both</w:t>
      </w:r>
      <w:r w:rsidR="004F1DA8" w:rsidRPr="00167233">
        <w:rPr>
          <w:rFonts w:cstheme="minorHAnsi"/>
        </w:rPr>
        <w:t xml:space="preserve"> metrics would be expected to improve significantly following the implementation of the new merger system. </w:t>
      </w:r>
      <w:r w:rsidRPr="00167233">
        <w:rPr>
          <w:rFonts w:cstheme="minorHAnsi"/>
        </w:rPr>
        <w:t xml:space="preserve">To this end, the above data points will inform </w:t>
      </w:r>
      <w:r w:rsidR="0083398E" w:rsidRPr="00167233">
        <w:rPr>
          <w:rFonts w:cstheme="minorHAnsi"/>
        </w:rPr>
        <w:t>analysis of</w:t>
      </w:r>
      <w:r w:rsidRPr="00167233">
        <w:rPr>
          <w:rFonts w:cstheme="minorHAnsi"/>
        </w:rPr>
        <w:t xml:space="preserve"> the extent to which the new merger control system has been effective in correctly capturing and identifying anti-competitive mergers (notification thresholds set at the appropriate level, </w:t>
      </w:r>
      <w:r w:rsidR="00C20014">
        <w:rPr>
          <w:rFonts w:cstheme="minorHAnsi"/>
        </w:rPr>
        <w:t xml:space="preserve">and the </w:t>
      </w:r>
      <w:r w:rsidRPr="00167233">
        <w:rPr>
          <w:rFonts w:cstheme="minorHAnsi"/>
        </w:rPr>
        <w:t xml:space="preserve">ACCC correctly </w:t>
      </w:r>
      <w:r w:rsidR="00200161" w:rsidRPr="00167233">
        <w:rPr>
          <w:rFonts w:cstheme="minorHAnsi"/>
        </w:rPr>
        <w:t>identifying</w:t>
      </w:r>
      <w:r w:rsidRPr="00167233">
        <w:rPr>
          <w:rFonts w:cstheme="minorHAnsi"/>
        </w:rPr>
        <w:t xml:space="preserve"> and stop</w:t>
      </w:r>
      <w:r w:rsidR="00200161" w:rsidRPr="00167233">
        <w:rPr>
          <w:rFonts w:cstheme="minorHAnsi"/>
        </w:rPr>
        <w:t>ping</w:t>
      </w:r>
      <w:r w:rsidRPr="00167233">
        <w:rPr>
          <w:rFonts w:cstheme="minorHAnsi"/>
        </w:rPr>
        <w:t xml:space="preserve"> mergers of concern</w:t>
      </w:r>
      <w:r w:rsidR="00000897" w:rsidRPr="00167233">
        <w:rPr>
          <w:rFonts w:cstheme="minorHAnsi"/>
        </w:rPr>
        <w:t xml:space="preserve"> </w:t>
      </w:r>
      <w:r w:rsidR="004B5E73" w:rsidRPr="00167233">
        <w:rPr>
          <w:rFonts w:cstheme="minorHAnsi"/>
        </w:rPr>
        <w:t xml:space="preserve">as </w:t>
      </w:r>
      <w:r w:rsidR="00A05C7C" w:rsidRPr="00167233">
        <w:rPr>
          <w:rFonts w:cstheme="minorHAnsi"/>
        </w:rPr>
        <w:t xml:space="preserve">verified </w:t>
      </w:r>
      <w:r w:rsidR="00000897" w:rsidRPr="00167233">
        <w:rPr>
          <w:rFonts w:cstheme="minorHAnsi"/>
        </w:rPr>
        <w:t xml:space="preserve">through ex-post </w:t>
      </w:r>
      <w:r w:rsidR="00A14A69" w:rsidRPr="00167233">
        <w:rPr>
          <w:rFonts w:cstheme="minorHAnsi"/>
        </w:rPr>
        <w:t xml:space="preserve">merger </w:t>
      </w:r>
      <w:r w:rsidR="00000897" w:rsidRPr="00167233">
        <w:rPr>
          <w:rFonts w:cstheme="minorHAnsi"/>
        </w:rPr>
        <w:t>reviews</w:t>
      </w:r>
      <w:r w:rsidRPr="00167233">
        <w:rPr>
          <w:rFonts w:cstheme="minorHAnsi"/>
        </w:rPr>
        <w:t xml:space="preserve">). </w:t>
      </w:r>
    </w:p>
    <w:p w14:paraId="74FECE59" w14:textId="175FA3FD" w:rsidR="00BD6185" w:rsidRDefault="00BD6185" w:rsidP="00BD6185">
      <w:pPr>
        <w:spacing w:line="240" w:lineRule="auto"/>
      </w:pPr>
      <w:r>
        <w:t>Evaluating the success of this reform will be measured through</w:t>
      </w:r>
      <w:r w:rsidR="00431A7B">
        <w:t xml:space="preserve"> analysis of</w:t>
      </w:r>
      <w:r>
        <w:t>:</w:t>
      </w:r>
    </w:p>
    <w:p w14:paraId="6E3F3167" w14:textId="6E5F21B0" w:rsidR="00BD6185" w:rsidRPr="00ED0CB6" w:rsidRDefault="00BD6185" w:rsidP="00BD6185">
      <w:pPr>
        <w:pStyle w:val="Bullet"/>
        <w:rPr>
          <w:rFonts w:asciiTheme="minorHAnsi" w:hAnsiTheme="minorHAnsi" w:cstheme="minorHAnsi"/>
        </w:rPr>
      </w:pPr>
      <w:r w:rsidRPr="00ED0CB6">
        <w:rPr>
          <w:rFonts w:asciiTheme="minorHAnsi" w:hAnsiTheme="minorHAnsi" w:cstheme="minorHAnsi"/>
        </w:rPr>
        <w:t xml:space="preserve">ACCC reporting on acquisition activities and ex-post review of decisions </w:t>
      </w:r>
    </w:p>
    <w:p w14:paraId="09572D0A" w14:textId="42F2ADD3" w:rsidR="00BD6185" w:rsidRPr="00ED0CB6" w:rsidRDefault="00A92E0E" w:rsidP="00BD6185">
      <w:pPr>
        <w:pStyle w:val="Bullet"/>
        <w:rPr>
          <w:rFonts w:asciiTheme="minorHAnsi" w:hAnsiTheme="minorHAnsi" w:cstheme="minorHAnsi"/>
        </w:rPr>
      </w:pPr>
      <w:r>
        <w:rPr>
          <w:rFonts w:asciiTheme="minorHAnsi" w:hAnsiTheme="minorHAnsi" w:cstheme="minorHAnsi"/>
        </w:rPr>
        <w:t>m</w:t>
      </w:r>
      <w:r w:rsidR="00BD6185" w:rsidRPr="00ED0CB6">
        <w:rPr>
          <w:rFonts w:asciiTheme="minorHAnsi" w:hAnsiTheme="minorHAnsi" w:cstheme="minorHAnsi"/>
        </w:rPr>
        <w:t>andatory notifications</w:t>
      </w:r>
      <w:r w:rsidR="00E566C8">
        <w:rPr>
          <w:rFonts w:asciiTheme="minorHAnsi" w:hAnsiTheme="minorHAnsi" w:cstheme="minorHAnsi"/>
        </w:rPr>
        <w:t xml:space="preserve"> to capture mergers and acquisitions of concern</w:t>
      </w:r>
      <w:r w:rsidR="00BD6185" w:rsidRPr="00ED0CB6">
        <w:rPr>
          <w:rFonts w:asciiTheme="minorHAnsi" w:hAnsiTheme="minorHAnsi" w:cstheme="minorHAnsi"/>
        </w:rPr>
        <w:t xml:space="preserve">, and </w:t>
      </w:r>
    </w:p>
    <w:p w14:paraId="70678C68" w14:textId="55BE771B" w:rsidR="00BD6185" w:rsidRPr="00ED0CB6" w:rsidRDefault="00EC7FCC" w:rsidP="00BD6185">
      <w:pPr>
        <w:pStyle w:val="Bullet"/>
        <w:rPr>
          <w:rFonts w:asciiTheme="minorHAnsi" w:hAnsiTheme="minorHAnsi" w:cstheme="minorHAnsi"/>
        </w:rPr>
      </w:pPr>
      <w:r>
        <w:rPr>
          <w:rFonts w:asciiTheme="minorHAnsi" w:hAnsiTheme="minorHAnsi" w:cstheme="minorHAnsi"/>
        </w:rPr>
        <w:t>timeliness of ACCC determinations</w:t>
      </w:r>
      <w:r w:rsidR="00BD6185" w:rsidRPr="00ED0CB6">
        <w:rPr>
          <w:rFonts w:asciiTheme="minorHAnsi" w:hAnsiTheme="minorHAnsi" w:cstheme="minorHAnsi"/>
        </w:rPr>
        <w:t>.</w:t>
      </w:r>
    </w:p>
    <w:p w14:paraId="00247DD7" w14:textId="7978B7BF" w:rsidR="00947E3E" w:rsidRDefault="00947E3E" w:rsidP="00947E3E">
      <w:pPr>
        <w:spacing w:line="240" w:lineRule="auto"/>
        <w:rPr>
          <w:rFonts w:cstheme="minorHAnsi"/>
        </w:rPr>
      </w:pPr>
      <w:r>
        <w:rPr>
          <w:rFonts w:cstheme="minorHAnsi"/>
        </w:rPr>
        <w:t xml:space="preserve">This data will also inform </w:t>
      </w:r>
      <w:r w:rsidR="0083398E">
        <w:rPr>
          <w:rFonts w:cstheme="minorHAnsi"/>
        </w:rPr>
        <w:t xml:space="preserve">analysis of </w:t>
      </w:r>
      <w:r>
        <w:rPr>
          <w:rFonts w:cstheme="minorHAnsi"/>
        </w:rPr>
        <w:t xml:space="preserve">whether </w:t>
      </w:r>
      <w:r w:rsidR="0083398E">
        <w:rPr>
          <w:rFonts w:cstheme="minorHAnsi"/>
        </w:rPr>
        <w:t>the ACCC</w:t>
      </w:r>
      <w:r>
        <w:rPr>
          <w:rFonts w:cstheme="minorHAnsi"/>
        </w:rPr>
        <w:t xml:space="preserve"> has been effective in improving the process for merger review</w:t>
      </w:r>
      <w:r w:rsidR="002D11BE">
        <w:rPr>
          <w:rFonts w:cstheme="minorHAnsi"/>
        </w:rPr>
        <w:t>s</w:t>
      </w:r>
      <w:r>
        <w:rPr>
          <w:rFonts w:cstheme="minorHAnsi"/>
        </w:rPr>
        <w:t xml:space="preserve"> and reducing assessment timeframes (review process is streamlined, </w:t>
      </w:r>
      <w:r w:rsidRPr="00BD7F3F">
        <w:rPr>
          <w:rFonts w:cstheme="minorHAnsi"/>
        </w:rPr>
        <w:t>mergers are triaged to quickly differentiate those of concern from benign mergers</w:t>
      </w:r>
      <w:r>
        <w:rPr>
          <w:rFonts w:cstheme="minorHAnsi"/>
        </w:rPr>
        <w:t xml:space="preserve">, </w:t>
      </w:r>
      <w:r w:rsidR="00CD4AB4">
        <w:rPr>
          <w:rFonts w:cstheme="minorHAnsi"/>
        </w:rPr>
        <w:t xml:space="preserve">vast </w:t>
      </w:r>
      <w:r w:rsidRPr="00BD7F3F" w:rsidDel="002E1DFE">
        <w:rPr>
          <w:rFonts w:cstheme="minorHAnsi"/>
        </w:rPr>
        <w:t>majority</w:t>
      </w:r>
      <w:r w:rsidR="00783499">
        <w:rPr>
          <w:rFonts w:cstheme="minorHAnsi"/>
        </w:rPr>
        <w:t xml:space="preserve"> or </w:t>
      </w:r>
      <w:r w:rsidR="00CD4AB4">
        <w:rPr>
          <w:rFonts w:cstheme="minorHAnsi"/>
        </w:rPr>
        <w:t>80</w:t>
      </w:r>
      <w:r w:rsidR="00626CE4">
        <w:rPr>
          <w:rFonts w:cstheme="minorHAnsi"/>
        </w:rPr>
        <w:noBreakHyphen/>
      </w:r>
      <w:r w:rsidR="00CD4AB4">
        <w:rPr>
          <w:rFonts w:cstheme="minorHAnsi"/>
        </w:rPr>
        <w:t>90</w:t>
      </w:r>
      <w:r w:rsidR="00626CE4">
        <w:rPr>
          <w:rFonts w:cstheme="minorHAnsi"/>
        </w:rPr>
        <w:t> </w:t>
      </w:r>
      <w:r w:rsidR="003B77E2">
        <w:rPr>
          <w:rFonts w:cstheme="minorHAnsi"/>
        </w:rPr>
        <w:t>per</w:t>
      </w:r>
      <w:r w:rsidR="00626CE4">
        <w:rPr>
          <w:rFonts w:cstheme="minorHAnsi"/>
        </w:rPr>
        <w:t> </w:t>
      </w:r>
      <w:r w:rsidR="003B77E2">
        <w:rPr>
          <w:rFonts w:cstheme="minorHAnsi"/>
        </w:rPr>
        <w:t>cent</w:t>
      </w:r>
      <w:r w:rsidR="00D00259">
        <w:rPr>
          <w:rStyle w:val="FootnoteReference"/>
          <w:rFonts w:cstheme="minorHAnsi"/>
        </w:rPr>
        <w:footnoteReference w:id="121"/>
      </w:r>
      <w:r w:rsidRPr="00BD7F3F" w:rsidDel="002E1DFE">
        <w:rPr>
          <w:rFonts w:cstheme="minorHAnsi"/>
        </w:rPr>
        <w:t xml:space="preserve"> of </w:t>
      </w:r>
      <w:r w:rsidRPr="00BD7F3F">
        <w:rPr>
          <w:rFonts w:cstheme="minorHAnsi"/>
        </w:rPr>
        <w:t xml:space="preserve">mergers </w:t>
      </w:r>
      <w:r w:rsidRPr="00BD7F3F" w:rsidDel="002E1DFE">
        <w:rPr>
          <w:rFonts w:cstheme="minorHAnsi"/>
        </w:rPr>
        <w:t xml:space="preserve">cleared </w:t>
      </w:r>
      <w:r w:rsidRPr="00BD7F3F">
        <w:rPr>
          <w:rFonts w:cstheme="minorHAnsi"/>
        </w:rPr>
        <w:t xml:space="preserve">within </w:t>
      </w:r>
      <w:r w:rsidR="005716FF">
        <w:rPr>
          <w:rFonts w:cstheme="minorHAnsi"/>
        </w:rPr>
        <w:t>2</w:t>
      </w:r>
      <w:r w:rsidRPr="00BD7F3F" w:rsidDel="002E1DFE">
        <w:rPr>
          <w:rFonts w:cstheme="minorHAnsi"/>
        </w:rPr>
        <w:t xml:space="preserve">0 </w:t>
      </w:r>
      <w:r w:rsidR="005716FF">
        <w:rPr>
          <w:rFonts w:cstheme="minorHAnsi"/>
        </w:rPr>
        <w:t>working</w:t>
      </w:r>
      <w:r w:rsidRPr="00BD7F3F" w:rsidDel="002E1DFE">
        <w:rPr>
          <w:rFonts w:cstheme="minorHAnsi"/>
        </w:rPr>
        <w:t xml:space="preserve"> days</w:t>
      </w:r>
      <w:r>
        <w:rPr>
          <w:rFonts w:cstheme="minorHAnsi"/>
        </w:rPr>
        <w:t xml:space="preserve">). </w:t>
      </w:r>
    </w:p>
    <w:p w14:paraId="12FC47FF" w14:textId="0F7176C7" w:rsidR="00947E3E" w:rsidRDefault="00947E3E" w:rsidP="00947E3E">
      <w:pPr>
        <w:spacing w:line="240" w:lineRule="auto"/>
        <w:rPr>
          <w:rFonts w:cstheme="minorHAnsi"/>
        </w:rPr>
      </w:pPr>
      <w:r>
        <w:rPr>
          <w:rFonts w:cstheme="minorHAnsi"/>
        </w:rPr>
        <w:t xml:space="preserve">Further, success will be measured against the degree to which </w:t>
      </w:r>
      <w:r w:rsidRPr="00BD7F3F">
        <w:rPr>
          <w:rFonts w:cstheme="minorHAnsi"/>
        </w:rPr>
        <w:t>merger parties and the wider community</w:t>
      </w:r>
      <w:r>
        <w:rPr>
          <w:rFonts w:cstheme="minorHAnsi"/>
        </w:rPr>
        <w:t xml:space="preserve"> can engage with the merger control process</w:t>
      </w:r>
      <w:r w:rsidR="00BA7E52">
        <w:rPr>
          <w:rFonts w:cstheme="minorHAnsi"/>
        </w:rPr>
        <w:t>,</w:t>
      </w:r>
      <w:r>
        <w:rPr>
          <w:rFonts w:cstheme="minorHAnsi"/>
        </w:rPr>
        <w:t xml:space="preserve"> including assessing whether </w:t>
      </w:r>
      <w:r w:rsidRPr="00BD7F3F" w:rsidDel="001D3971">
        <w:rPr>
          <w:rFonts w:cstheme="minorHAnsi"/>
        </w:rPr>
        <w:t>upfront information requirements</w:t>
      </w:r>
      <w:r>
        <w:rPr>
          <w:rFonts w:cstheme="minorHAnsi"/>
        </w:rPr>
        <w:t xml:space="preserve"> are appropriately calibrated and not overburdensom</w:t>
      </w:r>
      <w:r w:rsidR="00DE673A">
        <w:rPr>
          <w:rFonts w:cstheme="minorHAnsi"/>
        </w:rPr>
        <w:t>e.</w:t>
      </w:r>
    </w:p>
    <w:p w14:paraId="7362BF87" w14:textId="37AA28A9" w:rsidR="00947E3E" w:rsidRPr="00BD7F3F" w:rsidRDefault="00947E3E" w:rsidP="00947E3E">
      <w:pPr>
        <w:spacing w:after="120" w:line="240" w:lineRule="auto"/>
        <w:rPr>
          <w:rFonts w:cstheme="minorHAnsi"/>
        </w:rPr>
      </w:pPr>
      <w:r>
        <w:rPr>
          <w:rFonts w:cstheme="minorHAnsi"/>
        </w:rPr>
        <w:t xml:space="preserve">Additionally, evaluating the </w:t>
      </w:r>
      <w:r w:rsidRPr="00BD7F3F">
        <w:rPr>
          <w:rFonts w:cstheme="minorHAnsi"/>
        </w:rPr>
        <w:t xml:space="preserve">measure of success </w:t>
      </w:r>
      <w:r>
        <w:rPr>
          <w:rFonts w:cstheme="minorHAnsi"/>
        </w:rPr>
        <w:t>will be based on the G</w:t>
      </w:r>
      <w:r w:rsidRPr="00BD7F3F">
        <w:rPr>
          <w:rFonts w:cstheme="minorHAnsi"/>
        </w:rPr>
        <w:t xml:space="preserve">overnment’s </w:t>
      </w:r>
      <w:r w:rsidR="001179F9">
        <w:rPr>
          <w:rFonts w:cstheme="minorHAnsi"/>
        </w:rPr>
        <w:t>SOE</w:t>
      </w:r>
      <w:r w:rsidR="008277EB">
        <w:rPr>
          <w:rStyle w:val="FootnoteReference"/>
          <w:rFonts w:cstheme="minorHAnsi"/>
        </w:rPr>
        <w:footnoteReference w:id="122"/>
      </w:r>
      <w:r w:rsidR="00E617C9">
        <w:rPr>
          <w:rFonts w:cstheme="minorHAnsi"/>
        </w:rPr>
        <w:t xml:space="preserve"> </w:t>
      </w:r>
      <w:r w:rsidRPr="00BD7F3F">
        <w:rPr>
          <w:rFonts w:cstheme="minorHAnsi"/>
        </w:rPr>
        <w:t>to the ACCC</w:t>
      </w:r>
      <w:r w:rsidR="009A4440">
        <w:rPr>
          <w:rFonts w:cstheme="minorHAnsi"/>
        </w:rPr>
        <w:t>,</w:t>
      </w:r>
      <w:r w:rsidRPr="00BD7F3F">
        <w:rPr>
          <w:rFonts w:cstheme="minorHAnsi"/>
        </w:rPr>
        <w:t xml:space="preserve"> through</w:t>
      </w:r>
      <w:r>
        <w:rPr>
          <w:rFonts w:cstheme="minorHAnsi"/>
        </w:rPr>
        <w:t xml:space="preserve"> evidence of ACCC taking a </w:t>
      </w:r>
      <w:r w:rsidRPr="00BD7F3F">
        <w:rPr>
          <w:rFonts w:cstheme="minorHAnsi"/>
        </w:rPr>
        <w:t>risk-based approach with resources prioritised to managing or stopping mergers most likely to harm the community</w:t>
      </w:r>
      <w:r w:rsidR="0033053E">
        <w:rPr>
          <w:rFonts w:cstheme="minorHAnsi"/>
        </w:rPr>
        <w:t>,</w:t>
      </w:r>
      <w:r>
        <w:rPr>
          <w:rFonts w:cstheme="minorHAnsi"/>
        </w:rPr>
        <w:t xml:space="preserve"> </w:t>
      </w:r>
      <w:r w:rsidRPr="00BD7F3F">
        <w:rPr>
          <w:rFonts w:cstheme="minorHAnsi"/>
        </w:rPr>
        <w:t>making use of data and economic analysis to enhance merger review</w:t>
      </w:r>
      <w:r w:rsidR="00597B9F">
        <w:rPr>
          <w:rFonts w:cstheme="minorHAnsi"/>
        </w:rPr>
        <w:t>s</w:t>
      </w:r>
      <w:r w:rsidRPr="00BD7F3F">
        <w:rPr>
          <w:rFonts w:cstheme="minorHAnsi"/>
        </w:rPr>
        <w:t xml:space="preserve"> and identify risks to the community</w:t>
      </w:r>
      <w:r w:rsidR="0033053E">
        <w:rPr>
          <w:rFonts w:cstheme="minorHAnsi"/>
        </w:rPr>
        <w:t>,</w:t>
      </w:r>
      <w:r>
        <w:rPr>
          <w:rFonts w:cstheme="minorHAnsi"/>
        </w:rPr>
        <w:t xml:space="preserve"> and </w:t>
      </w:r>
      <w:r w:rsidRPr="00BD7F3F">
        <w:rPr>
          <w:rFonts w:cstheme="minorHAnsi"/>
        </w:rPr>
        <w:t>increased transparency and guidance to the community on merger activity and areas of ACCC concern to enhance community understanding and administrative predictability.</w:t>
      </w:r>
    </w:p>
    <w:p w14:paraId="56F60FE9" w14:textId="77777777" w:rsidR="00AC7675" w:rsidRDefault="00AC7675" w:rsidP="00AC7675">
      <w:pPr>
        <w:spacing w:after="120" w:line="240" w:lineRule="auto"/>
        <w:rPr>
          <w:rFonts w:cstheme="minorHAnsi"/>
        </w:rPr>
      </w:pPr>
      <w:r w:rsidRPr="00BD7F3F">
        <w:rPr>
          <w:rFonts w:cstheme="minorHAnsi"/>
        </w:rPr>
        <w:t xml:space="preserve">These </w:t>
      </w:r>
      <w:r>
        <w:rPr>
          <w:rFonts w:cstheme="minorHAnsi"/>
        </w:rPr>
        <w:t>outcomes w</w:t>
      </w:r>
      <w:r w:rsidRPr="00BD7F3F">
        <w:rPr>
          <w:rFonts w:cstheme="minorHAnsi"/>
        </w:rPr>
        <w:t xml:space="preserve">ill be </w:t>
      </w:r>
      <w:r>
        <w:rPr>
          <w:rFonts w:cstheme="minorHAnsi"/>
        </w:rPr>
        <w:t xml:space="preserve">measured based </w:t>
      </w:r>
      <w:r w:rsidRPr="00BD7F3F">
        <w:rPr>
          <w:rFonts w:cstheme="minorHAnsi"/>
        </w:rPr>
        <w:t>on</w:t>
      </w:r>
      <w:r>
        <w:rPr>
          <w:rFonts w:cstheme="minorHAnsi"/>
        </w:rPr>
        <w:t xml:space="preserve"> the: </w:t>
      </w:r>
    </w:p>
    <w:p w14:paraId="38CD48DE" w14:textId="4609ABBD" w:rsidR="00AC7675" w:rsidRDefault="00AC7675" w:rsidP="00AC7675">
      <w:pPr>
        <w:pStyle w:val="Bullet"/>
        <w:rPr>
          <w:rStyle w:val="normaltextrun"/>
          <w:rFonts w:ascii="Calibri" w:hAnsi="Calibri" w:cs="Calibri"/>
          <w:color w:val="000000"/>
          <w:szCs w:val="22"/>
          <w:bdr w:val="none" w:sz="0" w:space="0" w:color="auto" w:frame="1"/>
        </w:rPr>
      </w:pPr>
      <w:r w:rsidRPr="009A2257">
        <w:rPr>
          <w:rStyle w:val="normaltextrun"/>
          <w:rFonts w:ascii="Calibri" w:hAnsi="Calibri" w:cs="Calibri"/>
          <w:color w:val="000000"/>
          <w:szCs w:val="22"/>
          <w:bdr w:val="none" w:sz="0" w:space="0" w:color="auto" w:frame="1"/>
        </w:rPr>
        <w:t>qualitative and quantitative competition (and public benefits) analysis in ACCC determinations, Tribunal reviews and judicial reviews of ACCC determinations</w:t>
      </w:r>
    </w:p>
    <w:p w14:paraId="367143B7" w14:textId="430E49C4" w:rsidR="00AC7675" w:rsidRDefault="00AC7675" w:rsidP="00AC7675">
      <w:pPr>
        <w:pStyle w:val="Bullet"/>
        <w:rPr>
          <w:rStyle w:val="normaltextrun"/>
          <w:rFonts w:ascii="Calibri" w:hAnsi="Calibri" w:cs="Calibri"/>
          <w:color w:val="000000"/>
          <w:szCs w:val="22"/>
          <w:bdr w:val="none" w:sz="0" w:space="0" w:color="auto" w:frame="1"/>
        </w:rPr>
      </w:pPr>
      <w:r w:rsidRPr="009A2257">
        <w:rPr>
          <w:rStyle w:val="normaltextrun"/>
          <w:rFonts w:ascii="Calibri" w:hAnsi="Calibri" w:cs="Calibri"/>
          <w:color w:val="000000"/>
          <w:szCs w:val="22"/>
          <w:bdr w:val="none" w:sz="0" w:space="0" w:color="auto" w:frame="1"/>
        </w:rPr>
        <w:t>improvements in timeframes (including pre-notification periods) for considering a merger against current timeframes and process for merger review</w:t>
      </w:r>
      <w:r>
        <w:rPr>
          <w:rStyle w:val="normaltextrun"/>
          <w:rFonts w:ascii="Calibri" w:hAnsi="Calibri" w:cs="Calibri"/>
          <w:color w:val="000000"/>
          <w:szCs w:val="22"/>
          <w:bdr w:val="none" w:sz="0" w:space="0" w:color="auto" w:frame="1"/>
        </w:rPr>
        <w:t xml:space="preserve">. This will also </w:t>
      </w:r>
      <w:r w:rsidRPr="009A2257">
        <w:rPr>
          <w:rStyle w:val="normaltextrun"/>
          <w:rFonts w:ascii="Calibri" w:hAnsi="Calibri" w:cs="Calibri"/>
          <w:color w:val="000000"/>
          <w:szCs w:val="22"/>
          <w:bdr w:val="none" w:sz="0" w:space="0" w:color="auto" w:frame="1"/>
        </w:rPr>
        <w:t xml:space="preserve">consider the proportion of mergers </w:t>
      </w:r>
      <w:r w:rsidR="00F53FED">
        <w:rPr>
          <w:rStyle w:val="normaltextrun"/>
          <w:rFonts w:ascii="Calibri" w:hAnsi="Calibri" w:cs="Calibri"/>
          <w:color w:val="000000"/>
          <w:szCs w:val="22"/>
          <w:bdr w:val="none" w:sz="0" w:space="0" w:color="auto" w:frame="1"/>
        </w:rPr>
        <w:t xml:space="preserve">and acquisitions </w:t>
      </w:r>
      <w:r w:rsidRPr="009A2257">
        <w:rPr>
          <w:rStyle w:val="normaltextrun"/>
          <w:rFonts w:ascii="Calibri" w:hAnsi="Calibri" w:cs="Calibri"/>
          <w:color w:val="000000"/>
          <w:szCs w:val="22"/>
          <w:bdr w:val="none" w:sz="0" w:space="0" w:color="auto" w:frame="1"/>
        </w:rPr>
        <w:t xml:space="preserve">cleared through fast track, compared to Phase </w:t>
      </w:r>
      <w:r w:rsidR="00044652">
        <w:rPr>
          <w:rStyle w:val="normaltextrun"/>
          <w:rFonts w:ascii="Calibri" w:hAnsi="Calibri" w:cs="Calibri"/>
          <w:color w:val="000000"/>
          <w:szCs w:val="22"/>
          <w:bdr w:val="none" w:sz="0" w:space="0" w:color="auto" w:frame="1"/>
        </w:rPr>
        <w:t>1</w:t>
      </w:r>
      <w:r w:rsidRPr="009A2257">
        <w:rPr>
          <w:rStyle w:val="normaltextrun"/>
          <w:rFonts w:ascii="Calibri" w:hAnsi="Calibri" w:cs="Calibri"/>
          <w:color w:val="000000"/>
          <w:szCs w:val="22"/>
          <w:bdr w:val="none" w:sz="0" w:space="0" w:color="auto" w:frame="1"/>
        </w:rPr>
        <w:t xml:space="preserve"> or </w:t>
      </w:r>
      <w:r w:rsidR="00044652">
        <w:rPr>
          <w:rStyle w:val="normaltextrun"/>
          <w:rFonts w:ascii="Calibri" w:hAnsi="Calibri" w:cs="Calibri"/>
          <w:color w:val="000000"/>
          <w:szCs w:val="22"/>
          <w:bdr w:val="none" w:sz="0" w:space="0" w:color="auto" w:frame="1"/>
        </w:rPr>
        <w:t>2</w:t>
      </w:r>
      <w:r w:rsidR="006034F7">
        <w:rPr>
          <w:rStyle w:val="normaltextrun"/>
          <w:rFonts w:ascii="Calibri" w:hAnsi="Calibri" w:cs="Calibri"/>
          <w:color w:val="000000"/>
          <w:szCs w:val="22"/>
          <w:bdr w:val="none" w:sz="0" w:space="0" w:color="auto" w:frame="1"/>
        </w:rPr>
        <w:t>,</w:t>
      </w:r>
      <w:r>
        <w:rPr>
          <w:rStyle w:val="normaltextrun"/>
          <w:rFonts w:ascii="Calibri" w:hAnsi="Calibri" w:cs="Calibri"/>
          <w:color w:val="000000"/>
          <w:szCs w:val="22"/>
          <w:bdr w:val="none" w:sz="0" w:space="0" w:color="auto" w:frame="1"/>
        </w:rPr>
        <w:t xml:space="preserve"> and </w:t>
      </w:r>
      <w:r w:rsidR="006034F7">
        <w:rPr>
          <w:rStyle w:val="normaltextrun"/>
          <w:rFonts w:ascii="Calibri" w:hAnsi="Calibri" w:cs="Calibri"/>
          <w:color w:val="000000"/>
          <w:szCs w:val="22"/>
          <w:bdr w:val="none" w:sz="0" w:space="0" w:color="auto" w:frame="1"/>
        </w:rPr>
        <w:t xml:space="preserve">the </w:t>
      </w:r>
      <w:r>
        <w:rPr>
          <w:rStyle w:val="normaltextrun"/>
          <w:rFonts w:ascii="Calibri" w:hAnsi="Calibri" w:cs="Calibri"/>
          <w:color w:val="000000"/>
          <w:szCs w:val="22"/>
          <w:bdr w:val="none" w:sz="0" w:space="0" w:color="auto" w:frame="1"/>
        </w:rPr>
        <w:t>use of timeline extensions on merger reviews</w:t>
      </w:r>
    </w:p>
    <w:p w14:paraId="323F9FDE" w14:textId="605E9202" w:rsidR="00AC7675" w:rsidRDefault="00AC7675" w:rsidP="00AC7675">
      <w:pPr>
        <w:pStyle w:val="Bullet"/>
        <w:rPr>
          <w:rStyle w:val="normaltextrun"/>
          <w:rFonts w:ascii="Calibri" w:hAnsi="Calibri" w:cs="Calibri"/>
          <w:color w:val="000000"/>
          <w:szCs w:val="22"/>
          <w:bdr w:val="none" w:sz="0" w:space="0" w:color="auto" w:frame="1"/>
        </w:rPr>
      </w:pPr>
      <w:r w:rsidRPr="009A2257">
        <w:rPr>
          <w:rStyle w:val="normaltextrun"/>
          <w:rFonts w:ascii="Calibri" w:hAnsi="Calibri" w:cs="Calibri"/>
          <w:color w:val="000000"/>
          <w:szCs w:val="22"/>
          <w:bdr w:val="none" w:sz="0" w:space="0" w:color="auto" w:frame="1"/>
        </w:rPr>
        <w:t>evidence of greater transparency for the wider community with increased third-party engagement with the merger control system and the quality and transparency of the decision making as evidence</w:t>
      </w:r>
      <w:r w:rsidR="007766C0">
        <w:rPr>
          <w:rStyle w:val="normaltextrun"/>
          <w:rFonts w:ascii="Calibri" w:hAnsi="Calibri" w:cs="Calibri"/>
          <w:color w:val="000000"/>
          <w:szCs w:val="22"/>
          <w:bdr w:val="none" w:sz="0" w:space="0" w:color="auto" w:frame="1"/>
        </w:rPr>
        <w:t>d</w:t>
      </w:r>
      <w:r w:rsidRPr="009A2257">
        <w:rPr>
          <w:rStyle w:val="normaltextrun"/>
          <w:rFonts w:ascii="Calibri" w:hAnsi="Calibri" w:cs="Calibri"/>
          <w:color w:val="000000"/>
          <w:szCs w:val="22"/>
          <w:bdr w:val="none" w:sz="0" w:space="0" w:color="auto" w:frame="1"/>
        </w:rPr>
        <w:t xml:space="preserve"> by the success of the public register</w:t>
      </w:r>
    </w:p>
    <w:p w14:paraId="4DE4E010" w14:textId="0D7E80E2" w:rsidR="00AC7675" w:rsidRDefault="00AC7675" w:rsidP="00AC7675">
      <w:pPr>
        <w:pStyle w:val="Bullet"/>
        <w:rPr>
          <w:rStyle w:val="normaltextrun"/>
          <w:rFonts w:ascii="Calibri" w:hAnsi="Calibri" w:cs="Calibri"/>
          <w:color w:val="000000"/>
          <w:szCs w:val="22"/>
          <w:bdr w:val="none" w:sz="0" w:space="0" w:color="auto" w:frame="1"/>
        </w:rPr>
      </w:pPr>
      <w:r w:rsidRPr="009A2257">
        <w:rPr>
          <w:rStyle w:val="normaltextrun"/>
          <w:rFonts w:ascii="Calibri" w:hAnsi="Calibri" w:cs="Calibri"/>
          <w:color w:val="000000"/>
          <w:szCs w:val="22"/>
          <w:bdr w:val="none" w:sz="0" w:space="0" w:color="auto" w:frame="1"/>
        </w:rPr>
        <w:t xml:space="preserve">evidence of </w:t>
      </w:r>
      <w:r>
        <w:rPr>
          <w:rStyle w:val="normaltextrun"/>
          <w:rFonts w:ascii="Calibri" w:hAnsi="Calibri" w:cs="Calibri"/>
          <w:color w:val="000000"/>
          <w:szCs w:val="22"/>
          <w:bdr w:val="none" w:sz="0" w:space="0" w:color="auto" w:frame="1"/>
        </w:rPr>
        <w:t xml:space="preserve">improved outcomes for competition by preventing or remedying with commitments </w:t>
      </w:r>
      <w:r w:rsidR="00700706">
        <w:rPr>
          <w:rStyle w:val="normaltextrun"/>
          <w:rFonts w:ascii="Calibri" w:hAnsi="Calibri" w:cs="Calibri"/>
          <w:color w:val="000000"/>
          <w:szCs w:val="22"/>
          <w:bdr w:val="none" w:sz="0" w:space="0" w:color="auto" w:frame="1"/>
        </w:rPr>
        <w:t xml:space="preserve">of </w:t>
      </w:r>
      <w:r w:rsidRPr="009A2257">
        <w:rPr>
          <w:rStyle w:val="normaltextrun"/>
          <w:rFonts w:ascii="Calibri" w:hAnsi="Calibri" w:cs="Calibri"/>
          <w:color w:val="000000"/>
          <w:szCs w:val="22"/>
          <w:bdr w:val="none" w:sz="0" w:space="0" w:color="auto" w:frame="1"/>
        </w:rPr>
        <w:t>anti-competitive mergers</w:t>
      </w:r>
      <w:r w:rsidR="00DA75FA">
        <w:rPr>
          <w:rStyle w:val="normaltextrun"/>
          <w:rFonts w:ascii="Calibri" w:hAnsi="Calibri" w:cs="Calibri"/>
          <w:color w:val="000000"/>
          <w:szCs w:val="22"/>
          <w:bdr w:val="none" w:sz="0" w:space="0" w:color="auto" w:frame="1"/>
        </w:rPr>
        <w:t xml:space="preserve">, and </w:t>
      </w:r>
      <w:r w:rsidRPr="009A2257">
        <w:rPr>
          <w:rStyle w:val="normaltextrun"/>
          <w:rFonts w:ascii="Calibri" w:hAnsi="Calibri" w:cs="Calibri"/>
          <w:color w:val="000000"/>
          <w:szCs w:val="22"/>
          <w:bdr w:val="none" w:sz="0" w:space="0" w:color="auto" w:frame="1"/>
        </w:rPr>
        <w:t xml:space="preserve"> </w:t>
      </w:r>
    </w:p>
    <w:p w14:paraId="6074AC8A" w14:textId="77777777" w:rsidR="00AC7675" w:rsidRPr="009A2257" w:rsidRDefault="00AC7675" w:rsidP="00AC7675">
      <w:pPr>
        <w:pStyle w:val="Bullet"/>
        <w:rPr>
          <w:rStyle w:val="normaltextrun"/>
          <w:rFonts w:ascii="Calibri" w:hAnsi="Calibri" w:cs="Calibri"/>
          <w:color w:val="000000"/>
          <w:szCs w:val="22"/>
          <w:bdr w:val="none" w:sz="0" w:space="0" w:color="auto" w:frame="1"/>
        </w:rPr>
      </w:pPr>
      <w:r>
        <w:rPr>
          <w:rStyle w:val="normaltextrun"/>
          <w:rFonts w:ascii="Calibri" w:hAnsi="Calibri" w:cs="Calibri"/>
          <w:color w:val="000000"/>
          <w:szCs w:val="22"/>
          <w:bdr w:val="none" w:sz="0" w:space="0" w:color="auto" w:frame="1"/>
        </w:rPr>
        <w:t xml:space="preserve">better </w:t>
      </w:r>
      <w:r w:rsidRPr="009A2257">
        <w:rPr>
          <w:rStyle w:val="normaltextrun"/>
          <w:rFonts w:ascii="Calibri" w:hAnsi="Calibri" w:cs="Calibri"/>
          <w:color w:val="000000"/>
          <w:szCs w:val="22"/>
          <w:bdr w:val="none" w:sz="0" w:space="0" w:color="auto" w:frame="1"/>
        </w:rPr>
        <w:t xml:space="preserve">engagement with the merger control system in terms of </w:t>
      </w:r>
      <w:r>
        <w:rPr>
          <w:rStyle w:val="normaltextrun"/>
          <w:rFonts w:ascii="Calibri" w:hAnsi="Calibri" w:cs="Calibri"/>
          <w:color w:val="000000"/>
          <w:szCs w:val="22"/>
          <w:bdr w:val="none" w:sz="0" w:space="0" w:color="auto" w:frame="1"/>
        </w:rPr>
        <w:t xml:space="preserve">provision of calibrated upfront information and responsiveness to </w:t>
      </w:r>
      <w:r w:rsidRPr="009A2257">
        <w:rPr>
          <w:rStyle w:val="normaltextrun"/>
          <w:rFonts w:ascii="Calibri" w:hAnsi="Calibri" w:cs="Calibri"/>
          <w:color w:val="000000"/>
          <w:szCs w:val="22"/>
          <w:bdr w:val="none" w:sz="0" w:space="0" w:color="auto" w:frame="1"/>
        </w:rPr>
        <w:t xml:space="preserve">information requests that need to be made. </w:t>
      </w:r>
    </w:p>
    <w:p w14:paraId="57F61B8B" w14:textId="5C7A0E24" w:rsidR="00041F44" w:rsidRDefault="00DA1400" w:rsidP="00D53D07">
      <w:pPr>
        <w:spacing w:after="120" w:line="240" w:lineRule="auto"/>
        <w:rPr>
          <w:rFonts w:cstheme="minorHAnsi"/>
        </w:rPr>
      </w:pPr>
      <w:r>
        <w:rPr>
          <w:rFonts w:cstheme="minorHAnsi"/>
        </w:rPr>
        <w:t>As outlined above, a</w:t>
      </w:r>
      <w:r w:rsidR="00D53D07">
        <w:rPr>
          <w:rFonts w:cstheme="minorHAnsi"/>
        </w:rPr>
        <w:t xml:space="preserve"> framework for recording ACCC merger data to support BLADE analysis will be developed. </w:t>
      </w:r>
      <w:r w:rsidR="00F72F6E">
        <w:t xml:space="preserve">The new comprehensive database of mergers and acquisition activity in Australia, as well as the integration of ABS prices data, </w:t>
      </w:r>
      <w:r w:rsidR="007A7F62">
        <w:t>will be</w:t>
      </w:r>
      <w:r w:rsidR="00F72F6E">
        <w:t xml:space="preserve"> critical to </w:t>
      </w:r>
      <w:r w:rsidR="0012401C">
        <w:t xml:space="preserve">the </w:t>
      </w:r>
      <w:r w:rsidR="0069088D">
        <w:t xml:space="preserve">assessment of harm (impact on prices and </w:t>
      </w:r>
      <w:r w:rsidR="00BF5709">
        <w:t>welfare</w:t>
      </w:r>
      <w:r w:rsidR="002C6106">
        <w:t>, and the community</w:t>
      </w:r>
      <w:r w:rsidR="0069088D">
        <w:t>)</w:t>
      </w:r>
      <w:r w:rsidR="00590B3B">
        <w:t xml:space="preserve">, </w:t>
      </w:r>
      <w:r w:rsidR="009F279E">
        <w:t xml:space="preserve">adjustments to </w:t>
      </w:r>
      <w:r w:rsidR="006213A3">
        <w:t xml:space="preserve">the </w:t>
      </w:r>
      <w:r w:rsidR="009F279E">
        <w:t xml:space="preserve">ACCC’s regulatory focus/approach, </w:t>
      </w:r>
      <w:r w:rsidR="0069088D">
        <w:t xml:space="preserve">and </w:t>
      </w:r>
      <w:r w:rsidR="00F72F6E">
        <w:t xml:space="preserve">building </w:t>
      </w:r>
      <w:r w:rsidR="0069088D">
        <w:t xml:space="preserve">relevant </w:t>
      </w:r>
      <w:r w:rsidR="00E779BD">
        <w:t xml:space="preserve">evidence </w:t>
      </w:r>
      <w:r w:rsidR="0008658F">
        <w:t xml:space="preserve">on the effectiveness </w:t>
      </w:r>
      <w:r w:rsidR="00710D54">
        <w:t xml:space="preserve">and efficiency </w:t>
      </w:r>
      <w:r w:rsidR="0008658F">
        <w:t>of the new system</w:t>
      </w:r>
      <w:r w:rsidR="001D0002">
        <w:t xml:space="preserve"> (including calibration and updates to the notification thresholds)</w:t>
      </w:r>
      <w:r w:rsidR="0008658F">
        <w:t xml:space="preserve">. </w:t>
      </w:r>
    </w:p>
    <w:p w14:paraId="61B73AEC" w14:textId="6C917329" w:rsidR="00947E3E" w:rsidRDefault="00947E3E" w:rsidP="00EE32DD">
      <w:pPr>
        <w:spacing w:after="120" w:line="240" w:lineRule="auto"/>
        <w:rPr>
          <w:rFonts w:cstheme="minorHAnsi"/>
        </w:rPr>
      </w:pPr>
      <w:r>
        <w:t>Finally, t</w:t>
      </w:r>
      <w:r w:rsidRPr="000D557A">
        <w:t>he ACCC will continue to be subject to the Regulator Performance Guide</w:t>
      </w:r>
      <w:r w:rsidR="002952B8">
        <w:t>.</w:t>
      </w:r>
      <w:r w:rsidR="008F030E">
        <w:rPr>
          <w:rStyle w:val="FootnoteReference"/>
        </w:rPr>
        <w:footnoteReference w:id="123"/>
      </w:r>
      <w:r w:rsidRPr="00E752F3">
        <w:t xml:space="preserve"> </w:t>
      </w:r>
      <w:r w:rsidRPr="000D557A">
        <w:t>T</w:t>
      </w:r>
      <w:r w:rsidR="00D10D0A">
        <w:t xml:space="preserve">he ACCC has </w:t>
      </w:r>
      <w:r w:rsidR="0028442C">
        <w:t xml:space="preserve">also </w:t>
      </w:r>
      <w:r w:rsidR="00D10D0A">
        <w:t xml:space="preserve">agreed to reinvigorate </w:t>
      </w:r>
      <w:r w:rsidRPr="000D557A">
        <w:t xml:space="preserve">the ACCC Performance Consultative Committee, which consists of business, legal and consumer representatives, to </w:t>
      </w:r>
      <w:r>
        <w:t>review and</w:t>
      </w:r>
      <w:r w:rsidRPr="000D557A">
        <w:t xml:space="preserve"> promote regulatory best practice</w:t>
      </w:r>
      <w:r w:rsidRPr="00E752F3">
        <w:t xml:space="preserve"> as part of the </w:t>
      </w:r>
      <w:r w:rsidRPr="000D557A">
        <w:t>reforms</w:t>
      </w:r>
      <w:r w:rsidR="00BA58E4">
        <w:t xml:space="preserve"> (including</w:t>
      </w:r>
      <w:r w:rsidR="008306BD">
        <w:t xml:space="preserve"> </w:t>
      </w:r>
      <w:r w:rsidR="00F4269B">
        <w:t xml:space="preserve">metrics relating to timeliness, transparency, guidance, </w:t>
      </w:r>
      <w:r w:rsidR="00235B23">
        <w:t>and</w:t>
      </w:r>
      <w:r w:rsidR="00F4269B">
        <w:t xml:space="preserve"> quality of engagement with merger parties and third parties)</w:t>
      </w:r>
      <w:r>
        <w:t>.</w:t>
      </w:r>
      <w:r w:rsidR="006F6E5D">
        <w:t xml:space="preserve"> </w:t>
      </w:r>
    </w:p>
    <w:p w14:paraId="3B2E81DB" w14:textId="77777777" w:rsidR="005F325C" w:rsidRPr="0024330E" w:rsidRDefault="005F325C" w:rsidP="008B599B">
      <w:pPr>
        <w:pStyle w:val="Bullet"/>
        <w:keepNext/>
        <w:numPr>
          <w:ilvl w:val="0"/>
          <w:numId w:val="0"/>
        </w:numPr>
        <w:spacing w:line="240" w:lineRule="auto"/>
        <w:ind w:left="520" w:hanging="520"/>
        <w:rPr>
          <w:rFonts w:cstheme="minorHAnsi"/>
        </w:rPr>
        <w:sectPr w:rsidR="005F325C" w:rsidRPr="0024330E" w:rsidSect="00E4687A">
          <w:pgSz w:w="11906" w:h="16838"/>
          <w:pgMar w:top="1440" w:right="1440" w:bottom="1440" w:left="1440" w:header="708" w:footer="708" w:gutter="0"/>
          <w:cols w:space="708"/>
          <w:docGrid w:linePitch="360"/>
        </w:sectPr>
      </w:pPr>
    </w:p>
    <w:p w14:paraId="02387405" w14:textId="77777777" w:rsidR="00947E3E" w:rsidRDefault="00947E3E" w:rsidP="00947E3E">
      <w:pPr>
        <w:pStyle w:val="Heading1"/>
      </w:pPr>
      <w:bookmarkStart w:id="118" w:name="_Toc176972399"/>
      <w:r>
        <w:t>Attachment A: Regulatory burden estimate</w:t>
      </w:r>
      <w:bookmarkEnd w:id="118"/>
    </w:p>
    <w:p w14:paraId="4AC7A5E7" w14:textId="77777777" w:rsidR="00947E3E" w:rsidRPr="00534989" w:rsidRDefault="00947E3E" w:rsidP="00D85A0A">
      <w:pPr>
        <w:pStyle w:val="Heading3"/>
      </w:pPr>
      <w:bookmarkStart w:id="119" w:name="_Toc176972400"/>
      <w:r w:rsidRPr="00534989">
        <w:t>Methodology</w:t>
      </w:r>
      <w:bookmarkEnd w:id="119"/>
    </w:p>
    <w:p w14:paraId="683470B3" w14:textId="77777777" w:rsidR="00947E3E" w:rsidRPr="00E2357E" w:rsidRDefault="00947E3E" w:rsidP="00947E3E">
      <w:pPr>
        <w:pStyle w:val="Bullet"/>
        <w:numPr>
          <w:ilvl w:val="0"/>
          <w:numId w:val="0"/>
        </w:numPr>
        <w:spacing w:line="240" w:lineRule="auto"/>
        <w:rPr>
          <w:rFonts w:asciiTheme="minorHAnsi" w:hAnsiTheme="minorHAnsi" w:cstheme="minorHAnsi"/>
        </w:rPr>
      </w:pPr>
      <w:r w:rsidRPr="00E2357E">
        <w:rPr>
          <w:rFonts w:asciiTheme="minorHAnsi" w:hAnsiTheme="minorHAnsi" w:cstheme="minorHAnsi"/>
        </w:rPr>
        <w:t xml:space="preserve">The regulatory burden estimates (RBE) for each option </w:t>
      </w:r>
      <w:r>
        <w:rPr>
          <w:rFonts w:asciiTheme="minorHAnsi" w:hAnsiTheme="minorHAnsi" w:cstheme="minorHAnsi"/>
        </w:rPr>
        <w:t>presented</w:t>
      </w:r>
      <w:r w:rsidRPr="00E2357E">
        <w:rPr>
          <w:rFonts w:asciiTheme="minorHAnsi" w:hAnsiTheme="minorHAnsi" w:cstheme="minorHAnsi"/>
        </w:rPr>
        <w:t xml:space="preserve"> capture the administrative </w:t>
      </w:r>
      <w:r>
        <w:rPr>
          <w:rFonts w:asciiTheme="minorHAnsi" w:hAnsiTheme="minorHAnsi" w:cstheme="minorHAnsi"/>
        </w:rPr>
        <w:t>(</w:t>
      </w:r>
      <w:r w:rsidRPr="00534989">
        <w:rPr>
          <w:rFonts w:asciiTheme="minorHAnsi" w:hAnsiTheme="minorHAnsi" w:cstheme="minorHAnsi"/>
        </w:rPr>
        <w:t>labour costs</w:t>
      </w:r>
      <w:r>
        <w:rPr>
          <w:rFonts w:asciiTheme="minorHAnsi" w:hAnsiTheme="minorHAnsi" w:cstheme="minorHAnsi"/>
        </w:rPr>
        <w:t>)</w:t>
      </w:r>
      <w:r w:rsidRPr="00E2357E">
        <w:rPr>
          <w:rFonts w:asciiTheme="minorHAnsi" w:hAnsiTheme="minorHAnsi" w:cstheme="minorHAnsi"/>
        </w:rPr>
        <w:t xml:space="preserve"> and substantive compliance costs </w:t>
      </w:r>
      <w:r>
        <w:rPr>
          <w:rFonts w:asciiTheme="minorHAnsi" w:hAnsiTheme="minorHAnsi" w:cstheme="minorHAnsi"/>
        </w:rPr>
        <w:t>(</w:t>
      </w:r>
      <w:r w:rsidRPr="00534989">
        <w:rPr>
          <w:rFonts w:asciiTheme="minorHAnsi" w:hAnsiTheme="minorHAnsi" w:cstheme="minorHAnsi"/>
        </w:rPr>
        <w:t>purchased costs</w:t>
      </w:r>
      <w:r>
        <w:rPr>
          <w:rFonts w:asciiTheme="minorHAnsi" w:hAnsiTheme="minorHAnsi" w:cstheme="minorHAnsi"/>
        </w:rPr>
        <w:t>)</w:t>
      </w:r>
      <w:r w:rsidRPr="00E2357E">
        <w:rPr>
          <w:rFonts w:asciiTheme="minorHAnsi" w:hAnsiTheme="minorHAnsi" w:cstheme="minorHAnsi"/>
        </w:rPr>
        <w:t xml:space="preserve"> </w:t>
      </w:r>
      <w:r>
        <w:rPr>
          <w:rFonts w:asciiTheme="minorHAnsi" w:hAnsiTheme="minorHAnsi" w:cstheme="minorHAnsi"/>
        </w:rPr>
        <w:t xml:space="preserve">for businesses </w:t>
      </w:r>
      <w:r w:rsidRPr="00E2357E">
        <w:rPr>
          <w:rFonts w:asciiTheme="minorHAnsi" w:hAnsiTheme="minorHAnsi" w:cstheme="minorHAnsi"/>
        </w:rPr>
        <w:t xml:space="preserve">for each stage of the proposed merger </w:t>
      </w:r>
      <w:r>
        <w:rPr>
          <w:rFonts w:asciiTheme="minorHAnsi" w:hAnsiTheme="minorHAnsi" w:cstheme="minorHAnsi"/>
        </w:rPr>
        <w:t>system</w:t>
      </w:r>
      <w:r w:rsidRPr="00E2357E">
        <w:rPr>
          <w:rFonts w:asciiTheme="minorHAnsi" w:hAnsiTheme="minorHAnsi" w:cstheme="minorHAnsi"/>
        </w:rPr>
        <w:t>, including:</w:t>
      </w:r>
    </w:p>
    <w:p w14:paraId="3ED47571" w14:textId="4E020A16" w:rsidR="00947E3E" w:rsidRDefault="007F4330" w:rsidP="00947E3E">
      <w:pPr>
        <w:pStyle w:val="Bullet"/>
        <w:spacing w:line="240" w:lineRule="auto"/>
        <w:rPr>
          <w:rFonts w:asciiTheme="minorHAnsi" w:hAnsiTheme="minorHAnsi" w:cstheme="minorHAnsi"/>
        </w:rPr>
      </w:pPr>
      <w:r>
        <w:rPr>
          <w:rFonts w:asciiTheme="minorHAnsi" w:hAnsiTheme="minorHAnsi" w:cstheme="minorHAnsi"/>
        </w:rPr>
        <w:t>f</w:t>
      </w:r>
      <w:r w:rsidR="00947E3E" w:rsidRPr="00E2357E">
        <w:rPr>
          <w:rFonts w:asciiTheme="minorHAnsi" w:hAnsiTheme="minorHAnsi" w:cstheme="minorHAnsi"/>
        </w:rPr>
        <w:t>amiliarisation costs</w:t>
      </w:r>
    </w:p>
    <w:p w14:paraId="77AA57E6" w14:textId="3F49CF06" w:rsidR="00947E3E" w:rsidRPr="00E2357E" w:rsidRDefault="007F4330" w:rsidP="00947E3E">
      <w:pPr>
        <w:pStyle w:val="Bullet"/>
        <w:spacing w:line="240" w:lineRule="auto"/>
        <w:rPr>
          <w:rFonts w:asciiTheme="minorHAnsi" w:hAnsiTheme="minorHAnsi" w:cstheme="minorHAnsi"/>
        </w:rPr>
      </w:pPr>
      <w:r>
        <w:rPr>
          <w:rFonts w:asciiTheme="minorHAnsi" w:hAnsiTheme="minorHAnsi" w:cstheme="minorHAnsi"/>
        </w:rPr>
        <w:t>l</w:t>
      </w:r>
      <w:r w:rsidR="00947E3E">
        <w:rPr>
          <w:rFonts w:asciiTheme="minorHAnsi" w:hAnsiTheme="minorHAnsi" w:cstheme="minorHAnsi"/>
        </w:rPr>
        <w:t xml:space="preserve">abour and legal </w:t>
      </w:r>
      <w:r w:rsidR="00947E3E" w:rsidRPr="00E2357E">
        <w:rPr>
          <w:rFonts w:asciiTheme="minorHAnsi" w:hAnsiTheme="minorHAnsi" w:cstheme="minorHAnsi"/>
        </w:rPr>
        <w:t>costs to determine whether a</w:t>
      </w:r>
      <w:r w:rsidR="0078506F">
        <w:rPr>
          <w:rFonts w:asciiTheme="minorHAnsi" w:hAnsiTheme="minorHAnsi" w:cstheme="minorHAnsi"/>
        </w:rPr>
        <w:t xml:space="preserve"> merger notification</w:t>
      </w:r>
      <w:r w:rsidR="00947E3E" w:rsidRPr="00E2357E">
        <w:rPr>
          <w:rFonts w:asciiTheme="minorHAnsi" w:hAnsiTheme="minorHAnsi" w:cstheme="minorHAnsi"/>
        </w:rPr>
        <w:t xml:space="preserve"> needs to be made</w:t>
      </w:r>
    </w:p>
    <w:p w14:paraId="5CFB0951" w14:textId="0D97FBA4" w:rsidR="00947E3E" w:rsidRPr="00E2357E" w:rsidRDefault="007F4330" w:rsidP="00947E3E">
      <w:pPr>
        <w:pStyle w:val="Bullet"/>
        <w:spacing w:line="240" w:lineRule="auto"/>
        <w:rPr>
          <w:rFonts w:asciiTheme="minorHAnsi" w:hAnsiTheme="minorHAnsi" w:cstheme="minorHAnsi"/>
        </w:rPr>
      </w:pPr>
      <w:r>
        <w:rPr>
          <w:rFonts w:asciiTheme="minorHAnsi" w:hAnsiTheme="minorHAnsi" w:cstheme="minorHAnsi"/>
        </w:rPr>
        <w:t>l</w:t>
      </w:r>
      <w:r w:rsidR="00947E3E">
        <w:rPr>
          <w:rFonts w:asciiTheme="minorHAnsi" w:hAnsiTheme="minorHAnsi" w:cstheme="minorHAnsi"/>
        </w:rPr>
        <w:t xml:space="preserve">abour and legal </w:t>
      </w:r>
      <w:r w:rsidR="00947E3E" w:rsidRPr="00E2357E">
        <w:rPr>
          <w:rFonts w:asciiTheme="minorHAnsi" w:hAnsiTheme="minorHAnsi" w:cstheme="minorHAnsi"/>
        </w:rPr>
        <w:t xml:space="preserve">costs to </w:t>
      </w:r>
      <w:r w:rsidR="0096190F">
        <w:rPr>
          <w:rFonts w:asciiTheme="minorHAnsi" w:hAnsiTheme="minorHAnsi" w:cstheme="minorHAnsi"/>
        </w:rPr>
        <w:t>notify a merger</w:t>
      </w:r>
    </w:p>
    <w:p w14:paraId="25A13E85" w14:textId="1A9D699E" w:rsidR="00947E3E" w:rsidRPr="00E2357E" w:rsidRDefault="007F4330" w:rsidP="00947E3E">
      <w:pPr>
        <w:pStyle w:val="Bullet"/>
        <w:spacing w:line="240" w:lineRule="auto"/>
        <w:rPr>
          <w:rFonts w:asciiTheme="minorHAnsi" w:hAnsiTheme="minorHAnsi" w:cstheme="minorHAnsi"/>
        </w:rPr>
      </w:pPr>
      <w:r>
        <w:rPr>
          <w:rFonts w:asciiTheme="minorHAnsi" w:hAnsiTheme="minorHAnsi" w:cstheme="minorHAnsi"/>
        </w:rPr>
        <w:t>l</w:t>
      </w:r>
      <w:r w:rsidR="00947E3E">
        <w:rPr>
          <w:rFonts w:asciiTheme="minorHAnsi" w:hAnsiTheme="minorHAnsi" w:cstheme="minorHAnsi"/>
        </w:rPr>
        <w:t xml:space="preserve">abour and legal </w:t>
      </w:r>
      <w:r w:rsidR="00947E3E" w:rsidRPr="00E2357E">
        <w:rPr>
          <w:rFonts w:asciiTheme="minorHAnsi" w:hAnsiTheme="minorHAnsi" w:cstheme="minorHAnsi"/>
        </w:rPr>
        <w:t>costs</w:t>
      </w:r>
      <w:r w:rsidR="00947E3E">
        <w:rPr>
          <w:rFonts w:asciiTheme="minorHAnsi" w:hAnsiTheme="minorHAnsi" w:cstheme="minorHAnsi"/>
        </w:rPr>
        <w:t xml:space="preserve"> </w:t>
      </w:r>
      <w:r w:rsidR="00947E3E" w:rsidRPr="009919DB">
        <w:rPr>
          <w:rFonts w:asciiTheme="minorHAnsi" w:hAnsiTheme="minorHAnsi" w:cstheme="minorHAnsi"/>
        </w:rPr>
        <w:t xml:space="preserve">as part of a Phase </w:t>
      </w:r>
      <w:r w:rsidR="00903EEE">
        <w:rPr>
          <w:rFonts w:asciiTheme="minorHAnsi" w:hAnsiTheme="minorHAnsi" w:cstheme="minorHAnsi"/>
        </w:rPr>
        <w:t>1</w:t>
      </w:r>
      <w:r w:rsidR="00947E3E" w:rsidRPr="009919DB">
        <w:rPr>
          <w:rFonts w:asciiTheme="minorHAnsi" w:hAnsiTheme="minorHAnsi" w:cstheme="minorHAnsi"/>
        </w:rPr>
        <w:t xml:space="preserve"> merger review </w:t>
      </w:r>
    </w:p>
    <w:p w14:paraId="35E842D8" w14:textId="23E99E3A" w:rsidR="00947E3E" w:rsidRDefault="007F4330" w:rsidP="00947E3E">
      <w:pPr>
        <w:pStyle w:val="Bullet"/>
        <w:spacing w:line="240" w:lineRule="auto"/>
        <w:rPr>
          <w:rFonts w:asciiTheme="minorHAnsi" w:hAnsiTheme="minorHAnsi" w:cstheme="minorHAnsi"/>
        </w:rPr>
      </w:pPr>
      <w:r>
        <w:rPr>
          <w:rFonts w:asciiTheme="minorHAnsi" w:hAnsiTheme="minorHAnsi" w:cstheme="minorHAnsi"/>
        </w:rPr>
        <w:t>l</w:t>
      </w:r>
      <w:r w:rsidR="00947E3E">
        <w:rPr>
          <w:rFonts w:asciiTheme="minorHAnsi" w:hAnsiTheme="minorHAnsi" w:cstheme="minorHAnsi"/>
        </w:rPr>
        <w:t xml:space="preserve">abour, legal and economic </w:t>
      </w:r>
      <w:r w:rsidR="00947E3E" w:rsidRPr="00E2357E">
        <w:rPr>
          <w:rFonts w:asciiTheme="minorHAnsi" w:hAnsiTheme="minorHAnsi" w:cstheme="minorHAnsi"/>
        </w:rPr>
        <w:t xml:space="preserve">costs </w:t>
      </w:r>
      <w:r w:rsidR="00947E3E" w:rsidRPr="009919DB">
        <w:rPr>
          <w:rFonts w:asciiTheme="minorHAnsi" w:hAnsiTheme="minorHAnsi" w:cstheme="minorHAnsi"/>
        </w:rPr>
        <w:t xml:space="preserve">as part of a Phase </w:t>
      </w:r>
      <w:r w:rsidR="00903EEE">
        <w:rPr>
          <w:rFonts w:asciiTheme="minorHAnsi" w:hAnsiTheme="minorHAnsi" w:cstheme="minorHAnsi"/>
        </w:rPr>
        <w:t>2</w:t>
      </w:r>
      <w:r w:rsidR="00947E3E">
        <w:rPr>
          <w:rFonts w:asciiTheme="minorHAnsi" w:hAnsiTheme="minorHAnsi" w:cstheme="minorHAnsi"/>
        </w:rPr>
        <w:t xml:space="preserve"> </w:t>
      </w:r>
      <w:r w:rsidR="00947E3E" w:rsidRPr="009919DB">
        <w:rPr>
          <w:rFonts w:asciiTheme="minorHAnsi" w:hAnsiTheme="minorHAnsi" w:cstheme="minorHAnsi"/>
        </w:rPr>
        <w:t>merger review</w:t>
      </w:r>
    </w:p>
    <w:p w14:paraId="2A5919BC" w14:textId="5467EA04" w:rsidR="00947E3E" w:rsidRDefault="007F4330" w:rsidP="00947E3E">
      <w:pPr>
        <w:pStyle w:val="Bullet"/>
        <w:spacing w:line="240" w:lineRule="auto"/>
        <w:rPr>
          <w:rFonts w:asciiTheme="minorHAnsi" w:hAnsiTheme="minorHAnsi" w:cstheme="minorHAnsi"/>
        </w:rPr>
      </w:pPr>
      <w:r>
        <w:rPr>
          <w:rFonts w:asciiTheme="minorHAnsi" w:hAnsiTheme="minorHAnsi" w:cstheme="minorHAnsi"/>
        </w:rPr>
        <w:t>l</w:t>
      </w:r>
      <w:r w:rsidR="00947E3E" w:rsidRPr="00FE5C5D">
        <w:rPr>
          <w:rFonts w:asciiTheme="minorHAnsi" w:hAnsiTheme="minorHAnsi" w:cstheme="minorHAnsi"/>
        </w:rPr>
        <w:t xml:space="preserve">abour and legal costs </w:t>
      </w:r>
      <w:r w:rsidR="00947E3E">
        <w:rPr>
          <w:rFonts w:asciiTheme="minorHAnsi" w:hAnsiTheme="minorHAnsi" w:cstheme="minorHAnsi"/>
        </w:rPr>
        <w:t>for any remedies</w:t>
      </w:r>
      <w:r w:rsidR="0019603A">
        <w:rPr>
          <w:rFonts w:asciiTheme="minorHAnsi" w:hAnsiTheme="minorHAnsi" w:cstheme="minorHAnsi"/>
        </w:rPr>
        <w:t xml:space="preserve"> or commitments</w:t>
      </w:r>
    </w:p>
    <w:p w14:paraId="373CFCCA" w14:textId="6285F286" w:rsidR="00947E3E" w:rsidRPr="00FE5C5D" w:rsidRDefault="007F4330" w:rsidP="00947E3E">
      <w:pPr>
        <w:pStyle w:val="Bullet"/>
        <w:spacing w:line="240" w:lineRule="auto"/>
        <w:rPr>
          <w:rFonts w:asciiTheme="minorHAnsi" w:hAnsiTheme="minorHAnsi" w:cstheme="minorHAnsi"/>
        </w:rPr>
      </w:pPr>
      <w:r>
        <w:rPr>
          <w:rFonts w:asciiTheme="minorHAnsi" w:hAnsiTheme="minorHAnsi" w:cstheme="minorHAnsi"/>
        </w:rPr>
        <w:t>l</w:t>
      </w:r>
      <w:r w:rsidR="00947E3E" w:rsidRPr="00FE5C5D">
        <w:rPr>
          <w:rFonts w:asciiTheme="minorHAnsi" w:hAnsiTheme="minorHAnsi" w:cstheme="minorHAnsi"/>
        </w:rPr>
        <w:t xml:space="preserve">abour, legal and economic costs as </w:t>
      </w:r>
      <w:r w:rsidR="00947E3E">
        <w:rPr>
          <w:rFonts w:asciiTheme="minorHAnsi" w:hAnsiTheme="minorHAnsi" w:cstheme="minorHAnsi"/>
        </w:rPr>
        <w:t>for a public benefit assessment, and</w:t>
      </w:r>
    </w:p>
    <w:p w14:paraId="39BAB3C4" w14:textId="7B44C40F" w:rsidR="00947E3E" w:rsidRPr="00381016" w:rsidRDefault="007F4330" w:rsidP="00947E3E">
      <w:pPr>
        <w:pStyle w:val="Bullet"/>
        <w:spacing w:line="240" w:lineRule="auto"/>
        <w:rPr>
          <w:rFonts w:asciiTheme="minorHAnsi" w:hAnsiTheme="minorHAnsi" w:cstheme="minorHAnsi"/>
        </w:rPr>
      </w:pPr>
      <w:r>
        <w:rPr>
          <w:rFonts w:asciiTheme="minorHAnsi" w:hAnsiTheme="minorHAnsi" w:cstheme="minorHAnsi"/>
        </w:rPr>
        <w:t>l</w:t>
      </w:r>
      <w:r w:rsidR="00947E3E" w:rsidRPr="00FE5C5D">
        <w:rPr>
          <w:rFonts w:asciiTheme="minorHAnsi" w:hAnsiTheme="minorHAnsi" w:cstheme="minorHAnsi"/>
        </w:rPr>
        <w:t xml:space="preserve">abour and legal costs </w:t>
      </w:r>
      <w:r w:rsidR="00947E3E">
        <w:rPr>
          <w:rFonts w:asciiTheme="minorHAnsi" w:hAnsiTheme="minorHAnsi" w:cstheme="minorHAnsi"/>
        </w:rPr>
        <w:t xml:space="preserve">for Tribunal and other </w:t>
      </w:r>
      <w:r w:rsidR="00947E3E" w:rsidRPr="00FE5C5D">
        <w:rPr>
          <w:rFonts w:asciiTheme="minorHAnsi" w:hAnsiTheme="minorHAnsi" w:cstheme="minorHAnsi"/>
        </w:rPr>
        <w:t>post-merger review</w:t>
      </w:r>
      <w:r>
        <w:rPr>
          <w:rFonts w:asciiTheme="minorHAnsi" w:hAnsiTheme="minorHAnsi" w:cstheme="minorHAnsi"/>
        </w:rPr>
        <w:t>.</w:t>
      </w:r>
    </w:p>
    <w:p w14:paraId="4A8F2CA3" w14:textId="4CAB9E43" w:rsidR="00947E3E" w:rsidRPr="00E2357E" w:rsidRDefault="00947E3E" w:rsidP="00947E3E">
      <w:pPr>
        <w:pStyle w:val="Bullet"/>
        <w:numPr>
          <w:ilvl w:val="0"/>
          <w:numId w:val="0"/>
        </w:numPr>
        <w:spacing w:line="240" w:lineRule="auto"/>
        <w:rPr>
          <w:rFonts w:asciiTheme="minorHAnsi" w:hAnsiTheme="minorHAnsi" w:cstheme="minorHAnsi"/>
        </w:rPr>
      </w:pPr>
      <w:r w:rsidRPr="00E2357E">
        <w:rPr>
          <w:rFonts w:asciiTheme="minorHAnsi" w:hAnsiTheme="minorHAnsi" w:cstheme="minorHAnsi"/>
        </w:rPr>
        <w:t>The administrative costs are labour costs for businesses and include additional costs of making, keeping and providing records, costs of making and being involved in a</w:t>
      </w:r>
      <w:r w:rsidR="00F97C9D">
        <w:rPr>
          <w:rFonts w:asciiTheme="minorHAnsi" w:hAnsiTheme="minorHAnsi" w:cstheme="minorHAnsi"/>
        </w:rPr>
        <w:t xml:space="preserve"> notification</w:t>
      </w:r>
      <w:r w:rsidRPr="00E2357E">
        <w:rPr>
          <w:rFonts w:asciiTheme="minorHAnsi" w:hAnsiTheme="minorHAnsi" w:cstheme="minorHAnsi"/>
        </w:rPr>
        <w:t xml:space="preserve"> and compliance costs associated with financial costs. The substantive compliance costs are generally purchased costs by business and predominately includes the costs of professional services needed to meet the regulatory requirements of the proposed options</w:t>
      </w:r>
      <w:r>
        <w:rPr>
          <w:rFonts w:asciiTheme="minorHAnsi" w:hAnsiTheme="minorHAnsi" w:cstheme="minorHAnsi"/>
        </w:rPr>
        <w:t xml:space="preserve">, such as legal and economic consultant fees. </w:t>
      </w:r>
    </w:p>
    <w:p w14:paraId="71B03929" w14:textId="5291061E" w:rsidR="00947E3E" w:rsidRPr="00E2357E" w:rsidRDefault="00947E3E" w:rsidP="00947E3E">
      <w:pPr>
        <w:pStyle w:val="Bullet"/>
        <w:numPr>
          <w:ilvl w:val="0"/>
          <w:numId w:val="0"/>
        </w:numPr>
        <w:spacing w:line="240" w:lineRule="auto"/>
        <w:rPr>
          <w:rFonts w:asciiTheme="minorHAnsi" w:hAnsiTheme="minorHAnsi" w:cstheme="minorHAnsi"/>
        </w:rPr>
      </w:pPr>
      <w:r w:rsidRPr="00E2357E">
        <w:rPr>
          <w:rFonts w:asciiTheme="minorHAnsi" w:hAnsiTheme="minorHAnsi" w:cstheme="minorHAnsi"/>
        </w:rPr>
        <w:t>The RBE do</w:t>
      </w:r>
      <w:r>
        <w:rPr>
          <w:rFonts w:asciiTheme="minorHAnsi" w:hAnsiTheme="minorHAnsi" w:cstheme="minorHAnsi"/>
        </w:rPr>
        <w:t>es</w:t>
      </w:r>
      <w:r w:rsidRPr="00E2357E">
        <w:rPr>
          <w:rFonts w:asciiTheme="minorHAnsi" w:hAnsiTheme="minorHAnsi" w:cstheme="minorHAnsi"/>
        </w:rPr>
        <w:t xml:space="preserve"> not capture the proposed merger fees and other impacts and costs outlined under each option. These activities have been represented separately and quantified as indicated. </w:t>
      </w:r>
    </w:p>
    <w:p w14:paraId="108DD2D5" w14:textId="5299C2EC" w:rsidR="00947E3E" w:rsidRPr="00534989" w:rsidRDefault="00947E3E" w:rsidP="0061720C">
      <w:pPr>
        <w:pStyle w:val="Heading3"/>
      </w:pPr>
      <w:bookmarkStart w:id="120" w:name="_Toc176972401"/>
      <w:r w:rsidRPr="00534989">
        <w:t>Data and Assumptions</w:t>
      </w:r>
      <w:bookmarkEnd w:id="120"/>
    </w:p>
    <w:p w14:paraId="272B8813" w14:textId="04A7D2EA" w:rsidR="00470DE5" w:rsidRDefault="00947E3E" w:rsidP="007160C6">
      <w:pPr>
        <w:spacing w:line="240" w:lineRule="auto"/>
        <w:rPr>
          <w:rFonts w:cstheme="minorHAnsi"/>
        </w:rPr>
      </w:pPr>
      <w:r w:rsidRPr="00E2357E">
        <w:rPr>
          <w:rFonts w:cstheme="minorHAnsi"/>
        </w:rPr>
        <w:t>The administrative costs for businesses (</w:t>
      </w:r>
      <w:r w:rsidRPr="00534989">
        <w:rPr>
          <w:rFonts w:cstheme="minorHAnsi"/>
        </w:rPr>
        <w:t>labour costs</w:t>
      </w:r>
      <w:r w:rsidRPr="00E2357E">
        <w:rPr>
          <w:rFonts w:cstheme="minorHAnsi"/>
        </w:rPr>
        <w:t>) are based on the standard formula of Price × Quantity, being (Time required × Labour cost) × (Times performed × Number of businesses or community organisations × Number of staff).</w:t>
      </w:r>
      <w:r w:rsidR="0036333D">
        <w:rPr>
          <w:rFonts w:cstheme="minorHAnsi"/>
        </w:rPr>
        <w:t xml:space="preserve"> </w:t>
      </w:r>
    </w:p>
    <w:p w14:paraId="2BDDEF73" w14:textId="3BE3F2AD" w:rsidR="00947E3E" w:rsidRDefault="0036333D" w:rsidP="007160C6">
      <w:pPr>
        <w:spacing w:line="240" w:lineRule="auto"/>
        <w:rPr>
          <w:rFonts w:cstheme="minorHAnsi"/>
        </w:rPr>
      </w:pPr>
      <w:r>
        <w:rPr>
          <w:rFonts w:cstheme="minorHAnsi"/>
        </w:rPr>
        <w:t>Treasury has used a A$</w:t>
      </w:r>
      <w:r w:rsidR="002E431D">
        <w:rPr>
          <w:rFonts w:cstheme="minorHAnsi"/>
        </w:rPr>
        <w:t>150 hourly rate for labour costs,</w:t>
      </w:r>
      <w:r w:rsidR="00470DE5">
        <w:rPr>
          <w:rFonts w:cstheme="minorHAnsi"/>
        </w:rPr>
        <w:t xml:space="preserve"> which is a Treasury estimate and take</w:t>
      </w:r>
      <w:r w:rsidR="003E175E">
        <w:rPr>
          <w:rFonts w:cstheme="minorHAnsi"/>
        </w:rPr>
        <w:t>s</w:t>
      </w:r>
      <w:r w:rsidR="00470DE5">
        <w:rPr>
          <w:rFonts w:cstheme="minorHAnsi"/>
        </w:rPr>
        <w:t xml:space="preserve"> into account</w:t>
      </w:r>
      <w:r w:rsidR="00EB556A">
        <w:rPr>
          <w:rFonts w:cstheme="minorHAnsi"/>
        </w:rPr>
        <w:t xml:space="preserve"> </w:t>
      </w:r>
      <w:r w:rsidR="009852C6">
        <w:rPr>
          <w:rFonts w:cstheme="minorHAnsi"/>
        </w:rPr>
        <w:t xml:space="preserve">senior executive involvement in </w:t>
      </w:r>
      <w:r w:rsidR="00EB556A">
        <w:rPr>
          <w:rFonts w:cstheme="minorHAnsi"/>
        </w:rPr>
        <w:t xml:space="preserve">merger transactions. </w:t>
      </w:r>
    </w:p>
    <w:p w14:paraId="7C37DFD9" w14:textId="5528FBF7" w:rsidR="00947E3E" w:rsidRDefault="00947E3E" w:rsidP="00947E3E">
      <w:pPr>
        <w:pStyle w:val="Bullet"/>
        <w:numPr>
          <w:ilvl w:val="0"/>
          <w:numId w:val="0"/>
        </w:numPr>
        <w:spacing w:line="240" w:lineRule="auto"/>
        <w:rPr>
          <w:rFonts w:asciiTheme="minorHAnsi" w:hAnsiTheme="minorHAnsi" w:cstheme="minorHAnsi"/>
        </w:rPr>
      </w:pPr>
      <w:r w:rsidRPr="00A550D7">
        <w:rPr>
          <w:rFonts w:asciiTheme="minorHAnsi" w:hAnsiTheme="minorHAnsi" w:cstheme="minorHAnsi"/>
        </w:rPr>
        <w:t xml:space="preserve">The formula used to calculate the </w:t>
      </w:r>
      <w:r w:rsidRPr="009B5DD8">
        <w:rPr>
          <w:rFonts w:asciiTheme="minorHAnsi" w:hAnsiTheme="minorHAnsi" w:cstheme="minorHAnsi"/>
        </w:rPr>
        <w:t xml:space="preserve">substantive compliance costs </w:t>
      </w:r>
      <w:r>
        <w:rPr>
          <w:rFonts w:asciiTheme="minorHAnsi" w:hAnsiTheme="minorHAnsi" w:cstheme="minorHAnsi"/>
        </w:rPr>
        <w:t>(namely legal and economic consultant costs)</w:t>
      </w:r>
      <w:r w:rsidRPr="009B5DD8">
        <w:rPr>
          <w:rFonts w:asciiTheme="minorHAnsi" w:hAnsiTheme="minorHAnsi" w:cstheme="minorHAnsi"/>
        </w:rPr>
        <w:t xml:space="preserve"> is based on number of businesses × number of time services purchased (based on hour) x service cost per activity (hour).</w:t>
      </w:r>
    </w:p>
    <w:p w14:paraId="06937635" w14:textId="529545E8" w:rsidR="00947E3E" w:rsidRDefault="00947E3E" w:rsidP="00947E3E">
      <w:pPr>
        <w:pStyle w:val="Bullet"/>
        <w:numPr>
          <w:ilvl w:val="0"/>
          <w:numId w:val="0"/>
        </w:numPr>
        <w:spacing w:line="240" w:lineRule="auto"/>
        <w:rPr>
          <w:rFonts w:asciiTheme="minorHAnsi" w:hAnsiTheme="minorHAnsi" w:cstheme="minorHAnsi"/>
        </w:rPr>
      </w:pPr>
      <w:r>
        <w:rPr>
          <w:rFonts w:asciiTheme="minorHAnsi" w:hAnsiTheme="minorHAnsi" w:cstheme="minorHAnsi"/>
        </w:rPr>
        <w:t xml:space="preserve">Treasury has used a </w:t>
      </w:r>
      <w:r w:rsidR="00D65C1B" w:rsidRPr="003B7C27">
        <w:rPr>
          <w:rFonts w:asciiTheme="minorHAnsi" w:hAnsiTheme="minorHAnsi" w:cstheme="minorHAnsi"/>
        </w:rPr>
        <w:t>A</w:t>
      </w:r>
      <w:r w:rsidRPr="003B7C27">
        <w:rPr>
          <w:rFonts w:asciiTheme="minorHAnsi" w:hAnsiTheme="minorHAnsi" w:cstheme="minorHAnsi"/>
        </w:rPr>
        <w:t>$800</w:t>
      </w:r>
      <w:r>
        <w:rPr>
          <w:rFonts w:asciiTheme="minorHAnsi" w:hAnsiTheme="minorHAnsi" w:cstheme="minorHAnsi"/>
        </w:rPr>
        <w:t xml:space="preserve"> hourly rate for legal costs, which is a </w:t>
      </w:r>
      <w:r w:rsidRPr="009B53AC">
        <w:rPr>
          <w:rFonts w:asciiTheme="minorHAnsi" w:hAnsiTheme="minorHAnsi" w:cstheme="minorHAnsi"/>
        </w:rPr>
        <w:t>Treasury estimate</w:t>
      </w:r>
      <w:r>
        <w:rPr>
          <w:rFonts w:asciiTheme="minorHAnsi" w:hAnsiTheme="minorHAnsi" w:cstheme="minorHAnsi"/>
        </w:rPr>
        <w:t xml:space="preserve"> </w:t>
      </w:r>
      <w:r w:rsidR="00A426C9">
        <w:rPr>
          <w:rFonts w:asciiTheme="minorHAnsi" w:hAnsiTheme="minorHAnsi" w:cstheme="minorHAnsi"/>
        </w:rPr>
        <w:t xml:space="preserve">and is also </w:t>
      </w:r>
      <w:r w:rsidR="0095649E">
        <w:rPr>
          <w:rFonts w:asciiTheme="minorHAnsi" w:hAnsiTheme="minorHAnsi" w:cstheme="minorHAnsi"/>
        </w:rPr>
        <w:t>broadly aligned</w:t>
      </w:r>
      <w:r w:rsidR="0095649E" w:rsidRPr="009B53AC">
        <w:rPr>
          <w:rFonts w:asciiTheme="minorHAnsi" w:hAnsiTheme="minorHAnsi" w:cstheme="minorHAnsi"/>
        </w:rPr>
        <w:t xml:space="preserve"> </w:t>
      </w:r>
      <w:r w:rsidRPr="009B53AC">
        <w:rPr>
          <w:rFonts w:asciiTheme="minorHAnsi" w:hAnsiTheme="minorHAnsi" w:cstheme="minorHAnsi"/>
        </w:rPr>
        <w:t xml:space="preserve">with the </w:t>
      </w:r>
      <w:r>
        <w:rPr>
          <w:rFonts w:asciiTheme="minorHAnsi" w:hAnsiTheme="minorHAnsi" w:cstheme="minorHAnsi"/>
        </w:rPr>
        <w:t>hourly</w:t>
      </w:r>
      <w:r w:rsidRPr="009B53AC">
        <w:rPr>
          <w:rFonts w:asciiTheme="minorHAnsi" w:hAnsiTheme="minorHAnsi" w:cstheme="minorHAnsi"/>
        </w:rPr>
        <w:t xml:space="preserve"> </w:t>
      </w:r>
      <w:r>
        <w:rPr>
          <w:rFonts w:asciiTheme="minorHAnsi" w:hAnsiTheme="minorHAnsi" w:cstheme="minorHAnsi"/>
        </w:rPr>
        <w:t xml:space="preserve">rate used by the United Kingdom’s </w:t>
      </w:r>
      <w:r w:rsidRPr="00211A77">
        <w:rPr>
          <w:rFonts w:asciiTheme="minorHAnsi" w:hAnsiTheme="minorHAnsi" w:cstheme="minorHAnsi"/>
        </w:rPr>
        <w:t>Competition and Markets Authority</w:t>
      </w:r>
      <w:r>
        <w:rPr>
          <w:rFonts w:asciiTheme="minorHAnsi" w:hAnsiTheme="minorHAnsi" w:cstheme="minorHAnsi"/>
        </w:rPr>
        <w:t xml:space="preserve"> (</w:t>
      </w:r>
      <w:r w:rsidRPr="00B35BD8">
        <w:rPr>
          <w:rFonts w:asciiTheme="minorHAnsi" w:hAnsiTheme="minorHAnsi" w:cstheme="minorHAnsi"/>
        </w:rPr>
        <w:t>CMA</w:t>
      </w:r>
      <w:r>
        <w:rPr>
          <w:rFonts w:asciiTheme="minorHAnsi" w:hAnsiTheme="minorHAnsi" w:cstheme="minorHAnsi"/>
        </w:rPr>
        <w:t>)</w:t>
      </w:r>
      <w:r w:rsidRPr="009B53AC">
        <w:rPr>
          <w:rFonts w:asciiTheme="minorHAnsi" w:hAnsiTheme="minorHAnsi" w:cstheme="minorHAnsi"/>
        </w:rPr>
        <w:t xml:space="preserve"> of </w:t>
      </w:r>
      <w:r w:rsidR="00D65C1B">
        <w:rPr>
          <w:rFonts w:asciiTheme="minorHAnsi" w:hAnsiTheme="minorHAnsi" w:cstheme="minorHAnsi"/>
        </w:rPr>
        <w:t>GB</w:t>
      </w:r>
      <w:r w:rsidR="004674F3">
        <w:rPr>
          <w:rFonts w:asciiTheme="minorHAnsi" w:hAnsiTheme="minorHAnsi" w:cstheme="minorHAnsi"/>
        </w:rPr>
        <w:t>P</w:t>
      </w:r>
      <w:r w:rsidR="00D65C1B">
        <w:rPr>
          <w:rFonts w:asciiTheme="minorHAnsi" w:hAnsiTheme="minorHAnsi" w:cstheme="minorHAnsi"/>
        </w:rPr>
        <w:t xml:space="preserve"> </w:t>
      </w:r>
      <w:r>
        <w:rPr>
          <w:rFonts w:asciiTheme="minorHAnsi" w:hAnsiTheme="minorHAnsi" w:cstheme="minorHAnsi"/>
        </w:rPr>
        <w:t>512</w:t>
      </w:r>
      <w:r w:rsidRPr="009B53AC">
        <w:rPr>
          <w:rFonts w:asciiTheme="minorHAnsi" w:hAnsiTheme="minorHAnsi" w:cstheme="minorHAnsi"/>
        </w:rPr>
        <w:t xml:space="preserve"> </w:t>
      </w:r>
      <w:r>
        <w:rPr>
          <w:rFonts w:asciiTheme="minorHAnsi" w:hAnsiTheme="minorHAnsi" w:cstheme="minorHAnsi"/>
        </w:rPr>
        <w:t>in their recent Impact Analysis for Reforms to Merger Control in 2023.</w:t>
      </w:r>
      <w:r>
        <w:rPr>
          <w:rStyle w:val="FootnoteReference"/>
          <w:rFonts w:asciiTheme="minorHAnsi" w:hAnsiTheme="minorHAnsi" w:cstheme="minorHAnsi"/>
        </w:rPr>
        <w:footnoteReference w:id="124"/>
      </w:r>
    </w:p>
    <w:p w14:paraId="622A71CB" w14:textId="5201F270" w:rsidR="00947E3E" w:rsidRPr="00E2357E" w:rsidRDefault="00947E3E" w:rsidP="00947E3E">
      <w:pPr>
        <w:pStyle w:val="Bullet"/>
        <w:numPr>
          <w:ilvl w:val="0"/>
          <w:numId w:val="0"/>
        </w:numPr>
        <w:spacing w:line="240" w:lineRule="auto"/>
        <w:rPr>
          <w:rFonts w:asciiTheme="minorHAnsi" w:hAnsiTheme="minorHAnsi" w:cstheme="minorHAnsi"/>
        </w:rPr>
      </w:pPr>
      <w:r>
        <w:rPr>
          <w:rFonts w:asciiTheme="minorHAnsi" w:hAnsiTheme="minorHAnsi" w:cstheme="minorHAnsi"/>
        </w:rPr>
        <w:t xml:space="preserve">Treasury has used a </w:t>
      </w:r>
      <w:r w:rsidR="0005079A" w:rsidRPr="003B7C27">
        <w:rPr>
          <w:rFonts w:asciiTheme="minorHAnsi" w:hAnsiTheme="minorHAnsi" w:cstheme="minorHAnsi"/>
        </w:rPr>
        <w:t>A</w:t>
      </w:r>
      <w:r w:rsidRPr="003B7C27">
        <w:rPr>
          <w:rFonts w:asciiTheme="minorHAnsi" w:hAnsiTheme="minorHAnsi" w:cstheme="minorHAnsi"/>
        </w:rPr>
        <w:t>$</w:t>
      </w:r>
      <w:r w:rsidR="0095649E" w:rsidRPr="003B7C27">
        <w:rPr>
          <w:rFonts w:asciiTheme="minorHAnsi" w:hAnsiTheme="minorHAnsi" w:cstheme="minorHAnsi"/>
        </w:rPr>
        <w:t xml:space="preserve">600 </w:t>
      </w:r>
      <w:r w:rsidRPr="003B7C27">
        <w:rPr>
          <w:rFonts w:asciiTheme="minorHAnsi" w:hAnsiTheme="minorHAnsi" w:cstheme="minorHAnsi"/>
        </w:rPr>
        <w:t>hourly</w:t>
      </w:r>
      <w:r>
        <w:rPr>
          <w:rFonts w:asciiTheme="minorHAnsi" w:hAnsiTheme="minorHAnsi" w:cstheme="minorHAnsi"/>
        </w:rPr>
        <w:t xml:space="preserve"> rate for economic consultant costs, which is a </w:t>
      </w:r>
      <w:r w:rsidRPr="009B53AC">
        <w:rPr>
          <w:rFonts w:asciiTheme="minorHAnsi" w:hAnsiTheme="minorHAnsi" w:cstheme="minorHAnsi"/>
        </w:rPr>
        <w:t>Treasury estimate</w:t>
      </w:r>
      <w:r>
        <w:rPr>
          <w:rFonts w:asciiTheme="minorHAnsi" w:hAnsiTheme="minorHAnsi" w:cstheme="minorHAnsi"/>
        </w:rPr>
        <w:t xml:space="preserve"> </w:t>
      </w:r>
      <w:r w:rsidR="00AD0C66">
        <w:rPr>
          <w:rFonts w:asciiTheme="minorHAnsi" w:hAnsiTheme="minorHAnsi" w:cstheme="minorHAnsi"/>
        </w:rPr>
        <w:t xml:space="preserve">and is also </w:t>
      </w:r>
      <w:r w:rsidR="001E53AB">
        <w:rPr>
          <w:rFonts w:asciiTheme="minorHAnsi" w:hAnsiTheme="minorHAnsi" w:cstheme="minorHAnsi"/>
        </w:rPr>
        <w:t>broadly aligned</w:t>
      </w:r>
      <w:r w:rsidR="001E53AB" w:rsidRPr="009B53AC">
        <w:rPr>
          <w:rFonts w:asciiTheme="minorHAnsi" w:hAnsiTheme="minorHAnsi" w:cstheme="minorHAnsi"/>
        </w:rPr>
        <w:t xml:space="preserve"> </w:t>
      </w:r>
      <w:r w:rsidRPr="009B53AC">
        <w:rPr>
          <w:rFonts w:asciiTheme="minorHAnsi" w:hAnsiTheme="minorHAnsi" w:cstheme="minorHAnsi"/>
        </w:rPr>
        <w:t xml:space="preserve">with </w:t>
      </w:r>
      <w:r>
        <w:rPr>
          <w:rFonts w:asciiTheme="minorHAnsi" w:hAnsiTheme="minorHAnsi" w:cstheme="minorHAnsi"/>
        </w:rPr>
        <w:t>the</w:t>
      </w:r>
      <w:r w:rsidRPr="009B53AC">
        <w:rPr>
          <w:rFonts w:asciiTheme="minorHAnsi" w:hAnsiTheme="minorHAnsi" w:cstheme="minorHAnsi"/>
        </w:rPr>
        <w:t xml:space="preserve"> </w:t>
      </w:r>
      <w:r>
        <w:rPr>
          <w:rFonts w:asciiTheme="minorHAnsi" w:hAnsiTheme="minorHAnsi" w:cstheme="minorHAnsi"/>
        </w:rPr>
        <w:t>hourly</w:t>
      </w:r>
      <w:r w:rsidRPr="009B53AC">
        <w:rPr>
          <w:rFonts w:asciiTheme="minorHAnsi" w:hAnsiTheme="minorHAnsi" w:cstheme="minorHAnsi"/>
        </w:rPr>
        <w:t xml:space="preserve"> </w:t>
      </w:r>
      <w:r>
        <w:rPr>
          <w:rFonts w:asciiTheme="minorHAnsi" w:hAnsiTheme="minorHAnsi" w:cstheme="minorHAnsi"/>
        </w:rPr>
        <w:t>rate used by the CMA</w:t>
      </w:r>
      <w:r w:rsidRPr="009B53AC">
        <w:rPr>
          <w:rFonts w:asciiTheme="minorHAnsi" w:hAnsiTheme="minorHAnsi" w:cstheme="minorHAnsi"/>
        </w:rPr>
        <w:t xml:space="preserve"> of </w:t>
      </w:r>
      <w:r w:rsidR="004C1094">
        <w:rPr>
          <w:rFonts w:asciiTheme="minorHAnsi" w:hAnsiTheme="minorHAnsi" w:cstheme="minorHAnsi"/>
        </w:rPr>
        <w:t xml:space="preserve">GBP </w:t>
      </w:r>
      <w:r>
        <w:rPr>
          <w:rFonts w:asciiTheme="minorHAnsi" w:hAnsiTheme="minorHAnsi" w:cstheme="minorHAnsi"/>
        </w:rPr>
        <w:t>350</w:t>
      </w:r>
      <w:r w:rsidRPr="009B53AC">
        <w:rPr>
          <w:rFonts w:asciiTheme="minorHAnsi" w:hAnsiTheme="minorHAnsi" w:cstheme="minorHAnsi"/>
        </w:rPr>
        <w:t xml:space="preserve"> </w:t>
      </w:r>
      <w:r>
        <w:rPr>
          <w:rFonts w:asciiTheme="minorHAnsi" w:hAnsiTheme="minorHAnsi" w:cstheme="minorHAnsi"/>
        </w:rPr>
        <w:t xml:space="preserve">in </w:t>
      </w:r>
      <w:r w:rsidRPr="009B53AC">
        <w:rPr>
          <w:rFonts w:asciiTheme="minorHAnsi" w:hAnsiTheme="minorHAnsi" w:cstheme="minorHAnsi"/>
        </w:rPr>
        <w:t xml:space="preserve">their </w:t>
      </w:r>
      <w:r>
        <w:rPr>
          <w:rFonts w:asciiTheme="minorHAnsi" w:hAnsiTheme="minorHAnsi" w:cstheme="minorHAnsi"/>
        </w:rPr>
        <w:t>recent Impact Analysis for Reforms to Merger Control in 2023.</w:t>
      </w:r>
      <w:r>
        <w:rPr>
          <w:rStyle w:val="FootnoteReference"/>
          <w:rFonts w:asciiTheme="minorHAnsi" w:hAnsiTheme="minorHAnsi" w:cstheme="minorHAnsi"/>
        </w:rPr>
        <w:footnoteReference w:id="125"/>
      </w:r>
      <w:r>
        <w:rPr>
          <w:rFonts w:asciiTheme="minorHAnsi" w:hAnsiTheme="minorHAnsi" w:cstheme="minorHAnsi"/>
        </w:rPr>
        <w:t xml:space="preserve"> </w:t>
      </w:r>
    </w:p>
    <w:p w14:paraId="115C6ED6" w14:textId="1319B860" w:rsidR="00947E3E" w:rsidRPr="00E2357E" w:rsidRDefault="00947E3E" w:rsidP="00947E3E">
      <w:pPr>
        <w:pStyle w:val="Bullet"/>
        <w:numPr>
          <w:ilvl w:val="0"/>
          <w:numId w:val="0"/>
        </w:numPr>
        <w:spacing w:line="240" w:lineRule="auto"/>
        <w:rPr>
          <w:rFonts w:asciiTheme="minorHAnsi" w:hAnsiTheme="minorHAnsi" w:cstheme="minorHAnsi"/>
        </w:rPr>
      </w:pPr>
      <w:r w:rsidRPr="00E2357E">
        <w:rPr>
          <w:rFonts w:asciiTheme="minorHAnsi" w:hAnsiTheme="minorHAnsi" w:cstheme="minorHAnsi"/>
        </w:rPr>
        <w:t xml:space="preserve">The total number of </w:t>
      </w:r>
      <w:r w:rsidR="002C6DE5">
        <w:rPr>
          <w:rFonts w:asciiTheme="minorHAnsi" w:hAnsiTheme="minorHAnsi" w:cstheme="minorHAnsi"/>
        </w:rPr>
        <w:t>notifications</w:t>
      </w:r>
      <w:r w:rsidR="002C6DE5" w:rsidRPr="00E2357E">
        <w:rPr>
          <w:rFonts w:asciiTheme="minorHAnsi" w:hAnsiTheme="minorHAnsi" w:cstheme="minorHAnsi"/>
        </w:rPr>
        <w:t xml:space="preserve"> </w:t>
      </w:r>
      <w:r w:rsidRPr="00E2357E">
        <w:rPr>
          <w:rFonts w:asciiTheme="minorHAnsi" w:hAnsiTheme="minorHAnsi" w:cstheme="minorHAnsi"/>
        </w:rPr>
        <w:t xml:space="preserve">and number of merger parties is based on the anticipated overall volume of notifications to the ACCC being similar to current volumes (approximately 300 a year). </w:t>
      </w:r>
    </w:p>
    <w:p w14:paraId="2214C569" w14:textId="10D9DDB4" w:rsidR="00947E3E" w:rsidRDefault="00947E3E" w:rsidP="00947E3E">
      <w:pPr>
        <w:pStyle w:val="Bullet"/>
        <w:numPr>
          <w:ilvl w:val="0"/>
          <w:numId w:val="0"/>
        </w:numPr>
        <w:spacing w:line="240" w:lineRule="auto"/>
        <w:rPr>
          <w:rFonts w:asciiTheme="minorHAnsi" w:hAnsiTheme="minorHAnsi" w:cstheme="minorHAnsi"/>
          <w:u w:val="single"/>
        </w:rPr>
      </w:pPr>
      <w:r w:rsidRPr="00E2357E">
        <w:rPr>
          <w:rFonts w:asciiTheme="minorHAnsi" w:hAnsiTheme="minorHAnsi" w:cstheme="minorHAnsi"/>
        </w:rPr>
        <w:t xml:space="preserve">Treasury considers that each of </w:t>
      </w:r>
      <w:r w:rsidR="007E040D">
        <w:rPr>
          <w:rFonts w:asciiTheme="minorHAnsi" w:hAnsiTheme="minorHAnsi" w:cstheme="minorHAnsi"/>
        </w:rPr>
        <w:t>O</w:t>
      </w:r>
      <w:r w:rsidR="00B84942">
        <w:rPr>
          <w:rFonts w:asciiTheme="minorHAnsi" w:hAnsiTheme="minorHAnsi" w:cstheme="minorHAnsi"/>
        </w:rPr>
        <w:t>ptions 2, 3 and 4</w:t>
      </w:r>
      <w:r w:rsidRPr="00E2357E">
        <w:rPr>
          <w:rFonts w:asciiTheme="minorHAnsi" w:hAnsiTheme="minorHAnsi" w:cstheme="minorHAnsi"/>
        </w:rPr>
        <w:t xml:space="preserve"> will not impose additional</w:t>
      </w:r>
      <w:r w:rsidR="00323FB8" w:rsidRPr="00323FB8">
        <w:rPr>
          <w:rFonts w:asciiTheme="minorHAnsi" w:hAnsiTheme="minorHAnsi" w:cstheme="minorHAnsi"/>
        </w:rPr>
        <w:t xml:space="preserve"> </w:t>
      </w:r>
      <w:r w:rsidR="00323FB8" w:rsidRPr="00E2357E">
        <w:rPr>
          <w:rFonts w:asciiTheme="minorHAnsi" w:hAnsiTheme="minorHAnsi" w:cstheme="minorHAnsi"/>
        </w:rPr>
        <w:t>regulatory burden on individuals or c</w:t>
      </w:r>
      <w:r w:rsidR="00323FB8">
        <w:rPr>
          <w:rFonts w:asciiTheme="minorHAnsi" w:hAnsiTheme="minorHAnsi" w:cstheme="minorHAnsi"/>
        </w:rPr>
        <w:t>onsumer groups</w:t>
      </w:r>
      <w:r w:rsidR="00D35CB6">
        <w:rPr>
          <w:rFonts w:asciiTheme="minorHAnsi" w:hAnsiTheme="minorHAnsi" w:cstheme="minorHAnsi"/>
        </w:rPr>
        <w:t>,</w:t>
      </w:r>
      <w:r w:rsidR="00323FB8">
        <w:rPr>
          <w:rFonts w:asciiTheme="minorHAnsi" w:hAnsiTheme="minorHAnsi" w:cstheme="minorHAnsi"/>
        </w:rPr>
        <w:t xml:space="preserve"> when </w:t>
      </w:r>
      <w:r w:rsidR="00B84942">
        <w:rPr>
          <w:rFonts w:asciiTheme="minorHAnsi" w:hAnsiTheme="minorHAnsi" w:cstheme="minorHAnsi"/>
        </w:rPr>
        <w:t>compared to the status quo.</w:t>
      </w:r>
      <w:r>
        <w:rPr>
          <w:rFonts w:asciiTheme="minorHAnsi" w:hAnsiTheme="minorHAnsi" w:cstheme="minorHAnsi"/>
        </w:rPr>
        <w:t xml:space="preserve"> </w:t>
      </w:r>
    </w:p>
    <w:p w14:paraId="11E6136E" w14:textId="077A848D" w:rsidR="00947E3E" w:rsidRPr="00E2357E" w:rsidRDefault="00947E3E" w:rsidP="00947E3E">
      <w:pPr>
        <w:pStyle w:val="Bullet"/>
        <w:numPr>
          <w:ilvl w:val="0"/>
          <w:numId w:val="0"/>
        </w:numPr>
        <w:spacing w:line="240" w:lineRule="auto"/>
        <w:rPr>
          <w:rFonts w:asciiTheme="minorHAnsi" w:hAnsiTheme="minorHAnsi" w:cstheme="minorHAnsi"/>
        </w:rPr>
      </w:pPr>
      <w:r w:rsidRPr="00346A1C">
        <w:rPr>
          <w:rFonts w:asciiTheme="minorHAnsi" w:hAnsiTheme="minorHAnsi" w:cstheme="minorHAnsi"/>
        </w:rPr>
        <w:t xml:space="preserve">It is anticipated that </w:t>
      </w:r>
      <w:r w:rsidR="00884F08" w:rsidRPr="00346A1C">
        <w:rPr>
          <w:rFonts w:asciiTheme="minorHAnsi" w:hAnsiTheme="minorHAnsi" w:cstheme="minorHAnsi"/>
        </w:rPr>
        <w:t xml:space="preserve">5 </w:t>
      </w:r>
      <w:r w:rsidRPr="00346A1C">
        <w:rPr>
          <w:rFonts w:asciiTheme="minorHAnsi" w:hAnsiTheme="minorHAnsi" w:cstheme="minorHAnsi"/>
        </w:rPr>
        <w:t xml:space="preserve">per cent of all mergers would proceed to an in-depth Phase </w:t>
      </w:r>
      <w:r w:rsidR="00284FD0" w:rsidRPr="00346A1C">
        <w:rPr>
          <w:rFonts w:asciiTheme="minorHAnsi" w:hAnsiTheme="minorHAnsi" w:cstheme="minorHAnsi"/>
        </w:rPr>
        <w:t>2</w:t>
      </w:r>
      <w:r w:rsidRPr="00346A1C">
        <w:rPr>
          <w:rFonts w:asciiTheme="minorHAnsi" w:hAnsiTheme="minorHAnsi" w:cstheme="minorHAnsi"/>
        </w:rPr>
        <w:t xml:space="preserve"> review, consistent with the current experience, and </w:t>
      </w:r>
      <w:r w:rsidR="005172DD" w:rsidRPr="00346A1C">
        <w:rPr>
          <w:rFonts w:asciiTheme="minorHAnsi" w:hAnsiTheme="minorHAnsi" w:cstheme="minorHAnsi"/>
        </w:rPr>
        <w:t>2-</w:t>
      </w:r>
      <w:r w:rsidR="00576D46" w:rsidRPr="00346A1C">
        <w:rPr>
          <w:rFonts w:asciiTheme="minorHAnsi" w:hAnsiTheme="minorHAnsi" w:cstheme="minorHAnsi"/>
        </w:rPr>
        <w:t>4</w:t>
      </w:r>
      <w:r w:rsidR="00E44F61" w:rsidRPr="00346A1C">
        <w:rPr>
          <w:rFonts w:asciiTheme="minorHAnsi" w:hAnsiTheme="minorHAnsi" w:cstheme="minorHAnsi"/>
        </w:rPr>
        <w:t xml:space="preserve"> </w:t>
      </w:r>
      <w:r w:rsidR="007E040D" w:rsidRPr="00346A1C">
        <w:rPr>
          <w:rFonts w:asciiTheme="minorHAnsi" w:hAnsiTheme="minorHAnsi" w:cstheme="minorHAnsi"/>
        </w:rPr>
        <w:t xml:space="preserve">mergers </w:t>
      </w:r>
      <w:r w:rsidRPr="00346A1C">
        <w:rPr>
          <w:rFonts w:asciiTheme="minorHAnsi" w:hAnsiTheme="minorHAnsi" w:cstheme="minorHAnsi"/>
        </w:rPr>
        <w:t xml:space="preserve">per year </w:t>
      </w:r>
      <w:r w:rsidR="00AB7202" w:rsidRPr="00346A1C">
        <w:rPr>
          <w:rFonts w:asciiTheme="minorHAnsi" w:hAnsiTheme="minorHAnsi" w:cstheme="minorHAnsi"/>
        </w:rPr>
        <w:t xml:space="preserve">would </w:t>
      </w:r>
      <w:r w:rsidRPr="00346A1C">
        <w:rPr>
          <w:rFonts w:asciiTheme="minorHAnsi" w:hAnsiTheme="minorHAnsi" w:cstheme="minorHAnsi"/>
        </w:rPr>
        <w:t>raise public benefit considerations.</w:t>
      </w:r>
    </w:p>
    <w:p w14:paraId="428424F9" w14:textId="6727D472" w:rsidR="00947E3E" w:rsidRPr="00E2357E" w:rsidRDefault="00947E3E" w:rsidP="00947E3E">
      <w:pPr>
        <w:pStyle w:val="Bullet"/>
        <w:numPr>
          <w:ilvl w:val="0"/>
          <w:numId w:val="0"/>
        </w:numPr>
        <w:spacing w:line="240" w:lineRule="auto"/>
        <w:rPr>
          <w:rFonts w:asciiTheme="minorHAnsi" w:hAnsiTheme="minorHAnsi" w:cstheme="minorHAnsi"/>
        </w:rPr>
      </w:pPr>
      <w:r>
        <w:rPr>
          <w:rFonts w:asciiTheme="minorHAnsi" w:hAnsiTheme="minorHAnsi" w:cstheme="minorHAnsi"/>
        </w:rPr>
        <w:t>T</w:t>
      </w:r>
      <w:r w:rsidRPr="00145F2F">
        <w:rPr>
          <w:rFonts w:asciiTheme="minorHAnsi" w:hAnsiTheme="minorHAnsi" w:cstheme="minorHAnsi"/>
        </w:rPr>
        <w:t xml:space="preserve">here are around 1,000 to 1,500 mergers annually with larger firms tending to acquire smaller firms, based on preliminary results from </w:t>
      </w:r>
      <w:r>
        <w:rPr>
          <w:rFonts w:asciiTheme="minorHAnsi" w:hAnsiTheme="minorHAnsi" w:cstheme="minorHAnsi"/>
        </w:rPr>
        <w:t>T</w:t>
      </w:r>
      <w:r w:rsidRPr="00145F2F">
        <w:rPr>
          <w:rFonts w:asciiTheme="minorHAnsi" w:hAnsiTheme="minorHAnsi" w:cstheme="minorHAnsi"/>
        </w:rPr>
        <w:t xml:space="preserve">reasury’s </w:t>
      </w:r>
      <w:r w:rsidRPr="0036266A">
        <w:rPr>
          <w:rFonts w:asciiTheme="minorHAnsi" w:hAnsiTheme="minorHAnsi" w:cstheme="minorHAnsi"/>
          <w:i/>
        </w:rPr>
        <w:t>‘Tracking mergers in Australia using worker flows’</w:t>
      </w:r>
      <w:r>
        <w:rPr>
          <w:rFonts w:asciiTheme="minorHAnsi" w:hAnsiTheme="minorHAnsi" w:cstheme="minorHAnsi"/>
        </w:rPr>
        <w:t xml:space="preserve"> modelling.</w:t>
      </w:r>
      <w:r>
        <w:rPr>
          <w:rStyle w:val="FootnoteReference"/>
          <w:rFonts w:asciiTheme="minorHAnsi" w:hAnsiTheme="minorHAnsi" w:cstheme="minorHAnsi"/>
        </w:rPr>
        <w:footnoteReference w:id="126"/>
      </w:r>
      <w:r>
        <w:rPr>
          <w:rFonts w:asciiTheme="minorHAnsi" w:hAnsiTheme="minorHAnsi" w:cstheme="minorHAnsi"/>
        </w:rPr>
        <w:t xml:space="preserve"> The midpoint of 1</w:t>
      </w:r>
      <w:r w:rsidR="007E040D">
        <w:rPr>
          <w:rFonts w:asciiTheme="minorHAnsi" w:hAnsiTheme="minorHAnsi" w:cstheme="minorHAnsi"/>
        </w:rPr>
        <w:t>,</w:t>
      </w:r>
      <w:r>
        <w:rPr>
          <w:rFonts w:asciiTheme="minorHAnsi" w:hAnsiTheme="minorHAnsi" w:cstheme="minorHAnsi"/>
        </w:rPr>
        <w:t>250 has been used in Treasury’s assumptions.</w:t>
      </w:r>
    </w:p>
    <w:p w14:paraId="34639D68" w14:textId="3B9031BF" w:rsidR="00756E62" w:rsidRDefault="00756E62" w:rsidP="00203EEA">
      <w:pPr>
        <w:pStyle w:val="Heading3"/>
      </w:pPr>
      <w:bookmarkStart w:id="121" w:name="_Toc176972402"/>
      <w:r>
        <w:t>Costs in the status quo</w:t>
      </w:r>
      <w:bookmarkEnd w:id="121"/>
    </w:p>
    <w:p w14:paraId="594FC4C4" w14:textId="396EC41E" w:rsidR="006C3008" w:rsidRPr="00346A1C" w:rsidRDefault="005D4FDC" w:rsidP="005D4FDC">
      <w:pPr>
        <w:pStyle w:val="Bullet"/>
        <w:numPr>
          <w:ilvl w:val="0"/>
          <w:numId w:val="0"/>
        </w:numPr>
        <w:spacing w:line="240" w:lineRule="auto"/>
        <w:rPr>
          <w:rFonts w:asciiTheme="majorHAnsi" w:hAnsiTheme="majorHAnsi" w:cstheme="majorHAnsi"/>
        </w:rPr>
      </w:pPr>
      <w:r>
        <w:rPr>
          <w:rFonts w:asciiTheme="majorHAnsi" w:hAnsiTheme="majorHAnsi" w:cstheme="majorHAnsi"/>
        </w:rPr>
        <w:t xml:space="preserve">The total annual cost of </w:t>
      </w:r>
      <w:r w:rsidRPr="00346A1C">
        <w:rPr>
          <w:rFonts w:asciiTheme="majorHAnsi" w:hAnsiTheme="majorHAnsi" w:cstheme="majorHAnsi"/>
        </w:rPr>
        <w:t>informal review and merger authorisation under the status quo (assuming 300 informal review notifications and one merger authorisation application per year) is estimated to be $</w:t>
      </w:r>
      <w:r w:rsidR="00605BEA" w:rsidRPr="00346A1C">
        <w:rPr>
          <w:rFonts w:asciiTheme="majorHAnsi" w:hAnsiTheme="majorHAnsi" w:cstheme="majorHAnsi"/>
        </w:rPr>
        <w:t>160.2</w:t>
      </w:r>
      <w:r w:rsidRPr="00346A1C">
        <w:rPr>
          <w:rFonts w:asciiTheme="majorHAnsi" w:hAnsiTheme="majorHAnsi" w:cstheme="majorHAnsi"/>
        </w:rPr>
        <w:t xml:space="preserve"> million</w:t>
      </w:r>
      <w:r w:rsidR="00F30A99" w:rsidRPr="00346A1C">
        <w:rPr>
          <w:rFonts w:asciiTheme="majorHAnsi" w:hAnsiTheme="majorHAnsi" w:cstheme="majorHAnsi"/>
        </w:rPr>
        <w:t xml:space="preserve"> (refer to Table 1 below)</w:t>
      </w:r>
      <w:r w:rsidRPr="00346A1C">
        <w:rPr>
          <w:rFonts w:asciiTheme="majorHAnsi" w:hAnsiTheme="majorHAnsi" w:cstheme="majorHAnsi"/>
        </w:rPr>
        <w:t xml:space="preserve">. This </w:t>
      </w:r>
      <w:r w:rsidR="006C3008" w:rsidRPr="00346A1C">
        <w:rPr>
          <w:rFonts w:asciiTheme="majorHAnsi" w:hAnsiTheme="majorHAnsi" w:cstheme="majorHAnsi"/>
        </w:rPr>
        <w:t>estimate is based on:</w:t>
      </w:r>
    </w:p>
    <w:p w14:paraId="12933763" w14:textId="097F04A7" w:rsidR="006C3008" w:rsidRPr="00346A1C" w:rsidRDefault="006C3008" w:rsidP="003C46EC">
      <w:pPr>
        <w:pStyle w:val="Bullet"/>
        <w:spacing w:line="240" w:lineRule="auto"/>
        <w:rPr>
          <w:rFonts w:asciiTheme="minorHAnsi" w:hAnsiTheme="minorHAnsi" w:cstheme="minorHAnsi"/>
        </w:rPr>
      </w:pPr>
      <w:r w:rsidRPr="00346A1C">
        <w:rPr>
          <w:rFonts w:asciiTheme="minorHAnsi" w:hAnsiTheme="minorHAnsi" w:cstheme="minorHAnsi"/>
        </w:rPr>
        <w:t xml:space="preserve">Labour and legal costs to determine whether to voluntarily notify </w:t>
      </w:r>
      <w:r w:rsidR="007751F1" w:rsidRPr="00346A1C">
        <w:rPr>
          <w:rFonts w:asciiTheme="minorHAnsi" w:hAnsiTheme="minorHAnsi" w:cstheme="minorHAnsi"/>
        </w:rPr>
        <w:t xml:space="preserve">a merger </w:t>
      </w:r>
      <w:r w:rsidR="000261DC" w:rsidRPr="00346A1C">
        <w:rPr>
          <w:rFonts w:asciiTheme="minorHAnsi" w:hAnsiTheme="minorHAnsi" w:cstheme="minorHAnsi"/>
        </w:rPr>
        <w:t>to the ACCC</w:t>
      </w:r>
      <w:r w:rsidRPr="00346A1C">
        <w:rPr>
          <w:rFonts w:asciiTheme="minorHAnsi" w:hAnsiTheme="minorHAnsi" w:cstheme="minorHAnsi"/>
        </w:rPr>
        <w:t>.</w:t>
      </w:r>
      <w:r w:rsidR="00491D9A" w:rsidRPr="00346A1C">
        <w:rPr>
          <w:rFonts w:asciiTheme="minorHAnsi" w:hAnsiTheme="minorHAnsi" w:cstheme="minorHAnsi"/>
        </w:rPr>
        <w:t xml:space="preserve"> </w:t>
      </w:r>
      <w:r w:rsidRPr="00346A1C">
        <w:rPr>
          <w:rFonts w:asciiTheme="minorHAnsi" w:hAnsiTheme="minorHAnsi" w:cstheme="minorHAnsi"/>
        </w:rPr>
        <w:t>It is estimated that approximately 1,250 businesses will be impacted, which is the middle point of the 1,000 to 1,500 mergers preliminary Treasury modelling</w:t>
      </w:r>
      <w:r w:rsidRPr="00346A1C" w:rsidDel="00F02DD5">
        <w:rPr>
          <w:rFonts w:asciiTheme="minorHAnsi" w:hAnsiTheme="minorHAnsi" w:cstheme="minorHAnsi"/>
        </w:rPr>
        <w:t xml:space="preserve"> </w:t>
      </w:r>
      <w:r w:rsidRPr="00346A1C">
        <w:rPr>
          <w:rFonts w:asciiTheme="minorHAnsi" w:hAnsiTheme="minorHAnsi" w:cstheme="minorHAnsi"/>
        </w:rPr>
        <w:t xml:space="preserve">indicated occur annually. The total annual cost for business </w:t>
      </w:r>
      <w:r w:rsidR="00454B09" w:rsidRPr="00346A1C">
        <w:rPr>
          <w:rFonts w:asciiTheme="minorHAnsi" w:hAnsiTheme="minorHAnsi" w:cstheme="minorHAnsi"/>
        </w:rPr>
        <w:t xml:space="preserve">being </w:t>
      </w:r>
      <w:r w:rsidR="00BA52FA" w:rsidRPr="00346A1C">
        <w:rPr>
          <w:rFonts w:asciiTheme="minorHAnsi" w:hAnsiTheme="minorHAnsi" w:cstheme="minorHAnsi"/>
        </w:rPr>
        <w:t xml:space="preserve">approximately </w:t>
      </w:r>
      <w:r w:rsidRPr="00346A1C">
        <w:rPr>
          <w:rFonts w:asciiTheme="minorHAnsi" w:hAnsiTheme="minorHAnsi" w:cstheme="minorHAnsi"/>
        </w:rPr>
        <w:t>$</w:t>
      </w:r>
      <w:r w:rsidR="003D0718" w:rsidRPr="00346A1C">
        <w:rPr>
          <w:rFonts w:asciiTheme="minorHAnsi" w:hAnsiTheme="minorHAnsi" w:cstheme="minorHAnsi"/>
        </w:rPr>
        <w:t>36.9</w:t>
      </w:r>
      <w:r w:rsidRPr="00346A1C">
        <w:rPr>
          <w:rFonts w:asciiTheme="minorHAnsi" w:hAnsiTheme="minorHAnsi" w:cstheme="minorHAnsi"/>
        </w:rPr>
        <w:t xml:space="preserve"> million, with the estimated cost per business </w:t>
      </w:r>
      <w:r w:rsidR="004B02C7" w:rsidRPr="00346A1C">
        <w:rPr>
          <w:rFonts w:asciiTheme="minorHAnsi" w:hAnsiTheme="minorHAnsi" w:cstheme="minorHAnsi"/>
        </w:rPr>
        <w:t>being</w:t>
      </w:r>
      <w:r w:rsidRPr="00346A1C">
        <w:rPr>
          <w:rFonts w:asciiTheme="minorHAnsi" w:hAnsiTheme="minorHAnsi" w:cstheme="minorHAnsi"/>
        </w:rPr>
        <w:t xml:space="preserve"> $</w:t>
      </w:r>
      <w:r w:rsidR="00E814AC" w:rsidRPr="00346A1C">
        <w:rPr>
          <w:rFonts w:asciiTheme="minorHAnsi" w:hAnsiTheme="minorHAnsi" w:cstheme="minorHAnsi"/>
        </w:rPr>
        <w:t>29,500</w:t>
      </w:r>
      <w:r w:rsidR="005552BC" w:rsidRPr="00346A1C">
        <w:rPr>
          <w:rFonts w:asciiTheme="minorHAnsi" w:hAnsiTheme="minorHAnsi" w:cstheme="minorHAnsi"/>
        </w:rPr>
        <w:t xml:space="preserve"> (informal review) and $</w:t>
      </w:r>
      <w:r w:rsidR="00423B24" w:rsidRPr="00346A1C">
        <w:rPr>
          <w:rFonts w:asciiTheme="minorHAnsi" w:hAnsiTheme="minorHAnsi" w:cstheme="minorHAnsi"/>
        </w:rPr>
        <w:t>30,250 (merger authorisation)</w:t>
      </w:r>
      <w:r w:rsidRPr="00346A1C">
        <w:rPr>
          <w:rFonts w:asciiTheme="minorHAnsi" w:hAnsiTheme="minorHAnsi" w:cstheme="minorHAnsi"/>
        </w:rPr>
        <w:t xml:space="preserve">. </w:t>
      </w:r>
    </w:p>
    <w:p w14:paraId="58DF3223" w14:textId="47337222" w:rsidR="006C3008" w:rsidRPr="00346A1C" w:rsidRDefault="006C3008" w:rsidP="003C46EC">
      <w:pPr>
        <w:pStyle w:val="Bullet"/>
        <w:spacing w:line="240" w:lineRule="auto"/>
        <w:rPr>
          <w:rFonts w:asciiTheme="minorHAnsi" w:hAnsiTheme="minorHAnsi" w:cstheme="minorHAnsi"/>
        </w:rPr>
      </w:pPr>
      <w:r w:rsidRPr="00346A1C">
        <w:rPr>
          <w:rFonts w:asciiTheme="minorHAnsi" w:hAnsiTheme="minorHAnsi" w:cstheme="minorHAnsi"/>
        </w:rPr>
        <w:t xml:space="preserve">Labour and legal costs to prepare and make a notification. These costs include the cost to prepare a submission with all relevant information, any early engagement with the ACCC, and any legal or economic advice. These costs assume 285 ‘simple’ notifications will be made each year </w:t>
      </w:r>
      <w:r w:rsidR="009C2C32" w:rsidRPr="00346A1C">
        <w:rPr>
          <w:rFonts w:asciiTheme="minorHAnsi" w:hAnsiTheme="minorHAnsi" w:cstheme="minorHAnsi"/>
        </w:rPr>
        <w:t>that</w:t>
      </w:r>
      <w:r w:rsidRPr="00346A1C">
        <w:rPr>
          <w:rFonts w:asciiTheme="minorHAnsi" w:hAnsiTheme="minorHAnsi" w:cstheme="minorHAnsi"/>
        </w:rPr>
        <w:t xml:space="preserve"> are likely to be cleared at Phase </w:t>
      </w:r>
      <w:r w:rsidR="00284FD0" w:rsidRPr="00346A1C">
        <w:rPr>
          <w:rFonts w:asciiTheme="minorHAnsi" w:hAnsiTheme="minorHAnsi" w:cstheme="minorHAnsi"/>
        </w:rPr>
        <w:t>1</w:t>
      </w:r>
      <w:r w:rsidRPr="00346A1C">
        <w:rPr>
          <w:rFonts w:asciiTheme="minorHAnsi" w:hAnsiTheme="minorHAnsi" w:cstheme="minorHAnsi"/>
        </w:rPr>
        <w:t xml:space="preserve">. They assume 10 notifications of moderate complexity and 5 complex notifications per year. The total annual cost for business </w:t>
      </w:r>
      <w:r w:rsidR="00D77F5C" w:rsidRPr="00346A1C">
        <w:rPr>
          <w:rFonts w:asciiTheme="minorHAnsi" w:hAnsiTheme="minorHAnsi" w:cstheme="minorHAnsi"/>
        </w:rPr>
        <w:t xml:space="preserve">being </w:t>
      </w:r>
      <w:r w:rsidR="00B03ED0" w:rsidRPr="00346A1C">
        <w:rPr>
          <w:rFonts w:asciiTheme="minorHAnsi" w:hAnsiTheme="minorHAnsi" w:cstheme="minorHAnsi"/>
        </w:rPr>
        <w:t xml:space="preserve">approximately </w:t>
      </w:r>
      <w:r w:rsidRPr="00346A1C">
        <w:rPr>
          <w:rFonts w:asciiTheme="minorHAnsi" w:hAnsiTheme="minorHAnsi" w:cstheme="minorHAnsi"/>
        </w:rPr>
        <w:t>$</w:t>
      </w:r>
      <w:r w:rsidR="00C611B4" w:rsidRPr="00346A1C">
        <w:rPr>
          <w:rFonts w:asciiTheme="minorHAnsi" w:hAnsiTheme="minorHAnsi" w:cstheme="minorHAnsi"/>
        </w:rPr>
        <w:t>16.3</w:t>
      </w:r>
      <w:r w:rsidR="008020A0" w:rsidRPr="00346A1C">
        <w:rPr>
          <w:rFonts w:asciiTheme="minorHAnsi" w:hAnsiTheme="minorHAnsi" w:cstheme="minorHAnsi"/>
        </w:rPr>
        <w:t xml:space="preserve"> million</w:t>
      </w:r>
      <w:r w:rsidRPr="00346A1C">
        <w:rPr>
          <w:rFonts w:asciiTheme="minorHAnsi" w:hAnsiTheme="minorHAnsi" w:cstheme="minorHAnsi"/>
        </w:rPr>
        <w:t xml:space="preserve">, with the estimated cost per merger </w:t>
      </w:r>
      <w:r w:rsidR="007B1D7B" w:rsidRPr="00346A1C">
        <w:rPr>
          <w:rFonts w:asciiTheme="minorHAnsi" w:hAnsiTheme="minorHAnsi" w:cstheme="minorHAnsi"/>
        </w:rPr>
        <w:t xml:space="preserve">(informal review) </w:t>
      </w:r>
      <w:r w:rsidR="000E40A2" w:rsidRPr="00346A1C">
        <w:rPr>
          <w:rFonts w:asciiTheme="minorHAnsi" w:hAnsiTheme="minorHAnsi" w:cstheme="minorHAnsi"/>
        </w:rPr>
        <w:t xml:space="preserve">to be </w:t>
      </w:r>
      <w:r w:rsidRPr="00346A1C">
        <w:rPr>
          <w:rFonts w:asciiTheme="minorHAnsi" w:hAnsiTheme="minorHAnsi" w:cstheme="minorHAnsi"/>
        </w:rPr>
        <w:t>$</w:t>
      </w:r>
      <w:r w:rsidR="00676E9F" w:rsidRPr="00346A1C">
        <w:rPr>
          <w:rFonts w:asciiTheme="minorHAnsi" w:hAnsiTheme="minorHAnsi" w:cstheme="minorHAnsi"/>
        </w:rPr>
        <w:t>38,100</w:t>
      </w:r>
      <w:r w:rsidRPr="00346A1C">
        <w:rPr>
          <w:rFonts w:asciiTheme="minorHAnsi" w:hAnsiTheme="minorHAnsi" w:cstheme="minorHAnsi"/>
        </w:rPr>
        <w:t xml:space="preserve"> for simple notifications</w:t>
      </w:r>
      <w:r w:rsidR="00860DE3" w:rsidRPr="00346A1C">
        <w:rPr>
          <w:rFonts w:asciiTheme="minorHAnsi" w:hAnsiTheme="minorHAnsi" w:cstheme="minorHAnsi"/>
        </w:rPr>
        <w:t>,</w:t>
      </w:r>
      <w:r w:rsidRPr="00346A1C">
        <w:rPr>
          <w:rFonts w:asciiTheme="minorHAnsi" w:hAnsiTheme="minorHAnsi" w:cstheme="minorHAnsi"/>
        </w:rPr>
        <w:t xml:space="preserve"> $</w:t>
      </w:r>
      <w:r w:rsidR="00676E9F" w:rsidRPr="00346A1C">
        <w:rPr>
          <w:rFonts w:asciiTheme="minorHAnsi" w:hAnsiTheme="minorHAnsi" w:cstheme="minorHAnsi"/>
        </w:rPr>
        <w:t>166,000</w:t>
      </w:r>
      <w:r w:rsidRPr="00346A1C">
        <w:rPr>
          <w:rFonts w:asciiTheme="minorHAnsi" w:hAnsiTheme="minorHAnsi" w:cstheme="minorHAnsi"/>
        </w:rPr>
        <w:t xml:space="preserve"> for moderately complex notifications and $</w:t>
      </w:r>
      <w:r w:rsidR="00EC78BA" w:rsidRPr="00346A1C">
        <w:rPr>
          <w:rFonts w:asciiTheme="minorHAnsi" w:hAnsiTheme="minorHAnsi" w:cstheme="minorHAnsi"/>
        </w:rPr>
        <w:t>487,500</w:t>
      </w:r>
      <w:r w:rsidRPr="00346A1C">
        <w:rPr>
          <w:rFonts w:asciiTheme="minorHAnsi" w:hAnsiTheme="minorHAnsi" w:cstheme="minorHAnsi"/>
        </w:rPr>
        <w:t xml:space="preserve"> for complex notifications.</w:t>
      </w:r>
      <w:r w:rsidR="007B1D7B" w:rsidRPr="00346A1C">
        <w:rPr>
          <w:rFonts w:asciiTheme="minorHAnsi" w:hAnsiTheme="minorHAnsi" w:cstheme="minorHAnsi"/>
        </w:rPr>
        <w:t xml:space="preserve"> And </w:t>
      </w:r>
      <w:r w:rsidR="007879ED" w:rsidRPr="00346A1C">
        <w:rPr>
          <w:rFonts w:asciiTheme="minorHAnsi" w:hAnsiTheme="minorHAnsi" w:cstheme="minorHAnsi"/>
        </w:rPr>
        <w:t xml:space="preserve">the </w:t>
      </w:r>
      <w:r w:rsidR="007B1D7B" w:rsidRPr="00346A1C">
        <w:rPr>
          <w:rFonts w:asciiTheme="minorHAnsi" w:hAnsiTheme="minorHAnsi" w:cstheme="minorHAnsi"/>
        </w:rPr>
        <w:t>estimated cost per merger (</w:t>
      </w:r>
      <w:r w:rsidR="0089729B" w:rsidRPr="00346A1C">
        <w:rPr>
          <w:rFonts w:asciiTheme="minorHAnsi" w:hAnsiTheme="minorHAnsi" w:cstheme="minorHAnsi"/>
        </w:rPr>
        <w:t xml:space="preserve">merger authorisation) </w:t>
      </w:r>
      <w:r w:rsidR="000E40A2" w:rsidRPr="00346A1C">
        <w:rPr>
          <w:rFonts w:asciiTheme="minorHAnsi" w:hAnsiTheme="minorHAnsi" w:cstheme="minorHAnsi"/>
        </w:rPr>
        <w:t>to be</w:t>
      </w:r>
      <w:r w:rsidR="007879ED" w:rsidRPr="00346A1C">
        <w:rPr>
          <w:rFonts w:asciiTheme="minorHAnsi" w:hAnsiTheme="minorHAnsi" w:cstheme="minorHAnsi"/>
        </w:rPr>
        <w:t xml:space="preserve"> </w:t>
      </w:r>
      <w:r w:rsidR="00A961C3" w:rsidRPr="00346A1C">
        <w:rPr>
          <w:rFonts w:asciiTheme="minorHAnsi" w:hAnsiTheme="minorHAnsi" w:cstheme="minorHAnsi"/>
        </w:rPr>
        <w:t>$2</w:t>
      </w:r>
      <w:r w:rsidR="00BF3A43" w:rsidRPr="00346A1C">
        <w:rPr>
          <w:rFonts w:asciiTheme="minorHAnsi" w:hAnsiTheme="minorHAnsi" w:cstheme="minorHAnsi"/>
        </w:rPr>
        <w:t>86</w:t>
      </w:r>
      <w:r w:rsidR="00A961C3" w:rsidRPr="00346A1C">
        <w:rPr>
          <w:rFonts w:asciiTheme="minorHAnsi" w:hAnsiTheme="minorHAnsi" w:cstheme="minorHAnsi"/>
        </w:rPr>
        <w:t>,000</w:t>
      </w:r>
      <w:r w:rsidR="001E3C9D" w:rsidRPr="00346A1C">
        <w:rPr>
          <w:rFonts w:asciiTheme="minorHAnsi" w:hAnsiTheme="minorHAnsi" w:cstheme="minorHAnsi"/>
        </w:rPr>
        <w:t xml:space="preserve"> </w:t>
      </w:r>
      <w:r w:rsidR="00A961C3" w:rsidRPr="00346A1C">
        <w:rPr>
          <w:rFonts w:asciiTheme="minorHAnsi" w:hAnsiTheme="minorHAnsi" w:cstheme="minorHAnsi"/>
        </w:rPr>
        <w:t>for moderately complex notifications and $</w:t>
      </w:r>
      <w:r w:rsidR="001E3C9D" w:rsidRPr="00346A1C">
        <w:rPr>
          <w:rFonts w:asciiTheme="minorHAnsi" w:hAnsiTheme="minorHAnsi" w:cstheme="minorHAnsi"/>
        </w:rPr>
        <w:t xml:space="preserve">2.4 million for complex notifications. </w:t>
      </w:r>
    </w:p>
    <w:p w14:paraId="09FAB956" w14:textId="7FDCB195" w:rsidR="006C3008" w:rsidRPr="00346A1C" w:rsidRDefault="006C3008" w:rsidP="003C46EC">
      <w:pPr>
        <w:pStyle w:val="Bullet"/>
        <w:spacing w:line="240" w:lineRule="auto"/>
        <w:rPr>
          <w:rFonts w:asciiTheme="minorHAnsi" w:hAnsiTheme="minorHAnsi" w:cstheme="minorHAnsi"/>
        </w:rPr>
      </w:pPr>
      <w:r w:rsidRPr="00346A1C">
        <w:rPr>
          <w:rFonts w:asciiTheme="minorHAnsi" w:hAnsiTheme="minorHAnsi" w:cstheme="minorHAnsi"/>
        </w:rPr>
        <w:t xml:space="preserve">Labour and legal costs for a Phase </w:t>
      </w:r>
      <w:r w:rsidR="00134A09" w:rsidRPr="00346A1C">
        <w:rPr>
          <w:rFonts w:asciiTheme="minorHAnsi" w:hAnsiTheme="minorHAnsi" w:cstheme="minorHAnsi"/>
        </w:rPr>
        <w:t>1</w:t>
      </w:r>
      <w:r w:rsidRPr="00346A1C">
        <w:rPr>
          <w:rFonts w:asciiTheme="minorHAnsi" w:hAnsiTheme="minorHAnsi" w:cstheme="minorHAnsi"/>
        </w:rPr>
        <w:t xml:space="preserve"> merger review</w:t>
      </w:r>
      <w:r w:rsidR="00463D58" w:rsidRPr="00346A1C">
        <w:rPr>
          <w:rFonts w:asciiTheme="minorHAnsi" w:hAnsiTheme="minorHAnsi" w:cstheme="minorHAnsi"/>
        </w:rPr>
        <w:t xml:space="preserve">. </w:t>
      </w:r>
      <w:r w:rsidRPr="00346A1C">
        <w:rPr>
          <w:rFonts w:asciiTheme="minorHAnsi" w:hAnsiTheme="minorHAnsi" w:cstheme="minorHAnsi"/>
        </w:rPr>
        <w:t>These include costs to engage with the ACCC, respond to any information requests, respond to any ACCC feedback, and preparation and engagement on any simple remedies (if applicable</w:t>
      </w:r>
      <w:r w:rsidR="00463D58" w:rsidRPr="00346A1C">
        <w:rPr>
          <w:rFonts w:asciiTheme="minorHAnsi" w:hAnsiTheme="minorHAnsi" w:cstheme="minorHAnsi"/>
        </w:rPr>
        <w:t xml:space="preserve">). </w:t>
      </w:r>
      <w:r w:rsidRPr="00346A1C">
        <w:rPr>
          <w:rFonts w:asciiTheme="minorHAnsi" w:hAnsiTheme="minorHAnsi" w:cstheme="minorHAnsi"/>
        </w:rPr>
        <w:t xml:space="preserve">These costs assume 285 merger notifications will be completed at Phase </w:t>
      </w:r>
      <w:r w:rsidR="000A5D0F" w:rsidRPr="00346A1C">
        <w:rPr>
          <w:rFonts w:asciiTheme="minorHAnsi" w:hAnsiTheme="minorHAnsi" w:cstheme="minorHAnsi"/>
        </w:rPr>
        <w:t>1</w:t>
      </w:r>
      <w:r w:rsidRPr="00346A1C">
        <w:rPr>
          <w:rFonts w:asciiTheme="minorHAnsi" w:hAnsiTheme="minorHAnsi" w:cstheme="minorHAnsi"/>
        </w:rPr>
        <w:t xml:space="preserve"> per year, based on the above total number of expected merger notification of around 300. The total cost for business being $</w:t>
      </w:r>
      <w:r w:rsidR="001870B0" w:rsidRPr="00346A1C">
        <w:rPr>
          <w:rFonts w:asciiTheme="minorHAnsi" w:hAnsiTheme="minorHAnsi" w:cstheme="minorHAnsi"/>
        </w:rPr>
        <w:t>71</w:t>
      </w:r>
      <w:r w:rsidR="00F62C2C" w:rsidRPr="00346A1C">
        <w:rPr>
          <w:rFonts w:asciiTheme="minorHAnsi" w:hAnsiTheme="minorHAnsi" w:cstheme="minorHAnsi"/>
        </w:rPr>
        <w:t>.3</w:t>
      </w:r>
      <w:r w:rsidR="001870B0" w:rsidRPr="00346A1C">
        <w:rPr>
          <w:rFonts w:asciiTheme="minorHAnsi" w:hAnsiTheme="minorHAnsi" w:cstheme="minorHAnsi"/>
        </w:rPr>
        <w:t xml:space="preserve"> </w:t>
      </w:r>
      <w:r w:rsidRPr="00346A1C">
        <w:rPr>
          <w:rFonts w:asciiTheme="minorHAnsi" w:hAnsiTheme="minorHAnsi" w:cstheme="minorHAnsi"/>
        </w:rPr>
        <w:t>million, with the estimated cost per merger to be $</w:t>
      </w:r>
      <w:r w:rsidR="00C449D6" w:rsidRPr="00346A1C">
        <w:rPr>
          <w:rFonts w:asciiTheme="minorHAnsi" w:hAnsiTheme="minorHAnsi" w:cstheme="minorHAnsi"/>
        </w:rPr>
        <w:t>247,500</w:t>
      </w:r>
      <w:r w:rsidRPr="00346A1C">
        <w:rPr>
          <w:rFonts w:asciiTheme="minorHAnsi" w:hAnsiTheme="minorHAnsi" w:cstheme="minorHAnsi"/>
        </w:rPr>
        <w:t xml:space="preserve">. </w:t>
      </w:r>
    </w:p>
    <w:p w14:paraId="3399D62E" w14:textId="16A20106" w:rsidR="006C3008" w:rsidRPr="003C46EC" w:rsidRDefault="006C3008" w:rsidP="003C46EC">
      <w:pPr>
        <w:pStyle w:val="Bullet"/>
        <w:spacing w:line="240" w:lineRule="auto"/>
        <w:rPr>
          <w:rFonts w:asciiTheme="minorHAnsi" w:hAnsiTheme="minorHAnsi" w:cstheme="minorHAnsi"/>
        </w:rPr>
      </w:pPr>
      <w:r w:rsidRPr="00346A1C">
        <w:rPr>
          <w:rFonts w:asciiTheme="minorHAnsi" w:hAnsiTheme="minorHAnsi" w:cstheme="minorHAnsi"/>
        </w:rPr>
        <w:t xml:space="preserve">Labour, legal and economic costs as part of a Phase </w:t>
      </w:r>
      <w:r w:rsidR="0071764B" w:rsidRPr="00346A1C">
        <w:rPr>
          <w:rFonts w:asciiTheme="minorHAnsi" w:hAnsiTheme="minorHAnsi" w:cstheme="minorHAnsi"/>
        </w:rPr>
        <w:t>2</w:t>
      </w:r>
      <w:r w:rsidRPr="00346A1C">
        <w:rPr>
          <w:rFonts w:asciiTheme="minorHAnsi" w:hAnsiTheme="minorHAnsi" w:cstheme="minorHAnsi"/>
        </w:rPr>
        <w:t xml:space="preserve"> merger review</w:t>
      </w:r>
      <w:r w:rsidR="002E7E74" w:rsidRPr="00346A1C">
        <w:rPr>
          <w:rFonts w:asciiTheme="minorHAnsi" w:hAnsiTheme="minorHAnsi" w:cstheme="minorHAnsi"/>
        </w:rPr>
        <w:t xml:space="preserve">. </w:t>
      </w:r>
      <w:r w:rsidRPr="00346A1C">
        <w:rPr>
          <w:rFonts w:asciiTheme="minorHAnsi" w:hAnsiTheme="minorHAnsi" w:cstheme="minorHAnsi"/>
        </w:rPr>
        <w:t>These include costs to gather and submit additional information, any additional legal and economic advice, compliance with statutory information, data and document requests, preparation and attendance at compulsory examinations, and a response to a notice of competition concerns.</w:t>
      </w:r>
      <w:r w:rsidR="002E7E74" w:rsidRPr="00346A1C">
        <w:rPr>
          <w:rFonts w:asciiTheme="minorHAnsi" w:hAnsiTheme="minorHAnsi" w:cstheme="minorHAnsi"/>
        </w:rPr>
        <w:t xml:space="preserve"> </w:t>
      </w:r>
      <w:r w:rsidRPr="00346A1C">
        <w:rPr>
          <w:rFonts w:asciiTheme="minorHAnsi" w:hAnsiTheme="minorHAnsi" w:cstheme="minorHAnsi"/>
        </w:rPr>
        <w:t xml:space="preserve">These costs assume 15 </w:t>
      </w:r>
      <w:r w:rsidR="002E7E74" w:rsidRPr="00346A1C">
        <w:rPr>
          <w:rFonts w:asciiTheme="minorHAnsi" w:hAnsiTheme="minorHAnsi" w:cstheme="minorHAnsi"/>
        </w:rPr>
        <w:t xml:space="preserve">matters </w:t>
      </w:r>
      <w:r w:rsidRPr="00346A1C">
        <w:rPr>
          <w:rFonts w:asciiTheme="minorHAnsi" w:hAnsiTheme="minorHAnsi" w:cstheme="minorHAnsi"/>
        </w:rPr>
        <w:t>per year</w:t>
      </w:r>
      <w:r w:rsidR="00FD2934" w:rsidRPr="00346A1C">
        <w:rPr>
          <w:rFonts w:asciiTheme="minorHAnsi" w:hAnsiTheme="minorHAnsi" w:cstheme="minorHAnsi"/>
        </w:rPr>
        <w:t xml:space="preserve"> (informal review)</w:t>
      </w:r>
      <w:r w:rsidRPr="00346A1C">
        <w:rPr>
          <w:rFonts w:asciiTheme="minorHAnsi" w:hAnsiTheme="minorHAnsi" w:cstheme="minorHAnsi"/>
        </w:rPr>
        <w:t xml:space="preserve">, being 5 per cent of </w:t>
      </w:r>
      <w:r w:rsidR="002E7E74" w:rsidRPr="00346A1C">
        <w:rPr>
          <w:rFonts w:asciiTheme="minorHAnsi" w:hAnsiTheme="minorHAnsi" w:cstheme="minorHAnsi"/>
        </w:rPr>
        <w:t xml:space="preserve">all </w:t>
      </w:r>
      <w:r w:rsidRPr="00346A1C">
        <w:rPr>
          <w:rFonts w:asciiTheme="minorHAnsi" w:hAnsiTheme="minorHAnsi" w:cstheme="minorHAnsi"/>
        </w:rPr>
        <w:t>notifications</w:t>
      </w:r>
      <w:r w:rsidRPr="003C46EC">
        <w:rPr>
          <w:rFonts w:asciiTheme="minorHAnsi" w:hAnsiTheme="minorHAnsi" w:cstheme="minorHAnsi"/>
        </w:rPr>
        <w:t xml:space="preserve">. The total cost </w:t>
      </w:r>
      <w:r w:rsidRPr="00B64499">
        <w:rPr>
          <w:rFonts w:asciiTheme="minorHAnsi" w:hAnsiTheme="minorHAnsi" w:cstheme="minorHAnsi"/>
        </w:rPr>
        <w:t>for business being $</w:t>
      </w:r>
      <w:r w:rsidR="005A5E64" w:rsidRPr="00B64499">
        <w:rPr>
          <w:rFonts w:asciiTheme="minorHAnsi" w:hAnsiTheme="minorHAnsi" w:cstheme="minorHAnsi"/>
        </w:rPr>
        <w:t>16.7</w:t>
      </w:r>
      <w:r w:rsidRPr="00B64499">
        <w:rPr>
          <w:rFonts w:asciiTheme="minorHAnsi" w:hAnsiTheme="minorHAnsi" w:cstheme="minorHAnsi"/>
        </w:rPr>
        <w:t xml:space="preserve"> million, with the estimated cost per merger to be $</w:t>
      </w:r>
      <w:r w:rsidR="008F50F3" w:rsidRPr="00B64499">
        <w:rPr>
          <w:rFonts w:asciiTheme="minorHAnsi" w:hAnsiTheme="minorHAnsi" w:cstheme="minorHAnsi"/>
        </w:rPr>
        <w:t>987,000</w:t>
      </w:r>
      <w:r w:rsidR="00F216AF" w:rsidRPr="00B64499">
        <w:rPr>
          <w:rFonts w:asciiTheme="minorHAnsi" w:hAnsiTheme="minorHAnsi" w:cstheme="minorHAnsi"/>
        </w:rPr>
        <w:t xml:space="preserve"> (informal review) and </w:t>
      </w:r>
      <w:r w:rsidR="008208F6" w:rsidRPr="00B64499">
        <w:rPr>
          <w:rFonts w:asciiTheme="minorHAnsi" w:hAnsiTheme="minorHAnsi" w:cstheme="minorHAnsi"/>
        </w:rPr>
        <w:t>$1.</w:t>
      </w:r>
      <w:r w:rsidR="00CD535F" w:rsidRPr="00B64499">
        <w:rPr>
          <w:rFonts w:asciiTheme="minorHAnsi" w:hAnsiTheme="minorHAnsi" w:cstheme="minorHAnsi"/>
        </w:rPr>
        <w:t>9</w:t>
      </w:r>
      <w:r w:rsidR="008208F6" w:rsidRPr="00B64499">
        <w:rPr>
          <w:rFonts w:asciiTheme="minorHAnsi" w:hAnsiTheme="minorHAnsi" w:cstheme="minorHAnsi"/>
        </w:rPr>
        <w:t xml:space="preserve"> </w:t>
      </w:r>
      <w:r w:rsidR="00050F4C" w:rsidRPr="00B64499">
        <w:rPr>
          <w:rFonts w:asciiTheme="minorHAnsi" w:hAnsiTheme="minorHAnsi" w:cstheme="minorHAnsi"/>
        </w:rPr>
        <w:t>million (merger authorisation)</w:t>
      </w:r>
      <w:r w:rsidRPr="00B64499">
        <w:rPr>
          <w:rFonts w:asciiTheme="minorHAnsi" w:hAnsiTheme="minorHAnsi" w:cstheme="minorHAnsi"/>
        </w:rPr>
        <w:t>.</w:t>
      </w:r>
      <w:r w:rsidRPr="003C46EC">
        <w:rPr>
          <w:rFonts w:asciiTheme="minorHAnsi" w:hAnsiTheme="minorHAnsi" w:cstheme="minorHAnsi"/>
        </w:rPr>
        <w:t xml:space="preserve"> </w:t>
      </w:r>
    </w:p>
    <w:p w14:paraId="066AB79F" w14:textId="1E00D7DE" w:rsidR="006C3008" w:rsidRPr="003C46EC" w:rsidRDefault="006C3008" w:rsidP="003C46EC">
      <w:pPr>
        <w:pStyle w:val="Bullet"/>
        <w:spacing w:line="240" w:lineRule="auto"/>
        <w:rPr>
          <w:rFonts w:asciiTheme="minorHAnsi" w:hAnsiTheme="minorHAnsi" w:cstheme="minorHAnsi"/>
        </w:rPr>
      </w:pPr>
      <w:r w:rsidRPr="003C46EC">
        <w:rPr>
          <w:rFonts w:asciiTheme="minorHAnsi" w:hAnsiTheme="minorHAnsi" w:cstheme="minorHAnsi"/>
        </w:rPr>
        <w:t>Labour and legal costs associated with any remedies as part of a merger review</w:t>
      </w:r>
      <w:r w:rsidR="00253D82" w:rsidRPr="003C46EC">
        <w:rPr>
          <w:rFonts w:asciiTheme="minorHAnsi" w:hAnsiTheme="minorHAnsi" w:cstheme="minorHAnsi"/>
        </w:rPr>
        <w:t xml:space="preserve">. </w:t>
      </w:r>
      <w:r w:rsidRPr="003C46EC">
        <w:rPr>
          <w:rFonts w:asciiTheme="minorHAnsi" w:hAnsiTheme="minorHAnsi" w:cstheme="minorHAnsi"/>
        </w:rPr>
        <w:t xml:space="preserve">These costs include costs associated with developing, proposing and modifying proposed remedies to increase </w:t>
      </w:r>
      <w:r w:rsidR="008A5B57">
        <w:rPr>
          <w:rFonts w:asciiTheme="minorHAnsi" w:hAnsiTheme="minorHAnsi" w:cstheme="minorHAnsi"/>
        </w:rPr>
        <w:t xml:space="preserve">the </w:t>
      </w:r>
      <w:r w:rsidRPr="003C46EC">
        <w:rPr>
          <w:rFonts w:asciiTheme="minorHAnsi" w:hAnsiTheme="minorHAnsi" w:cstheme="minorHAnsi"/>
        </w:rPr>
        <w:t xml:space="preserve">likelihood of clearance during both phases of the review process and include any legal and economic advice </w:t>
      </w:r>
      <w:r w:rsidRPr="009000FA">
        <w:rPr>
          <w:rFonts w:asciiTheme="minorHAnsi" w:hAnsiTheme="minorHAnsi" w:cstheme="minorHAnsi"/>
        </w:rPr>
        <w:t xml:space="preserve">regarding the remedy, engagement with the ACCC and implementation costs for the remedy. These costs assume 5 </w:t>
      </w:r>
      <w:r w:rsidR="00253D82" w:rsidRPr="009000FA">
        <w:rPr>
          <w:rFonts w:asciiTheme="minorHAnsi" w:hAnsiTheme="minorHAnsi" w:cstheme="minorHAnsi"/>
        </w:rPr>
        <w:t>matters</w:t>
      </w:r>
      <w:r w:rsidRPr="009000FA">
        <w:rPr>
          <w:rFonts w:asciiTheme="minorHAnsi" w:hAnsiTheme="minorHAnsi" w:cstheme="minorHAnsi"/>
        </w:rPr>
        <w:t xml:space="preserve"> per year</w:t>
      </w:r>
      <w:r w:rsidR="0030068C" w:rsidRPr="009000FA">
        <w:rPr>
          <w:rFonts w:asciiTheme="minorHAnsi" w:hAnsiTheme="minorHAnsi" w:cstheme="minorHAnsi"/>
        </w:rPr>
        <w:t xml:space="preserve"> (informal review)</w:t>
      </w:r>
      <w:r w:rsidRPr="009000FA">
        <w:rPr>
          <w:rFonts w:asciiTheme="minorHAnsi" w:hAnsiTheme="minorHAnsi" w:cstheme="minorHAnsi"/>
        </w:rPr>
        <w:t>, based on there being 27 mergers subject to an enforceable undertaking to remedy competition concerns since the 2015–16 financial year. The total cost for business being $</w:t>
      </w:r>
      <w:r w:rsidR="00AF50EF" w:rsidRPr="009000FA">
        <w:rPr>
          <w:rFonts w:asciiTheme="minorHAnsi" w:hAnsiTheme="minorHAnsi" w:cstheme="minorHAnsi"/>
        </w:rPr>
        <w:t>1.</w:t>
      </w:r>
      <w:r w:rsidR="00DA6342" w:rsidRPr="009000FA">
        <w:rPr>
          <w:rFonts w:asciiTheme="minorHAnsi" w:hAnsiTheme="minorHAnsi" w:cstheme="minorHAnsi"/>
        </w:rPr>
        <w:t>2 million</w:t>
      </w:r>
      <w:r w:rsidRPr="009000FA">
        <w:rPr>
          <w:rFonts w:asciiTheme="minorHAnsi" w:hAnsiTheme="minorHAnsi" w:cstheme="minorHAnsi"/>
        </w:rPr>
        <w:t>, with the estimated cost per merger to be $</w:t>
      </w:r>
      <w:r w:rsidR="003859F0" w:rsidRPr="009000FA">
        <w:rPr>
          <w:rFonts w:asciiTheme="minorHAnsi" w:hAnsiTheme="minorHAnsi" w:cstheme="minorHAnsi"/>
        </w:rPr>
        <w:t>167,500</w:t>
      </w:r>
      <w:r w:rsidR="00DF6424" w:rsidRPr="009000FA">
        <w:rPr>
          <w:rFonts w:asciiTheme="minorHAnsi" w:hAnsiTheme="minorHAnsi" w:cstheme="minorHAnsi"/>
        </w:rPr>
        <w:t xml:space="preserve"> (informal review) and </w:t>
      </w:r>
      <w:r w:rsidR="00EA4838" w:rsidRPr="009000FA">
        <w:rPr>
          <w:rFonts w:asciiTheme="minorHAnsi" w:hAnsiTheme="minorHAnsi" w:cstheme="minorHAnsi"/>
        </w:rPr>
        <w:t>$407,500 (merger authorisation)</w:t>
      </w:r>
      <w:r w:rsidRPr="009000FA">
        <w:rPr>
          <w:rFonts w:asciiTheme="minorHAnsi" w:hAnsiTheme="minorHAnsi" w:cstheme="minorHAnsi"/>
        </w:rPr>
        <w:t>.</w:t>
      </w:r>
    </w:p>
    <w:p w14:paraId="3480F4AB" w14:textId="3F3DA58F" w:rsidR="00AB3FC1" w:rsidRPr="00CA170C" w:rsidRDefault="006C3008" w:rsidP="00AB3FC1">
      <w:pPr>
        <w:pStyle w:val="Bullet"/>
        <w:spacing w:line="240" w:lineRule="auto"/>
        <w:rPr>
          <w:rFonts w:asciiTheme="minorHAnsi" w:hAnsiTheme="minorHAnsi" w:cstheme="minorHAnsi"/>
        </w:rPr>
      </w:pPr>
      <w:r w:rsidRPr="0077430E">
        <w:rPr>
          <w:rFonts w:asciiTheme="minorHAnsi" w:hAnsiTheme="minorHAnsi" w:cstheme="minorHAnsi"/>
        </w:rPr>
        <w:t xml:space="preserve">Labour, legal and economic costs </w:t>
      </w:r>
      <w:r w:rsidR="00E6715A" w:rsidRPr="0077430E">
        <w:rPr>
          <w:rFonts w:asciiTheme="minorHAnsi" w:hAnsiTheme="minorHAnsi" w:cstheme="minorHAnsi"/>
        </w:rPr>
        <w:t xml:space="preserve">for </w:t>
      </w:r>
      <w:r w:rsidR="00E6715A" w:rsidRPr="00CA170C">
        <w:rPr>
          <w:rFonts w:asciiTheme="minorHAnsi" w:hAnsiTheme="minorHAnsi" w:cstheme="minorHAnsi"/>
        </w:rPr>
        <w:t xml:space="preserve">Federal Court </w:t>
      </w:r>
      <w:r w:rsidR="0077430E" w:rsidRPr="00CA170C">
        <w:rPr>
          <w:rFonts w:asciiTheme="minorHAnsi" w:hAnsiTheme="minorHAnsi" w:cstheme="minorHAnsi"/>
        </w:rPr>
        <w:t xml:space="preserve">proceedings. </w:t>
      </w:r>
      <w:r w:rsidRPr="00CA170C">
        <w:rPr>
          <w:rFonts w:asciiTheme="minorHAnsi" w:hAnsiTheme="minorHAnsi" w:cstheme="minorHAnsi"/>
        </w:rPr>
        <w:t xml:space="preserve">This includes costs for </w:t>
      </w:r>
      <w:r w:rsidR="000F4C3E" w:rsidRPr="00CA170C">
        <w:rPr>
          <w:rFonts w:asciiTheme="minorHAnsi" w:hAnsiTheme="minorHAnsi" w:cstheme="minorHAnsi"/>
        </w:rPr>
        <w:t xml:space="preserve">the </w:t>
      </w:r>
      <w:r w:rsidRPr="00CA170C">
        <w:rPr>
          <w:rFonts w:asciiTheme="minorHAnsi" w:hAnsiTheme="minorHAnsi" w:cstheme="minorHAnsi"/>
        </w:rPr>
        <w:t xml:space="preserve">preparation of an application, preparation for proceedings, filing submissions and </w:t>
      </w:r>
      <w:r w:rsidR="0077430E" w:rsidRPr="00CA170C">
        <w:rPr>
          <w:rFonts w:asciiTheme="minorHAnsi" w:hAnsiTheme="minorHAnsi" w:cstheme="minorHAnsi"/>
        </w:rPr>
        <w:t>evidence</w:t>
      </w:r>
      <w:r w:rsidRPr="00CA170C">
        <w:rPr>
          <w:rFonts w:asciiTheme="minorHAnsi" w:hAnsiTheme="minorHAnsi" w:cstheme="minorHAnsi"/>
        </w:rPr>
        <w:t>, and attendance at proceedings.</w:t>
      </w:r>
      <w:r w:rsidR="0077430E" w:rsidRPr="00CA170C">
        <w:rPr>
          <w:rFonts w:asciiTheme="minorHAnsi" w:hAnsiTheme="minorHAnsi" w:cstheme="minorHAnsi"/>
        </w:rPr>
        <w:t xml:space="preserve"> </w:t>
      </w:r>
      <w:r w:rsidR="00EE5ABB" w:rsidRPr="00CA170C">
        <w:rPr>
          <w:rFonts w:asciiTheme="minorHAnsi" w:hAnsiTheme="minorHAnsi" w:cstheme="minorHAnsi"/>
        </w:rPr>
        <w:t>This assumes 1</w:t>
      </w:r>
      <w:r w:rsidR="00E64110" w:rsidRPr="00CA170C">
        <w:rPr>
          <w:rFonts w:asciiTheme="minorHAnsi" w:hAnsiTheme="minorHAnsi" w:cstheme="minorHAnsi"/>
        </w:rPr>
        <w:t>.5</w:t>
      </w:r>
      <w:r w:rsidR="00EE5ABB" w:rsidRPr="00CA170C">
        <w:rPr>
          <w:rFonts w:asciiTheme="minorHAnsi" w:hAnsiTheme="minorHAnsi" w:cstheme="minorHAnsi"/>
        </w:rPr>
        <w:t xml:space="preserve"> matter</w:t>
      </w:r>
      <w:r w:rsidR="00E64110" w:rsidRPr="00CA170C">
        <w:rPr>
          <w:rFonts w:asciiTheme="minorHAnsi" w:hAnsiTheme="minorHAnsi" w:cstheme="minorHAnsi"/>
        </w:rPr>
        <w:t>s</w:t>
      </w:r>
      <w:r w:rsidR="00EE5ABB" w:rsidRPr="00CA170C">
        <w:rPr>
          <w:rFonts w:asciiTheme="minorHAnsi" w:hAnsiTheme="minorHAnsi" w:cstheme="minorHAnsi"/>
        </w:rPr>
        <w:t xml:space="preserve"> per year </w:t>
      </w:r>
      <w:r w:rsidR="00A766ED" w:rsidRPr="00CA170C">
        <w:rPr>
          <w:rFonts w:asciiTheme="minorHAnsi" w:hAnsiTheme="minorHAnsi" w:cstheme="minorHAnsi"/>
        </w:rPr>
        <w:t>(informal review</w:t>
      </w:r>
      <w:r w:rsidR="00F702BC" w:rsidRPr="00CA170C">
        <w:rPr>
          <w:rFonts w:asciiTheme="minorHAnsi" w:hAnsiTheme="minorHAnsi" w:cstheme="minorHAnsi"/>
        </w:rPr>
        <w:t xml:space="preserve"> plus merger authorisation</w:t>
      </w:r>
      <w:r w:rsidR="00A766ED" w:rsidRPr="00CA170C">
        <w:rPr>
          <w:rFonts w:asciiTheme="minorHAnsi" w:hAnsiTheme="minorHAnsi" w:cstheme="minorHAnsi"/>
        </w:rPr>
        <w:t xml:space="preserve">) </w:t>
      </w:r>
      <w:r w:rsidR="00EE5ABB" w:rsidRPr="00CA170C">
        <w:rPr>
          <w:rFonts w:asciiTheme="minorHAnsi" w:hAnsiTheme="minorHAnsi" w:cstheme="minorHAnsi"/>
        </w:rPr>
        <w:t xml:space="preserve">may be subject to Federal Court proceedings, </w:t>
      </w:r>
      <w:r w:rsidR="003C46EC" w:rsidRPr="00CA170C">
        <w:rPr>
          <w:rFonts w:asciiTheme="minorHAnsi" w:hAnsiTheme="minorHAnsi" w:cstheme="minorHAnsi"/>
        </w:rPr>
        <w:t>which will cost merger parties $</w:t>
      </w:r>
      <w:r w:rsidR="00E64110" w:rsidRPr="00CA170C">
        <w:rPr>
          <w:rFonts w:asciiTheme="minorHAnsi" w:hAnsiTheme="minorHAnsi" w:cstheme="minorHAnsi"/>
        </w:rPr>
        <w:t xml:space="preserve">14 </w:t>
      </w:r>
      <w:r w:rsidR="003C46EC" w:rsidRPr="00CA170C">
        <w:rPr>
          <w:rFonts w:asciiTheme="minorHAnsi" w:hAnsiTheme="minorHAnsi" w:cstheme="minorHAnsi"/>
        </w:rPr>
        <w:t>million.</w:t>
      </w:r>
    </w:p>
    <w:p w14:paraId="3908F91D" w14:textId="0EA0B7A3" w:rsidR="00150823" w:rsidRPr="00D35618" w:rsidRDefault="00E56E65" w:rsidP="00D35618">
      <w:pPr>
        <w:rPr>
          <w:b/>
          <w:color w:val="2C384A" w:themeColor="accent1"/>
        </w:rPr>
      </w:pPr>
      <w:r w:rsidRPr="00D35618">
        <w:rPr>
          <w:b/>
          <w:color w:val="2C384A" w:themeColor="accent1"/>
        </w:rPr>
        <w:t>Table 1. Estimated total cost to business</w:t>
      </w:r>
      <w:r>
        <w:rPr>
          <w:b/>
          <w:color w:val="2C384A" w:themeColor="accent1"/>
        </w:rPr>
        <w:t>es</w:t>
      </w:r>
      <w:r w:rsidRPr="00D35618">
        <w:rPr>
          <w:b/>
          <w:color w:val="2C384A" w:themeColor="accent1"/>
        </w:rPr>
        <w:t xml:space="preserve"> under the status quo</w:t>
      </w:r>
      <w:r w:rsidR="00150823" w:rsidRPr="00D35618">
        <w:rPr>
          <w:b/>
          <w:color w:val="2C384A" w:themeColor="accent1"/>
        </w:rPr>
        <w:t xml:space="preserve"> </w:t>
      </w:r>
    </w:p>
    <w:tbl>
      <w:tblPr>
        <w:tblStyle w:val="TableGrid"/>
        <w:tblW w:w="2277" w:type="pct"/>
        <w:tblBorders>
          <w:bottom w:val="single" w:sz="18" w:space="0" w:color="auto"/>
          <w:insideH w:val="single" w:sz="4" w:space="0" w:color="auto"/>
        </w:tblBorders>
        <w:tblLayout w:type="fixed"/>
        <w:tblLook w:val="04A0" w:firstRow="1" w:lastRow="0" w:firstColumn="1" w:lastColumn="0" w:noHBand="0" w:noVBand="1"/>
      </w:tblPr>
      <w:tblGrid>
        <w:gridCol w:w="2197"/>
        <w:gridCol w:w="213"/>
        <w:gridCol w:w="1700"/>
      </w:tblGrid>
      <w:tr w:rsidR="00A70687" w:rsidRPr="007D6633" w14:paraId="52484074" w14:textId="77777777" w:rsidTr="00157DD0">
        <w:trPr>
          <w:cnfStyle w:val="100000000000" w:firstRow="1" w:lastRow="0" w:firstColumn="0" w:lastColumn="0" w:oddVBand="0" w:evenVBand="0" w:oddHBand="0" w:evenHBand="0" w:firstRowFirstColumn="0" w:firstRowLastColumn="0" w:lastRowFirstColumn="0" w:lastRowLastColumn="0"/>
        </w:trPr>
        <w:tc>
          <w:tcPr>
            <w:tcW w:w="2673" w:type="pct"/>
            <w:shd w:val="clear" w:color="auto" w:fill="2C384A" w:themeFill="accent1"/>
          </w:tcPr>
          <w:p w14:paraId="1392ADA9" w14:textId="371B4F38" w:rsidR="00A70687" w:rsidRDefault="00EA1D39">
            <w:pPr>
              <w:pStyle w:val="Bullet"/>
              <w:keepNext/>
              <w:numPr>
                <w:ilvl w:val="0"/>
                <w:numId w:val="0"/>
              </w:numPr>
              <w:spacing w:line="240" w:lineRule="auto"/>
              <w:rPr>
                <w:color w:val="FFFFFF" w:themeColor="background1"/>
                <w:szCs w:val="22"/>
              </w:rPr>
            </w:pPr>
            <w:r>
              <w:rPr>
                <w:color w:val="FFFFFF" w:themeColor="background1"/>
                <w:szCs w:val="22"/>
              </w:rPr>
              <w:t>Description of activity</w:t>
            </w:r>
          </w:p>
        </w:tc>
        <w:tc>
          <w:tcPr>
            <w:tcW w:w="2327" w:type="pct"/>
            <w:gridSpan w:val="2"/>
            <w:shd w:val="clear" w:color="auto" w:fill="2C384A" w:themeFill="accent1"/>
          </w:tcPr>
          <w:p w14:paraId="4967106B" w14:textId="5A472AEE" w:rsidR="00A70687" w:rsidRPr="00744366" w:rsidRDefault="00EA1D39">
            <w:pPr>
              <w:pStyle w:val="Bullet"/>
              <w:keepNext/>
              <w:numPr>
                <w:ilvl w:val="0"/>
                <w:numId w:val="0"/>
              </w:numPr>
              <w:spacing w:line="240" w:lineRule="auto"/>
              <w:rPr>
                <w:color w:val="FFFFFF" w:themeColor="background1"/>
                <w:sz w:val="22"/>
                <w:szCs w:val="22"/>
              </w:rPr>
            </w:pPr>
            <w:r>
              <w:rPr>
                <w:color w:val="FFFFFF" w:themeColor="background1"/>
                <w:sz w:val="22"/>
                <w:szCs w:val="22"/>
              </w:rPr>
              <w:t>Estimated total costs per year</w:t>
            </w:r>
          </w:p>
        </w:tc>
      </w:tr>
      <w:tr w:rsidR="00157DD0" w:rsidRPr="006E68CB" w14:paraId="647F9856" w14:textId="77777777" w:rsidTr="00157DD0">
        <w:tc>
          <w:tcPr>
            <w:tcW w:w="2932" w:type="pct"/>
            <w:gridSpan w:val="2"/>
          </w:tcPr>
          <w:p w14:paraId="38DD91A2" w14:textId="68908439" w:rsidR="00D94F9D" w:rsidRPr="006E68CB" w:rsidRDefault="00EA1D39" w:rsidP="00A31C3C">
            <w:pPr>
              <w:pStyle w:val="Bullet"/>
              <w:numPr>
                <w:ilvl w:val="0"/>
                <w:numId w:val="0"/>
              </w:numPr>
              <w:spacing w:line="240" w:lineRule="auto"/>
              <w:ind w:left="520" w:hanging="520"/>
              <w:rPr>
                <w:rFonts w:asciiTheme="minorHAnsi" w:hAnsiTheme="minorHAnsi" w:cstheme="minorHAnsi"/>
                <w:sz w:val="20"/>
              </w:rPr>
            </w:pPr>
            <w:r w:rsidRPr="006E68CB">
              <w:rPr>
                <w:rFonts w:asciiTheme="minorHAnsi" w:hAnsiTheme="minorHAnsi" w:cstheme="minorHAnsi"/>
                <w:sz w:val="20"/>
              </w:rPr>
              <w:t>Decision to notify</w:t>
            </w:r>
          </w:p>
        </w:tc>
        <w:tc>
          <w:tcPr>
            <w:tcW w:w="2068" w:type="pct"/>
          </w:tcPr>
          <w:p w14:paraId="6505BE59" w14:textId="11A29EB3" w:rsidR="00D94F9D" w:rsidRPr="006E68CB" w:rsidRDefault="009A24FE" w:rsidP="00A70687">
            <w:pPr>
              <w:pStyle w:val="Bullet"/>
              <w:numPr>
                <w:ilvl w:val="0"/>
                <w:numId w:val="0"/>
              </w:numPr>
              <w:spacing w:line="240" w:lineRule="auto"/>
              <w:ind w:left="520" w:hanging="520"/>
              <w:jc w:val="right"/>
              <w:rPr>
                <w:rFonts w:asciiTheme="minorHAnsi" w:hAnsiTheme="minorHAnsi" w:cstheme="minorHAnsi"/>
                <w:sz w:val="20"/>
              </w:rPr>
            </w:pPr>
            <w:r w:rsidRPr="006E68CB">
              <w:rPr>
                <w:rFonts w:asciiTheme="minorHAnsi" w:hAnsiTheme="minorHAnsi" w:cstheme="minorHAnsi"/>
                <w:sz w:val="20"/>
              </w:rPr>
              <w:t>$</w:t>
            </w:r>
            <w:r w:rsidRPr="006E68CB">
              <w:rPr>
                <w:rFonts w:asciiTheme="minorHAnsi" w:hAnsiTheme="minorHAnsi" w:cstheme="minorHAnsi"/>
                <w:color w:val="000000"/>
                <w:sz w:val="20"/>
              </w:rPr>
              <w:t>36,905,250</w:t>
            </w:r>
          </w:p>
        </w:tc>
      </w:tr>
      <w:tr w:rsidR="00D94F9D" w:rsidRPr="009A24FE" w14:paraId="205C30A0" w14:textId="77777777" w:rsidTr="00157DD0">
        <w:tc>
          <w:tcPr>
            <w:tcW w:w="2932" w:type="pct"/>
            <w:gridSpan w:val="2"/>
          </w:tcPr>
          <w:p w14:paraId="02A1AA88" w14:textId="6E0E0BA7" w:rsidR="00D94F9D" w:rsidRPr="009A24FE" w:rsidRDefault="00EA1D39" w:rsidP="00A31C3C">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Prepare an application</w:t>
            </w:r>
          </w:p>
        </w:tc>
        <w:tc>
          <w:tcPr>
            <w:tcW w:w="2068" w:type="pct"/>
          </w:tcPr>
          <w:p w14:paraId="0F17D53D" w14:textId="2227AE4B" w:rsidR="00D94F9D" w:rsidRPr="009A24FE" w:rsidRDefault="009A24FE" w:rsidP="00A70687">
            <w:pPr>
              <w:pStyle w:val="Bullet"/>
              <w:numPr>
                <w:ilvl w:val="0"/>
                <w:numId w:val="0"/>
              </w:numPr>
              <w:spacing w:line="240" w:lineRule="auto"/>
              <w:ind w:left="520" w:hanging="520"/>
              <w:jc w:val="right"/>
              <w:rPr>
                <w:rFonts w:asciiTheme="minorHAnsi" w:hAnsiTheme="minorHAnsi" w:cstheme="minorHAnsi"/>
                <w:sz w:val="20"/>
              </w:rPr>
            </w:pPr>
            <w:r w:rsidRPr="009A24FE">
              <w:rPr>
                <w:rFonts w:asciiTheme="minorHAnsi" w:hAnsiTheme="minorHAnsi" w:cstheme="minorHAnsi"/>
                <w:color w:val="000000"/>
                <w:sz w:val="20"/>
              </w:rPr>
              <w:t>$16,302,750</w:t>
            </w:r>
          </w:p>
        </w:tc>
      </w:tr>
      <w:tr w:rsidR="005C7738" w:rsidRPr="009A24FE" w14:paraId="75B4AF0D" w14:textId="77777777" w:rsidTr="00157DD0">
        <w:tc>
          <w:tcPr>
            <w:tcW w:w="2932" w:type="pct"/>
            <w:gridSpan w:val="2"/>
          </w:tcPr>
          <w:p w14:paraId="0257E250" w14:textId="526244E5" w:rsidR="005C7738" w:rsidRPr="009A24FE" w:rsidRDefault="00EA1D39" w:rsidP="00A31C3C">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Phase 1</w:t>
            </w:r>
          </w:p>
        </w:tc>
        <w:tc>
          <w:tcPr>
            <w:tcW w:w="2068" w:type="pct"/>
          </w:tcPr>
          <w:p w14:paraId="0091D568" w14:textId="0CD766F8" w:rsidR="005C7738" w:rsidRPr="009A24FE" w:rsidRDefault="009A24FE" w:rsidP="00A70687">
            <w:pPr>
              <w:pStyle w:val="Bullet"/>
              <w:numPr>
                <w:ilvl w:val="0"/>
                <w:numId w:val="0"/>
              </w:numPr>
              <w:spacing w:line="240" w:lineRule="auto"/>
              <w:ind w:left="520" w:hanging="520"/>
              <w:jc w:val="right"/>
              <w:rPr>
                <w:rFonts w:asciiTheme="minorHAnsi" w:hAnsiTheme="minorHAnsi" w:cstheme="minorHAnsi"/>
                <w:sz w:val="20"/>
              </w:rPr>
            </w:pPr>
            <w:r w:rsidRPr="009A24FE">
              <w:rPr>
                <w:rFonts w:asciiTheme="minorHAnsi" w:hAnsiTheme="minorHAnsi" w:cstheme="minorHAnsi"/>
                <w:sz w:val="20"/>
              </w:rPr>
              <w:t>$71,345,000</w:t>
            </w:r>
          </w:p>
        </w:tc>
      </w:tr>
      <w:tr w:rsidR="005C7738" w:rsidRPr="009A24FE" w14:paraId="638FEDAF" w14:textId="77777777" w:rsidTr="00157DD0">
        <w:tc>
          <w:tcPr>
            <w:tcW w:w="2932" w:type="pct"/>
            <w:gridSpan w:val="2"/>
          </w:tcPr>
          <w:p w14:paraId="12E32E4B" w14:textId="33C81E8D" w:rsidR="005C7738" w:rsidRPr="009A24FE" w:rsidRDefault="00EA1D39" w:rsidP="00A31C3C">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Phase 2</w:t>
            </w:r>
          </w:p>
        </w:tc>
        <w:tc>
          <w:tcPr>
            <w:tcW w:w="2068" w:type="pct"/>
          </w:tcPr>
          <w:p w14:paraId="3073BFC0" w14:textId="4FEE5BCD" w:rsidR="005C7738" w:rsidRPr="009A24FE" w:rsidRDefault="009A24FE" w:rsidP="00A70687">
            <w:pPr>
              <w:pStyle w:val="Bullet"/>
              <w:numPr>
                <w:ilvl w:val="0"/>
                <w:numId w:val="0"/>
              </w:numPr>
              <w:spacing w:line="240" w:lineRule="auto"/>
              <w:ind w:left="520" w:hanging="520"/>
              <w:jc w:val="right"/>
              <w:rPr>
                <w:rFonts w:asciiTheme="minorHAnsi" w:hAnsiTheme="minorHAnsi" w:cstheme="minorHAnsi"/>
                <w:sz w:val="20"/>
              </w:rPr>
            </w:pPr>
            <w:r w:rsidRPr="009A24FE">
              <w:rPr>
                <w:rFonts w:asciiTheme="minorHAnsi" w:hAnsiTheme="minorHAnsi" w:cstheme="minorHAnsi"/>
                <w:color w:val="000000"/>
                <w:sz w:val="20"/>
              </w:rPr>
              <w:t>$16,670,000</w:t>
            </w:r>
          </w:p>
        </w:tc>
      </w:tr>
      <w:tr w:rsidR="005C7738" w:rsidRPr="009A24FE" w14:paraId="2C1AEF2E" w14:textId="77777777" w:rsidTr="00157DD0">
        <w:tc>
          <w:tcPr>
            <w:tcW w:w="2932" w:type="pct"/>
            <w:gridSpan w:val="2"/>
          </w:tcPr>
          <w:p w14:paraId="150A038F" w14:textId="545FA0A3" w:rsidR="005C7738" w:rsidRPr="009A24FE" w:rsidRDefault="00EA1D39" w:rsidP="00A31C3C">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Remedies</w:t>
            </w:r>
          </w:p>
        </w:tc>
        <w:tc>
          <w:tcPr>
            <w:tcW w:w="2068" w:type="pct"/>
          </w:tcPr>
          <w:p w14:paraId="3C372F36" w14:textId="4E818CEE" w:rsidR="005C7738" w:rsidRPr="009A24FE" w:rsidRDefault="009A24FE" w:rsidP="00A70687">
            <w:pPr>
              <w:pStyle w:val="Bullet"/>
              <w:numPr>
                <w:ilvl w:val="0"/>
                <w:numId w:val="0"/>
              </w:numPr>
              <w:spacing w:line="240" w:lineRule="auto"/>
              <w:ind w:left="520" w:hanging="520"/>
              <w:jc w:val="right"/>
              <w:rPr>
                <w:rFonts w:asciiTheme="minorHAnsi" w:hAnsiTheme="minorHAnsi" w:cstheme="minorHAnsi"/>
                <w:sz w:val="20"/>
              </w:rPr>
            </w:pPr>
            <w:r w:rsidRPr="009A24FE">
              <w:rPr>
                <w:rFonts w:asciiTheme="minorHAnsi" w:hAnsiTheme="minorHAnsi" w:cstheme="minorHAnsi"/>
                <w:color w:val="000000"/>
                <w:sz w:val="20"/>
              </w:rPr>
              <w:t>$1,245,000</w:t>
            </w:r>
          </w:p>
        </w:tc>
      </w:tr>
      <w:tr w:rsidR="005C7738" w:rsidRPr="009A24FE" w14:paraId="742CB287" w14:textId="77777777" w:rsidTr="00157DD0">
        <w:tc>
          <w:tcPr>
            <w:tcW w:w="2932" w:type="pct"/>
            <w:gridSpan w:val="2"/>
          </w:tcPr>
          <w:p w14:paraId="30542557" w14:textId="65707346" w:rsidR="005C7738" w:rsidRPr="009A24FE" w:rsidRDefault="00EA1D39" w:rsidP="00A31C3C">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Public benefits</w:t>
            </w:r>
          </w:p>
        </w:tc>
        <w:tc>
          <w:tcPr>
            <w:tcW w:w="2068" w:type="pct"/>
          </w:tcPr>
          <w:p w14:paraId="27293D98" w14:textId="04119735" w:rsidR="005C7738" w:rsidRPr="009A24FE" w:rsidRDefault="009A24FE" w:rsidP="00A70687">
            <w:pPr>
              <w:pStyle w:val="Bullet"/>
              <w:numPr>
                <w:ilvl w:val="0"/>
                <w:numId w:val="0"/>
              </w:numPr>
              <w:spacing w:line="240" w:lineRule="auto"/>
              <w:ind w:left="520" w:hanging="520"/>
              <w:jc w:val="right"/>
              <w:rPr>
                <w:rFonts w:asciiTheme="minorHAnsi" w:hAnsiTheme="minorHAnsi" w:cstheme="minorHAnsi"/>
                <w:sz w:val="20"/>
              </w:rPr>
            </w:pPr>
            <w:r w:rsidRPr="009A24FE">
              <w:rPr>
                <w:rFonts w:asciiTheme="minorHAnsi" w:hAnsiTheme="minorHAnsi" w:cstheme="minorHAnsi"/>
                <w:color w:val="000000"/>
                <w:sz w:val="20"/>
              </w:rPr>
              <w:t>$3,730,000</w:t>
            </w:r>
          </w:p>
        </w:tc>
      </w:tr>
      <w:tr w:rsidR="005C7738" w:rsidRPr="009A24FE" w14:paraId="31DA0FE5" w14:textId="77777777" w:rsidTr="00157DD0">
        <w:tc>
          <w:tcPr>
            <w:tcW w:w="2932" w:type="pct"/>
            <w:gridSpan w:val="2"/>
          </w:tcPr>
          <w:p w14:paraId="3948E014" w14:textId="68407E1D" w:rsidR="005C7738" w:rsidRPr="009A24FE" w:rsidRDefault="00EA1D39" w:rsidP="00A31C3C">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Review</w:t>
            </w:r>
          </w:p>
        </w:tc>
        <w:tc>
          <w:tcPr>
            <w:tcW w:w="2068" w:type="pct"/>
          </w:tcPr>
          <w:p w14:paraId="3BC93A9B" w14:textId="597EDB67" w:rsidR="005C7738" w:rsidRPr="009A24FE" w:rsidRDefault="009A24FE" w:rsidP="00A70687">
            <w:pPr>
              <w:pStyle w:val="Bullet"/>
              <w:numPr>
                <w:ilvl w:val="0"/>
                <w:numId w:val="0"/>
              </w:numPr>
              <w:spacing w:line="240" w:lineRule="auto"/>
              <w:ind w:left="520" w:hanging="520"/>
              <w:jc w:val="right"/>
              <w:rPr>
                <w:rFonts w:asciiTheme="minorHAnsi" w:hAnsiTheme="minorHAnsi" w:cstheme="minorHAnsi"/>
                <w:sz w:val="20"/>
              </w:rPr>
            </w:pPr>
            <w:r w:rsidRPr="009A24FE">
              <w:rPr>
                <w:rFonts w:asciiTheme="minorHAnsi" w:hAnsiTheme="minorHAnsi" w:cstheme="minorHAnsi"/>
                <w:color w:val="000000"/>
                <w:sz w:val="20"/>
              </w:rPr>
              <w:t>$13,993,750</w:t>
            </w:r>
          </w:p>
        </w:tc>
      </w:tr>
      <w:tr w:rsidR="005C7738" w:rsidRPr="009A24FE" w14:paraId="695191BC" w14:textId="77777777" w:rsidTr="00157DD0">
        <w:tc>
          <w:tcPr>
            <w:tcW w:w="2932" w:type="pct"/>
            <w:gridSpan w:val="2"/>
          </w:tcPr>
          <w:p w14:paraId="4693153E" w14:textId="2B86A875" w:rsidR="005C7738" w:rsidRPr="009A24FE" w:rsidRDefault="00EA1D39" w:rsidP="00A31C3C">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Total</w:t>
            </w:r>
            <w:r w:rsidR="009A24FE" w:rsidRPr="009A24FE">
              <w:rPr>
                <w:rFonts w:asciiTheme="minorHAnsi" w:hAnsiTheme="minorHAnsi" w:cstheme="minorHAnsi"/>
                <w:sz w:val="20"/>
              </w:rPr>
              <w:t xml:space="preserve">  </w:t>
            </w:r>
          </w:p>
        </w:tc>
        <w:tc>
          <w:tcPr>
            <w:tcW w:w="2068" w:type="pct"/>
          </w:tcPr>
          <w:p w14:paraId="13A2D853" w14:textId="527519D7" w:rsidR="005C7738" w:rsidRPr="009A24FE" w:rsidRDefault="009A24FE" w:rsidP="00A70687">
            <w:pPr>
              <w:pStyle w:val="Bullet"/>
              <w:numPr>
                <w:ilvl w:val="0"/>
                <w:numId w:val="0"/>
              </w:numPr>
              <w:spacing w:line="240" w:lineRule="auto"/>
              <w:ind w:left="520" w:hanging="520"/>
              <w:jc w:val="right"/>
              <w:rPr>
                <w:rFonts w:asciiTheme="minorHAnsi" w:hAnsiTheme="minorHAnsi" w:cstheme="minorHAnsi"/>
                <w:sz w:val="20"/>
              </w:rPr>
            </w:pPr>
            <w:r w:rsidRPr="009A24FE">
              <w:rPr>
                <w:rFonts w:asciiTheme="minorHAnsi" w:hAnsiTheme="minorHAnsi" w:cstheme="minorHAnsi"/>
                <w:color w:val="000000"/>
                <w:sz w:val="20"/>
              </w:rPr>
              <w:t>$160,191,750</w:t>
            </w:r>
          </w:p>
        </w:tc>
      </w:tr>
    </w:tbl>
    <w:p w14:paraId="628B3F45" w14:textId="77777777" w:rsidR="00947E3E" w:rsidRPr="00534989" w:rsidRDefault="00947E3E" w:rsidP="00203EEA">
      <w:pPr>
        <w:pStyle w:val="Heading3"/>
      </w:pPr>
      <w:bookmarkStart w:id="122" w:name="_Toc176972403"/>
      <w:r w:rsidRPr="00534989">
        <w:t>Common costs across Options 2, 3 and 4 associated with a mandatory system</w:t>
      </w:r>
      <w:bookmarkEnd w:id="122"/>
    </w:p>
    <w:p w14:paraId="1307199A" w14:textId="5BDF773E" w:rsidR="00947E3E" w:rsidRDefault="00947E3E" w:rsidP="00947E3E">
      <w:pPr>
        <w:spacing w:line="240" w:lineRule="auto"/>
      </w:pPr>
      <w:r>
        <w:t xml:space="preserve">Each of the options present an overall increase in regulatory burden as a result of the mandatory and suspensory proposed system for mergers, which has been considered against the broader benefits and impacts of each option as outlined in </w:t>
      </w:r>
      <w:r w:rsidR="009959A5">
        <w:t xml:space="preserve">Question </w:t>
      </w:r>
      <w:r>
        <w:t xml:space="preserve">4. </w:t>
      </w:r>
    </w:p>
    <w:p w14:paraId="1F14E5B9" w14:textId="1888118A" w:rsidR="00947E3E" w:rsidRDefault="00FB0CA2" w:rsidP="00947E3E">
      <w:pPr>
        <w:spacing w:line="240" w:lineRule="auto"/>
      </w:pPr>
      <w:r>
        <w:t>An assumption is that</w:t>
      </w:r>
      <w:r w:rsidR="00696AE1">
        <w:t xml:space="preserve"> if</w:t>
      </w:r>
      <w:r w:rsidR="00880595">
        <w:t xml:space="preserve"> </w:t>
      </w:r>
      <w:r w:rsidR="00947E3E">
        <w:t xml:space="preserve">the </w:t>
      </w:r>
      <w:r w:rsidR="0034097A">
        <w:t xml:space="preserve">notification </w:t>
      </w:r>
      <w:r w:rsidR="00947E3E">
        <w:t xml:space="preserve">thresholds </w:t>
      </w:r>
      <w:r w:rsidR="00B82E5E">
        <w:t>are</w:t>
      </w:r>
      <w:r w:rsidR="00947E3E">
        <w:t xml:space="preserve"> set such that the total number of assessments by the ACCC would be similar to the number of assessments currently occurring under Option 1, the net difference in the aggregate cost to business of preparing for and being involved in a review will not increase significantly overall. For example, a business that notifies either voluntarily (Option 1</w:t>
      </w:r>
      <w:r w:rsidR="00640946">
        <w:t xml:space="preserve">, </w:t>
      </w:r>
      <w:r w:rsidR="00947E3E">
        <w:t>status quo) or mandatorily under mandatory systems (Options 2</w:t>
      </w:r>
      <w:r w:rsidR="003E4E05">
        <w:t xml:space="preserve">, 3 and </w:t>
      </w:r>
      <w:r w:rsidR="00947E3E">
        <w:t>4) must still incur the cost of the assessment process prior to any judicial enforcement if required.</w:t>
      </w:r>
    </w:p>
    <w:p w14:paraId="7FBDAE8A" w14:textId="3976C164" w:rsidR="00947E3E" w:rsidRDefault="00947E3E" w:rsidP="00947E3E">
      <w:pPr>
        <w:pStyle w:val="Bullet"/>
        <w:numPr>
          <w:ilvl w:val="0"/>
          <w:numId w:val="0"/>
        </w:numPr>
        <w:spacing w:line="240" w:lineRule="auto"/>
        <w:rPr>
          <w:rFonts w:asciiTheme="minorHAnsi" w:hAnsiTheme="minorHAnsi" w:cstheme="minorHAnsi"/>
        </w:rPr>
      </w:pPr>
      <w:r>
        <w:rPr>
          <w:rFonts w:asciiTheme="minorHAnsi" w:hAnsiTheme="minorHAnsi" w:cstheme="minorHAnsi"/>
        </w:rPr>
        <w:t xml:space="preserve">Of the new options presented, Option 2 represents the overall </w:t>
      </w:r>
      <w:r w:rsidRPr="009E1B77">
        <w:rPr>
          <w:rFonts w:asciiTheme="minorHAnsi" w:hAnsiTheme="minorHAnsi" w:cstheme="minorHAnsi"/>
        </w:rPr>
        <w:t xml:space="preserve">lowest </w:t>
      </w:r>
      <w:r w:rsidR="009F0F5E" w:rsidRPr="009E1B77">
        <w:rPr>
          <w:rFonts w:asciiTheme="minorHAnsi" w:hAnsiTheme="minorHAnsi" w:cstheme="minorHAnsi"/>
        </w:rPr>
        <w:t>RBE</w:t>
      </w:r>
      <w:r w:rsidR="000E1C00" w:rsidRPr="009E1B77">
        <w:rPr>
          <w:rFonts w:asciiTheme="minorHAnsi" w:hAnsiTheme="minorHAnsi" w:cstheme="minorHAnsi"/>
        </w:rPr>
        <w:t xml:space="preserve"> with</w:t>
      </w:r>
      <w:r w:rsidR="000245AF" w:rsidRPr="009E1B77">
        <w:rPr>
          <w:rFonts w:asciiTheme="minorHAnsi" w:hAnsiTheme="minorHAnsi" w:cstheme="minorHAnsi"/>
        </w:rPr>
        <w:t xml:space="preserve"> the</w:t>
      </w:r>
      <w:r w:rsidR="00617251" w:rsidRPr="009E1B77">
        <w:rPr>
          <w:rFonts w:asciiTheme="minorHAnsi" w:hAnsiTheme="minorHAnsi" w:cstheme="minorHAnsi"/>
        </w:rPr>
        <w:t xml:space="preserve"> </w:t>
      </w:r>
      <w:r w:rsidR="000E1C00" w:rsidRPr="009E1B77">
        <w:rPr>
          <w:rFonts w:asciiTheme="minorHAnsi" w:hAnsiTheme="minorHAnsi" w:cstheme="minorHAnsi"/>
        </w:rPr>
        <w:t>total increased cost for business being $10.</w:t>
      </w:r>
      <w:r w:rsidR="00A732B7" w:rsidRPr="009E1B77">
        <w:rPr>
          <w:rFonts w:asciiTheme="minorHAnsi" w:hAnsiTheme="minorHAnsi" w:cstheme="minorHAnsi"/>
        </w:rPr>
        <w:t>8</w:t>
      </w:r>
      <w:r w:rsidR="000E1C00" w:rsidRPr="009E1B77">
        <w:rPr>
          <w:rFonts w:asciiTheme="minorHAnsi" w:hAnsiTheme="minorHAnsi" w:cstheme="minorHAnsi"/>
        </w:rPr>
        <w:t xml:space="preserve"> million</w:t>
      </w:r>
      <w:r w:rsidRPr="009E1B77">
        <w:rPr>
          <w:rFonts w:asciiTheme="minorHAnsi" w:hAnsiTheme="minorHAnsi" w:cstheme="minorHAnsi"/>
        </w:rPr>
        <w:t xml:space="preserve">. The regulatory burden costs for </w:t>
      </w:r>
      <w:r w:rsidR="00DD737B" w:rsidRPr="009E1B77">
        <w:rPr>
          <w:rFonts w:asciiTheme="minorHAnsi" w:hAnsiTheme="minorHAnsi" w:cstheme="minorHAnsi"/>
        </w:rPr>
        <w:t>O</w:t>
      </w:r>
      <w:r w:rsidRPr="009E1B77">
        <w:rPr>
          <w:rFonts w:asciiTheme="minorHAnsi" w:hAnsiTheme="minorHAnsi" w:cstheme="minorHAnsi"/>
        </w:rPr>
        <w:t>ption 2 are mostly common across the other mandatory merger system options. However, ther</w:t>
      </w:r>
      <w:r>
        <w:rPr>
          <w:rFonts w:asciiTheme="minorHAnsi" w:hAnsiTheme="minorHAnsi" w:cstheme="minorHAnsi"/>
        </w:rPr>
        <w:t>e are some divergent costs with Options 3 and 4 as outlined</w:t>
      </w:r>
      <w:r w:rsidRPr="00947F58">
        <w:rPr>
          <w:rFonts w:asciiTheme="minorHAnsi" w:hAnsiTheme="minorHAnsi" w:cstheme="minorHAnsi"/>
        </w:rPr>
        <w:t xml:space="preserve"> in the ‘</w:t>
      </w:r>
      <w:r w:rsidRPr="005A660C">
        <w:rPr>
          <w:rFonts w:asciiTheme="minorHAnsi" w:hAnsiTheme="minorHAnsi" w:cstheme="minorHAnsi"/>
        </w:rPr>
        <w:t>Regulatory</w:t>
      </w:r>
      <w:r>
        <w:rPr>
          <w:rFonts w:asciiTheme="minorHAnsi" w:hAnsiTheme="minorHAnsi" w:cstheme="minorHAnsi"/>
        </w:rPr>
        <w:t xml:space="preserve"> burden </w:t>
      </w:r>
      <w:r w:rsidRPr="005A660C">
        <w:rPr>
          <w:rFonts w:asciiTheme="minorHAnsi" w:hAnsiTheme="minorHAnsi" w:cstheme="minorHAnsi"/>
        </w:rPr>
        <w:t xml:space="preserve">estimates that vary under </w:t>
      </w:r>
      <w:r w:rsidR="00EE01B1">
        <w:rPr>
          <w:rFonts w:asciiTheme="minorHAnsi" w:hAnsiTheme="minorHAnsi" w:cstheme="minorHAnsi"/>
        </w:rPr>
        <w:t>O</w:t>
      </w:r>
      <w:r w:rsidRPr="005A660C">
        <w:rPr>
          <w:rFonts w:asciiTheme="minorHAnsi" w:hAnsiTheme="minorHAnsi" w:cstheme="minorHAnsi"/>
        </w:rPr>
        <w:t>ptions 3 and</w:t>
      </w:r>
      <w:r>
        <w:rPr>
          <w:rFonts w:asciiTheme="minorHAnsi" w:hAnsiTheme="minorHAnsi" w:cstheme="minorHAnsi"/>
        </w:rPr>
        <w:t xml:space="preserve"> 4’ </w:t>
      </w:r>
      <w:r w:rsidR="00B4331F">
        <w:rPr>
          <w:rFonts w:asciiTheme="minorHAnsi" w:hAnsiTheme="minorHAnsi" w:cstheme="minorHAnsi"/>
        </w:rPr>
        <w:t>section</w:t>
      </w:r>
      <w:r>
        <w:rPr>
          <w:rFonts w:asciiTheme="minorHAnsi" w:hAnsiTheme="minorHAnsi" w:cstheme="minorHAnsi"/>
        </w:rPr>
        <w:t xml:space="preserve"> below. </w:t>
      </w:r>
    </w:p>
    <w:p w14:paraId="2ADDD726" w14:textId="77777777" w:rsidR="00947E3E" w:rsidRDefault="00947E3E" w:rsidP="00947E3E">
      <w:pPr>
        <w:pStyle w:val="Bullet"/>
        <w:numPr>
          <w:ilvl w:val="0"/>
          <w:numId w:val="0"/>
        </w:numPr>
        <w:spacing w:line="240" w:lineRule="auto"/>
        <w:rPr>
          <w:rFonts w:asciiTheme="minorHAnsi" w:hAnsiTheme="minorHAnsi" w:cstheme="minorHAnsi"/>
        </w:rPr>
      </w:pPr>
      <w:r>
        <w:rPr>
          <w:rFonts w:asciiTheme="minorHAnsi" w:hAnsiTheme="minorHAnsi" w:cstheme="minorHAnsi"/>
        </w:rPr>
        <w:t>The RBE for Option 2 includes:</w:t>
      </w:r>
    </w:p>
    <w:p w14:paraId="1B939FC1" w14:textId="7DFE9631" w:rsidR="00947E3E" w:rsidRPr="009E1B77" w:rsidRDefault="00947E3E" w:rsidP="00947E3E">
      <w:pPr>
        <w:pStyle w:val="Bullet"/>
        <w:spacing w:line="240" w:lineRule="auto"/>
        <w:rPr>
          <w:rFonts w:asciiTheme="minorHAnsi" w:hAnsiTheme="minorHAnsi" w:cstheme="minorHAnsi"/>
        </w:rPr>
      </w:pPr>
      <w:r>
        <w:rPr>
          <w:rFonts w:asciiTheme="minorHAnsi" w:hAnsiTheme="minorHAnsi" w:cstheme="minorHAnsi"/>
        </w:rPr>
        <w:t>O</w:t>
      </w:r>
      <w:r w:rsidRPr="00E2357E">
        <w:rPr>
          <w:rFonts w:asciiTheme="minorHAnsi" w:hAnsiTheme="minorHAnsi" w:cstheme="minorHAnsi"/>
        </w:rPr>
        <w:t>ne</w:t>
      </w:r>
      <w:r>
        <w:rPr>
          <w:rFonts w:asciiTheme="minorHAnsi" w:hAnsiTheme="minorHAnsi" w:cstheme="minorHAnsi"/>
        </w:rPr>
        <w:t>-</w:t>
      </w:r>
      <w:r w:rsidRPr="00E2357E">
        <w:rPr>
          <w:rFonts w:asciiTheme="minorHAnsi" w:hAnsiTheme="minorHAnsi" w:cstheme="minorHAnsi"/>
        </w:rPr>
        <w:t xml:space="preserve">off familiarisation costs for law firms with specialist competition practices, as well as for medium and large businesses with </w:t>
      </w:r>
      <w:r>
        <w:rPr>
          <w:rFonts w:asciiTheme="minorHAnsi" w:hAnsiTheme="minorHAnsi" w:cstheme="minorHAnsi"/>
        </w:rPr>
        <w:t xml:space="preserve">the intention of </w:t>
      </w:r>
      <w:r w:rsidRPr="009E1B77">
        <w:rPr>
          <w:rFonts w:asciiTheme="minorHAnsi" w:hAnsiTheme="minorHAnsi" w:cstheme="minorHAnsi"/>
        </w:rPr>
        <w:t>pursuing a merger or acquisition. The one</w:t>
      </w:r>
      <w:r w:rsidR="004A24B8" w:rsidRPr="009E1B77">
        <w:rPr>
          <w:rFonts w:asciiTheme="minorHAnsi" w:hAnsiTheme="minorHAnsi" w:cstheme="minorHAnsi"/>
        </w:rPr>
        <w:noBreakHyphen/>
      </w:r>
      <w:r w:rsidRPr="009E1B77">
        <w:rPr>
          <w:rFonts w:asciiTheme="minorHAnsi" w:hAnsiTheme="minorHAnsi" w:cstheme="minorHAnsi"/>
        </w:rPr>
        <w:t>off familiarisation costs are common to each of the Options 2, 3 and 4, but are not applicable to Option 1.</w:t>
      </w:r>
    </w:p>
    <w:p w14:paraId="09646584" w14:textId="23D4F173" w:rsidR="00947E3E" w:rsidRPr="009E1B77" w:rsidRDefault="00947E3E" w:rsidP="00947E3E">
      <w:pPr>
        <w:pStyle w:val="Dash"/>
        <w:rPr>
          <w:rFonts w:asciiTheme="minorHAnsi" w:hAnsiTheme="minorHAnsi" w:cstheme="minorHAnsi"/>
        </w:rPr>
      </w:pPr>
      <w:r w:rsidRPr="009E1B77">
        <w:rPr>
          <w:rFonts w:asciiTheme="minorHAnsi" w:hAnsiTheme="minorHAnsi" w:cstheme="minorHAnsi"/>
        </w:rPr>
        <w:t>Treasury estimates the total one</w:t>
      </w:r>
      <w:r w:rsidR="004E63EE" w:rsidRPr="009E1B77">
        <w:rPr>
          <w:rFonts w:asciiTheme="minorHAnsi" w:hAnsiTheme="minorHAnsi" w:cstheme="minorHAnsi"/>
        </w:rPr>
        <w:noBreakHyphen/>
      </w:r>
      <w:r w:rsidRPr="009E1B77">
        <w:rPr>
          <w:rFonts w:asciiTheme="minorHAnsi" w:hAnsiTheme="minorHAnsi" w:cstheme="minorHAnsi"/>
        </w:rPr>
        <w:t>off familiarisation costs for business and law firms to be around $</w:t>
      </w:r>
      <w:r w:rsidR="001D591A" w:rsidRPr="009E1B77">
        <w:rPr>
          <w:rFonts w:asciiTheme="minorHAnsi" w:hAnsiTheme="minorHAnsi" w:cstheme="minorHAnsi"/>
        </w:rPr>
        <w:t>235</w:t>
      </w:r>
      <w:r w:rsidR="00ED2B43" w:rsidRPr="009E1B77">
        <w:rPr>
          <w:rFonts w:asciiTheme="minorHAnsi" w:hAnsiTheme="minorHAnsi" w:cstheme="minorHAnsi"/>
        </w:rPr>
        <w:t>,000</w:t>
      </w:r>
      <w:r w:rsidRPr="009E1B77">
        <w:rPr>
          <w:rFonts w:asciiTheme="minorHAnsi" w:hAnsiTheme="minorHAnsi" w:cstheme="minorHAnsi"/>
        </w:rPr>
        <w:t>, with the estimated cost per business to be around $</w:t>
      </w:r>
      <w:r w:rsidR="002747AD" w:rsidRPr="009E1B77">
        <w:rPr>
          <w:rFonts w:asciiTheme="minorHAnsi" w:hAnsiTheme="minorHAnsi" w:cstheme="minorHAnsi"/>
        </w:rPr>
        <w:t xml:space="preserve">750 </w:t>
      </w:r>
      <w:r w:rsidRPr="009E1B77">
        <w:rPr>
          <w:rFonts w:asciiTheme="minorHAnsi" w:hAnsiTheme="minorHAnsi" w:cstheme="minorHAnsi"/>
        </w:rPr>
        <w:t xml:space="preserve">and </w:t>
      </w:r>
      <w:r w:rsidR="004046B5" w:rsidRPr="009E1B77">
        <w:rPr>
          <w:rFonts w:asciiTheme="minorHAnsi" w:hAnsiTheme="minorHAnsi" w:cstheme="minorHAnsi"/>
        </w:rPr>
        <w:t>around $16,000</w:t>
      </w:r>
      <w:r w:rsidRPr="009E1B77">
        <w:rPr>
          <w:rFonts w:asciiTheme="minorHAnsi" w:hAnsiTheme="minorHAnsi" w:cstheme="minorHAnsi"/>
        </w:rPr>
        <w:t xml:space="preserve"> </w:t>
      </w:r>
      <w:r w:rsidR="00FD6402" w:rsidRPr="009E1B77">
        <w:rPr>
          <w:rFonts w:asciiTheme="minorHAnsi" w:hAnsiTheme="minorHAnsi" w:cstheme="minorHAnsi"/>
        </w:rPr>
        <w:t>per law firm</w:t>
      </w:r>
      <w:r w:rsidRPr="009E1B77">
        <w:rPr>
          <w:rFonts w:asciiTheme="minorHAnsi" w:hAnsiTheme="minorHAnsi" w:cstheme="minorHAnsi"/>
        </w:rPr>
        <w:t xml:space="preserve">. </w:t>
      </w:r>
    </w:p>
    <w:p w14:paraId="6B97277B" w14:textId="5935DA81" w:rsidR="00947E3E" w:rsidRPr="009E1B77" w:rsidRDefault="00947E3E" w:rsidP="00947E3E">
      <w:pPr>
        <w:pStyle w:val="Bullet"/>
        <w:spacing w:line="240" w:lineRule="auto"/>
        <w:rPr>
          <w:rFonts w:asciiTheme="minorHAnsi" w:hAnsiTheme="minorHAnsi" w:cstheme="minorHAnsi"/>
        </w:rPr>
      </w:pPr>
      <w:r w:rsidRPr="009E1B77">
        <w:rPr>
          <w:rFonts w:asciiTheme="minorHAnsi" w:hAnsiTheme="minorHAnsi" w:cstheme="minorHAnsi"/>
        </w:rPr>
        <w:t>Labour and legal costs to determine whether a</w:t>
      </w:r>
      <w:r w:rsidR="002814F7" w:rsidRPr="009E1B77">
        <w:rPr>
          <w:rFonts w:asciiTheme="minorHAnsi" w:hAnsiTheme="minorHAnsi" w:cstheme="minorHAnsi"/>
        </w:rPr>
        <w:t xml:space="preserve"> notification</w:t>
      </w:r>
      <w:r w:rsidR="00E13111" w:rsidRPr="009E1B77">
        <w:rPr>
          <w:rFonts w:asciiTheme="minorHAnsi" w:hAnsiTheme="minorHAnsi" w:cstheme="minorHAnsi"/>
        </w:rPr>
        <w:t xml:space="preserve"> </w:t>
      </w:r>
      <w:r w:rsidRPr="009E1B77">
        <w:rPr>
          <w:rFonts w:asciiTheme="minorHAnsi" w:hAnsiTheme="minorHAnsi" w:cstheme="minorHAnsi"/>
        </w:rPr>
        <w:t xml:space="preserve">needs to be made. This includes costs to consider the new </w:t>
      </w:r>
      <w:r w:rsidR="00AF03C2">
        <w:rPr>
          <w:rFonts w:asciiTheme="minorHAnsi" w:hAnsiTheme="minorHAnsi" w:cstheme="minorHAnsi"/>
        </w:rPr>
        <w:t xml:space="preserve">notification </w:t>
      </w:r>
      <w:r w:rsidRPr="009E1B77">
        <w:rPr>
          <w:rFonts w:asciiTheme="minorHAnsi" w:hAnsiTheme="minorHAnsi" w:cstheme="minorHAnsi"/>
        </w:rPr>
        <w:t xml:space="preserve">thresholds, gather initial information, including on substantial market power and the </w:t>
      </w:r>
      <w:r w:rsidR="00510038" w:rsidRPr="009E1B77">
        <w:rPr>
          <w:rFonts w:asciiTheme="minorHAnsi" w:hAnsiTheme="minorHAnsi" w:cstheme="minorHAnsi"/>
        </w:rPr>
        <w:t>3</w:t>
      </w:r>
      <w:r w:rsidR="00E13111" w:rsidRPr="009E1B77">
        <w:rPr>
          <w:rFonts w:asciiTheme="minorHAnsi" w:hAnsiTheme="minorHAnsi" w:cstheme="minorHAnsi"/>
        </w:rPr>
        <w:t>-</w:t>
      </w:r>
      <w:r w:rsidRPr="009E1B77">
        <w:rPr>
          <w:rFonts w:asciiTheme="minorHAnsi" w:hAnsiTheme="minorHAnsi" w:cstheme="minorHAnsi"/>
        </w:rPr>
        <w:t xml:space="preserve">year cumulative effect, and decide whether a </w:t>
      </w:r>
      <w:r w:rsidR="004143D9" w:rsidRPr="009E1B77">
        <w:rPr>
          <w:rFonts w:asciiTheme="minorHAnsi" w:hAnsiTheme="minorHAnsi" w:cstheme="minorHAnsi"/>
        </w:rPr>
        <w:t xml:space="preserve">merger </w:t>
      </w:r>
      <w:r w:rsidRPr="009E1B77">
        <w:rPr>
          <w:rFonts w:asciiTheme="minorHAnsi" w:hAnsiTheme="minorHAnsi" w:cstheme="minorHAnsi"/>
        </w:rPr>
        <w:t>meets the relevant thresholds. These additional costs are common to each of the options noting that higher costs are incurred in the status quo for businesses to assess whether they should voluntarily notify the ACCC of any proposed merger.</w:t>
      </w:r>
    </w:p>
    <w:p w14:paraId="20D2922C" w14:textId="5ADE5F96" w:rsidR="00947E3E" w:rsidRPr="009E1B77" w:rsidRDefault="00947E3E" w:rsidP="00947E3E">
      <w:pPr>
        <w:pStyle w:val="Dash"/>
        <w:rPr>
          <w:rFonts w:asciiTheme="minorHAnsi" w:hAnsiTheme="minorHAnsi" w:cstheme="minorHAnsi"/>
        </w:rPr>
      </w:pPr>
      <w:r w:rsidRPr="009E1B77">
        <w:rPr>
          <w:rFonts w:asciiTheme="minorHAnsi" w:hAnsiTheme="minorHAnsi" w:cstheme="minorHAnsi"/>
        </w:rPr>
        <w:t>It is estimated that approximately 1</w:t>
      </w:r>
      <w:r w:rsidR="00510038" w:rsidRPr="009E1B77">
        <w:rPr>
          <w:rFonts w:asciiTheme="minorHAnsi" w:hAnsiTheme="minorHAnsi" w:cstheme="minorHAnsi"/>
        </w:rPr>
        <w:t>,</w:t>
      </w:r>
      <w:r w:rsidRPr="009E1B77">
        <w:rPr>
          <w:rFonts w:asciiTheme="minorHAnsi" w:hAnsiTheme="minorHAnsi" w:cstheme="minorHAnsi"/>
        </w:rPr>
        <w:t>250 businesses will be impacted, which is the middle point of the 1,000 to 1,500 mergers preliminary Treasury modelling</w:t>
      </w:r>
      <w:r w:rsidRPr="009E1B77" w:rsidDel="00F02DD5">
        <w:rPr>
          <w:rFonts w:asciiTheme="minorHAnsi" w:hAnsiTheme="minorHAnsi" w:cstheme="minorHAnsi"/>
        </w:rPr>
        <w:t xml:space="preserve"> </w:t>
      </w:r>
      <w:r w:rsidRPr="009E1B77">
        <w:rPr>
          <w:rFonts w:asciiTheme="minorHAnsi" w:hAnsiTheme="minorHAnsi" w:cstheme="minorHAnsi"/>
        </w:rPr>
        <w:t>indicated occur annually. The total annual cost for business being $</w:t>
      </w:r>
      <w:r w:rsidR="00912BFB" w:rsidRPr="009E1B77">
        <w:rPr>
          <w:rFonts w:asciiTheme="minorHAnsi" w:hAnsiTheme="minorHAnsi" w:cstheme="minorHAnsi"/>
        </w:rPr>
        <w:t>26.9</w:t>
      </w:r>
      <w:r w:rsidR="005116F3" w:rsidRPr="009E1B77">
        <w:rPr>
          <w:rFonts w:asciiTheme="minorHAnsi" w:hAnsiTheme="minorHAnsi" w:cstheme="minorHAnsi"/>
        </w:rPr>
        <w:t xml:space="preserve"> </w:t>
      </w:r>
      <w:r w:rsidRPr="009E1B77">
        <w:rPr>
          <w:rFonts w:asciiTheme="minorHAnsi" w:hAnsiTheme="minorHAnsi" w:cstheme="minorHAnsi"/>
        </w:rPr>
        <w:t>million, compared to the status quo of $</w:t>
      </w:r>
      <w:r w:rsidR="006E5111" w:rsidRPr="009E1B77">
        <w:rPr>
          <w:rFonts w:asciiTheme="minorHAnsi" w:hAnsiTheme="minorHAnsi" w:cstheme="minorHAnsi"/>
        </w:rPr>
        <w:t>36.9</w:t>
      </w:r>
      <w:r w:rsidRPr="009E1B77">
        <w:rPr>
          <w:rFonts w:asciiTheme="minorHAnsi" w:hAnsiTheme="minorHAnsi" w:cstheme="minorHAnsi"/>
        </w:rPr>
        <w:t xml:space="preserve"> million, with the estimated cost per business to be $</w:t>
      </w:r>
      <w:r w:rsidR="00BA05F6" w:rsidRPr="009E1B77">
        <w:rPr>
          <w:rFonts w:asciiTheme="minorHAnsi" w:hAnsiTheme="minorHAnsi" w:cstheme="minorHAnsi"/>
        </w:rPr>
        <w:t>21,500</w:t>
      </w:r>
      <w:r w:rsidRPr="009E1B77">
        <w:rPr>
          <w:rFonts w:asciiTheme="minorHAnsi" w:hAnsiTheme="minorHAnsi" w:cstheme="minorHAnsi"/>
        </w:rPr>
        <w:t xml:space="preserve">. </w:t>
      </w:r>
    </w:p>
    <w:p w14:paraId="493E5875" w14:textId="331EDFC0" w:rsidR="00947E3E" w:rsidRPr="00C41EE0" w:rsidRDefault="00947E3E" w:rsidP="00947E3E">
      <w:pPr>
        <w:pStyle w:val="Bullet"/>
        <w:spacing w:line="240" w:lineRule="auto"/>
        <w:rPr>
          <w:rFonts w:asciiTheme="minorHAnsi" w:hAnsiTheme="minorHAnsi" w:cstheme="minorHAnsi"/>
        </w:rPr>
      </w:pPr>
      <w:r>
        <w:rPr>
          <w:rFonts w:asciiTheme="minorHAnsi" w:hAnsiTheme="minorHAnsi" w:cstheme="minorHAnsi"/>
        </w:rPr>
        <w:t xml:space="preserve">Labour and legal </w:t>
      </w:r>
      <w:r w:rsidRPr="00E2357E">
        <w:rPr>
          <w:rFonts w:asciiTheme="minorHAnsi" w:hAnsiTheme="minorHAnsi" w:cstheme="minorHAnsi"/>
        </w:rPr>
        <w:t>costs to</w:t>
      </w:r>
      <w:r>
        <w:rPr>
          <w:rFonts w:asciiTheme="minorHAnsi" w:hAnsiTheme="minorHAnsi" w:cstheme="minorHAnsi"/>
        </w:rPr>
        <w:t xml:space="preserve"> prepare and </w:t>
      </w:r>
      <w:r w:rsidRPr="00E2357E">
        <w:rPr>
          <w:rFonts w:asciiTheme="minorHAnsi" w:hAnsiTheme="minorHAnsi" w:cstheme="minorHAnsi"/>
        </w:rPr>
        <w:t>make a</w:t>
      </w:r>
      <w:r w:rsidR="009D3758">
        <w:rPr>
          <w:rFonts w:asciiTheme="minorHAnsi" w:hAnsiTheme="minorHAnsi" w:cstheme="minorHAnsi"/>
        </w:rPr>
        <w:t xml:space="preserve"> notification</w:t>
      </w:r>
      <w:r>
        <w:rPr>
          <w:rFonts w:asciiTheme="minorHAnsi" w:hAnsiTheme="minorHAnsi" w:cstheme="minorHAnsi"/>
        </w:rPr>
        <w:t xml:space="preserve">. These costs include the cost to prepare a submission with all relevant information, any early engagement with the ACCC, and any legal or economic advice. </w:t>
      </w:r>
      <w:r w:rsidRPr="00C41EE0">
        <w:rPr>
          <w:rFonts w:asciiTheme="minorHAnsi" w:hAnsiTheme="minorHAnsi" w:cstheme="minorHAnsi"/>
        </w:rPr>
        <w:t xml:space="preserve">These costs are common to each of the options and </w:t>
      </w:r>
      <w:r w:rsidR="00D510C9" w:rsidRPr="00C41EE0">
        <w:rPr>
          <w:rFonts w:asciiTheme="minorHAnsi" w:hAnsiTheme="minorHAnsi" w:cstheme="minorHAnsi"/>
        </w:rPr>
        <w:t xml:space="preserve">are </w:t>
      </w:r>
      <w:r w:rsidRPr="00C41EE0">
        <w:rPr>
          <w:rFonts w:asciiTheme="minorHAnsi" w:hAnsiTheme="minorHAnsi" w:cstheme="minorHAnsi"/>
        </w:rPr>
        <w:t>higher than the status quo due to the additional upfront information requirements, with higher total costs as part of Option 3 as outlined below.</w:t>
      </w:r>
    </w:p>
    <w:p w14:paraId="77D45C5D" w14:textId="2220A830" w:rsidR="00947E3E" w:rsidRPr="00C41EE0" w:rsidRDefault="00FB1E9C" w:rsidP="00417D4A">
      <w:pPr>
        <w:pStyle w:val="Dash"/>
        <w:rPr>
          <w:rFonts w:asciiTheme="minorHAnsi" w:hAnsiTheme="minorHAnsi" w:cstheme="minorHAnsi"/>
        </w:rPr>
      </w:pPr>
      <w:r w:rsidRPr="00C41EE0">
        <w:rPr>
          <w:rFonts w:asciiTheme="minorHAnsi" w:hAnsiTheme="minorHAnsi" w:cstheme="minorHAnsi"/>
        </w:rPr>
        <w:t xml:space="preserve">These costs assume </w:t>
      </w:r>
      <w:r w:rsidR="005A4FE7" w:rsidRPr="00C41EE0">
        <w:rPr>
          <w:rFonts w:asciiTheme="minorHAnsi" w:hAnsiTheme="minorHAnsi" w:cstheme="minorHAnsi"/>
        </w:rPr>
        <w:t xml:space="preserve">285 </w:t>
      </w:r>
      <w:r w:rsidR="00BF22BA" w:rsidRPr="00C41EE0">
        <w:rPr>
          <w:rFonts w:asciiTheme="minorHAnsi" w:hAnsiTheme="minorHAnsi" w:cstheme="minorHAnsi"/>
        </w:rPr>
        <w:t xml:space="preserve">‘simple’ </w:t>
      </w:r>
      <w:r w:rsidR="008D2E94" w:rsidRPr="00C41EE0">
        <w:rPr>
          <w:rFonts w:asciiTheme="minorHAnsi" w:hAnsiTheme="minorHAnsi" w:cstheme="minorHAnsi"/>
        </w:rPr>
        <w:t>notifications</w:t>
      </w:r>
      <w:r w:rsidR="005A4FE7" w:rsidRPr="00C41EE0">
        <w:rPr>
          <w:rFonts w:asciiTheme="minorHAnsi" w:hAnsiTheme="minorHAnsi" w:cstheme="minorHAnsi"/>
        </w:rPr>
        <w:t xml:space="preserve"> will be made </w:t>
      </w:r>
      <w:r w:rsidR="00BF22BA" w:rsidRPr="00C41EE0">
        <w:rPr>
          <w:rFonts w:asciiTheme="minorHAnsi" w:hAnsiTheme="minorHAnsi" w:cstheme="minorHAnsi"/>
        </w:rPr>
        <w:t xml:space="preserve">each year which are likely to be cleared at </w:t>
      </w:r>
      <w:r w:rsidR="004C34F1" w:rsidRPr="00C41EE0">
        <w:rPr>
          <w:rFonts w:asciiTheme="minorHAnsi" w:hAnsiTheme="minorHAnsi" w:cstheme="minorHAnsi"/>
        </w:rPr>
        <w:t>P</w:t>
      </w:r>
      <w:r w:rsidR="00BF22BA" w:rsidRPr="00C41EE0">
        <w:rPr>
          <w:rFonts w:asciiTheme="minorHAnsi" w:hAnsiTheme="minorHAnsi" w:cstheme="minorHAnsi"/>
        </w:rPr>
        <w:t xml:space="preserve">hase </w:t>
      </w:r>
      <w:r w:rsidR="000A5D0F" w:rsidRPr="00C41EE0">
        <w:rPr>
          <w:rFonts w:asciiTheme="minorHAnsi" w:hAnsiTheme="minorHAnsi" w:cstheme="minorHAnsi"/>
        </w:rPr>
        <w:t>1</w:t>
      </w:r>
      <w:r w:rsidR="00B37504" w:rsidRPr="00C41EE0">
        <w:rPr>
          <w:rFonts w:asciiTheme="minorHAnsi" w:hAnsiTheme="minorHAnsi" w:cstheme="minorHAnsi"/>
        </w:rPr>
        <w:t xml:space="preserve">. They assume </w:t>
      </w:r>
      <w:r w:rsidR="00417D4A" w:rsidRPr="00C41EE0">
        <w:rPr>
          <w:rFonts w:asciiTheme="minorHAnsi" w:hAnsiTheme="minorHAnsi" w:cstheme="minorHAnsi"/>
        </w:rPr>
        <w:t xml:space="preserve">10 notifications of moderate complexity and </w:t>
      </w:r>
      <w:r w:rsidR="004458BC" w:rsidRPr="00C41EE0">
        <w:rPr>
          <w:rFonts w:asciiTheme="minorHAnsi" w:hAnsiTheme="minorHAnsi" w:cstheme="minorHAnsi"/>
        </w:rPr>
        <w:t>5 complex</w:t>
      </w:r>
      <w:r w:rsidR="00417D4A" w:rsidRPr="00C41EE0">
        <w:rPr>
          <w:rFonts w:asciiTheme="minorHAnsi" w:hAnsiTheme="minorHAnsi" w:cstheme="minorHAnsi"/>
        </w:rPr>
        <w:t xml:space="preserve"> notifications per year. </w:t>
      </w:r>
      <w:r w:rsidR="00947E3E" w:rsidRPr="00C41EE0">
        <w:rPr>
          <w:rFonts w:asciiTheme="minorHAnsi" w:hAnsiTheme="minorHAnsi" w:cstheme="minorHAnsi"/>
        </w:rPr>
        <w:t>The total annual cost for business being $</w:t>
      </w:r>
      <w:r w:rsidR="00FF064B" w:rsidRPr="00C41EE0">
        <w:rPr>
          <w:rFonts w:asciiTheme="minorHAnsi" w:hAnsiTheme="minorHAnsi" w:cstheme="minorHAnsi"/>
        </w:rPr>
        <w:t>28.4</w:t>
      </w:r>
      <w:r w:rsidR="00ED5E97" w:rsidRPr="00C41EE0">
        <w:rPr>
          <w:rFonts w:asciiTheme="minorHAnsi" w:hAnsiTheme="minorHAnsi" w:cstheme="minorHAnsi"/>
        </w:rPr>
        <w:t xml:space="preserve"> </w:t>
      </w:r>
      <w:r w:rsidR="00947E3E" w:rsidRPr="00C41EE0">
        <w:rPr>
          <w:rFonts w:asciiTheme="minorHAnsi" w:hAnsiTheme="minorHAnsi" w:cstheme="minorHAnsi"/>
        </w:rPr>
        <w:t>million, compared to the status quo of $</w:t>
      </w:r>
      <w:r w:rsidR="0003760E" w:rsidRPr="00C41EE0">
        <w:rPr>
          <w:rFonts w:asciiTheme="minorHAnsi" w:hAnsiTheme="minorHAnsi" w:cstheme="minorHAnsi"/>
        </w:rPr>
        <w:t>16.3</w:t>
      </w:r>
      <w:r w:rsidR="00ED5E97" w:rsidRPr="00C41EE0">
        <w:rPr>
          <w:rFonts w:asciiTheme="minorHAnsi" w:hAnsiTheme="minorHAnsi" w:cstheme="minorHAnsi"/>
        </w:rPr>
        <w:t xml:space="preserve"> </w:t>
      </w:r>
      <w:r w:rsidR="00947E3E" w:rsidRPr="00C41EE0">
        <w:rPr>
          <w:rFonts w:asciiTheme="minorHAnsi" w:hAnsiTheme="minorHAnsi" w:cstheme="minorHAnsi"/>
        </w:rPr>
        <w:t xml:space="preserve">million, with the estimated cost per merger to be </w:t>
      </w:r>
      <w:r w:rsidR="008D2E94" w:rsidRPr="00C41EE0">
        <w:rPr>
          <w:rFonts w:asciiTheme="minorHAnsi" w:hAnsiTheme="minorHAnsi" w:cstheme="minorHAnsi"/>
        </w:rPr>
        <w:t>$</w:t>
      </w:r>
      <w:r w:rsidR="003F0835" w:rsidRPr="00C41EE0">
        <w:rPr>
          <w:rFonts w:asciiTheme="minorHAnsi" w:hAnsiTheme="minorHAnsi" w:cstheme="minorHAnsi"/>
        </w:rPr>
        <w:t>68,500</w:t>
      </w:r>
      <w:r w:rsidR="008D2E94" w:rsidRPr="00C41EE0">
        <w:rPr>
          <w:rFonts w:asciiTheme="minorHAnsi" w:hAnsiTheme="minorHAnsi" w:cstheme="minorHAnsi"/>
        </w:rPr>
        <w:t xml:space="preserve"> for simple notifications; $</w:t>
      </w:r>
      <w:r w:rsidR="003F0835" w:rsidRPr="00C41EE0">
        <w:rPr>
          <w:rFonts w:asciiTheme="minorHAnsi" w:hAnsiTheme="minorHAnsi" w:cstheme="minorHAnsi"/>
        </w:rPr>
        <w:t>286,000</w:t>
      </w:r>
      <w:r w:rsidR="00A54D15" w:rsidRPr="00C41EE0">
        <w:rPr>
          <w:rFonts w:asciiTheme="minorHAnsi" w:hAnsiTheme="minorHAnsi" w:cstheme="minorHAnsi"/>
        </w:rPr>
        <w:t xml:space="preserve"> for moderately complex notifications and $1.2 million for complex </w:t>
      </w:r>
      <w:r w:rsidR="002C6DE5" w:rsidRPr="00C41EE0">
        <w:rPr>
          <w:rFonts w:asciiTheme="minorHAnsi" w:hAnsiTheme="minorHAnsi" w:cstheme="minorHAnsi"/>
        </w:rPr>
        <w:t>notifications</w:t>
      </w:r>
      <w:r w:rsidR="00947E3E" w:rsidRPr="00C41EE0">
        <w:rPr>
          <w:rFonts w:asciiTheme="minorHAnsi" w:hAnsiTheme="minorHAnsi" w:cstheme="minorHAnsi"/>
        </w:rPr>
        <w:t xml:space="preserve">. </w:t>
      </w:r>
    </w:p>
    <w:p w14:paraId="28E85027" w14:textId="04768CDF" w:rsidR="00947E3E" w:rsidRPr="00E2357E" w:rsidRDefault="00947E3E" w:rsidP="00947E3E">
      <w:pPr>
        <w:pStyle w:val="Bullet"/>
        <w:spacing w:line="240" w:lineRule="auto"/>
        <w:rPr>
          <w:rFonts w:asciiTheme="minorHAnsi" w:hAnsiTheme="minorHAnsi" w:cstheme="minorHAnsi"/>
        </w:rPr>
      </w:pPr>
      <w:r>
        <w:rPr>
          <w:rFonts w:asciiTheme="minorHAnsi" w:hAnsiTheme="minorHAnsi" w:cstheme="minorHAnsi"/>
        </w:rPr>
        <w:t xml:space="preserve">Labour and legal </w:t>
      </w:r>
      <w:r w:rsidRPr="00E2357E">
        <w:rPr>
          <w:rFonts w:asciiTheme="minorHAnsi" w:hAnsiTheme="minorHAnsi" w:cstheme="minorHAnsi"/>
        </w:rPr>
        <w:t xml:space="preserve">costs </w:t>
      </w:r>
      <w:r>
        <w:rPr>
          <w:rFonts w:asciiTheme="minorHAnsi" w:hAnsiTheme="minorHAnsi" w:cstheme="minorHAnsi"/>
        </w:rPr>
        <w:t xml:space="preserve">for a Phase </w:t>
      </w:r>
      <w:r w:rsidR="00E979F2">
        <w:rPr>
          <w:rFonts w:asciiTheme="minorHAnsi" w:hAnsiTheme="minorHAnsi" w:cstheme="minorHAnsi"/>
        </w:rPr>
        <w:t>1</w:t>
      </w:r>
      <w:r w:rsidRPr="00E2357E">
        <w:rPr>
          <w:rFonts w:asciiTheme="minorHAnsi" w:hAnsiTheme="minorHAnsi" w:cstheme="minorHAnsi"/>
        </w:rPr>
        <w:t xml:space="preserve"> merger review</w:t>
      </w:r>
      <w:r>
        <w:rPr>
          <w:rFonts w:asciiTheme="minorHAnsi" w:hAnsiTheme="minorHAnsi" w:cstheme="minorHAnsi"/>
        </w:rPr>
        <w:t>:</w:t>
      </w:r>
    </w:p>
    <w:p w14:paraId="73579F16" w14:textId="4EBD43B8" w:rsidR="00947E3E" w:rsidRPr="00921AE0" w:rsidRDefault="00947E3E" w:rsidP="00947E3E">
      <w:pPr>
        <w:pStyle w:val="Dash"/>
        <w:rPr>
          <w:rFonts w:asciiTheme="minorHAnsi" w:hAnsiTheme="minorHAnsi" w:cstheme="minorHAnsi"/>
        </w:rPr>
      </w:pPr>
      <w:r w:rsidRPr="00921AE0">
        <w:rPr>
          <w:rFonts w:asciiTheme="minorHAnsi" w:hAnsiTheme="minorHAnsi" w:cstheme="minorHAnsi"/>
        </w:rPr>
        <w:t xml:space="preserve">These include costs to engage with the ACCC, respond to any information requests, respond to any ACCC feedback, and preparation and engagement on any simple remedies (if applicable). These costs are common to each of the options, with higher total costs as part of Option 3 as outlined below, but lower overall costs compared to the status quo due to the status quo requiring further follow up as part of the Phase </w:t>
      </w:r>
      <w:r w:rsidR="00E77CD7" w:rsidRPr="00921AE0">
        <w:rPr>
          <w:rFonts w:asciiTheme="minorHAnsi" w:hAnsiTheme="minorHAnsi" w:cstheme="minorHAnsi"/>
        </w:rPr>
        <w:t>1</w:t>
      </w:r>
      <w:r w:rsidRPr="00921AE0">
        <w:rPr>
          <w:rFonts w:asciiTheme="minorHAnsi" w:hAnsiTheme="minorHAnsi" w:cstheme="minorHAnsi"/>
        </w:rPr>
        <w:t xml:space="preserve"> review process currently. </w:t>
      </w:r>
    </w:p>
    <w:p w14:paraId="037F14AB" w14:textId="3843A5A2" w:rsidR="00947E3E" w:rsidRPr="00921AE0" w:rsidRDefault="00947E3E" w:rsidP="00947E3E">
      <w:pPr>
        <w:pStyle w:val="Dash"/>
        <w:numPr>
          <w:ilvl w:val="2"/>
          <w:numId w:val="12"/>
        </w:numPr>
        <w:rPr>
          <w:rFonts w:asciiTheme="minorHAnsi" w:hAnsiTheme="minorHAnsi" w:cstheme="minorHAnsi"/>
        </w:rPr>
      </w:pPr>
      <w:r w:rsidRPr="00921AE0">
        <w:rPr>
          <w:rFonts w:asciiTheme="minorHAnsi" w:hAnsiTheme="minorHAnsi" w:cstheme="minorHAnsi"/>
        </w:rPr>
        <w:t xml:space="preserve">These costs assume 285 merger </w:t>
      </w:r>
      <w:r w:rsidR="002C6DE5" w:rsidRPr="00921AE0">
        <w:rPr>
          <w:rFonts w:asciiTheme="minorHAnsi" w:hAnsiTheme="minorHAnsi" w:cstheme="minorHAnsi"/>
        </w:rPr>
        <w:t xml:space="preserve">notifications </w:t>
      </w:r>
      <w:r w:rsidRPr="00921AE0">
        <w:rPr>
          <w:rFonts w:asciiTheme="minorHAnsi" w:hAnsiTheme="minorHAnsi" w:cstheme="minorHAnsi"/>
        </w:rPr>
        <w:t xml:space="preserve">will be completed at Phase </w:t>
      </w:r>
      <w:r w:rsidR="00E77CD7" w:rsidRPr="00921AE0">
        <w:rPr>
          <w:rFonts w:asciiTheme="minorHAnsi" w:hAnsiTheme="minorHAnsi" w:cstheme="minorHAnsi"/>
        </w:rPr>
        <w:t>1</w:t>
      </w:r>
      <w:r w:rsidRPr="00921AE0">
        <w:rPr>
          <w:rFonts w:asciiTheme="minorHAnsi" w:hAnsiTheme="minorHAnsi" w:cstheme="minorHAnsi"/>
        </w:rPr>
        <w:t xml:space="preserve"> per year, based on the above total number of expected merger </w:t>
      </w:r>
      <w:r w:rsidR="002C6DE5" w:rsidRPr="00921AE0">
        <w:rPr>
          <w:rFonts w:asciiTheme="minorHAnsi" w:hAnsiTheme="minorHAnsi" w:cstheme="minorHAnsi"/>
        </w:rPr>
        <w:t>notification</w:t>
      </w:r>
      <w:r w:rsidR="00DA03AD" w:rsidRPr="00921AE0">
        <w:rPr>
          <w:rFonts w:asciiTheme="minorHAnsi" w:hAnsiTheme="minorHAnsi" w:cstheme="minorHAnsi"/>
        </w:rPr>
        <w:t>s</w:t>
      </w:r>
      <w:r w:rsidR="002C6DE5" w:rsidRPr="00921AE0">
        <w:rPr>
          <w:rFonts w:asciiTheme="minorHAnsi" w:hAnsiTheme="minorHAnsi" w:cstheme="minorHAnsi"/>
        </w:rPr>
        <w:t xml:space="preserve"> </w:t>
      </w:r>
      <w:r w:rsidRPr="00921AE0">
        <w:rPr>
          <w:rFonts w:asciiTheme="minorHAnsi" w:hAnsiTheme="minorHAnsi" w:cstheme="minorHAnsi"/>
        </w:rPr>
        <w:t>of around 300. The total cost for business being $</w:t>
      </w:r>
      <w:r w:rsidR="004C0C16" w:rsidRPr="00921AE0">
        <w:rPr>
          <w:rFonts w:asciiTheme="minorHAnsi" w:hAnsiTheme="minorHAnsi" w:cstheme="minorHAnsi"/>
        </w:rPr>
        <w:t>59.1</w:t>
      </w:r>
      <w:r w:rsidR="005B03CD" w:rsidRPr="00921AE0">
        <w:rPr>
          <w:rFonts w:asciiTheme="minorHAnsi" w:hAnsiTheme="minorHAnsi" w:cstheme="minorHAnsi"/>
        </w:rPr>
        <w:t xml:space="preserve"> </w:t>
      </w:r>
      <w:r w:rsidRPr="00921AE0">
        <w:rPr>
          <w:rFonts w:asciiTheme="minorHAnsi" w:hAnsiTheme="minorHAnsi" w:cstheme="minorHAnsi"/>
        </w:rPr>
        <w:t>million, compared to the status quo of $</w:t>
      </w:r>
      <w:r w:rsidR="00AD0533" w:rsidRPr="00921AE0">
        <w:rPr>
          <w:rFonts w:asciiTheme="minorHAnsi" w:hAnsiTheme="minorHAnsi" w:cstheme="minorHAnsi"/>
        </w:rPr>
        <w:t xml:space="preserve">71.3 </w:t>
      </w:r>
      <w:r w:rsidRPr="00921AE0">
        <w:rPr>
          <w:rFonts w:asciiTheme="minorHAnsi" w:hAnsiTheme="minorHAnsi" w:cstheme="minorHAnsi"/>
        </w:rPr>
        <w:t xml:space="preserve">million, with the estimated cost per </w:t>
      </w:r>
      <w:r w:rsidR="004143D9" w:rsidRPr="00921AE0">
        <w:rPr>
          <w:rFonts w:asciiTheme="minorHAnsi" w:hAnsiTheme="minorHAnsi" w:cstheme="minorHAnsi"/>
        </w:rPr>
        <w:t xml:space="preserve">merger </w:t>
      </w:r>
      <w:r w:rsidRPr="00921AE0">
        <w:rPr>
          <w:rFonts w:asciiTheme="minorHAnsi" w:hAnsiTheme="minorHAnsi" w:cstheme="minorHAnsi"/>
        </w:rPr>
        <w:t>to be $</w:t>
      </w:r>
      <w:r w:rsidR="00421A34" w:rsidRPr="00921AE0">
        <w:rPr>
          <w:rFonts w:asciiTheme="minorHAnsi" w:hAnsiTheme="minorHAnsi" w:cstheme="minorHAnsi"/>
        </w:rPr>
        <w:t>207,500</w:t>
      </w:r>
      <w:r w:rsidRPr="00921AE0">
        <w:rPr>
          <w:rFonts w:asciiTheme="minorHAnsi" w:hAnsiTheme="minorHAnsi" w:cstheme="minorHAnsi"/>
        </w:rPr>
        <w:t xml:space="preserve">. </w:t>
      </w:r>
    </w:p>
    <w:p w14:paraId="3D489965" w14:textId="334433F0" w:rsidR="00947E3E" w:rsidRDefault="00947E3E" w:rsidP="00947E3E">
      <w:pPr>
        <w:pStyle w:val="Bullet"/>
        <w:spacing w:line="240" w:lineRule="auto"/>
        <w:rPr>
          <w:rFonts w:asciiTheme="minorHAnsi" w:hAnsiTheme="minorHAnsi" w:cstheme="minorHAnsi"/>
        </w:rPr>
      </w:pPr>
      <w:r>
        <w:rPr>
          <w:rFonts w:asciiTheme="minorHAnsi" w:hAnsiTheme="minorHAnsi" w:cstheme="minorHAnsi"/>
        </w:rPr>
        <w:t xml:space="preserve">Labour, legal and economic </w:t>
      </w:r>
      <w:r w:rsidRPr="00E2357E">
        <w:rPr>
          <w:rFonts w:asciiTheme="minorHAnsi" w:hAnsiTheme="minorHAnsi" w:cstheme="minorHAnsi"/>
        </w:rPr>
        <w:t xml:space="preserve">costs </w:t>
      </w:r>
      <w:r w:rsidRPr="009919DB">
        <w:rPr>
          <w:rFonts w:asciiTheme="minorHAnsi" w:hAnsiTheme="minorHAnsi" w:cstheme="minorHAnsi"/>
        </w:rPr>
        <w:t xml:space="preserve">as part of a Phase </w:t>
      </w:r>
      <w:r w:rsidR="00E979F2">
        <w:rPr>
          <w:rFonts w:asciiTheme="minorHAnsi" w:hAnsiTheme="minorHAnsi" w:cstheme="minorHAnsi"/>
        </w:rPr>
        <w:t>2</w:t>
      </w:r>
      <w:r>
        <w:rPr>
          <w:rFonts w:asciiTheme="minorHAnsi" w:hAnsiTheme="minorHAnsi" w:cstheme="minorHAnsi"/>
        </w:rPr>
        <w:t xml:space="preserve"> </w:t>
      </w:r>
      <w:r w:rsidRPr="009919DB">
        <w:rPr>
          <w:rFonts w:asciiTheme="minorHAnsi" w:hAnsiTheme="minorHAnsi" w:cstheme="minorHAnsi"/>
        </w:rPr>
        <w:t>merger review</w:t>
      </w:r>
      <w:r>
        <w:rPr>
          <w:rFonts w:asciiTheme="minorHAnsi" w:hAnsiTheme="minorHAnsi" w:cstheme="minorHAnsi"/>
        </w:rPr>
        <w:t>:</w:t>
      </w:r>
    </w:p>
    <w:p w14:paraId="25319727" w14:textId="452AD60B" w:rsidR="00947E3E" w:rsidRDefault="00947E3E" w:rsidP="00947E3E">
      <w:pPr>
        <w:pStyle w:val="Dash"/>
        <w:rPr>
          <w:rFonts w:asciiTheme="minorHAnsi" w:hAnsiTheme="minorHAnsi" w:cstheme="minorHAnsi"/>
        </w:rPr>
      </w:pPr>
      <w:r w:rsidRPr="00E2357E">
        <w:rPr>
          <w:rFonts w:asciiTheme="minorHAnsi" w:hAnsiTheme="minorHAnsi" w:cstheme="minorHAnsi"/>
        </w:rPr>
        <w:t>These include</w:t>
      </w:r>
      <w:r>
        <w:rPr>
          <w:rFonts w:asciiTheme="minorHAnsi" w:hAnsiTheme="minorHAnsi" w:cstheme="minorHAnsi"/>
        </w:rPr>
        <w:t xml:space="preserve"> costs</w:t>
      </w:r>
      <w:r w:rsidRPr="00E2357E">
        <w:rPr>
          <w:rFonts w:asciiTheme="minorHAnsi" w:hAnsiTheme="minorHAnsi" w:cstheme="minorHAnsi"/>
        </w:rPr>
        <w:t xml:space="preserve"> </w:t>
      </w:r>
      <w:r>
        <w:rPr>
          <w:rFonts w:asciiTheme="minorHAnsi" w:hAnsiTheme="minorHAnsi" w:cstheme="minorHAnsi"/>
        </w:rPr>
        <w:t xml:space="preserve">to gather and submit additional information, any additional legal and economic advice, compliance with statutory information, data and document requests, preparation and attendance at compulsory examinations, and a response to a notice of competition concerns. </w:t>
      </w:r>
      <w:r w:rsidRPr="00DB4C81">
        <w:rPr>
          <w:rFonts w:asciiTheme="minorHAnsi" w:hAnsiTheme="minorHAnsi" w:cstheme="minorHAnsi"/>
        </w:rPr>
        <w:t>These costs are</w:t>
      </w:r>
      <w:r>
        <w:rPr>
          <w:rFonts w:asciiTheme="minorHAnsi" w:hAnsiTheme="minorHAnsi" w:cstheme="minorHAnsi"/>
        </w:rPr>
        <w:t xml:space="preserve"> common</w:t>
      </w:r>
      <w:r w:rsidRPr="00DB4C81">
        <w:rPr>
          <w:rFonts w:asciiTheme="minorHAnsi" w:hAnsiTheme="minorHAnsi" w:cstheme="minorHAnsi"/>
        </w:rPr>
        <w:t xml:space="preserve"> to each of the options</w:t>
      </w:r>
      <w:r>
        <w:rPr>
          <w:rFonts w:asciiTheme="minorHAnsi" w:hAnsiTheme="minorHAnsi" w:cstheme="minorHAnsi"/>
        </w:rPr>
        <w:t>, with higher total costs as part of Option 3 as outlined below.</w:t>
      </w:r>
    </w:p>
    <w:p w14:paraId="7A807660" w14:textId="5A52254A" w:rsidR="00947E3E" w:rsidRPr="00041D35" w:rsidRDefault="00947E3E" w:rsidP="00947E3E">
      <w:pPr>
        <w:pStyle w:val="Dash"/>
        <w:numPr>
          <w:ilvl w:val="2"/>
          <w:numId w:val="12"/>
        </w:numPr>
        <w:rPr>
          <w:rFonts w:asciiTheme="minorHAnsi" w:hAnsiTheme="minorHAnsi" w:cstheme="minorHAnsi"/>
        </w:rPr>
      </w:pPr>
      <w:r w:rsidRPr="00041D35">
        <w:rPr>
          <w:rFonts w:asciiTheme="minorHAnsi" w:hAnsiTheme="minorHAnsi" w:cstheme="minorHAnsi"/>
        </w:rPr>
        <w:t xml:space="preserve">These costs assume 15 </w:t>
      </w:r>
      <w:r w:rsidR="00F97C9D" w:rsidRPr="00041D35">
        <w:rPr>
          <w:rFonts w:asciiTheme="minorHAnsi" w:hAnsiTheme="minorHAnsi" w:cstheme="minorHAnsi"/>
        </w:rPr>
        <w:t xml:space="preserve">notifications </w:t>
      </w:r>
      <w:r w:rsidRPr="00041D35">
        <w:rPr>
          <w:rFonts w:asciiTheme="minorHAnsi" w:hAnsiTheme="minorHAnsi" w:cstheme="minorHAnsi"/>
        </w:rPr>
        <w:t xml:space="preserve">per year, being 5 per cent of </w:t>
      </w:r>
      <w:r w:rsidR="002C6DE5" w:rsidRPr="00041D35">
        <w:rPr>
          <w:rFonts w:asciiTheme="minorHAnsi" w:hAnsiTheme="minorHAnsi" w:cstheme="minorHAnsi"/>
        </w:rPr>
        <w:t xml:space="preserve">notifications </w:t>
      </w:r>
      <w:r w:rsidRPr="00041D35">
        <w:rPr>
          <w:rFonts w:asciiTheme="minorHAnsi" w:hAnsiTheme="minorHAnsi" w:cstheme="minorHAnsi"/>
        </w:rPr>
        <w:t>that are expected to raise competition concerns. The total cost for business being $</w:t>
      </w:r>
      <w:r w:rsidR="001F1F97" w:rsidRPr="00041D35">
        <w:rPr>
          <w:rFonts w:asciiTheme="minorHAnsi" w:hAnsiTheme="minorHAnsi" w:cstheme="minorHAnsi"/>
        </w:rPr>
        <w:t>28</w:t>
      </w:r>
      <w:r w:rsidRPr="00041D35">
        <w:rPr>
          <w:rFonts w:asciiTheme="minorHAnsi" w:hAnsiTheme="minorHAnsi" w:cstheme="minorHAnsi"/>
        </w:rPr>
        <w:t xml:space="preserve"> million, compared to the status quo of $</w:t>
      </w:r>
      <w:r w:rsidR="00D102B4" w:rsidRPr="00041D35">
        <w:rPr>
          <w:rFonts w:asciiTheme="minorHAnsi" w:hAnsiTheme="minorHAnsi" w:cstheme="minorHAnsi"/>
        </w:rPr>
        <w:t>16.7</w:t>
      </w:r>
      <w:r w:rsidR="009B2102" w:rsidRPr="00041D35">
        <w:rPr>
          <w:rFonts w:asciiTheme="minorHAnsi" w:hAnsiTheme="minorHAnsi" w:cstheme="minorHAnsi"/>
        </w:rPr>
        <w:t xml:space="preserve"> </w:t>
      </w:r>
      <w:r w:rsidRPr="00041D35">
        <w:rPr>
          <w:rFonts w:asciiTheme="minorHAnsi" w:hAnsiTheme="minorHAnsi" w:cstheme="minorHAnsi"/>
        </w:rPr>
        <w:t xml:space="preserve">million, with the estimated cost per </w:t>
      </w:r>
      <w:r w:rsidR="004143D9" w:rsidRPr="00041D35">
        <w:rPr>
          <w:rFonts w:asciiTheme="minorHAnsi" w:hAnsiTheme="minorHAnsi" w:cstheme="minorHAnsi"/>
        </w:rPr>
        <w:t xml:space="preserve">merger </w:t>
      </w:r>
      <w:r w:rsidRPr="00041D35">
        <w:rPr>
          <w:rFonts w:asciiTheme="minorHAnsi" w:hAnsiTheme="minorHAnsi" w:cstheme="minorHAnsi"/>
        </w:rPr>
        <w:t>to be $</w:t>
      </w:r>
      <w:r w:rsidR="00577188" w:rsidRPr="00041D35">
        <w:rPr>
          <w:rFonts w:asciiTheme="minorHAnsi" w:hAnsiTheme="minorHAnsi" w:cstheme="minorHAnsi"/>
        </w:rPr>
        <w:t>1.</w:t>
      </w:r>
      <w:r w:rsidR="000F3A6C" w:rsidRPr="00041D35">
        <w:rPr>
          <w:rFonts w:asciiTheme="minorHAnsi" w:hAnsiTheme="minorHAnsi" w:cstheme="minorHAnsi"/>
        </w:rPr>
        <w:t>9</w:t>
      </w:r>
      <w:r w:rsidRPr="00041D35">
        <w:rPr>
          <w:rFonts w:asciiTheme="minorHAnsi" w:hAnsiTheme="minorHAnsi" w:cstheme="minorHAnsi"/>
        </w:rPr>
        <w:t xml:space="preserve"> million. </w:t>
      </w:r>
    </w:p>
    <w:p w14:paraId="2D4A3E75" w14:textId="77777777" w:rsidR="00947E3E" w:rsidRPr="00A814C7" w:rsidRDefault="00947E3E" w:rsidP="00947E3E">
      <w:pPr>
        <w:pStyle w:val="Bullet"/>
        <w:spacing w:line="240" w:lineRule="auto"/>
        <w:rPr>
          <w:rFonts w:asciiTheme="minorHAnsi" w:hAnsiTheme="minorHAnsi" w:cstheme="minorHAnsi"/>
        </w:rPr>
      </w:pPr>
      <w:r w:rsidRPr="00FE5C5D">
        <w:rPr>
          <w:rFonts w:asciiTheme="minorHAnsi" w:hAnsiTheme="minorHAnsi" w:cstheme="minorHAnsi"/>
        </w:rPr>
        <w:t xml:space="preserve">Labour and legal costs </w:t>
      </w:r>
      <w:r w:rsidRPr="00E2357E">
        <w:rPr>
          <w:rFonts w:asciiTheme="minorHAnsi" w:hAnsiTheme="minorHAnsi" w:cstheme="minorHAnsi"/>
        </w:rPr>
        <w:t>as</w:t>
      </w:r>
      <w:r>
        <w:rPr>
          <w:rFonts w:asciiTheme="minorHAnsi" w:hAnsiTheme="minorHAnsi" w:cstheme="minorHAnsi"/>
        </w:rPr>
        <w:t>sociated with any remedies as</w:t>
      </w:r>
      <w:r w:rsidRPr="00E2357E">
        <w:rPr>
          <w:rFonts w:asciiTheme="minorHAnsi" w:hAnsiTheme="minorHAnsi" w:cstheme="minorHAnsi"/>
        </w:rPr>
        <w:t xml:space="preserve"> part of a</w:t>
      </w:r>
      <w:r>
        <w:rPr>
          <w:rFonts w:asciiTheme="minorHAnsi" w:hAnsiTheme="minorHAnsi" w:cstheme="minorHAnsi"/>
        </w:rPr>
        <w:t xml:space="preserve"> </w:t>
      </w:r>
      <w:r w:rsidRPr="00E2357E">
        <w:rPr>
          <w:rFonts w:asciiTheme="minorHAnsi" w:hAnsiTheme="minorHAnsi" w:cstheme="minorHAnsi"/>
        </w:rPr>
        <w:t>merger review</w:t>
      </w:r>
      <w:r>
        <w:rPr>
          <w:rFonts w:asciiTheme="minorHAnsi" w:hAnsiTheme="minorHAnsi" w:cstheme="minorHAnsi"/>
        </w:rPr>
        <w:t>:</w:t>
      </w:r>
    </w:p>
    <w:p w14:paraId="144AD278" w14:textId="6314491C" w:rsidR="00947E3E" w:rsidRPr="00E67A89" w:rsidRDefault="00947E3E" w:rsidP="00947E3E">
      <w:pPr>
        <w:pStyle w:val="Dash"/>
        <w:rPr>
          <w:rFonts w:asciiTheme="minorHAnsi" w:hAnsiTheme="minorHAnsi" w:cstheme="minorHAnsi"/>
        </w:rPr>
      </w:pPr>
      <w:r w:rsidRPr="00145F2F">
        <w:rPr>
          <w:rFonts w:asciiTheme="minorHAnsi" w:hAnsiTheme="minorHAnsi" w:cstheme="minorHAnsi"/>
        </w:rPr>
        <w:t xml:space="preserve">These costs include costs associated with </w:t>
      </w:r>
      <w:r>
        <w:rPr>
          <w:rFonts w:asciiTheme="minorHAnsi" w:hAnsiTheme="minorHAnsi" w:cstheme="minorHAnsi"/>
        </w:rPr>
        <w:t xml:space="preserve">developing, proposing and </w:t>
      </w:r>
      <w:r w:rsidRPr="00E2357E">
        <w:rPr>
          <w:rFonts w:asciiTheme="minorHAnsi" w:hAnsiTheme="minorHAnsi" w:cstheme="minorHAnsi"/>
        </w:rPr>
        <w:t>modify</w:t>
      </w:r>
      <w:r w:rsidR="00B616DC">
        <w:rPr>
          <w:rFonts w:asciiTheme="minorHAnsi" w:hAnsiTheme="minorHAnsi" w:cstheme="minorHAnsi"/>
        </w:rPr>
        <w:t>ing</w:t>
      </w:r>
      <w:r w:rsidRPr="00E2357E">
        <w:rPr>
          <w:rFonts w:asciiTheme="minorHAnsi" w:hAnsiTheme="minorHAnsi" w:cstheme="minorHAnsi"/>
        </w:rPr>
        <w:t xml:space="preserve"> </w:t>
      </w:r>
      <w:r>
        <w:rPr>
          <w:rFonts w:asciiTheme="minorHAnsi" w:hAnsiTheme="minorHAnsi" w:cstheme="minorHAnsi"/>
        </w:rPr>
        <w:t xml:space="preserve">proposed </w:t>
      </w:r>
      <w:r w:rsidRPr="00E2357E">
        <w:rPr>
          <w:rFonts w:asciiTheme="minorHAnsi" w:hAnsiTheme="minorHAnsi" w:cstheme="minorHAnsi"/>
        </w:rPr>
        <w:t xml:space="preserve">remedies to increase </w:t>
      </w:r>
      <w:r w:rsidR="00E122B8">
        <w:rPr>
          <w:rFonts w:asciiTheme="minorHAnsi" w:hAnsiTheme="minorHAnsi" w:cstheme="minorHAnsi"/>
        </w:rPr>
        <w:t xml:space="preserve">the </w:t>
      </w:r>
      <w:r w:rsidRPr="00E2357E">
        <w:rPr>
          <w:rFonts w:asciiTheme="minorHAnsi" w:hAnsiTheme="minorHAnsi" w:cstheme="minorHAnsi"/>
        </w:rPr>
        <w:t>likelihood of clearance</w:t>
      </w:r>
      <w:r>
        <w:rPr>
          <w:rFonts w:asciiTheme="minorHAnsi" w:hAnsiTheme="minorHAnsi" w:cstheme="minorHAnsi"/>
        </w:rPr>
        <w:t xml:space="preserve"> during both </w:t>
      </w:r>
      <w:r w:rsidRPr="00E67A89">
        <w:rPr>
          <w:rFonts w:asciiTheme="minorHAnsi" w:hAnsiTheme="minorHAnsi" w:cstheme="minorHAnsi"/>
        </w:rPr>
        <w:t>phases of the review process and include any legal and economic advice regarding the remedy, engagement with the ACCC and implementation costs for the remedy. These costs are common to each of the options, with higher total costs as part of Option 3</w:t>
      </w:r>
      <w:r w:rsidR="00A316C6" w:rsidRPr="00E67A89">
        <w:rPr>
          <w:rFonts w:asciiTheme="minorHAnsi" w:hAnsiTheme="minorHAnsi" w:cstheme="minorHAnsi"/>
        </w:rPr>
        <w:t xml:space="preserve"> and Option 4</w:t>
      </w:r>
      <w:r w:rsidRPr="00E67A89">
        <w:rPr>
          <w:rFonts w:asciiTheme="minorHAnsi" w:hAnsiTheme="minorHAnsi" w:cstheme="minorHAnsi"/>
        </w:rPr>
        <w:t xml:space="preserve"> as outlined below. </w:t>
      </w:r>
    </w:p>
    <w:p w14:paraId="1578EF68" w14:textId="7CCF003A" w:rsidR="00947E3E" w:rsidRPr="00E67A89" w:rsidRDefault="00947E3E" w:rsidP="00947E3E">
      <w:pPr>
        <w:pStyle w:val="Dash"/>
        <w:numPr>
          <w:ilvl w:val="2"/>
          <w:numId w:val="12"/>
        </w:numPr>
        <w:rPr>
          <w:rFonts w:asciiTheme="minorHAnsi" w:hAnsiTheme="minorHAnsi" w:cstheme="minorHAnsi"/>
        </w:rPr>
      </w:pPr>
      <w:r w:rsidRPr="00E67A89">
        <w:rPr>
          <w:rFonts w:asciiTheme="minorHAnsi" w:hAnsiTheme="minorHAnsi" w:cstheme="minorHAnsi"/>
        </w:rPr>
        <w:t xml:space="preserve">These costs assume 5 </w:t>
      </w:r>
      <w:r w:rsidR="002C6DE5" w:rsidRPr="00E67A89">
        <w:rPr>
          <w:rFonts w:asciiTheme="minorHAnsi" w:hAnsiTheme="minorHAnsi" w:cstheme="minorHAnsi"/>
        </w:rPr>
        <w:t xml:space="preserve">notifications </w:t>
      </w:r>
      <w:r w:rsidRPr="00E67A89">
        <w:rPr>
          <w:rFonts w:asciiTheme="minorHAnsi" w:hAnsiTheme="minorHAnsi" w:cstheme="minorHAnsi"/>
        </w:rPr>
        <w:t xml:space="preserve">per year, based on there being 27 mergers subject to an enforceable undertaking to remedy competition concerns since </w:t>
      </w:r>
      <w:r w:rsidR="00C03D12" w:rsidRPr="00E67A89">
        <w:rPr>
          <w:rFonts w:asciiTheme="minorHAnsi" w:hAnsiTheme="minorHAnsi" w:cstheme="minorHAnsi"/>
        </w:rPr>
        <w:t xml:space="preserve">the </w:t>
      </w:r>
      <w:r w:rsidRPr="00E67A89">
        <w:rPr>
          <w:rFonts w:asciiTheme="minorHAnsi" w:hAnsiTheme="minorHAnsi" w:cstheme="minorHAnsi"/>
        </w:rPr>
        <w:t>2015</w:t>
      </w:r>
      <w:r w:rsidR="00A92001" w:rsidRPr="00E67A89">
        <w:rPr>
          <w:rFonts w:asciiTheme="minorHAnsi" w:hAnsiTheme="minorHAnsi" w:cstheme="minorHAnsi"/>
        </w:rPr>
        <w:t>–</w:t>
      </w:r>
      <w:r w:rsidRPr="00E67A89">
        <w:rPr>
          <w:rFonts w:asciiTheme="minorHAnsi" w:hAnsiTheme="minorHAnsi" w:cstheme="minorHAnsi"/>
        </w:rPr>
        <w:t>16</w:t>
      </w:r>
      <w:r w:rsidR="00C03D12" w:rsidRPr="00E67A89">
        <w:rPr>
          <w:rFonts w:asciiTheme="minorHAnsi" w:hAnsiTheme="minorHAnsi" w:cstheme="minorHAnsi"/>
        </w:rPr>
        <w:t xml:space="preserve"> financial year</w:t>
      </w:r>
      <w:r w:rsidRPr="00E67A89">
        <w:rPr>
          <w:rFonts w:asciiTheme="minorHAnsi" w:hAnsiTheme="minorHAnsi" w:cstheme="minorHAnsi"/>
        </w:rPr>
        <w:t>. The total cost for business being $</w:t>
      </w:r>
      <w:r w:rsidR="005D4165" w:rsidRPr="00E67A89">
        <w:rPr>
          <w:rFonts w:asciiTheme="minorHAnsi" w:hAnsiTheme="minorHAnsi" w:cstheme="minorHAnsi"/>
        </w:rPr>
        <w:t>2 million</w:t>
      </w:r>
      <w:r w:rsidR="00C03D12" w:rsidRPr="00E67A89">
        <w:rPr>
          <w:rFonts w:asciiTheme="minorHAnsi" w:hAnsiTheme="minorHAnsi" w:cstheme="minorHAnsi"/>
        </w:rPr>
        <w:t xml:space="preserve"> </w:t>
      </w:r>
      <w:r w:rsidRPr="00E67A89">
        <w:rPr>
          <w:rFonts w:asciiTheme="minorHAnsi" w:hAnsiTheme="minorHAnsi" w:cstheme="minorHAnsi"/>
        </w:rPr>
        <w:t>compared to the status quo of $</w:t>
      </w:r>
      <w:r w:rsidR="00ED3278" w:rsidRPr="00E67A89">
        <w:rPr>
          <w:rFonts w:asciiTheme="minorHAnsi" w:hAnsiTheme="minorHAnsi" w:cstheme="minorHAnsi"/>
        </w:rPr>
        <w:t>1.2 million</w:t>
      </w:r>
      <w:r w:rsidRPr="00E67A89">
        <w:rPr>
          <w:rFonts w:asciiTheme="minorHAnsi" w:hAnsiTheme="minorHAnsi" w:cstheme="minorHAnsi"/>
        </w:rPr>
        <w:t xml:space="preserve">, with the estimated cost per </w:t>
      </w:r>
      <w:r w:rsidR="004143D9" w:rsidRPr="00E67A89">
        <w:rPr>
          <w:rFonts w:asciiTheme="minorHAnsi" w:hAnsiTheme="minorHAnsi" w:cstheme="minorHAnsi"/>
        </w:rPr>
        <w:t xml:space="preserve">merger </w:t>
      </w:r>
      <w:r w:rsidRPr="00E67A89">
        <w:rPr>
          <w:rFonts w:asciiTheme="minorHAnsi" w:hAnsiTheme="minorHAnsi" w:cstheme="minorHAnsi"/>
        </w:rPr>
        <w:t>to be $</w:t>
      </w:r>
      <w:r w:rsidR="00E2400C" w:rsidRPr="00E67A89">
        <w:rPr>
          <w:rFonts w:asciiTheme="minorHAnsi" w:hAnsiTheme="minorHAnsi" w:cstheme="minorHAnsi"/>
        </w:rPr>
        <w:t>407,500</w:t>
      </w:r>
      <w:r w:rsidRPr="00E67A89">
        <w:rPr>
          <w:rFonts w:asciiTheme="minorHAnsi" w:hAnsiTheme="minorHAnsi" w:cstheme="minorHAnsi"/>
        </w:rPr>
        <w:t>.</w:t>
      </w:r>
    </w:p>
    <w:p w14:paraId="5B8529E5" w14:textId="4EE5A8EE" w:rsidR="00947E3E" w:rsidRPr="00FE5C5D" w:rsidRDefault="00947E3E" w:rsidP="00947E3E">
      <w:pPr>
        <w:pStyle w:val="Bullet"/>
        <w:spacing w:line="240" w:lineRule="auto"/>
        <w:rPr>
          <w:rFonts w:asciiTheme="minorHAnsi" w:hAnsiTheme="minorHAnsi" w:cstheme="minorHAnsi"/>
        </w:rPr>
      </w:pPr>
      <w:r w:rsidRPr="00FE5C5D">
        <w:rPr>
          <w:rFonts w:asciiTheme="minorHAnsi" w:hAnsiTheme="minorHAnsi" w:cstheme="minorHAnsi"/>
        </w:rPr>
        <w:t xml:space="preserve">Labour, legal and economic costs as </w:t>
      </w:r>
      <w:r>
        <w:rPr>
          <w:rFonts w:asciiTheme="minorHAnsi" w:hAnsiTheme="minorHAnsi" w:cstheme="minorHAnsi"/>
        </w:rPr>
        <w:t>for a public benefit assessment:</w:t>
      </w:r>
    </w:p>
    <w:p w14:paraId="1EA50A1D" w14:textId="77777777" w:rsidR="00947E3E" w:rsidRPr="0067639D" w:rsidRDefault="00947E3E" w:rsidP="00947E3E">
      <w:pPr>
        <w:pStyle w:val="Dash"/>
        <w:rPr>
          <w:rFonts w:asciiTheme="minorHAnsi" w:hAnsiTheme="minorHAnsi" w:cstheme="minorHAnsi"/>
        </w:rPr>
      </w:pPr>
      <w:r w:rsidRPr="00A23F7C">
        <w:rPr>
          <w:rFonts w:asciiTheme="minorHAnsi" w:hAnsiTheme="minorHAnsi" w:cstheme="minorHAnsi"/>
        </w:rPr>
        <w:t>Th</w:t>
      </w:r>
      <w:r>
        <w:rPr>
          <w:rFonts w:asciiTheme="minorHAnsi" w:hAnsiTheme="minorHAnsi" w:cstheme="minorHAnsi"/>
        </w:rPr>
        <w:t>is</w:t>
      </w:r>
      <w:r w:rsidRPr="00A23F7C">
        <w:rPr>
          <w:rFonts w:asciiTheme="minorHAnsi" w:hAnsiTheme="minorHAnsi" w:cstheme="minorHAnsi"/>
        </w:rPr>
        <w:t xml:space="preserve"> include</w:t>
      </w:r>
      <w:r>
        <w:rPr>
          <w:rFonts w:asciiTheme="minorHAnsi" w:hAnsiTheme="minorHAnsi" w:cstheme="minorHAnsi"/>
        </w:rPr>
        <w:t>s</w:t>
      </w:r>
      <w:r w:rsidRPr="00A23F7C">
        <w:rPr>
          <w:rFonts w:asciiTheme="minorHAnsi" w:hAnsiTheme="minorHAnsi" w:cstheme="minorHAnsi"/>
        </w:rPr>
        <w:t xml:space="preserve"> </w:t>
      </w:r>
      <w:r>
        <w:rPr>
          <w:rFonts w:asciiTheme="minorHAnsi" w:hAnsiTheme="minorHAnsi" w:cstheme="minorHAnsi"/>
        </w:rPr>
        <w:t xml:space="preserve">additional costs associated with seeking a public benefit assessment, such as gathering additional information, additional legal and </w:t>
      </w:r>
      <w:r w:rsidRPr="0067639D">
        <w:rPr>
          <w:rFonts w:asciiTheme="minorHAnsi" w:hAnsiTheme="minorHAnsi" w:cstheme="minorHAnsi"/>
        </w:rPr>
        <w:t xml:space="preserve">economic advice and responding to competition concerns. These costs are common to each of the options, with higher total costs as part of Option 3 as outlined below. </w:t>
      </w:r>
    </w:p>
    <w:p w14:paraId="3C81BECC" w14:textId="6F89877B" w:rsidR="00947E3E" w:rsidRPr="0067639D" w:rsidRDefault="00947E3E" w:rsidP="00947E3E">
      <w:pPr>
        <w:pStyle w:val="Dash"/>
        <w:numPr>
          <w:ilvl w:val="2"/>
          <w:numId w:val="12"/>
        </w:numPr>
        <w:rPr>
          <w:rFonts w:asciiTheme="minorHAnsi" w:hAnsiTheme="minorHAnsi" w:cstheme="minorHAnsi"/>
        </w:rPr>
      </w:pPr>
      <w:r w:rsidRPr="0067639D">
        <w:rPr>
          <w:rFonts w:asciiTheme="minorHAnsi" w:hAnsiTheme="minorHAnsi" w:cstheme="minorHAnsi"/>
        </w:rPr>
        <w:t xml:space="preserve">These costs assume </w:t>
      </w:r>
      <w:r w:rsidR="00767C3B" w:rsidRPr="0067639D">
        <w:rPr>
          <w:rFonts w:asciiTheme="minorHAnsi" w:hAnsiTheme="minorHAnsi" w:cstheme="minorHAnsi"/>
        </w:rPr>
        <w:t xml:space="preserve">2 </w:t>
      </w:r>
      <w:r w:rsidR="002C6DE5" w:rsidRPr="0067639D">
        <w:rPr>
          <w:rFonts w:asciiTheme="minorHAnsi" w:hAnsiTheme="minorHAnsi" w:cstheme="minorHAnsi"/>
        </w:rPr>
        <w:t>notification</w:t>
      </w:r>
      <w:r w:rsidR="00767C3B" w:rsidRPr="0067639D">
        <w:rPr>
          <w:rFonts w:asciiTheme="minorHAnsi" w:hAnsiTheme="minorHAnsi" w:cstheme="minorHAnsi"/>
        </w:rPr>
        <w:t>s</w:t>
      </w:r>
      <w:r w:rsidRPr="0067639D">
        <w:rPr>
          <w:rFonts w:asciiTheme="minorHAnsi" w:hAnsiTheme="minorHAnsi" w:cstheme="minorHAnsi"/>
        </w:rPr>
        <w:t xml:space="preserve"> per year. The total cost for business being $</w:t>
      </w:r>
      <w:r w:rsidR="00962B24" w:rsidRPr="0067639D">
        <w:rPr>
          <w:rFonts w:asciiTheme="minorHAnsi" w:hAnsiTheme="minorHAnsi" w:cstheme="minorHAnsi"/>
        </w:rPr>
        <w:t>3.7 million</w:t>
      </w:r>
      <w:r w:rsidRPr="0067639D">
        <w:rPr>
          <w:rFonts w:asciiTheme="minorHAnsi" w:hAnsiTheme="minorHAnsi" w:cstheme="minorHAnsi"/>
        </w:rPr>
        <w:t xml:space="preserve">, </w:t>
      </w:r>
      <w:r w:rsidR="001B7005" w:rsidRPr="0067639D">
        <w:rPr>
          <w:rFonts w:asciiTheme="minorHAnsi" w:hAnsiTheme="minorHAnsi" w:cstheme="minorHAnsi"/>
        </w:rPr>
        <w:t>which is the same as the status quo</w:t>
      </w:r>
      <w:r w:rsidR="00606024" w:rsidRPr="0067639D">
        <w:rPr>
          <w:rFonts w:asciiTheme="minorHAnsi" w:hAnsiTheme="minorHAnsi" w:cstheme="minorHAnsi"/>
        </w:rPr>
        <w:t xml:space="preserve"> as part of the merger authorisation process</w:t>
      </w:r>
      <w:r w:rsidRPr="0067639D">
        <w:rPr>
          <w:rFonts w:asciiTheme="minorHAnsi" w:hAnsiTheme="minorHAnsi" w:cstheme="minorHAnsi"/>
        </w:rPr>
        <w:t xml:space="preserve">, with the estimated cost per </w:t>
      </w:r>
      <w:r w:rsidR="00227133" w:rsidRPr="0067639D">
        <w:rPr>
          <w:rFonts w:asciiTheme="minorHAnsi" w:hAnsiTheme="minorHAnsi" w:cstheme="minorHAnsi"/>
        </w:rPr>
        <w:t xml:space="preserve">merger </w:t>
      </w:r>
      <w:r w:rsidRPr="0067639D">
        <w:rPr>
          <w:rFonts w:asciiTheme="minorHAnsi" w:hAnsiTheme="minorHAnsi" w:cstheme="minorHAnsi"/>
        </w:rPr>
        <w:t>to be $</w:t>
      </w:r>
      <w:r w:rsidR="006F5C89" w:rsidRPr="0067639D">
        <w:rPr>
          <w:rFonts w:asciiTheme="minorHAnsi" w:hAnsiTheme="minorHAnsi" w:cstheme="minorHAnsi"/>
        </w:rPr>
        <w:t>1.9 million</w:t>
      </w:r>
      <w:r w:rsidRPr="0067639D">
        <w:rPr>
          <w:rFonts w:asciiTheme="minorHAnsi" w:hAnsiTheme="minorHAnsi" w:cstheme="minorHAnsi"/>
        </w:rPr>
        <w:t>.</w:t>
      </w:r>
    </w:p>
    <w:p w14:paraId="58815DCB" w14:textId="37212CC0" w:rsidR="00947E3E" w:rsidRPr="00381016" w:rsidRDefault="00947E3E" w:rsidP="00947E3E">
      <w:pPr>
        <w:pStyle w:val="Bullet"/>
        <w:spacing w:line="240" w:lineRule="auto"/>
        <w:rPr>
          <w:rFonts w:asciiTheme="minorHAnsi" w:hAnsiTheme="minorHAnsi" w:cstheme="minorHAnsi"/>
        </w:rPr>
      </w:pPr>
      <w:r w:rsidRPr="00FE5C5D">
        <w:rPr>
          <w:rFonts w:asciiTheme="minorHAnsi" w:hAnsiTheme="minorHAnsi" w:cstheme="minorHAnsi"/>
        </w:rPr>
        <w:t xml:space="preserve">Labour and legal costs </w:t>
      </w:r>
      <w:r>
        <w:rPr>
          <w:rFonts w:asciiTheme="minorHAnsi" w:hAnsiTheme="minorHAnsi" w:cstheme="minorHAnsi"/>
        </w:rPr>
        <w:t xml:space="preserve">for Tribunal and other </w:t>
      </w:r>
      <w:r w:rsidRPr="00FE5C5D">
        <w:rPr>
          <w:rFonts w:asciiTheme="minorHAnsi" w:hAnsiTheme="minorHAnsi" w:cstheme="minorHAnsi"/>
        </w:rPr>
        <w:t>post-merger review</w:t>
      </w:r>
      <w:r>
        <w:rPr>
          <w:rFonts w:asciiTheme="minorHAnsi" w:hAnsiTheme="minorHAnsi" w:cstheme="minorHAnsi"/>
        </w:rPr>
        <w:t>:</w:t>
      </w:r>
      <w:r w:rsidRPr="00FE5C5D">
        <w:rPr>
          <w:rFonts w:asciiTheme="minorHAnsi" w:hAnsiTheme="minorHAnsi" w:cstheme="minorHAnsi"/>
        </w:rPr>
        <w:t xml:space="preserve"> </w:t>
      </w:r>
    </w:p>
    <w:p w14:paraId="75F80BBC" w14:textId="6A07748E" w:rsidR="00947E3E" w:rsidRPr="00590D09" w:rsidRDefault="00947E3E" w:rsidP="00947E3E">
      <w:pPr>
        <w:pStyle w:val="Dash"/>
        <w:rPr>
          <w:rFonts w:asciiTheme="minorHAnsi" w:hAnsiTheme="minorHAnsi" w:cstheme="minorHAnsi"/>
        </w:rPr>
      </w:pPr>
      <w:r w:rsidRPr="00E2357E">
        <w:rPr>
          <w:rFonts w:asciiTheme="minorHAnsi" w:hAnsiTheme="minorHAnsi" w:cstheme="minorHAnsi"/>
        </w:rPr>
        <w:t xml:space="preserve">This includes costs for </w:t>
      </w:r>
      <w:r w:rsidR="00DE1381">
        <w:rPr>
          <w:rFonts w:asciiTheme="minorHAnsi" w:hAnsiTheme="minorHAnsi" w:cstheme="minorHAnsi"/>
        </w:rPr>
        <w:t>the</w:t>
      </w:r>
      <w:r w:rsidRPr="00E2357E">
        <w:rPr>
          <w:rFonts w:asciiTheme="minorHAnsi" w:hAnsiTheme="minorHAnsi" w:cstheme="minorHAnsi"/>
        </w:rPr>
        <w:t xml:space="preserve"> </w:t>
      </w:r>
      <w:r>
        <w:rPr>
          <w:rFonts w:asciiTheme="minorHAnsi" w:hAnsiTheme="minorHAnsi" w:cstheme="minorHAnsi"/>
        </w:rPr>
        <w:t xml:space="preserve">preparation of an application, preparation for proceedings, filing submissions </w:t>
      </w:r>
      <w:r w:rsidRPr="00590D09">
        <w:rPr>
          <w:rFonts w:asciiTheme="minorHAnsi" w:hAnsiTheme="minorHAnsi" w:cstheme="minorHAnsi"/>
        </w:rPr>
        <w:t xml:space="preserve">and any permitted new material, and attendance at proceedings, for the limited number of estimated cases that may be subject </w:t>
      </w:r>
      <w:r w:rsidR="00B408AA" w:rsidRPr="00590D09">
        <w:rPr>
          <w:rFonts w:asciiTheme="minorHAnsi" w:hAnsiTheme="minorHAnsi" w:cstheme="minorHAnsi"/>
        </w:rPr>
        <w:t>to</w:t>
      </w:r>
      <w:r w:rsidRPr="00590D09">
        <w:rPr>
          <w:rFonts w:asciiTheme="minorHAnsi" w:hAnsiTheme="minorHAnsi" w:cstheme="minorHAnsi"/>
        </w:rPr>
        <w:t xml:space="preserve"> an adverse decision by the ACCC. These costs </w:t>
      </w:r>
      <w:r w:rsidR="00AD2907" w:rsidRPr="00590D09">
        <w:rPr>
          <w:rFonts w:asciiTheme="minorHAnsi" w:hAnsiTheme="minorHAnsi" w:cstheme="minorHAnsi"/>
        </w:rPr>
        <w:t>var</w:t>
      </w:r>
      <w:r w:rsidR="00A968BA" w:rsidRPr="00590D09">
        <w:rPr>
          <w:rFonts w:asciiTheme="minorHAnsi" w:hAnsiTheme="minorHAnsi" w:cstheme="minorHAnsi"/>
        </w:rPr>
        <w:t>y</w:t>
      </w:r>
      <w:r w:rsidR="00AD2907" w:rsidRPr="00590D09">
        <w:rPr>
          <w:rFonts w:asciiTheme="minorHAnsi" w:hAnsiTheme="minorHAnsi" w:cstheme="minorHAnsi"/>
        </w:rPr>
        <w:t xml:space="preserve"> across</w:t>
      </w:r>
      <w:r w:rsidRPr="00590D09">
        <w:rPr>
          <w:rFonts w:asciiTheme="minorHAnsi" w:hAnsiTheme="minorHAnsi" w:cstheme="minorHAnsi"/>
        </w:rPr>
        <w:t xml:space="preserve"> the options, with higher total costs as part of Option 3 as outlined below.</w:t>
      </w:r>
    </w:p>
    <w:p w14:paraId="47E72714" w14:textId="02B0D245" w:rsidR="00947E3E" w:rsidRPr="00590D09" w:rsidRDefault="00947E3E" w:rsidP="00947E3E">
      <w:pPr>
        <w:pStyle w:val="Dash"/>
        <w:numPr>
          <w:ilvl w:val="2"/>
          <w:numId w:val="12"/>
        </w:numPr>
        <w:rPr>
          <w:rFonts w:asciiTheme="minorHAnsi" w:hAnsiTheme="minorHAnsi" w:cstheme="minorHAnsi"/>
        </w:rPr>
      </w:pPr>
      <w:r w:rsidRPr="00590D09">
        <w:rPr>
          <w:rFonts w:asciiTheme="minorHAnsi" w:hAnsiTheme="minorHAnsi" w:cstheme="minorHAnsi"/>
        </w:rPr>
        <w:t xml:space="preserve">These costs assume 4 </w:t>
      </w:r>
      <w:r w:rsidR="002C6DE5" w:rsidRPr="00590D09">
        <w:rPr>
          <w:rFonts w:asciiTheme="minorHAnsi" w:hAnsiTheme="minorHAnsi" w:cstheme="minorHAnsi"/>
        </w:rPr>
        <w:t>notification</w:t>
      </w:r>
      <w:r w:rsidR="00371C66" w:rsidRPr="00590D09">
        <w:rPr>
          <w:rFonts w:asciiTheme="minorHAnsi" w:hAnsiTheme="minorHAnsi" w:cstheme="minorHAnsi"/>
        </w:rPr>
        <w:t>s</w:t>
      </w:r>
      <w:r w:rsidR="002C6DE5" w:rsidRPr="00590D09">
        <w:rPr>
          <w:rFonts w:asciiTheme="minorHAnsi" w:hAnsiTheme="minorHAnsi" w:cstheme="minorHAnsi"/>
        </w:rPr>
        <w:t xml:space="preserve"> </w:t>
      </w:r>
      <w:r w:rsidRPr="00590D09">
        <w:rPr>
          <w:rFonts w:asciiTheme="minorHAnsi" w:hAnsiTheme="minorHAnsi" w:cstheme="minorHAnsi"/>
        </w:rPr>
        <w:t>per year will seek Tribunal review, based on ACCC and Treasury estimates. The total cost for business being $</w:t>
      </w:r>
      <w:r w:rsidR="009231A8" w:rsidRPr="00590D09">
        <w:rPr>
          <w:rFonts w:asciiTheme="minorHAnsi" w:hAnsiTheme="minorHAnsi" w:cstheme="minorHAnsi"/>
        </w:rPr>
        <w:t>22</w:t>
      </w:r>
      <w:r w:rsidRPr="00590D09">
        <w:rPr>
          <w:rFonts w:asciiTheme="minorHAnsi" w:hAnsiTheme="minorHAnsi" w:cstheme="minorHAnsi"/>
        </w:rPr>
        <w:t>.</w:t>
      </w:r>
      <w:r w:rsidR="00590D09" w:rsidRPr="00590D09">
        <w:rPr>
          <w:rFonts w:asciiTheme="minorHAnsi" w:hAnsiTheme="minorHAnsi" w:cstheme="minorHAnsi"/>
        </w:rPr>
        <w:t>6</w:t>
      </w:r>
      <w:r w:rsidR="00A61498" w:rsidRPr="00590D09">
        <w:rPr>
          <w:rFonts w:asciiTheme="minorHAnsi" w:hAnsiTheme="minorHAnsi" w:cstheme="minorHAnsi"/>
        </w:rPr>
        <w:t xml:space="preserve"> </w:t>
      </w:r>
      <w:r w:rsidRPr="00590D09">
        <w:rPr>
          <w:rFonts w:asciiTheme="minorHAnsi" w:hAnsiTheme="minorHAnsi" w:cstheme="minorHAnsi"/>
        </w:rPr>
        <w:t>million, compared to the status quo of $</w:t>
      </w:r>
      <w:r w:rsidR="000A13D0" w:rsidRPr="00590D09">
        <w:rPr>
          <w:rFonts w:asciiTheme="minorHAnsi" w:hAnsiTheme="minorHAnsi" w:cstheme="minorHAnsi"/>
        </w:rPr>
        <w:t>14</w:t>
      </w:r>
      <w:r w:rsidR="00A61498" w:rsidRPr="00590D09">
        <w:rPr>
          <w:rFonts w:asciiTheme="minorHAnsi" w:hAnsiTheme="minorHAnsi" w:cstheme="minorHAnsi"/>
        </w:rPr>
        <w:t xml:space="preserve"> </w:t>
      </w:r>
      <w:r w:rsidRPr="00590D09">
        <w:rPr>
          <w:rFonts w:asciiTheme="minorHAnsi" w:hAnsiTheme="minorHAnsi" w:cstheme="minorHAnsi"/>
        </w:rPr>
        <w:t xml:space="preserve">million for the single average </w:t>
      </w:r>
      <w:r w:rsidR="002C6DE5" w:rsidRPr="00590D09">
        <w:rPr>
          <w:rFonts w:asciiTheme="minorHAnsi" w:hAnsiTheme="minorHAnsi" w:cstheme="minorHAnsi"/>
        </w:rPr>
        <w:t xml:space="preserve">notification </w:t>
      </w:r>
      <w:r w:rsidRPr="00590D09">
        <w:rPr>
          <w:rFonts w:asciiTheme="minorHAnsi" w:hAnsiTheme="minorHAnsi" w:cstheme="minorHAnsi"/>
        </w:rPr>
        <w:t xml:space="preserve">that seeks judicial review each year, with the estimated cost per </w:t>
      </w:r>
      <w:r w:rsidR="00227133" w:rsidRPr="00590D09">
        <w:rPr>
          <w:rFonts w:asciiTheme="minorHAnsi" w:hAnsiTheme="minorHAnsi" w:cstheme="minorHAnsi"/>
        </w:rPr>
        <w:t xml:space="preserve">merger </w:t>
      </w:r>
      <w:r w:rsidRPr="00590D09">
        <w:rPr>
          <w:rFonts w:asciiTheme="minorHAnsi" w:hAnsiTheme="minorHAnsi" w:cstheme="minorHAnsi"/>
        </w:rPr>
        <w:t>to be $5</w:t>
      </w:r>
      <w:r w:rsidR="009231A8" w:rsidRPr="00590D09">
        <w:rPr>
          <w:rFonts w:asciiTheme="minorHAnsi" w:hAnsiTheme="minorHAnsi" w:cstheme="minorHAnsi"/>
        </w:rPr>
        <w:t>.6</w:t>
      </w:r>
      <w:r w:rsidRPr="00590D09">
        <w:rPr>
          <w:rFonts w:asciiTheme="minorHAnsi" w:hAnsiTheme="minorHAnsi" w:cstheme="minorHAnsi"/>
        </w:rPr>
        <w:t xml:space="preserve"> million. </w:t>
      </w:r>
    </w:p>
    <w:p w14:paraId="391873BC" w14:textId="53257A7D" w:rsidR="00F8788E" w:rsidRPr="00D35618" w:rsidRDefault="00E56E65" w:rsidP="00F8788E">
      <w:pPr>
        <w:rPr>
          <w:b/>
          <w:color w:val="2C384A" w:themeColor="accent1"/>
        </w:rPr>
      </w:pPr>
      <w:r w:rsidRPr="00D35618">
        <w:rPr>
          <w:b/>
          <w:color w:val="2C384A" w:themeColor="accent1"/>
        </w:rPr>
        <w:t xml:space="preserve">Table </w:t>
      </w:r>
      <w:r>
        <w:rPr>
          <w:b/>
          <w:color w:val="2C384A" w:themeColor="accent1"/>
        </w:rPr>
        <w:t>2</w:t>
      </w:r>
      <w:r w:rsidRPr="00D35618">
        <w:rPr>
          <w:b/>
          <w:color w:val="2C384A" w:themeColor="accent1"/>
        </w:rPr>
        <w:t>. Estimated total cost to business</w:t>
      </w:r>
      <w:r>
        <w:rPr>
          <w:b/>
          <w:color w:val="2C384A" w:themeColor="accent1"/>
        </w:rPr>
        <w:t>es</w:t>
      </w:r>
      <w:r w:rsidRPr="00D35618">
        <w:rPr>
          <w:b/>
          <w:color w:val="2C384A" w:themeColor="accent1"/>
        </w:rPr>
        <w:t xml:space="preserve"> under </w:t>
      </w:r>
      <w:r>
        <w:rPr>
          <w:b/>
          <w:color w:val="2C384A" w:themeColor="accent1"/>
        </w:rPr>
        <w:t>Option 2</w:t>
      </w:r>
      <w:r w:rsidR="00F8788E" w:rsidRPr="00D35618">
        <w:rPr>
          <w:b/>
          <w:color w:val="2C384A" w:themeColor="accent1"/>
        </w:rPr>
        <w:t xml:space="preserve"> </w:t>
      </w:r>
    </w:p>
    <w:tbl>
      <w:tblPr>
        <w:tblStyle w:val="TableGrid"/>
        <w:tblW w:w="2277" w:type="pct"/>
        <w:tblBorders>
          <w:bottom w:val="single" w:sz="18" w:space="0" w:color="auto"/>
          <w:insideH w:val="single" w:sz="4" w:space="0" w:color="auto"/>
        </w:tblBorders>
        <w:tblLayout w:type="fixed"/>
        <w:tblLook w:val="04A0" w:firstRow="1" w:lastRow="0" w:firstColumn="1" w:lastColumn="0" w:noHBand="0" w:noVBand="1"/>
      </w:tblPr>
      <w:tblGrid>
        <w:gridCol w:w="2197"/>
        <w:gridCol w:w="213"/>
        <w:gridCol w:w="1700"/>
      </w:tblGrid>
      <w:tr w:rsidR="002D0B0C" w:rsidRPr="007D6633" w14:paraId="28AEA844" w14:textId="77777777" w:rsidTr="00192AC7">
        <w:trPr>
          <w:cnfStyle w:val="100000000000" w:firstRow="1" w:lastRow="0" w:firstColumn="0" w:lastColumn="0" w:oddVBand="0" w:evenVBand="0" w:oddHBand="0" w:evenHBand="0" w:firstRowFirstColumn="0" w:firstRowLastColumn="0" w:lastRowFirstColumn="0" w:lastRowLastColumn="0"/>
        </w:trPr>
        <w:tc>
          <w:tcPr>
            <w:tcW w:w="2673" w:type="pct"/>
            <w:shd w:val="clear" w:color="auto" w:fill="2C384A" w:themeFill="accent1"/>
          </w:tcPr>
          <w:p w14:paraId="210CF84F" w14:textId="77777777" w:rsidR="002D0B0C" w:rsidRDefault="00875AA2">
            <w:pPr>
              <w:pStyle w:val="Bullet"/>
              <w:keepNext/>
              <w:numPr>
                <w:ilvl w:val="0"/>
                <w:numId w:val="0"/>
              </w:numPr>
              <w:spacing w:line="240" w:lineRule="auto"/>
              <w:rPr>
                <w:color w:val="FFFFFF" w:themeColor="background1"/>
                <w:szCs w:val="22"/>
              </w:rPr>
            </w:pPr>
            <w:r>
              <w:rPr>
                <w:color w:val="FFFFFF" w:themeColor="background1"/>
                <w:szCs w:val="22"/>
              </w:rPr>
              <w:t>Description of activity</w:t>
            </w:r>
          </w:p>
        </w:tc>
        <w:tc>
          <w:tcPr>
            <w:tcW w:w="2327" w:type="pct"/>
            <w:gridSpan w:val="2"/>
            <w:shd w:val="clear" w:color="auto" w:fill="2C384A" w:themeFill="accent1"/>
          </w:tcPr>
          <w:p w14:paraId="099EB5BC" w14:textId="77777777" w:rsidR="002D0B0C" w:rsidRPr="00744366" w:rsidRDefault="00875AA2">
            <w:pPr>
              <w:pStyle w:val="Bullet"/>
              <w:keepNext/>
              <w:numPr>
                <w:ilvl w:val="0"/>
                <w:numId w:val="0"/>
              </w:numPr>
              <w:spacing w:line="240" w:lineRule="auto"/>
              <w:rPr>
                <w:color w:val="FFFFFF" w:themeColor="background1"/>
                <w:sz w:val="22"/>
                <w:szCs w:val="22"/>
              </w:rPr>
            </w:pPr>
            <w:r>
              <w:rPr>
                <w:color w:val="FFFFFF" w:themeColor="background1"/>
                <w:sz w:val="22"/>
                <w:szCs w:val="22"/>
              </w:rPr>
              <w:t>Estimated total costs per year</w:t>
            </w:r>
          </w:p>
        </w:tc>
      </w:tr>
      <w:tr w:rsidR="00F8788E" w:rsidRPr="006E68CB" w14:paraId="4DDB66C8" w14:textId="77777777" w:rsidTr="00192AC7">
        <w:tc>
          <w:tcPr>
            <w:tcW w:w="2932" w:type="pct"/>
            <w:gridSpan w:val="2"/>
          </w:tcPr>
          <w:p w14:paraId="26CA53FF" w14:textId="62A50603" w:rsidR="00F8788E" w:rsidRPr="006E68CB" w:rsidRDefault="00875AA2">
            <w:pPr>
              <w:pStyle w:val="Bullet"/>
              <w:numPr>
                <w:ilvl w:val="0"/>
                <w:numId w:val="0"/>
              </w:numPr>
              <w:spacing w:line="240" w:lineRule="auto"/>
              <w:ind w:left="520" w:hanging="520"/>
              <w:rPr>
                <w:rFonts w:asciiTheme="minorHAnsi" w:hAnsiTheme="minorHAnsi" w:cstheme="minorHAnsi"/>
                <w:sz w:val="20"/>
              </w:rPr>
            </w:pPr>
            <w:r>
              <w:rPr>
                <w:rFonts w:asciiTheme="minorHAnsi" w:hAnsiTheme="minorHAnsi" w:cstheme="minorHAnsi"/>
                <w:sz w:val="20"/>
              </w:rPr>
              <w:t>Familiarisation costs</w:t>
            </w:r>
          </w:p>
        </w:tc>
        <w:tc>
          <w:tcPr>
            <w:tcW w:w="2068" w:type="pct"/>
          </w:tcPr>
          <w:p w14:paraId="3B051AA1" w14:textId="7C1D0AF4" w:rsidR="00F8788E" w:rsidRPr="00192AC7" w:rsidRDefault="00D924F2" w:rsidP="009A3A3A">
            <w:pPr>
              <w:pStyle w:val="Bullet"/>
              <w:numPr>
                <w:ilvl w:val="0"/>
                <w:numId w:val="0"/>
              </w:numPr>
              <w:spacing w:line="240" w:lineRule="auto"/>
              <w:ind w:left="520" w:hanging="520"/>
              <w:jc w:val="right"/>
              <w:rPr>
                <w:rFonts w:asciiTheme="minorHAnsi" w:hAnsiTheme="minorHAnsi" w:cstheme="minorHAnsi"/>
                <w:sz w:val="20"/>
              </w:rPr>
            </w:pPr>
            <w:r w:rsidRPr="00192AC7">
              <w:rPr>
                <w:rFonts w:asciiTheme="minorHAnsi" w:hAnsiTheme="minorHAnsi" w:cstheme="minorHAnsi"/>
                <w:color w:val="000000"/>
                <w:sz w:val="20"/>
              </w:rPr>
              <w:t>$235,000</w:t>
            </w:r>
          </w:p>
        </w:tc>
      </w:tr>
      <w:tr w:rsidR="00F8788E" w:rsidRPr="006E68CB" w14:paraId="1499EB5D" w14:textId="77777777" w:rsidTr="00192AC7">
        <w:tc>
          <w:tcPr>
            <w:tcW w:w="2932" w:type="pct"/>
            <w:gridSpan w:val="2"/>
          </w:tcPr>
          <w:p w14:paraId="3B979DDA" w14:textId="4FDDCBAA" w:rsidR="00F8788E" w:rsidRPr="006E68CB" w:rsidRDefault="00875AA2" w:rsidP="00F8788E">
            <w:pPr>
              <w:pStyle w:val="Bullet"/>
              <w:numPr>
                <w:ilvl w:val="0"/>
                <w:numId w:val="0"/>
              </w:numPr>
              <w:spacing w:line="240" w:lineRule="auto"/>
              <w:ind w:left="520" w:hanging="520"/>
              <w:rPr>
                <w:rFonts w:asciiTheme="minorHAnsi" w:hAnsiTheme="minorHAnsi" w:cstheme="minorHAnsi"/>
                <w:sz w:val="20"/>
              </w:rPr>
            </w:pPr>
            <w:r w:rsidRPr="006E68CB">
              <w:rPr>
                <w:rFonts w:asciiTheme="minorHAnsi" w:hAnsiTheme="minorHAnsi" w:cstheme="minorHAnsi"/>
                <w:sz w:val="20"/>
              </w:rPr>
              <w:t>Decision to notify</w:t>
            </w:r>
          </w:p>
        </w:tc>
        <w:tc>
          <w:tcPr>
            <w:tcW w:w="2068" w:type="pct"/>
          </w:tcPr>
          <w:p w14:paraId="428F7575" w14:textId="27C3C28D" w:rsidR="00F8788E" w:rsidRPr="00192AC7" w:rsidRDefault="00D924F2" w:rsidP="009A3A3A">
            <w:pPr>
              <w:pStyle w:val="Bullet"/>
              <w:numPr>
                <w:ilvl w:val="0"/>
                <w:numId w:val="0"/>
              </w:numPr>
              <w:spacing w:line="240" w:lineRule="auto"/>
              <w:ind w:left="520" w:hanging="520"/>
              <w:jc w:val="right"/>
              <w:rPr>
                <w:rFonts w:asciiTheme="minorHAnsi" w:hAnsiTheme="minorHAnsi" w:cstheme="minorHAnsi"/>
                <w:sz w:val="20"/>
              </w:rPr>
            </w:pPr>
            <w:r w:rsidRPr="00192AC7">
              <w:rPr>
                <w:rFonts w:asciiTheme="minorHAnsi" w:hAnsiTheme="minorHAnsi" w:cstheme="minorHAnsi"/>
                <w:color w:val="000000"/>
                <w:sz w:val="20"/>
              </w:rPr>
              <w:t>$26,875,000</w:t>
            </w:r>
          </w:p>
        </w:tc>
      </w:tr>
      <w:tr w:rsidR="00F8788E" w:rsidRPr="009A24FE" w14:paraId="0D44CA50" w14:textId="77777777" w:rsidTr="00192AC7">
        <w:tc>
          <w:tcPr>
            <w:tcW w:w="2932" w:type="pct"/>
            <w:gridSpan w:val="2"/>
          </w:tcPr>
          <w:p w14:paraId="7502EDC1" w14:textId="77777777" w:rsidR="00F8788E" w:rsidRPr="009A24FE" w:rsidRDefault="00875AA2" w:rsidP="00F8788E">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Prepare an application</w:t>
            </w:r>
          </w:p>
        </w:tc>
        <w:tc>
          <w:tcPr>
            <w:tcW w:w="2068" w:type="pct"/>
          </w:tcPr>
          <w:p w14:paraId="0C6802EC" w14:textId="1A5860EE" w:rsidR="00F8788E" w:rsidRPr="00192AC7" w:rsidRDefault="00D924F2" w:rsidP="009A3A3A">
            <w:pPr>
              <w:pStyle w:val="Bullet"/>
              <w:numPr>
                <w:ilvl w:val="0"/>
                <w:numId w:val="0"/>
              </w:numPr>
              <w:spacing w:line="240" w:lineRule="auto"/>
              <w:ind w:left="520" w:hanging="520"/>
              <w:jc w:val="right"/>
              <w:rPr>
                <w:rFonts w:asciiTheme="minorHAnsi" w:hAnsiTheme="minorHAnsi" w:cstheme="minorHAnsi"/>
                <w:sz w:val="20"/>
              </w:rPr>
            </w:pPr>
            <w:r w:rsidRPr="00192AC7">
              <w:rPr>
                <w:rFonts w:asciiTheme="minorHAnsi" w:hAnsiTheme="minorHAnsi" w:cstheme="minorHAnsi"/>
                <w:color w:val="000000"/>
                <w:sz w:val="20"/>
              </w:rPr>
              <w:t>$28,420,000</w:t>
            </w:r>
          </w:p>
        </w:tc>
      </w:tr>
      <w:tr w:rsidR="002D0B0C" w:rsidRPr="009A24FE" w14:paraId="3535A139" w14:textId="77777777" w:rsidTr="00192AC7">
        <w:tc>
          <w:tcPr>
            <w:tcW w:w="2932" w:type="pct"/>
            <w:gridSpan w:val="2"/>
          </w:tcPr>
          <w:p w14:paraId="231229D8" w14:textId="77777777" w:rsidR="00F8788E" w:rsidRPr="009A24FE" w:rsidRDefault="00875AA2" w:rsidP="00F8788E">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Phase 1</w:t>
            </w:r>
          </w:p>
        </w:tc>
        <w:tc>
          <w:tcPr>
            <w:tcW w:w="2068" w:type="pct"/>
          </w:tcPr>
          <w:p w14:paraId="0ADC0196" w14:textId="11C7A37E" w:rsidR="00F8788E" w:rsidRPr="00192AC7" w:rsidRDefault="00D924F2" w:rsidP="009A3A3A">
            <w:pPr>
              <w:pStyle w:val="Bullet"/>
              <w:numPr>
                <w:ilvl w:val="0"/>
                <w:numId w:val="0"/>
              </w:numPr>
              <w:spacing w:line="240" w:lineRule="auto"/>
              <w:ind w:left="520" w:hanging="520"/>
              <w:jc w:val="right"/>
              <w:rPr>
                <w:rFonts w:asciiTheme="minorHAnsi" w:hAnsiTheme="minorHAnsi" w:cstheme="minorHAnsi"/>
                <w:sz w:val="20"/>
              </w:rPr>
            </w:pPr>
            <w:r w:rsidRPr="00192AC7">
              <w:rPr>
                <w:rFonts w:asciiTheme="minorHAnsi" w:hAnsiTheme="minorHAnsi" w:cstheme="minorHAnsi"/>
                <w:sz w:val="20"/>
              </w:rPr>
              <w:t>$59,137,500</w:t>
            </w:r>
          </w:p>
        </w:tc>
      </w:tr>
      <w:tr w:rsidR="002D0B0C" w:rsidRPr="009A24FE" w14:paraId="32BBBEAB" w14:textId="77777777" w:rsidTr="00192AC7">
        <w:tc>
          <w:tcPr>
            <w:tcW w:w="2932" w:type="pct"/>
            <w:gridSpan w:val="2"/>
          </w:tcPr>
          <w:p w14:paraId="6576D75B" w14:textId="77777777" w:rsidR="00F8788E" w:rsidRPr="009A24FE" w:rsidRDefault="00875AA2" w:rsidP="00F8788E">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Phase 2</w:t>
            </w:r>
          </w:p>
        </w:tc>
        <w:tc>
          <w:tcPr>
            <w:tcW w:w="2068" w:type="pct"/>
          </w:tcPr>
          <w:p w14:paraId="1B309B1F" w14:textId="6417F073" w:rsidR="00F8788E" w:rsidRPr="00192AC7" w:rsidRDefault="00D924F2" w:rsidP="009A3A3A">
            <w:pPr>
              <w:pStyle w:val="Bullet"/>
              <w:numPr>
                <w:ilvl w:val="0"/>
                <w:numId w:val="0"/>
              </w:numPr>
              <w:spacing w:line="240" w:lineRule="auto"/>
              <w:ind w:left="520" w:hanging="520"/>
              <w:jc w:val="right"/>
              <w:rPr>
                <w:rFonts w:asciiTheme="minorHAnsi" w:hAnsiTheme="minorHAnsi" w:cstheme="minorHAnsi"/>
                <w:sz w:val="20"/>
              </w:rPr>
            </w:pPr>
            <w:r w:rsidRPr="00192AC7">
              <w:rPr>
                <w:rFonts w:asciiTheme="minorHAnsi" w:hAnsiTheme="minorHAnsi" w:cstheme="minorHAnsi"/>
                <w:color w:val="000000"/>
                <w:sz w:val="20"/>
              </w:rPr>
              <w:t>$27,975,000</w:t>
            </w:r>
          </w:p>
        </w:tc>
      </w:tr>
      <w:tr w:rsidR="002D0B0C" w:rsidRPr="009A24FE" w14:paraId="7CE20856" w14:textId="77777777" w:rsidTr="00192AC7">
        <w:tc>
          <w:tcPr>
            <w:tcW w:w="2932" w:type="pct"/>
            <w:gridSpan w:val="2"/>
          </w:tcPr>
          <w:p w14:paraId="678E67C2" w14:textId="77777777" w:rsidR="00F8788E" w:rsidRPr="009A24FE" w:rsidRDefault="00875AA2" w:rsidP="00F8788E">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Remedies</w:t>
            </w:r>
          </w:p>
        </w:tc>
        <w:tc>
          <w:tcPr>
            <w:tcW w:w="2068" w:type="pct"/>
          </w:tcPr>
          <w:p w14:paraId="5D2F5BCF" w14:textId="3627CB24" w:rsidR="00F8788E" w:rsidRPr="00192AC7" w:rsidRDefault="00D924F2" w:rsidP="009A3A3A">
            <w:pPr>
              <w:pStyle w:val="Bullet"/>
              <w:numPr>
                <w:ilvl w:val="0"/>
                <w:numId w:val="0"/>
              </w:numPr>
              <w:spacing w:line="240" w:lineRule="auto"/>
              <w:ind w:left="520" w:hanging="520"/>
              <w:jc w:val="right"/>
              <w:rPr>
                <w:rFonts w:asciiTheme="minorHAnsi" w:hAnsiTheme="minorHAnsi" w:cstheme="minorHAnsi"/>
                <w:sz w:val="20"/>
              </w:rPr>
            </w:pPr>
            <w:r w:rsidRPr="00192AC7">
              <w:rPr>
                <w:rFonts w:asciiTheme="minorHAnsi" w:hAnsiTheme="minorHAnsi" w:cstheme="minorHAnsi"/>
                <w:color w:val="000000"/>
                <w:sz w:val="20"/>
              </w:rPr>
              <w:t>$2,037,500</w:t>
            </w:r>
          </w:p>
        </w:tc>
      </w:tr>
      <w:tr w:rsidR="002D0B0C" w:rsidRPr="009A24FE" w14:paraId="787188D6" w14:textId="77777777" w:rsidTr="00192AC7">
        <w:tc>
          <w:tcPr>
            <w:tcW w:w="2932" w:type="pct"/>
            <w:gridSpan w:val="2"/>
          </w:tcPr>
          <w:p w14:paraId="0666B9EA" w14:textId="77777777" w:rsidR="00F8788E" w:rsidRPr="009A24FE" w:rsidRDefault="00875AA2" w:rsidP="00F8788E">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Public benefits</w:t>
            </w:r>
          </w:p>
        </w:tc>
        <w:tc>
          <w:tcPr>
            <w:tcW w:w="2068" w:type="pct"/>
          </w:tcPr>
          <w:p w14:paraId="2DF7046D" w14:textId="22044475" w:rsidR="00F8788E" w:rsidRPr="00192AC7" w:rsidRDefault="00D924F2" w:rsidP="009A3A3A">
            <w:pPr>
              <w:pStyle w:val="Bullet"/>
              <w:numPr>
                <w:ilvl w:val="0"/>
                <w:numId w:val="0"/>
              </w:numPr>
              <w:spacing w:line="240" w:lineRule="auto"/>
              <w:ind w:left="520" w:hanging="520"/>
              <w:jc w:val="right"/>
              <w:rPr>
                <w:rFonts w:asciiTheme="minorHAnsi" w:hAnsiTheme="minorHAnsi" w:cstheme="minorHAnsi"/>
                <w:sz w:val="20"/>
              </w:rPr>
            </w:pPr>
            <w:r w:rsidRPr="00192AC7">
              <w:rPr>
                <w:rFonts w:asciiTheme="minorHAnsi" w:hAnsiTheme="minorHAnsi" w:cstheme="minorHAnsi"/>
                <w:color w:val="000000"/>
                <w:sz w:val="20"/>
              </w:rPr>
              <w:t>$3,730,000</w:t>
            </w:r>
          </w:p>
        </w:tc>
      </w:tr>
      <w:tr w:rsidR="002D0B0C" w:rsidRPr="009A24FE" w14:paraId="5A9494AD" w14:textId="77777777" w:rsidTr="00192AC7">
        <w:tc>
          <w:tcPr>
            <w:tcW w:w="2932" w:type="pct"/>
            <w:gridSpan w:val="2"/>
          </w:tcPr>
          <w:p w14:paraId="369B5F45" w14:textId="77777777" w:rsidR="00F8788E" w:rsidRPr="009A24FE" w:rsidRDefault="00875AA2" w:rsidP="00F8788E">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Review</w:t>
            </w:r>
          </w:p>
        </w:tc>
        <w:tc>
          <w:tcPr>
            <w:tcW w:w="2068" w:type="pct"/>
          </w:tcPr>
          <w:p w14:paraId="01A2B8B4" w14:textId="0807F2A5" w:rsidR="00F8788E" w:rsidRPr="00192AC7" w:rsidRDefault="00D924F2" w:rsidP="009A3A3A">
            <w:pPr>
              <w:pStyle w:val="Bullet"/>
              <w:numPr>
                <w:ilvl w:val="0"/>
                <w:numId w:val="0"/>
              </w:numPr>
              <w:spacing w:line="240" w:lineRule="auto"/>
              <w:ind w:left="520" w:hanging="520"/>
              <w:jc w:val="right"/>
              <w:rPr>
                <w:rFonts w:asciiTheme="minorHAnsi" w:hAnsiTheme="minorHAnsi" w:cstheme="minorHAnsi"/>
                <w:sz w:val="20"/>
              </w:rPr>
            </w:pPr>
            <w:r w:rsidRPr="00192AC7">
              <w:rPr>
                <w:rFonts w:asciiTheme="minorHAnsi" w:hAnsiTheme="minorHAnsi" w:cstheme="minorHAnsi"/>
                <w:color w:val="000000"/>
                <w:sz w:val="20"/>
              </w:rPr>
              <w:t>$22,550,000</w:t>
            </w:r>
          </w:p>
        </w:tc>
      </w:tr>
      <w:tr w:rsidR="002D0B0C" w:rsidRPr="009A24FE" w14:paraId="47792AEF" w14:textId="77777777" w:rsidTr="00192AC7">
        <w:tc>
          <w:tcPr>
            <w:tcW w:w="2932" w:type="pct"/>
            <w:gridSpan w:val="2"/>
          </w:tcPr>
          <w:p w14:paraId="11188F09" w14:textId="39F5B1F8" w:rsidR="00F8788E" w:rsidRPr="009A24FE" w:rsidRDefault="00875AA2" w:rsidP="00F8788E">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 xml:space="preserve">Total  </w:t>
            </w:r>
            <w:r w:rsidR="00F8788E" w:rsidRPr="009A24FE">
              <w:rPr>
                <w:rFonts w:asciiTheme="minorHAnsi" w:hAnsiTheme="minorHAnsi" w:cstheme="minorHAnsi"/>
                <w:sz w:val="20"/>
              </w:rPr>
              <w:t xml:space="preserve">  </w:t>
            </w:r>
          </w:p>
        </w:tc>
        <w:tc>
          <w:tcPr>
            <w:tcW w:w="2068" w:type="pct"/>
          </w:tcPr>
          <w:p w14:paraId="76341792" w14:textId="3254F61E" w:rsidR="00F8788E" w:rsidRPr="00192AC7" w:rsidRDefault="00D924F2" w:rsidP="009A3A3A">
            <w:pPr>
              <w:pStyle w:val="Bullet"/>
              <w:numPr>
                <w:ilvl w:val="0"/>
                <w:numId w:val="0"/>
              </w:numPr>
              <w:spacing w:line="240" w:lineRule="auto"/>
              <w:ind w:left="520" w:hanging="520"/>
              <w:jc w:val="right"/>
              <w:rPr>
                <w:rFonts w:asciiTheme="minorHAnsi" w:hAnsiTheme="minorHAnsi" w:cstheme="minorHAnsi"/>
                <w:sz w:val="20"/>
              </w:rPr>
            </w:pPr>
            <w:r w:rsidRPr="00192AC7">
              <w:rPr>
                <w:rFonts w:asciiTheme="minorHAnsi" w:hAnsiTheme="minorHAnsi" w:cstheme="minorHAnsi"/>
                <w:color w:val="000000"/>
                <w:sz w:val="20"/>
              </w:rPr>
              <w:t>$170,960,000</w:t>
            </w:r>
          </w:p>
        </w:tc>
      </w:tr>
    </w:tbl>
    <w:p w14:paraId="09D306CE" w14:textId="3CAA69E8" w:rsidR="00947E3E" w:rsidRPr="009F6B61" w:rsidRDefault="00947E3E" w:rsidP="00203EEA">
      <w:pPr>
        <w:pStyle w:val="Heading3"/>
      </w:pPr>
      <w:bookmarkStart w:id="123" w:name="_Toc176972404"/>
      <w:r w:rsidRPr="00233FCC">
        <w:t>Regulatory burden estimates that vary under Options 3 and 4</w:t>
      </w:r>
      <w:bookmarkEnd w:id="123"/>
      <w:r w:rsidRPr="00233FCC">
        <w:t xml:space="preserve"> </w:t>
      </w:r>
    </w:p>
    <w:p w14:paraId="7FB8CCD2" w14:textId="21FBE8AB" w:rsidR="00947E3E" w:rsidRDefault="00947E3E" w:rsidP="00947E3E">
      <w:pPr>
        <w:pStyle w:val="Bullet"/>
        <w:numPr>
          <w:ilvl w:val="0"/>
          <w:numId w:val="0"/>
        </w:numPr>
        <w:spacing w:line="240" w:lineRule="auto"/>
        <w:rPr>
          <w:rFonts w:asciiTheme="minorHAnsi" w:hAnsiTheme="minorHAnsi" w:cstheme="minorHAnsi"/>
        </w:rPr>
      </w:pPr>
      <w:r>
        <w:rPr>
          <w:rFonts w:asciiTheme="minorHAnsi" w:hAnsiTheme="minorHAnsi" w:cstheme="minorHAnsi"/>
        </w:rPr>
        <w:t xml:space="preserve">Options 3 and 4 are estimated to have higher regulatory costs compared to Option 2 and the status quo. </w:t>
      </w:r>
    </w:p>
    <w:p w14:paraId="6F969922" w14:textId="77777777" w:rsidR="00947E3E" w:rsidRPr="009421CD" w:rsidRDefault="00947E3E" w:rsidP="00947E3E">
      <w:pPr>
        <w:pStyle w:val="Bullet"/>
        <w:numPr>
          <w:ilvl w:val="0"/>
          <w:numId w:val="0"/>
        </w:numPr>
        <w:spacing w:line="240" w:lineRule="auto"/>
        <w:rPr>
          <w:rFonts w:asciiTheme="minorHAnsi" w:hAnsiTheme="minorHAnsi" w:cstheme="minorHAnsi"/>
        </w:rPr>
      </w:pPr>
      <w:r>
        <w:rPr>
          <w:rFonts w:asciiTheme="minorHAnsi" w:hAnsiTheme="minorHAnsi" w:cstheme="minorHAnsi"/>
        </w:rPr>
        <w:t xml:space="preserve">Option 3 represents the overall highest </w:t>
      </w:r>
      <w:r w:rsidRPr="00E2357E">
        <w:rPr>
          <w:rFonts w:asciiTheme="minorHAnsi" w:hAnsiTheme="minorHAnsi" w:cstheme="minorHAnsi"/>
        </w:rPr>
        <w:t>RBE</w:t>
      </w:r>
      <w:r>
        <w:rPr>
          <w:rFonts w:asciiTheme="minorHAnsi" w:hAnsiTheme="minorHAnsi" w:cstheme="minorHAnsi"/>
        </w:rPr>
        <w:t xml:space="preserve"> due to the additional regulatory burden created from the satisfaction element </w:t>
      </w:r>
      <w:r w:rsidRPr="009421CD">
        <w:rPr>
          <w:rFonts w:asciiTheme="minorHAnsi" w:hAnsiTheme="minorHAnsi" w:cstheme="minorHAnsi"/>
        </w:rPr>
        <w:t xml:space="preserve">as part of the merger control test. </w:t>
      </w:r>
    </w:p>
    <w:p w14:paraId="7F7DAF80" w14:textId="1D80AFDA" w:rsidR="00947E3E" w:rsidRPr="002F6152" w:rsidRDefault="00947E3E" w:rsidP="00947E3E">
      <w:pPr>
        <w:pStyle w:val="Bullet"/>
        <w:numPr>
          <w:ilvl w:val="0"/>
          <w:numId w:val="0"/>
        </w:numPr>
        <w:spacing w:line="240" w:lineRule="auto"/>
        <w:rPr>
          <w:rFonts w:asciiTheme="minorHAnsi" w:hAnsiTheme="minorHAnsi" w:cstheme="minorHAnsi"/>
        </w:rPr>
      </w:pPr>
      <w:r w:rsidRPr="009421CD">
        <w:rPr>
          <w:rFonts w:asciiTheme="minorHAnsi" w:hAnsiTheme="minorHAnsi" w:cstheme="minorHAnsi"/>
        </w:rPr>
        <w:t xml:space="preserve">In particular, the </w:t>
      </w:r>
      <w:r w:rsidR="00FC120A" w:rsidRPr="009421CD">
        <w:rPr>
          <w:rFonts w:asciiTheme="minorHAnsi" w:hAnsiTheme="minorHAnsi" w:cstheme="minorHAnsi"/>
        </w:rPr>
        <w:t xml:space="preserve">RBE </w:t>
      </w:r>
      <w:r w:rsidRPr="009421CD">
        <w:rPr>
          <w:rFonts w:asciiTheme="minorHAnsi" w:hAnsiTheme="minorHAnsi" w:cstheme="minorHAnsi"/>
        </w:rPr>
        <w:t xml:space="preserve">for Option 3 reflects an increase in the number of </w:t>
      </w:r>
      <w:r w:rsidR="002C6DE5" w:rsidRPr="009421CD">
        <w:rPr>
          <w:rFonts w:asciiTheme="minorHAnsi" w:hAnsiTheme="minorHAnsi" w:cstheme="minorHAnsi"/>
        </w:rPr>
        <w:t xml:space="preserve">notifications </w:t>
      </w:r>
      <w:r w:rsidRPr="009421CD">
        <w:rPr>
          <w:rFonts w:asciiTheme="minorHAnsi" w:hAnsiTheme="minorHAnsi" w:cstheme="minorHAnsi"/>
        </w:rPr>
        <w:t xml:space="preserve">that proceed to Phase </w:t>
      </w:r>
      <w:r w:rsidR="001B4EC6" w:rsidRPr="009421CD">
        <w:rPr>
          <w:rFonts w:asciiTheme="minorHAnsi" w:hAnsiTheme="minorHAnsi" w:cstheme="minorHAnsi"/>
        </w:rPr>
        <w:t>2</w:t>
      </w:r>
      <w:r w:rsidRPr="009421CD">
        <w:rPr>
          <w:rFonts w:asciiTheme="minorHAnsi" w:hAnsiTheme="minorHAnsi" w:cstheme="minorHAnsi"/>
        </w:rPr>
        <w:t>, remedies, public benefits and review stages due to the satisfaction test</w:t>
      </w:r>
      <w:r w:rsidR="00007FD6" w:rsidRPr="009421CD">
        <w:rPr>
          <w:rFonts w:asciiTheme="minorHAnsi" w:hAnsiTheme="minorHAnsi" w:cstheme="minorHAnsi"/>
        </w:rPr>
        <w:t xml:space="preserve">. The RBE for Option 3 also reflects </w:t>
      </w:r>
      <w:r w:rsidRPr="009421CD">
        <w:rPr>
          <w:rFonts w:asciiTheme="minorHAnsi" w:hAnsiTheme="minorHAnsi" w:cstheme="minorHAnsi"/>
        </w:rPr>
        <w:t xml:space="preserve">an increase in </w:t>
      </w:r>
      <w:r w:rsidR="00F62D40" w:rsidRPr="009421CD">
        <w:rPr>
          <w:rFonts w:asciiTheme="minorHAnsi" w:hAnsiTheme="minorHAnsi" w:cstheme="minorHAnsi"/>
        </w:rPr>
        <w:t xml:space="preserve">the </w:t>
      </w:r>
      <w:r w:rsidRPr="009421CD">
        <w:rPr>
          <w:rFonts w:asciiTheme="minorHAnsi" w:hAnsiTheme="minorHAnsi" w:cstheme="minorHAnsi"/>
        </w:rPr>
        <w:t xml:space="preserve">costs </w:t>
      </w:r>
      <w:r w:rsidR="00F62D40" w:rsidRPr="009421CD">
        <w:rPr>
          <w:rFonts w:asciiTheme="minorHAnsi" w:hAnsiTheme="minorHAnsi" w:cstheme="minorHAnsi"/>
        </w:rPr>
        <w:t>of</w:t>
      </w:r>
      <w:r w:rsidRPr="009421CD">
        <w:rPr>
          <w:rFonts w:asciiTheme="minorHAnsi" w:hAnsiTheme="minorHAnsi" w:cstheme="minorHAnsi"/>
        </w:rPr>
        <w:t xml:space="preserve"> prepar</w:t>
      </w:r>
      <w:r w:rsidR="008464BD" w:rsidRPr="009421CD">
        <w:rPr>
          <w:rFonts w:asciiTheme="minorHAnsi" w:hAnsiTheme="minorHAnsi" w:cstheme="minorHAnsi"/>
        </w:rPr>
        <w:t>ing</w:t>
      </w:r>
      <w:r w:rsidRPr="009421CD">
        <w:rPr>
          <w:rFonts w:asciiTheme="minorHAnsi" w:hAnsiTheme="minorHAnsi" w:cstheme="minorHAnsi"/>
        </w:rPr>
        <w:t xml:space="preserve"> a</w:t>
      </w:r>
      <w:r w:rsidR="002C6DE5" w:rsidRPr="009421CD">
        <w:rPr>
          <w:rFonts w:asciiTheme="minorHAnsi" w:hAnsiTheme="minorHAnsi" w:cstheme="minorHAnsi"/>
        </w:rPr>
        <w:t xml:space="preserve"> notification</w:t>
      </w:r>
      <w:r w:rsidRPr="009421CD">
        <w:rPr>
          <w:rFonts w:asciiTheme="minorHAnsi" w:hAnsiTheme="minorHAnsi" w:cstheme="minorHAnsi"/>
        </w:rPr>
        <w:t>, engag</w:t>
      </w:r>
      <w:r w:rsidR="00F62D40" w:rsidRPr="009421CD">
        <w:rPr>
          <w:rFonts w:asciiTheme="minorHAnsi" w:hAnsiTheme="minorHAnsi" w:cstheme="minorHAnsi"/>
        </w:rPr>
        <w:t>ing</w:t>
      </w:r>
      <w:r w:rsidRPr="009421CD">
        <w:rPr>
          <w:rFonts w:asciiTheme="minorHAnsi" w:hAnsiTheme="minorHAnsi" w:cstheme="minorHAnsi"/>
        </w:rPr>
        <w:t xml:space="preserve"> in Phase </w:t>
      </w:r>
      <w:r w:rsidR="001B4EC6" w:rsidRPr="009421CD">
        <w:rPr>
          <w:rFonts w:asciiTheme="minorHAnsi" w:hAnsiTheme="minorHAnsi" w:cstheme="minorHAnsi"/>
        </w:rPr>
        <w:t>1</w:t>
      </w:r>
      <w:r w:rsidRPr="009421CD">
        <w:rPr>
          <w:rFonts w:asciiTheme="minorHAnsi" w:hAnsiTheme="minorHAnsi" w:cstheme="minorHAnsi"/>
        </w:rPr>
        <w:t xml:space="preserve"> and Phase </w:t>
      </w:r>
      <w:r w:rsidR="001B4EC6" w:rsidRPr="009421CD">
        <w:rPr>
          <w:rFonts w:asciiTheme="minorHAnsi" w:hAnsiTheme="minorHAnsi" w:cstheme="minorHAnsi"/>
        </w:rPr>
        <w:t>2</w:t>
      </w:r>
      <w:r w:rsidRPr="009421CD">
        <w:rPr>
          <w:rFonts w:asciiTheme="minorHAnsi" w:hAnsiTheme="minorHAnsi" w:cstheme="minorHAnsi"/>
        </w:rPr>
        <w:t xml:space="preserve"> review</w:t>
      </w:r>
      <w:r w:rsidR="00F62D40" w:rsidRPr="009421CD">
        <w:rPr>
          <w:rFonts w:asciiTheme="minorHAnsi" w:hAnsiTheme="minorHAnsi" w:cstheme="minorHAnsi"/>
        </w:rPr>
        <w:t>s</w:t>
      </w:r>
      <w:r w:rsidRPr="009421CD">
        <w:rPr>
          <w:rFonts w:asciiTheme="minorHAnsi" w:hAnsiTheme="minorHAnsi" w:cstheme="minorHAnsi"/>
        </w:rPr>
        <w:t xml:space="preserve"> and settl</w:t>
      </w:r>
      <w:r w:rsidR="00121356" w:rsidRPr="009421CD">
        <w:rPr>
          <w:rFonts w:asciiTheme="minorHAnsi" w:hAnsiTheme="minorHAnsi" w:cstheme="minorHAnsi"/>
        </w:rPr>
        <w:t>ing</w:t>
      </w:r>
      <w:r w:rsidRPr="009421CD">
        <w:rPr>
          <w:rFonts w:asciiTheme="minorHAnsi" w:hAnsiTheme="minorHAnsi" w:cstheme="minorHAnsi"/>
        </w:rPr>
        <w:t xml:space="preserve"> remedies, due to </w:t>
      </w:r>
      <w:r w:rsidR="00F62D40" w:rsidRPr="009421CD">
        <w:rPr>
          <w:rFonts w:asciiTheme="minorHAnsi" w:hAnsiTheme="minorHAnsi" w:cstheme="minorHAnsi"/>
        </w:rPr>
        <w:t xml:space="preserve">the </w:t>
      </w:r>
      <w:r w:rsidRPr="009421CD">
        <w:rPr>
          <w:rFonts w:asciiTheme="minorHAnsi" w:hAnsiTheme="minorHAnsi" w:cstheme="minorHAnsi"/>
        </w:rPr>
        <w:t xml:space="preserve">increased time required to satisfy the ACCC at each of these steps. In all cases, Treasury has assumed the number of </w:t>
      </w:r>
      <w:r w:rsidR="002C6DE5" w:rsidRPr="009421CD">
        <w:rPr>
          <w:rFonts w:asciiTheme="minorHAnsi" w:hAnsiTheme="minorHAnsi" w:cstheme="minorHAnsi"/>
        </w:rPr>
        <w:t xml:space="preserve">notifications </w:t>
      </w:r>
      <w:r w:rsidRPr="009421CD">
        <w:rPr>
          <w:rFonts w:asciiTheme="minorHAnsi" w:hAnsiTheme="minorHAnsi" w:cstheme="minorHAnsi"/>
        </w:rPr>
        <w:t>that would reach each stage is double that of Options 2 and 4</w:t>
      </w:r>
      <w:r w:rsidR="00E92271" w:rsidRPr="009421CD">
        <w:rPr>
          <w:rFonts w:asciiTheme="minorHAnsi" w:hAnsiTheme="minorHAnsi" w:cstheme="minorHAnsi"/>
        </w:rPr>
        <w:t xml:space="preserve"> (</w:t>
      </w:r>
      <w:r w:rsidR="005275DA" w:rsidRPr="009421CD">
        <w:rPr>
          <w:rFonts w:asciiTheme="minorHAnsi" w:hAnsiTheme="minorHAnsi" w:cstheme="minorHAnsi"/>
        </w:rPr>
        <w:t>except</w:t>
      </w:r>
      <w:r w:rsidR="00910F07" w:rsidRPr="009421CD">
        <w:rPr>
          <w:rFonts w:asciiTheme="minorHAnsi" w:hAnsiTheme="minorHAnsi" w:cstheme="minorHAnsi"/>
        </w:rPr>
        <w:t xml:space="preserve"> the</w:t>
      </w:r>
      <w:r w:rsidR="00F62D40" w:rsidRPr="009421CD">
        <w:rPr>
          <w:rFonts w:asciiTheme="minorHAnsi" w:hAnsiTheme="minorHAnsi" w:cstheme="minorHAnsi"/>
        </w:rPr>
        <w:t xml:space="preserve"> </w:t>
      </w:r>
      <w:r w:rsidR="0040048B" w:rsidRPr="009421CD">
        <w:rPr>
          <w:rFonts w:asciiTheme="minorHAnsi" w:hAnsiTheme="minorHAnsi" w:cstheme="minorHAnsi"/>
        </w:rPr>
        <w:t>review stage)</w:t>
      </w:r>
      <w:r w:rsidRPr="009421CD">
        <w:rPr>
          <w:rFonts w:asciiTheme="minorHAnsi" w:hAnsiTheme="minorHAnsi" w:cstheme="minorHAnsi"/>
        </w:rPr>
        <w:t>, leading to significantly higher costs overall for this option.</w:t>
      </w:r>
      <w:r>
        <w:rPr>
          <w:rFonts w:asciiTheme="minorHAnsi" w:hAnsiTheme="minorHAnsi" w:cstheme="minorHAnsi"/>
        </w:rPr>
        <w:t xml:space="preserve"> </w:t>
      </w:r>
    </w:p>
    <w:p w14:paraId="13C2AEF9" w14:textId="613D6F14" w:rsidR="00947E3E" w:rsidRPr="00264913" w:rsidRDefault="00947E3E" w:rsidP="00947E3E">
      <w:pPr>
        <w:pStyle w:val="Bullet"/>
        <w:spacing w:line="240" w:lineRule="auto"/>
        <w:rPr>
          <w:rFonts w:asciiTheme="minorHAnsi" w:hAnsiTheme="minorHAnsi" w:cstheme="minorHAnsi"/>
        </w:rPr>
      </w:pPr>
      <w:r w:rsidRPr="007E2403">
        <w:rPr>
          <w:rFonts w:asciiTheme="minorHAnsi" w:hAnsiTheme="minorHAnsi" w:cstheme="minorHAnsi"/>
        </w:rPr>
        <w:t>The total increased cost for business from Option 3 being $</w:t>
      </w:r>
      <w:r w:rsidR="00613EB9" w:rsidRPr="007E2403">
        <w:rPr>
          <w:rFonts w:asciiTheme="minorHAnsi" w:hAnsiTheme="minorHAnsi" w:cstheme="minorHAnsi"/>
        </w:rPr>
        <w:t>83.7</w:t>
      </w:r>
      <w:r w:rsidR="009231A8" w:rsidRPr="007E2403">
        <w:rPr>
          <w:rFonts w:asciiTheme="minorHAnsi" w:hAnsiTheme="minorHAnsi" w:cstheme="minorHAnsi"/>
        </w:rPr>
        <w:t xml:space="preserve"> </w:t>
      </w:r>
      <w:r w:rsidRPr="007E2403">
        <w:rPr>
          <w:rFonts w:asciiTheme="minorHAnsi" w:hAnsiTheme="minorHAnsi" w:cstheme="minorHAnsi"/>
        </w:rPr>
        <w:t>million, compared to Option 2 of $</w:t>
      </w:r>
      <w:r w:rsidR="00613EB9" w:rsidRPr="007E2403">
        <w:rPr>
          <w:rFonts w:asciiTheme="minorHAnsi" w:hAnsiTheme="minorHAnsi" w:cstheme="minorHAnsi"/>
        </w:rPr>
        <w:t>10.8</w:t>
      </w:r>
      <w:r w:rsidR="009231A8" w:rsidRPr="007E2403">
        <w:rPr>
          <w:rFonts w:asciiTheme="minorHAnsi" w:hAnsiTheme="minorHAnsi" w:cstheme="minorHAnsi"/>
        </w:rPr>
        <w:t xml:space="preserve"> </w:t>
      </w:r>
      <w:r w:rsidRPr="007E2403">
        <w:rPr>
          <w:rFonts w:asciiTheme="minorHAnsi" w:hAnsiTheme="minorHAnsi" w:cstheme="minorHAnsi"/>
        </w:rPr>
        <w:t xml:space="preserve">million, </w:t>
      </w:r>
      <w:r w:rsidRPr="00264913">
        <w:rPr>
          <w:rFonts w:asciiTheme="minorHAnsi" w:hAnsiTheme="minorHAnsi" w:cstheme="minorHAnsi"/>
        </w:rPr>
        <w:t>with:</w:t>
      </w:r>
    </w:p>
    <w:p w14:paraId="2EBF4878" w14:textId="486FE401" w:rsidR="00947E3E" w:rsidRPr="00264913" w:rsidRDefault="00947E3E" w:rsidP="00947E3E">
      <w:pPr>
        <w:pStyle w:val="Dash"/>
        <w:rPr>
          <w:rFonts w:asciiTheme="minorHAnsi" w:hAnsiTheme="minorHAnsi" w:cstheme="minorHAnsi"/>
        </w:rPr>
      </w:pPr>
      <w:r w:rsidRPr="00264913">
        <w:rPr>
          <w:rFonts w:asciiTheme="minorHAnsi" w:hAnsiTheme="minorHAnsi" w:cstheme="minorHAnsi"/>
        </w:rPr>
        <w:t xml:space="preserve">the cost to </w:t>
      </w:r>
      <w:r w:rsidR="00103DC8" w:rsidRPr="00264913">
        <w:rPr>
          <w:rFonts w:asciiTheme="minorHAnsi" w:hAnsiTheme="minorHAnsi" w:cstheme="minorHAnsi"/>
        </w:rPr>
        <w:t xml:space="preserve">prepare simple </w:t>
      </w:r>
      <w:r w:rsidR="002C6DE5" w:rsidRPr="00264913">
        <w:rPr>
          <w:rFonts w:asciiTheme="minorHAnsi" w:hAnsiTheme="minorHAnsi" w:cstheme="minorHAnsi"/>
        </w:rPr>
        <w:t>notifications</w:t>
      </w:r>
      <w:r w:rsidR="00103DC8" w:rsidRPr="00264913">
        <w:rPr>
          <w:rFonts w:asciiTheme="minorHAnsi" w:hAnsiTheme="minorHAnsi" w:cstheme="minorHAnsi"/>
        </w:rPr>
        <w:t xml:space="preserve"> being $</w:t>
      </w:r>
      <w:r w:rsidR="00521E70" w:rsidRPr="00264913">
        <w:rPr>
          <w:rFonts w:asciiTheme="minorHAnsi" w:hAnsiTheme="minorHAnsi" w:cstheme="minorHAnsi"/>
        </w:rPr>
        <w:t>102,750</w:t>
      </w:r>
      <w:r w:rsidR="00103DC8" w:rsidRPr="00264913">
        <w:rPr>
          <w:rFonts w:asciiTheme="minorHAnsi" w:hAnsiTheme="minorHAnsi" w:cstheme="minorHAnsi"/>
        </w:rPr>
        <w:t xml:space="preserve">, moderately complex </w:t>
      </w:r>
      <w:r w:rsidR="002C6DE5" w:rsidRPr="00264913">
        <w:rPr>
          <w:rFonts w:asciiTheme="minorHAnsi" w:hAnsiTheme="minorHAnsi" w:cstheme="minorHAnsi"/>
        </w:rPr>
        <w:t>notifications</w:t>
      </w:r>
      <w:r w:rsidR="00103DC8" w:rsidRPr="00264913">
        <w:rPr>
          <w:rFonts w:asciiTheme="minorHAnsi" w:hAnsiTheme="minorHAnsi" w:cstheme="minorHAnsi"/>
        </w:rPr>
        <w:t xml:space="preserve"> </w:t>
      </w:r>
      <w:r w:rsidR="000820B4" w:rsidRPr="00264913">
        <w:rPr>
          <w:rFonts w:asciiTheme="minorHAnsi" w:hAnsiTheme="minorHAnsi" w:cstheme="minorHAnsi"/>
        </w:rPr>
        <w:t xml:space="preserve">being </w:t>
      </w:r>
      <w:r w:rsidR="00103DC8" w:rsidRPr="00264913">
        <w:rPr>
          <w:rFonts w:asciiTheme="minorHAnsi" w:hAnsiTheme="minorHAnsi" w:cstheme="minorHAnsi"/>
        </w:rPr>
        <w:t>$</w:t>
      </w:r>
      <w:r w:rsidR="006B0AEE" w:rsidRPr="00264913">
        <w:rPr>
          <w:rFonts w:asciiTheme="minorHAnsi" w:hAnsiTheme="minorHAnsi" w:cstheme="minorHAnsi"/>
        </w:rPr>
        <w:t>429,000</w:t>
      </w:r>
      <w:r w:rsidR="00103DC8" w:rsidRPr="00264913">
        <w:rPr>
          <w:rFonts w:asciiTheme="minorHAnsi" w:hAnsiTheme="minorHAnsi" w:cstheme="minorHAnsi"/>
        </w:rPr>
        <w:t xml:space="preserve">, and complex </w:t>
      </w:r>
      <w:r w:rsidR="002C6DE5" w:rsidRPr="00264913">
        <w:rPr>
          <w:rFonts w:asciiTheme="minorHAnsi" w:hAnsiTheme="minorHAnsi" w:cstheme="minorHAnsi"/>
        </w:rPr>
        <w:t>notifications</w:t>
      </w:r>
      <w:r w:rsidR="00103DC8" w:rsidRPr="00264913">
        <w:rPr>
          <w:rFonts w:asciiTheme="minorHAnsi" w:hAnsiTheme="minorHAnsi" w:cstheme="minorHAnsi"/>
        </w:rPr>
        <w:t xml:space="preserve"> </w:t>
      </w:r>
      <w:r w:rsidR="000820B4" w:rsidRPr="00264913">
        <w:rPr>
          <w:rFonts w:asciiTheme="minorHAnsi" w:hAnsiTheme="minorHAnsi" w:cstheme="minorHAnsi"/>
        </w:rPr>
        <w:t xml:space="preserve">being </w:t>
      </w:r>
      <w:r w:rsidR="00641B0E" w:rsidRPr="00264913">
        <w:rPr>
          <w:rFonts w:asciiTheme="minorHAnsi" w:hAnsiTheme="minorHAnsi" w:cstheme="minorHAnsi"/>
        </w:rPr>
        <w:t>around</w:t>
      </w:r>
      <w:r w:rsidR="00103DC8" w:rsidRPr="00264913">
        <w:rPr>
          <w:rFonts w:asciiTheme="minorHAnsi" w:hAnsiTheme="minorHAnsi" w:cstheme="minorHAnsi"/>
        </w:rPr>
        <w:t xml:space="preserve"> $</w:t>
      </w:r>
      <w:r w:rsidR="001E34A4" w:rsidRPr="00264913">
        <w:rPr>
          <w:rFonts w:asciiTheme="minorHAnsi" w:hAnsiTheme="minorHAnsi" w:cstheme="minorHAnsi"/>
        </w:rPr>
        <w:t>1.8</w:t>
      </w:r>
      <w:r w:rsidR="00103DC8" w:rsidRPr="00264913">
        <w:rPr>
          <w:rFonts w:asciiTheme="minorHAnsi" w:hAnsiTheme="minorHAnsi" w:cstheme="minorHAnsi"/>
        </w:rPr>
        <w:t xml:space="preserve"> million</w:t>
      </w:r>
    </w:p>
    <w:p w14:paraId="2D6BBB51" w14:textId="5D73C5C1" w:rsidR="00947E3E" w:rsidRPr="00264913" w:rsidRDefault="00947E3E" w:rsidP="00947E3E">
      <w:pPr>
        <w:pStyle w:val="Dash"/>
      </w:pPr>
      <w:r w:rsidRPr="00264913">
        <w:rPr>
          <w:rFonts w:asciiTheme="minorHAnsi" w:hAnsiTheme="minorHAnsi" w:cstheme="minorHAnsi"/>
        </w:rPr>
        <w:t xml:space="preserve">the cost for </w:t>
      </w:r>
      <w:r w:rsidR="002318C6" w:rsidRPr="00264913">
        <w:rPr>
          <w:rFonts w:asciiTheme="minorHAnsi" w:hAnsiTheme="minorHAnsi" w:cstheme="minorHAnsi"/>
        </w:rPr>
        <w:t>P</w:t>
      </w:r>
      <w:r w:rsidRPr="00264913">
        <w:rPr>
          <w:rFonts w:asciiTheme="minorHAnsi" w:hAnsiTheme="minorHAnsi" w:cstheme="minorHAnsi"/>
        </w:rPr>
        <w:t xml:space="preserve">hase </w:t>
      </w:r>
      <w:r w:rsidR="006C013F" w:rsidRPr="00264913">
        <w:rPr>
          <w:rFonts w:asciiTheme="minorHAnsi" w:hAnsiTheme="minorHAnsi" w:cstheme="minorHAnsi"/>
        </w:rPr>
        <w:t>1</w:t>
      </w:r>
      <w:r w:rsidRPr="00264913">
        <w:rPr>
          <w:rFonts w:asciiTheme="minorHAnsi" w:hAnsiTheme="minorHAnsi" w:cstheme="minorHAnsi"/>
        </w:rPr>
        <w:t xml:space="preserve"> to be $</w:t>
      </w:r>
      <w:r w:rsidR="006B0AEE" w:rsidRPr="00264913">
        <w:rPr>
          <w:rFonts w:asciiTheme="minorHAnsi" w:hAnsiTheme="minorHAnsi" w:cstheme="minorHAnsi"/>
        </w:rPr>
        <w:t>247,500</w:t>
      </w:r>
      <w:r w:rsidR="00103DC8" w:rsidRPr="00264913">
        <w:rPr>
          <w:rFonts w:asciiTheme="minorHAnsi" w:hAnsiTheme="minorHAnsi" w:cstheme="minorHAnsi"/>
        </w:rPr>
        <w:t xml:space="preserve"> </w:t>
      </w:r>
      <w:r w:rsidRPr="00264913">
        <w:rPr>
          <w:rFonts w:asciiTheme="minorHAnsi" w:hAnsiTheme="minorHAnsi" w:cstheme="minorHAnsi"/>
        </w:rPr>
        <w:t>per merger, which is higher than Option 2</w:t>
      </w:r>
    </w:p>
    <w:p w14:paraId="18FDDCAF" w14:textId="02B88A4D" w:rsidR="00947E3E" w:rsidRPr="00264913" w:rsidRDefault="00947E3E" w:rsidP="00947E3E">
      <w:pPr>
        <w:pStyle w:val="Dash"/>
      </w:pPr>
      <w:r w:rsidRPr="00264913">
        <w:rPr>
          <w:rFonts w:asciiTheme="minorHAnsi" w:hAnsiTheme="minorHAnsi" w:cstheme="minorHAnsi"/>
        </w:rPr>
        <w:t xml:space="preserve">the cost for </w:t>
      </w:r>
      <w:r w:rsidR="00A54A24" w:rsidRPr="00264913">
        <w:rPr>
          <w:rFonts w:asciiTheme="minorHAnsi" w:hAnsiTheme="minorHAnsi" w:cstheme="minorHAnsi"/>
        </w:rPr>
        <w:t>P</w:t>
      </w:r>
      <w:r w:rsidRPr="00264913">
        <w:rPr>
          <w:rFonts w:asciiTheme="minorHAnsi" w:hAnsiTheme="minorHAnsi" w:cstheme="minorHAnsi"/>
        </w:rPr>
        <w:t xml:space="preserve">hase </w:t>
      </w:r>
      <w:r w:rsidR="006C013F" w:rsidRPr="00264913">
        <w:rPr>
          <w:rFonts w:asciiTheme="minorHAnsi" w:hAnsiTheme="minorHAnsi" w:cstheme="minorHAnsi"/>
        </w:rPr>
        <w:t>2</w:t>
      </w:r>
      <w:r w:rsidRPr="00264913">
        <w:rPr>
          <w:rFonts w:asciiTheme="minorHAnsi" w:hAnsiTheme="minorHAnsi" w:cstheme="minorHAnsi"/>
        </w:rPr>
        <w:t xml:space="preserve"> to be $</w:t>
      </w:r>
      <w:r w:rsidR="00B32389" w:rsidRPr="00264913">
        <w:rPr>
          <w:rFonts w:asciiTheme="minorHAnsi" w:hAnsiTheme="minorHAnsi" w:cstheme="minorHAnsi"/>
        </w:rPr>
        <w:t>2</w:t>
      </w:r>
      <w:r w:rsidR="008B1521" w:rsidRPr="00264913">
        <w:rPr>
          <w:rFonts w:asciiTheme="minorHAnsi" w:hAnsiTheme="minorHAnsi" w:cstheme="minorHAnsi"/>
        </w:rPr>
        <w:t>.1</w:t>
      </w:r>
      <w:r w:rsidRPr="00264913">
        <w:rPr>
          <w:rFonts w:asciiTheme="minorHAnsi" w:hAnsiTheme="minorHAnsi" w:cstheme="minorHAnsi"/>
        </w:rPr>
        <w:t xml:space="preserve"> million per merger, which is higher than Option 2</w:t>
      </w:r>
    </w:p>
    <w:p w14:paraId="5E07D946" w14:textId="22A96F3D" w:rsidR="00947E3E" w:rsidRPr="00264913" w:rsidRDefault="00947E3E" w:rsidP="00947E3E">
      <w:pPr>
        <w:pStyle w:val="Dash"/>
      </w:pPr>
      <w:r w:rsidRPr="00264913">
        <w:rPr>
          <w:rFonts w:asciiTheme="minorHAnsi" w:hAnsiTheme="minorHAnsi" w:cstheme="minorHAnsi"/>
        </w:rPr>
        <w:t xml:space="preserve">the cost </w:t>
      </w:r>
      <w:r w:rsidR="005A722D" w:rsidRPr="00264913">
        <w:rPr>
          <w:rFonts w:asciiTheme="minorHAnsi" w:hAnsiTheme="minorHAnsi" w:cstheme="minorHAnsi"/>
        </w:rPr>
        <w:t>for any</w:t>
      </w:r>
      <w:r w:rsidRPr="00264913">
        <w:rPr>
          <w:rFonts w:asciiTheme="minorHAnsi" w:hAnsiTheme="minorHAnsi" w:cstheme="minorHAnsi"/>
        </w:rPr>
        <w:t xml:space="preserve"> proposed remedies to be </w:t>
      </w:r>
      <w:r w:rsidR="000750C3" w:rsidRPr="00264913">
        <w:rPr>
          <w:rFonts w:asciiTheme="minorHAnsi" w:hAnsiTheme="minorHAnsi" w:cstheme="minorHAnsi"/>
        </w:rPr>
        <w:t>$</w:t>
      </w:r>
      <w:r w:rsidR="00364462" w:rsidRPr="00264913">
        <w:rPr>
          <w:rFonts w:asciiTheme="minorHAnsi" w:hAnsiTheme="minorHAnsi" w:cstheme="minorHAnsi"/>
        </w:rPr>
        <w:t>407,500</w:t>
      </w:r>
      <w:r w:rsidR="000750C3" w:rsidRPr="00264913">
        <w:rPr>
          <w:rFonts w:asciiTheme="minorHAnsi" w:hAnsiTheme="minorHAnsi" w:cstheme="minorHAnsi"/>
        </w:rPr>
        <w:t xml:space="preserve"> </w:t>
      </w:r>
      <w:r w:rsidRPr="00264913">
        <w:rPr>
          <w:rFonts w:asciiTheme="minorHAnsi" w:hAnsiTheme="minorHAnsi" w:cstheme="minorHAnsi"/>
        </w:rPr>
        <w:t xml:space="preserve">per </w:t>
      </w:r>
      <w:r w:rsidR="000C09AD" w:rsidRPr="00264913">
        <w:rPr>
          <w:rFonts w:asciiTheme="minorHAnsi" w:hAnsiTheme="minorHAnsi" w:cstheme="minorHAnsi"/>
        </w:rPr>
        <w:t>merger</w:t>
      </w:r>
      <w:r w:rsidRPr="00264913">
        <w:rPr>
          <w:rFonts w:asciiTheme="minorHAnsi" w:hAnsiTheme="minorHAnsi" w:cstheme="minorHAnsi"/>
        </w:rPr>
        <w:t xml:space="preserve">, which is </w:t>
      </w:r>
      <w:r w:rsidR="00302063" w:rsidRPr="00264913">
        <w:rPr>
          <w:rFonts w:asciiTheme="minorHAnsi" w:hAnsiTheme="minorHAnsi" w:cstheme="minorHAnsi"/>
        </w:rPr>
        <w:t xml:space="preserve">the same as </w:t>
      </w:r>
      <w:r w:rsidRPr="00264913">
        <w:rPr>
          <w:rFonts w:asciiTheme="minorHAnsi" w:hAnsiTheme="minorHAnsi" w:cstheme="minorHAnsi"/>
        </w:rPr>
        <w:t>Option 2</w:t>
      </w:r>
      <w:r w:rsidR="00B32389" w:rsidRPr="00264913">
        <w:rPr>
          <w:rFonts w:asciiTheme="minorHAnsi" w:hAnsiTheme="minorHAnsi" w:cstheme="minorHAnsi"/>
        </w:rPr>
        <w:t>,</w:t>
      </w:r>
      <w:r w:rsidRPr="00264913">
        <w:rPr>
          <w:rFonts w:asciiTheme="minorHAnsi" w:hAnsiTheme="minorHAnsi" w:cstheme="minorHAnsi"/>
        </w:rPr>
        <w:t xml:space="preserve"> and</w:t>
      </w:r>
    </w:p>
    <w:p w14:paraId="6E273901" w14:textId="2374B4BF" w:rsidR="00947E3E" w:rsidRPr="00264913" w:rsidRDefault="00947E3E" w:rsidP="00947E3E">
      <w:pPr>
        <w:pStyle w:val="Dash"/>
      </w:pPr>
      <w:r w:rsidRPr="00264913">
        <w:rPr>
          <w:rFonts w:asciiTheme="minorHAnsi" w:hAnsiTheme="minorHAnsi" w:cstheme="minorHAnsi"/>
        </w:rPr>
        <w:t>the cost for review by the Tribunal to be $</w:t>
      </w:r>
      <w:r w:rsidR="00982C72" w:rsidRPr="00264913">
        <w:rPr>
          <w:rFonts w:asciiTheme="minorHAnsi" w:hAnsiTheme="minorHAnsi" w:cstheme="minorHAnsi"/>
        </w:rPr>
        <w:t xml:space="preserve">5.6 </w:t>
      </w:r>
      <w:r w:rsidRPr="00264913">
        <w:rPr>
          <w:rFonts w:asciiTheme="minorHAnsi" w:hAnsiTheme="minorHAnsi" w:cstheme="minorHAnsi"/>
        </w:rPr>
        <w:t xml:space="preserve">million per </w:t>
      </w:r>
      <w:r w:rsidR="000C09AD" w:rsidRPr="00264913">
        <w:rPr>
          <w:rFonts w:asciiTheme="minorHAnsi" w:hAnsiTheme="minorHAnsi" w:cstheme="minorHAnsi"/>
        </w:rPr>
        <w:t>merger</w:t>
      </w:r>
      <w:r w:rsidRPr="00264913">
        <w:rPr>
          <w:rFonts w:asciiTheme="minorHAnsi" w:hAnsiTheme="minorHAnsi" w:cstheme="minorHAnsi"/>
        </w:rPr>
        <w:t xml:space="preserve">, which is </w:t>
      </w:r>
      <w:r w:rsidR="00982C72" w:rsidRPr="00264913">
        <w:rPr>
          <w:rFonts w:asciiTheme="minorHAnsi" w:hAnsiTheme="minorHAnsi" w:cstheme="minorHAnsi"/>
        </w:rPr>
        <w:t xml:space="preserve">the same as </w:t>
      </w:r>
      <w:r w:rsidRPr="00264913">
        <w:rPr>
          <w:rFonts w:asciiTheme="minorHAnsi" w:hAnsiTheme="minorHAnsi" w:cstheme="minorHAnsi"/>
        </w:rPr>
        <w:t xml:space="preserve">Option 2. </w:t>
      </w:r>
    </w:p>
    <w:p w14:paraId="362EAF88" w14:textId="643061A4" w:rsidR="00192AC7" w:rsidRPr="00D35618" w:rsidRDefault="00E56E65" w:rsidP="00192AC7">
      <w:pPr>
        <w:rPr>
          <w:b/>
          <w:color w:val="2C384A" w:themeColor="accent1"/>
        </w:rPr>
      </w:pPr>
      <w:r w:rsidRPr="00D35618">
        <w:rPr>
          <w:b/>
          <w:color w:val="2C384A" w:themeColor="accent1"/>
        </w:rPr>
        <w:t xml:space="preserve">Table </w:t>
      </w:r>
      <w:r>
        <w:rPr>
          <w:b/>
          <w:color w:val="2C384A" w:themeColor="accent1"/>
        </w:rPr>
        <w:t>3</w:t>
      </w:r>
      <w:r w:rsidRPr="00D35618">
        <w:rPr>
          <w:b/>
          <w:color w:val="2C384A" w:themeColor="accent1"/>
        </w:rPr>
        <w:t>. Estimated total cost to business</w:t>
      </w:r>
      <w:r>
        <w:rPr>
          <w:b/>
          <w:color w:val="2C384A" w:themeColor="accent1"/>
        </w:rPr>
        <w:t>es</w:t>
      </w:r>
      <w:r w:rsidRPr="00D35618">
        <w:rPr>
          <w:b/>
          <w:color w:val="2C384A" w:themeColor="accent1"/>
        </w:rPr>
        <w:t xml:space="preserve"> under </w:t>
      </w:r>
      <w:r>
        <w:rPr>
          <w:b/>
          <w:color w:val="2C384A" w:themeColor="accent1"/>
        </w:rPr>
        <w:t>Option 3</w:t>
      </w:r>
      <w:r w:rsidR="00192AC7" w:rsidRPr="00D35618">
        <w:rPr>
          <w:b/>
          <w:color w:val="2C384A" w:themeColor="accent1"/>
        </w:rPr>
        <w:t xml:space="preserve"> </w:t>
      </w:r>
    </w:p>
    <w:tbl>
      <w:tblPr>
        <w:tblStyle w:val="TableGrid"/>
        <w:tblW w:w="2277" w:type="pct"/>
        <w:tblBorders>
          <w:bottom w:val="single" w:sz="18" w:space="0" w:color="auto"/>
          <w:insideH w:val="single" w:sz="4" w:space="0" w:color="auto"/>
        </w:tblBorders>
        <w:tblLayout w:type="fixed"/>
        <w:tblLook w:val="04A0" w:firstRow="1" w:lastRow="0" w:firstColumn="1" w:lastColumn="0" w:noHBand="0" w:noVBand="1"/>
      </w:tblPr>
      <w:tblGrid>
        <w:gridCol w:w="2197"/>
        <w:gridCol w:w="213"/>
        <w:gridCol w:w="1700"/>
      </w:tblGrid>
      <w:tr w:rsidR="00192AC7" w:rsidRPr="007D6633" w14:paraId="758E0C37" w14:textId="77777777">
        <w:trPr>
          <w:cnfStyle w:val="100000000000" w:firstRow="1" w:lastRow="0" w:firstColumn="0" w:lastColumn="0" w:oddVBand="0" w:evenVBand="0" w:oddHBand="0" w:evenHBand="0" w:firstRowFirstColumn="0" w:firstRowLastColumn="0" w:lastRowFirstColumn="0" w:lastRowLastColumn="0"/>
        </w:trPr>
        <w:tc>
          <w:tcPr>
            <w:tcW w:w="2673" w:type="pct"/>
            <w:shd w:val="clear" w:color="auto" w:fill="2C384A" w:themeFill="accent1"/>
          </w:tcPr>
          <w:p w14:paraId="3810B658" w14:textId="77777777" w:rsidR="00192AC7" w:rsidRDefault="00736C95">
            <w:pPr>
              <w:pStyle w:val="Bullet"/>
              <w:keepNext/>
              <w:numPr>
                <w:ilvl w:val="0"/>
                <w:numId w:val="0"/>
              </w:numPr>
              <w:spacing w:line="240" w:lineRule="auto"/>
              <w:rPr>
                <w:color w:val="FFFFFF" w:themeColor="background1"/>
                <w:szCs w:val="22"/>
              </w:rPr>
            </w:pPr>
            <w:r>
              <w:rPr>
                <w:color w:val="FFFFFF" w:themeColor="background1"/>
                <w:szCs w:val="22"/>
              </w:rPr>
              <w:t>Description of activity</w:t>
            </w:r>
          </w:p>
        </w:tc>
        <w:tc>
          <w:tcPr>
            <w:tcW w:w="2327" w:type="pct"/>
            <w:gridSpan w:val="2"/>
            <w:shd w:val="clear" w:color="auto" w:fill="2C384A" w:themeFill="accent1"/>
          </w:tcPr>
          <w:p w14:paraId="743021D0" w14:textId="7EA95003" w:rsidR="00192AC7" w:rsidRPr="00744366" w:rsidRDefault="00736C95">
            <w:pPr>
              <w:pStyle w:val="Bullet"/>
              <w:keepNext/>
              <w:numPr>
                <w:ilvl w:val="0"/>
                <w:numId w:val="0"/>
              </w:numPr>
              <w:spacing w:line="240" w:lineRule="auto"/>
              <w:rPr>
                <w:color w:val="FFFFFF" w:themeColor="background1"/>
                <w:sz w:val="22"/>
                <w:szCs w:val="22"/>
              </w:rPr>
            </w:pPr>
            <w:r>
              <w:rPr>
                <w:color w:val="FFFFFF" w:themeColor="background1"/>
                <w:sz w:val="22"/>
                <w:szCs w:val="22"/>
              </w:rPr>
              <w:t xml:space="preserve">Estimated total costs per year </w:t>
            </w:r>
          </w:p>
        </w:tc>
      </w:tr>
      <w:tr w:rsidR="00192AC7" w:rsidRPr="006E68CB" w14:paraId="6F557DD3" w14:textId="77777777">
        <w:tc>
          <w:tcPr>
            <w:tcW w:w="2932" w:type="pct"/>
            <w:gridSpan w:val="2"/>
          </w:tcPr>
          <w:p w14:paraId="65778A4C" w14:textId="77777777" w:rsidR="00192AC7" w:rsidRPr="006E68CB" w:rsidRDefault="00736C95">
            <w:pPr>
              <w:pStyle w:val="Bullet"/>
              <w:numPr>
                <w:ilvl w:val="0"/>
                <w:numId w:val="0"/>
              </w:numPr>
              <w:spacing w:line="240" w:lineRule="auto"/>
              <w:ind w:left="520" w:hanging="520"/>
              <w:rPr>
                <w:rFonts w:asciiTheme="minorHAnsi" w:hAnsiTheme="minorHAnsi" w:cstheme="minorHAnsi"/>
                <w:sz w:val="20"/>
              </w:rPr>
            </w:pPr>
            <w:r>
              <w:rPr>
                <w:rFonts w:asciiTheme="minorHAnsi" w:hAnsiTheme="minorHAnsi" w:cstheme="minorHAnsi"/>
                <w:sz w:val="20"/>
              </w:rPr>
              <w:t>Familiarisation costs</w:t>
            </w:r>
          </w:p>
        </w:tc>
        <w:tc>
          <w:tcPr>
            <w:tcW w:w="2068" w:type="pct"/>
          </w:tcPr>
          <w:p w14:paraId="36016A3D" w14:textId="77777777" w:rsidR="00192AC7" w:rsidRPr="00E27F47" w:rsidRDefault="00192AC7">
            <w:pPr>
              <w:pStyle w:val="Bullet"/>
              <w:numPr>
                <w:ilvl w:val="0"/>
                <w:numId w:val="0"/>
              </w:numPr>
              <w:spacing w:line="240" w:lineRule="auto"/>
              <w:ind w:left="520" w:hanging="520"/>
              <w:jc w:val="right"/>
              <w:rPr>
                <w:rFonts w:asciiTheme="minorHAnsi" w:hAnsiTheme="minorHAnsi" w:cstheme="minorHAnsi"/>
                <w:sz w:val="20"/>
              </w:rPr>
            </w:pPr>
            <w:r w:rsidRPr="00E27F47">
              <w:rPr>
                <w:rFonts w:asciiTheme="minorHAnsi" w:hAnsiTheme="minorHAnsi" w:cstheme="minorHAnsi"/>
                <w:color w:val="000000"/>
                <w:sz w:val="20"/>
              </w:rPr>
              <w:t>$235,000</w:t>
            </w:r>
          </w:p>
        </w:tc>
      </w:tr>
      <w:tr w:rsidR="00192AC7" w:rsidRPr="006E68CB" w14:paraId="6F368597" w14:textId="77777777">
        <w:tc>
          <w:tcPr>
            <w:tcW w:w="2932" w:type="pct"/>
            <w:gridSpan w:val="2"/>
          </w:tcPr>
          <w:p w14:paraId="3DC8F56C" w14:textId="77777777" w:rsidR="00192AC7" w:rsidRPr="006E68CB" w:rsidRDefault="00736C95">
            <w:pPr>
              <w:pStyle w:val="Bullet"/>
              <w:numPr>
                <w:ilvl w:val="0"/>
                <w:numId w:val="0"/>
              </w:numPr>
              <w:spacing w:line="240" w:lineRule="auto"/>
              <w:ind w:left="520" w:hanging="520"/>
              <w:rPr>
                <w:rFonts w:asciiTheme="minorHAnsi" w:hAnsiTheme="minorHAnsi" w:cstheme="minorHAnsi"/>
                <w:sz w:val="20"/>
              </w:rPr>
            </w:pPr>
            <w:r w:rsidRPr="006E68CB">
              <w:rPr>
                <w:rFonts w:asciiTheme="minorHAnsi" w:hAnsiTheme="minorHAnsi" w:cstheme="minorHAnsi"/>
                <w:sz w:val="20"/>
              </w:rPr>
              <w:t>Decision to notify</w:t>
            </w:r>
          </w:p>
        </w:tc>
        <w:tc>
          <w:tcPr>
            <w:tcW w:w="2068" w:type="pct"/>
          </w:tcPr>
          <w:p w14:paraId="617C0E1E" w14:textId="0D1AFD79" w:rsidR="00192AC7" w:rsidRPr="00E27F47" w:rsidRDefault="00CA03C9">
            <w:pPr>
              <w:pStyle w:val="Bullet"/>
              <w:numPr>
                <w:ilvl w:val="0"/>
                <w:numId w:val="0"/>
              </w:numPr>
              <w:spacing w:line="240" w:lineRule="auto"/>
              <w:ind w:left="520" w:hanging="520"/>
              <w:jc w:val="right"/>
              <w:rPr>
                <w:rFonts w:asciiTheme="minorHAnsi" w:hAnsiTheme="minorHAnsi" w:cstheme="minorHAnsi"/>
                <w:sz w:val="20"/>
              </w:rPr>
            </w:pPr>
            <w:r w:rsidRPr="00E27F47">
              <w:rPr>
                <w:rFonts w:asciiTheme="minorHAnsi" w:hAnsiTheme="minorHAnsi" w:cstheme="minorHAnsi"/>
                <w:color w:val="000000"/>
                <w:sz w:val="20"/>
              </w:rPr>
              <w:t>$26,875,000</w:t>
            </w:r>
          </w:p>
        </w:tc>
      </w:tr>
      <w:tr w:rsidR="00192AC7" w:rsidRPr="009A24FE" w14:paraId="18767B02" w14:textId="77777777">
        <w:tc>
          <w:tcPr>
            <w:tcW w:w="2932" w:type="pct"/>
            <w:gridSpan w:val="2"/>
          </w:tcPr>
          <w:p w14:paraId="19AFD2E4" w14:textId="77777777" w:rsidR="00192AC7" w:rsidRPr="009A24FE" w:rsidRDefault="00736C95">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Prepare an application</w:t>
            </w:r>
          </w:p>
        </w:tc>
        <w:tc>
          <w:tcPr>
            <w:tcW w:w="2068" w:type="pct"/>
          </w:tcPr>
          <w:p w14:paraId="093A3100" w14:textId="1D59D669" w:rsidR="00192AC7" w:rsidRPr="00E27F47" w:rsidRDefault="00CA03C9">
            <w:pPr>
              <w:pStyle w:val="Bullet"/>
              <w:numPr>
                <w:ilvl w:val="0"/>
                <w:numId w:val="0"/>
              </w:numPr>
              <w:spacing w:line="240" w:lineRule="auto"/>
              <w:ind w:left="520" w:hanging="520"/>
              <w:jc w:val="right"/>
              <w:rPr>
                <w:rFonts w:asciiTheme="minorHAnsi" w:hAnsiTheme="minorHAnsi" w:cstheme="minorHAnsi"/>
                <w:sz w:val="20"/>
              </w:rPr>
            </w:pPr>
            <w:r w:rsidRPr="00E27F47">
              <w:rPr>
                <w:rFonts w:asciiTheme="minorHAnsi" w:hAnsiTheme="minorHAnsi" w:cstheme="minorHAnsi"/>
                <w:color w:val="000000"/>
                <w:sz w:val="20"/>
              </w:rPr>
              <w:t>$42,630,000</w:t>
            </w:r>
          </w:p>
        </w:tc>
      </w:tr>
      <w:tr w:rsidR="00192AC7" w:rsidRPr="009A24FE" w14:paraId="10A82F2F" w14:textId="77777777">
        <w:tc>
          <w:tcPr>
            <w:tcW w:w="2932" w:type="pct"/>
            <w:gridSpan w:val="2"/>
          </w:tcPr>
          <w:p w14:paraId="1459C370" w14:textId="77777777" w:rsidR="00192AC7" w:rsidRPr="009A24FE" w:rsidRDefault="00736C95">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Phase 1</w:t>
            </w:r>
          </w:p>
        </w:tc>
        <w:tc>
          <w:tcPr>
            <w:tcW w:w="2068" w:type="pct"/>
          </w:tcPr>
          <w:p w14:paraId="52AB4CA5" w14:textId="46E9471D" w:rsidR="00192AC7" w:rsidRPr="00E27F47" w:rsidRDefault="0015388B">
            <w:pPr>
              <w:pStyle w:val="Bullet"/>
              <w:numPr>
                <w:ilvl w:val="0"/>
                <w:numId w:val="0"/>
              </w:numPr>
              <w:spacing w:line="240" w:lineRule="auto"/>
              <w:ind w:left="520" w:hanging="520"/>
              <w:jc w:val="right"/>
              <w:rPr>
                <w:rFonts w:asciiTheme="minorHAnsi" w:hAnsiTheme="minorHAnsi" w:cstheme="minorHAnsi"/>
                <w:sz w:val="20"/>
              </w:rPr>
            </w:pPr>
            <w:r w:rsidRPr="00E27F47">
              <w:rPr>
                <w:rFonts w:asciiTheme="minorHAnsi" w:hAnsiTheme="minorHAnsi" w:cstheme="minorHAnsi"/>
                <w:color w:val="000000"/>
                <w:sz w:val="20"/>
              </w:rPr>
              <w:t>$66,825,000</w:t>
            </w:r>
          </w:p>
        </w:tc>
      </w:tr>
      <w:tr w:rsidR="00192AC7" w:rsidRPr="009A24FE" w14:paraId="363FE8E3" w14:textId="77777777">
        <w:tc>
          <w:tcPr>
            <w:tcW w:w="2932" w:type="pct"/>
            <w:gridSpan w:val="2"/>
          </w:tcPr>
          <w:p w14:paraId="1F26DE5D" w14:textId="77777777" w:rsidR="00192AC7" w:rsidRPr="009A24FE" w:rsidRDefault="00736C95">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Phase 2</w:t>
            </w:r>
          </w:p>
        </w:tc>
        <w:tc>
          <w:tcPr>
            <w:tcW w:w="2068" w:type="pct"/>
          </w:tcPr>
          <w:p w14:paraId="312D69C8" w14:textId="37E33F65" w:rsidR="00192AC7" w:rsidRPr="00E27F47" w:rsidRDefault="0015388B">
            <w:pPr>
              <w:pStyle w:val="Bullet"/>
              <w:numPr>
                <w:ilvl w:val="0"/>
                <w:numId w:val="0"/>
              </w:numPr>
              <w:spacing w:line="240" w:lineRule="auto"/>
              <w:ind w:left="520" w:hanging="520"/>
              <w:jc w:val="right"/>
              <w:rPr>
                <w:rFonts w:asciiTheme="minorHAnsi" w:hAnsiTheme="minorHAnsi" w:cstheme="minorHAnsi"/>
                <w:sz w:val="20"/>
              </w:rPr>
            </w:pPr>
            <w:r w:rsidRPr="00E27F47">
              <w:rPr>
                <w:rFonts w:asciiTheme="minorHAnsi" w:hAnsiTheme="minorHAnsi" w:cstheme="minorHAnsi"/>
                <w:color w:val="000000"/>
                <w:sz w:val="20"/>
              </w:rPr>
              <w:t>$61,950,000</w:t>
            </w:r>
          </w:p>
        </w:tc>
      </w:tr>
      <w:tr w:rsidR="00192AC7" w:rsidRPr="009A24FE" w14:paraId="4D54318A" w14:textId="77777777">
        <w:tc>
          <w:tcPr>
            <w:tcW w:w="2932" w:type="pct"/>
            <w:gridSpan w:val="2"/>
          </w:tcPr>
          <w:p w14:paraId="4CD60E07" w14:textId="77777777" w:rsidR="00192AC7" w:rsidRPr="009A24FE" w:rsidRDefault="00736C95">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Remedies</w:t>
            </w:r>
          </w:p>
        </w:tc>
        <w:tc>
          <w:tcPr>
            <w:tcW w:w="2068" w:type="pct"/>
          </w:tcPr>
          <w:p w14:paraId="4AE4F9E9" w14:textId="6797DB04" w:rsidR="00192AC7" w:rsidRPr="00E27F47" w:rsidRDefault="0015388B">
            <w:pPr>
              <w:pStyle w:val="Bullet"/>
              <w:numPr>
                <w:ilvl w:val="0"/>
                <w:numId w:val="0"/>
              </w:numPr>
              <w:spacing w:line="240" w:lineRule="auto"/>
              <w:ind w:left="520" w:hanging="520"/>
              <w:jc w:val="right"/>
              <w:rPr>
                <w:rFonts w:asciiTheme="minorHAnsi" w:hAnsiTheme="minorHAnsi" w:cstheme="minorHAnsi"/>
                <w:sz w:val="20"/>
              </w:rPr>
            </w:pPr>
            <w:r w:rsidRPr="00E27F47">
              <w:rPr>
                <w:rFonts w:asciiTheme="minorHAnsi" w:hAnsiTheme="minorHAnsi" w:cstheme="minorHAnsi"/>
                <w:color w:val="000000"/>
                <w:sz w:val="20"/>
              </w:rPr>
              <w:t>$4,075,000</w:t>
            </w:r>
          </w:p>
        </w:tc>
      </w:tr>
      <w:tr w:rsidR="00192AC7" w:rsidRPr="009A24FE" w14:paraId="79560587" w14:textId="77777777">
        <w:tc>
          <w:tcPr>
            <w:tcW w:w="2932" w:type="pct"/>
            <w:gridSpan w:val="2"/>
          </w:tcPr>
          <w:p w14:paraId="31FD696E" w14:textId="77777777" w:rsidR="00192AC7" w:rsidRPr="009A24FE" w:rsidRDefault="00736C95">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Public benefits</w:t>
            </w:r>
          </w:p>
        </w:tc>
        <w:tc>
          <w:tcPr>
            <w:tcW w:w="2068" w:type="pct"/>
          </w:tcPr>
          <w:p w14:paraId="61C262D2" w14:textId="220E696F" w:rsidR="00192AC7" w:rsidRPr="00E27F47" w:rsidRDefault="0015388B">
            <w:pPr>
              <w:pStyle w:val="Bullet"/>
              <w:numPr>
                <w:ilvl w:val="0"/>
                <w:numId w:val="0"/>
              </w:numPr>
              <w:spacing w:line="240" w:lineRule="auto"/>
              <w:ind w:left="520" w:hanging="520"/>
              <w:jc w:val="right"/>
              <w:rPr>
                <w:rFonts w:asciiTheme="minorHAnsi" w:hAnsiTheme="minorHAnsi" w:cstheme="minorHAnsi"/>
                <w:sz w:val="20"/>
              </w:rPr>
            </w:pPr>
            <w:r w:rsidRPr="00E27F47">
              <w:rPr>
                <w:rFonts w:asciiTheme="minorHAnsi" w:hAnsiTheme="minorHAnsi" w:cstheme="minorHAnsi"/>
                <w:color w:val="000000"/>
                <w:sz w:val="20"/>
              </w:rPr>
              <w:t>$7,460,000</w:t>
            </w:r>
          </w:p>
        </w:tc>
      </w:tr>
      <w:tr w:rsidR="00192AC7" w:rsidRPr="009A24FE" w14:paraId="5E98B4ED" w14:textId="77777777">
        <w:tc>
          <w:tcPr>
            <w:tcW w:w="2932" w:type="pct"/>
            <w:gridSpan w:val="2"/>
          </w:tcPr>
          <w:p w14:paraId="741EF3D1" w14:textId="77777777" w:rsidR="00192AC7" w:rsidRPr="009A24FE" w:rsidRDefault="00736C95">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Review</w:t>
            </w:r>
          </w:p>
        </w:tc>
        <w:tc>
          <w:tcPr>
            <w:tcW w:w="2068" w:type="pct"/>
          </w:tcPr>
          <w:p w14:paraId="627C88CB" w14:textId="7B5B2815" w:rsidR="00192AC7" w:rsidRPr="00E27F47" w:rsidRDefault="00C102C8">
            <w:pPr>
              <w:pStyle w:val="Bullet"/>
              <w:numPr>
                <w:ilvl w:val="0"/>
                <w:numId w:val="0"/>
              </w:numPr>
              <w:spacing w:line="240" w:lineRule="auto"/>
              <w:ind w:left="520" w:hanging="520"/>
              <w:jc w:val="right"/>
              <w:rPr>
                <w:rFonts w:asciiTheme="minorHAnsi" w:hAnsiTheme="minorHAnsi" w:cstheme="minorHAnsi"/>
                <w:sz w:val="20"/>
              </w:rPr>
            </w:pPr>
            <w:r w:rsidRPr="00E27F47">
              <w:rPr>
                <w:rFonts w:asciiTheme="minorHAnsi" w:hAnsiTheme="minorHAnsi" w:cstheme="minorHAnsi"/>
                <w:color w:val="000000"/>
                <w:sz w:val="20"/>
              </w:rPr>
              <w:t>$33,825,000</w:t>
            </w:r>
          </w:p>
        </w:tc>
      </w:tr>
      <w:tr w:rsidR="00192AC7" w:rsidRPr="009A24FE" w14:paraId="549E8366" w14:textId="77777777">
        <w:tc>
          <w:tcPr>
            <w:tcW w:w="2932" w:type="pct"/>
            <w:gridSpan w:val="2"/>
          </w:tcPr>
          <w:p w14:paraId="2361D87E" w14:textId="77777777" w:rsidR="00192AC7" w:rsidRPr="009A24FE" w:rsidRDefault="00736C95">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Total</w:t>
            </w:r>
            <w:r w:rsidR="00192AC7" w:rsidRPr="009A24FE">
              <w:rPr>
                <w:rFonts w:asciiTheme="minorHAnsi" w:hAnsiTheme="minorHAnsi" w:cstheme="minorHAnsi"/>
                <w:sz w:val="20"/>
              </w:rPr>
              <w:t xml:space="preserve">  </w:t>
            </w:r>
          </w:p>
        </w:tc>
        <w:tc>
          <w:tcPr>
            <w:tcW w:w="2068" w:type="pct"/>
          </w:tcPr>
          <w:p w14:paraId="7BBB1EEE" w14:textId="5E56C4FF" w:rsidR="00192AC7" w:rsidRPr="00E27F47" w:rsidRDefault="00C102C8">
            <w:pPr>
              <w:pStyle w:val="Bullet"/>
              <w:numPr>
                <w:ilvl w:val="0"/>
                <w:numId w:val="0"/>
              </w:numPr>
              <w:spacing w:line="240" w:lineRule="auto"/>
              <w:ind w:left="520" w:hanging="520"/>
              <w:jc w:val="right"/>
              <w:rPr>
                <w:rFonts w:asciiTheme="minorHAnsi" w:hAnsiTheme="minorHAnsi" w:cstheme="minorHAnsi"/>
                <w:sz w:val="20"/>
              </w:rPr>
            </w:pPr>
            <w:r w:rsidRPr="00E27F47">
              <w:rPr>
                <w:rFonts w:asciiTheme="minorHAnsi" w:hAnsiTheme="minorHAnsi" w:cstheme="minorHAnsi"/>
                <w:color w:val="000000"/>
                <w:sz w:val="20"/>
              </w:rPr>
              <w:t>$243,875,000</w:t>
            </w:r>
          </w:p>
        </w:tc>
      </w:tr>
    </w:tbl>
    <w:p w14:paraId="6023D278" w14:textId="77777777" w:rsidR="00192AC7" w:rsidRPr="00AB3FC1" w:rsidRDefault="00192AC7" w:rsidP="00192AC7">
      <w:pPr>
        <w:pStyle w:val="Bullet"/>
        <w:numPr>
          <w:ilvl w:val="0"/>
          <w:numId w:val="0"/>
        </w:numPr>
        <w:spacing w:line="240" w:lineRule="auto"/>
        <w:rPr>
          <w:rFonts w:asciiTheme="minorHAnsi" w:hAnsiTheme="minorHAnsi" w:cstheme="minorHAnsi"/>
        </w:rPr>
      </w:pPr>
    </w:p>
    <w:p w14:paraId="71C2CEC0" w14:textId="5420A378" w:rsidR="00947E3E" w:rsidRDefault="00947E3E" w:rsidP="00947E3E">
      <w:pPr>
        <w:pStyle w:val="Bullet"/>
        <w:numPr>
          <w:ilvl w:val="0"/>
          <w:numId w:val="0"/>
        </w:numPr>
        <w:spacing w:line="240" w:lineRule="auto"/>
        <w:rPr>
          <w:rFonts w:asciiTheme="minorHAnsi" w:hAnsiTheme="minorHAnsi" w:cstheme="minorHAnsi"/>
        </w:rPr>
      </w:pPr>
      <w:r w:rsidRPr="00D6554A">
        <w:rPr>
          <w:rFonts w:asciiTheme="minorHAnsi" w:hAnsiTheme="minorHAnsi" w:cstheme="minorHAnsi"/>
        </w:rPr>
        <w:t>Option 4 represents a modest increase in the RBE compared to the status quo and Option 2 due</w:t>
      </w:r>
      <w:r>
        <w:rPr>
          <w:rFonts w:asciiTheme="minorHAnsi" w:hAnsiTheme="minorHAnsi" w:cstheme="minorHAnsi"/>
        </w:rPr>
        <w:t xml:space="preserve"> to the additional regulatory burden costs associated with seeking judicial review of an ACCC determination. </w:t>
      </w:r>
    </w:p>
    <w:p w14:paraId="59829176" w14:textId="65725DB6" w:rsidR="00947E3E" w:rsidRPr="006854DC" w:rsidRDefault="00947E3E" w:rsidP="00947E3E">
      <w:pPr>
        <w:pStyle w:val="Bullet"/>
        <w:spacing w:line="240" w:lineRule="auto"/>
        <w:rPr>
          <w:rFonts w:asciiTheme="minorHAnsi" w:hAnsiTheme="minorHAnsi" w:cstheme="minorHAnsi"/>
        </w:rPr>
      </w:pPr>
      <w:r>
        <w:rPr>
          <w:rFonts w:asciiTheme="minorHAnsi" w:hAnsiTheme="minorHAnsi" w:cstheme="minorHAnsi"/>
        </w:rPr>
        <w:t xml:space="preserve">In particular, the </w:t>
      </w:r>
      <w:r w:rsidR="00F67667">
        <w:rPr>
          <w:rFonts w:asciiTheme="minorHAnsi" w:hAnsiTheme="minorHAnsi" w:cstheme="minorHAnsi"/>
        </w:rPr>
        <w:t xml:space="preserve">RBE </w:t>
      </w:r>
      <w:r>
        <w:rPr>
          <w:rFonts w:asciiTheme="minorHAnsi" w:hAnsiTheme="minorHAnsi" w:cstheme="minorHAnsi"/>
        </w:rPr>
        <w:t xml:space="preserve">for Option 4 reflects a change in the </w:t>
      </w:r>
      <w:r w:rsidRPr="0065404B">
        <w:rPr>
          <w:rFonts w:asciiTheme="minorHAnsi" w:hAnsiTheme="minorHAnsi" w:cstheme="minorHAnsi"/>
        </w:rPr>
        <w:t xml:space="preserve">costs </w:t>
      </w:r>
      <w:r w:rsidR="00A76050">
        <w:rPr>
          <w:rFonts w:asciiTheme="minorHAnsi" w:hAnsiTheme="minorHAnsi" w:cstheme="minorHAnsi"/>
        </w:rPr>
        <w:t xml:space="preserve">of </w:t>
      </w:r>
      <w:r w:rsidRPr="0065404B">
        <w:rPr>
          <w:rFonts w:asciiTheme="minorHAnsi" w:hAnsiTheme="minorHAnsi" w:cstheme="minorHAnsi"/>
        </w:rPr>
        <w:t>post-merger review</w:t>
      </w:r>
      <w:r w:rsidR="00A76050">
        <w:rPr>
          <w:rFonts w:asciiTheme="minorHAnsi" w:hAnsiTheme="minorHAnsi" w:cstheme="minorHAnsi"/>
        </w:rPr>
        <w:t>s</w:t>
      </w:r>
      <w:r>
        <w:rPr>
          <w:rFonts w:asciiTheme="minorHAnsi" w:hAnsiTheme="minorHAnsi" w:cstheme="minorHAnsi"/>
        </w:rPr>
        <w:t xml:space="preserve"> from no avenue to seek</w:t>
      </w:r>
      <w:r w:rsidR="00AB41C0">
        <w:rPr>
          <w:rFonts w:asciiTheme="minorHAnsi" w:hAnsiTheme="minorHAnsi" w:cstheme="minorHAnsi"/>
        </w:rPr>
        <w:t>ing</w:t>
      </w:r>
      <w:r>
        <w:rPr>
          <w:rFonts w:asciiTheme="minorHAnsi" w:hAnsiTheme="minorHAnsi" w:cstheme="minorHAnsi"/>
        </w:rPr>
        <w:t xml:space="preserve"> </w:t>
      </w:r>
      <w:r w:rsidRPr="00E2357E">
        <w:rPr>
          <w:rFonts w:asciiTheme="minorHAnsi" w:hAnsiTheme="minorHAnsi" w:cstheme="minorHAnsi"/>
        </w:rPr>
        <w:t>review by the Tribunal,</w:t>
      </w:r>
      <w:r>
        <w:rPr>
          <w:rFonts w:asciiTheme="minorHAnsi" w:hAnsiTheme="minorHAnsi" w:cstheme="minorHAnsi"/>
        </w:rPr>
        <w:t xml:space="preserve"> leading to an </w:t>
      </w:r>
      <w:r w:rsidRPr="006854DC">
        <w:rPr>
          <w:rFonts w:asciiTheme="minorHAnsi" w:hAnsiTheme="minorHAnsi" w:cstheme="minorHAnsi"/>
        </w:rPr>
        <w:t xml:space="preserve">overall increase in costs from legal fees and process related to seeking </w:t>
      </w:r>
      <w:r w:rsidR="00AB41C0" w:rsidRPr="006854DC">
        <w:rPr>
          <w:rFonts w:asciiTheme="minorHAnsi" w:hAnsiTheme="minorHAnsi" w:cstheme="minorHAnsi"/>
        </w:rPr>
        <w:t xml:space="preserve">a </w:t>
      </w:r>
      <w:r w:rsidRPr="006854DC">
        <w:rPr>
          <w:rFonts w:asciiTheme="minorHAnsi" w:hAnsiTheme="minorHAnsi" w:cstheme="minorHAnsi"/>
        </w:rPr>
        <w:t>review of a decision by the merger parties in the Federal Court</w:t>
      </w:r>
      <w:r w:rsidR="007F66F4" w:rsidRPr="006854DC">
        <w:rPr>
          <w:rFonts w:asciiTheme="minorHAnsi" w:hAnsiTheme="minorHAnsi" w:cstheme="minorHAnsi"/>
        </w:rPr>
        <w:t xml:space="preserve">, as well as slightly higher costs for the other stages due to the retention of the merger authorisation process. </w:t>
      </w:r>
    </w:p>
    <w:p w14:paraId="0113437F" w14:textId="08E9AE86" w:rsidR="00947E3E" w:rsidRPr="006854DC" w:rsidRDefault="00947E3E" w:rsidP="00947E3E">
      <w:pPr>
        <w:pStyle w:val="Dash"/>
      </w:pPr>
      <w:r w:rsidRPr="006854DC">
        <w:rPr>
          <w:rFonts w:asciiTheme="minorHAnsi" w:hAnsiTheme="minorHAnsi" w:cstheme="minorHAnsi"/>
        </w:rPr>
        <w:t xml:space="preserve">The total increased cost for business from </w:t>
      </w:r>
      <w:r w:rsidR="00077153" w:rsidRPr="006854DC">
        <w:rPr>
          <w:rFonts w:asciiTheme="minorHAnsi" w:hAnsiTheme="minorHAnsi" w:cstheme="minorHAnsi"/>
        </w:rPr>
        <w:t>Option 4</w:t>
      </w:r>
      <w:r w:rsidRPr="006854DC">
        <w:rPr>
          <w:rFonts w:asciiTheme="minorHAnsi" w:hAnsiTheme="minorHAnsi" w:cstheme="minorHAnsi"/>
        </w:rPr>
        <w:t xml:space="preserve"> being $</w:t>
      </w:r>
      <w:r w:rsidR="004C0C04" w:rsidRPr="006854DC">
        <w:rPr>
          <w:rFonts w:asciiTheme="minorHAnsi" w:hAnsiTheme="minorHAnsi" w:cstheme="minorHAnsi"/>
        </w:rPr>
        <w:t>22</w:t>
      </w:r>
      <w:r w:rsidR="00C05AE0" w:rsidRPr="006854DC">
        <w:rPr>
          <w:rFonts w:asciiTheme="minorHAnsi" w:hAnsiTheme="minorHAnsi" w:cstheme="minorHAnsi"/>
        </w:rPr>
        <w:t>.1</w:t>
      </w:r>
      <w:r w:rsidR="00982C72" w:rsidRPr="006854DC">
        <w:rPr>
          <w:rFonts w:asciiTheme="minorHAnsi" w:hAnsiTheme="minorHAnsi" w:cstheme="minorHAnsi"/>
        </w:rPr>
        <w:t xml:space="preserve"> </w:t>
      </w:r>
      <w:r w:rsidRPr="006854DC">
        <w:rPr>
          <w:rFonts w:asciiTheme="minorHAnsi" w:hAnsiTheme="minorHAnsi" w:cstheme="minorHAnsi"/>
        </w:rPr>
        <w:t>million, compared to Option 2 of $</w:t>
      </w:r>
      <w:r w:rsidR="004C0C04" w:rsidRPr="006854DC">
        <w:rPr>
          <w:rFonts w:asciiTheme="minorHAnsi" w:hAnsiTheme="minorHAnsi" w:cstheme="minorHAnsi"/>
        </w:rPr>
        <w:t>10.8</w:t>
      </w:r>
      <w:r w:rsidR="00982C72" w:rsidRPr="006854DC">
        <w:rPr>
          <w:rFonts w:asciiTheme="minorHAnsi" w:hAnsiTheme="minorHAnsi" w:cstheme="minorHAnsi"/>
        </w:rPr>
        <w:t xml:space="preserve"> </w:t>
      </w:r>
      <w:r w:rsidRPr="006854DC">
        <w:rPr>
          <w:rFonts w:asciiTheme="minorHAnsi" w:hAnsiTheme="minorHAnsi" w:cstheme="minorHAnsi"/>
        </w:rPr>
        <w:t>million, with the cost for review by the Federal Court to be $11</w:t>
      </w:r>
      <w:r w:rsidR="00077153" w:rsidRPr="006854DC">
        <w:rPr>
          <w:rFonts w:asciiTheme="minorHAnsi" w:hAnsiTheme="minorHAnsi" w:cstheme="minorHAnsi"/>
        </w:rPr>
        <w:t>.2</w:t>
      </w:r>
      <w:r w:rsidRPr="006854DC">
        <w:rPr>
          <w:rFonts w:asciiTheme="minorHAnsi" w:hAnsiTheme="minorHAnsi" w:cstheme="minorHAnsi"/>
        </w:rPr>
        <w:t xml:space="preserve"> million per </w:t>
      </w:r>
      <w:r w:rsidR="000C09AD" w:rsidRPr="006854DC">
        <w:rPr>
          <w:rFonts w:asciiTheme="minorHAnsi" w:hAnsiTheme="minorHAnsi" w:cstheme="minorHAnsi"/>
        </w:rPr>
        <w:t>merger</w:t>
      </w:r>
      <w:r w:rsidRPr="006854DC">
        <w:rPr>
          <w:rFonts w:asciiTheme="minorHAnsi" w:hAnsiTheme="minorHAnsi" w:cstheme="minorHAnsi"/>
        </w:rPr>
        <w:t xml:space="preserve">, which is higher than Option 2 and Option 3. </w:t>
      </w:r>
    </w:p>
    <w:p w14:paraId="24FEF067" w14:textId="03B5532E" w:rsidR="00D560E5" w:rsidRPr="00D35618" w:rsidRDefault="00E56E65" w:rsidP="00D560E5">
      <w:pPr>
        <w:rPr>
          <w:b/>
          <w:color w:val="2C384A" w:themeColor="accent1"/>
        </w:rPr>
      </w:pPr>
      <w:r w:rsidRPr="00D35618">
        <w:rPr>
          <w:b/>
          <w:color w:val="2C384A" w:themeColor="accent1"/>
        </w:rPr>
        <w:t xml:space="preserve">Table </w:t>
      </w:r>
      <w:r>
        <w:rPr>
          <w:b/>
          <w:color w:val="2C384A" w:themeColor="accent1"/>
        </w:rPr>
        <w:t>4</w:t>
      </w:r>
      <w:r w:rsidRPr="00D35618">
        <w:rPr>
          <w:b/>
          <w:color w:val="2C384A" w:themeColor="accent1"/>
        </w:rPr>
        <w:t>. Estimated total cost to business</w:t>
      </w:r>
      <w:r>
        <w:rPr>
          <w:b/>
          <w:color w:val="2C384A" w:themeColor="accent1"/>
        </w:rPr>
        <w:t>es</w:t>
      </w:r>
      <w:r w:rsidRPr="00D35618">
        <w:rPr>
          <w:b/>
          <w:color w:val="2C384A" w:themeColor="accent1"/>
        </w:rPr>
        <w:t xml:space="preserve"> under </w:t>
      </w:r>
      <w:r>
        <w:rPr>
          <w:b/>
          <w:color w:val="2C384A" w:themeColor="accent1"/>
        </w:rPr>
        <w:t>Option 4</w:t>
      </w:r>
      <w:r w:rsidR="00D560E5" w:rsidRPr="00D35618">
        <w:rPr>
          <w:b/>
          <w:color w:val="2C384A" w:themeColor="accent1"/>
        </w:rPr>
        <w:t xml:space="preserve"> </w:t>
      </w:r>
    </w:p>
    <w:tbl>
      <w:tblPr>
        <w:tblStyle w:val="TableGrid"/>
        <w:tblW w:w="2277" w:type="pct"/>
        <w:tblBorders>
          <w:bottom w:val="single" w:sz="18" w:space="0" w:color="auto"/>
          <w:insideH w:val="single" w:sz="4" w:space="0" w:color="auto"/>
        </w:tblBorders>
        <w:tblLayout w:type="fixed"/>
        <w:tblLook w:val="04A0" w:firstRow="1" w:lastRow="0" w:firstColumn="1" w:lastColumn="0" w:noHBand="0" w:noVBand="1"/>
      </w:tblPr>
      <w:tblGrid>
        <w:gridCol w:w="2197"/>
        <w:gridCol w:w="213"/>
        <w:gridCol w:w="1700"/>
      </w:tblGrid>
      <w:tr w:rsidR="00D560E5" w:rsidRPr="007D6633" w14:paraId="6D162A47" w14:textId="77777777">
        <w:trPr>
          <w:cnfStyle w:val="100000000000" w:firstRow="1" w:lastRow="0" w:firstColumn="0" w:lastColumn="0" w:oddVBand="0" w:evenVBand="0" w:oddHBand="0" w:evenHBand="0" w:firstRowFirstColumn="0" w:firstRowLastColumn="0" w:lastRowFirstColumn="0" w:lastRowLastColumn="0"/>
        </w:trPr>
        <w:tc>
          <w:tcPr>
            <w:tcW w:w="2673" w:type="pct"/>
            <w:shd w:val="clear" w:color="auto" w:fill="2C384A" w:themeFill="accent1"/>
          </w:tcPr>
          <w:p w14:paraId="63596C84" w14:textId="77777777" w:rsidR="00D560E5" w:rsidRDefault="00E56E65">
            <w:pPr>
              <w:pStyle w:val="Bullet"/>
              <w:keepNext/>
              <w:numPr>
                <w:ilvl w:val="0"/>
                <w:numId w:val="0"/>
              </w:numPr>
              <w:spacing w:line="240" w:lineRule="auto"/>
              <w:rPr>
                <w:color w:val="FFFFFF" w:themeColor="background1"/>
                <w:szCs w:val="22"/>
              </w:rPr>
            </w:pPr>
            <w:r>
              <w:rPr>
                <w:color w:val="FFFFFF" w:themeColor="background1"/>
                <w:szCs w:val="22"/>
              </w:rPr>
              <w:t>Description of activity</w:t>
            </w:r>
          </w:p>
        </w:tc>
        <w:tc>
          <w:tcPr>
            <w:tcW w:w="2327" w:type="pct"/>
            <w:gridSpan w:val="2"/>
            <w:shd w:val="clear" w:color="auto" w:fill="2C384A" w:themeFill="accent1"/>
          </w:tcPr>
          <w:p w14:paraId="78A500A1" w14:textId="77777777" w:rsidR="00D560E5" w:rsidRPr="00744366" w:rsidRDefault="00E56E65">
            <w:pPr>
              <w:pStyle w:val="Bullet"/>
              <w:keepNext/>
              <w:numPr>
                <w:ilvl w:val="0"/>
                <w:numId w:val="0"/>
              </w:numPr>
              <w:spacing w:line="240" w:lineRule="auto"/>
              <w:rPr>
                <w:color w:val="FFFFFF" w:themeColor="background1"/>
                <w:sz w:val="22"/>
                <w:szCs w:val="22"/>
              </w:rPr>
            </w:pPr>
            <w:r>
              <w:rPr>
                <w:color w:val="FFFFFF" w:themeColor="background1"/>
                <w:sz w:val="22"/>
                <w:szCs w:val="22"/>
              </w:rPr>
              <w:t>Estimated total costs per year</w:t>
            </w:r>
          </w:p>
        </w:tc>
      </w:tr>
      <w:tr w:rsidR="00D560E5" w:rsidRPr="006E68CB" w14:paraId="137A8AC7" w14:textId="77777777">
        <w:tc>
          <w:tcPr>
            <w:tcW w:w="2932" w:type="pct"/>
            <w:gridSpan w:val="2"/>
          </w:tcPr>
          <w:p w14:paraId="0660E77F" w14:textId="77777777" w:rsidR="00D560E5" w:rsidRPr="006E68CB" w:rsidRDefault="00E56E65">
            <w:pPr>
              <w:pStyle w:val="Bullet"/>
              <w:numPr>
                <w:ilvl w:val="0"/>
                <w:numId w:val="0"/>
              </w:numPr>
              <w:spacing w:line="240" w:lineRule="auto"/>
              <w:ind w:left="520" w:hanging="520"/>
              <w:rPr>
                <w:rFonts w:asciiTheme="minorHAnsi" w:hAnsiTheme="minorHAnsi" w:cstheme="minorHAnsi"/>
                <w:sz w:val="20"/>
              </w:rPr>
            </w:pPr>
            <w:r>
              <w:rPr>
                <w:rFonts w:asciiTheme="minorHAnsi" w:hAnsiTheme="minorHAnsi" w:cstheme="minorHAnsi"/>
                <w:sz w:val="20"/>
              </w:rPr>
              <w:t>Familiarisation costs</w:t>
            </w:r>
          </w:p>
        </w:tc>
        <w:tc>
          <w:tcPr>
            <w:tcW w:w="2068" w:type="pct"/>
          </w:tcPr>
          <w:p w14:paraId="4E9DB6CC" w14:textId="77777777" w:rsidR="00D560E5" w:rsidRPr="002F2A3D" w:rsidRDefault="00D560E5">
            <w:pPr>
              <w:pStyle w:val="Bullet"/>
              <w:numPr>
                <w:ilvl w:val="0"/>
                <w:numId w:val="0"/>
              </w:numPr>
              <w:spacing w:line="240" w:lineRule="auto"/>
              <w:ind w:left="520" w:hanging="520"/>
              <w:jc w:val="right"/>
              <w:rPr>
                <w:rFonts w:asciiTheme="minorHAnsi" w:hAnsiTheme="minorHAnsi" w:cstheme="minorHAnsi"/>
                <w:sz w:val="20"/>
              </w:rPr>
            </w:pPr>
            <w:r w:rsidRPr="002F2A3D">
              <w:rPr>
                <w:rFonts w:asciiTheme="minorHAnsi" w:hAnsiTheme="minorHAnsi" w:cstheme="minorHAnsi"/>
                <w:color w:val="000000"/>
                <w:sz w:val="20"/>
              </w:rPr>
              <w:t>$235,000</w:t>
            </w:r>
          </w:p>
        </w:tc>
      </w:tr>
      <w:tr w:rsidR="00D560E5" w:rsidRPr="006E68CB" w14:paraId="2EE83794" w14:textId="77777777">
        <w:tc>
          <w:tcPr>
            <w:tcW w:w="2932" w:type="pct"/>
            <w:gridSpan w:val="2"/>
          </w:tcPr>
          <w:p w14:paraId="5F2A9F86" w14:textId="77777777" w:rsidR="00D560E5" w:rsidRPr="006E68CB" w:rsidRDefault="00E56E65">
            <w:pPr>
              <w:pStyle w:val="Bullet"/>
              <w:numPr>
                <w:ilvl w:val="0"/>
                <w:numId w:val="0"/>
              </w:numPr>
              <w:spacing w:line="240" w:lineRule="auto"/>
              <w:ind w:left="520" w:hanging="520"/>
              <w:rPr>
                <w:rFonts w:asciiTheme="minorHAnsi" w:hAnsiTheme="minorHAnsi" w:cstheme="minorHAnsi"/>
                <w:sz w:val="20"/>
              </w:rPr>
            </w:pPr>
            <w:r w:rsidRPr="006E68CB">
              <w:rPr>
                <w:rFonts w:asciiTheme="minorHAnsi" w:hAnsiTheme="minorHAnsi" w:cstheme="minorHAnsi"/>
                <w:sz w:val="20"/>
              </w:rPr>
              <w:t>Decision to notify</w:t>
            </w:r>
          </w:p>
        </w:tc>
        <w:tc>
          <w:tcPr>
            <w:tcW w:w="2068" w:type="pct"/>
          </w:tcPr>
          <w:p w14:paraId="0136D078" w14:textId="771E1E1D" w:rsidR="00D560E5" w:rsidRPr="002F2A3D" w:rsidRDefault="00D560E5">
            <w:pPr>
              <w:pStyle w:val="Bullet"/>
              <w:numPr>
                <w:ilvl w:val="0"/>
                <w:numId w:val="0"/>
              </w:numPr>
              <w:spacing w:line="240" w:lineRule="auto"/>
              <w:ind w:left="520" w:hanging="520"/>
              <w:jc w:val="right"/>
              <w:rPr>
                <w:rFonts w:asciiTheme="minorHAnsi" w:hAnsiTheme="minorHAnsi" w:cstheme="minorHAnsi"/>
                <w:sz w:val="20"/>
              </w:rPr>
            </w:pPr>
            <w:r w:rsidRPr="002F2A3D">
              <w:rPr>
                <w:rFonts w:asciiTheme="minorHAnsi" w:hAnsiTheme="minorHAnsi" w:cstheme="minorHAnsi"/>
                <w:color w:val="000000"/>
                <w:sz w:val="20"/>
              </w:rPr>
              <w:t>$26,</w:t>
            </w:r>
            <w:r w:rsidR="003A61CA">
              <w:rPr>
                <w:rFonts w:asciiTheme="minorHAnsi" w:hAnsiTheme="minorHAnsi" w:cstheme="minorHAnsi"/>
                <w:color w:val="000000"/>
                <w:sz w:val="20"/>
              </w:rPr>
              <w:t>905,250</w:t>
            </w:r>
          </w:p>
        </w:tc>
      </w:tr>
      <w:tr w:rsidR="00D560E5" w:rsidRPr="009A24FE" w14:paraId="3DBC6ED3" w14:textId="77777777">
        <w:tc>
          <w:tcPr>
            <w:tcW w:w="2932" w:type="pct"/>
            <w:gridSpan w:val="2"/>
          </w:tcPr>
          <w:p w14:paraId="1DA8F426" w14:textId="77777777" w:rsidR="00D560E5" w:rsidRPr="009A24FE" w:rsidRDefault="00E56E65">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Prepare an application</w:t>
            </w:r>
          </w:p>
        </w:tc>
        <w:tc>
          <w:tcPr>
            <w:tcW w:w="2068" w:type="pct"/>
          </w:tcPr>
          <w:p w14:paraId="75AB0A70" w14:textId="48A4C9A1" w:rsidR="00D560E5" w:rsidRPr="002F2A3D" w:rsidRDefault="00D560E5">
            <w:pPr>
              <w:pStyle w:val="Bullet"/>
              <w:numPr>
                <w:ilvl w:val="0"/>
                <w:numId w:val="0"/>
              </w:numPr>
              <w:spacing w:line="240" w:lineRule="auto"/>
              <w:ind w:left="520" w:hanging="520"/>
              <w:jc w:val="right"/>
              <w:rPr>
                <w:rFonts w:asciiTheme="minorHAnsi" w:hAnsiTheme="minorHAnsi" w:cstheme="minorHAnsi"/>
                <w:sz w:val="20"/>
              </w:rPr>
            </w:pPr>
            <w:r w:rsidRPr="002F2A3D">
              <w:rPr>
                <w:rFonts w:asciiTheme="minorHAnsi" w:hAnsiTheme="minorHAnsi" w:cstheme="minorHAnsi"/>
                <w:color w:val="000000"/>
                <w:sz w:val="20"/>
              </w:rPr>
              <w:t>$29,766,750</w:t>
            </w:r>
          </w:p>
        </w:tc>
      </w:tr>
      <w:tr w:rsidR="00D560E5" w:rsidRPr="009A24FE" w14:paraId="2C9319A6" w14:textId="77777777">
        <w:tc>
          <w:tcPr>
            <w:tcW w:w="2932" w:type="pct"/>
            <w:gridSpan w:val="2"/>
          </w:tcPr>
          <w:p w14:paraId="00F467C1" w14:textId="77777777" w:rsidR="00D560E5" w:rsidRPr="009A24FE" w:rsidRDefault="00E56E65">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Phase 1</w:t>
            </w:r>
          </w:p>
        </w:tc>
        <w:tc>
          <w:tcPr>
            <w:tcW w:w="2068" w:type="pct"/>
          </w:tcPr>
          <w:p w14:paraId="3B3CF516" w14:textId="31F12890" w:rsidR="00D560E5" w:rsidRPr="002F2A3D" w:rsidRDefault="00D560E5">
            <w:pPr>
              <w:pStyle w:val="Bullet"/>
              <w:numPr>
                <w:ilvl w:val="0"/>
                <w:numId w:val="0"/>
              </w:numPr>
              <w:spacing w:line="240" w:lineRule="auto"/>
              <w:ind w:left="520" w:hanging="520"/>
              <w:jc w:val="right"/>
              <w:rPr>
                <w:rFonts w:asciiTheme="minorHAnsi" w:hAnsiTheme="minorHAnsi" w:cstheme="minorHAnsi"/>
                <w:sz w:val="20"/>
              </w:rPr>
            </w:pPr>
            <w:r w:rsidRPr="002F2A3D">
              <w:rPr>
                <w:rFonts w:asciiTheme="minorHAnsi" w:hAnsiTheme="minorHAnsi" w:cstheme="minorHAnsi"/>
                <w:color w:val="000000"/>
                <w:sz w:val="20"/>
              </w:rPr>
              <w:t>$68,766,250</w:t>
            </w:r>
          </w:p>
        </w:tc>
      </w:tr>
      <w:tr w:rsidR="00D560E5" w:rsidRPr="009A24FE" w14:paraId="4C908B58" w14:textId="77777777">
        <w:tc>
          <w:tcPr>
            <w:tcW w:w="2932" w:type="pct"/>
            <w:gridSpan w:val="2"/>
          </w:tcPr>
          <w:p w14:paraId="224BAD47" w14:textId="77777777" w:rsidR="00D560E5" w:rsidRPr="009A24FE" w:rsidRDefault="00E56E65">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Phase 2</w:t>
            </w:r>
          </w:p>
        </w:tc>
        <w:tc>
          <w:tcPr>
            <w:tcW w:w="2068" w:type="pct"/>
          </w:tcPr>
          <w:p w14:paraId="4C434A91" w14:textId="7AE76B8B" w:rsidR="00D560E5" w:rsidRPr="002F2A3D" w:rsidRDefault="00D560E5">
            <w:pPr>
              <w:pStyle w:val="Bullet"/>
              <w:numPr>
                <w:ilvl w:val="0"/>
                <w:numId w:val="0"/>
              </w:numPr>
              <w:spacing w:line="240" w:lineRule="auto"/>
              <w:ind w:left="520" w:hanging="520"/>
              <w:jc w:val="right"/>
              <w:rPr>
                <w:rFonts w:asciiTheme="minorHAnsi" w:hAnsiTheme="minorHAnsi" w:cstheme="minorHAnsi"/>
                <w:sz w:val="20"/>
              </w:rPr>
            </w:pPr>
            <w:r w:rsidRPr="002F2A3D">
              <w:rPr>
                <w:rFonts w:asciiTheme="minorHAnsi" w:hAnsiTheme="minorHAnsi" w:cstheme="minorHAnsi"/>
                <w:color w:val="000000"/>
                <w:sz w:val="20"/>
              </w:rPr>
              <w:t>$27,975,000</w:t>
            </w:r>
          </w:p>
        </w:tc>
      </w:tr>
      <w:tr w:rsidR="00D560E5" w:rsidRPr="009A24FE" w14:paraId="2541C48D" w14:textId="77777777">
        <w:tc>
          <w:tcPr>
            <w:tcW w:w="2932" w:type="pct"/>
            <w:gridSpan w:val="2"/>
          </w:tcPr>
          <w:p w14:paraId="603E93AC" w14:textId="77777777" w:rsidR="00D560E5" w:rsidRPr="009A24FE" w:rsidRDefault="00E56E65">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Remedies</w:t>
            </w:r>
          </w:p>
        </w:tc>
        <w:tc>
          <w:tcPr>
            <w:tcW w:w="2068" w:type="pct"/>
          </w:tcPr>
          <w:p w14:paraId="5BB40C1E" w14:textId="4AF8751B" w:rsidR="00D560E5" w:rsidRPr="002F2A3D" w:rsidRDefault="00D560E5">
            <w:pPr>
              <w:pStyle w:val="Bullet"/>
              <w:numPr>
                <w:ilvl w:val="0"/>
                <w:numId w:val="0"/>
              </w:numPr>
              <w:spacing w:line="240" w:lineRule="auto"/>
              <w:ind w:left="520" w:hanging="520"/>
              <w:jc w:val="right"/>
              <w:rPr>
                <w:rFonts w:asciiTheme="minorHAnsi" w:hAnsiTheme="minorHAnsi" w:cstheme="minorHAnsi"/>
                <w:sz w:val="20"/>
              </w:rPr>
            </w:pPr>
            <w:r w:rsidRPr="002F2A3D">
              <w:rPr>
                <w:rFonts w:asciiTheme="minorHAnsi" w:hAnsiTheme="minorHAnsi" w:cstheme="minorHAnsi"/>
                <w:color w:val="000000"/>
                <w:sz w:val="20"/>
              </w:rPr>
              <w:t>$2,445,000</w:t>
            </w:r>
          </w:p>
        </w:tc>
      </w:tr>
      <w:tr w:rsidR="00D560E5" w:rsidRPr="009A24FE" w14:paraId="71568613" w14:textId="77777777">
        <w:tc>
          <w:tcPr>
            <w:tcW w:w="2932" w:type="pct"/>
            <w:gridSpan w:val="2"/>
          </w:tcPr>
          <w:p w14:paraId="671E0D0B" w14:textId="77777777" w:rsidR="00D560E5" w:rsidRPr="009A24FE" w:rsidRDefault="00E56E65">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Public benefits</w:t>
            </w:r>
          </w:p>
        </w:tc>
        <w:tc>
          <w:tcPr>
            <w:tcW w:w="2068" w:type="pct"/>
          </w:tcPr>
          <w:p w14:paraId="06E74534" w14:textId="3C207418" w:rsidR="00D560E5" w:rsidRPr="002F2A3D" w:rsidRDefault="00D560E5">
            <w:pPr>
              <w:pStyle w:val="Bullet"/>
              <w:numPr>
                <w:ilvl w:val="0"/>
                <w:numId w:val="0"/>
              </w:numPr>
              <w:spacing w:line="240" w:lineRule="auto"/>
              <w:ind w:left="520" w:hanging="520"/>
              <w:jc w:val="right"/>
              <w:rPr>
                <w:rFonts w:asciiTheme="minorHAnsi" w:hAnsiTheme="minorHAnsi" w:cstheme="minorHAnsi"/>
                <w:sz w:val="20"/>
              </w:rPr>
            </w:pPr>
            <w:r w:rsidRPr="002F2A3D">
              <w:rPr>
                <w:rFonts w:asciiTheme="minorHAnsi" w:hAnsiTheme="minorHAnsi" w:cstheme="minorHAnsi"/>
                <w:color w:val="000000"/>
                <w:sz w:val="20"/>
              </w:rPr>
              <w:t>$3,730,000</w:t>
            </w:r>
          </w:p>
        </w:tc>
      </w:tr>
      <w:tr w:rsidR="00D560E5" w:rsidRPr="009A24FE" w14:paraId="26685F09" w14:textId="77777777">
        <w:tc>
          <w:tcPr>
            <w:tcW w:w="2932" w:type="pct"/>
            <w:gridSpan w:val="2"/>
          </w:tcPr>
          <w:p w14:paraId="1F626ADC" w14:textId="77777777" w:rsidR="00D560E5" w:rsidRPr="009A24FE" w:rsidRDefault="00E56E65">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Review</w:t>
            </w:r>
          </w:p>
        </w:tc>
        <w:tc>
          <w:tcPr>
            <w:tcW w:w="2068" w:type="pct"/>
          </w:tcPr>
          <w:p w14:paraId="1DAA3963" w14:textId="7283FEB4" w:rsidR="00D560E5" w:rsidRPr="002F2A3D" w:rsidRDefault="00D560E5">
            <w:pPr>
              <w:pStyle w:val="Bullet"/>
              <w:numPr>
                <w:ilvl w:val="0"/>
                <w:numId w:val="0"/>
              </w:numPr>
              <w:spacing w:line="240" w:lineRule="auto"/>
              <w:ind w:left="520" w:hanging="520"/>
              <w:jc w:val="right"/>
              <w:rPr>
                <w:rFonts w:asciiTheme="minorHAnsi" w:hAnsiTheme="minorHAnsi" w:cstheme="minorHAnsi"/>
                <w:sz w:val="20"/>
              </w:rPr>
            </w:pPr>
            <w:r w:rsidRPr="002F2A3D">
              <w:rPr>
                <w:rFonts w:asciiTheme="minorHAnsi" w:hAnsiTheme="minorHAnsi" w:cstheme="minorHAnsi"/>
                <w:color w:val="000000"/>
                <w:sz w:val="20"/>
              </w:rPr>
              <w:t>$22,440,000</w:t>
            </w:r>
          </w:p>
        </w:tc>
      </w:tr>
      <w:tr w:rsidR="00D560E5" w:rsidRPr="009A24FE" w14:paraId="64CE0402" w14:textId="77777777">
        <w:tc>
          <w:tcPr>
            <w:tcW w:w="2932" w:type="pct"/>
            <w:gridSpan w:val="2"/>
          </w:tcPr>
          <w:p w14:paraId="0D12AE78" w14:textId="5A5008EB" w:rsidR="00D560E5" w:rsidRPr="009A24FE" w:rsidRDefault="00E56E65">
            <w:pPr>
              <w:pStyle w:val="Bullet"/>
              <w:numPr>
                <w:ilvl w:val="0"/>
                <w:numId w:val="0"/>
              </w:numPr>
              <w:spacing w:line="240" w:lineRule="auto"/>
              <w:ind w:left="520" w:hanging="520"/>
              <w:rPr>
                <w:rFonts w:asciiTheme="minorHAnsi" w:hAnsiTheme="minorHAnsi" w:cstheme="minorHAnsi"/>
                <w:sz w:val="20"/>
              </w:rPr>
            </w:pPr>
            <w:r w:rsidRPr="009A24FE">
              <w:rPr>
                <w:rFonts w:asciiTheme="minorHAnsi" w:hAnsiTheme="minorHAnsi" w:cstheme="minorHAnsi"/>
                <w:sz w:val="20"/>
              </w:rPr>
              <w:t xml:space="preserve">Total  </w:t>
            </w:r>
            <w:r w:rsidR="00D560E5" w:rsidRPr="009A24FE">
              <w:rPr>
                <w:rFonts w:asciiTheme="minorHAnsi" w:hAnsiTheme="minorHAnsi" w:cstheme="minorHAnsi"/>
                <w:sz w:val="20"/>
              </w:rPr>
              <w:t xml:space="preserve">  </w:t>
            </w:r>
          </w:p>
        </w:tc>
        <w:tc>
          <w:tcPr>
            <w:tcW w:w="2068" w:type="pct"/>
          </w:tcPr>
          <w:p w14:paraId="20BBEF0A" w14:textId="04E1953D" w:rsidR="00D560E5" w:rsidRPr="002F2A3D" w:rsidRDefault="00D560E5">
            <w:pPr>
              <w:pStyle w:val="Bullet"/>
              <w:numPr>
                <w:ilvl w:val="0"/>
                <w:numId w:val="0"/>
              </w:numPr>
              <w:spacing w:line="240" w:lineRule="auto"/>
              <w:ind w:left="520" w:hanging="520"/>
              <w:jc w:val="right"/>
              <w:rPr>
                <w:rFonts w:asciiTheme="minorHAnsi" w:hAnsiTheme="minorHAnsi" w:cstheme="minorHAnsi"/>
                <w:sz w:val="20"/>
              </w:rPr>
            </w:pPr>
            <w:r w:rsidRPr="002F2A3D">
              <w:rPr>
                <w:rFonts w:asciiTheme="minorHAnsi" w:hAnsiTheme="minorHAnsi" w:cstheme="minorHAnsi"/>
                <w:color w:val="000000"/>
                <w:sz w:val="20"/>
              </w:rPr>
              <w:t>$182,263,250</w:t>
            </w:r>
          </w:p>
        </w:tc>
      </w:tr>
    </w:tbl>
    <w:p w14:paraId="5B111AA1" w14:textId="77777777" w:rsidR="00947E3E" w:rsidRPr="00534989" w:rsidRDefault="00947E3E" w:rsidP="00203EEA">
      <w:pPr>
        <w:pStyle w:val="Heading3"/>
      </w:pPr>
      <w:bookmarkStart w:id="124" w:name="_Toc176972405"/>
      <w:r w:rsidRPr="00534989">
        <w:t>ACCC resourcing and merger review fees</w:t>
      </w:r>
      <w:bookmarkEnd w:id="124"/>
    </w:p>
    <w:p w14:paraId="3A3774DF" w14:textId="1258D740" w:rsidR="00947E3E" w:rsidRPr="007F7F29" w:rsidRDefault="00947E3E" w:rsidP="00203EEA">
      <w:pPr>
        <w:pStyle w:val="Heading4"/>
      </w:pPr>
      <w:r w:rsidRPr="00355A5E">
        <w:t>ACCC resourcing</w:t>
      </w:r>
    </w:p>
    <w:p w14:paraId="5F30F9A0" w14:textId="6CFD83EA" w:rsidR="00947E3E" w:rsidRDefault="00947E3E" w:rsidP="00730DF7">
      <w:pPr>
        <w:spacing w:line="240" w:lineRule="auto"/>
      </w:pPr>
      <w:r>
        <w:t xml:space="preserve">Under Options 2 </w:t>
      </w:r>
      <w:r w:rsidR="00AF3271">
        <w:t>and 3</w:t>
      </w:r>
      <w:r>
        <w:t xml:space="preserve">, the ACCC will be the expert first instance administrative decision-maker. </w:t>
      </w:r>
      <w:r w:rsidR="00730DF7">
        <w:t>A</w:t>
      </w:r>
      <w:r w:rsidRPr="00A550D7">
        <w:t xml:space="preserve">dditional funding and staffing </w:t>
      </w:r>
      <w:r w:rsidR="00E73D3D" w:rsidRPr="00A550D7">
        <w:t>are</w:t>
      </w:r>
      <w:r w:rsidRPr="00A550D7">
        <w:t xml:space="preserve"> required by the ACCC to support the operation of the new merger system, including the additional ongoing administrative elements attached and greater economic expertise in decision making. These administrative elements include making formal merger decisions within set </w:t>
      </w:r>
      <w:r w:rsidR="00E73D3D" w:rsidRPr="00A550D7">
        <w:t>timelines,</w:t>
      </w:r>
      <w:r w:rsidRPr="00A550D7">
        <w:t xml:space="preserve"> maintaining a public register of notified mergers and publishing reasons for decisions. </w:t>
      </w:r>
    </w:p>
    <w:p w14:paraId="2F406AD2" w14:textId="77777777" w:rsidR="00947E3E" w:rsidRPr="007274CB" w:rsidRDefault="00947E3E" w:rsidP="00203EEA">
      <w:pPr>
        <w:pStyle w:val="Heading4"/>
      </w:pPr>
      <w:r w:rsidRPr="00355A5E">
        <w:t>Merger review fees</w:t>
      </w:r>
    </w:p>
    <w:p w14:paraId="554EB508" w14:textId="0B874F26" w:rsidR="00947E3E" w:rsidRPr="00E2357E" w:rsidRDefault="00947E3E" w:rsidP="00947E3E">
      <w:pPr>
        <w:pStyle w:val="Bullet"/>
        <w:numPr>
          <w:ilvl w:val="0"/>
          <w:numId w:val="0"/>
        </w:numPr>
        <w:spacing w:line="240" w:lineRule="auto"/>
        <w:rPr>
          <w:rFonts w:asciiTheme="minorHAnsi" w:eastAsiaTheme="minorHAnsi" w:hAnsiTheme="minorHAnsi" w:cstheme="minorBidi"/>
          <w:kern w:val="2"/>
          <w:szCs w:val="22"/>
          <w:lang w:eastAsia="en-US"/>
          <w14:ligatures w14:val="standardContextual"/>
        </w:rPr>
      </w:pPr>
      <w:r>
        <w:rPr>
          <w:rFonts w:asciiTheme="minorHAnsi" w:eastAsiaTheme="minorHAnsi" w:hAnsiTheme="minorHAnsi" w:cstheme="minorBidi"/>
          <w:kern w:val="2"/>
          <w:szCs w:val="22"/>
          <w:lang w:eastAsia="en-US"/>
          <w14:ligatures w14:val="standardContextual"/>
        </w:rPr>
        <w:t>Under Options 2</w:t>
      </w:r>
      <w:r w:rsidR="00E54C52">
        <w:rPr>
          <w:rFonts w:asciiTheme="minorHAnsi" w:eastAsiaTheme="minorHAnsi" w:hAnsiTheme="minorHAnsi" w:cstheme="minorBidi"/>
          <w:kern w:val="2"/>
          <w:szCs w:val="22"/>
          <w:lang w:eastAsia="en-US"/>
          <w14:ligatures w14:val="standardContextual"/>
        </w:rPr>
        <w:t xml:space="preserve">, 3 and </w:t>
      </w:r>
      <w:r>
        <w:rPr>
          <w:rFonts w:asciiTheme="minorHAnsi" w:eastAsiaTheme="minorHAnsi" w:hAnsiTheme="minorHAnsi" w:cstheme="minorBidi"/>
          <w:kern w:val="2"/>
          <w:szCs w:val="22"/>
          <w:lang w:eastAsia="en-US"/>
          <w14:ligatures w14:val="standardContextual"/>
        </w:rPr>
        <w:t xml:space="preserve">4, </w:t>
      </w:r>
      <w:r w:rsidRPr="00A550D7">
        <w:rPr>
          <w:rFonts w:asciiTheme="minorHAnsi" w:eastAsiaTheme="minorHAnsi" w:hAnsiTheme="minorHAnsi" w:cstheme="minorBidi"/>
          <w:kern w:val="2"/>
          <w:szCs w:val="22"/>
          <w:lang w:eastAsia="en-US"/>
          <w14:ligatures w14:val="standardContextual"/>
        </w:rPr>
        <w:t xml:space="preserve">fees on merger notifications </w:t>
      </w:r>
      <w:r w:rsidR="00A972FD">
        <w:rPr>
          <w:rFonts w:asciiTheme="minorHAnsi" w:eastAsiaTheme="minorHAnsi" w:hAnsiTheme="minorHAnsi" w:cstheme="minorBidi"/>
          <w:kern w:val="2"/>
          <w:szCs w:val="22"/>
          <w:lang w:eastAsia="en-US"/>
          <w14:ligatures w14:val="standardContextual"/>
        </w:rPr>
        <w:t>will</w:t>
      </w:r>
      <w:r w:rsidRPr="00A550D7">
        <w:rPr>
          <w:rFonts w:asciiTheme="minorHAnsi" w:eastAsiaTheme="minorHAnsi" w:hAnsiTheme="minorHAnsi" w:cstheme="minorBidi"/>
          <w:kern w:val="2"/>
          <w:szCs w:val="22"/>
          <w:lang w:eastAsia="en-US"/>
          <w14:ligatures w14:val="standardContextual"/>
        </w:rPr>
        <w:t xml:space="preserve"> offset the ACCC’s costs</w:t>
      </w:r>
      <w:r>
        <w:rPr>
          <w:rFonts w:asciiTheme="minorHAnsi" w:eastAsiaTheme="minorHAnsi" w:hAnsiTheme="minorHAnsi" w:cstheme="minorBidi"/>
          <w:kern w:val="2"/>
          <w:szCs w:val="22"/>
          <w:lang w:eastAsia="en-US"/>
          <w14:ligatures w14:val="standardContextual"/>
        </w:rPr>
        <w:t>. C</w:t>
      </w:r>
      <w:r w:rsidRPr="00E2357E">
        <w:rPr>
          <w:rFonts w:asciiTheme="minorHAnsi" w:eastAsiaTheme="minorHAnsi" w:hAnsiTheme="minorHAnsi" w:cstheme="minorBidi"/>
          <w:kern w:val="2"/>
          <w:szCs w:val="22"/>
          <w:lang w:eastAsia="en-US"/>
          <w14:ligatures w14:val="standardContextual"/>
        </w:rPr>
        <w:t>urrently</w:t>
      </w:r>
      <w:r w:rsidR="004D21A1">
        <w:rPr>
          <w:rFonts w:asciiTheme="minorHAnsi" w:eastAsiaTheme="minorHAnsi" w:hAnsiTheme="minorHAnsi" w:cstheme="minorBidi"/>
          <w:kern w:val="2"/>
          <w:szCs w:val="22"/>
          <w:lang w:eastAsia="en-US"/>
          <w14:ligatures w14:val="standardContextual"/>
        </w:rPr>
        <w:t xml:space="preserve"> informal merger reviews</w:t>
      </w:r>
      <w:r w:rsidRPr="00E2357E">
        <w:rPr>
          <w:rFonts w:asciiTheme="minorHAnsi" w:eastAsiaTheme="minorHAnsi" w:hAnsiTheme="minorHAnsi" w:cstheme="minorBidi"/>
          <w:kern w:val="2"/>
          <w:szCs w:val="22"/>
          <w:lang w:eastAsia="en-US"/>
          <w14:ligatures w14:val="standardContextual"/>
        </w:rPr>
        <w:t xml:space="preserve"> do not have fees imposed</w:t>
      </w:r>
      <w:r w:rsidR="004D21A1">
        <w:rPr>
          <w:rFonts w:asciiTheme="minorHAnsi" w:eastAsiaTheme="minorHAnsi" w:hAnsiTheme="minorHAnsi" w:cstheme="minorBidi"/>
          <w:kern w:val="2"/>
          <w:szCs w:val="22"/>
          <w:lang w:eastAsia="en-US"/>
          <w14:ligatures w14:val="standardContextual"/>
        </w:rPr>
        <w:t xml:space="preserve"> and a </w:t>
      </w:r>
      <w:r w:rsidRPr="00E2357E">
        <w:rPr>
          <w:rFonts w:asciiTheme="minorHAnsi" w:eastAsiaTheme="minorHAnsi" w:hAnsiTheme="minorHAnsi" w:cstheme="minorBidi"/>
          <w:kern w:val="2"/>
          <w:szCs w:val="22"/>
          <w:lang w:eastAsia="en-US"/>
          <w14:ligatures w14:val="standardContextual"/>
        </w:rPr>
        <w:t xml:space="preserve">$25,000 fee </w:t>
      </w:r>
      <w:r w:rsidR="004D21A1">
        <w:rPr>
          <w:rFonts w:asciiTheme="minorHAnsi" w:eastAsiaTheme="minorHAnsi" w:hAnsiTheme="minorHAnsi" w:cstheme="minorBidi"/>
          <w:kern w:val="2"/>
          <w:szCs w:val="22"/>
          <w:lang w:eastAsia="en-US"/>
          <w14:ligatures w14:val="standardContextual"/>
        </w:rPr>
        <w:t xml:space="preserve">applies </w:t>
      </w:r>
      <w:r w:rsidRPr="00E2357E">
        <w:rPr>
          <w:rFonts w:asciiTheme="minorHAnsi" w:eastAsiaTheme="minorHAnsi" w:hAnsiTheme="minorHAnsi" w:cstheme="minorBidi"/>
          <w:kern w:val="2"/>
          <w:szCs w:val="22"/>
          <w:lang w:eastAsia="en-US"/>
          <w14:ligatures w14:val="standardContextual"/>
        </w:rPr>
        <w:t>for merger authorisation applications.</w:t>
      </w:r>
    </w:p>
    <w:p w14:paraId="4783DD55" w14:textId="51AB45E3" w:rsidR="00947E3E" w:rsidRDefault="00947E3E" w:rsidP="00947E3E">
      <w:pPr>
        <w:spacing w:line="240" w:lineRule="auto"/>
      </w:pPr>
      <w:r>
        <w:t xml:space="preserve">Therefore, with each of the proposed options, except for the status quo, all merger notifications will be accompanied by a </w:t>
      </w:r>
      <w:r w:rsidR="008272F0">
        <w:t xml:space="preserve">cost-recovery </w:t>
      </w:r>
      <w:r>
        <w:t xml:space="preserve">fee. Indicatively, Treasury expects this to be around </w:t>
      </w:r>
      <w:r w:rsidRPr="00273725">
        <w:t>$</w:t>
      </w:r>
      <w:r>
        <w:t>5</w:t>
      </w:r>
      <w:r w:rsidRPr="00273725">
        <w:t>0,000</w:t>
      </w:r>
      <w:r>
        <w:t>–100,000 for most mergers</w:t>
      </w:r>
      <w:r w:rsidR="008272F0">
        <w:t xml:space="preserve">, with an exemption for small business. </w:t>
      </w:r>
    </w:p>
    <w:p w14:paraId="6AEBA281" w14:textId="4D781C09" w:rsidR="00947E3E" w:rsidRPr="009B1D63" w:rsidRDefault="00947E3E" w:rsidP="007201E0">
      <w:pPr>
        <w:spacing w:line="240" w:lineRule="auto"/>
      </w:pPr>
      <w:r>
        <w:t xml:space="preserve">The fees will ensure the ACCC is properly resourced to undertake its expert administrative decision-making role. </w:t>
      </w:r>
    </w:p>
    <w:p w14:paraId="6CC61D61" w14:textId="77777777" w:rsidR="00947E3E" w:rsidRPr="00534989" w:rsidRDefault="00947E3E" w:rsidP="007274CB">
      <w:pPr>
        <w:pStyle w:val="Heading4"/>
        <w:rPr>
          <w:b/>
          <w:i/>
        </w:rPr>
      </w:pPr>
      <w:r w:rsidRPr="00534989">
        <w:t>Impacts of ACCC resourcing and merger review fees</w:t>
      </w:r>
    </w:p>
    <w:p w14:paraId="07620F72" w14:textId="516761C1" w:rsidR="00947E3E" w:rsidRDefault="00947E3E" w:rsidP="00947E3E">
      <w:pPr>
        <w:spacing w:line="240" w:lineRule="auto"/>
      </w:pPr>
      <w:r w:rsidRPr="00A550D7">
        <w:t>Fees would impose a</w:t>
      </w:r>
      <w:r>
        <w:t xml:space="preserve"> direct financial</w:t>
      </w:r>
      <w:r w:rsidRPr="00A550D7">
        <w:t xml:space="preserve"> cost on </w:t>
      </w:r>
      <w:r w:rsidR="008272F0">
        <w:t xml:space="preserve">businesses </w:t>
      </w:r>
      <w:r w:rsidR="00C63F07">
        <w:t>notifying a merger to the ACCC (except small businesses</w:t>
      </w:r>
      <w:r w:rsidR="001218AC">
        <w:t>,</w:t>
      </w:r>
      <w:r w:rsidR="00F77DD0">
        <w:t xml:space="preserve"> which will be exempt</w:t>
      </w:r>
      <w:r w:rsidR="00C63F07">
        <w:t>)</w:t>
      </w:r>
      <w:r>
        <w:t xml:space="preserve">. </w:t>
      </w:r>
    </w:p>
    <w:p w14:paraId="57F74FF8" w14:textId="0B66FE63" w:rsidR="00947E3E" w:rsidRPr="00534989" w:rsidRDefault="00947E3E" w:rsidP="007274CB">
      <w:pPr>
        <w:pStyle w:val="Heading4"/>
        <w:rPr>
          <w:b/>
          <w:i/>
        </w:rPr>
      </w:pPr>
      <w:r w:rsidRPr="00534989">
        <w:t>Benefits of ACCC resourcing and merger review fees</w:t>
      </w:r>
    </w:p>
    <w:p w14:paraId="45C3C8D7" w14:textId="77777777" w:rsidR="00947E3E" w:rsidRPr="00A550D7" w:rsidRDefault="00947E3E" w:rsidP="00947E3E">
      <w:pPr>
        <w:spacing w:line="240" w:lineRule="auto"/>
      </w:pPr>
      <w:r>
        <w:t xml:space="preserve">The shift to administrative decision-making, rather than judicial enforcement, will ensure the ACCC is better placed to protect consumers and competition in our economy. </w:t>
      </w:r>
    </w:p>
    <w:p w14:paraId="2C2E48B2" w14:textId="77777777" w:rsidR="00947E3E" w:rsidRDefault="00947E3E" w:rsidP="00DA332A">
      <w:pPr>
        <w:pStyle w:val="Bullet"/>
        <w:numPr>
          <w:ilvl w:val="0"/>
          <w:numId w:val="0"/>
        </w:numPr>
        <w:spacing w:line="240" w:lineRule="auto"/>
        <w:sectPr w:rsidR="00947E3E" w:rsidSect="00242D93">
          <w:headerReference w:type="even" r:id="rId33"/>
          <w:footerReference w:type="even" r:id="rId34"/>
          <w:headerReference w:type="first" r:id="rId35"/>
          <w:footerReference w:type="first" r:id="rId36"/>
          <w:pgSz w:w="11906" w:h="16838"/>
          <w:pgMar w:top="1440" w:right="1440" w:bottom="1440" w:left="1440" w:header="708" w:footer="709" w:gutter="0"/>
          <w:cols w:space="708"/>
          <w:docGrid w:linePitch="360"/>
        </w:sectPr>
      </w:pPr>
    </w:p>
    <w:p w14:paraId="06A7B147" w14:textId="77777777" w:rsidR="00947E3E" w:rsidRDefault="00947E3E" w:rsidP="00947E3E">
      <w:pPr>
        <w:pStyle w:val="Heading1"/>
        <w:spacing w:before="0"/>
      </w:pPr>
      <w:bookmarkStart w:id="125" w:name="_Toc176972406"/>
      <w:r>
        <w:t xml:space="preserve">Attachment B: </w:t>
      </w:r>
      <w:r w:rsidRPr="00FF10B8">
        <w:t>Merger reform consultation</w:t>
      </w:r>
      <w:r>
        <w:t xml:space="preserve"> — </w:t>
      </w:r>
      <w:r w:rsidRPr="00FF10B8">
        <w:t>stakeholder feedback and Australian Government response</w:t>
      </w:r>
      <w:bookmarkEnd w:id="125"/>
    </w:p>
    <w:p w14:paraId="6A48B7BF" w14:textId="77777777" w:rsidR="00947E3E" w:rsidRDefault="00947E3E" w:rsidP="00947E3E">
      <w:pPr>
        <w:pStyle w:val="Bullet"/>
        <w:numPr>
          <w:ilvl w:val="0"/>
          <w:numId w:val="0"/>
        </w:numPr>
        <w:ind w:left="520" w:hanging="520"/>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5978"/>
        <w:gridCol w:w="5981"/>
      </w:tblGrid>
      <w:tr w:rsidR="00947E3E" w:rsidRPr="004F2684" w14:paraId="5223039F" w14:textId="77777777" w:rsidTr="00B46682">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2C384A" w:themeFill="accent1"/>
            <w:hideMark/>
          </w:tcPr>
          <w:p w14:paraId="02BE1B1E" w14:textId="77777777" w:rsidR="00947E3E" w:rsidRPr="004F2684" w:rsidRDefault="00947E3E">
            <w:pPr>
              <w:pStyle w:val="TableSecondHeading"/>
              <w:keepNext w:val="0"/>
              <w:jc w:val="center"/>
              <w:rPr>
                <w:rStyle w:val="Strong"/>
                <w:color w:val="auto"/>
              </w:rPr>
            </w:pPr>
            <w:r w:rsidRPr="00B46682">
              <w:rPr>
                <w:rStyle w:val="Strong"/>
                <w:color w:val="FFFFFF" w:themeColor="background1"/>
              </w:rPr>
              <w:t>Elements of a merger control system adopted</w:t>
            </w:r>
          </w:p>
        </w:tc>
      </w:tr>
      <w:tr w:rsidR="00947E3E" w:rsidRPr="004F2684" w14:paraId="25C047A7" w14:textId="77777777" w:rsidTr="00B46682">
        <w:trPr>
          <w:cnfStyle w:val="100000000000" w:firstRow="1" w:lastRow="0" w:firstColumn="0" w:lastColumn="0" w:oddVBand="0" w:evenVBand="0" w:oddHBand="0" w:evenHBand="0" w:firstRowFirstColumn="0" w:firstRowLastColumn="0" w:lastRowFirstColumn="0" w:lastRowLastColumn="0"/>
          <w:tblHeader/>
          <w:jc w:val="center"/>
        </w:trPr>
        <w:tc>
          <w:tcPr>
            <w:tcW w:w="713" w:type="pct"/>
            <w:tcBorders>
              <w:top w:val="single" w:sz="4" w:space="0" w:color="auto"/>
              <w:left w:val="single" w:sz="4" w:space="0" w:color="auto"/>
              <w:bottom w:val="single" w:sz="4" w:space="0" w:color="auto"/>
              <w:right w:val="single" w:sz="4" w:space="0" w:color="auto"/>
            </w:tcBorders>
            <w:shd w:val="clear" w:color="auto" w:fill="CDD5E1" w:themeFill="accent1" w:themeFillTint="33"/>
            <w:hideMark/>
          </w:tcPr>
          <w:p w14:paraId="244ECDAC" w14:textId="77777777" w:rsidR="00947E3E" w:rsidRPr="004F2684" w:rsidRDefault="00947E3E">
            <w:pPr>
              <w:pStyle w:val="TableSecondHeading"/>
              <w:rPr>
                <w:rStyle w:val="Strong"/>
                <w:rFonts w:eastAsiaTheme="minorHAnsi"/>
                <w:color w:val="auto"/>
              </w:rPr>
            </w:pPr>
            <w:r w:rsidRPr="004F2684">
              <w:rPr>
                <w:rStyle w:val="Strong"/>
                <w:color w:val="auto"/>
              </w:rPr>
              <w:t>Element</w:t>
            </w:r>
          </w:p>
        </w:tc>
        <w:tc>
          <w:tcPr>
            <w:tcW w:w="2143" w:type="pct"/>
            <w:tcBorders>
              <w:top w:val="single" w:sz="4" w:space="0" w:color="auto"/>
              <w:left w:val="single" w:sz="4" w:space="0" w:color="auto"/>
              <w:bottom w:val="single" w:sz="4" w:space="0" w:color="auto"/>
              <w:right w:val="single" w:sz="4" w:space="0" w:color="auto"/>
            </w:tcBorders>
            <w:shd w:val="clear" w:color="auto" w:fill="CDD5E1" w:themeFill="accent1" w:themeFillTint="33"/>
            <w:hideMark/>
          </w:tcPr>
          <w:p w14:paraId="7E3500F8" w14:textId="77777777" w:rsidR="00947E3E" w:rsidRPr="004F2684" w:rsidRDefault="00947E3E">
            <w:pPr>
              <w:pStyle w:val="TableSecondHeading"/>
              <w:keepNext w:val="0"/>
              <w:rPr>
                <w:rStyle w:val="Strong"/>
                <w:color w:val="auto"/>
              </w:rPr>
            </w:pPr>
            <w:r w:rsidRPr="004F2684">
              <w:rPr>
                <w:rStyle w:val="Strong"/>
                <w:color w:val="auto"/>
              </w:rPr>
              <w:t>Stakeholder consultation feedback</w:t>
            </w:r>
          </w:p>
        </w:tc>
        <w:tc>
          <w:tcPr>
            <w:tcW w:w="2144" w:type="pct"/>
            <w:tcBorders>
              <w:top w:val="single" w:sz="4" w:space="0" w:color="auto"/>
              <w:left w:val="single" w:sz="4" w:space="0" w:color="auto"/>
              <w:bottom w:val="single" w:sz="4" w:space="0" w:color="auto"/>
              <w:right w:val="single" w:sz="4" w:space="0" w:color="auto"/>
            </w:tcBorders>
            <w:shd w:val="clear" w:color="auto" w:fill="CDD5E1" w:themeFill="accent1" w:themeFillTint="33"/>
            <w:hideMark/>
          </w:tcPr>
          <w:p w14:paraId="527320DB" w14:textId="77777777" w:rsidR="00947E3E" w:rsidRPr="004F2684" w:rsidRDefault="00947E3E">
            <w:pPr>
              <w:pStyle w:val="TableSecondHeading"/>
              <w:keepNext w:val="0"/>
              <w:rPr>
                <w:rStyle w:val="Strong"/>
                <w:rFonts w:eastAsiaTheme="minorHAnsi"/>
                <w:color w:val="auto"/>
              </w:rPr>
            </w:pPr>
            <w:r w:rsidRPr="004F2684">
              <w:rPr>
                <w:rStyle w:val="Strong"/>
                <w:color w:val="auto"/>
              </w:rPr>
              <w:t>Australian Government response</w:t>
            </w:r>
          </w:p>
        </w:tc>
      </w:tr>
      <w:tr w:rsidR="00947E3E" w:rsidRPr="004F2684" w14:paraId="26D35F6E" w14:textId="77777777" w:rsidTr="00B4668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8E6DF" w:themeFill="accent2" w:themeFillTint="33"/>
            <w:hideMark/>
          </w:tcPr>
          <w:p w14:paraId="5C89A031" w14:textId="77777777" w:rsidR="00947E3E" w:rsidRPr="004F2684" w:rsidRDefault="00947E3E">
            <w:pPr>
              <w:pStyle w:val="TableSecondHeading"/>
              <w:keepNext w:val="0"/>
              <w:jc w:val="center"/>
              <w:rPr>
                <w:rStyle w:val="Strong"/>
                <w:b/>
                <w:color w:val="auto"/>
              </w:rPr>
            </w:pPr>
            <w:r w:rsidRPr="004F2684">
              <w:rPr>
                <w:rStyle w:val="Strong"/>
                <w:b/>
                <w:color w:val="auto"/>
              </w:rPr>
              <w:t>Notification</w:t>
            </w:r>
          </w:p>
        </w:tc>
      </w:tr>
      <w:tr w:rsidR="00947E3E" w:rsidRPr="004F2684" w14:paraId="613E85A9" w14:textId="77777777" w:rsidTr="00B46682">
        <w:trPr>
          <w:jc w:val="center"/>
        </w:trPr>
        <w:tc>
          <w:tcPr>
            <w:tcW w:w="713" w:type="pct"/>
            <w:tcBorders>
              <w:top w:val="single" w:sz="4" w:space="0" w:color="auto"/>
              <w:left w:val="single" w:sz="4" w:space="0" w:color="auto"/>
              <w:bottom w:val="single" w:sz="4" w:space="0" w:color="auto"/>
              <w:right w:val="single" w:sz="4" w:space="0" w:color="auto"/>
            </w:tcBorders>
            <w:hideMark/>
          </w:tcPr>
          <w:p w14:paraId="1600BA75" w14:textId="77777777" w:rsidR="00947E3E" w:rsidRPr="004F2684" w:rsidRDefault="00947E3E">
            <w:pPr>
              <w:rPr>
                <w:rStyle w:val="Strong"/>
              </w:rPr>
            </w:pPr>
            <w:r w:rsidRPr="004F2684">
              <w:rPr>
                <w:rStyle w:val="Strong"/>
              </w:rPr>
              <w:t>Targeted mandatory notification thresholds</w:t>
            </w:r>
          </w:p>
        </w:tc>
        <w:tc>
          <w:tcPr>
            <w:tcW w:w="2143" w:type="pct"/>
            <w:tcBorders>
              <w:top w:val="single" w:sz="4" w:space="0" w:color="auto"/>
              <w:left w:val="single" w:sz="4" w:space="0" w:color="auto"/>
              <w:bottom w:val="single" w:sz="4" w:space="0" w:color="auto"/>
              <w:right w:val="single" w:sz="4" w:space="0" w:color="auto"/>
            </w:tcBorders>
            <w:hideMark/>
          </w:tcPr>
          <w:p w14:paraId="34FDD686" w14:textId="77777777" w:rsidR="00947E3E" w:rsidRPr="004F2684" w:rsidRDefault="00947E3E">
            <w:pPr>
              <w:rPr>
                <w:rStyle w:val="Strong"/>
                <w:b w:val="0"/>
                <w:bCs w:val="0"/>
              </w:rPr>
            </w:pPr>
            <w:r w:rsidRPr="004F2684">
              <w:rPr>
                <w:rStyle w:val="Strong"/>
                <w:b w:val="0"/>
                <w:bCs w:val="0"/>
              </w:rPr>
              <w:t>Current approach gives rise to uncertainty for businesses about when to notify; concern that the ACCC is not adequately notified of mergers.</w:t>
            </w:r>
          </w:p>
          <w:p w14:paraId="091B991E" w14:textId="77777777" w:rsidR="00947E3E" w:rsidRPr="004F2684" w:rsidRDefault="00947E3E">
            <w:pPr>
              <w:rPr>
                <w:rStyle w:val="Strong"/>
                <w:b w:val="0"/>
                <w:bCs w:val="0"/>
              </w:rPr>
            </w:pPr>
            <w:r w:rsidRPr="004F2684">
              <w:rPr>
                <w:rStyle w:val="Strong"/>
                <w:b w:val="0"/>
                <w:bCs w:val="0"/>
              </w:rPr>
              <w:t>Clear thresholds would provide more certainty but must be calibrated.</w:t>
            </w:r>
          </w:p>
        </w:tc>
        <w:tc>
          <w:tcPr>
            <w:tcW w:w="2144" w:type="pct"/>
            <w:tcBorders>
              <w:top w:val="single" w:sz="4" w:space="0" w:color="auto"/>
              <w:left w:val="single" w:sz="4" w:space="0" w:color="auto"/>
              <w:bottom w:val="single" w:sz="4" w:space="0" w:color="auto"/>
              <w:right w:val="single" w:sz="4" w:space="0" w:color="auto"/>
            </w:tcBorders>
            <w:hideMark/>
          </w:tcPr>
          <w:p w14:paraId="02CDBD7D" w14:textId="77777777" w:rsidR="00947E3E" w:rsidRPr="004F2684" w:rsidRDefault="00947E3E">
            <w:pPr>
              <w:rPr>
                <w:rStyle w:val="Strong"/>
                <w:b w:val="0"/>
                <w:bCs w:val="0"/>
              </w:rPr>
            </w:pPr>
            <w:r w:rsidRPr="004F2684">
              <w:rPr>
                <w:rStyle w:val="Strong"/>
                <w:b w:val="0"/>
                <w:bCs w:val="0"/>
              </w:rPr>
              <w:t xml:space="preserve">The person or people acquiring control of the business or assets will – if the thresholds are met – be required to notify the ACCC of a ‘merger’. </w:t>
            </w:r>
          </w:p>
          <w:p w14:paraId="29EB109F" w14:textId="77777777" w:rsidR="00947E3E" w:rsidRPr="004F2684" w:rsidRDefault="00947E3E">
            <w:pPr>
              <w:rPr>
                <w:rStyle w:val="Strong"/>
                <w:b w:val="0"/>
                <w:bCs w:val="0"/>
              </w:rPr>
            </w:pPr>
            <w:r w:rsidRPr="004F2684">
              <w:rPr>
                <w:rStyle w:val="Strong"/>
                <w:b w:val="0"/>
                <w:bCs w:val="0"/>
              </w:rPr>
              <w:t xml:space="preserve">Thresholds will be monetary and supply/market share-based, balancing regulatory burden with potential harm to competition. </w:t>
            </w:r>
          </w:p>
          <w:p w14:paraId="39E95DAF" w14:textId="77777777" w:rsidR="00947E3E" w:rsidRPr="004F2684" w:rsidRDefault="00947E3E">
            <w:pPr>
              <w:rPr>
                <w:rStyle w:val="Strong"/>
                <w:b w:val="0"/>
                <w:bCs w:val="0"/>
              </w:rPr>
            </w:pPr>
            <w:r w:rsidRPr="004F2684">
              <w:rPr>
                <w:rStyle w:val="Strong"/>
                <w:b w:val="0"/>
                <w:bCs w:val="0"/>
              </w:rPr>
              <w:t>There will also be a Ministerial power to introduce additional targeted notification thresholds in response to evidence-based concerns regarding certain high-risk mergers.</w:t>
            </w:r>
          </w:p>
          <w:p w14:paraId="48BBDCB6" w14:textId="77777777" w:rsidR="00947E3E" w:rsidRPr="004F2684" w:rsidRDefault="00947E3E">
            <w:pPr>
              <w:rPr>
                <w:rStyle w:val="Strong"/>
                <w:b w:val="0"/>
                <w:bCs w:val="0"/>
              </w:rPr>
            </w:pPr>
            <w:r w:rsidRPr="004F2684">
              <w:rPr>
                <w:rStyle w:val="Strong"/>
                <w:b w:val="0"/>
                <w:bCs w:val="0"/>
              </w:rPr>
              <w:t xml:space="preserve">Mergers below the thresholds may also be voluntarily notified to the </w:t>
            </w:r>
            <w:bookmarkStart w:id="126" w:name="_Int_tlUkX9wA"/>
            <w:r w:rsidRPr="004F2684">
              <w:rPr>
                <w:rStyle w:val="Strong"/>
                <w:b w:val="0"/>
                <w:bCs w:val="0"/>
              </w:rPr>
              <w:t>ACCC</w:t>
            </w:r>
            <w:bookmarkEnd w:id="126"/>
            <w:r w:rsidRPr="004F2684">
              <w:rPr>
                <w:rStyle w:val="Strong"/>
                <w:b w:val="0"/>
                <w:bCs w:val="0"/>
              </w:rPr>
              <w:t xml:space="preserve">. Such mergers would be subject to the same administrative system as above-the-threshold mergers. </w:t>
            </w:r>
          </w:p>
          <w:p w14:paraId="6A0F1FA9" w14:textId="77777777" w:rsidR="00947E3E" w:rsidRPr="004F2684" w:rsidRDefault="00947E3E">
            <w:pPr>
              <w:rPr>
                <w:rStyle w:val="Strong"/>
                <w:b w:val="0"/>
                <w:bCs w:val="0"/>
              </w:rPr>
            </w:pPr>
            <w:r w:rsidRPr="004F2684">
              <w:rPr>
                <w:rStyle w:val="Strong"/>
                <w:b w:val="0"/>
                <w:bCs w:val="0"/>
              </w:rPr>
              <w:t>The ACCC will not have the ability to ‘call-in’ mergers below the thresholds for review, but the ACCC may investigate a below-the-threshold merger for breach of any other relevant provisions of the CCA as only notified mergers will receive the benefit of anti-overlap provisions.</w:t>
            </w:r>
          </w:p>
        </w:tc>
      </w:tr>
      <w:tr w:rsidR="00947E3E" w:rsidRPr="004F2684" w14:paraId="50A6AF37" w14:textId="77777777" w:rsidTr="00B46682">
        <w:trPr>
          <w:jc w:val="center"/>
        </w:trPr>
        <w:tc>
          <w:tcPr>
            <w:tcW w:w="713" w:type="pct"/>
            <w:tcBorders>
              <w:top w:val="single" w:sz="4" w:space="0" w:color="auto"/>
              <w:left w:val="single" w:sz="4" w:space="0" w:color="auto"/>
              <w:bottom w:val="single" w:sz="4" w:space="0" w:color="auto"/>
              <w:right w:val="single" w:sz="4" w:space="0" w:color="auto"/>
            </w:tcBorders>
            <w:hideMark/>
          </w:tcPr>
          <w:p w14:paraId="369A9A7B" w14:textId="77777777" w:rsidR="00947E3E" w:rsidRPr="004F2684" w:rsidRDefault="00947E3E">
            <w:pPr>
              <w:rPr>
                <w:rStyle w:val="Strong"/>
              </w:rPr>
            </w:pPr>
            <w:r w:rsidRPr="004F2684">
              <w:rPr>
                <w:rStyle w:val="Strong"/>
              </w:rPr>
              <w:t>Upfront notification requirements</w:t>
            </w:r>
          </w:p>
        </w:tc>
        <w:tc>
          <w:tcPr>
            <w:tcW w:w="2143" w:type="pct"/>
            <w:tcBorders>
              <w:top w:val="single" w:sz="4" w:space="0" w:color="auto"/>
              <w:left w:val="single" w:sz="4" w:space="0" w:color="auto"/>
              <w:bottom w:val="single" w:sz="4" w:space="0" w:color="auto"/>
              <w:right w:val="single" w:sz="4" w:space="0" w:color="auto"/>
            </w:tcBorders>
            <w:hideMark/>
          </w:tcPr>
          <w:p w14:paraId="642544B6" w14:textId="77777777" w:rsidR="00947E3E" w:rsidRPr="004F2684" w:rsidRDefault="00947E3E">
            <w:pPr>
              <w:rPr>
                <w:rStyle w:val="Strong"/>
                <w:b w:val="0"/>
                <w:bCs w:val="0"/>
              </w:rPr>
            </w:pPr>
            <w:r w:rsidRPr="004F2684">
              <w:rPr>
                <w:rStyle w:val="Strong"/>
                <w:b w:val="0"/>
                <w:bCs w:val="0"/>
              </w:rPr>
              <w:t>Information requirements should be clearer and proportionate, and merger parties are best placed to provide information to facilitate efficient and effective assessment.</w:t>
            </w:r>
          </w:p>
        </w:tc>
        <w:tc>
          <w:tcPr>
            <w:tcW w:w="2144" w:type="pct"/>
            <w:tcBorders>
              <w:top w:val="single" w:sz="4" w:space="0" w:color="auto"/>
              <w:left w:val="single" w:sz="4" w:space="0" w:color="auto"/>
              <w:bottom w:val="single" w:sz="4" w:space="0" w:color="auto"/>
              <w:right w:val="single" w:sz="4" w:space="0" w:color="auto"/>
            </w:tcBorders>
            <w:hideMark/>
          </w:tcPr>
          <w:p w14:paraId="04C9E6C4" w14:textId="77777777" w:rsidR="00947E3E" w:rsidRPr="004F2684" w:rsidRDefault="00947E3E">
            <w:pPr>
              <w:rPr>
                <w:rStyle w:val="Strong"/>
                <w:b w:val="0"/>
                <w:bCs w:val="0"/>
              </w:rPr>
            </w:pPr>
            <w:r w:rsidRPr="004F2684">
              <w:rPr>
                <w:rStyle w:val="Strong"/>
                <w:b w:val="0"/>
                <w:bCs w:val="0"/>
              </w:rPr>
              <w:t>Notification requirements calibrated to likelihood that transaction raises competition concerns; enables ACCC to properly undertake its review and to efficiently and promptly differentiate benign mergers.</w:t>
            </w:r>
          </w:p>
        </w:tc>
      </w:tr>
      <w:tr w:rsidR="00947E3E" w:rsidRPr="004F2684" w14:paraId="45A6B456" w14:textId="77777777" w:rsidTr="00B46682">
        <w:trPr>
          <w:jc w:val="center"/>
        </w:trPr>
        <w:tc>
          <w:tcPr>
            <w:tcW w:w="713" w:type="pct"/>
            <w:tcBorders>
              <w:top w:val="single" w:sz="4" w:space="0" w:color="auto"/>
              <w:left w:val="single" w:sz="4" w:space="0" w:color="auto"/>
              <w:bottom w:val="single" w:sz="4" w:space="0" w:color="auto"/>
              <w:right w:val="single" w:sz="4" w:space="0" w:color="auto"/>
            </w:tcBorders>
            <w:hideMark/>
          </w:tcPr>
          <w:p w14:paraId="259CABCC" w14:textId="77777777" w:rsidR="00947E3E" w:rsidRPr="004F2684" w:rsidRDefault="00947E3E">
            <w:pPr>
              <w:rPr>
                <w:rStyle w:val="Strong"/>
              </w:rPr>
            </w:pPr>
            <w:r w:rsidRPr="004F2684">
              <w:rPr>
                <w:rStyle w:val="Strong"/>
              </w:rPr>
              <w:t>Fees</w:t>
            </w:r>
          </w:p>
        </w:tc>
        <w:tc>
          <w:tcPr>
            <w:tcW w:w="2143" w:type="pct"/>
            <w:tcBorders>
              <w:top w:val="single" w:sz="4" w:space="0" w:color="auto"/>
              <w:left w:val="single" w:sz="4" w:space="0" w:color="auto"/>
              <w:bottom w:val="single" w:sz="4" w:space="0" w:color="auto"/>
              <w:right w:val="single" w:sz="4" w:space="0" w:color="auto"/>
            </w:tcBorders>
            <w:hideMark/>
          </w:tcPr>
          <w:p w14:paraId="06776A49" w14:textId="77777777" w:rsidR="00947E3E" w:rsidRPr="004F2684" w:rsidRDefault="00947E3E">
            <w:pPr>
              <w:rPr>
                <w:rStyle w:val="Strong"/>
                <w:b w:val="0"/>
                <w:bCs w:val="0"/>
              </w:rPr>
            </w:pPr>
            <w:r w:rsidRPr="004F2684">
              <w:rPr>
                <w:rStyle w:val="Strong"/>
                <w:b w:val="0"/>
                <w:bCs w:val="0"/>
              </w:rPr>
              <w:t>Cost is currently borne by the public and ACCC needs to be appropriately resourced.</w:t>
            </w:r>
          </w:p>
        </w:tc>
        <w:tc>
          <w:tcPr>
            <w:tcW w:w="2144" w:type="pct"/>
            <w:tcBorders>
              <w:top w:val="single" w:sz="4" w:space="0" w:color="auto"/>
              <w:left w:val="single" w:sz="4" w:space="0" w:color="auto"/>
              <w:bottom w:val="single" w:sz="4" w:space="0" w:color="auto"/>
              <w:right w:val="single" w:sz="4" w:space="0" w:color="auto"/>
            </w:tcBorders>
            <w:hideMark/>
          </w:tcPr>
          <w:p w14:paraId="2E351656" w14:textId="77777777" w:rsidR="00947E3E" w:rsidRPr="004F2684" w:rsidRDefault="00947E3E">
            <w:pPr>
              <w:rPr>
                <w:rStyle w:val="Strong"/>
                <w:b w:val="0"/>
                <w:bCs w:val="0"/>
              </w:rPr>
            </w:pPr>
            <w:r w:rsidRPr="004F2684">
              <w:rPr>
                <w:rStyle w:val="Strong"/>
                <w:b w:val="0"/>
                <w:bCs w:val="0"/>
              </w:rPr>
              <w:t>All merger notifications accompanied by a fee (subject to consultation). An exemption from fees will be available for small business. This ensures ACCC is appropriately resourced and funding is responsive to need.</w:t>
            </w:r>
          </w:p>
        </w:tc>
      </w:tr>
      <w:tr w:rsidR="00947E3E" w:rsidRPr="004F2684" w14:paraId="0FF69D97" w14:textId="77777777" w:rsidTr="00B46682">
        <w:trPr>
          <w:jc w:val="center"/>
        </w:trPr>
        <w:tc>
          <w:tcPr>
            <w:tcW w:w="713" w:type="pct"/>
            <w:tcBorders>
              <w:top w:val="single" w:sz="4" w:space="0" w:color="auto"/>
              <w:left w:val="single" w:sz="4" w:space="0" w:color="auto"/>
              <w:bottom w:val="single" w:sz="4" w:space="0" w:color="auto"/>
              <w:right w:val="single" w:sz="4" w:space="0" w:color="auto"/>
            </w:tcBorders>
            <w:hideMark/>
          </w:tcPr>
          <w:p w14:paraId="276131F1" w14:textId="77777777" w:rsidR="00947E3E" w:rsidRPr="004F2684" w:rsidRDefault="00947E3E">
            <w:pPr>
              <w:rPr>
                <w:rStyle w:val="Strong"/>
              </w:rPr>
            </w:pPr>
            <w:r w:rsidRPr="004F2684">
              <w:rPr>
                <w:rStyle w:val="Strong"/>
              </w:rPr>
              <w:t>Suspensory timelines supporting prompt review</w:t>
            </w:r>
          </w:p>
        </w:tc>
        <w:tc>
          <w:tcPr>
            <w:tcW w:w="2143" w:type="pct"/>
            <w:tcBorders>
              <w:top w:val="single" w:sz="4" w:space="0" w:color="auto"/>
              <w:left w:val="single" w:sz="4" w:space="0" w:color="auto"/>
              <w:bottom w:val="single" w:sz="4" w:space="0" w:color="auto"/>
              <w:right w:val="single" w:sz="4" w:space="0" w:color="auto"/>
            </w:tcBorders>
            <w:hideMark/>
          </w:tcPr>
          <w:p w14:paraId="56C5B734" w14:textId="77777777" w:rsidR="00947E3E" w:rsidRPr="004F2684" w:rsidRDefault="00947E3E">
            <w:pPr>
              <w:rPr>
                <w:rStyle w:val="Strong"/>
                <w:b w:val="0"/>
                <w:bCs w:val="0"/>
              </w:rPr>
            </w:pPr>
            <w:r w:rsidRPr="004F2684">
              <w:rPr>
                <w:rStyle w:val="Strong"/>
                <w:b w:val="0"/>
                <w:bCs w:val="0"/>
              </w:rPr>
              <w:t>ACCC should have sufficient time to review mergers before completion.</w:t>
            </w:r>
          </w:p>
          <w:p w14:paraId="7A1218C2" w14:textId="77777777" w:rsidR="00947E3E" w:rsidRPr="004F2684" w:rsidRDefault="00947E3E">
            <w:pPr>
              <w:rPr>
                <w:rStyle w:val="Strong"/>
                <w:b w:val="0"/>
                <w:bCs w:val="0"/>
              </w:rPr>
            </w:pPr>
            <w:r w:rsidRPr="004F2684">
              <w:rPr>
                <w:rStyle w:val="Strong"/>
                <w:b w:val="0"/>
                <w:bCs w:val="0"/>
              </w:rPr>
              <w:t>ACCC currently not bound by timelines in informal review process which creates significant uncertainty for businesses and for market participants to engage.</w:t>
            </w:r>
          </w:p>
          <w:p w14:paraId="234CC6A3" w14:textId="77777777" w:rsidR="00947E3E" w:rsidRPr="004F2684" w:rsidRDefault="00947E3E">
            <w:pPr>
              <w:rPr>
                <w:rStyle w:val="Strong"/>
                <w:b w:val="0"/>
                <w:bCs w:val="0"/>
              </w:rPr>
            </w:pPr>
            <w:r w:rsidRPr="004F2684">
              <w:rPr>
                <w:rStyle w:val="Strong"/>
                <w:b w:val="0"/>
                <w:bCs w:val="0"/>
              </w:rPr>
              <w:t>Delays in merger reviews can be very costly for businesses.</w:t>
            </w:r>
          </w:p>
          <w:p w14:paraId="536D0DF1" w14:textId="77777777" w:rsidR="00947E3E" w:rsidRPr="004F2684" w:rsidRDefault="00947E3E">
            <w:pPr>
              <w:rPr>
                <w:rStyle w:val="Strong"/>
                <w:b w:val="0"/>
                <w:bCs w:val="0"/>
              </w:rPr>
            </w:pPr>
            <w:r w:rsidRPr="004F2684">
              <w:rPr>
                <w:rStyle w:val="Strong"/>
                <w:b w:val="0"/>
                <w:bCs w:val="0"/>
              </w:rPr>
              <w:t>Robust, clear time frames would provide more certainty.</w:t>
            </w:r>
          </w:p>
        </w:tc>
        <w:tc>
          <w:tcPr>
            <w:tcW w:w="2144" w:type="pct"/>
            <w:tcBorders>
              <w:top w:val="single" w:sz="4" w:space="0" w:color="auto"/>
              <w:left w:val="single" w:sz="4" w:space="0" w:color="auto"/>
              <w:bottom w:val="single" w:sz="4" w:space="0" w:color="auto"/>
              <w:right w:val="single" w:sz="4" w:space="0" w:color="auto"/>
            </w:tcBorders>
            <w:hideMark/>
          </w:tcPr>
          <w:p w14:paraId="19BCAF45" w14:textId="77777777" w:rsidR="00947E3E" w:rsidRPr="004F2684" w:rsidRDefault="00947E3E">
            <w:pPr>
              <w:spacing w:after="60"/>
              <w:rPr>
                <w:rStyle w:val="Strong"/>
                <w:b w:val="0"/>
                <w:bCs w:val="0"/>
              </w:rPr>
            </w:pPr>
            <w:r w:rsidRPr="004F2684">
              <w:rPr>
                <w:rStyle w:val="Strong"/>
                <w:b w:val="0"/>
                <w:bCs w:val="0"/>
              </w:rPr>
              <w:t>Mergers are time sensitive, and prompt decision-making is critical. Clear review timelines are an important procedural safeguard and will assist merger parties in transaction planning and interested stakeholders to engage with the ACCC’s review.</w:t>
            </w:r>
          </w:p>
          <w:p w14:paraId="769C9FF0" w14:textId="77777777" w:rsidR="00947E3E" w:rsidRPr="004F2684" w:rsidRDefault="00947E3E">
            <w:pPr>
              <w:rPr>
                <w:rStyle w:val="Strong"/>
                <w:b w:val="0"/>
                <w:bCs w:val="0"/>
              </w:rPr>
            </w:pPr>
            <w:r w:rsidRPr="004F2684">
              <w:rPr>
                <w:rStyle w:val="Strong"/>
                <w:b w:val="0"/>
                <w:bCs w:val="0"/>
              </w:rPr>
              <w:t>Acquirer must receive determination from the ACCC before closing notifiable transaction.</w:t>
            </w:r>
          </w:p>
          <w:p w14:paraId="71B0AB07" w14:textId="77777777" w:rsidR="00947E3E" w:rsidRPr="004F2684" w:rsidRDefault="00947E3E">
            <w:pPr>
              <w:spacing w:after="60"/>
              <w:rPr>
                <w:rStyle w:val="Strong"/>
                <w:b w:val="0"/>
                <w:bCs w:val="0"/>
              </w:rPr>
            </w:pPr>
            <w:r w:rsidRPr="004F2684">
              <w:rPr>
                <w:rStyle w:val="Strong"/>
                <w:b w:val="0"/>
                <w:bCs w:val="0"/>
              </w:rPr>
              <w:t xml:space="preserve">Indicative timelines (subject to consultation): </w:t>
            </w:r>
          </w:p>
          <w:p w14:paraId="219E1AAA" w14:textId="77777777" w:rsidR="00947E3E" w:rsidRPr="004F2684" w:rsidRDefault="00947E3E" w:rsidP="00947E3E">
            <w:pPr>
              <w:pStyle w:val="Bullet"/>
              <w:numPr>
                <w:ilvl w:val="0"/>
                <w:numId w:val="13"/>
              </w:numPr>
              <w:spacing w:after="60"/>
              <w:rPr>
                <w:rStyle w:val="Strong"/>
                <w:b w:val="0"/>
                <w:bCs w:val="0"/>
              </w:rPr>
            </w:pPr>
            <w:r w:rsidRPr="004F2684">
              <w:rPr>
                <w:rStyle w:val="Strong"/>
                <w:b w:val="0"/>
                <w:bCs w:val="0"/>
              </w:rPr>
              <w:t>Phase I: 30 working days</w:t>
            </w:r>
          </w:p>
          <w:p w14:paraId="4971AD9F" w14:textId="77777777" w:rsidR="00947E3E" w:rsidRPr="004F2684" w:rsidRDefault="00947E3E" w:rsidP="00947E3E">
            <w:pPr>
              <w:pStyle w:val="Bullet"/>
              <w:numPr>
                <w:ilvl w:val="0"/>
                <w:numId w:val="13"/>
              </w:numPr>
              <w:spacing w:after="60"/>
              <w:rPr>
                <w:rStyle w:val="Strong"/>
                <w:b w:val="0"/>
                <w:bCs w:val="0"/>
              </w:rPr>
            </w:pPr>
            <w:r w:rsidRPr="004F2684">
              <w:rPr>
                <w:rStyle w:val="Strong"/>
                <w:b w:val="0"/>
                <w:bCs w:val="0"/>
              </w:rPr>
              <w:t>Phase II: 90 working days</w:t>
            </w:r>
          </w:p>
          <w:p w14:paraId="291E79A4" w14:textId="77777777" w:rsidR="00947E3E" w:rsidRPr="004F2684" w:rsidRDefault="00947E3E" w:rsidP="00947E3E">
            <w:pPr>
              <w:pStyle w:val="Bullet"/>
              <w:numPr>
                <w:ilvl w:val="0"/>
                <w:numId w:val="13"/>
              </w:numPr>
              <w:spacing w:after="60"/>
              <w:rPr>
                <w:rStyle w:val="Strong"/>
                <w:b w:val="0"/>
                <w:bCs w:val="0"/>
              </w:rPr>
            </w:pPr>
            <w:r w:rsidRPr="004F2684">
              <w:rPr>
                <w:rStyle w:val="Strong"/>
                <w:b w:val="0"/>
                <w:bCs w:val="0"/>
              </w:rPr>
              <w:t>Option of fast-track determination if no concerns identified after 15 working days</w:t>
            </w:r>
          </w:p>
          <w:p w14:paraId="112D49FE" w14:textId="3A380E5D" w:rsidR="00947E3E" w:rsidRPr="004F2684" w:rsidRDefault="00947E3E" w:rsidP="00947E3E">
            <w:pPr>
              <w:pStyle w:val="Bullet"/>
              <w:numPr>
                <w:ilvl w:val="0"/>
                <w:numId w:val="13"/>
              </w:numPr>
              <w:rPr>
                <w:rStyle w:val="Strong"/>
                <w:b w:val="0"/>
                <w:bCs w:val="0"/>
              </w:rPr>
            </w:pPr>
            <w:r w:rsidRPr="004F2684">
              <w:rPr>
                <w:rStyle w:val="Strong"/>
                <w:b w:val="0"/>
                <w:bCs w:val="0"/>
              </w:rPr>
              <w:t>Approval for public benefits: 50 working days</w:t>
            </w:r>
          </w:p>
          <w:p w14:paraId="117C5EB5" w14:textId="77777777" w:rsidR="00947E3E" w:rsidRPr="004F2684" w:rsidRDefault="00947E3E">
            <w:pPr>
              <w:rPr>
                <w:rStyle w:val="Strong"/>
                <w:b w:val="0"/>
                <w:bCs w:val="0"/>
              </w:rPr>
            </w:pPr>
            <w:r w:rsidRPr="004F2684">
              <w:rPr>
                <w:rStyle w:val="Strong"/>
                <w:b w:val="0"/>
                <w:bCs w:val="0"/>
              </w:rPr>
              <w:t xml:space="preserve">Time periods may be extended in limited circumstances. </w:t>
            </w:r>
          </w:p>
          <w:p w14:paraId="6B49F987" w14:textId="77777777" w:rsidR="00947E3E" w:rsidRPr="004F2684" w:rsidRDefault="00947E3E">
            <w:pPr>
              <w:rPr>
                <w:rStyle w:val="Strong"/>
                <w:b w:val="0"/>
                <w:bCs w:val="0"/>
              </w:rPr>
            </w:pPr>
            <w:r w:rsidRPr="004F2684">
              <w:rPr>
                <w:rStyle w:val="Strong"/>
                <w:b w:val="0"/>
                <w:bCs w:val="0"/>
              </w:rPr>
              <w:t>If no ACCC determination within a certain time period, transaction will be permitted to proceed.</w:t>
            </w:r>
          </w:p>
        </w:tc>
      </w:tr>
      <w:tr w:rsidR="00947E3E" w:rsidRPr="004F2684" w14:paraId="762D324D" w14:textId="77777777" w:rsidTr="00B4668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8E6DF" w:themeFill="accent2" w:themeFillTint="33"/>
            <w:hideMark/>
          </w:tcPr>
          <w:p w14:paraId="030872EA" w14:textId="77777777" w:rsidR="00947E3E" w:rsidRPr="004F2684" w:rsidRDefault="00947E3E">
            <w:pPr>
              <w:pStyle w:val="TableSecondHeading"/>
              <w:jc w:val="center"/>
              <w:rPr>
                <w:rStyle w:val="Strong"/>
                <w:b/>
              </w:rPr>
            </w:pPr>
            <w:r w:rsidRPr="004F2684">
              <w:rPr>
                <w:rStyle w:val="Strong"/>
                <w:b/>
                <w:color w:val="auto"/>
              </w:rPr>
              <w:t>Assessment</w:t>
            </w:r>
          </w:p>
        </w:tc>
      </w:tr>
      <w:tr w:rsidR="00947E3E" w:rsidRPr="004F2684" w14:paraId="687E9047" w14:textId="77777777" w:rsidTr="00B46682">
        <w:trPr>
          <w:jc w:val="center"/>
        </w:trPr>
        <w:tc>
          <w:tcPr>
            <w:tcW w:w="713" w:type="pct"/>
            <w:tcBorders>
              <w:top w:val="single" w:sz="4" w:space="0" w:color="auto"/>
              <w:left w:val="single" w:sz="4" w:space="0" w:color="auto"/>
              <w:bottom w:val="single" w:sz="4" w:space="0" w:color="auto"/>
              <w:right w:val="single" w:sz="4" w:space="0" w:color="auto"/>
            </w:tcBorders>
            <w:hideMark/>
          </w:tcPr>
          <w:p w14:paraId="3EEFB620" w14:textId="77777777" w:rsidR="00947E3E" w:rsidRPr="004F2684" w:rsidRDefault="00947E3E">
            <w:pPr>
              <w:rPr>
                <w:rStyle w:val="Strong"/>
              </w:rPr>
            </w:pPr>
            <w:r w:rsidRPr="004F2684">
              <w:rPr>
                <w:rStyle w:val="Strong"/>
              </w:rPr>
              <w:t>A stronger, expert administrative decision-maker</w:t>
            </w:r>
          </w:p>
        </w:tc>
        <w:tc>
          <w:tcPr>
            <w:tcW w:w="2143" w:type="pct"/>
            <w:tcBorders>
              <w:top w:val="single" w:sz="4" w:space="0" w:color="auto"/>
              <w:left w:val="single" w:sz="4" w:space="0" w:color="auto"/>
              <w:bottom w:val="single" w:sz="4" w:space="0" w:color="auto"/>
              <w:right w:val="single" w:sz="4" w:space="0" w:color="auto"/>
            </w:tcBorders>
            <w:hideMark/>
          </w:tcPr>
          <w:p w14:paraId="0D2AC7AA" w14:textId="77777777" w:rsidR="00947E3E" w:rsidRPr="004F2684" w:rsidRDefault="00947E3E">
            <w:pPr>
              <w:rPr>
                <w:rStyle w:val="Strong"/>
                <w:b w:val="0"/>
                <w:bCs w:val="0"/>
              </w:rPr>
            </w:pPr>
            <w:r w:rsidRPr="004F2684">
              <w:rPr>
                <w:rStyle w:val="Strong"/>
                <w:b w:val="0"/>
                <w:bCs w:val="0"/>
              </w:rPr>
              <w:t>Administrative decision-making can be quicker, more accessible for third parties, more transparent and draw on economic expertise more easily than judicial enforcement.</w:t>
            </w:r>
          </w:p>
        </w:tc>
        <w:tc>
          <w:tcPr>
            <w:tcW w:w="2144" w:type="pct"/>
            <w:tcBorders>
              <w:top w:val="single" w:sz="4" w:space="0" w:color="auto"/>
              <w:left w:val="single" w:sz="4" w:space="0" w:color="auto"/>
              <w:bottom w:val="single" w:sz="4" w:space="0" w:color="auto"/>
              <w:right w:val="single" w:sz="4" w:space="0" w:color="auto"/>
            </w:tcBorders>
            <w:hideMark/>
          </w:tcPr>
          <w:p w14:paraId="3D3A76A9" w14:textId="77777777" w:rsidR="00947E3E" w:rsidRPr="004F2684" w:rsidRDefault="00947E3E">
            <w:pPr>
              <w:rPr>
                <w:rStyle w:val="Strong"/>
                <w:b w:val="0"/>
                <w:bCs w:val="0"/>
              </w:rPr>
            </w:pPr>
            <w:r w:rsidRPr="004F2684">
              <w:rPr>
                <w:rStyle w:val="Strong"/>
                <w:b w:val="0"/>
                <w:bCs w:val="0"/>
              </w:rPr>
              <w:t>ACCC will be the expert first-instance administrative decision-maker with responsibility to determine whether a merger may be put into effect, with or without conditions.</w:t>
            </w:r>
          </w:p>
          <w:p w14:paraId="06E70A30" w14:textId="77777777" w:rsidR="00947E3E" w:rsidRPr="004F2684" w:rsidRDefault="00947E3E">
            <w:pPr>
              <w:rPr>
                <w:rStyle w:val="Strong"/>
                <w:b w:val="0"/>
                <w:bCs w:val="0"/>
              </w:rPr>
            </w:pPr>
            <w:r w:rsidRPr="004F2684">
              <w:rPr>
                <w:rStyle w:val="Strong"/>
                <w:b w:val="0"/>
                <w:bCs w:val="0"/>
              </w:rPr>
              <w:t xml:space="preserve">Delivering better outcomes: mergers will be assessed by an expert agency, with engagement and information from stakeholders and supported by rigorous legal and economic analysis. It will enhance accountability, accessibility and transparency of merger review. </w:t>
            </w:r>
          </w:p>
        </w:tc>
      </w:tr>
      <w:tr w:rsidR="00947E3E" w:rsidRPr="004F2684" w14:paraId="568033DE" w14:textId="77777777" w:rsidTr="00B46682">
        <w:trPr>
          <w:jc w:val="center"/>
        </w:trPr>
        <w:tc>
          <w:tcPr>
            <w:tcW w:w="713" w:type="pct"/>
            <w:tcBorders>
              <w:top w:val="single" w:sz="4" w:space="0" w:color="auto"/>
              <w:left w:val="single" w:sz="4" w:space="0" w:color="auto"/>
              <w:bottom w:val="single" w:sz="4" w:space="0" w:color="auto"/>
              <w:right w:val="single" w:sz="4" w:space="0" w:color="auto"/>
            </w:tcBorders>
            <w:hideMark/>
          </w:tcPr>
          <w:p w14:paraId="5A71E083" w14:textId="77777777" w:rsidR="00947E3E" w:rsidRPr="004F2684" w:rsidRDefault="00947E3E">
            <w:pPr>
              <w:rPr>
                <w:rStyle w:val="Strong"/>
              </w:rPr>
            </w:pPr>
            <w:r w:rsidRPr="004F2684">
              <w:rPr>
                <w:rStyle w:val="Strong"/>
              </w:rPr>
              <w:t>Transparency and predictability</w:t>
            </w:r>
          </w:p>
        </w:tc>
        <w:tc>
          <w:tcPr>
            <w:tcW w:w="2143" w:type="pct"/>
            <w:tcBorders>
              <w:top w:val="single" w:sz="4" w:space="0" w:color="auto"/>
              <w:left w:val="single" w:sz="4" w:space="0" w:color="auto"/>
              <w:bottom w:val="single" w:sz="4" w:space="0" w:color="auto"/>
              <w:right w:val="single" w:sz="4" w:space="0" w:color="auto"/>
            </w:tcBorders>
            <w:hideMark/>
          </w:tcPr>
          <w:p w14:paraId="5DBEF0EF" w14:textId="77777777" w:rsidR="00947E3E" w:rsidRPr="004F2684" w:rsidRDefault="00947E3E">
            <w:pPr>
              <w:rPr>
                <w:rStyle w:val="Strong"/>
                <w:b w:val="0"/>
                <w:bCs w:val="0"/>
              </w:rPr>
            </w:pPr>
            <w:r w:rsidRPr="004F2684">
              <w:rPr>
                <w:rStyle w:val="Strong"/>
                <w:b w:val="0"/>
                <w:bCs w:val="0"/>
              </w:rPr>
              <w:t>Current informal approach is not transparent.</w:t>
            </w:r>
          </w:p>
          <w:p w14:paraId="012DD785" w14:textId="77777777" w:rsidR="00947E3E" w:rsidRPr="004F2684" w:rsidRDefault="00947E3E">
            <w:pPr>
              <w:rPr>
                <w:rStyle w:val="Strong"/>
                <w:b w:val="0"/>
                <w:bCs w:val="0"/>
              </w:rPr>
            </w:pPr>
            <w:r w:rsidRPr="004F2684">
              <w:rPr>
                <w:rStyle w:val="Strong"/>
                <w:b w:val="0"/>
                <w:bCs w:val="0"/>
              </w:rPr>
              <w:t>Publishing information about mergers reviewed by the ACCC would lead to greater predictability, confidence in ACCC decision-making and broader community awareness.</w:t>
            </w:r>
          </w:p>
        </w:tc>
        <w:tc>
          <w:tcPr>
            <w:tcW w:w="2144" w:type="pct"/>
            <w:tcBorders>
              <w:top w:val="single" w:sz="4" w:space="0" w:color="auto"/>
              <w:left w:val="single" w:sz="4" w:space="0" w:color="auto"/>
              <w:bottom w:val="single" w:sz="4" w:space="0" w:color="auto"/>
              <w:right w:val="single" w:sz="4" w:space="0" w:color="auto"/>
            </w:tcBorders>
            <w:hideMark/>
          </w:tcPr>
          <w:p w14:paraId="56B1C2DC" w14:textId="77777777" w:rsidR="00947E3E" w:rsidRPr="004F2684" w:rsidRDefault="00947E3E">
            <w:pPr>
              <w:rPr>
                <w:rStyle w:val="Strong"/>
                <w:b w:val="0"/>
                <w:bCs w:val="0"/>
              </w:rPr>
            </w:pPr>
            <w:r w:rsidRPr="004F2684">
              <w:rPr>
                <w:rStyle w:val="Strong"/>
                <w:b w:val="0"/>
                <w:bCs w:val="0"/>
              </w:rPr>
              <w:t>Information about all mergers considered by the ACCC will be listed on a public register.</w:t>
            </w:r>
          </w:p>
          <w:p w14:paraId="7C8D5EF1" w14:textId="77777777" w:rsidR="00947E3E" w:rsidRPr="004F2684" w:rsidRDefault="00947E3E">
            <w:pPr>
              <w:rPr>
                <w:rStyle w:val="Strong"/>
                <w:b w:val="0"/>
                <w:bCs w:val="0"/>
                <w:highlight w:val="yellow"/>
              </w:rPr>
            </w:pPr>
            <w:r w:rsidRPr="004F2684">
              <w:rPr>
                <w:rStyle w:val="Strong"/>
                <w:b w:val="0"/>
                <w:bCs w:val="0"/>
              </w:rPr>
              <w:t>The ACCC will set out the findings on material facts, with reference to the evidence or other material on which those findings were based, and the reasons for all decisions commensurate with the substantive review undertaken. This will facilitate transparency and predictability in the administrative system and shape the boundaries of merger control over time as a body of previous determinations, including the economic and legal reasoning, will develop.</w:t>
            </w:r>
          </w:p>
        </w:tc>
      </w:tr>
      <w:tr w:rsidR="00947E3E" w:rsidRPr="004F2684" w14:paraId="74C2D5D4" w14:textId="77777777" w:rsidTr="00B46682">
        <w:trPr>
          <w:jc w:val="center"/>
        </w:trPr>
        <w:tc>
          <w:tcPr>
            <w:tcW w:w="713" w:type="pct"/>
            <w:tcBorders>
              <w:top w:val="single" w:sz="4" w:space="0" w:color="auto"/>
              <w:left w:val="single" w:sz="4" w:space="0" w:color="auto"/>
              <w:bottom w:val="single" w:sz="4" w:space="0" w:color="auto"/>
              <w:right w:val="single" w:sz="4" w:space="0" w:color="auto"/>
            </w:tcBorders>
            <w:hideMark/>
          </w:tcPr>
          <w:p w14:paraId="0F52B048" w14:textId="77777777" w:rsidR="00947E3E" w:rsidRPr="004F2684" w:rsidRDefault="00947E3E">
            <w:pPr>
              <w:rPr>
                <w:rStyle w:val="Strong"/>
              </w:rPr>
            </w:pPr>
            <w:r w:rsidRPr="004F2684">
              <w:rPr>
                <w:rStyle w:val="Strong"/>
              </w:rPr>
              <w:t>Test for decision-maker to apply including ‘merger factors’</w:t>
            </w:r>
          </w:p>
        </w:tc>
        <w:tc>
          <w:tcPr>
            <w:tcW w:w="2143" w:type="pct"/>
            <w:tcBorders>
              <w:top w:val="single" w:sz="4" w:space="0" w:color="auto"/>
              <w:left w:val="single" w:sz="4" w:space="0" w:color="auto"/>
              <w:bottom w:val="single" w:sz="4" w:space="0" w:color="auto"/>
              <w:right w:val="single" w:sz="4" w:space="0" w:color="auto"/>
            </w:tcBorders>
            <w:hideMark/>
          </w:tcPr>
          <w:p w14:paraId="72416B75" w14:textId="77777777" w:rsidR="00947E3E" w:rsidRPr="004F2684" w:rsidRDefault="00947E3E">
            <w:pPr>
              <w:rPr>
                <w:rStyle w:val="Strong"/>
                <w:b w:val="0"/>
                <w:bCs w:val="0"/>
              </w:rPr>
            </w:pPr>
            <w:r w:rsidRPr="004F2684">
              <w:rPr>
                <w:rStyle w:val="Strong"/>
                <w:b w:val="0"/>
                <w:bCs w:val="0"/>
              </w:rPr>
              <w:t>‘Substantial lessening of competition’ test is the appropriate framework, but concerns with the requirement to ‘prove’ the counterfactual in forward-looking merger assessments.</w:t>
            </w:r>
          </w:p>
          <w:p w14:paraId="52C45546" w14:textId="77777777" w:rsidR="00947E3E" w:rsidRPr="004F2684" w:rsidRDefault="00947E3E">
            <w:pPr>
              <w:rPr>
                <w:rStyle w:val="Strong"/>
                <w:b w:val="0"/>
                <w:bCs w:val="0"/>
              </w:rPr>
            </w:pPr>
            <w:r w:rsidRPr="004F2684">
              <w:rPr>
                <w:rStyle w:val="Strong"/>
                <w:b w:val="0"/>
                <w:bCs w:val="0"/>
              </w:rPr>
              <w:t xml:space="preserve">Reviews could substantially benefit from more rigorous economic and legal analysis. </w:t>
            </w:r>
          </w:p>
          <w:p w14:paraId="51083C50" w14:textId="77777777" w:rsidR="00947E3E" w:rsidRPr="004F2684" w:rsidRDefault="00947E3E">
            <w:pPr>
              <w:rPr>
                <w:rStyle w:val="Strong"/>
                <w:b w:val="0"/>
                <w:bCs w:val="0"/>
              </w:rPr>
            </w:pPr>
            <w:r w:rsidRPr="004F2684">
              <w:rPr>
                <w:rStyle w:val="Strong"/>
                <w:b w:val="0"/>
                <w:bCs w:val="0"/>
              </w:rPr>
              <w:t>Usefulness of the ‘merger factors’ is somewhat limited; updating guidance to reflect current economic thinking would be more helpful for businesses, advisors and others.</w:t>
            </w:r>
          </w:p>
        </w:tc>
        <w:tc>
          <w:tcPr>
            <w:tcW w:w="2144" w:type="pct"/>
            <w:tcBorders>
              <w:top w:val="single" w:sz="4" w:space="0" w:color="auto"/>
              <w:left w:val="single" w:sz="4" w:space="0" w:color="auto"/>
              <w:bottom w:val="single" w:sz="4" w:space="0" w:color="auto"/>
              <w:right w:val="single" w:sz="4" w:space="0" w:color="auto"/>
            </w:tcBorders>
            <w:hideMark/>
          </w:tcPr>
          <w:p w14:paraId="43FEB9C1" w14:textId="77777777" w:rsidR="00947E3E" w:rsidRPr="004F2684" w:rsidRDefault="00947E3E">
            <w:pPr>
              <w:rPr>
                <w:rStyle w:val="Strong"/>
                <w:b w:val="0"/>
                <w:bCs w:val="0"/>
              </w:rPr>
            </w:pPr>
            <w:r w:rsidRPr="004F2684">
              <w:rPr>
                <w:rStyle w:val="Strong"/>
                <w:b w:val="0"/>
                <w:bCs w:val="0"/>
              </w:rPr>
              <w:t xml:space="preserve">The ACCC will be empowered to protect competition and consumers. </w:t>
            </w:r>
          </w:p>
          <w:p w14:paraId="1E290226" w14:textId="77777777" w:rsidR="00947E3E" w:rsidRPr="004F2684" w:rsidRDefault="00947E3E">
            <w:pPr>
              <w:rPr>
                <w:rStyle w:val="Strong"/>
                <w:rFonts w:eastAsia="Calibri Light"/>
                <w:b w:val="0"/>
                <w:bCs w:val="0"/>
              </w:rPr>
            </w:pPr>
            <w:r w:rsidRPr="004F2684">
              <w:rPr>
                <w:rStyle w:val="Strong"/>
                <w:b w:val="0"/>
                <w:bCs w:val="0"/>
              </w:rPr>
              <w:t>ACCC must determine that a merger can be put into effect (with or without conditions) unless it considers the merger would have the effect, or be likely to have the effect, of substantially lessening competition in any market,</w:t>
            </w:r>
            <w:r w:rsidRPr="004F2684">
              <w:rPr>
                <w:rStyle w:val="Strong"/>
                <w:rFonts w:eastAsia="Calibri Light"/>
                <w:b w:val="0"/>
                <w:bCs w:val="0"/>
              </w:rPr>
              <w:t xml:space="preserve"> including (but not exclusively) if the merger </w:t>
            </w:r>
            <w:r w:rsidRPr="004F2684">
              <w:rPr>
                <w:rStyle w:val="Strong"/>
                <w:b w:val="0"/>
                <w:bCs w:val="0"/>
              </w:rPr>
              <w:t>creates, strengthens or entrenches</w:t>
            </w:r>
            <w:r w:rsidRPr="004F2684">
              <w:rPr>
                <w:rStyle w:val="Strong"/>
                <w:rFonts w:eastAsia="Calibri Light"/>
                <w:b w:val="0"/>
                <w:bCs w:val="0"/>
              </w:rPr>
              <w:t xml:space="preserve"> a position of substantial market power in any market. </w:t>
            </w:r>
          </w:p>
          <w:p w14:paraId="264427E6" w14:textId="77777777" w:rsidR="00947E3E" w:rsidRPr="004F2684" w:rsidRDefault="00947E3E">
            <w:pPr>
              <w:rPr>
                <w:rStyle w:val="Strong"/>
                <w:b w:val="0"/>
                <w:bCs w:val="0"/>
              </w:rPr>
            </w:pPr>
            <w:r w:rsidRPr="004F2684">
              <w:rPr>
                <w:rStyle w:val="Strong"/>
                <w:b w:val="0"/>
                <w:bCs w:val="0"/>
              </w:rPr>
              <w:t xml:space="preserve">Merger factors to be replaced with principles, focused on the conditions for competition, also to address concerns with the counterfactual. </w:t>
            </w:r>
          </w:p>
          <w:p w14:paraId="1FBB6FF5" w14:textId="77777777" w:rsidR="00947E3E" w:rsidRPr="004F2684" w:rsidRDefault="00947E3E">
            <w:pPr>
              <w:rPr>
                <w:rStyle w:val="Strong"/>
                <w:b w:val="0"/>
                <w:bCs w:val="0"/>
              </w:rPr>
            </w:pPr>
            <w:r w:rsidRPr="004F2684">
              <w:rPr>
                <w:rStyle w:val="Strong"/>
                <w:b w:val="0"/>
                <w:bCs w:val="0"/>
              </w:rPr>
              <w:t>ACCC will be expected to update and periodically review its guidance.</w:t>
            </w:r>
          </w:p>
        </w:tc>
      </w:tr>
      <w:tr w:rsidR="00947E3E" w:rsidRPr="004F2684" w14:paraId="0CF79308" w14:textId="77777777" w:rsidTr="00B46682">
        <w:trPr>
          <w:jc w:val="center"/>
        </w:trPr>
        <w:tc>
          <w:tcPr>
            <w:tcW w:w="713" w:type="pct"/>
            <w:tcBorders>
              <w:top w:val="single" w:sz="4" w:space="0" w:color="auto"/>
              <w:left w:val="single" w:sz="4" w:space="0" w:color="auto"/>
              <w:bottom w:val="single" w:sz="4" w:space="0" w:color="auto"/>
              <w:right w:val="single" w:sz="4" w:space="0" w:color="auto"/>
            </w:tcBorders>
          </w:tcPr>
          <w:p w14:paraId="71921F52" w14:textId="77777777" w:rsidR="00947E3E" w:rsidRPr="004F2684" w:rsidRDefault="00947E3E">
            <w:pPr>
              <w:rPr>
                <w:rStyle w:val="Strong"/>
              </w:rPr>
            </w:pPr>
            <w:r w:rsidRPr="004F2684">
              <w:rPr>
                <w:rStyle w:val="Strong"/>
              </w:rPr>
              <w:t>Substantial market power amendment to ‘substantial lessening of competition’ test</w:t>
            </w:r>
          </w:p>
        </w:tc>
        <w:tc>
          <w:tcPr>
            <w:tcW w:w="2143" w:type="pct"/>
            <w:tcBorders>
              <w:top w:val="single" w:sz="4" w:space="0" w:color="auto"/>
              <w:left w:val="single" w:sz="4" w:space="0" w:color="auto"/>
              <w:bottom w:val="single" w:sz="4" w:space="0" w:color="auto"/>
              <w:right w:val="single" w:sz="4" w:space="0" w:color="auto"/>
            </w:tcBorders>
          </w:tcPr>
          <w:p w14:paraId="0DC88FFE" w14:textId="77777777" w:rsidR="00947E3E" w:rsidRPr="004F2684" w:rsidRDefault="00947E3E">
            <w:pPr>
              <w:rPr>
                <w:rStyle w:val="Strong"/>
                <w:b w:val="0"/>
                <w:bCs w:val="0"/>
              </w:rPr>
            </w:pPr>
            <w:r w:rsidRPr="004F2684">
              <w:rPr>
                <w:rStyle w:val="Strong"/>
                <w:b w:val="0"/>
                <w:bCs w:val="0"/>
              </w:rPr>
              <w:t xml:space="preserve">Concerns about market power in concentrated sectors, such as supply chains. </w:t>
            </w:r>
          </w:p>
          <w:p w14:paraId="6248B8D8" w14:textId="77777777" w:rsidR="00947E3E" w:rsidRPr="004F2684" w:rsidRDefault="00947E3E">
            <w:pPr>
              <w:rPr>
                <w:rStyle w:val="Strong"/>
                <w:b w:val="0"/>
                <w:bCs w:val="0"/>
              </w:rPr>
            </w:pPr>
            <w:r w:rsidRPr="004F2684">
              <w:rPr>
                <w:rStyle w:val="Strong"/>
                <w:b w:val="0"/>
                <w:bCs w:val="0"/>
              </w:rPr>
              <w:t>Acquisitions by firms with substantial market power should be captured by the ‘substantial lessening of competition’ test.</w:t>
            </w:r>
          </w:p>
        </w:tc>
        <w:tc>
          <w:tcPr>
            <w:tcW w:w="2144" w:type="pct"/>
            <w:tcBorders>
              <w:top w:val="single" w:sz="4" w:space="0" w:color="auto"/>
              <w:left w:val="single" w:sz="4" w:space="0" w:color="auto"/>
              <w:bottom w:val="single" w:sz="4" w:space="0" w:color="auto"/>
              <w:right w:val="single" w:sz="4" w:space="0" w:color="auto"/>
            </w:tcBorders>
          </w:tcPr>
          <w:p w14:paraId="1AE831CE" w14:textId="77777777" w:rsidR="00947E3E" w:rsidRPr="004F2684" w:rsidRDefault="00947E3E">
            <w:pPr>
              <w:rPr>
                <w:rStyle w:val="Strong"/>
                <w:b w:val="0"/>
                <w:bCs w:val="0"/>
              </w:rPr>
            </w:pPr>
            <w:r w:rsidRPr="004F2684">
              <w:rPr>
                <w:rStyle w:val="Strong"/>
                <w:b w:val="0"/>
                <w:bCs w:val="0"/>
              </w:rPr>
              <w:t xml:space="preserve">The ACCC will be empowered to protect competition and consumers. </w:t>
            </w:r>
          </w:p>
          <w:p w14:paraId="58CB5E90" w14:textId="77777777" w:rsidR="00947E3E" w:rsidRPr="004F2684" w:rsidRDefault="00947E3E">
            <w:pPr>
              <w:rPr>
                <w:rStyle w:val="Strong"/>
                <w:b w:val="0"/>
                <w:bCs w:val="0"/>
              </w:rPr>
            </w:pPr>
            <w:r w:rsidRPr="004F2684">
              <w:rPr>
                <w:rStyle w:val="Strong"/>
                <w:b w:val="0"/>
                <w:bCs w:val="0"/>
              </w:rPr>
              <w:t xml:space="preserve">Clarify that the existing ‘substantial lessening of competition’ test includes </w:t>
            </w:r>
            <w:r w:rsidRPr="004F2684">
              <w:rPr>
                <w:rStyle w:val="Strong"/>
                <w:rFonts w:eastAsia="Calibri Light"/>
                <w:b w:val="0"/>
                <w:bCs w:val="0"/>
              </w:rPr>
              <w:t xml:space="preserve">if the merger </w:t>
            </w:r>
            <w:r w:rsidRPr="004F2684">
              <w:rPr>
                <w:rStyle w:val="Strong"/>
                <w:b w:val="0"/>
                <w:bCs w:val="0"/>
              </w:rPr>
              <w:t>creates, strengthens or entrenches</w:t>
            </w:r>
            <w:r w:rsidRPr="004F2684">
              <w:rPr>
                <w:rStyle w:val="Strong"/>
                <w:rFonts w:eastAsia="Calibri Light"/>
                <w:b w:val="0"/>
                <w:bCs w:val="0"/>
              </w:rPr>
              <w:t xml:space="preserve"> a position of substantial market power in any market.</w:t>
            </w:r>
          </w:p>
        </w:tc>
      </w:tr>
      <w:tr w:rsidR="00947E3E" w:rsidRPr="004F2684" w14:paraId="30035501" w14:textId="77777777" w:rsidTr="00B46682">
        <w:trPr>
          <w:jc w:val="center"/>
        </w:trPr>
        <w:tc>
          <w:tcPr>
            <w:tcW w:w="713" w:type="pct"/>
            <w:tcBorders>
              <w:top w:val="single" w:sz="4" w:space="0" w:color="auto"/>
              <w:left w:val="single" w:sz="4" w:space="0" w:color="auto"/>
              <w:bottom w:val="single" w:sz="4" w:space="0" w:color="auto"/>
              <w:right w:val="single" w:sz="4" w:space="0" w:color="auto"/>
            </w:tcBorders>
            <w:hideMark/>
          </w:tcPr>
          <w:p w14:paraId="10D04FC8" w14:textId="77777777" w:rsidR="00947E3E" w:rsidRPr="004F2684" w:rsidRDefault="00947E3E">
            <w:pPr>
              <w:rPr>
                <w:rStyle w:val="Strong"/>
              </w:rPr>
            </w:pPr>
            <w:r w:rsidRPr="004F2684">
              <w:rPr>
                <w:rStyle w:val="Strong"/>
              </w:rPr>
              <w:t>Related agreements</w:t>
            </w:r>
          </w:p>
        </w:tc>
        <w:tc>
          <w:tcPr>
            <w:tcW w:w="2143" w:type="pct"/>
            <w:tcBorders>
              <w:top w:val="single" w:sz="4" w:space="0" w:color="auto"/>
              <w:left w:val="single" w:sz="4" w:space="0" w:color="auto"/>
              <w:bottom w:val="single" w:sz="4" w:space="0" w:color="auto"/>
              <w:right w:val="single" w:sz="4" w:space="0" w:color="auto"/>
            </w:tcBorders>
            <w:hideMark/>
          </w:tcPr>
          <w:p w14:paraId="22917623" w14:textId="77777777" w:rsidR="00947E3E" w:rsidRPr="004F2684" w:rsidRDefault="00947E3E">
            <w:pPr>
              <w:rPr>
                <w:rStyle w:val="Strong"/>
                <w:b w:val="0"/>
                <w:bCs w:val="0"/>
                <w:highlight w:val="yellow"/>
              </w:rPr>
            </w:pPr>
            <w:r w:rsidRPr="004F2684">
              <w:rPr>
                <w:rStyle w:val="Strong"/>
                <w:b w:val="0"/>
                <w:bCs w:val="0"/>
              </w:rPr>
              <w:t>Related agreements by the merger parties should be taken into account.</w:t>
            </w:r>
          </w:p>
        </w:tc>
        <w:tc>
          <w:tcPr>
            <w:tcW w:w="2144" w:type="pct"/>
            <w:tcBorders>
              <w:top w:val="single" w:sz="4" w:space="0" w:color="auto"/>
              <w:left w:val="single" w:sz="4" w:space="0" w:color="auto"/>
              <w:bottom w:val="single" w:sz="4" w:space="0" w:color="auto"/>
              <w:right w:val="single" w:sz="4" w:space="0" w:color="auto"/>
            </w:tcBorders>
            <w:hideMark/>
          </w:tcPr>
          <w:p w14:paraId="416DE552" w14:textId="77777777" w:rsidR="00947E3E" w:rsidRPr="004F2684" w:rsidRDefault="00947E3E">
            <w:pPr>
              <w:rPr>
                <w:rStyle w:val="Strong"/>
                <w:b w:val="0"/>
                <w:bCs w:val="0"/>
              </w:rPr>
            </w:pPr>
            <w:r w:rsidRPr="004F2684">
              <w:rPr>
                <w:rStyle w:val="Strong"/>
                <w:b w:val="0"/>
                <w:bCs w:val="0"/>
              </w:rPr>
              <w:t xml:space="preserve">The principles ensure related agreements by the merger parties may be taken into account in the ACCC’s assessment. </w:t>
            </w:r>
          </w:p>
        </w:tc>
      </w:tr>
      <w:tr w:rsidR="00947E3E" w:rsidRPr="004F2684" w14:paraId="1307B876" w14:textId="77777777" w:rsidTr="00B46682">
        <w:trPr>
          <w:jc w:val="center"/>
        </w:trPr>
        <w:tc>
          <w:tcPr>
            <w:tcW w:w="713" w:type="pct"/>
            <w:tcBorders>
              <w:top w:val="single" w:sz="4" w:space="0" w:color="auto"/>
              <w:left w:val="single" w:sz="4" w:space="0" w:color="auto"/>
              <w:bottom w:val="single" w:sz="4" w:space="0" w:color="auto"/>
              <w:right w:val="single" w:sz="4" w:space="0" w:color="auto"/>
            </w:tcBorders>
            <w:hideMark/>
          </w:tcPr>
          <w:p w14:paraId="0AE0D584" w14:textId="660C6512" w:rsidR="00947E3E" w:rsidRPr="004F2684" w:rsidRDefault="002A68E4">
            <w:pPr>
              <w:rPr>
                <w:rStyle w:val="Strong"/>
              </w:rPr>
            </w:pPr>
            <w:r>
              <w:rPr>
                <w:rStyle w:val="Strong"/>
              </w:rPr>
              <w:t>P</w:t>
            </w:r>
            <w:r w:rsidR="00947E3E" w:rsidRPr="004F2684">
              <w:rPr>
                <w:rStyle w:val="Strong"/>
              </w:rPr>
              <w:t>ublic benefits</w:t>
            </w:r>
          </w:p>
        </w:tc>
        <w:tc>
          <w:tcPr>
            <w:tcW w:w="2143" w:type="pct"/>
            <w:tcBorders>
              <w:top w:val="single" w:sz="4" w:space="0" w:color="auto"/>
              <w:left w:val="single" w:sz="4" w:space="0" w:color="auto"/>
              <w:bottom w:val="single" w:sz="4" w:space="0" w:color="auto"/>
              <w:right w:val="single" w:sz="4" w:space="0" w:color="auto"/>
            </w:tcBorders>
            <w:hideMark/>
          </w:tcPr>
          <w:p w14:paraId="6E6BEDBC" w14:textId="77777777" w:rsidR="00947E3E" w:rsidRPr="004F2684" w:rsidRDefault="00947E3E">
            <w:pPr>
              <w:rPr>
                <w:rStyle w:val="Strong"/>
                <w:b w:val="0"/>
                <w:bCs w:val="0"/>
              </w:rPr>
            </w:pPr>
            <w:r w:rsidRPr="004F2684">
              <w:rPr>
                <w:rStyle w:val="Strong"/>
                <w:b w:val="0"/>
                <w:bCs w:val="0"/>
              </w:rPr>
              <w:t>Ability to consider public benefits should be retained.</w:t>
            </w:r>
          </w:p>
        </w:tc>
        <w:tc>
          <w:tcPr>
            <w:tcW w:w="2144" w:type="pct"/>
            <w:tcBorders>
              <w:top w:val="single" w:sz="4" w:space="0" w:color="auto"/>
              <w:left w:val="single" w:sz="4" w:space="0" w:color="auto"/>
              <w:bottom w:val="single" w:sz="4" w:space="0" w:color="auto"/>
              <w:right w:val="single" w:sz="4" w:space="0" w:color="auto"/>
            </w:tcBorders>
            <w:hideMark/>
          </w:tcPr>
          <w:p w14:paraId="3D8C3BC2" w14:textId="421C0946" w:rsidR="00947E3E" w:rsidRPr="004F2684" w:rsidRDefault="00947E3E">
            <w:pPr>
              <w:rPr>
                <w:rStyle w:val="Strong"/>
                <w:b w:val="0"/>
                <w:bCs w:val="0"/>
              </w:rPr>
            </w:pPr>
            <w:r w:rsidRPr="004F2684">
              <w:rPr>
                <w:rStyle w:val="Strong"/>
                <w:b w:val="0"/>
                <w:bCs w:val="0"/>
              </w:rPr>
              <w:t>If ACCC disallows the merger, approval may be sought if the merger would result, or be likely to result, in a public benefit which outweighs anti-competitive impact.</w:t>
            </w:r>
          </w:p>
          <w:p w14:paraId="47DD620F" w14:textId="77777777" w:rsidR="00947E3E" w:rsidRPr="004F2684" w:rsidRDefault="00947E3E">
            <w:pPr>
              <w:rPr>
                <w:rStyle w:val="Strong"/>
                <w:b w:val="0"/>
                <w:bCs w:val="0"/>
              </w:rPr>
            </w:pPr>
            <w:r w:rsidRPr="004F2684">
              <w:rPr>
                <w:rStyle w:val="Strong"/>
                <w:b w:val="0"/>
                <w:bCs w:val="0"/>
              </w:rPr>
              <w:t>Allowing the ACCC to consider whether an otherwise anti-competitive merger raises substantial and meaningful net public benefits is important as our economy responds to significant structural shifts including the rise of the care economy, rapid transformation to net zero and the growth of the digital economy.</w:t>
            </w:r>
          </w:p>
        </w:tc>
      </w:tr>
      <w:tr w:rsidR="00947E3E" w:rsidRPr="004F2684" w14:paraId="4D03510E" w14:textId="77777777" w:rsidTr="00B46682">
        <w:trPr>
          <w:jc w:val="center"/>
        </w:trPr>
        <w:tc>
          <w:tcPr>
            <w:tcW w:w="713" w:type="pct"/>
            <w:tcBorders>
              <w:top w:val="single" w:sz="4" w:space="0" w:color="auto"/>
              <w:left w:val="single" w:sz="4" w:space="0" w:color="auto"/>
              <w:bottom w:val="single" w:sz="4" w:space="0" w:color="auto"/>
              <w:right w:val="single" w:sz="4" w:space="0" w:color="auto"/>
            </w:tcBorders>
            <w:hideMark/>
          </w:tcPr>
          <w:p w14:paraId="2A3C46A2" w14:textId="77777777" w:rsidR="00947E3E" w:rsidRPr="004F2684" w:rsidRDefault="00947E3E">
            <w:pPr>
              <w:rPr>
                <w:rStyle w:val="Strong"/>
              </w:rPr>
            </w:pPr>
            <w:r w:rsidRPr="004F2684">
              <w:rPr>
                <w:rStyle w:val="Strong"/>
              </w:rPr>
              <w:t>Serial acquisitions</w:t>
            </w:r>
          </w:p>
        </w:tc>
        <w:tc>
          <w:tcPr>
            <w:tcW w:w="2143" w:type="pct"/>
            <w:tcBorders>
              <w:top w:val="single" w:sz="4" w:space="0" w:color="auto"/>
              <w:left w:val="single" w:sz="4" w:space="0" w:color="auto"/>
              <w:bottom w:val="single" w:sz="4" w:space="0" w:color="auto"/>
              <w:right w:val="single" w:sz="4" w:space="0" w:color="auto"/>
            </w:tcBorders>
            <w:hideMark/>
          </w:tcPr>
          <w:p w14:paraId="656E7E6E" w14:textId="77777777" w:rsidR="00947E3E" w:rsidRPr="004F2684" w:rsidRDefault="00947E3E">
            <w:pPr>
              <w:rPr>
                <w:rStyle w:val="Strong"/>
                <w:b w:val="0"/>
                <w:bCs w:val="0"/>
              </w:rPr>
            </w:pPr>
            <w:r w:rsidRPr="004F2684">
              <w:rPr>
                <w:rStyle w:val="Strong"/>
                <w:b w:val="0"/>
                <w:bCs w:val="0"/>
              </w:rPr>
              <w:t>Concerns about whether a single acquisition, which does not result in material changes in market concentration or competitive dynamics but over time forms part of a strategy of consolidation, can be appropriately assessed under the current law.</w:t>
            </w:r>
          </w:p>
        </w:tc>
        <w:tc>
          <w:tcPr>
            <w:tcW w:w="2144" w:type="pct"/>
            <w:tcBorders>
              <w:top w:val="single" w:sz="4" w:space="0" w:color="auto"/>
              <w:left w:val="single" w:sz="4" w:space="0" w:color="auto"/>
              <w:bottom w:val="single" w:sz="4" w:space="0" w:color="auto"/>
              <w:right w:val="single" w:sz="4" w:space="0" w:color="auto"/>
            </w:tcBorders>
            <w:hideMark/>
          </w:tcPr>
          <w:p w14:paraId="5AF52A09" w14:textId="77777777" w:rsidR="00947E3E" w:rsidRPr="004F2684" w:rsidRDefault="00947E3E">
            <w:pPr>
              <w:rPr>
                <w:rStyle w:val="Strong"/>
                <w:b w:val="0"/>
                <w:bCs w:val="0"/>
              </w:rPr>
            </w:pPr>
            <w:r w:rsidRPr="004F2684">
              <w:rPr>
                <w:rStyle w:val="Strong"/>
                <w:b w:val="0"/>
                <w:bCs w:val="0"/>
              </w:rPr>
              <w:t>All ‘mergers’ within the previous three years by the merger parties may be considered as part of the review of the notifiable merger (and will be aggregated for the purpose of assessing whether a merger meets the notification thresholds).</w:t>
            </w:r>
          </w:p>
          <w:p w14:paraId="0A5A8094" w14:textId="77777777" w:rsidR="00947E3E" w:rsidRPr="004F2684" w:rsidRDefault="00947E3E">
            <w:pPr>
              <w:rPr>
                <w:rStyle w:val="Strong"/>
                <w:b w:val="0"/>
                <w:bCs w:val="0"/>
              </w:rPr>
            </w:pPr>
            <w:r w:rsidRPr="004F2684">
              <w:rPr>
                <w:rStyle w:val="Strong"/>
                <w:b w:val="0"/>
                <w:bCs w:val="0"/>
              </w:rPr>
              <w:t xml:space="preserve">This is a targeted measure to address concerns that some businesses are engaging in anti-competitive roll up strategies that increase prices and reduce quality and choice for consumers yet </w:t>
            </w:r>
            <w:r w:rsidRPr="004F2684">
              <w:rPr>
                <w:rStyle w:val="Strong"/>
                <w:rFonts w:eastAsia="Calibri Light"/>
                <w:b w:val="0"/>
                <w:bCs w:val="0"/>
              </w:rPr>
              <w:t>minimise unintended impacts on Australia’s vibrant start-up and small-and-medium enterprise sector.</w:t>
            </w:r>
          </w:p>
        </w:tc>
      </w:tr>
      <w:tr w:rsidR="00947E3E" w:rsidRPr="004F2684" w14:paraId="041F542D" w14:textId="77777777" w:rsidTr="00B4668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8E6DF" w:themeFill="accent2" w:themeFillTint="33"/>
            <w:hideMark/>
          </w:tcPr>
          <w:p w14:paraId="13497522" w14:textId="77777777" w:rsidR="00947E3E" w:rsidRPr="004F2684" w:rsidRDefault="00947E3E">
            <w:pPr>
              <w:pStyle w:val="TableSecondHeading"/>
              <w:jc w:val="center"/>
              <w:rPr>
                <w:rStyle w:val="Strong"/>
                <w:b/>
              </w:rPr>
            </w:pPr>
            <w:r w:rsidRPr="004F2684">
              <w:rPr>
                <w:rStyle w:val="Strong"/>
                <w:b/>
                <w:color w:val="auto"/>
              </w:rPr>
              <w:t>Review and penalties</w:t>
            </w:r>
          </w:p>
        </w:tc>
      </w:tr>
      <w:tr w:rsidR="00947E3E" w:rsidRPr="004F2684" w14:paraId="23D3CDE3" w14:textId="77777777" w:rsidTr="00B46682">
        <w:trPr>
          <w:jc w:val="center"/>
        </w:trPr>
        <w:tc>
          <w:tcPr>
            <w:tcW w:w="713" w:type="pct"/>
            <w:tcBorders>
              <w:top w:val="single" w:sz="4" w:space="0" w:color="auto"/>
              <w:left w:val="single" w:sz="4" w:space="0" w:color="auto"/>
              <w:bottom w:val="single" w:sz="4" w:space="0" w:color="auto"/>
              <w:right w:val="single" w:sz="4" w:space="0" w:color="auto"/>
            </w:tcBorders>
            <w:hideMark/>
          </w:tcPr>
          <w:p w14:paraId="40ECE604" w14:textId="77777777" w:rsidR="00947E3E" w:rsidRPr="004F2684" w:rsidRDefault="00947E3E">
            <w:pPr>
              <w:rPr>
                <w:rStyle w:val="Strong"/>
              </w:rPr>
            </w:pPr>
            <w:r w:rsidRPr="004F2684">
              <w:rPr>
                <w:rStyle w:val="Strong"/>
              </w:rPr>
              <w:t>Review of administrative decisions and procedural safeguards</w:t>
            </w:r>
          </w:p>
        </w:tc>
        <w:tc>
          <w:tcPr>
            <w:tcW w:w="2143" w:type="pct"/>
            <w:tcBorders>
              <w:top w:val="single" w:sz="4" w:space="0" w:color="auto"/>
              <w:left w:val="single" w:sz="4" w:space="0" w:color="auto"/>
              <w:bottom w:val="single" w:sz="4" w:space="0" w:color="auto"/>
              <w:right w:val="single" w:sz="4" w:space="0" w:color="auto"/>
            </w:tcBorders>
            <w:hideMark/>
          </w:tcPr>
          <w:p w14:paraId="5B40EC9C" w14:textId="77777777" w:rsidR="00947E3E" w:rsidRPr="004F2684" w:rsidRDefault="00947E3E">
            <w:pPr>
              <w:rPr>
                <w:rStyle w:val="Strong"/>
                <w:b w:val="0"/>
                <w:bCs w:val="0"/>
              </w:rPr>
            </w:pPr>
            <w:r w:rsidRPr="004F2684">
              <w:rPr>
                <w:rStyle w:val="Strong"/>
                <w:b w:val="0"/>
                <w:bCs w:val="0"/>
              </w:rPr>
              <w:t>Reviews of decisions would benefit from greater economic and business expertise; it is important that review processes are accessible to stakeholders likely to be affected by a merger such as consumer groups.</w:t>
            </w:r>
          </w:p>
          <w:p w14:paraId="64C20F9C" w14:textId="77777777" w:rsidR="00947E3E" w:rsidRPr="004F2684" w:rsidRDefault="00947E3E">
            <w:pPr>
              <w:rPr>
                <w:rStyle w:val="Strong"/>
                <w:b w:val="0"/>
                <w:bCs w:val="0"/>
              </w:rPr>
            </w:pPr>
            <w:r w:rsidRPr="004F2684">
              <w:rPr>
                <w:rStyle w:val="Strong"/>
                <w:b w:val="0"/>
                <w:bCs w:val="0"/>
              </w:rPr>
              <w:t>Reviews of merger decisions are time-sensitive.</w:t>
            </w:r>
          </w:p>
        </w:tc>
        <w:tc>
          <w:tcPr>
            <w:tcW w:w="2144" w:type="pct"/>
            <w:tcBorders>
              <w:top w:val="single" w:sz="4" w:space="0" w:color="auto"/>
              <w:left w:val="single" w:sz="4" w:space="0" w:color="auto"/>
              <w:bottom w:val="single" w:sz="4" w:space="0" w:color="auto"/>
              <w:right w:val="single" w:sz="4" w:space="0" w:color="auto"/>
            </w:tcBorders>
            <w:hideMark/>
          </w:tcPr>
          <w:p w14:paraId="03DDC5F1" w14:textId="77777777" w:rsidR="00947E3E" w:rsidRPr="004F2684" w:rsidRDefault="00947E3E">
            <w:pPr>
              <w:rPr>
                <w:rStyle w:val="Strong"/>
                <w:b w:val="0"/>
                <w:bCs w:val="0"/>
              </w:rPr>
            </w:pPr>
            <w:r w:rsidRPr="004F2684">
              <w:rPr>
                <w:rStyle w:val="Strong"/>
                <w:b w:val="0"/>
                <w:bCs w:val="0"/>
              </w:rPr>
              <w:t>ACCC decisions subject to limited merits review by the Australian Competition Tribunal with time limits.</w:t>
            </w:r>
          </w:p>
          <w:p w14:paraId="6DFF6219" w14:textId="77777777" w:rsidR="00947E3E" w:rsidRPr="004F2684" w:rsidRDefault="00947E3E">
            <w:pPr>
              <w:rPr>
                <w:rStyle w:val="Strong"/>
                <w:b w:val="0"/>
                <w:bCs w:val="0"/>
              </w:rPr>
            </w:pPr>
            <w:r w:rsidRPr="004F2684" w:rsidDel="00731FDC">
              <w:rPr>
                <w:rStyle w:val="Strong"/>
                <w:b w:val="0"/>
                <w:bCs w:val="0"/>
              </w:rPr>
              <w:t xml:space="preserve">The Tribunal, with its independent economic, business and legal expertise, will </w:t>
            </w:r>
            <w:r w:rsidRPr="004F2684">
              <w:rPr>
                <w:rStyle w:val="Strong"/>
                <w:b w:val="0"/>
                <w:bCs w:val="0"/>
              </w:rPr>
              <w:t xml:space="preserve">improve the quality and consistency of ACCCC decisions and </w:t>
            </w:r>
            <w:r w:rsidRPr="004F2684" w:rsidDel="00731FDC">
              <w:rPr>
                <w:rStyle w:val="Strong"/>
                <w:b w:val="0"/>
                <w:bCs w:val="0"/>
              </w:rPr>
              <w:t>promote good decision</w:t>
            </w:r>
            <w:r w:rsidRPr="004F2684">
              <w:rPr>
                <w:rStyle w:val="Strong"/>
                <w:b w:val="0"/>
                <w:bCs w:val="0"/>
              </w:rPr>
              <w:t>-</w:t>
            </w:r>
            <w:r w:rsidRPr="004F2684" w:rsidDel="00731FDC">
              <w:rPr>
                <w:rStyle w:val="Strong"/>
                <w:b w:val="0"/>
                <w:bCs w:val="0"/>
              </w:rPr>
              <w:t xml:space="preserve">making by the ACCC based on sound economic and legal principles. </w:t>
            </w:r>
          </w:p>
          <w:p w14:paraId="79635815" w14:textId="77777777" w:rsidR="00947E3E" w:rsidRPr="004F2684" w:rsidRDefault="00947E3E">
            <w:pPr>
              <w:rPr>
                <w:rStyle w:val="Strong"/>
                <w:b w:val="0"/>
                <w:bCs w:val="0"/>
              </w:rPr>
            </w:pPr>
            <w:r w:rsidRPr="004F2684" w:rsidDel="00731FDC">
              <w:rPr>
                <w:rStyle w:val="Strong"/>
                <w:b w:val="0"/>
                <w:bCs w:val="0"/>
              </w:rPr>
              <w:t>The Tribunal is able to conduct proceedings expeditiously and with as little formality as required for proper consideration of the issues which will minimise cost and facilitate participation by affected stakeholders</w:t>
            </w:r>
            <w:r w:rsidRPr="004F2684">
              <w:rPr>
                <w:rStyle w:val="Strong"/>
                <w:b w:val="0"/>
                <w:bCs w:val="0"/>
              </w:rPr>
              <w:t>, including supporting consumer groups</w:t>
            </w:r>
            <w:r w:rsidRPr="004F2684" w:rsidDel="00731FDC">
              <w:rPr>
                <w:rStyle w:val="Strong"/>
                <w:b w:val="0"/>
                <w:bCs w:val="0"/>
              </w:rPr>
              <w:t>.</w:t>
            </w:r>
          </w:p>
          <w:p w14:paraId="73371955" w14:textId="77777777" w:rsidR="00947E3E" w:rsidRPr="004F2684" w:rsidRDefault="00947E3E">
            <w:pPr>
              <w:rPr>
                <w:rStyle w:val="Strong"/>
                <w:b w:val="0"/>
                <w:bCs w:val="0"/>
              </w:rPr>
            </w:pPr>
            <w:r w:rsidRPr="004F2684">
              <w:rPr>
                <w:rStyle w:val="Strong"/>
                <w:b w:val="0"/>
                <w:bCs w:val="0"/>
              </w:rPr>
              <w:t xml:space="preserve">The fair, accountable and improved administration of the merger system benefits merger parties, interested stakeholders and the Australian community. In addition to the availability of complaints mechanisms, the ACCC is subject to the Regulator Performance Guide. </w:t>
            </w:r>
          </w:p>
        </w:tc>
      </w:tr>
      <w:tr w:rsidR="00947E3E" w:rsidRPr="004F2684" w14:paraId="6F067861" w14:textId="77777777" w:rsidTr="00B46682">
        <w:trPr>
          <w:jc w:val="center"/>
        </w:trPr>
        <w:tc>
          <w:tcPr>
            <w:tcW w:w="713" w:type="pct"/>
            <w:tcBorders>
              <w:top w:val="single" w:sz="4" w:space="0" w:color="auto"/>
              <w:left w:val="single" w:sz="4" w:space="0" w:color="auto"/>
              <w:bottom w:val="single" w:sz="4" w:space="0" w:color="auto"/>
              <w:right w:val="single" w:sz="4" w:space="0" w:color="auto"/>
            </w:tcBorders>
            <w:hideMark/>
          </w:tcPr>
          <w:p w14:paraId="0F8E489F" w14:textId="77777777" w:rsidR="00947E3E" w:rsidRPr="004F2684" w:rsidRDefault="00947E3E">
            <w:pPr>
              <w:rPr>
                <w:rStyle w:val="Strong"/>
              </w:rPr>
            </w:pPr>
            <w:r w:rsidRPr="004F2684">
              <w:rPr>
                <w:rStyle w:val="Strong"/>
              </w:rPr>
              <w:t>Penalties</w:t>
            </w:r>
          </w:p>
        </w:tc>
        <w:tc>
          <w:tcPr>
            <w:tcW w:w="2143" w:type="pct"/>
            <w:tcBorders>
              <w:top w:val="single" w:sz="4" w:space="0" w:color="auto"/>
              <w:left w:val="single" w:sz="4" w:space="0" w:color="auto"/>
              <w:bottom w:val="single" w:sz="4" w:space="0" w:color="auto"/>
              <w:right w:val="single" w:sz="4" w:space="0" w:color="auto"/>
            </w:tcBorders>
            <w:hideMark/>
          </w:tcPr>
          <w:p w14:paraId="6084B65B" w14:textId="77777777" w:rsidR="00947E3E" w:rsidRPr="004F2684" w:rsidRDefault="00947E3E">
            <w:pPr>
              <w:rPr>
                <w:rStyle w:val="Strong"/>
                <w:b w:val="0"/>
                <w:bCs w:val="0"/>
              </w:rPr>
            </w:pPr>
            <w:r w:rsidRPr="004F2684">
              <w:rPr>
                <w:rStyle w:val="Strong"/>
                <w:b w:val="0"/>
                <w:bCs w:val="0"/>
              </w:rPr>
              <w:t>Significant penalties would deter strategic behaviour and encourage compliance.</w:t>
            </w:r>
          </w:p>
        </w:tc>
        <w:tc>
          <w:tcPr>
            <w:tcW w:w="2144" w:type="pct"/>
            <w:tcBorders>
              <w:top w:val="single" w:sz="4" w:space="0" w:color="auto"/>
              <w:left w:val="single" w:sz="4" w:space="0" w:color="auto"/>
              <w:bottom w:val="single" w:sz="4" w:space="0" w:color="auto"/>
              <w:right w:val="single" w:sz="4" w:space="0" w:color="auto"/>
            </w:tcBorders>
            <w:hideMark/>
          </w:tcPr>
          <w:p w14:paraId="5E549C8B" w14:textId="77777777" w:rsidR="00947E3E" w:rsidRPr="004F2684" w:rsidRDefault="00947E3E">
            <w:pPr>
              <w:rPr>
                <w:rStyle w:val="Strong"/>
                <w:b w:val="0"/>
                <w:bCs w:val="0"/>
              </w:rPr>
            </w:pPr>
            <w:r w:rsidRPr="004F2684">
              <w:rPr>
                <w:rStyle w:val="Strong"/>
                <w:b w:val="0"/>
                <w:bCs w:val="0"/>
              </w:rPr>
              <w:t>Substantial penalties (monetary and/or divestiture) for non-compliance for entities concerned/officers responsible for merger, on application by the ACCC in Federal Court.</w:t>
            </w:r>
          </w:p>
        </w:tc>
      </w:tr>
    </w:tbl>
    <w:p w14:paraId="6645130D" w14:textId="77777777" w:rsidR="00947E3E" w:rsidRPr="000A331B" w:rsidDel="002F51D7" w:rsidRDefault="00947E3E" w:rsidP="00947E3E">
      <w:pPr>
        <w:rPr>
          <w:u w:val="single"/>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986"/>
        <w:gridCol w:w="67"/>
        <w:gridCol w:w="5920"/>
      </w:tblGrid>
      <w:tr w:rsidR="00947E3E" w:rsidRPr="00081E82" w14:paraId="1F4EB076" w14:textId="77777777" w:rsidTr="00B46682">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2C384A" w:themeFill="accent1"/>
            <w:hideMark/>
          </w:tcPr>
          <w:p w14:paraId="02F8D6A2" w14:textId="77777777" w:rsidR="00947E3E" w:rsidRPr="004F2684" w:rsidRDefault="00947E3E">
            <w:pPr>
              <w:spacing w:before="60" w:after="60"/>
              <w:jc w:val="center"/>
              <w:rPr>
                <w:bCs/>
                <w:color w:val="auto"/>
                <w:szCs w:val="22"/>
              </w:rPr>
            </w:pPr>
            <w:r w:rsidRPr="00B46682">
              <w:rPr>
                <w:color w:val="FFFFFF" w:themeColor="background1"/>
              </w:rPr>
              <w:t>Elements of a merger control system not adopted</w:t>
            </w:r>
          </w:p>
        </w:tc>
      </w:tr>
      <w:tr w:rsidR="00947E3E" w:rsidRPr="00081E82" w14:paraId="76BB3E1D" w14:textId="77777777" w:rsidTr="00B46682">
        <w:trPr>
          <w:cnfStyle w:val="100000000000" w:firstRow="1" w:lastRow="0" w:firstColumn="0" w:lastColumn="0" w:oddVBand="0" w:evenVBand="0" w:oddHBand="0" w:evenHBand="0" w:firstRowFirstColumn="0" w:firstRowLastColumn="0" w:lastRowFirstColumn="0" w:lastRowLastColumn="0"/>
          <w:tblHeader/>
          <w:jc w:val="center"/>
        </w:trPr>
        <w:tc>
          <w:tcPr>
            <w:tcW w:w="708" w:type="pct"/>
            <w:tcBorders>
              <w:top w:val="single" w:sz="4" w:space="0" w:color="auto"/>
              <w:left w:val="single" w:sz="4" w:space="0" w:color="auto"/>
              <w:bottom w:val="single" w:sz="4" w:space="0" w:color="auto"/>
              <w:right w:val="single" w:sz="4" w:space="0" w:color="auto"/>
            </w:tcBorders>
            <w:hideMark/>
          </w:tcPr>
          <w:p w14:paraId="28D46DC5" w14:textId="77777777" w:rsidR="00947E3E" w:rsidRPr="004F2684" w:rsidRDefault="00947E3E">
            <w:pPr>
              <w:pStyle w:val="TableSecondHeading"/>
              <w:rPr>
                <w:rStyle w:val="Strong"/>
                <w:rFonts w:eastAsiaTheme="minorHAnsi"/>
                <w:color w:val="auto"/>
              </w:rPr>
            </w:pPr>
            <w:r w:rsidRPr="004F2684">
              <w:rPr>
                <w:rStyle w:val="Strong"/>
                <w:color w:val="auto"/>
              </w:rPr>
              <w:t>Element</w:t>
            </w:r>
          </w:p>
        </w:tc>
        <w:tc>
          <w:tcPr>
            <w:tcW w:w="2170" w:type="pct"/>
            <w:gridSpan w:val="2"/>
            <w:tcBorders>
              <w:top w:val="single" w:sz="4" w:space="0" w:color="auto"/>
              <w:left w:val="single" w:sz="4" w:space="0" w:color="auto"/>
              <w:bottom w:val="single" w:sz="4" w:space="0" w:color="auto"/>
              <w:right w:val="single" w:sz="4" w:space="0" w:color="auto"/>
            </w:tcBorders>
            <w:hideMark/>
          </w:tcPr>
          <w:p w14:paraId="7883F34F" w14:textId="77777777" w:rsidR="00947E3E" w:rsidRPr="004F2684" w:rsidRDefault="00947E3E">
            <w:pPr>
              <w:pStyle w:val="TableSecondHeading"/>
              <w:rPr>
                <w:rStyle w:val="Strong"/>
                <w:color w:val="auto"/>
              </w:rPr>
            </w:pPr>
            <w:r w:rsidRPr="004F2684">
              <w:rPr>
                <w:rStyle w:val="Strong"/>
                <w:color w:val="auto"/>
              </w:rPr>
              <w:t>Consultation feedback</w:t>
            </w:r>
          </w:p>
        </w:tc>
        <w:tc>
          <w:tcPr>
            <w:tcW w:w="2122" w:type="pct"/>
            <w:tcBorders>
              <w:top w:val="single" w:sz="4" w:space="0" w:color="auto"/>
              <w:left w:val="single" w:sz="4" w:space="0" w:color="auto"/>
              <w:bottom w:val="single" w:sz="4" w:space="0" w:color="auto"/>
              <w:right w:val="single" w:sz="4" w:space="0" w:color="auto"/>
            </w:tcBorders>
            <w:hideMark/>
          </w:tcPr>
          <w:p w14:paraId="791A083E" w14:textId="77777777" w:rsidR="00947E3E" w:rsidRPr="004F2684" w:rsidRDefault="00947E3E">
            <w:pPr>
              <w:pStyle w:val="TableSecondHeading"/>
              <w:rPr>
                <w:rStyle w:val="Strong"/>
                <w:rFonts w:eastAsiaTheme="minorHAnsi"/>
                <w:color w:val="auto"/>
              </w:rPr>
            </w:pPr>
            <w:r w:rsidRPr="004F2684">
              <w:rPr>
                <w:rStyle w:val="Strong"/>
                <w:color w:val="auto"/>
              </w:rPr>
              <w:t>Australian Government response</w:t>
            </w:r>
          </w:p>
        </w:tc>
      </w:tr>
      <w:tr w:rsidR="00947E3E" w:rsidRPr="00081E82" w14:paraId="37DA723D" w14:textId="77777777" w:rsidTr="00F70DB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8E6DF" w:themeFill="accent2" w:themeFillTint="33"/>
            <w:hideMark/>
          </w:tcPr>
          <w:p w14:paraId="084AC7AA" w14:textId="77777777" w:rsidR="00947E3E" w:rsidRPr="004F2684" w:rsidRDefault="00947E3E">
            <w:pPr>
              <w:pStyle w:val="TableSecondHeading"/>
              <w:jc w:val="center"/>
              <w:rPr>
                <w:rStyle w:val="Strong"/>
                <w:b/>
                <w:color w:val="auto"/>
              </w:rPr>
            </w:pPr>
            <w:r w:rsidRPr="004F2684">
              <w:rPr>
                <w:rStyle w:val="Strong"/>
                <w:b/>
                <w:color w:val="auto"/>
              </w:rPr>
              <w:t>Notification</w:t>
            </w:r>
          </w:p>
        </w:tc>
      </w:tr>
      <w:tr w:rsidR="00947E3E" w:rsidRPr="00081E82" w14:paraId="57BC6C1C" w14:textId="77777777" w:rsidTr="00F70DBF">
        <w:trPr>
          <w:jc w:val="center"/>
        </w:trPr>
        <w:tc>
          <w:tcPr>
            <w:tcW w:w="708" w:type="pct"/>
            <w:tcBorders>
              <w:top w:val="single" w:sz="4" w:space="0" w:color="auto"/>
              <w:left w:val="single" w:sz="4" w:space="0" w:color="auto"/>
              <w:bottom w:val="single" w:sz="4" w:space="0" w:color="auto"/>
              <w:right w:val="single" w:sz="4" w:space="0" w:color="auto"/>
            </w:tcBorders>
            <w:hideMark/>
          </w:tcPr>
          <w:p w14:paraId="525D71D0" w14:textId="77777777" w:rsidR="00947E3E" w:rsidRPr="004F2684" w:rsidRDefault="00947E3E">
            <w:pPr>
              <w:rPr>
                <w:rStyle w:val="Strong"/>
              </w:rPr>
            </w:pPr>
            <w:r w:rsidRPr="004F2684">
              <w:rPr>
                <w:rStyle w:val="Strong"/>
              </w:rPr>
              <w:t>Informal system</w:t>
            </w:r>
          </w:p>
        </w:tc>
        <w:tc>
          <w:tcPr>
            <w:tcW w:w="2146" w:type="pct"/>
            <w:tcBorders>
              <w:top w:val="single" w:sz="4" w:space="0" w:color="auto"/>
              <w:left w:val="single" w:sz="4" w:space="0" w:color="auto"/>
              <w:bottom w:val="single" w:sz="4" w:space="0" w:color="auto"/>
              <w:right w:val="single" w:sz="4" w:space="0" w:color="auto"/>
            </w:tcBorders>
            <w:hideMark/>
          </w:tcPr>
          <w:p w14:paraId="65E428BA" w14:textId="77777777" w:rsidR="00947E3E" w:rsidRPr="00081E82" w:rsidRDefault="00947E3E">
            <w:pPr>
              <w:rPr>
                <w:rStyle w:val="Strong"/>
                <w:b w:val="0"/>
                <w:bCs w:val="0"/>
              </w:rPr>
            </w:pPr>
            <w:r w:rsidRPr="00081E82">
              <w:rPr>
                <w:rStyle w:val="Strong"/>
                <w:b w:val="0"/>
                <w:bCs w:val="0"/>
              </w:rPr>
              <w:t>Current system provides flexibility but creates significant uncertainty about timing and outcome, is costly for businesses due to time delay, less transparent and information requirements can be unclear.</w:t>
            </w:r>
          </w:p>
        </w:tc>
        <w:tc>
          <w:tcPr>
            <w:tcW w:w="2146" w:type="pct"/>
            <w:gridSpan w:val="2"/>
            <w:tcBorders>
              <w:top w:val="single" w:sz="4" w:space="0" w:color="auto"/>
              <w:left w:val="single" w:sz="4" w:space="0" w:color="auto"/>
              <w:bottom w:val="single" w:sz="4" w:space="0" w:color="auto"/>
              <w:right w:val="single" w:sz="4" w:space="0" w:color="auto"/>
            </w:tcBorders>
            <w:hideMark/>
          </w:tcPr>
          <w:p w14:paraId="7CFB648C" w14:textId="77777777" w:rsidR="00947E3E" w:rsidRPr="00081E82" w:rsidRDefault="00947E3E">
            <w:pPr>
              <w:rPr>
                <w:rStyle w:val="Strong"/>
                <w:b w:val="0"/>
                <w:bCs w:val="0"/>
              </w:rPr>
            </w:pPr>
            <w:r w:rsidRPr="00081E82">
              <w:rPr>
                <w:rStyle w:val="Strong"/>
                <w:b w:val="0"/>
                <w:bCs w:val="0"/>
              </w:rPr>
              <w:t>Clear timeframes and performance metrics to hold the ACCC accountable.</w:t>
            </w:r>
          </w:p>
          <w:p w14:paraId="534D4E29" w14:textId="77777777" w:rsidR="00947E3E" w:rsidRPr="00081E82" w:rsidRDefault="00947E3E">
            <w:pPr>
              <w:rPr>
                <w:rStyle w:val="Strong"/>
                <w:b w:val="0"/>
                <w:bCs w:val="0"/>
              </w:rPr>
            </w:pPr>
            <w:r w:rsidRPr="00081E82">
              <w:rPr>
                <w:rStyle w:val="Strong"/>
                <w:b w:val="0"/>
                <w:bCs w:val="0"/>
              </w:rPr>
              <w:t>Information requirements to ensure the ACCC is provided with information to facilitate the efficient and effective review of mergers.</w:t>
            </w:r>
          </w:p>
        </w:tc>
      </w:tr>
      <w:tr w:rsidR="00947E3E" w:rsidRPr="00081E82" w14:paraId="63A06BC0" w14:textId="77777777" w:rsidTr="00F70DBF">
        <w:trPr>
          <w:jc w:val="center"/>
        </w:trPr>
        <w:tc>
          <w:tcPr>
            <w:tcW w:w="708" w:type="pct"/>
            <w:tcBorders>
              <w:top w:val="single" w:sz="4" w:space="0" w:color="auto"/>
              <w:left w:val="single" w:sz="4" w:space="0" w:color="auto"/>
              <w:bottom w:val="single" w:sz="4" w:space="0" w:color="auto"/>
              <w:right w:val="single" w:sz="4" w:space="0" w:color="auto"/>
            </w:tcBorders>
            <w:hideMark/>
          </w:tcPr>
          <w:p w14:paraId="728C599E" w14:textId="77777777" w:rsidR="00947E3E" w:rsidRPr="004F2684" w:rsidRDefault="00947E3E">
            <w:pPr>
              <w:rPr>
                <w:rStyle w:val="Strong"/>
              </w:rPr>
            </w:pPr>
            <w:r w:rsidRPr="004F2684">
              <w:rPr>
                <w:rStyle w:val="Strong"/>
              </w:rPr>
              <w:t>Voluntary notification</w:t>
            </w:r>
          </w:p>
        </w:tc>
        <w:tc>
          <w:tcPr>
            <w:tcW w:w="2146" w:type="pct"/>
            <w:tcBorders>
              <w:top w:val="single" w:sz="4" w:space="0" w:color="auto"/>
              <w:left w:val="single" w:sz="4" w:space="0" w:color="auto"/>
              <w:bottom w:val="single" w:sz="4" w:space="0" w:color="auto"/>
              <w:right w:val="single" w:sz="4" w:space="0" w:color="auto"/>
            </w:tcBorders>
            <w:hideMark/>
          </w:tcPr>
          <w:p w14:paraId="0D56EE60" w14:textId="77777777" w:rsidR="00947E3E" w:rsidRPr="00081E82" w:rsidRDefault="00947E3E">
            <w:pPr>
              <w:rPr>
                <w:rStyle w:val="Strong"/>
                <w:b w:val="0"/>
                <w:bCs w:val="0"/>
              </w:rPr>
            </w:pPr>
            <w:r w:rsidRPr="00081E82">
              <w:rPr>
                <w:rStyle w:val="Strong"/>
                <w:b w:val="0"/>
                <w:bCs w:val="0"/>
              </w:rPr>
              <w:t>Allows self-assessment but gives rise to more uncertainty than overseas systems that have clear mandatory notification requirements; risk is that the ACCC is not notified of potentially anti-competitive mergers</w:t>
            </w:r>
          </w:p>
        </w:tc>
        <w:tc>
          <w:tcPr>
            <w:tcW w:w="2146" w:type="pct"/>
            <w:gridSpan w:val="2"/>
            <w:tcBorders>
              <w:top w:val="single" w:sz="4" w:space="0" w:color="auto"/>
              <w:left w:val="single" w:sz="4" w:space="0" w:color="auto"/>
              <w:bottom w:val="single" w:sz="4" w:space="0" w:color="auto"/>
              <w:right w:val="single" w:sz="4" w:space="0" w:color="auto"/>
            </w:tcBorders>
            <w:hideMark/>
          </w:tcPr>
          <w:p w14:paraId="5B03829C" w14:textId="77777777" w:rsidR="00947E3E" w:rsidRPr="00081E82" w:rsidRDefault="00947E3E">
            <w:pPr>
              <w:rPr>
                <w:rStyle w:val="Strong"/>
                <w:b w:val="0"/>
                <w:bCs w:val="0"/>
              </w:rPr>
            </w:pPr>
            <w:r w:rsidRPr="00081E82">
              <w:rPr>
                <w:rStyle w:val="Strong"/>
                <w:b w:val="0"/>
                <w:bCs w:val="0"/>
              </w:rPr>
              <w:t>Unclear that it would address concerns about non-notification of mergers.</w:t>
            </w:r>
          </w:p>
          <w:p w14:paraId="30B67B2E" w14:textId="77777777" w:rsidR="00947E3E" w:rsidRPr="00081E82" w:rsidRDefault="00947E3E">
            <w:pPr>
              <w:rPr>
                <w:rStyle w:val="Strong"/>
                <w:b w:val="0"/>
                <w:bCs w:val="0"/>
              </w:rPr>
            </w:pPr>
            <w:r w:rsidRPr="00081E82">
              <w:rPr>
                <w:rStyle w:val="Strong"/>
                <w:b w:val="0"/>
                <w:bCs w:val="0"/>
              </w:rPr>
              <w:t>Merger parties would have minimal incentives to cooperate in a judicial enforcement system.</w:t>
            </w:r>
          </w:p>
        </w:tc>
      </w:tr>
      <w:tr w:rsidR="00947E3E" w:rsidRPr="00081E82" w14:paraId="136D48F5" w14:textId="77777777" w:rsidTr="00F70DBF">
        <w:trPr>
          <w:jc w:val="center"/>
        </w:trPr>
        <w:tc>
          <w:tcPr>
            <w:tcW w:w="708" w:type="pct"/>
            <w:tcBorders>
              <w:top w:val="single" w:sz="4" w:space="0" w:color="auto"/>
              <w:left w:val="single" w:sz="4" w:space="0" w:color="auto"/>
              <w:bottom w:val="single" w:sz="4" w:space="0" w:color="auto"/>
              <w:right w:val="single" w:sz="4" w:space="0" w:color="auto"/>
            </w:tcBorders>
          </w:tcPr>
          <w:p w14:paraId="1C528F00" w14:textId="77777777" w:rsidR="00947E3E" w:rsidRPr="004F2684" w:rsidRDefault="00947E3E">
            <w:pPr>
              <w:rPr>
                <w:rStyle w:val="Strong"/>
              </w:rPr>
            </w:pPr>
            <w:r w:rsidRPr="004F2684">
              <w:rPr>
                <w:rStyle w:val="Strong"/>
              </w:rPr>
              <w:t>Call-in power</w:t>
            </w:r>
          </w:p>
        </w:tc>
        <w:tc>
          <w:tcPr>
            <w:tcW w:w="2146" w:type="pct"/>
            <w:tcBorders>
              <w:top w:val="single" w:sz="4" w:space="0" w:color="auto"/>
              <w:left w:val="single" w:sz="4" w:space="0" w:color="auto"/>
              <w:bottom w:val="single" w:sz="4" w:space="0" w:color="auto"/>
              <w:right w:val="single" w:sz="4" w:space="0" w:color="auto"/>
            </w:tcBorders>
          </w:tcPr>
          <w:p w14:paraId="2644BC35" w14:textId="77777777" w:rsidR="00947E3E" w:rsidRPr="00081E82" w:rsidRDefault="00947E3E">
            <w:pPr>
              <w:rPr>
                <w:rStyle w:val="Strong"/>
                <w:b w:val="0"/>
                <w:bCs w:val="0"/>
              </w:rPr>
            </w:pPr>
            <w:r w:rsidRPr="00081E82">
              <w:rPr>
                <w:rStyle w:val="Strong"/>
                <w:b w:val="0"/>
                <w:bCs w:val="0"/>
              </w:rPr>
              <w:t>A call-in power would create uncertainty for businesses; the current system allows the ACCC to investigate any merger in Australia; smaller transactions or mergers in local markets may still raise competition concerns.</w:t>
            </w:r>
          </w:p>
        </w:tc>
        <w:tc>
          <w:tcPr>
            <w:tcW w:w="2146" w:type="pct"/>
            <w:gridSpan w:val="2"/>
            <w:tcBorders>
              <w:top w:val="single" w:sz="4" w:space="0" w:color="auto"/>
              <w:left w:val="single" w:sz="4" w:space="0" w:color="auto"/>
              <w:bottom w:val="single" w:sz="4" w:space="0" w:color="auto"/>
              <w:right w:val="single" w:sz="4" w:space="0" w:color="auto"/>
            </w:tcBorders>
          </w:tcPr>
          <w:p w14:paraId="35F5027D" w14:textId="77777777" w:rsidR="00947E3E" w:rsidRPr="00081E82" w:rsidRDefault="00947E3E">
            <w:pPr>
              <w:rPr>
                <w:rStyle w:val="Strong"/>
                <w:b w:val="0"/>
                <w:bCs w:val="0"/>
              </w:rPr>
            </w:pPr>
            <w:r w:rsidRPr="00081E82">
              <w:rPr>
                <w:rStyle w:val="Strong"/>
                <w:b w:val="0"/>
                <w:bCs w:val="0"/>
              </w:rPr>
              <w:t>Targeted notification thresholds to provide clarity for businesses and target mergers most likely to raise risks to competition.</w:t>
            </w:r>
          </w:p>
        </w:tc>
      </w:tr>
      <w:tr w:rsidR="00947E3E" w:rsidRPr="00081E82" w14:paraId="7BB35F1C" w14:textId="77777777" w:rsidTr="00F70DBF">
        <w:trPr>
          <w:jc w:val="center"/>
        </w:trPr>
        <w:tc>
          <w:tcPr>
            <w:tcW w:w="708" w:type="pct"/>
            <w:tcBorders>
              <w:top w:val="single" w:sz="4" w:space="0" w:color="auto"/>
              <w:left w:val="single" w:sz="4" w:space="0" w:color="auto"/>
              <w:bottom w:val="single" w:sz="4" w:space="0" w:color="auto"/>
              <w:right w:val="single" w:sz="4" w:space="0" w:color="auto"/>
            </w:tcBorders>
            <w:hideMark/>
          </w:tcPr>
          <w:p w14:paraId="6294A6C9" w14:textId="77777777" w:rsidR="00947E3E" w:rsidRPr="004F2684" w:rsidRDefault="00947E3E">
            <w:pPr>
              <w:rPr>
                <w:rStyle w:val="Strong"/>
              </w:rPr>
            </w:pPr>
            <w:r w:rsidRPr="004F2684">
              <w:rPr>
                <w:rStyle w:val="Strong"/>
              </w:rPr>
              <w:t>Section 50 and declarations in the Federal Court</w:t>
            </w:r>
          </w:p>
        </w:tc>
        <w:tc>
          <w:tcPr>
            <w:tcW w:w="2146" w:type="pct"/>
            <w:tcBorders>
              <w:top w:val="single" w:sz="4" w:space="0" w:color="auto"/>
              <w:left w:val="single" w:sz="4" w:space="0" w:color="auto"/>
              <w:bottom w:val="single" w:sz="4" w:space="0" w:color="auto"/>
              <w:right w:val="single" w:sz="4" w:space="0" w:color="auto"/>
            </w:tcBorders>
            <w:hideMark/>
          </w:tcPr>
          <w:p w14:paraId="7BCF474E" w14:textId="77777777" w:rsidR="00947E3E" w:rsidRPr="00081E82" w:rsidRDefault="00947E3E">
            <w:pPr>
              <w:rPr>
                <w:rStyle w:val="Strong"/>
                <w:b w:val="0"/>
                <w:bCs w:val="0"/>
              </w:rPr>
            </w:pPr>
            <w:r w:rsidRPr="00081E82">
              <w:rPr>
                <w:rStyle w:val="Strong"/>
                <w:b w:val="0"/>
                <w:bCs w:val="0"/>
              </w:rPr>
              <w:t>Multiple pathways facilitate strategic behaviour.</w:t>
            </w:r>
          </w:p>
        </w:tc>
        <w:tc>
          <w:tcPr>
            <w:tcW w:w="2146" w:type="pct"/>
            <w:gridSpan w:val="2"/>
            <w:tcBorders>
              <w:top w:val="single" w:sz="4" w:space="0" w:color="auto"/>
              <w:left w:val="single" w:sz="4" w:space="0" w:color="auto"/>
              <w:bottom w:val="single" w:sz="4" w:space="0" w:color="auto"/>
              <w:right w:val="single" w:sz="4" w:space="0" w:color="auto"/>
            </w:tcBorders>
            <w:hideMark/>
          </w:tcPr>
          <w:p w14:paraId="59EF76D1" w14:textId="77777777" w:rsidR="00947E3E" w:rsidRPr="00081E82" w:rsidRDefault="00947E3E">
            <w:pPr>
              <w:rPr>
                <w:rStyle w:val="Strong"/>
                <w:b w:val="0"/>
                <w:bCs w:val="0"/>
              </w:rPr>
            </w:pPr>
            <w:r w:rsidRPr="00081E82">
              <w:rPr>
                <w:rStyle w:val="Strong"/>
                <w:b w:val="0"/>
                <w:bCs w:val="0"/>
              </w:rPr>
              <w:t>Streamline into a single simpler mandatory and suspensory administrative system.</w:t>
            </w:r>
          </w:p>
          <w:p w14:paraId="52AE16F4" w14:textId="77777777" w:rsidR="00947E3E" w:rsidRPr="00081E82" w:rsidRDefault="00947E3E">
            <w:pPr>
              <w:rPr>
                <w:rStyle w:val="Strong"/>
                <w:b w:val="0"/>
                <w:bCs w:val="0"/>
              </w:rPr>
            </w:pPr>
            <w:r w:rsidRPr="00081E82">
              <w:rPr>
                <w:rStyle w:val="Strong"/>
                <w:b w:val="0"/>
                <w:bCs w:val="0"/>
              </w:rPr>
              <w:t>Retain the substantial lessening of competition test, incorporated into a stronger administrative system.</w:t>
            </w:r>
          </w:p>
        </w:tc>
      </w:tr>
      <w:tr w:rsidR="00947E3E" w:rsidRPr="00081E82" w14:paraId="6C37B030" w14:textId="77777777" w:rsidTr="00F70DB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8E6DF" w:themeFill="accent2" w:themeFillTint="33"/>
            <w:hideMark/>
          </w:tcPr>
          <w:p w14:paraId="2B54B886" w14:textId="77777777" w:rsidR="00947E3E" w:rsidRPr="004F2684" w:rsidRDefault="00947E3E">
            <w:pPr>
              <w:pStyle w:val="TableSecondHeading"/>
              <w:jc w:val="center"/>
              <w:rPr>
                <w:rStyle w:val="Strong"/>
                <w:b/>
              </w:rPr>
            </w:pPr>
            <w:r w:rsidRPr="004F2684">
              <w:rPr>
                <w:rStyle w:val="Strong"/>
                <w:b/>
                <w:color w:val="auto"/>
              </w:rPr>
              <w:t>Assessment</w:t>
            </w:r>
          </w:p>
        </w:tc>
      </w:tr>
      <w:tr w:rsidR="00947E3E" w:rsidRPr="00081E82" w14:paraId="2007364F" w14:textId="77777777" w:rsidTr="00F70DBF">
        <w:trPr>
          <w:jc w:val="center"/>
        </w:trPr>
        <w:tc>
          <w:tcPr>
            <w:tcW w:w="708" w:type="pct"/>
            <w:tcBorders>
              <w:top w:val="single" w:sz="4" w:space="0" w:color="auto"/>
              <w:left w:val="single" w:sz="4" w:space="0" w:color="auto"/>
              <w:bottom w:val="single" w:sz="4" w:space="0" w:color="auto"/>
              <w:right w:val="single" w:sz="4" w:space="0" w:color="auto"/>
            </w:tcBorders>
            <w:hideMark/>
          </w:tcPr>
          <w:p w14:paraId="2F6F1487" w14:textId="77777777" w:rsidR="00947E3E" w:rsidRPr="004F2684" w:rsidRDefault="00947E3E">
            <w:pPr>
              <w:rPr>
                <w:rStyle w:val="Strong"/>
              </w:rPr>
            </w:pPr>
            <w:r w:rsidRPr="004F2684">
              <w:rPr>
                <w:rStyle w:val="Strong"/>
              </w:rPr>
              <w:t>Decision-maker must not grant approval unless satisfied the merger is not likely to substantially lessen competition</w:t>
            </w:r>
          </w:p>
        </w:tc>
        <w:tc>
          <w:tcPr>
            <w:tcW w:w="2146" w:type="pct"/>
            <w:tcBorders>
              <w:top w:val="single" w:sz="4" w:space="0" w:color="auto"/>
              <w:left w:val="single" w:sz="4" w:space="0" w:color="auto"/>
              <w:bottom w:val="single" w:sz="4" w:space="0" w:color="auto"/>
              <w:right w:val="single" w:sz="4" w:space="0" w:color="auto"/>
            </w:tcBorders>
            <w:hideMark/>
          </w:tcPr>
          <w:p w14:paraId="537358E2" w14:textId="77777777" w:rsidR="00947E3E" w:rsidRPr="00081E82" w:rsidRDefault="00947E3E">
            <w:pPr>
              <w:rPr>
                <w:rStyle w:val="Strong"/>
                <w:b w:val="0"/>
                <w:bCs w:val="0"/>
              </w:rPr>
            </w:pPr>
            <w:r w:rsidRPr="00081E82">
              <w:rPr>
                <w:rStyle w:val="Strong"/>
                <w:b w:val="0"/>
                <w:bCs w:val="0"/>
              </w:rPr>
              <w:t>Merger parties would have the incentive to promptly provide relevant information to the ACCC.</w:t>
            </w:r>
          </w:p>
          <w:p w14:paraId="0B25A7C7" w14:textId="77777777" w:rsidR="00947E3E" w:rsidRPr="00081E82" w:rsidRDefault="00947E3E">
            <w:pPr>
              <w:rPr>
                <w:rStyle w:val="Strong"/>
                <w:b w:val="0"/>
                <w:bCs w:val="0"/>
              </w:rPr>
            </w:pPr>
            <w:r w:rsidRPr="00081E82">
              <w:rPr>
                <w:rStyle w:val="Strong"/>
                <w:b w:val="0"/>
                <w:bCs w:val="0"/>
              </w:rPr>
              <w:t>However, this test would substantially increase the burden of proof on merger parties, even mergers that are unlikely to pose risks to the community, imposing additional risks and costs on all mergers.</w:t>
            </w:r>
          </w:p>
          <w:p w14:paraId="3EA23052" w14:textId="77777777" w:rsidR="00947E3E" w:rsidRPr="00081E82" w:rsidRDefault="00947E3E">
            <w:pPr>
              <w:rPr>
                <w:rStyle w:val="Strong"/>
                <w:b w:val="0"/>
                <w:bCs w:val="0"/>
              </w:rPr>
            </w:pPr>
            <w:r w:rsidRPr="00081E82">
              <w:rPr>
                <w:rStyle w:val="Strong"/>
                <w:b w:val="0"/>
                <w:bCs w:val="0"/>
              </w:rPr>
              <w:t xml:space="preserve">Disproving the existence of a substantial lessening of competition may be difficult and impractical for businesses to satisfy, particularly those in emerging markets. </w:t>
            </w:r>
          </w:p>
        </w:tc>
        <w:tc>
          <w:tcPr>
            <w:tcW w:w="2146" w:type="pct"/>
            <w:gridSpan w:val="2"/>
            <w:tcBorders>
              <w:top w:val="single" w:sz="4" w:space="0" w:color="auto"/>
              <w:left w:val="single" w:sz="4" w:space="0" w:color="auto"/>
              <w:bottom w:val="single" w:sz="4" w:space="0" w:color="auto"/>
              <w:right w:val="single" w:sz="4" w:space="0" w:color="auto"/>
            </w:tcBorders>
            <w:hideMark/>
          </w:tcPr>
          <w:p w14:paraId="6F248803" w14:textId="74EA0100" w:rsidR="00947E3E" w:rsidRPr="00081E82" w:rsidRDefault="00947E3E">
            <w:pPr>
              <w:rPr>
                <w:rStyle w:val="Strong"/>
                <w:rFonts w:eastAsiaTheme="minorHAnsi"/>
                <w:b w:val="0"/>
                <w:bCs w:val="0"/>
              </w:rPr>
            </w:pPr>
            <w:r w:rsidRPr="00081E82">
              <w:rPr>
                <w:rStyle w:val="Strong"/>
                <w:b w:val="0"/>
                <w:bCs w:val="0"/>
              </w:rPr>
              <w:t>The ACCC will need to</w:t>
            </w:r>
            <w:r w:rsidR="001A27A7">
              <w:rPr>
                <w:rStyle w:val="Strong"/>
                <w:b w:val="0"/>
                <w:bCs w:val="0"/>
              </w:rPr>
              <w:t xml:space="preserve"> be satisfied</w:t>
            </w:r>
            <w:r w:rsidR="000729AF">
              <w:rPr>
                <w:rStyle w:val="Strong"/>
                <w:b w:val="0"/>
                <w:bCs w:val="0"/>
              </w:rPr>
              <w:t xml:space="preserve"> that </w:t>
            </w:r>
            <w:r w:rsidRPr="00081E82">
              <w:rPr>
                <w:rStyle w:val="Strong"/>
                <w:b w:val="0"/>
                <w:bCs w:val="0"/>
              </w:rPr>
              <w:t xml:space="preserve">certain facts exist before disallowing the merger. </w:t>
            </w:r>
          </w:p>
          <w:p w14:paraId="6782CD34" w14:textId="77777777" w:rsidR="00947E3E" w:rsidRPr="00081E82" w:rsidRDefault="00947E3E">
            <w:pPr>
              <w:rPr>
                <w:rStyle w:val="Strong"/>
                <w:b w:val="0"/>
                <w:bCs w:val="0"/>
              </w:rPr>
            </w:pPr>
          </w:p>
        </w:tc>
      </w:tr>
      <w:tr w:rsidR="00947E3E" w:rsidRPr="00081E82" w14:paraId="5C1A9FD6" w14:textId="77777777" w:rsidTr="00F70DB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8E6DF" w:themeFill="accent2" w:themeFillTint="33"/>
            <w:hideMark/>
          </w:tcPr>
          <w:p w14:paraId="4FBB3630" w14:textId="77777777" w:rsidR="00947E3E" w:rsidRPr="004F2684" w:rsidRDefault="00947E3E">
            <w:pPr>
              <w:pStyle w:val="TableSecondHeading"/>
              <w:jc w:val="center"/>
              <w:rPr>
                <w:rStyle w:val="Strong"/>
                <w:b/>
              </w:rPr>
            </w:pPr>
            <w:r w:rsidRPr="004F2684">
              <w:rPr>
                <w:rStyle w:val="Strong"/>
                <w:b/>
                <w:color w:val="auto"/>
              </w:rPr>
              <w:t>Review</w:t>
            </w:r>
          </w:p>
        </w:tc>
      </w:tr>
      <w:tr w:rsidR="00947E3E" w:rsidRPr="00081E82" w14:paraId="45A3ACB8" w14:textId="77777777" w:rsidTr="00F70DBF">
        <w:trPr>
          <w:jc w:val="center"/>
        </w:trPr>
        <w:tc>
          <w:tcPr>
            <w:tcW w:w="708" w:type="pct"/>
            <w:tcBorders>
              <w:top w:val="single" w:sz="4" w:space="0" w:color="auto"/>
              <w:left w:val="single" w:sz="4" w:space="0" w:color="auto"/>
              <w:bottom w:val="single" w:sz="4" w:space="0" w:color="auto"/>
              <w:right w:val="single" w:sz="4" w:space="0" w:color="auto"/>
            </w:tcBorders>
            <w:hideMark/>
          </w:tcPr>
          <w:p w14:paraId="0472AAC4" w14:textId="77777777" w:rsidR="00947E3E" w:rsidRPr="004F2684" w:rsidRDefault="00947E3E">
            <w:pPr>
              <w:rPr>
                <w:rStyle w:val="Strong"/>
              </w:rPr>
            </w:pPr>
            <w:r w:rsidRPr="004F2684">
              <w:rPr>
                <w:rStyle w:val="Strong"/>
              </w:rPr>
              <w:t>Judicial enforcement</w:t>
            </w:r>
          </w:p>
        </w:tc>
        <w:tc>
          <w:tcPr>
            <w:tcW w:w="2146" w:type="pct"/>
            <w:tcBorders>
              <w:top w:val="single" w:sz="4" w:space="0" w:color="auto"/>
              <w:left w:val="single" w:sz="4" w:space="0" w:color="auto"/>
              <w:bottom w:val="single" w:sz="4" w:space="0" w:color="auto"/>
              <w:right w:val="single" w:sz="4" w:space="0" w:color="auto"/>
            </w:tcBorders>
            <w:hideMark/>
          </w:tcPr>
          <w:p w14:paraId="3E0DC266" w14:textId="77777777" w:rsidR="00947E3E" w:rsidRPr="00081E82" w:rsidRDefault="00947E3E">
            <w:pPr>
              <w:keepNext/>
              <w:rPr>
                <w:rStyle w:val="Strong"/>
                <w:b w:val="0"/>
                <w:bCs w:val="0"/>
              </w:rPr>
            </w:pPr>
            <w:r w:rsidRPr="00081E82">
              <w:rPr>
                <w:rStyle w:val="Strong"/>
                <w:b w:val="0"/>
                <w:bCs w:val="0"/>
              </w:rPr>
              <w:t>Federal Court proceedings have significant cost and timing implications for merger parties, third parties and the ACCC.</w:t>
            </w:r>
          </w:p>
          <w:p w14:paraId="30E78871" w14:textId="77777777" w:rsidR="00947E3E" w:rsidRPr="00081E82" w:rsidRDefault="00947E3E">
            <w:pPr>
              <w:keepNext/>
              <w:rPr>
                <w:rStyle w:val="Strong"/>
                <w:b w:val="0"/>
                <w:bCs w:val="0"/>
              </w:rPr>
            </w:pPr>
            <w:r w:rsidRPr="00081E82">
              <w:rPr>
                <w:rStyle w:val="Strong"/>
                <w:b w:val="0"/>
                <w:bCs w:val="0"/>
              </w:rPr>
              <w:t>Less transparent than an administrative system with less precedent available.</w:t>
            </w:r>
          </w:p>
          <w:p w14:paraId="3D6A122B" w14:textId="77777777" w:rsidR="00947E3E" w:rsidRPr="00081E82" w:rsidRDefault="00947E3E">
            <w:pPr>
              <w:keepNext/>
              <w:rPr>
                <w:rStyle w:val="Strong"/>
                <w:b w:val="0"/>
                <w:bCs w:val="0"/>
              </w:rPr>
            </w:pPr>
            <w:r w:rsidRPr="00081E82">
              <w:rPr>
                <w:rStyle w:val="Strong"/>
                <w:b w:val="0"/>
                <w:bCs w:val="0"/>
              </w:rPr>
              <w:t>Third parties may be affected by a merger but are currently deterred from participation due to reluctance to appear in court, fear of retribution, or cost.</w:t>
            </w:r>
          </w:p>
        </w:tc>
        <w:tc>
          <w:tcPr>
            <w:tcW w:w="2146" w:type="pct"/>
            <w:gridSpan w:val="2"/>
            <w:tcBorders>
              <w:top w:val="single" w:sz="4" w:space="0" w:color="auto"/>
              <w:left w:val="single" w:sz="4" w:space="0" w:color="auto"/>
              <w:bottom w:val="single" w:sz="4" w:space="0" w:color="auto"/>
              <w:right w:val="single" w:sz="4" w:space="0" w:color="auto"/>
            </w:tcBorders>
            <w:hideMark/>
          </w:tcPr>
          <w:p w14:paraId="2947E186" w14:textId="77777777" w:rsidR="00947E3E" w:rsidRPr="00081E82" w:rsidRDefault="00947E3E">
            <w:pPr>
              <w:keepNext/>
              <w:rPr>
                <w:rStyle w:val="Strong"/>
                <w:b w:val="0"/>
                <w:bCs w:val="0"/>
              </w:rPr>
            </w:pPr>
            <w:r w:rsidRPr="00081E82">
              <w:rPr>
                <w:rStyle w:val="Strong"/>
                <w:b w:val="0"/>
                <w:bCs w:val="0"/>
              </w:rPr>
              <w:t>Replace the current ad hoc approach with a stronger, simpler, more efficient, risk-based and transparent administrative system that enables market participants, such as customers and small businesses, to be heard in merger reviews.</w:t>
            </w:r>
          </w:p>
        </w:tc>
      </w:tr>
      <w:tr w:rsidR="00947E3E" w:rsidRPr="00081E82" w14:paraId="14BD37D6" w14:textId="77777777" w:rsidTr="00F70DBF">
        <w:trPr>
          <w:jc w:val="center"/>
        </w:trPr>
        <w:tc>
          <w:tcPr>
            <w:tcW w:w="708" w:type="pct"/>
            <w:tcBorders>
              <w:top w:val="single" w:sz="4" w:space="0" w:color="auto"/>
              <w:left w:val="single" w:sz="4" w:space="0" w:color="auto"/>
              <w:bottom w:val="single" w:sz="4" w:space="0" w:color="auto"/>
              <w:right w:val="single" w:sz="4" w:space="0" w:color="auto"/>
            </w:tcBorders>
            <w:hideMark/>
          </w:tcPr>
          <w:p w14:paraId="3325DCEC" w14:textId="77777777" w:rsidR="00947E3E" w:rsidRPr="004F2684" w:rsidRDefault="00947E3E">
            <w:pPr>
              <w:rPr>
                <w:rStyle w:val="Strong"/>
              </w:rPr>
            </w:pPr>
            <w:r w:rsidRPr="004F2684">
              <w:rPr>
                <w:rStyle w:val="Strong"/>
              </w:rPr>
              <w:t>Full merits review</w:t>
            </w:r>
          </w:p>
        </w:tc>
        <w:tc>
          <w:tcPr>
            <w:tcW w:w="2146" w:type="pct"/>
            <w:tcBorders>
              <w:top w:val="single" w:sz="4" w:space="0" w:color="auto"/>
              <w:left w:val="single" w:sz="4" w:space="0" w:color="auto"/>
              <w:bottom w:val="single" w:sz="4" w:space="0" w:color="auto"/>
              <w:right w:val="single" w:sz="4" w:space="0" w:color="auto"/>
            </w:tcBorders>
            <w:hideMark/>
          </w:tcPr>
          <w:p w14:paraId="4E99078D" w14:textId="77777777" w:rsidR="00947E3E" w:rsidRPr="00081E82" w:rsidRDefault="00947E3E">
            <w:pPr>
              <w:rPr>
                <w:rStyle w:val="Strong"/>
                <w:b w:val="0"/>
                <w:bCs w:val="0"/>
              </w:rPr>
            </w:pPr>
            <w:r w:rsidRPr="00081E82">
              <w:rPr>
                <w:rStyle w:val="Strong"/>
                <w:b w:val="0"/>
                <w:bCs w:val="0"/>
              </w:rPr>
              <w:t>It is important to incentivise parties to provide information upfront to the ACCC.</w:t>
            </w:r>
          </w:p>
          <w:p w14:paraId="5FC38071" w14:textId="77777777" w:rsidR="00947E3E" w:rsidRPr="00081E82" w:rsidRDefault="00947E3E">
            <w:pPr>
              <w:rPr>
                <w:rStyle w:val="Strong"/>
                <w:b w:val="0"/>
                <w:bCs w:val="0"/>
              </w:rPr>
            </w:pPr>
            <w:r w:rsidRPr="00081E82">
              <w:rPr>
                <w:rStyle w:val="Strong"/>
                <w:b w:val="0"/>
                <w:bCs w:val="0"/>
              </w:rPr>
              <w:t>Not limiting reviews of ACCC decisions to the investigatory record that was before the ACCC would ensure quality and robust regulatory processes.</w:t>
            </w:r>
          </w:p>
          <w:p w14:paraId="6A234F2E" w14:textId="77777777" w:rsidR="00947E3E" w:rsidRPr="00081E82" w:rsidRDefault="00947E3E">
            <w:pPr>
              <w:rPr>
                <w:rStyle w:val="Strong"/>
                <w:b w:val="0"/>
                <w:bCs w:val="0"/>
              </w:rPr>
            </w:pPr>
            <w:r w:rsidRPr="00081E82">
              <w:rPr>
                <w:rStyle w:val="Strong"/>
                <w:b w:val="0"/>
                <w:bCs w:val="0"/>
              </w:rPr>
              <w:t>Full merits review would take longer than limited merits review and mergers are time-sensitive.</w:t>
            </w:r>
          </w:p>
        </w:tc>
        <w:tc>
          <w:tcPr>
            <w:tcW w:w="2146" w:type="pct"/>
            <w:gridSpan w:val="2"/>
            <w:tcBorders>
              <w:top w:val="single" w:sz="4" w:space="0" w:color="auto"/>
              <w:left w:val="single" w:sz="4" w:space="0" w:color="auto"/>
              <w:bottom w:val="single" w:sz="4" w:space="0" w:color="auto"/>
              <w:right w:val="single" w:sz="4" w:space="0" w:color="auto"/>
            </w:tcBorders>
            <w:hideMark/>
          </w:tcPr>
          <w:p w14:paraId="67A199A2" w14:textId="77777777" w:rsidR="00947E3E" w:rsidRPr="00081E82" w:rsidRDefault="00947E3E">
            <w:pPr>
              <w:rPr>
                <w:rStyle w:val="Strong"/>
                <w:b w:val="0"/>
                <w:bCs w:val="0"/>
              </w:rPr>
            </w:pPr>
            <w:r w:rsidRPr="00081E82">
              <w:rPr>
                <w:rStyle w:val="Strong"/>
                <w:b w:val="0"/>
                <w:bCs w:val="0"/>
              </w:rPr>
              <w:t xml:space="preserve">The Tribunal’s review of ACCC determinations is limited as it will be based on the material before the ACCC. However, the Tribunal may seek clarifying information, and the Tribunal may allow the parties to present new information or evidence which was not in existence at the time of the ACCC’s determination. </w:t>
            </w:r>
          </w:p>
          <w:p w14:paraId="3D8FDAB5" w14:textId="77777777" w:rsidR="00947E3E" w:rsidRPr="00081E82" w:rsidRDefault="00947E3E">
            <w:pPr>
              <w:rPr>
                <w:rStyle w:val="Strong"/>
                <w:b w:val="0"/>
                <w:bCs w:val="0"/>
              </w:rPr>
            </w:pPr>
            <w:r w:rsidRPr="00081E82">
              <w:rPr>
                <w:rStyle w:val="Strong"/>
                <w:b w:val="0"/>
                <w:bCs w:val="0"/>
              </w:rPr>
              <w:t>A fast-track review by the Tribunal may alternatively be sought, based only on the material before the ACCC. With a fast-track review, the Tribunal would be bound by the findings of fact made by the ACCC.</w:t>
            </w:r>
          </w:p>
          <w:p w14:paraId="52C61916" w14:textId="77777777" w:rsidR="00947E3E" w:rsidRPr="00081E82" w:rsidRDefault="00947E3E">
            <w:pPr>
              <w:rPr>
                <w:rStyle w:val="Strong"/>
                <w:b w:val="0"/>
                <w:bCs w:val="0"/>
              </w:rPr>
            </w:pPr>
            <w:r w:rsidRPr="00081E82">
              <w:rPr>
                <w:rStyle w:val="Strong"/>
                <w:b w:val="0"/>
                <w:bCs w:val="0"/>
              </w:rPr>
              <w:t xml:space="preserve">Limited merits review will allow for reconsideration of the ACCC’s determination, subjecting it to scrutiny and review. Limited merits review, rather than full merits review, appropriately balances procedural fairness by allowing for a change of circumstances to be taken into account and ensures merger parties have the incentive to place relevant information before the ACCC. This mitigates the risk of strategic behaviour. Limited merits review also, importantly in a merger situation, reduces the time required to review an ACCC determination. </w:t>
            </w:r>
          </w:p>
        </w:tc>
      </w:tr>
    </w:tbl>
    <w:p w14:paraId="5F5C0D7A" w14:textId="77777777" w:rsidR="005E33B0" w:rsidRPr="00947E3E" w:rsidRDefault="005E33B0" w:rsidP="00947E3E"/>
    <w:sectPr w:rsidR="005E33B0" w:rsidRPr="00947E3E" w:rsidSect="00C33317">
      <w:headerReference w:type="even" r:id="rId37"/>
      <w:footerReference w:type="even" r:id="rId38"/>
      <w:headerReference w:type="first" r:id="rId39"/>
      <w:footerReference w:type="first" r:id="rId40"/>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92E3C" w14:textId="77777777" w:rsidR="000C22D2" w:rsidRDefault="000C22D2" w:rsidP="008762BA">
      <w:pPr>
        <w:spacing w:after="0" w:line="240" w:lineRule="auto"/>
      </w:pPr>
      <w:r>
        <w:separator/>
      </w:r>
    </w:p>
  </w:endnote>
  <w:endnote w:type="continuationSeparator" w:id="0">
    <w:p w14:paraId="430D314F" w14:textId="77777777" w:rsidR="000C22D2" w:rsidRDefault="000C22D2" w:rsidP="008762BA">
      <w:pPr>
        <w:spacing w:after="0" w:line="240" w:lineRule="auto"/>
      </w:pPr>
      <w:r>
        <w:continuationSeparator/>
      </w:r>
    </w:p>
  </w:endnote>
  <w:endnote w:type="continuationNotice" w:id="1">
    <w:p w14:paraId="0CF03DC2" w14:textId="77777777" w:rsidR="000C22D2" w:rsidRDefault="000C2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D970" w14:textId="77777777" w:rsidR="003525DF" w:rsidRDefault="00BE11CA" w:rsidP="00237911">
    <w:pPr>
      <w:pStyle w:val="SecurityClassificationFooter"/>
    </w:pPr>
    <w:fldSimple w:instr="DOCPROPERTY WorkingDocStatus \* MERGEFORMAT">
      <w:r w:rsidR="003525DF">
        <w:t>DRAFT WORKING DOCUMENT</w:t>
      </w:r>
    </w:fldSimple>
  </w:p>
  <w:p w14:paraId="4BEA6F22" w14:textId="77777777" w:rsidR="003525DF" w:rsidRDefault="00BE11CA" w:rsidP="003F3D35">
    <w:pPr>
      <w:pStyle w:val="SecurityClassificationFooter"/>
    </w:pPr>
    <w:fldSimple w:instr="DOCPROPERTY SecurityClassification \* MERGEFORMAT">
      <w:r w:rsidR="003525DF">
        <w:t>PROTECTED//CABINET</w:t>
      </w:r>
    </w:fldSimple>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67294" w14:textId="77777777" w:rsidR="003525DF" w:rsidRDefault="003525DF">
    <w:pPr>
      <w:pStyle w:val="Footer"/>
    </w:pPr>
  </w:p>
  <w:p w14:paraId="53167F17" w14:textId="77777777" w:rsidR="003525DF" w:rsidRDefault="00BE11CA" w:rsidP="00237911">
    <w:pPr>
      <w:pStyle w:val="SecurityClassificationFooter"/>
    </w:pPr>
    <w:fldSimple w:instr="DOCPROPERTY WorkingDocStatus \* MERGEFORMAT">
      <w:r w:rsidR="003525DF">
        <w:t>DRAFT WORKING DOCUMENT</w:t>
      </w:r>
    </w:fldSimple>
  </w:p>
  <w:p w14:paraId="211681B4" w14:textId="77777777" w:rsidR="003525DF" w:rsidRDefault="00BE11CA" w:rsidP="00237911">
    <w:pPr>
      <w:pStyle w:val="SecurityClassificationFooter"/>
    </w:pPr>
    <w:fldSimple w:instr="DOCPROPERTY SecurityClassification \* MERGEFORMAT">
      <w:r w:rsidR="003525DF">
        <w:t>PROTECTED//CABINET</w:t>
      </w:r>
    </w:fldSimple>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E6EB5" w14:textId="269A9F82" w:rsidR="003525DF" w:rsidRDefault="003525DF" w:rsidP="00237911">
    <w:pPr>
      <w:pStyle w:val="SecurityClassification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BB3DB" w14:textId="738E7FF7" w:rsidR="003525DF" w:rsidRDefault="003525DF" w:rsidP="00237911">
    <w:pPr>
      <w:pStyle w:val="SecurityClassification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91F63" w14:textId="77777777" w:rsidR="00DC3CDC" w:rsidRDefault="00DC3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A91F4" w14:textId="77777777" w:rsidR="003525DF" w:rsidRDefault="00BE11CA" w:rsidP="00237911">
    <w:pPr>
      <w:pStyle w:val="SecurityClassificationFooter"/>
    </w:pPr>
    <w:fldSimple w:instr="DOCPROPERTY WorkingDocStatus \* MERGEFORMAT">
      <w:r w:rsidR="003525DF">
        <w:t>DRAFT WORKING DOCUMENT</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451CD" w14:textId="77777777" w:rsidR="003525DF" w:rsidRDefault="003525DF">
    <w:pPr>
      <w:pStyle w:val="FooterEven"/>
    </w:pPr>
    <w:r>
      <w:drawing>
        <wp:anchor distT="0" distB="0" distL="114300" distR="114300" simplePos="0" relativeHeight="251658240" behindDoc="1" locked="0" layoutInCell="1" allowOverlap="0" wp14:anchorId="36C7F020" wp14:editId="2F53D9A9">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fldChar w:fldCharType="begin"/>
    </w:r>
    <w:r>
      <w:instrText>STYLEREF  "Heading 1"  \* MERGEFORMAT</w:instrText>
    </w:r>
    <w:r>
      <w:fldChar w:fldCharType="end"/>
    </w:r>
    <w:r>
      <w:t xml:space="preserve"> | </w:t>
    </w:r>
    <w:r>
      <w:rPr>
        <w:noProof w:val="0"/>
      </w:rPr>
      <w:fldChar w:fldCharType="begin"/>
    </w:r>
    <w:r>
      <w:instrText xml:space="preserve"> PAGE   \* MERGEFORMAT </w:instrText>
    </w:r>
    <w:r>
      <w:rPr>
        <w:noProof w:val="0"/>
      </w:rPr>
      <w:fldChar w:fldCharType="separate"/>
    </w:r>
    <w:r>
      <w:t>iv</w:t>
    </w:r>
    <w:r>
      <w:fldChar w:fldCharType="end"/>
    </w:r>
  </w:p>
  <w:p w14:paraId="59B2EED4" w14:textId="77777777" w:rsidR="003525DF" w:rsidRDefault="00BE11CA" w:rsidP="00EF3652">
    <w:pPr>
      <w:pStyle w:val="SecurityClassificationFooter"/>
      <w:spacing w:before="0" w:after="0"/>
    </w:pPr>
    <w:fldSimple w:instr="DOCPROPERTY WorkingDocStatus \* MERGEFORMAT">
      <w:r w:rsidR="003525DF">
        <w:t>DRAFT WORKING DOCUMENT</w:t>
      </w:r>
    </w:fldSimple>
  </w:p>
  <w:p w14:paraId="40810E30" w14:textId="77777777" w:rsidR="003525DF" w:rsidRPr="0020100A" w:rsidRDefault="003525DF" w:rsidP="00EF3652">
    <w:pPr>
      <w:pStyle w:val="TableMainHeading"/>
      <w:spacing w:before="0"/>
      <w:ind w:left="720" w:firstLine="720"/>
      <w:rPr>
        <w:rFonts w:asciiTheme="minorHAnsi" w:hAnsiTheme="minorHAnsi" w:cs="Times New Roman"/>
        <w:b/>
        <w:color w:val="FF0000"/>
        <w:kern w:val="0"/>
        <w:sz w:val="24"/>
        <w:szCs w:val="28"/>
      </w:rPr>
    </w:pPr>
    <w:r>
      <w:rPr>
        <w:rFonts w:asciiTheme="minorHAnsi" w:hAnsiTheme="minorHAnsi" w:cs="Times New Roman"/>
        <w:b/>
        <w:color w:val="FF0000"/>
        <w:kern w:val="0"/>
        <w:sz w:val="24"/>
        <w:szCs w:val="28"/>
      </w:rPr>
      <w:t xml:space="preserve">          </w:t>
    </w:r>
    <w:r w:rsidRPr="0020100A">
      <w:rPr>
        <w:rFonts w:asciiTheme="minorHAnsi" w:hAnsiTheme="minorHAnsi" w:cs="Times New Roman"/>
        <w:b/>
        <w:color w:val="FF0000"/>
        <w:kern w:val="0"/>
        <w:sz w:val="24"/>
        <w:szCs w:val="28"/>
      </w:rPr>
      <w:fldChar w:fldCharType="begin"/>
    </w:r>
    <w:r w:rsidRPr="0020100A">
      <w:rPr>
        <w:rFonts w:asciiTheme="minorHAnsi" w:hAnsiTheme="minorHAnsi" w:cs="Times New Roman"/>
        <w:b/>
        <w:color w:val="FF0000"/>
        <w:kern w:val="0"/>
        <w:sz w:val="24"/>
        <w:szCs w:val="28"/>
      </w:rPr>
      <w:instrText xml:space="preserve"> DOCPROPERTY SecurityClassification \* MERGEFORMAT </w:instrText>
    </w:r>
    <w:r w:rsidRPr="0020100A">
      <w:rPr>
        <w:rFonts w:asciiTheme="minorHAnsi" w:hAnsiTheme="minorHAnsi" w:cs="Times New Roman"/>
        <w:b/>
        <w:color w:val="FF0000"/>
        <w:kern w:val="0"/>
        <w:sz w:val="24"/>
        <w:szCs w:val="28"/>
      </w:rPr>
      <w:fldChar w:fldCharType="separate"/>
    </w:r>
    <w:r>
      <w:rPr>
        <w:rFonts w:asciiTheme="minorHAnsi" w:hAnsiTheme="minorHAnsi" w:cs="Times New Roman"/>
        <w:b/>
        <w:color w:val="FF0000"/>
        <w:kern w:val="0"/>
        <w:sz w:val="24"/>
        <w:szCs w:val="28"/>
      </w:rPr>
      <w:t>PROTECTED//CABINET</w:t>
    </w:r>
    <w:r w:rsidRPr="0020100A">
      <w:rPr>
        <w:rFonts w:asciiTheme="minorHAnsi" w:hAnsiTheme="minorHAnsi" w:cs="Times New Roman"/>
        <w:b/>
        <w:color w:val="FF0000"/>
        <w:kern w:val="0"/>
        <w:sz w:val="24"/>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D513" w14:textId="714385E5" w:rsidR="003525DF" w:rsidRDefault="003525DF">
    <w:pPr>
      <w:pStyle w:val="FooterOdd"/>
    </w:pPr>
    <w:r>
      <w:t>Competition Review</w:t>
    </w:r>
    <w:r>
      <w:tab/>
    </w:r>
    <w:fldSimple w:instr="STYLEREF  &quot;Heading 1&quot;  \* MERGEFORMAT">
      <w:r w:rsidR="00DC3CDC">
        <w:rPr>
          <w:noProof/>
        </w:rPr>
        <w:t>Contents</w:t>
      </w:r>
    </w:fldSimple>
    <w:r>
      <w:t xml:space="preserve"> | </w:t>
    </w:r>
    <w:r>
      <w:fldChar w:fldCharType="begin"/>
    </w:r>
    <w:r>
      <w:instrText xml:space="preserve"> PAGE   \* MERGEFORMAT </w:instrText>
    </w:r>
    <w:r>
      <w:fldChar w:fldCharType="separate"/>
    </w:r>
    <w:r w:rsidR="00DC3CDC">
      <w:rPr>
        <w:noProof/>
      </w:rPr>
      <w:t>iii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40AE2" w14:textId="77777777" w:rsidR="003525DF" w:rsidRDefault="003525DF">
    <w:pPr>
      <w:pStyle w:val="FooterEven"/>
      <w:jc w:val="both"/>
      <w:rPr>
        <w:position w:val="-8"/>
      </w:rPr>
    </w:pPr>
    <w:r>
      <w:t xml:space="preserve"> </w:t>
    </w:r>
    <w:r>
      <w:rPr>
        <w:noProof w:val="0"/>
      </w:rPr>
      <w:fldChar w:fldCharType="begin"/>
    </w:r>
    <w:r>
      <w:instrText xml:space="preserve"> PAGE   \* MERGEFORMAT </w:instrText>
    </w:r>
    <w:r>
      <w:rPr>
        <w:noProof w:val="0"/>
      </w:rPr>
      <w:fldChar w:fldCharType="separate"/>
    </w:r>
    <w:r>
      <w:t>32</w:t>
    </w:r>
    <w:r>
      <w:fldChar w:fldCharType="end"/>
    </w:r>
    <w:r>
      <w:t xml:space="preserve"> | </w:t>
    </w:r>
    <w:fldSimple w:instr="STYLEREF  &quot;Heading 1&quot;  \* MERGEFORMAT">
      <w:r>
        <w:t>Contents</w:t>
      </w:r>
    </w:fldSimple>
    <w:r>
      <w:tab/>
    </w:r>
    <w:r>
      <w:rPr>
        <w:position w:val="-8"/>
      </w:rPr>
      <w:t>Competition Review</w:t>
    </w:r>
  </w:p>
  <w:p w14:paraId="0BE2573F" w14:textId="77777777" w:rsidR="003525DF" w:rsidRDefault="00BE11CA" w:rsidP="00685D22">
    <w:pPr>
      <w:pStyle w:val="SecurityClassificationFooter"/>
      <w:spacing w:before="0"/>
    </w:pPr>
    <w:fldSimple w:instr="DOCPROPERTY WorkingDocStatus \* MERGEFORMAT">
      <w:r w:rsidR="003525DF">
        <w:t>DRAFT WORKING DOCUMENT</w:t>
      </w:r>
    </w:fldSimple>
  </w:p>
  <w:p w14:paraId="0539C8E2" w14:textId="77777777" w:rsidR="003525DF" w:rsidRPr="00021F77" w:rsidRDefault="003525DF" w:rsidP="00021F77">
    <w:pPr>
      <w:jc w:val="center"/>
      <w:rPr>
        <w:rFonts w:eastAsia="Times New Roman" w:cs="Times New Roman"/>
        <w:b/>
        <w:color w:val="FF0000"/>
        <w:kern w:val="0"/>
        <w:sz w:val="24"/>
        <w:szCs w:val="28"/>
        <w:lang w:eastAsia="en-AU"/>
        <w14:ligatures w14:val="none"/>
      </w:rPr>
    </w:pPr>
    <w:r w:rsidRPr="00021F77">
      <w:rPr>
        <w:rFonts w:eastAsia="Times New Roman" w:cs="Times New Roman"/>
        <w:b/>
        <w:color w:val="FF0000"/>
        <w:kern w:val="0"/>
        <w:sz w:val="24"/>
        <w:szCs w:val="28"/>
        <w:lang w:eastAsia="en-AU"/>
        <w14:ligatures w14:val="none"/>
      </w:rPr>
      <w:fldChar w:fldCharType="begin"/>
    </w:r>
    <w:r w:rsidRPr="00021F77">
      <w:rPr>
        <w:rFonts w:eastAsia="Times New Roman" w:cs="Times New Roman"/>
        <w:b/>
        <w:color w:val="FF0000"/>
        <w:kern w:val="0"/>
        <w:sz w:val="24"/>
        <w:szCs w:val="28"/>
        <w:lang w:eastAsia="en-AU"/>
        <w14:ligatures w14:val="none"/>
      </w:rPr>
      <w:instrText xml:space="preserve"> DOCPROPERTY SecurityClassification \* MERGEFORMAT </w:instrText>
    </w:r>
    <w:r w:rsidRPr="00021F77">
      <w:rPr>
        <w:rFonts w:eastAsia="Times New Roman" w:cs="Times New Roman"/>
        <w:b/>
        <w:color w:val="FF0000"/>
        <w:kern w:val="0"/>
        <w:sz w:val="24"/>
        <w:szCs w:val="28"/>
        <w:lang w:eastAsia="en-AU"/>
        <w14:ligatures w14:val="none"/>
      </w:rPr>
      <w:fldChar w:fldCharType="separate"/>
    </w:r>
    <w:r>
      <w:rPr>
        <w:rFonts w:eastAsia="Times New Roman" w:cs="Times New Roman"/>
        <w:b/>
        <w:color w:val="FF0000"/>
        <w:kern w:val="0"/>
        <w:sz w:val="24"/>
        <w:szCs w:val="28"/>
        <w:lang w:eastAsia="en-AU"/>
        <w14:ligatures w14:val="none"/>
      </w:rPr>
      <w:t>PROTECTED//CABINET</w:t>
    </w:r>
    <w:r w:rsidRPr="00021F77">
      <w:rPr>
        <w:rFonts w:eastAsia="Times New Roman" w:cs="Times New Roman"/>
        <w:b/>
        <w:color w:val="FF0000"/>
        <w:kern w:val="0"/>
        <w:sz w:val="24"/>
        <w:szCs w:val="28"/>
        <w:lang w:eastAsia="en-AU"/>
        <w14:ligatures w14:val="non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4FE02" w14:textId="0EE2A487" w:rsidR="003525DF" w:rsidRDefault="003525DF">
    <w:pPr>
      <w:pStyle w:val="FooterOdd"/>
      <w:jc w:val="left"/>
    </w:pPr>
    <w:r>
      <w:t xml:space="preserve">The Treasury  |  </w:t>
    </w:r>
    <w:r w:rsidR="00DC3CDC">
      <w:fldChar w:fldCharType="begin"/>
    </w:r>
    <w:r w:rsidR="00DC3CDC">
      <w:instrText>STYLEREF  "Heading 1"  \* MERGEFORMAT</w:instrText>
    </w:r>
    <w:r w:rsidR="00DC3CDC">
      <w:fldChar w:fldCharType="separate"/>
    </w:r>
    <w:r w:rsidR="00DC3CDC">
      <w:rPr>
        <w:noProof/>
      </w:rPr>
      <w:t>2. What are the objectives, why is government intervention needed to achieve them, and how will success be measured?</w:t>
    </w:r>
    <w:r w:rsidR="00DC3CDC">
      <w:rPr>
        <w:noProof/>
      </w:rPr>
      <w:fldChar w:fldCharType="end"/>
    </w:r>
    <w:r w:rsidR="008762F8">
      <w:rPr>
        <w:noProof/>
      </w:rPr>
      <w:t xml:space="preserve"> </w:t>
    </w:r>
    <w:r w:rsidR="000833F6">
      <w:rPr>
        <w:noProof/>
      </w:rPr>
      <w:t xml:space="preserve"> </w:t>
    </w:r>
    <w:r w:rsidR="00463DA9">
      <w:rPr>
        <w:noProof/>
      </w:rPr>
      <w:tab/>
    </w:r>
    <w:r>
      <w:fldChar w:fldCharType="begin"/>
    </w:r>
    <w:r>
      <w:instrText xml:space="preserve"> PAGE   \* MERGEFORMAT </w:instrText>
    </w:r>
    <w:r>
      <w:fldChar w:fldCharType="separate"/>
    </w:r>
    <w:r w:rsidR="00DC3CDC">
      <w:rPr>
        <w:noProof/>
      </w:rPr>
      <w:t>21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96D77" w14:textId="77777777" w:rsidR="003525DF" w:rsidRDefault="00BE11CA" w:rsidP="003F3D35">
    <w:pPr>
      <w:pStyle w:val="SecurityClassificationFooter"/>
    </w:pPr>
    <w:fldSimple w:instr="DOCPROPERTY WorkingDocStatus \* MERGEFORMAT">
      <w:r w:rsidR="003525DF">
        <w:t>DRAFT WORKING DOCUMENT</w:t>
      </w:r>
    </w:fldSimple>
  </w:p>
  <w:p w14:paraId="5EA936C2" w14:textId="77777777" w:rsidR="003525DF" w:rsidRPr="00095D88" w:rsidRDefault="00BE11CA" w:rsidP="00D152A4">
    <w:fldSimple w:instr="DOCPROPERTY SecurityClassification \* MERGEFORMAT">
      <w:r w:rsidR="003525DF">
        <w:t>PROTECTED//CABINET</w:t>
      </w:r>
    </w:fldSimple>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50D28" w14:textId="77777777" w:rsidR="003525DF" w:rsidRDefault="003525DF">
    <w:pPr>
      <w:pStyle w:val="Footer"/>
    </w:pPr>
  </w:p>
  <w:p w14:paraId="0AF68649" w14:textId="77777777" w:rsidR="003525DF" w:rsidRDefault="00BE11CA" w:rsidP="00237911">
    <w:pPr>
      <w:pStyle w:val="SecurityClassificationFooter"/>
    </w:pPr>
    <w:fldSimple w:instr="DOCPROPERTY WorkingDocStatus \* MERGEFORMAT">
      <w:r w:rsidR="003525DF">
        <w:t>DRAFT WORKING DOCUMENT</w:t>
      </w:r>
    </w:fldSimple>
  </w:p>
  <w:p w14:paraId="2E8A4E53" w14:textId="77777777" w:rsidR="003525DF" w:rsidRDefault="00BE11CA" w:rsidP="00237911">
    <w:pPr>
      <w:pStyle w:val="SecurityClassificationFooter"/>
    </w:pPr>
    <w:fldSimple w:instr="DOCPROPERTY SecurityClassification \* MERGEFORMAT">
      <w:r w:rsidR="003525DF">
        <w:t>PROTECTED//CABINET</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7B169" w14:textId="77777777" w:rsidR="000C22D2" w:rsidRDefault="000C22D2" w:rsidP="008762BA">
      <w:pPr>
        <w:spacing w:after="0" w:line="240" w:lineRule="auto"/>
      </w:pPr>
      <w:r>
        <w:separator/>
      </w:r>
    </w:p>
  </w:footnote>
  <w:footnote w:type="continuationSeparator" w:id="0">
    <w:p w14:paraId="20D0F4A7" w14:textId="77777777" w:rsidR="000C22D2" w:rsidRDefault="000C22D2" w:rsidP="008762BA">
      <w:pPr>
        <w:spacing w:after="0" w:line="240" w:lineRule="auto"/>
      </w:pPr>
      <w:r>
        <w:continuationSeparator/>
      </w:r>
    </w:p>
  </w:footnote>
  <w:footnote w:type="continuationNotice" w:id="1">
    <w:p w14:paraId="28766202" w14:textId="77777777" w:rsidR="000C22D2" w:rsidRDefault="000C22D2">
      <w:pPr>
        <w:spacing w:after="0" w:line="240" w:lineRule="auto"/>
      </w:pPr>
    </w:p>
  </w:footnote>
  <w:footnote w:id="2">
    <w:p w14:paraId="1F402ADF" w14:textId="2C660429" w:rsidR="0045023C" w:rsidRDefault="0045023C">
      <w:pPr>
        <w:pStyle w:val="FootnoteText"/>
      </w:pPr>
      <w:r>
        <w:rPr>
          <w:rStyle w:val="FootnoteReference"/>
        </w:rPr>
        <w:footnoteRef/>
      </w:r>
      <w:r>
        <w:t xml:space="preserve"> </w:t>
      </w:r>
      <w:r w:rsidR="00C40870" w:rsidRPr="00A45246">
        <w:rPr>
          <w:sz w:val="18"/>
          <w:szCs w:val="18"/>
        </w:rPr>
        <w:t xml:space="preserve">The Treasury, Australian Government, </w:t>
      </w:r>
      <w:hyperlink r:id="rId1" w:history="1">
        <w:r w:rsidR="00C40870" w:rsidRPr="00A45246">
          <w:rPr>
            <w:rStyle w:val="Hyperlink"/>
            <w:rFonts w:cs="Calibri Light"/>
            <w:i/>
            <w:sz w:val="18"/>
            <w:szCs w:val="18"/>
          </w:rPr>
          <w:t>Merger Reform Consultation Paper</w:t>
        </w:r>
      </w:hyperlink>
      <w:r w:rsidR="00C40870" w:rsidRPr="00A45246">
        <w:rPr>
          <w:sz w:val="18"/>
          <w:szCs w:val="18"/>
        </w:rPr>
        <w:t xml:space="preserve">, November 2023, accessed </w:t>
      </w:r>
      <w:r w:rsidR="004F3686">
        <w:rPr>
          <w:sz w:val="18"/>
          <w:szCs w:val="18"/>
        </w:rPr>
        <w:t xml:space="preserve">6 August </w:t>
      </w:r>
      <w:r w:rsidR="00C40870" w:rsidRPr="00A45246">
        <w:rPr>
          <w:sz w:val="18"/>
          <w:szCs w:val="18"/>
        </w:rPr>
        <w:t>2024</w:t>
      </w:r>
      <w:r w:rsidR="00DA7DED">
        <w:rPr>
          <w:sz w:val="18"/>
          <w:szCs w:val="18"/>
        </w:rPr>
        <w:t>.</w:t>
      </w:r>
    </w:p>
  </w:footnote>
  <w:footnote w:id="3">
    <w:p w14:paraId="0279B3DD" w14:textId="26D2C88F" w:rsidR="003867CF" w:rsidRDefault="003867CF" w:rsidP="003867CF">
      <w:pPr>
        <w:pStyle w:val="FootnoteText"/>
      </w:pPr>
      <w:r>
        <w:rPr>
          <w:rStyle w:val="FootnoteReference"/>
        </w:rPr>
        <w:footnoteRef/>
      </w:r>
      <w:r>
        <w:t xml:space="preserve"> </w:t>
      </w:r>
      <w:r w:rsidRPr="006562A1">
        <w:rPr>
          <w:sz w:val="18"/>
          <w:szCs w:val="18"/>
        </w:rPr>
        <w:t>Note: Savings given in millions of local currency at current prices. Australian savings extrapolated from 2021-22 UK and US figures. Sources: Office for National Statistics; Competition &amp; Markets Authority; Bureau of Economic Analysis; Federal Trade Commission; Australian Bureau of Statistics; Treasury; Refinitiv.</w:t>
      </w:r>
      <w:r w:rsidR="00E11324">
        <w:rPr>
          <w:sz w:val="18"/>
          <w:szCs w:val="18"/>
        </w:rPr>
        <w:t xml:space="preserve"> </w:t>
      </w:r>
    </w:p>
  </w:footnote>
  <w:footnote w:id="4">
    <w:p w14:paraId="6FDB9406" w14:textId="796DE7DD" w:rsidR="003525DF" w:rsidRDefault="003525DF" w:rsidP="00947E3E">
      <w:pPr>
        <w:pStyle w:val="FootnoteText"/>
      </w:pPr>
      <w:r>
        <w:rPr>
          <w:rStyle w:val="FootnoteReference"/>
        </w:rPr>
        <w:footnoteRef/>
      </w:r>
      <w:r>
        <w:t xml:space="preserve"> </w:t>
      </w:r>
      <w:r w:rsidRPr="00A45246">
        <w:rPr>
          <w:sz w:val="18"/>
          <w:szCs w:val="18"/>
        </w:rPr>
        <w:t xml:space="preserve">Dr Steven Kennedy PSM, Secretary to the Treasury, </w:t>
      </w:r>
      <w:hyperlink r:id="rId2" w:history="1">
        <w:r w:rsidRPr="00A45246">
          <w:rPr>
            <w:rStyle w:val="Hyperlink"/>
            <w:rFonts w:cs="Calibri Light"/>
            <w:i/>
            <w:sz w:val="18"/>
            <w:szCs w:val="18"/>
          </w:rPr>
          <w:t>Post-Budget economic briefing: Address to the Australian Business Economists</w:t>
        </w:r>
      </w:hyperlink>
      <w:r w:rsidRPr="00A45246">
        <w:rPr>
          <w:sz w:val="18"/>
          <w:szCs w:val="18"/>
        </w:rPr>
        <w:t>, 30 May 2024, accessed 10 June 2024.</w:t>
      </w:r>
    </w:p>
  </w:footnote>
  <w:footnote w:id="5">
    <w:p w14:paraId="55CA9600" w14:textId="77777777" w:rsidR="003525DF" w:rsidRDefault="003525DF" w:rsidP="00947E3E">
      <w:pPr>
        <w:pStyle w:val="FootnoteText"/>
      </w:pPr>
      <w:r>
        <w:rPr>
          <w:rStyle w:val="FootnoteReference"/>
        </w:rPr>
        <w:footnoteRef/>
      </w:r>
      <w:r>
        <w:t xml:space="preserve"> </w:t>
      </w:r>
      <w:r w:rsidRPr="00A45246">
        <w:rPr>
          <w:sz w:val="18"/>
          <w:szCs w:val="18"/>
        </w:rPr>
        <w:t xml:space="preserve">More information: The Treasury, Australian Government, </w:t>
      </w:r>
      <w:hyperlink r:id="rId3" w:history="1">
        <w:r w:rsidRPr="00A45246">
          <w:rPr>
            <w:rStyle w:val="Hyperlink"/>
            <w:rFonts w:cs="Calibri Light"/>
            <w:i/>
            <w:sz w:val="18"/>
            <w:szCs w:val="18"/>
          </w:rPr>
          <w:t>Merger Reform Consultation Paper - Appendices</w:t>
        </w:r>
      </w:hyperlink>
      <w:r w:rsidRPr="00A45246">
        <w:rPr>
          <w:sz w:val="18"/>
          <w:szCs w:val="18"/>
        </w:rPr>
        <w:t>, November 2023, p 5, accessed 9 May 2024.</w:t>
      </w:r>
    </w:p>
  </w:footnote>
  <w:footnote w:id="6">
    <w:p w14:paraId="57E96686" w14:textId="24C5D62C" w:rsidR="003525DF" w:rsidRDefault="003525DF" w:rsidP="00947E3E">
      <w:pPr>
        <w:pStyle w:val="FootnoteText"/>
      </w:pPr>
      <w:r>
        <w:rPr>
          <w:rStyle w:val="FootnoteReference"/>
        </w:rPr>
        <w:footnoteRef/>
      </w:r>
      <w:r>
        <w:t xml:space="preserve"> </w:t>
      </w:r>
      <w:r w:rsidRPr="00A45246">
        <w:rPr>
          <w:rFonts w:cstheme="minorHAnsi"/>
          <w:sz w:val="18"/>
          <w:szCs w:val="18"/>
        </w:rPr>
        <w:t>Australian Competition and Consumer Commission (ACCC)</w:t>
      </w:r>
      <w:r w:rsidRPr="00A45246">
        <w:rPr>
          <w:sz w:val="18"/>
          <w:szCs w:val="18"/>
        </w:rPr>
        <w:t xml:space="preserve"> data from The Treasury, </w:t>
      </w:r>
      <w:r w:rsidR="00D92B75" w:rsidRPr="00A45246">
        <w:rPr>
          <w:sz w:val="18"/>
          <w:szCs w:val="18"/>
        </w:rPr>
        <w:t xml:space="preserve">Australian Government, </w:t>
      </w:r>
      <w:hyperlink r:id="rId4" w:history="1">
        <w:r w:rsidRPr="00A45246">
          <w:rPr>
            <w:rStyle w:val="Hyperlink"/>
            <w:rFonts w:cs="Calibri Light"/>
            <w:i/>
            <w:sz w:val="18"/>
            <w:szCs w:val="18"/>
          </w:rPr>
          <w:t>Merger Reform Consultation Paper - Appendices</w:t>
        </w:r>
      </w:hyperlink>
      <w:r w:rsidRPr="00A45246">
        <w:rPr>
          <w:sz w:val="18"/>
          <w:szCs w:val="18"/>
        </w:rPr>
        <w:t>, November 2023, p 8, accessed 9 May 2024</w:t>
      </w:r>
    </w:p>
  </w:footnote>
  <w:footnote w:id="7">
    <w:p w14:paraId="300F0B6E" w14:textId="4D22413F" w:rsidR="003525DF" w:rsidRDefault="003525DF" w:rsidP="00947E3E">
      <w:pPr>
        <w:pStyle w:val="FootnoteText"/>
      </w:pPr>
      <w:r>
        <w:rPr>
          <w:rStyle w:val="FootnoteReference"/>
        </w:rPr>
        <w:footnoteRef/>
      </w:r>
      <w:r>
        <w:t xml:space="preserve"> </w:t>
      </w:r>
      <w:r w:rsidRPr="00A45246">
        <w:rPr>
          <w:sz w:val="18"/>
          <w:szCs w:val="18"/>
        </w:rPr>
        <w:t xml:space="preserve">ACCC data from The Treasury, </w:t>
      </w:r>
      <w:r w:rsidR="00D92B75" w:rsidRPr="00A45246">
        <w:rPr>
          <w:sz w:val="18"/>
          <w:szCs w:val="18"/>
        </w:rPr>
        <w:t xml:space="preserve">Australian Government, </w:t>
      </w:r>
      <w:hyperlink r:id="rId5" w:history="1">
        <w:r w:rsidRPr="00A45246">
          <w:rPr>
            <w:rStyle w:val="Hyperlink"/>
            <w:rFonts w:cs="Calibri Light"/>
            <w:i/>
            <w:sz w:val="18"/>
            <w:szCs w:val="18"/>
          </w:rPr>
          <w:t>Merger Reform Consultation Paper - Appendices</w:t>
        </w:r>
      </w:hyperlink>
      <w:r w:rsidRPr="00A45246">
        <w:rPr>
          <w:sz w:val="18"/>
          <w:szCs w:val="18"/>
        </w:rPr>
        <w:t>, November 2023, p 9, accessed 9 May 2024.</w:t>
      </w:r>
    </w:p>
  </w:footnote>
  <w:footnote w:id="8">
    <w:p w14:paraId="4C365241" w14:textId="2F895AAB" w:rsidR="003525DF" w:rsidRDefault="003525DF" w:rsidP="00947E3E">
      <w:pPr>
        <w:pStyle w:val="FootnoteText"/>
      </w:pPr>
      <w:r>
        <w:rPr>
          <w:rStyle w:val="FootnoteReference"/>
        </w:rPr>
        <w:footnoteRef/>
      </w:r>
      <w:r>
        <w:t xml:space="preserve"> </w:t>
      </w:r>
      <w:r w:rsidRPr="00A45246">
        <w:rPr>
          <w:rFonts w:cstheme="minorHAnsi"/>
          <w:sz w:val="18"/>
          <w:szCs w:val="18"/>
        </w:rPr>
        <w:t>ACCC</w:t>
      </w:r>
      <w:r w:rsidRPr="00A45246">
        <w:rPr>
          <w:sz w:val="18"/>
          <w:szCs w:val="18"/>
        </w:rPr>
        <w:t xml:space="preserve">, Australian Government, </w:t>
      </w:r>
      <w:hyperlink r:id="rId6" w:history="1">
        <w:r w:rsidRPr="00A45246">
          <w:rPr>
            <w:rStyle w:val="Hyperlink"/>
            <w:rFonts w:cs="Calibri Light"/>
            <w:i/>
            <w:sz w:val="18"/>
            <w:szCs w:val="18"/>
          </w:rPr>
          <w:t>Informal Merger Review Process Guidelines</w:t>
        </w:r>
      </w:hyperlink>
      <w:r w:rsidRPr="00A45246">
        <w:rPr>
          <w:sz w:val="18"/>
          <w:szCs w:val="18"/>
        </w:rPr>
        <w:t>, September 2013, p 4, accessed 6 June 2024.</w:t>
      </w:r>
      <w:r w:rsidRPr="00FB109E" w:rsidDel="000F57B4">
        <w:t xml:space="preserve"> </w:t>
      </w:r>
      <w:r>
        <w:t xml:space="preserve"> </w:t>
      </w:r>
    </w:p>
  </w:footnote>
  <w:footnote w:id="9">
    <w:p w14:paraId="5AFE528A" w14:textId="26A6855A" w:rsidR="003525DF" w:rsidRDefault="003525DF" w:rsidP="00947E3E">
      <w:pPr>
        <w:pStyle w:val="FootnoteText"/>
      </w:pPr>
      <w:r>
        <w:rPr>
          <w:rStyle w:val="FootnoteReference"/>
        </w:rPr>
        <w:footnoteRef/>
      </w:r>
      <w:r>
        <w:t xml:space="preserve"> </w:t>
      </w:r>
      <w:r w:rsidRPr="00A45246">
        <w:rPr>
          <w:sz w:val="18"/>
          <w:szCs w:val="18"/>
        </w:rPr>
        <w:t xml:space="preserve">ACCC data from The Treasury, </w:t>
      </w:r>
      <w:r w:rsidR="00A22803" w:rsidRPr="00A45246">
        <w:rPr>
          <w:sz w:val="18"/>
          <w:szCs w:val="18"/>
        </w:rPr>
        <w:t xml:space="preserve">Australian Government, </w:t>
      </w:r>
      <w:hyperlink r:id="rId7" w:history="1">
        <w:r w:rsidRPr="00A45246">
          <w:rPr>
            <w:rStyle w:val="Hyperlink"/>
            <w:rFonts w:cs="Calibri Light"/>
            <w:i/>
            <w:sz w:val="18"/>
            <w:szCs w:val="18"/>
          </w:rPr>
          <w:t>Merger Reform Consultation Paper - Appendices</w:t>
        </w:r>
      </w:hyperlink>
      <w:r w:rsidRPr="00A45246">
        <w:rPr>
          <w:sz w:val="18"/>
          <w:szCs w:val="18"/>
        </w:rPr>
        <w:t>, November 2023, p 9, accessed 9 May 2024</w:t>
      </w:r>
    </w:p>
  </w:footnote>
  <w:footnote w:id="10">
    <w:p w14:paraId="69B16A8C" w14:textId="6B6C6656" w:rsidR="003525DF" w:rsidRPr="006B14BF" w:rsidRDefault="003525DF" w:rsidP="00947E3E">
      <w:pPr>
        <w:pStyle w:val="FootnoteText"/>
        <w:rPr>
          <w:rFonts w:cstheme="minorHAnsi"/>
        </w:rPr>
      </w:pPr>
      <w:r>
        <w:rPr>
          <w:rStyle w:val="FootnoteReference"/>
        </w:rPr>
        <w:footnoteRef/>
      </w:r>
      <w:r>
        <w:t xml:space="preserve"> </w:t>
      </w:r>
      <w:r w:rsidRPr="00A45246">
        <w:rPr>
          <w:rFonts w:cstheme="minorHAnsi"/>
          <w:sz w:val="18"/>
          <w:szCs w:val="18"/>
        </w:rPr>
        <w:t>The Hon Dr Jim Chalmers, Treasurer, and the Hon Andrew Leigh MP, Assistant Minister for Competition, Charities and Treasury, Assistant Minister for Employment, ‘</w:t>
      </w:r>
      <w:hyperlink r:id="rId8" w:history="1">
        <w:r w:rsidRPr="00A45246">
          <w:rPr>
            <w:rStyle w:val="Hyperlink"/>
            <w:rFonts w:cs="Calibri Light"/>
            <w:i/>
            <w:sz w:val="18"/>
            <w:szCs w:val="18"/>
          </w:rPr>
          <w:t>A more dynamic and competitive economy</w:t>
        </w:r>
      </w:hyperlink>
      <w:r w:rsidRPr="00A45246">
        <w:rPr>
          <w:rStyle w:val="Hyperlink"/>
          <w:rFonts w:cs="Calibri Light"/>
          <w:i/>
          <w:sz w:val="18"/>
          <w:szCs w:val="18"/>
        </w:rPr>
        <w:t>’</w:t>
      </w:r>
      <w:r w:rsidRPr="00A45246">
        <w:rPr>
          <w:rFonts w:cstheme="minorHAnsi"/>
          <w:sz w:val="18"/>
          <w:szCs w:val="18"/>
        </w:rPr>
        <w:t>, Australian Government, 23</w:t>
      </w:r>
      <w:r>
        <w:rPr>
          <w:rFonts w:cstheme="minorHAnsi"/>
          <w:sz w:val="18"/>
          <w:szCs w:val="18"/>
        </w:rPr>
        <w:t> </w:t>
      </w:r>
      <w:r w:rsidRPr="00A45246">
        <w:rPr>
          <w:rFonts w:cstheme="minorHAnsi"/>
          <w:sz w:val="18"/>
          <w:szCs w:val="18"/>
        </w:rPr>
        <w:t>August</w:t>
      </w:r>
      <w:r>
        <w:rPr>
          <w:rFonts w:cstheme="minorHAnsi"/>
          <w:sz w:val="18"/>
          <w:szCs w:val="18"/>
        </w:rPr>
        <w:t> </w:t>
      </w:r>
      <w:r w:rsidRPr="00A45246">
        <w:rPr>
          <w:rFonts w:cstheme="minorHAnsi"/>
          <w:sz w:val="18"/>
          <w:szCs w:val="18"/>
        </w:rPr>
        <w:t>2023, accessed 5 March 2023</w:t>
      </w:r>
      <w:r>
        <w:rPr>
          <w:rFonts w:cstheme="minorHAnsi"/>
          <w:szCs w:val="16"/>
        </w:rPr>
        <w:t xml:space="preserve"> </w:t>
      </w:r>
    </w:p>
  </w:footnote>
  <w:footnote w:id="11">
    <w:p w14:paraId="565164B5" w14:textId="77777777" w:rsidR="003525DF" w:rsidRPr="006B14BF" w:rsidRDefault="003525DF" w:rsidP="00947E3E">
      <w:pPr>
        <w:pStyle w:val="FootnoteText"/>
        <w:rPr>
          <w:rFonts w:cstheme="minorHAnsi"/>
        </w:rPr>
      </w:pPr>
      <w:r w:rsidRPr="006B14BF">
        <w:rPr>
          <w:rStyle w:val="FootnoteReference"/>
          <w:rFonts w:cstheme="minorHAnsi"/>
        </w:rPr>
        <w:footnoteRef/>
      </w:r>
      <w:r w:rsidRPr="006B14BF">
        <w:rPr>
          <w:rFonts w:cstheme="minorHAnsi"/>
        </w:rPr>
        <w:t xml:space="preserve"> </w:t>
      </w:r>
      <w:r w:rsidRPr="00A45246">
        <w:rPr>
          <w:rFonts w:cstheme="minorHAnsi"/>
          <w:sz w:val="18"/>
          <w:szCs w:val="18"/>
        </w:rPr>
        <w:t xml:space="preserve">The Treasury, Australian Government, </w:t>
      </w:r>
      <w:hyperlink r:id="rId9" w:history="1">
        <w:r w:rsidRPr="00A45246">
          <w:rPr>
            <w:rStyle w:val="Hyperlink"/>
            <w:rFonts w:cs="Calibri Light"/>
            <w:i/>
            <w:sz w:val="18"/>
            <w:szCs w:val="18"/>
          </w:rPr>
          <w:t>Merger Reform Consultation Paper</w:t>
        </w:r>
      </w:hyperlink>
      <w:r w:rsidRPr="00A45246">
        <w:rPr>
          <w:rFonts w:cstheme="minorHAnsi"/>
          <w:sz w:val="18"/>
          <w:szCs w:val="18"/>
        </w:rPr>
        <w:t>, November 2023, accessed 5 March 2024</w:t>
      </w:r>
    </w:p>
  </w:footnote>
  <w:footnote w:id="12">
    <w:p w14:paraId="0B916A85" w14:textId="63368E4D" w:rsidR="003525DF" w:rsidRPr="006B14BF" w:rsidRDefault="003525DF" w:rsidP="00947E3E">
      <w:pPr>
        <w:pStyle w:val="FootnoteText"/>
        <w:rPr>
          <w:rFonts w:cstheme="minorHAnsi"/>
        </w:rPr>
      </w:pPr>
      <w:r w:rsidRPr="008B19A9">
        <w:rPr>
          <w:rStyle w:val="FootnoteReference"/>
          <w:rFonts w:cstheme="minorHAnsi"/>
        </w:rPr>
        <w:footnoteRef/>
      </w:r>
      <w:r w:rsidRPr="006B14BF">
        <w:rPr>
          <w:rFonts w:cstheme="minorHAnsi"/>
        </w:rPr>
        <w:t xml:space="preserve"> </w:t>
      </w:r>
      <w:r w:rsidRPr="00A45246">
        <w:rPr>
          <w:rFonts w:cstheme="minorHAnsi"/>
          <w:sz w:val="18"/>
          <w:szCs w:val="18"/>
        </w:rPr>
        <w:t xml:space="preserve">The Treasury, Australian Government, </w:t>
      </w:r>
      <w:hyperlink r:id="rId10" w:history="1">
        <w:r w:rsidRPr="00A45246">
          <w:rPr>
            <w:rStyle w:val="Hyperlink"/>
            <w:rFonts w:cs="Calibri Light"/>
            <w:i/>
            <w:sz w:val="18"/>
            <w:szCs w:val="18"/>
          </w:rPr>
          <w:t>Background Note: Economic literature relevant to mergers</w:t>
        </w:r>
      </w:hyperlink>
      <w:r w:rsidRPr="00A45246">
        <w:rPr>
          <w:rFonts w:cstheme="minorHAnsi"/>
          <w:sz w:val="18"/>
          <w:szCs w:val="18"/>
        </w:rPr>
        <w:t>, 2023, accessed 5</w:t>
      </w:r>
      <w:r>
        <w:rPr>
          <w:rFonts w:cstheme="minorHAnsi"/>
          <w:sz w:val="18"/>
          <w:szCs w:val="18"/>
        </w:rPr>
        <w:t> </w:t>
      </w:r>
      <w:r w:rsidRPr="00A45246">
        <w:rPr>
          <w:rFonts w:cstheme="minorHAnsi"/>
          <w:sz w:val="18"/>
          <w:szCs w:val="18"/>
        </w:rPr>
        <w:t>March</w:t>
      </w:r>
      <w:r>
        <w:rPr>
          <w:rFonts w:cstheme="minorHAnsi"/>
          <w:sz w:val="18"/>
          <w:szCs w:val="18"/>
        </w:rPr>
        <w:t> </w:t>
      </w:r>
      <w:r w:rsidRPr="00A45246">
        <w:rPr>
          <w:rFonts w:cstheme="minorHAnsi"/>
          <w:sz w:val="18"/>
          <w:szCs w:val="18"/>
        </w:rPr>
        <w:t>2024.</w:t>
      </w:r>
    </w:p>
  </w:footnote>
  <w:footnote w:id="13">
    <w:p w14:paraId="64B01FF8" w14:textId="31415872" w:rsidR="003525DF" w:rsidRPr="006B14BF" w:rsidRDefault="003525DF" w:rsidP="00947E3E">
      <w:pPr>
        <w:pStyle w:val="FootnoteText"/>
        <w:rPr>
          <w:rFonts w:cstheme="minorHAnsi"/>
        </w:rPr>
      </w:pPr>
      <w:r w:rsidRPr="006B14BF">
        <w:rPr>
          <w:rStyle w:val="FootnoteReference"/>
          <w:rFonts w:cstheme="minorHAnsi"/>
        </w:rPr>
        <w:footnoteRef/>
      </w:r>
      <w:r w:rsidRPr="006B14BF">
        <w:rPr>
          <w:rFonts w:cstheme="minorHAnsi"/>
        </w:rPr>
        <w:t xml:space="preserve"> </w:t>
      </w:r>
      <w:r w:rsidRPr="00A45246">
        <w:rPr>
          <w:rFonts w:cstheme="minorHAnsi"/>
          <w:sz w:val="18"/>
          <w:szCs w:val="18"/>
        </w:rPr>
        <w:t xml:space="preserve">House of Representatives, Standing Committee on Economics, </w:t>
      </w:r>
      <w:hyperlink r:id="rId11" w:history="1">
        <w:r w:rsidRPr="00A45246">
          <w:rPr>
            <w:rStyle w:val="Hyperlink"/>
            <w:rFonts w:cs="Calibri Light"/>
            <w:i/>
            <w:sz w:val="18"/>
            <w:szCs w:val="18"/>
          </w:rPr>
          <w:t>Better Competition, Better Prices: Report on the inquiry into promoting economic dynamism, competition and business formation</w:t>
        </w:r>
      </w:hyperlink>
      <w:r w:rsidRPr="00A45246">
        <w:rPr>
          <w:rFonts w:cstheme="minorHAnsi"/>
          <w:sz w:val="18"/>
          <w:szCs w:val="18"/>
        </w:rPr>
        <w:t>, March 2024, p 26, Australian Parliament, accessed 3</w:t>
      </w:r>
      <w:r>
        <w:rPr>
          <w:rFonts w:cstheme="minorHAnsi"/>
          <w:sz w:val="18"/>
          <w:szCs w:val="18"/>
        </w:rPr>
        <w:t> </w:t>
      </w:r>
      <w:r w:rsidRPr="00A45246">
        <w:rPr>
          <w:rFonts w:cstheme="minorHAnsi"/>
          <w:sz w:val="18"/>
          <w:szCs w:val="18"/>
        </w:rPr>
        <w:t>June</w:t>
      </w:r>
      <w:r>
        <w:rPr>
          <w:rFonts w:cstheme="minorHAnsi"/>
          <w:sz w:val="18"/>
          <w:szCs w:val="18"/>
        </w:rPr>
        <w:t> </w:t>
      </w:r>
      <w:r w:rsidRPr="00A45246">
        <w:rPr>
          <w:rFonts w:cstheme="minorHAnsi"/>
          <w:sz w:val="18"/>
          <w:szCs w:val="18"/>
        </w:rPr>
        <w:t>2024</w:t>
      </w:r>
      <w:r w:rsidRPr="006B14BF">
        <w:rPr>
          <w:rFonts w:cstheme="minorHAnsi"/>
        </w:rPr>
        <w:t xml:space="preserve"> </w:t>
      </w:r>
    </w:p>
  </w:footnote>
  <w:footnote w:id="14">
    <w:p w14:paraId="53C75B03" w14:textId="015BF018" w:rsidR="003525DF" w:rsidRPr="006B14BF" w:rsidRDefault="003525DF" w:rsidP="00947E3E">
      <w:pPr>
        <w:pStyle w:val="FootnoteText"/>
        <w:rPr>
          <w:rFonts w:cstheme="minorHAnsi"/>
        </w:rPr>
      </w:pPr>
      <w:r w:rsidRPr="008B19A9">
        <w:rPr>
          <w:rStyle w:val="FootnoteReference"/>
          <w:rFonts w:cstheme="minorHAnsi"/>
        </w:rPr>
        <w:footnoteRef/>
      </w:r>
      <w:r w:rsidRPr="006B14BF">
        <w:rPr>
          <w:rFonts w:cstheme="minorHAnsi"/>
        </w:rPr>
        <w:t xml:space="preserve"> </w:t>
      </w:r>
      <w:r w:rsidRPr="00A45246">
        <w:rPr>
          <w:rFonts w:cstheme="minorHAnsi"/>
          <w:sz w:val="18"/>
          <w:szCs w:val="18"/>
        </w:rPr>
        <w:t xml:space="preserve">The Treasury, </w:t>
      </w:r>
      <w:r w:rsidR="00A22803" w:rsidRPr="00A45246">
        <w:rPr>
          <w:sz w:val="18"/>
          <w:szCs w:val="18"/>
        </w:rPr>
        <w:t xml:space="preserve">Australian Government, </w:t>
      </w:r>
      <w:hyperlink r:id="rId12" w:history="1">
        <w:r w:rsidRPr="00A45246">
          <w:rPr>
            <w:rStyle w:val="Hyperlink"/>
            <w:rFonts w:cs="Calibri Light"/>
            <w:i/>
            <w:sz w:val="18"/>
            <w:szCs w:val="18"/>
          </w:rPr>
          <w:t>Merger Reform Consultation Paper</w:t>
        </w:r>
      </w:hyperlink>
      <w:r w:rsidRPr="00A45246">
        <w:rPr>
          <w:rFonts w:cstheme="minorHAnsi"/>
          <w:sz w:val="18"/>
          <w:szCs w:val="18"/>
        </w:rPr>
        <w:t>, November 2023, accessed 5 March 2024.</w:t>
      </w:r>
    </w:p>
  </w:footnote>
  <w:footnote w:id="15">
    <w:p w14:paraId="21FB6DD7" w14:textId="2FF3B8C7" w:rsidR="003525DF" w:rsidRDefault="003525DF" w:rsidP="00947E3E">
      <w:pPr>
        <w:pStyle w:val="FootnoteText"/>
      </w:pPr>
      <w:r w:rsidRPr="006B14BF">
        <w:rPr>
          <w:rStyle w:val="FootnoteReference"/>
          <w:rFonts w:cstheme="minorHAnsi"/>
        </w:rPr>
        <w:footnoteRef/>
      </w:r>
      <w:r w:rsidRPr="006B14BF">
        <w:rPr>
          <w:rFonts w:cstheme="minorHAnsi"/>
        </w:rPr>
        <w:t xml:space="preserve"> </w:t>
      </w:r>
      <w:r w:rsidRPr="00A45246">
        <w:rPr>
          <w:rFonts w:cstheme="minorHAnsi"/>
          <w:sz w:val="18"/>
          <w:szCs w:val="18"/>
        </w:rPr>
        <w:t xml:space="preserve">Submissions are available at </w:t>
      </w:r>
      <w:hyperlink r:id="rId13" w:history="1">
        <w:r w:rsidRPr="006562A1">
          <w:rPr>
            <w:rStyle w:val="Hyperlink"/>
            <w:rFonts w:cs="Calibri Light"/>
            <w:i/>
            <w:sz w:val="18"/>
            <w:szCs w:val="18"/>
          </w:rPr>
          <w:t xml:space="preserve">Merger Reform consultation, </w:t>
        </w:r>
        <w:r w:rsidRPr="006562A1">
          <w:rPr>
            <w:rStyle w:val="Hyperlink"/>
            <w:rFonts w:cs="Calibri Light"/>
            <w:i/>
            <w:iCs/>
            <w:sz w:val="18"/>
            <w:szCs w:val="18"/>
          </w:rPr>
          <w:t>Submissions</w:t>
        </w:r>
      </w:hyperlink>
      <w:r w:rsidRPr="006562A1">
        <w:rPr>
          <w:sz w:val="18"/>
          <w:szCs w:val="18"/>
        </w:rPr>
        <w:t xml:space="preserve">, </w:t>
      </w:r>
      <w:r w:rsidRPr="00A45246">
        <w:rPr>
          <w:rFonts w:cstheme="minorHAnsi"/>
          <w:sz w:val="18"/>
          <w:szCs w:val="18"/>
        </w:rPr>
        <w:t>treasury.gov.au website.</w:t>
      </w:r>
      <w:r>
        <w:t xml:space="preserve"> </w:t>
      </w:r>
    </w:p>
  </w:footnote>
  <w:footnote w:id="16">
    <w:p w14:paraId="45B18C39" w14:textId="1B8B4FF2" w:rsidR="003525DF" w:rsidRDefault="003525DF" w:rsidP="00947E3E">
      <w:pPr>
        <w:pStyle w:val="FootnoteText"/>
      </w:pPr>
      <w:r>
        <w:rPr>
          <w:rStyle w:val="FootnoteReference"/>
        </w:rPr>
        <w:footnoteRef/>
      </w:r>
      <w:r>
        <w:t xml:space="preserve"> </w:t>
      </w:r>
      <w:r w:rsidRPr="00A45246">
        <w:rPr>
          <w:sz w:val="18"/>
          <w:szCs w:val="18"/>
        </w:rPr>
        <w:t xml:space="preserve">These examples are detailed in ACCC, Australian Government, </w:t>
      </w:r>
      <w:hyperlink r:id="rId14" w:anchor="toc-mergers" w:history="1">
        <w:r w:rsidRPr="00A45246">
          <w:rPr>
            <w:rStyle w:val="Hyperlink"/>
            <w:rFonts w:cs="Calibri Light"/>
            <w:i/>
            <w:sz w:val="18"/>
            <w:szCs w:val="18"/>
          </w:rPr>
          <w:t>Second submission to Treasury on merger reform</w:t>
        </w:r>
      </w:hyperlink>
      <w:r w:rsidRPr="00A45246">
        <w:rPr>
          <w:sz w:val="18"/>
          <w:szCs w:val="18"/>
        </w:rPr>
        <w:t>, 31</w:t>
      </w:r>
      <w:r>
        <w:rPr>
          <w:sz w:val="18"/>
          <w:szCs w:val="18"/>
        </w:rPr>
        <w:t> </w:t>
      </w:r>
      <w:r w:rsidRPr="00A45246">
        <w:rPr>
          <w:sz w:val="18"/>
          <w:szCs w:val="18"/>
        </w:rPr>
        <w:t>January</w:t>
      </w:r>
      <w:r>
        <w:rPr>
          <w:sz w:val="18"/>
          <w:szCs w:val="18"/>
        </w:rPr>
        <w:t> </w:t>
      </w:r>
      <w:r w:rsidRPr="00A45246">
        <w:rPr>
          <w:sz w:val="18"/>
          <w:szCs w:val="18"/>
        </w:rPr>
        <w:t>2024, pp 69-70, accessed 24 May 2024.</w:t>
      </w:r>
    </w:p>
  </w:footnote>
  <w:footnote w:id="17">
    <w:p w14:paraId="6150D7B5" w14:textId="2F234362" w:rsidR="003525DF" w:rsidRDefault="003525DF" w:rsidP="00947E3E">
      <w:pPr>
        <w:pStyle w:val="FootnoteText"/>
      </w:pPr>
      <w:r>
        <w:rPr>
          <w:rStyle w:val="FootnoteReference"/>
        </w:rPr>
        <w:footnoteRef/>
      </w:r>
      <w:r>
        <w:t xml:space="preserve"> </w:t>
      </w:r>
      <w:r w:rsidRPr="00A45246">
        <w:rPr>
          <w:sz w:val="18"/>
          <w:szCs w:val="18"/>
        </w:rPr>
        <w:t xml:space="preserve">ACCC, </w:t>
      </w:r>
      <w:r w:rsidR="00DC35E2" w:rsidRPr="00A45246">
        <w:rPr>
          <w:sz w:val="18"/>
          <w:szCs w:val="18"/>
        </w:rPr>
        <w:t xml:space="preserve">Australian Government, </w:t>
      </w:r>
      <w:hyperlink r:id="rId15" w:anchor="toc-mergers" w:history="1">
        <w:r w:rsidRPr="00A45246">
          <w:rPr>
            <w:rStyle w:val="Hyperlink"/>
            <w:rFonts w:cs="Calibri Light"/>
            <w:i/>
            <w:sz w:val="18"/>
            <w:szCs w:val="18"/>
          </w:rPr>
          <w:t>Second submission to Treasury on merger reform</w:t>
        </w:r>
      </w:hyperlink>
      <w:r w:rsidRPr="00A45246">
        <w:rPr>
          <w:sz w:val="18"/>
          <w:szCs w:val="18"/>
        </w:rPr>
        <w:t>, 31 January 2024, p</w:t>
      </w:r>
      <w:r w:rsidR="008A3697">
        <w:rPr>
          <w:sz w:val="18"/>
          <w:szCs w:val="18"/>
        </w:rPr>
        <w:t>p</w:t>
      </w:r>
      <w:r w:rsidRPr="00A45246">
        <w:rPr>
          <w:sz w:val="18"/>
          <w:szCs w:val="18"/>
        </w:rPr>
        <w:t xml:space="preserve"> 67</w:t>
      </w:r>
      <w:r w:rsidR="008A3697">
        <w:rPr>
          <w:sz w:val="18"/>
          <w:szCs w:val="18"/>
        </w:rPr>
        <w:t>-68</w:t>
      </w:r>
      <w:r w:rsidRPr="00A45246">
        <w:rPr>
          <w:sz w:val="18"/>
          <w:szCs w:val="18"/>
        </w:rPr>
        <w:t>, accessed 24 May 2024</w:t>
      </w:r>
      <w:r>
        <w:rPr>
          <w:sz w:val="18"/>
          <w:szCs w:val="18"/>
        </w:rPr>
        <w:t>.</w:t>
      </w:r>
    </w:p>
  </w:footnote>
  <w:footnote w:id="18">
    <w:p w14:paraId="75702F31" w14:textId="5353C7AE" w:rsidR="003525DF" w:rsidRPr="00FE5D15" w:rsidRDefault="003525DF" w:rsidP="00947E3E">
      <w:pPr>
        <w:pStyle w:val="FootnoteText"/>
        <w:rPr>
          <w:sz w:val="16"/>
          <w:szCs w:val="16"/>
        </w:rPr>
      </w:pPr>
      <w:r w:rsidRPr="00FE5D15">
        <w:rPr>
          <w:rStyle w:val="FootnoteReference"/>
          <w:rFonts w:cs="Calibri Light"/>
        </w:rPr>
        <w:footnoteRef/>
      </w:r>
      <w:r w:rsidRPr="00FE5D15">
        <w:t xml:space="preserve"> </w:t>
      </w:r>
      <w:r w:rsidRPr="00A45246">
        <w:rPr>
          <w:sz w:val="18"/>
          <w:szCs w:val="18"/>
        </w:rPr>
        <w:t>The Treasury, Australian Government, ‘</w:t>
      </w:r>
      <w:hyperlink r:id="rId16" w:history="1">
        <w:r w:rsidRPr="00A45246">
          <w:rPr>
            <w:rStyle w:val="Hyperlink"/>
            <w:rFonts w:cs="Calibri Light"/>
            <w:i/>
            <w:sz w:val="18"/>
            <w:szCs w:val="18"/>
          </w:rPr>
          <w:t>Tracking mergers in Australia using worker flows</w:t>
        </w:r>
      </w:hyperlink>
      <w:r w:rsidRPr="00A45246">
        <w:rPr>
          <w:rStyle w:val="Hyperlink"/>
          <w:rFonts w:cs="Calibri Light"/>
          <w:i/>
          <w:sz w:val="18"/>
          <w:szCs w:val="18"/>
        </w:rPr>
        <w:t>'</w:t>
      </w:r>
      <w:r w:rsidRPr="00A45246">
        <w:rPr>
          <w:sz w:val="18"/>
          <w:szCs w:val="18"/>
        </w:rPr>
        <w:t>, p 1, accessed 5 March 2024.</w:t>
      </w:r>
    </w:p>
  </w:footnote>
  <w:footnote w:id="19">
    <w:p w14:paraId="6BCF4EFA" w14:textId="65077B5F" w:rsidR="003525DF" w:rsidRPr="00FE5D15" w:rsidRDefault="003525DF" w:rsidP="00947E3E">
      <w:pPr>
        <w:pStyle w:val="FootnoteText"/>
        <w:rPr>
          <w:sz w:val="16"/>
          <w:szCs w:val="16"/>
        </w:rPr>
      </w:pPr>
      <w:r w:rsidRPr="00FE5D15">
        <w:rPr>
          <w:rStyle w:val="FootnoteReference"/>
          <w:rFonts w:cs="Calibri Light"/>
        </w:rPr>
        <w:footnoteRef/>
      </w:r>
      <w:r w:rsidRPr="00FE5D15">
        <w:t xml:space="preserve"> </w:t>
      </w:r>
      <w:r w:rsidRPr="00A45246">
        <w:rPr>
          <w:sz w:val="18"/>
          <w:szCs w:val="18"/>
        </w:rPr>
        <w:t xml:space="preserve">The Treasury, </w:t>
      </w:r>
      <w:r w:rsidR="0031073D" w:rsidRPr="00A45246">
        <w:rPr>
          <w:sz w:val="18"/>
          <w:szCs w:val="18"/>
        </w:rPr>
        <w:t xml:space="preserve">Australian Government, </w:t>
      </w:r>
      <w:r w:rsidRPr="00A45246">
        <w:rPr>
          <w:sz w:val="18"/>
          <w:szCs w:val="18"/>
        </w:rPr>
        <w:t>‘</w:t>
      </w:r>
      <w:hyperlink r:id="rId17" w:history="1">
        <w:r w:rsidRPr="00A45246">
          <w:rPr>
            <w:rStyle w:val="Hyperlink"/>
            <w:rFonts w:cs="Calibri Light"/>
            <w:i/>
            <w:sz w:val="18"/>
            <w:szCs w:val="18"/>
          </w:rPr>
          <w:t>Tracking mergers in Australia using worker flows</w:t>
        </w:r>
      </w:hyperlink>
      <w:r w:rsidRPr="00A45246">
        <w:rPr>
          <w:rStyle w:val="Hyperlink"/>
          <w:rFonts w:cs="Calibri Light"/>
          <w:i/>
          <w:sz w:val="18"/>
          <w:szCs w:val="18"/>
        </w:rPr>
        <w:t>'</w:t>
      </w:r>
      <w:r w:rsidRPr="00A45246">
        <w:rPr>
          <w:sz w:val="18"/>
          <w:szCs w:val="18"/>
        </w:rPr>
        <w:t>, p 4, accessed 5 March 2024.</w:t>
      </w:r>
    </w:p>
  </w:footnote>
  <w:footnote w:id="20">
    <w:p w14:paraId="0B15C77B" w14:textId="40796388" w:rsidR="003525DF" w:rsidRPr="00FE5D15" w:rsidRDefault="003525DF" w:rsidP="00947E3E">
      <w:pPr>
        <w:pStyle w:val="FootnoteText"/>
      </w:pPr>
      <w:r w:rsidRPr="00FE5D15">
        <w:rPr>
          <w:rStyle w:val="FootnoteReference"/>
          <w:rFonts w:cs="Calibri Light"/>
        </w:rPr>
        <w:footnoteRef/>
      </w:r>
      <w:r w:rsidRPr="00FE5D15">
        <w:t xml:space="preserve"> </w:t>
      </w:r>
      <w:r w:rsidRPr="00A45246">
        <w:rPr>
          <w:sz w:val="18"/>
          <w:szCs w:val="18"/>
        </w:rPr>
        <w:t xml:space="preserve">The Treasury, </w:t>
      </w:r>
      <w:r w:rsidR="0031073D" w:rsidRPr="00A45246">
        <w:rPr>
          <w:sz w:val="18"/>
          <w:szCs w:val="18"/>
        </w:rPr>
        <w:t xml:space="preserve">Australian Government, </w:t>
      </w:r>
      <w:hyperlink r:id="rId18" w:history="1">
        <w:r w:rsidRPr="00A45246">
          <w:rPr>
            <w:rStyle w:val="Hyperlink"/>
            <w:rFonts w:cs="Calibri Light"/>
            <w:i/>
            <w:sz w:val="18"/>
            <w:szCs w:val="18"/>
          </w:rPr>
          <w:t>Merger Reform Consultation Paper</w:t>
        </w:r>
      </w:hyperlink>
      <w:r w:rsidRPr="00A45246">
        <w:rPr>
          <w:sz w:val="18"/>
          <w:szCs w:val="18"/>
        </w:rPr>
        <w:t>, November 2023, p 8, accessed 5 March 2024.</w:t>
      </w:r>
    </w:p>
  </w:footnote>
  <w:footnote w:id="21">
    <w:p w14:paraId="5D927A7F" w14:textId="7863A57B" w:rsidR="003525DF" w:rsidRDefault="003525DF" w:rsidP="00947E3E">
      <w:pPr>
        <w:pStyle w:val="FootnoteText"/>
      </w:pPr>
      <w:r>
        <w:rPr>
          <w:rStyle w:val="FootnoteReference"/>
        </w:rPr>
        <w:footnoteRef/>
      </w:r>
      <w:r>
        <w:t xml:space="preserve"> </w:t>
      </w:r>
      <w:r w:rsidRPr="00A45246">
        <w:rPr>
          <w:sz w:val="18"/>
          <w:szCs w:val="18"/>
        </w:rPr>
        <w:t xml:space="preserve">The Treasury, </w:t>
      </w:r>
      <w:r w:rsidR="0031073D" w:rsidRPr="00A45246">
        <w:rPr>
          <w:sz w:val="18"/>
          <w:szCs w:val="18"/>
        </w:rPr>
        <w:t xml:space="preserve">Australian Government, </w:t>
      </w:r>
      <w:hyperlink r:id="rId19" w:history="1">
        <w:r w:rsidRPr="00A45246">
          <w:rPr>
            <w:rStyle w:val="Hyperlink"/>
            <w:rFonts w:cs="Calibri Light"/>
            <w:i/>
            <w:sz w:val="18"/>
            <w:szCs w:val="18"/>
          </w:rPr>
          <w:t>Merger Reform Consultation Paper</w:t>
        </w:r>
      </w:hyperlink>
      <w:r w:rsidRPr="00A45246">
        <w:rPr>
          <w:sz w:val="18"/>
          <w:szCs w:val="18"/>
        </w:rPr>
        <w:t>, November 2023, p 8, accessed 13 May 2024.</w:t>
      </w:r>
    </w:p>
  </w:footnote>
  <w:footnote w:id="22">
    <w:p w14:paraId="5772388C" w14:textId="33FDA9E0" w:rsidR="003525DF" w:rsidRDefault="003525DF" w:rsidP="00947E3E">
      <w:pPr>
        <w:pStyle w:val="FootnoteText"/>
      </w:pPr>
      <w:r>
        <w:rPr>
          <w:rStyle w:val="FootnoteReference"/>
        </w:rPr>
        <w:footnoteRef/>
      </w:r>
      <w:r>
        <w:t xml:space="preserve"> </w:t>
      </w:r>
      <w:r w:rsidRPr="00A45246">
        <w:rPr>
          <w:sz w:val="18"/>
          <w:szCs w:val="18"/>
        </w:rPr>
        <w:t xml:space="preserve">The Treasury, </w:t>
      </w:r>
      <w:r w:rsidR="0031073D" w:rsidRPr="00A45246">
        <w:rPr>
          <w:sz w:val="18"/>
          <w:szCs w:val="18"/>
        </w:rPr>
        <w:t xml:space="preserve">Australian Government, </w:t>
      </w:r>
      <w:hyperlink r:id="rId20" w:history="1">
        <w:r w:rsidRPr="00A45246">
          <w:rPr>
            <w:rStyle w:val="Hyperlink"/>
            <w:rFonts w:cs="Calibri Light"/>
            <w:i/>
            <w:sz w:val="18"/>
            <w:szCs w:val="18"/>
          </w:rPr>
          <w:t>Merger Reform Consultation Paper</w:t>
        </w:r>
      </w:hyperlink>
      <w:r w:rsidRPr="00A45246">
        <w:rPr>
          <w:sz w:val="18"/>
          <w:szCs w:val="18"/>
        </w:rPr>
        <w:t>, November 2023, p 22, accessed 13 May 2024.</w:t>
      </w:r>
    </w:p>
  </w:footnote>
  <w:footnote w:id="23">
    <w:p w14:paraId="52AC70FE" w14:textId="2D65C300" w:rsidR="003525DF" w:rsidRDefault="003525DF">
      <w:pPr>
        <w:pStyle w:val="FootnoteText"/>
      </w:pPr>
      <w:r>
        <w:rPr>
          <w:rStyle w:val="FootnoteReference"/>
        </w:rPr>
        <w:footnoteRef/>
      </w:r>
      <w:r>
        <w:t xml:space="preserve"> </w:t>
      </w:r>
      <w:r w:rsidRPr="00A45246">
        <w:rPr>
          <w:sz w:val="18"/>
          <w:szCs w:val="18"/>
        </w:rPr>
        <w:t xml:space="preserve">ACCC, </w:t>
      </w:r>
      <w:r w:rsidR="0031073D" w:rsidRPr="00A45246">
        <w:rPr>
          <w:sz w:val="18"/>
          <w:szCs w:val="18"/>
        </w:rPr>
        <w:t xml:space="preserve">Australian Government, </w:t>
      </w:r>
      <w:hyperlink r:id="rId21" w:anchor="toc-mergers" w:history="1">
        <w:r w:rsidRPr="00A45246">
          <w:rPr>
            <w:rStyle w:val="Hyperlink"/>
            <w:rFonts w:cs="Calibri Light"/>
            <w:i/>
            <w:sz w:val="18"/>
            <w:szCs w:val="18"/>
          </w:rPr>
          <w:t>Second submission to Treasury on merger reform</w:t>
        </w:r>
      </w:hyperlink>
      <w:r w:rsidRPr="00A45246">
        <w:rPr>
          <w:sz w:val="18"/>
          <w:szCs w:val="18"/>
        </w:rPr>
        <w:t>, 31 January 2024, p 4, accessed 11</w:t>
      </w:r>
      <w:r w:rsidR="00C94B41">
        <w:rPr>
          <w:sz w:val="18"/>
          <w:szCs w:val="18"/>
        </w:rPr>
        <w:t> </w:t>
      </w:r>
      <w:r w:rsidRPr="00A45246">
        <w:rPr>
          <w:sz w:val="18"/>
          <w:szCs w:val="18"/>
        </w:rPr>
        <w:t>June</w:t>
      </w:r>
      <w:r w:rsidR="00C94B41">
        <w:rPr>
          <w:sz w:val="18"/>
          <w:szCs w:val="18"/>
        </w:rPr>
        <w:t> </w:t>
      </w:r>
      <w:r w:rsidRPr="00A45246">
        <w:rPr>
          <w:sz w:val="18"/>
          <w:szCs w:val="18"/>
        </w:rPr>
        <w:t>2024.</w:t>
      </w:r>
      <w:r w:rsidRPr="00A45246" w:rsidDel="000F57B4">
        <w:rPr>
          <w:sz w:val="18"/>
          <w:szCs w:val="18"/>
          <w:highlight w:val="yellow"/>
        </w:rPr>
        <w:t xml:space="preserve"> </w:t>
      </w:r>
      <w:r w:rsidRPr="00A45246">
        <w:rPr>
          <w:sz w:val="18"/>
          <w:szCs w:val="18"/>
        </w:rPr>
        <w:t xml:space="preserve"> </w:t>
      </w:r>
    </w:p>
  </w:footnote>
  <w:footnote w:id="24">
    <w:p w14:paraId="46975E53" w14:textId="689AF2C6" w:rsidR="003525DF" w:rsidRDefault="003525DF">
      <w:pPr>
        <w:pStyle w:val="FootnoteText"/>
      </w:pPr>
      <w:r>
        <w:rPr>
          <w:rStyle w:val="FootnoteReference"/>
        </w:rPr>
        <w:footnoteRef/>
      </w:r>
      <w:r>
        <w:t xml:space="preserve"> </w:t>
      </w:r>
      <w:r w:rsidRPr="006562A1">
        <w:rPr>
          <w:sz w:val="18"/>
          <w:szCs w:val="18"/>
        </w:rPr>
        <w:t xml:space="preserve">ACCC, </w:t>
      </w:r>
      <w:r w:rsidR="0031073D" w:rsidRPr="00A45246">
        <w:rPr>
          <w:sz w:val="18"/>
          <w:szCs w:val="18"/>
        </w:rPr>
        <w:t xml:space="preserve">Australian Government, </w:t>
      </w:r>
      <w:hyperlink r:id="rId22" w:anchor="toc-mergers" w:history="1">
        <w:r w:rsidRPr="006562A1">
          <w:rPr>
            <w:rStyle w:val="Hyperlink"/>
            <w:rFonts w:cs="Calibri Light"/>
            <w:i/>
            <w:sz w:val="18"/>
            <w:szCs w:val="18"/>
          </w:rPr>
          <w:t>Second submission to Treasury on merger reform</w:t>
        </w:r>
      </w:hyperlink>
      <w:r w:rsidRPr="006562A1">
        <w:rPr>
          <w:sz w:val="18"/>
          <w:szCs w:val="18"/>
        </w:rPr>
        <w:t>, 31 January 2024, p 63, accessed 11</w:t>
      </w:r>
      <w:r w:rsidR="00C94B41">
        <w:rPr>
          <w:sz w:val="18"/>
          <w:szCs w:val="18"/>
        </w:rPr>
        <w:t> </w:t>
      </w:r>
      <w:r w:rsidRPr="006562A1">
        <w:rPr>
          <w:sz w:val="18"/>
          <w:szCs w:val="18"/>
        </w:rPr>
        <w:t>June</w:t>
      </w:r>
      <w:r w:rsidR="00C94B41">
        <w:rPr>
          <w:sz w:val="18"/>
          <w:szCs w:val="18"/>
        </w:rPr>
        <w:t> </w:t>
      </w:r>
      <w:r w:rsidRPr="006562A1">
        <w:rPr>
          <w:sz w:val="18"/>
          <w:szCs w:val="18"/>
        </w:rPr>
        <w:t>2024.</w:t>
      </w:r>
      <w:r w:rsidRPr="009D1450" w:rsidDel="000F57B4">
        <w:rPr>
          <w:highlight w:val="yellow"/>
        </w:rPr>
        <w:t xml:space="preserve"> </w:t>
      </w:r>
      <w:r>
        <w:t xml:space="preserve"> </w:t>
      </w:r>
    </w:p>
  </w:footnote>
  <w:footnote w:id="25">
    <w:p w14:paraId="0AB32638" w14:textId="5329F39F" w:rsidR="003525DF" w:rsidRDefault="003525DF" w:rsidP="007F25AD">
      <w:pPr>
        <w:pStyle w:val="FootnoteText"/>
      </w:pPr>
      <w:r>
        <w:rPr>
          <w:rStyle w:val="FootnoteReference"/>
        </w:rPr>
        <w:footnoteRef/>
      </w:r>
      <w:r>
        <w:t xml:space="preserve"> </w:t>
      </w:r>
      <w:r w:rsidRPr="006562A1">
        <w:rPr>
          <w:sz w:val="18"/>
          <w:szCs w:val="18"/>
        </w:rPr>
        <w:t xml:space="preserve">ACCC, </w:t>
      </w:r>
      <w:r w:rsidR="0031073D" w:rsidRPr="00A45246">
        <w:rPr>
          <w:sz w:val="18"/>
          <w:szCs w:val="18"/>
        </w:rPr>
        <w:t xml:space="preserve">Australian Government, </w:t>
      </w:r>
      <w:hyperlink r:id="rId23" w:anchor="toc-mergers" w:history="1">
        <w:r w:rsidRPr="006562A1">
          <w:rPr>
            <w:rStyle w:val="Hyperlink"/>
            <w:rFonts w:cs="Calibri Light"/>
            <w:i/>
            <w:sz w:val="18"/>
            <w:szCs w:val="18"/>
          </w:rPr>
          <w:t>Second submission to Treasury on merger reform</w:t>
        </w:r>
      </w:hyperlink>
      <w:r w:rsidRPr="006562A1">
        <w:rPr>
          <w:sz w:val="18"/>
          <w:szCs w:val="18"/>
        </w:rPr>
        <w:t>, 31 January 2024, pp 69-70, accessed 24</w:t>
      </w:r>
      <w:r w:rsidR="00C94B41">
        <w:rPr>
          <w:sz w:val="18"/>
          <w:szCs w:val="18"/>
        </w:rPr>
        <w:t> </w:t>
      </w:r>
      <w:r w:rsidRPr="006562A1">
        <w:rPr>
          <w:sz w:val="18"/>
          <w:szCs w:val="18"/>
        </w:rPr>
        <w:t>May</w:t>
      </w:r>
      <w:r w:rsidR="00C94B41">
        <w:rPr>
          <w:sz w:val="18"/>
          <w:szCs w:val="18"/>
        </w:rPr>
        <w:t> </w:t>
      </w:r>
      <w:r w:rsidRPr="006562A1">
        <w:rPr>
          <w:sz w:val="18"/>
          <w:szCs w:val="18"/>
        </w:rPr>
        <w:t>2024.</w:t>
      </w:r>
      <w:r w:rsidRPr="006562A1" w:rsidDel="000F57B4">
        <w:rPr>
          <w:sz w:val="18"/>
          <w:szCs w:val="18"/>
          <w:highlight w:val="yellow"/>
        </w:rPr>
        <w:t xml:space="preserve"> </w:t>
      </w:r>
      <w:r w:rsidRPr="006562A1">
        <w:rPr>
          <w:sz w:val="18"/>
          <w:szCs w:val="18"/>
        </w:rPr>
        <w:t xml:space="preserve"> </w:t>
      </w:r>
    </w:p>
  </w:footnote>
  <w:footnote w:id="26">
    <w:p w14:paraId="3F2C297E" w14:textId="6FFC61A8" w:rsidR="003525DF" w:rsidRDefault="003525DF" w:rsidP="00947E3E">
      <w:pPr>
        <w:pStyle w:val="FootnoteText"/>
      </w:pPr>
      <w:r>
        <w:rPr>
          <w:rStyle w:val="FootnoteReference"/>
        </w:rPr>
        <w:footnoteRef/>
      </w:r>
      <w:r>
        <w:t xml:space="preserve"> </w:t>
      </w:r>
      <w:r w:rsidRPr="006562A1">
        <w:rPr>
          <w:sz w:val="18"/>
          <w:szCs w:val="18"/>
        </w:rPr>
        <w:t xml:space="preserve">Dr Rhonda Smith University of Melbourne and Professor Deborah Healey UNSW Law and Justice, </w:t>
      </w:r>
      <w:hyperlink r:id="rId24" w:history="1">
        <w:r w:rsidRPr="006562A1">
          <w:rPr>
            <w:rStyle w:val="Hyperlink"/>
            <w:i/>
            <w:sz w:val="18"/>
            <w:szCs w:val="18"/>
          </w:rPr>
          <w:t>Treasury Submission re Merger Reform</w:t>
        </w:r>
      </w:hyperlink>
      <w:r w:rsidRPr="006562A1">
        <w:rPr>
          <w:sz w:val="18"/>
          <w:szCs w:val="18"/>
        </w:rPr>
        <w:t>,</w:t>
      </w:r>
      <w:r w:rsidRPr="006562A1">
        <w:rPr>
          <w:i/>
          <w:sz w:val="18"/>
          <w:szCs w:val="18"/>
        </w:rPr>
        <w:t xml:space="preserve"> </w:t>
      </w:r>
      <w:r w:rsidRPr="006562A1">
        <w:rPr>
          <w:sz w:val="18"/>
          <w:szCs w:val="18"/>
        </w:rPr>
        <w:t>p 2, accessed on 28 May 2024.</w:t>
      </w:r>
      <w:r>
        <w:t xml:space="preserve"> </w:t>
      </w:r>
    </w:p>
  </w:footnote>
  <w:footnote w:id="27">
    <w:p w14:paraId="1C40ABDB" w14:textId="7D923DA8" w:rsidR="003525DF" w:rsidRDefault="003525DF" w:rsidP="00947E3E">
      <w:pPr>
        <w:pStyle w:val="FootnoteText"/>
      </w:pPr>
      <w:r w:rsidRPr="009C2EE7">
        <w:rPr>
          <w:rStyle w:val="FootnoteReference"/>
        </w:rPr>
        <w:footnoteRef/>
      </w:r>
      <w:r w:rsidRPr="009C2EE7">
        <w:t xml:space="preserve"> </w:t>
      </w:r>
      <w:r w:rsidR="00241C6B" w:rsidRPr="00741B4C">
        <w:rPr>
          <w:rFonts w:cstheme="minorHAnsi"/>
          <w:sz w:val="18"/>
          <w:szCs w:val="18"/>
        </w:rPr>
        <w:t>Th</w:t>
      </w:r>
      <w:r w:rsidR="00B947A2" w:rsidRPr="00741B4C">
        <w:rPr>
          <w:rFonts w:cstheme="minorHAnsi"/>
          <w:sz w:val="18"/>
          <w:szCs w:val="18"/>
        </w:rPr>
        <w:t xml:space="preserve">e ACCC’s ex post review involved analysis of </w:t>
      </w:r>
      <w:r w:rsidR="00CA56F8" w:rsidRPr="00741B4C">
        <w:rPr>
          <w:rFonts w:cstheme="minorHAnsi"/>
          <w:sz w:val="18"/>
          <w:szCs w:val="18"/>
        </w:rPr>
        <w:t xml:space="preserve">time of day </w:t>
      </w:r>
      <w:r w:rsidR="00B947A2" w:rsidRPr="00741B4C">
        <w:rPr>
          <w:rFonts w:cstheme="minorHAnsi"/>
          <w:sz w:val="18"/>
          <w:szCs w:val="18"/>
        </w:rPr>
        <w:t xml:space="preserve">petrol pricing data </w:t>
      </w:r>
      <w:r w:rsidR="00CA56F8" w:rsidRPr="00741B4C">
        <w:rPr>
          <w:rFonts w:cstheme="minorHAnsi"/>
          <w:sz w:val="18"/>
          <w:szCs w:val="18"/>
        </w:rPr>
        <w:t xml:space="preserve">for almost all retail petrol sites in Melbourne for the period </w:t>
      </w:r>
      <w:r w:rsidR="004E24DF" w:rsidRPr="00741B4C">
        <w:rPr>
          <w:rFonts w:cstheme="minorHAnsi"/>
          <w:sz w:val="18"/>
          <w:szCs w:val="18"/>
        </w:rPr>
        <w:t>2015 to 2019. This enabled the ACCC to assess the effect of the acquisition (which occurred in May 2017) on regular unleaded petrol prices</w:t>
      </w:r>
      <w:r w:rsidR="00D41FF9" w:rsidRPr="00741B4C">
        <w:rPr>
          <w:rFonts w:cstheme="minorHAnsi"/>
          <w:sz w:val="18"/>
          <w:szCs w:val="18"/>
        </w:rPr>
        <w:t xml:space="preserve">, </w:t>
      </w:r>
      <w:r w:rsidR="00A34F14" w:rsidRPr="00741B4C">
        <w:rPr>
          <w:rFonts w:cstheme="minorHAnsi"/>
          <w:sz w:val="18"/>
          <w:szCs w:val="18"/>
        </w:rPr>
        <w:t xml:space="preserve">ACCC, </w:t>
      </w:r>
      <w:r w:rsidR="00A50B2D" w:rsidRPr="00741B4C">
        <w:rPr>
          <w:rFonts w:cstheme="minorHAnsi"/>
          <w:sz w:val="18"/>
          <w:szCs w:val="18"/>
        </w:rPr>
        <w:t xml:space="preserve">Australian Government, </w:t>
      </w:r>
      <w:hyperlink r:id="rId25" w:history="1">
        <w:r w:rsidR="00D41FF9" w:rsidRPr="00741B4C">
          <w:rPr>
            <w:rStyle w:val="Hyperlink"/>
            <w:rFonts w:asciiTheme="minorHAnsi" w:hAnsiTheme="minorHAnsi" w:cstheme="minorHAnsi"/>
            <w:i/>
            <w:sz w:val="18"/>
            <w:szCs w:val="18"/>
          </w:rPr>
          <w:t>Ex post review of merger decisions 2022</w:t>
        </w:r>
      </w:hyperlink>
      <w:r w:rsidR="00E13A85" w:rsidRPr="00741B4C">
        <w:rPr>
          <w:rFonts w:cstheme="minorHAnsi"/>
          <w:sz w:val="18"/>
          <w:szCs w:val="18"/>
        </w:rPr>
        <w:t xml:space="preserve">, </w:t>
      </w:r>
      <w:r w:rsidR="00B26400" w:rsidRPr="00741B4C">
        <w:rPr>
          <w:rFonts w:cstheme="minorHAnsi"/>
          <w:sz w:val="18"/>
          <w:szCs w:val="18"/>
        </w:rPr>
        <w:t xml:space="preserve">p 11, accessed </w:t>
      </w:r>
      <w:r w:rsidR="001C265B" w:rsidRPr="00741B4C">
        <w:rPr>
          <w:rFonts w:cstheme="minorHAnsi"/>
          <w:sz w:val="18"/>
          <w:szCs w:val="18"/>
        </w:rPr>
        <w:t>on 24 June</w:t>
      </w:r>
      <w:r w:rsidR="001C265B" w:rsidRPr="00AF6E84">
        <w:t xml:space="preserve"> </w:t>
      </w:r>
      <w:r w:rsidR="001C265B" w:rsidRPr="00AF6E84">
        <w:rPr>
          <w:rFonts w:cstheme="minorHAnsi"/>
          <w:sz w:val="18"/>
          <w:szCs w:val="18"/>
        </w:rPr>
        <w:t>2024</w:t>
      </w:r>
      <w:r w:rsidR="004839E5" w:rsidRPr="00741B4C">
        <w:rPr>
          <w:rFonts w:cstheme="minorHAnsi"/>
          <w:sz w:val="18"/>
          <w:szCs w:val="18"/>
        </w:rPr>
        <w:t xml:space="preserve">;  </w:t>
      </w:r>
      <w:r w:rsidRPr="00741B4C">
        <w:rPr>
          <w:rFonts w:cstheme="minorHAnsi"/>
          <w:sz w:val="18"/>
          <w:szCs w:val="18"/>
        </w:rPr>
        <w:t xml:space="preserve">ACCC, </w:t>
      </w:r>
      <w:r w:rsidR="00A34F14" w:rsidRPr="00741B4C">
        <w:rPr>
          <w:rFonts w:cstheme="minorHAnsi"/>
          <w:sz w:val="18"/>
          <w:szCs w:val="18"/>
        </w:rPr>
        <w:t xml:space="preserve">Australian Government, </w:t>
      </w:r>
      <w:hyperlink r:id="rId26" w:anchor="toc-mergers" w:history="1">
        <w:r w:rsidRPr="00741B4C">
          <w:rPr>
            <w:rStyle w:val="Hyperlink"/>
            <w:rFonts w:asciiTheme="minorHAnsi" w:hAnsiTheme="minorHAnsi" w:cstheme="minorHAnsi"/>
            <w:i/>
            <w:sz w:val="18"/>
            <w:szCs w:val="18"/>
          </w:rPr>
          <w:t>Second submission to Treasury on merger reform</w:t>
        </w:r>
      </w:hyperlink>
      <w:r w:rsidRPr="00741B4C">
        <w:rPr>
          <w:rFonts w:cstheme="minorHAnsi"/>
          <w:sz w:val="18"/>
          <w:szCs w:val="18"/>
        </w:rPr>
        <w:t>, 31</w:t>
      </w:r>
      <w:r w:rsidR="00B85903">
        <w:rPr>
          <w:rFonts w:cstheme="minorHAnsi"/>
          <w:sz w:val="18"/>
          <w:szCs w:val="18"/>
        </w:rPr>
        <w:t> </w:t>
      </w:r>
      <w:r w:rsidRPr="00741B4C">
        <w:rPr>
          <w:rFonts w:cstheme="minorHAnsi"/>
          <w:sz w:val="18"/>
          <w:szCs w:val="18"/>
        </w:rPr>
        <w:t>January</w:t>
      </w:r>
      <w:r w:rsidR="00B85903">
        <w:rPr>
          <w:rFonts w:cstheme="minorHAnsi"/>
          <w:sz w:val="18"/>
          <w:szCs w:val="18"/>
        </w:rPr>
        <w:t> </w:t>
      </w:r>
      <w:r w:rsidRPr="00741B4C">
        <w:rPr>
          <w:rFonts w:cstheme="minorHAnsi"/>
          <w:sz w:val="18"/>
          <w:szCs w:val="18"/>
        </w:rPr>
        <w:t>2024, p 6, accessed 5 March 2024.</w:t>
      </w:r>
    </w:p>
  </w:footnote>
  <w:footnote w:id="28">
    <w:p w14:paraId="4828E33F" w14:textId="580550A0" w:rsidR="003525DF" w:rsidRDefault="003525DF" w:rsidP="00AF0AF4">
      <w:pPr>
        <w:pStyle w:val="FootnoteText"/>
      </w:pPr>
      <w:r>
        <w:rPr>
          <w:rStyle w:val="FootnoteReference"/>
        </w:rPr>
        <w:footnoteRef/>
      </w:r>
      <w:r>
        <w:t xml:space="preserve"> </w:t>
      </w:r>
      <w:r w:rsidRPr="006562A1">
        <w:rPr>
          <w:sz w:val="18"/>
          <w:szCs w:val="18"/>
        </w:rPr>
        <w:t xml:space="preserve">ACCC, Australian Government, </w:t>
      </w:r>
      <w:hyperlink r:id="rId27" w:anchor="toc-mergers" w:history="1">
        <w:r w:rsidRPr="006562A1">
          <w:rPr>
            <w:rStyle w:val="Hyperlink"/>
            <w:rFonts w:cs="Calibri Light"/>
            <w:i/>
            <w:sz w:val="18"/>
            <w:szCs w:val="18"/>
          </w:rPr>
          <w:t>Second submission to Treasury on merger reform</w:t>
        </w:r>
      </w:hyperlink>
      <w:r w:rsidRPr="006562A1">
        <w:rPr>
          <w:rStyle w:val="Hyperlink"/>
          <w:rFonts w:cs="Calibri Light"/>
          <w:i/>
          <w:sz w:val="18"/>
          <w:szCs w:val="18"/>
        </w:rPr>
        <w:t>- Attachment B:</w:t>
      </w:r>
      <w:r w:rsidRPr="006562A1">
        <w:rPr>
          <w:sz w:val="18"/>
          <w:szCs w:val="18"/>
        </w:rPr>
        <w:t xml:space="preserve"> </w:t>
      </w:r>
      <w:r w:rsidRPr="006562A1">
        <w:rPr>
          <w:rStyle w:val="Hyperlink"/>
          <w:rFonts w:cs="Calibri Light"/>
          <w:i/>
          <w:sz w:val="18"/>
          <w:szCs w:val="18"/>
        </w:rPr>
        <w:t xml:space="preserve">Report by Dr Graeme Woodbridge </w:t>
      </w:r>
      <w:r w:rsidRPr="006562A1">
        <w:rPr>
          <w:sz w:val="18"/>
          <w:szCs w:val="18"/>
        </w:rPr>
        <w:t>, 31 January 2024, p 13, accessed 12 June 2024.</w:t>
      </w:r>
      <w:r w:rsidRPr="006562A1" w:rsidDel="000F57B4">
        <w:rPr>
          <w:sz w:val="18"/>
          <w:szCs w:val="18"/>
          <w:highlight w:val="yellow"/>
        </w:rPr>
        <w:t xml:space="preserve"> </w:t>
      </w:r>
      <w:r w:rsidRPr="006562A1">
        <w:rPr>
          <w:sz w:val="18"/>
          <w:szCs w:val="18"/>
        </w:rPr>
        <w:t xml:space="preserve"> </w:t>
      </w:r>
    </w:p>
  </w:footnote>
  <w:footnote w:id="29">
    <w:p w14:paraId="63A2CCD0" w14:textId="2DF7B86F" w:rsidR="003525DF" w:rsidRDefault="003525DF" w:rsidP="00AF0AF4">
      <w:pPr>
        <w:pStyle w:val="FootnoteText"/>
      </w:pPr>
      <w:r>
        <w:rPr>
          <w:rStyle w:val="FootnoteReference"/>
        </w:rPr>
        <w:footnoteRef/>
      </w:r>
      <w:r>
        <w:t xml:space="preserve"> </w:t>
      </w:r>
      <w:r w:rsidRPr="006562A1">
        <w:rPr>
          <w:sz w:val="18"/>
          <w:szCs w:val="18"/>
        </w:rPr>
        <w:t xml:space="preserve">ACCC, </w:t>
      </w:r>
      <w:r w:rsidR="00A50B2D" w:rsidRPr="006562A1">
        <w:rPr>
          <w:sz w:val="18"/>
          <w:szCs w:val="18"/>
        </w:rPr>
        <w:t xml:space="preserve">Australian Government, </w:t>
      </w:r>
      <w:hyperlink r:id="rId28" w:anchor="toc-mergers" w:history="1">
        <w:r w:rsidRPr="006562A1">
          <w:rPr>
            <w:rStyle w:val="Hyperlink"/>
            <w:rFonts w:cs="Calibri Light"/>
            <w:i/>
            <w:sz w:val="18"/>
            <w:szCs w:val="18"/>
          </w:rPr>
          <w:t>Second submission to Treasury on merger reform</w:t>
        </w:r>
      </w:hyperlink>
      <w:r w:rsidRPr="006562A1">
        <w:rPr>
          <w:rStyle w:val="Hyperlink"/>
          <w:rFonts w:cs="Calibri Light"/>
          <w:i/>
          <w:sz w:val="18"/>
          <w:szCs w:val="18"/>
        </w:rPr>
        <w:t>- Attachment B:</w:t>
      </w:r>
      <w:r w:rsidRPr="006562A1">
        <w:rPr>
          <w:sz w:val="18"/>
          <w:szCs w:val="18"/>
        </w:rPr>
        <w:t xml:space="preserve"> </w:t>
      </w:r>
      <w:r w:rsidRPr="006562A1">
        <w:rPr>
          <w:rStyle w:val="Hyperlink"/>
          <w:rFonts w:cs="Calibri Light"/>
          <w:i/>
          <w:sz w:val="18"/>
          <w:szCs w:val="18"/>
        </w:rPr>
        <w:t>Report by Dr Graeme Woodbridge</w:t>
      </w:r>
      <w:r w:rsidRPr="006562A1">
        <w:rPr>
          <w:sz w:val="18"/>
          <w:szCs w:val="18"/>
        </w:rPr>
        <w:t>, 31</w:t>
      </w:r>
      <w:r>
        <w:rPr>
          <w:sz w:val="18"/>
          <w:szCs w:val="18"/>
        </w:rPr>
        <w:t> </w:t>
      </w:r>
      <w:r w:rsidRPr="006562A1">
        <w:rPr>
          <w:sz w:val="18"/>
          <w:szCs w:val="18"/>
        </w:rPr>
        <w:t>January</w:t>
      </w:r>
      <w:r>
        <w:rPr>
          <w:sz w:val="18"/>
          <w:szCs w:val="18"/>
        </w:rPr>
        <w:t> </w:t>
      </w:r>
      <w:r w:rsidRPr="006562A1">
        <w:rPr>
          <w:sz w:val="18"/>
          <w:szCs w:val="18"/>
        </w:rPr>
        <w:t>2024, p 14, accessed 12 June 2024.</w:t>
      </w:r>
      <w:r w:rsidRPr="009D1450" w:rsidDel="000F57B4">
        <w:rPr>
          <w:highlight w:val="yellow"/>
        </w:rPr>
        <w:t xml:space="preserve"> </w:t>
      </w:r>
      <w:r>
        <w:t xml:space="preserve"> </w:t>
      </w:r>
    </w:p>
  </w:footnote>
  <w:footnote w:id="30">
    <w:p w14:paraId="77983B19" w14:textId="5D65B405" w:rsidR="003525DF" w:rsidRDefault="003525DF" w:rsidP="00AF0AF4">
      <w:pPr>
        <w:pStyle w:val="FootnoteText"/>
      </w:pPr>
      <w:r>
        <w:rPr>
          <w:rStyle w:val="FootnoteReference"/>
        </w:rPr>
        <w:footnoteRef/>
      </w:r>
      <w:r>
        <w:t xml:space="preserve"> </w:t>
      </w:r>
      <w:r w:rsidRPr="006562A1">
        <w:rPr>
          <w:sz w:val="18"/>
          <w:szCs w:val="18"/>
        </w:rPr>
        <w:t xml:space="preserve">ACCC, </w:t>
      </w:r>
      <w:r w:rsidR="00A50B2D" w:rsidRPr="006562A1">
        <w:rPr>
          <w:sz w:val="18"/>
          <w:szCs w:val="18"/>
        </w:rPr>
        <w:t xml:space="preserve">Australian Government, </w:t>
      </w:r>
      <w:hyperlink r:id="rId29" w:anchor="toc-mergers" w:history="1">
        <w:r w:rsidRPr="006562A1">
          <w:rPr>
            <w:rStyle w:val="Hyperlink"/>
            <w:rFonts w:cs="Calibri Light"/>
            <w:i/>
            <w:sz w:val="18"/>
            <w:szCs w:val="18"/>
          </w:rPr>
          <w:t>Second submission to Treasury on merger reform</w:t>
        </w:r>
      </w:hyperlink>
      <w:r w:rsidRPr="006562A1">
        <w:rPr>
          <w:rStyle w:val="Hyperlink"/>
          <w:rFonts w:cs="Calibri Light"/>
          <w:i/>
          <w:sz w:val="18"/>
          <w:szCs w:val="18"/>
        </w:rPr>
        <w:t>- Attachment B:</w:t>
      </w:r>
      <w:r w:rsidRPr="006562A1">
        <w:rPr>
          <w:sz w:val="18"/>
          <w:szCs w:val="18"/>
        </w:rPr>
        <w:t xml:space="preserve"> </w:t>
      </w:r>
      <w:r w:rsidRPr="006562A1">
        <w:rPr>
          <w:rStyle w:val="Hyperlink"/>
          <w:rFonts w:cs="Calibri Light"/>
          <w:i/>
          <w:sz w:val="18"/>
          <w:szCs w:val="18"/>
        </w:rPr>
        <w:t>Report by Dr Graeme Woodbridge</w:t>
      </w:r>
      <w:r w:rsidRPr="006562A1">
        <w:rPr>
          <w:sz w:val="18"/>
          <w:szCs w:val="18"/>
        </w:rPr>
        <w:t>, 31</w:t>
      </w:r>
      <w:r>
        <w:rPr>
          <w:sz w:val="18"/>
          <w:szCs w:val="18"/>
        </w:rPr>
        <w:t> </w:t>
      </w:r>
      <w:r w:rsidRPr="006562A1">
        <w:rPr>
          <w:sz w:val="18"/>
          <w:szCs w:val="18"/>
        </w:rPr>
        <w:t>January</w:t>
      </w:r>
      <w:r>
        <w:rPr>
          <w:sz w:val="18"/>
          <w:szCs w:val="18"/>
        </w:rPr>
        <w:t> </w:t>
      </w:r>
      <w:r w:rsidRPr="006562A1">
        <w:rPr>
          <w:sz w:val="18"/>
          <w:szCs w:val="18"/>
        </w:rPr>
        <w:t>2024, p 15, accessed 12 June 2024.</w:t>
      </w:r>
      <w:r w:rsidRPr="009D1450" w:rsidDel="000F57B4">
        <w:rPr>
          <w:highlight w:val="yellow"/>
        </w:rPr>
        <w:t xml:space="preserve"> </w:t>
      </w:r>
    </w:p>
  </w:footnote>
  <w:footnote w:id="31">
    <w:p w14:paraId="262031BC" w14:textId="447A1BF0" w:rsidR="003525DF" w:rsidRDefault="003525DF" w:rsidP="00AF0AF4">
      <w:pPr>
        <w:pStyle w:val="FootnoteText"/>
      </w:pPr>
      <w:r>
        <w:rPr>
          <w:rStyle w:val="FootnoteReference"/>
        </w:rPr>
        <w:footnoteRef/>
      </w:r>
      <w:r>
        <w:t xml:space="preserve"> </w:t>
      </w:r>
      <w:r w:rsidRPr="006562A1">
        <w:rPr>
          <w:sz w:val="18"/>
          <w:szCs w:val="18"/>
        </w:rPr>
        <w:t xml:space="preserve">ACCC, </w:t>
      </w:r>
      <w:r w:rsidR="00A50B2D" w:rsidRPr="006562A1">
        <w:rPr>
          <w:sz w:val="18"/>
          <w:szCs w:val="18"/>
        </w:rPr>
        <w:t xml:space="preserve">Australian Government, </w:t>
      </w:r>
      <w:hyperlink r:id="rId30" w:anchor="toc-mergers" w:history="1">
        <w:r w:rsidRPr="006562A1">
          <w:rPr>
            <w:rStyle w:val="Hyperlink"/>
            <w:rFonts w:cs="Calibri Light"/>
            <w:i/>
            <w:sz w:val="18"/>
            <w:szCs w:val="18"/>
          </w:rPr>
          <w:t>Second submission to Treasury on merger reform</w:t>
        </w:r>
      </w:hyperlink>
      <w:r w:rsidRPr="006562A1">
        <w:rPr>
          <w:rStyle w:val="Hyperlink"/>
          <w:rFonts w:cs="Calibri Light"/>
          <w:i/>
          <w:sz w:val="18"/>
          <w:szCs w:val="18"/>
        </w:rPr>
        <w:t>- Attachment B:</w:t>
      </w:r>
      <w:r w:rsidRPr="006562A1">
        <w:rPr>
          <w:sz w:val="18"/>
          <w:szCs w:val="18"/>
        </w:rPr>
        <w:t xml:space="preserve"> </w:t>
      </w:r>
      <w:r w:rsidRPr="006562A1">
        <w:rPr>
          <w:rStyle w:val="Hyperlink"/>
          <w:rFonts w:cs="Calibri Light"/>
          <w:i/>
          <w:sz w:val="18"/>
          <w:szCs w:val="18"/>
        </w:rPr>
        <w:t>Report by Dr Graeme Woodbridge</w:t>
      </w:r>
      <w:r w:rsidRPr="006562A1">
        <w:rPr>
          <w:sz w:val="18"/>
          <w:szCs w:val="18"/>
        </w:rPr>
        <w:t>, 31</w:t>
      </w:r>
      <w:r>
        <w:rPr>
          <w:sz w:val="18"/>
          <w:szCs w:val="18"/>
        </w:rPr>
        <w:t> </w:t>
      </w:r>
      <w:r w:rsidRPr="006562A1">
        <w:rPr>
          <w:sz w:val="18"/>
          <w:szCs w:val="18"/>
        </w:rPr>
        <w:t>January</w:t>
      </w:r>
      <w:r>
        <w:rPr>
          <w:sz w:val="18"/>
          <w:szCs w:val="18"/>
        </w:rPr>
        <w:t> </w:t>
      </w:r>
      <w:r w:rsidRPr="006562A1">
        <w:rPr>
          <w:sz w:val="18"/>
          <w:szCs w:val="18"/>
        </w:rPr>
        <w:t>2024, pp 15-16, accessed 12 June 2024.</w:t>
      </w:r>
      <w:r w:rsidRPr="009D1450" w:rsidDel="000F57B4">
        <w:rPr>
          <w:highlight w:val="yellow"/>
        </w:rPr>
        <w:t xml:space="preserve"> </w:t>
      </w:r>
    </w:p>
  </w:footnote>
  <w:footnote w:id="32">
    <w:p w14:paraId="780DA54E" w14:textId="631C0B25" w:rsidR="003525DF" w:rsidRDefault="003525DF" w:rsidP="00947E3E">
      <w:pPr>
        <w:pStyle w:val="FootnoteText"/>
      </w:pPr>
      <w:r>
        <w:rPr>
          <w:rStyle w:val="FootnoteReference"/>
        </w:rPr>
        <w:footnoteRef/>
      </w:r>
      <w:r>
        <w:t xml:space="preserve"> </w:t>
      </w:r>
      <w:r w:rsidRPr="006562A1">
        <w:rPr>
          <w:sz w:val="18"/>
          <w:szCs w:val="18"/>
        </w:rPr>
        <w:t xml:space="preserve">Business Council of Australia, </w:t>
      </w:r>
      <w:hyperlink r:id="rId31" w:history="1">
        <w:r w:rsidRPr="006562A1">
          <w:rPr>
            <w:rStyle w:val="Hyperlink"/>
            <w:i/>
            <w:sz w:val="18"/>
            <w:szCs w:val="18"/>
          </w:rPr>
          <w:t>Submission to Merger Reform consultation</w:t>
        </w:r>
      </w:hyperlink>
      <w:r w:rsidRPr="006562A1">
        <w:rPr>
          <w:sz w:val="18"/>
          <w:szCs w:val="18"/>
        </w:rPr>
        <w:t>, January 2024, p 19, accessed 23 May 2024</w:t>
      </w:r>
      <w:r>
        <w:rPr>
          <w:sz w:val="18"/>
          <w:szCs w:val="18"/>
        </w:rPr>
        <w:t>.</w:t>
      </w:r>
    </w:p>
  </w:footnote>
  <w:footnote w:id="33">
    <w:p w14:paraId="3E8B9CBE" w14:textId="03CFCE97" w:rsidR="003525DF" w:rsidRDefault="003525DF" w:rsidP="00947E3E">
      <w:pPr>
        <w:pStyle w:val="FootnoteText"/>
      </w:pPr>
      <w:r>
        <w:rPr>
          <w:rStyle w:val="FootnoteReference"/>
        </w:rPr>
        <w:footnoteRef/>
      </w:r>
      <w:r>
        <w:t xml:space="preserve"> </w:t>
      </w:r>
      <w:r w:rsidRPr="006562A1">
        <w:rPr>
          <w:sz w:val="18"/>
          <w:szCs w:val="18"/>
        </w:rPr>
        <w:t xml:space="preserve">See ACCC, Australian Government, </w:t>
      </w:r>
      <w:hyperlink r:id="rId32" w:history="1">
        <w:r w:rsidRPr="006562A1">
          <w:rPr>
            <w:rStyle w:val="Hyperlink"/>
            <w:i/>
            <w:sz w:val="18"/>
            <w:szCs w:val="18"/>
          </w:rPr>
          <w:t>Annual Report 2022-23</w:t>
        </w:r>
      </w:hyperlink>
      <w:r w:rsidRPr="006562A1">
        <w:rPr>
          <w:sz w:val="18"/>
          <w:szCs w:val="18"/>
        </w:rPr>
        <w:t xml:space="preserve">, October 2023, p 67, accessed 24 May 2024. </w:t>
      </w:r>
    </w:p>
  </w:footnote>
  <w:footnote w:id="34">
    <w:p w14:paraId="7DA161AC" w14:textId="095196F1" w:rsidR="00ED2D16" w:rsidRDefault="00ED2D16">
      <w:pPr>
        <w:pStyle w:val="FootnoteText"/>
      </w:pPr>
      <w:r>
        <w:rPr>
          <w:rStyle w:val="FootnoteReference"/>
        </w:rPr>
        <w:footnoteRef/>
      </w:r>
      <w:r>
        <w:t xml:space="preserve"> </w:t>
      </w:r>
      <w:r>
        <w:rPr>
          <w:kern w:val="0"/>
          <w:sz w:val="18"/>
          <w:szCs w:val="18"/>
          <w14:ligatures w14:val="none"/>
        </w:rPr>
        <w:t xml:space="preserve">Council of Small Business Organisations Australia, </w:t>
      </w:r>
      <w:hyperlink r:id="rId33" w:history="1">
        <w:r>
          <w:rPr>
            <w:rStyle w:val="Hyperlink"/>
            <w:i/>
            <w:kern w:val="0"/>
            <w:sz w:val="18"/>
            <w:szCs w:val="18"/>
            <w14:ligatures w14:val="none"/>
          </w:rPr>
          <w:t>Merger Reform Submission</w:t>
        </w:r>
      </w:hyperlink>
      <w:r>
        <w:rPr>
          <w:kern w:val="0"/>
          <w:sz w:val="18"/>
          <w:szCs w:val="18"/>
          <w14:ligatures w14:val="none"/>
        </w:rPr>
        <w:t>, January 2024, p. 3, accessed 26 June 2024.</w:t>
      </w:r>
    </w:p>
  </w:footnote>
  <w:footnote w:id="35">
    <w:p w14:paraId="4F7A8988" w14:textId="251B1EF7" w:rsidR="00D70FA3" w:rsidRDefault="00D70FA3">
      <w:pPr>
        <w:pStyle w:val="FootnoteText"/>
      </w:pPr>
      <w:r>
        <w:rPr>
          <w:rStyle w:val="FootnoteReference"/>
        </w:rPr>
        <w:footnoteRef/>
      </w:r>
      <w:r>
        <w:t xml:space="preserve"> </w:t>
      </w:r>
      <w:r w:rsidRPr="00A45246">
        <w:rPr>
          <w:sz w:val="18"/>
          <w:szCs w:val="18"/>
        </w:rPr>
        <w:t xml:space="preserve">ACCC, </w:t>
      </w:r>
      <w:r w:rsidR="004A5209" w:rsidRPr="006562A1">
        <w:rPr>
          <w:sz w:val="18"/>
          <w:szCs w:val="18"/>
        </w:rPr>
        <w:t xml:space="preserve">Australian Government, </w:t>
      </w:r>
      <w:hyperlink r:id="rId34" w:anchor="toc-mergers" w:history="1">
        <w:r w:rsidRPr="00A45246">
          <w:rPr>
            <w:rStyle w:val="Hyperlink"/>
            <w:rFonts w:cs="Calibri Light"/>
            <w:i/>
            <w:sz w:val="18"/>
            <w:szCs w:val="18"/>
          </w:rPr>
          <w:t>Second submission to Treasury on merger reform</w:t>
        </w:r>
      </w:hyperlink>
      <w:r w:rsidRPr="00A45246">
        <w:rPr>
          <w:sz w:val="18"/>
          <w:szCs w:val="18"/>
        </w:rPr>
        <w:t xml:space="preserve">, 31 January 2024, p </w:t>
      </w:r>
      <w:r w:rsidR="00023BAC">
        <w:rPr>
          <w:sz w:val="18"/>
          <w:szCs w:val="18"/>
        </w:rPr>
        <w:t>6</w:t>
      </w:r>
      <w:r w:rsidRPr="00A45246">
        <w:rPr>
          <w:sz w:val="18"/>
          <w:szCs w:val="18"/>
        </w:rPr>
        <w:t xml:space="preserve">4, accessed </w:t>
      </w:r>
      <w:r w:rsidR="00023BAC">
        <w:rPr>
          <w:sz w:val="18"/>
          <w:szCs w:val="18"/>
        </w:rPr>
        <w:t>26</w:t>
      </w:r>
      <w:r w:rsidRPr="00A45246">
        <w:rPr>
          <w:sz w:val="18"/>
          <w:szCs w:val="18"/>
        </w:rPr>
        <w:t xml:space="preserve"> June 2024.</w:t>
      </w:r>
    </w:p>
  </w:footnote>
  <w:footnote w:id="36">
    <w:p w14:paraId="2E17AB18" w14:textId="70ED8ADB" w:rsidR="003525DF" w:rsidRDefault="003525DF" w:rsidP="00947E3E">
      <w:pPr>
        <w:pStyle w:val="FootnoteText"/>
      </w:pPr>
      <w:r>
        <w:rPr>
          <w:rStyle w:val="FootnoteReference"/>
        </w:rPr>
        <w:footnoteRef/>
      </w:r>
      <w:r>
        <w:t xml:space="preserve"> </w:t>
      </w:r>
      <w:r w:rsidRPr="006562A1">
        <w:rPr>
          <w:sz w:val="18"/>
          <w:szCs w:val="18"/>
        </w:rPr>
        <w:t xml:space="preserve">The Treasury, </w:t>
      </w:r>
      <w:r w:rsidR="004A5209" w:rsidRPr="006562A1">
        <w:rPr>
          <w:sz w:val="18"/>
          <w:szCs w:val="18"/>
        </w:rPr>
        <w:t xml:space="preserve">Australian Government, </w:t>
      </w:r>
      <w:hyperlink r:id="rId35" w:history="1">
        <w:r w:rsidRPr="006562A1">
          <w:rPr>
            <w:rStyle w:val="Hyperlink"/>
            <w:rFonts w:cs="Calibri Light"/>
            <w:i/>
            <w:sz w:val="18"/>
            <w:szCs w:val="18"/>
          </w:rPr>
          <w:t>Merger Reform Consultation Paper</w:t>
        </w:r>
      </w:hyperlink>
      <w:r w:rsidRPr="006562A1">
        <w:rPr>
          <w:sz w:val="18"/>
          <w:szCs w:val="18"/>
        </w:rPr>
        <w:t>, November 2023, p 14, accessed 31 May 2024.</w:t>
      </w:r>
    </w:p>
  </w:footnote>
  <w:footnote w:id="37">
    <w:p w14:paraId="75CE2D12" w14:textId="77777777" w:rsidR="00755A07" w:rsidRDefault="00755A07" w:rsidP="00755A07">
      <w:pPr>
        <w:pStyle w:val="FootnoteText"/>
      </w:pPr>
      <w:r>
        <w:rPr>
          <w:rStyle w:val="FootnoteReference"/>
        </w:rPr>
        <w:footnoteRef/>
      </w:r>
      <w:r>
        <w:t xml:space="preserve"> </w:t>
      </w:r>
      <w:r>
        <w:rPr>
          <w:rFonts w:cstheme="minorHAnsi"/>
          <w:kern w:val="0"/>
          <w:sz w:val="18"/>
          <w:szCs w:val="18"/>
          <w14:ligatures w14:val="none"/>
        </w:rPr>
        <w:t xml:space="preserve">CHOICE and Consumers Federation of Australia, </w:t>
      </w:r>
      <w:hyperlink r:id="rId36" w:history="1">
        <w:r>
          <w:rPr>
            <w:rStyle w:val="Hyperlink"/>
            <w:i/>
            <w:kern w:val="0"/>
            <w:sz w:val="18"/>
            <w:szCs w:val="18"/>
            <w14:ligatures w14:val="none"/>
          </w:rPr>
          <w:t>Submission to the Competition Taskforce consultation paper on merger reform</w:t>
        </w:r>
      </w:hyperlink>
      <w:r>
        <w:rPr>
          <w:rFonts w:cstheme="minorHAnsi"/>
          <w:kern w:val="0"/>
          <w:sz w:val="18"/>
          <w:szCs w:val="18"/>
          <w14:ligatures w14:val="none"/>
        </w:rPr>
        <w:t>, January 2024, pp 3-4, accessed 26 June 2024.</w:t>
      </w:r>
    </w:p>
  </w:footnote>
  <w:footnote w:id="38">
    <w:p w14:paraId="07E30CE1" w14:textId="1C7D51E8" w:rsidR="003525DF" w:rsidRDefault="003525DF">
      <w:pPr>
        <w:pStyle w:val="FootnoteText"/>
      </w:pPr>
      <w:r>
        <w:rPr>
          <w:rStyle w:val="FootnoteReference"/>
        </w:rPr>
        <w:footnoteRef/>
      </w:r>
      <w:r>
        <w:t xml:space="preserve"> </w:t>
      </w:r>
      <w:r w:rsidRPr="006562A1">
        <w:rPr>
          <w:sz w:val="18"/>
          <w:szCs w:val="18"/>
        </w:rPr>
        <w:t xml:space="preserve">Australian Small Business and Family Enterprise Ombudsman, </w:t>
      </w:r>
      <w:hyperlink r:id="rId37" w:history="1">
        <w:r w:rsidRPr="006562A1">
          <w:rPr>
            <w:rStyle w:val="Hyperlink"/>
            <w:i/>
            <w:sz w:val="18"/>
            <w:szCs w:val="18"/>
          </w:rPr>
          <w:t>Submission to the Treasury Competition Review on Merger reform options</w:t>
        </w:r>
      </w:hyperlink>
      <w:r w:rsidRPr="006562A1">
        <w:rPr>
          <w:sz w:val="18"/>
          <w:szCs w:val="18"/>
        </w:rPr>
        <w:t xml:space="preserve">, April 2024, p 1, </w:t>
      </w:r>
      <w:r w:rsidRPr="006562A1">
        <w:rPr>
          <w:rFonts w:cstheme="minorHAnsi"/>
          <w:sz w:val="18"/>
          <w:szCs w:val="18"/>
        </w:rPr>
        <w:t>accessed 12 June 2024 and</w:t>
      </w:r>
      <w:r w:rsidRPr="006562A1">
        <w:rPr>
          <w:sz w:val="18"/>
          <w:szCs w:val="18"/>
        </w:rPr>
        <w:t xml:space="preserve"> </w:t>
      </w:r>
      <w:r w:rsidRPr="006562A1">
        <w:rPr>
          <w:rFonts w:cstheme="minorHAnsi"/>
          <w:sz w:val="18"/>
          <w:szCs w:val="18"/>
        </w:rPr>
        <w:t xml:space="preserve">CHOICE and Consumers Federation of Australia, </w:t>
      </w:r>
      <w:hyperlink r:id="rId38" w:history="1">
        <w:r w:rsidRPr="006562A1">
          <w:rPr>
            <w:rStyle w:val="Hyperlink"/>
            <w:i/>
            <w:sz w:val="18"/>
            <w:szCs w:val="18"/>
          </w:rPr>
          <w:t>Submission to the Competition Taskforce consultation paper on merger reform</w:t>
        </w:r>
      </w:hyperlink>
      <w:r w:rsidRPr="006562A1">
        <w:rPr>
          <w:rFonts w:cstheme="minorHAnsi"/>
          <w:sz w:val="18"/>
          <w:szCs w:val="18"/>
        </w:rPr>
        <w:t xml:space="preserve">, January 2024, p </w:t>
      </w:r>
      <w:r w:rsidR="00B94C3A">
        <w:rPr>
          <w:rFonts w:cstheme="minorHAnsi"/>
          <w:sz w:val="18"/>
          <w:szCs w:val="18"/>
        </w:rPr>
        <w:t>3-</w:t>
      </w:r>
      <w:r w:rsidRPr="006562A1">
        <w:rPr>
          <w:rFonts w:cstheme="minorHAnsi"/>
          <w:sz w:val="18"/>
          <w:szCs w:val="18"/>
        </w:rPr>
        <w:t>4, accessed 12 June 2024.</w:t>
      </w:r>
    </w:p>
  </w:footnote>
  <w:footnote w:id="39">
    <w:p w14:paraId="5D0B9035" w14:textId="77777777" w:rsidR="003525DF" w:rsidRDefault="003525DF" w:rsidP="00947E3E">
      <w:pPr>
        <w:pStyle w:val="FootnoteText"/>
      </w:pPr>
      <w:r>
        <w:rPr>
          <w:rStyle w:val="FootnoteReference"/>
        </w:rPr>
        <w:footnoteRef/>
      </w:r>
      <w:r>
        <w:t xml:space="preserve"> </w:t>
      </w:r>
      <w:r w:rsidRPr="006562A1">
        <w:rPr>
          <w:sz w:val="18"/>
          <w:szCs w:val="18"/>
        </w:rPr>
        <w:t xml:space="preserve">Numbers obtained from ACCC, </w:t>
      </w:r>
      <w:hyperlink r:id="rId39" w:history="1">
        <w:r w:rsidRPr="006562A1">
          <w:rPr>
            <w:rStyle w:val="Hyperlink"/>
            <w:i/>
            <w:sz w:val="18"/>
            <w:szCs w:val="18"/>
          </w:rPr>
          <w:t>Public informal merger review register</w:t>
        </w:r>
      </w:hyperlink>
      <w:r w:rsidRPr="006562A1">
        <w:rPr>
          <w:sz w:val="18"/>
          <w:szCs w:val="18"/>
        </w:rPr>
        <w:t xml:space="preserve"> [online public register], accessed 23 May 2024</w:t>
      </w:r>
    </w:p>
  </w:footnote>
  <w:footnote w:id="40">
    <w:p w14:paraId="7CAC7207" w14:textId="154FCDF9" w:rsidR="003525DF" w:rsidRDefault="003525DF">
      <w:pPr>
        <w:pStyle w:val="FootnoteText"/>
      </w:pPr>
      <w:r>
        <w:rPr>
          <w:rStyle w:val="FootnoteReference"/>
        </w:rPr>
        <w:footnoteRef/>
      </w:r>
      <w:r>
        <w:t xml:space="preserve"> </w:t>
      </w:r>
      <w:r w:rsidRPr="006562A1">
        <w:rPr>
          <w:sz w:val="18"/>
          <w:szCs w:val="18"/>
        </w:rPr>
        <w:t xml:space="preserve">ACCC, Australian Government, </w:t>
      </w:r>
      <w:hyperlink r:id="rId40" w:history="1">
        <w:r w:rsidRPr="006562A1">
          <w:rPr>
            <w:rStyle w:val="Hyperlink"/>
            <w:rFonts w:cs="Calibri Light"/>
            <w:i/>
            <w:sz w:val="18"/>
            <w:szCs w:val="18"/>
          </w:rPr>
          <w:t>Submission to Treasury on merger reform</w:t>
        </w:r>
      </w:hyperlink>
      <w:r w:rsidRPr="006562A1">
        <w:rPr>
          <w:sz w:val="18"/>
          <w:szCs w:val="18"/>
        </w:rPr>
        <w:t>, 20 December 2023, p 8, accessed 10 June 2024.</w:t>
      </w:r>
    </w:p>
  </w:footnote>
  <w:footnote w:id="41">
    <w:p w14:paraId="1FA82EF4" w14:textId="64B71891" w:rsidR="003525DF" w:rsidRPr="00FE5D15" w:rsidRDefault="003525DF" w:rsidP="00947E3E">
      <w:pPr>
        <w:pStyle w:val="FootnoteText"/>
      </w:pPr>
      <w:r w:rsidRPr="00FE5D15">
        <w:rPr>
          <w:rStyle w:val="FootnoteReference"/>
          <w:rFonts w:cs="Calibri Light"/>
        </w:rPr>
        <w:footnoteRef/>
      </w:r>
      <w:r w:rsidRPr="00FE5D15">
        <w:t xml:space="preserve"> </w:t>
      </w:r>
      <w:r w:rsidRPr="006562A1">
        <w:rPr>
          <w:sz w:val="18"/>
          <w:szCs w:val="18"/>
        </w:rPr>
        <w:t xml:space="preserve">Department of Finance, Australian Government, </w:t>
      </w:r>
      <w:hyperlink r:id="rId41" w:history="1">
        <w:r w:rsidRPr="006562A1">
          <w:rPr>
            <w:rStyle w:val="Hyperlink"/>
            <w:rFonts w:cs="Calibri Light"/>
            <w:i/>
            <w:sz w:val="18"/>
            <w:szCs w:val="18"/>
          </w:rPr>
          <w:t>Implementing the Charging Framework (RMG 302)</w:t>
        </w:r>
      </w:hyperlink>
      <w:r w:rsidRPr="006562A1">
        <w:rPr>
          <w:sz w:val="18"/>
          <w:szCs w:val="18"/>
        </w:rPr>
        <w:t>, 21 June 2023, accessed 5 March 2024.</w:t>
      </w:r>
      <w:r w:rsidRPr="00FE5D15">
        <w:t xml:space="preserve">  </w:t>
      </w:r>
    </w:p>
  </w:footnote>
  <w:footnote w:id="42">
    <w:p w14:paraId="121DF71F" w14:textId="77777777" w:rsidR="003525DF" w:rsidRPr="00FE5D15" w:rsidRDefault="003525DF" w:rsidP="00947E3E">
      <w:pPr>
        <w:pStyle w:val="FootnoteText"/>
      </w:pPr>
      <w:r w:rsidRPr="00FE5D15">
        <w:rPr>
          <w:rStyle w:val="FootnoteReference"/>
          <w:rFonts w:ascii="Calibri Light" w:hAnsi="Calibri Light" w:cs="Calibri Light"/>
        </w:rPr>
        <w:footnoteRef/>
      </w:r>
      <w:r w:rsidRPr="006562A1">
        <w:rPr>
          <w:sz w:val="18"/>
          <w:szCs w:val="18"/>
        </w:rPr>
        <w:t xml:space="preserve"> Iris Day, Zac Duretto, Patrick Hartigan and Jonathan Hambur ‘</w:t>
      </w:r>
      <w:hyperlink r:id="rId42" w:history="1">
        <w:r w:rsidRPr="006562A1">
          <w:rPr>
            <w:rStyle w:val="Hyperlink"/>
            <w:rFonts w:cs="Calibri Light"/>
            <w:i/>
            <w:sz w:val="18"/>
            <w:szCs w:val="18"/>
          </w:rPr>
          <w:t>Competition in Australia and its impact on productivity growth</w:t>
        </w:r>
      </w:hyperlink>
      <w:r w:rsidRPr="006562A1">
        <w:rPr>
          <w:sz w:val="18"/>
          <w:szCs w:val="18"/>
        </w:rPr>
        <w:t xml:space="preserve">’, Treasury Round Up, October 2022, pp 15-16, accessed 5 March 2024. </w:t>
      </w:r>
    </w:p>
  </w:footnote>
  <w:footnote w:id="43">
    <w:p w14:paraId="229E27BF" w14:textId="7AE37722" w:rsidR="003525DF" w:rsidRPr="002C12C1" w:rsidRDefault="003525DF" w:rsidP="00947E3E">
      <w:pPr>
        <w:pStyle w:val="FootnoteText"/>
        <w:ind w:left="142" w:hanging="142"/>
        <w:rPr>
          <w:rFonts w:cstheme="minorHAnsi"/>
          <w:szCs w:val="16"/>
        </w:rPr>
      </w:pPr>
      <w:r w:rsidRPr="005854C9">
        <w:rPr>
          <w:rStyle w:val="FootnoteReference"/>
        </w:rPr>
        <w:footnoteRef/>
      </w:r>
      <w:r w:rsidRPr="002C12C1">
        <w:rPr>
          <w:rFonts w:cstheme="minorHAnsi"/>
          <w:szCs w:val="16"/>
        </w:rPr>
        <w:t xml:space="preserve"> </w:t>
      </w:r>
      <w:r w:rsidRPr="006562A1">
        <w:rPr>
          <w:rFonts w:cstheme="minorHAnsi"/>
          <w:sz w:val="18"/>
          <w:szCs w:val="18"/>
        </w:rPr>
        <w:t xml:space="preserve">OECD, </w:t>
      </w:r>
      <w:hyperlink r:id="rId43" w:history="1">
        <w:r w:rsidRPr="006562A1">
          <w:rPr>
            <w:rStyle w:val="Hyperlink"/>
            <w:rFonts w:cstheme="minorHAnsi"/>
            <w:i/>
            <w:sz w:val="18"/>
            <w:szCs w:val="18"/>
          </w:rPr>
          <w:t>OECD Economic Surveys: Australia 2023</w:t>
        </w:r>
      </w:hyperlink>
      <w:r w:rsidRPr="006562A1">
        <w:rPr>
          <w:rFonts w:cstheme="minorHAnsi"/>
          <w:sz w:val="18"/>
          <w:szCs w:val="18"/>
        </w:rPr>
        <w:t>, 2023, p 57, accessed 28 October 2023.</w:t>
      </w:r>
      <w:r w:rsidRPr="002C12C1">
        <w:rPr>
          <w:rFonts w:cstheme="minorHAnsi"/>
          <w:szCs w:val="16"/>
        </w:rPr>
        <w:t xml:space="preserve"> </w:t>
      </w:r>
    </w:p>
  </w:footnote>
  <w:footnote w:id="44">
    <w:p w14:paraId="286788CE" w14:textId="0C1C2191" w:rsidR="003525DF" w:rsidRDefault="003525DF" w:rsidP="00947E3E">
      <w:pPr>
        <w:pStyle w:val="FootnoteText"/>
      </w:pPr>
      <w:r w:rsidRPr="00C94565">
        <w:rPr>
          <w:rStyle w:val="FootnoteReference"/>
        </w:rPr>
        <w:footnoteRef/>
      </w:r>
      <w:r w:rsidRPr="00C94565">
        <w:t xml:space="preserve"> </w:t>
      </w:r>
      <w:r w:rsidRPr="006562A1">
        <w:rPr>
          <w:sz w:val="18"/>
          <w:szCs w:val="18"/>
        </w:rPr>
        <w:t xml:space="preserve">ACCC, </w:t>
      </w:r>
      <w:r w:rsidR="00732EBE">
        <w:rPr>
          <w:sz w:val="18"/>
          <w:szCs w:val="18"/>
        </w:rPr>
        <w:t xml:space="preserve">Australian Government, </w:t>
      </w:r>
      <w:hyperlink r:id="rId44" w:anchor="toc-mergers" w:history="1">
        <w:r w:rsidRPr="006562A1">
          <w:rPr>
            <w:rStyle w:val="Hyperlink"/>
            <w:rFonts w:cs="Calibri Light"/>
            <w:i/>
            <w:sz w:val="18"/>
            <w:szCs w:val="18"/>
          </w:rPr>
          <w:t>Second submission to Treasury on merger reform</w:t>
        </w:r>
      </w:hyperlink>
      <w:r w:rsidRPr="006562A1">
        <w:rPr>
          <w:sz w:val="18"/>
          <w:szCs w:val="18"/>
        </w:rPr>
        <w:t xml:space="preserve">, 31 January 2024, p 9, 61, 67, accessed 5 June 2024 and MGA Independent Business Australia, </w:t>
      </w:r>
      <w:hyperlink r:id="rId45" w:history="1">
        <w:r w:rsidRPr="006562A1">
          <w:rPr>
            <w:rStyle w:val="Hyperlink"/>
            <w:rFonts w:cs="Calibri Light"/>
            <w:i/>
            <w:sz w:val="18"/>
            <w:szCs w:val="18"/>
          </w:rPr>
          <w:t>Reviving concentrated markets with merger reform – Response to the Treasury consultation paper on merger reform</w:t>
        </w:r>
      </w:hyperlink>
      <w:r w:rsidRPr="006562A1">
        <w:rPr>
          <w:rFonts w:cstheme="minorHAnsi"/>
          <w:sz w:val="18"/>
          <w:szCs w:val="18"/>
        </w:rPr>
        <w:t>, 19 January 2024, p 7-8, accessed 5 June 2024</w:t>
      </w:r>
      <w:r w:rsidRPr="006562A1">
        <w:rPr>
          <w:sz w:val="18"/>
          <w:szCs w:val="18"/>
        </w:rPr>
        <w:t>.</w:t>
      </w:r>
    </w:p>
  </w:footnote>
  <w:footnote w:id="45">
    <w:p w14:paraId="26F80614" w14:textId="267835AC" w:rsidR="003525DF" w:rsidRPr="000A0FC6" w:rsidRDefault="003525DF" w:rsidP="00947E3E">
      <w:pPr>
        <w:pStyle w:val="FootnoteText"/>
        <w:rPr>
          <w:rFonts w:cstheme="minorHAnsi"/>
        </w:rPr>
      </w:pPr>
      <w:r w:rsidRPr="00145F2F">
        <w:rPr>
          <w:rStyle w:val="FootnoteReference"/>
          <w:rFonts w:cstheme="minorHAnsi"/>
        </w:rPr>
        <w:footnoteRef/>
      </w:r>
      <w:r w:rsidRPr="000A0FC6">
        <w:rPr>
          <w:rFonts w:cstheme="minorHAnsi"/>
        </w:rPr>
        <w:t xml:space="preserve"> </w:t>
      </w:r>
      <w:r w:rsidRPr="006562A1">
        <w:rPr>
          <w:rFonts w:cstheme="minorHAnsi"/>
          <w:sz w:val="18"/>
          <w:szCs w:val="18"/>
        </w:rPr>
        <w:t xml:space="preserve">CHOICE and Consumers Federation of Australia, </w:t>
      </w:r>
      <w:hyperlink r:id="rId46" w:history="1">
        <w:r w:rsidRPr="006562A1">
          <w:rPr>
            <w:rStyle w:val="Hyperlink"/>
            <w:rFonts w:cs="Calibri Light"/>
            <w:i/>
            <w:sz w:val="18"/>
            <w:szCs w:val="18"/>
          </w:rPr>
          <w:t>Submission to the Competition Taskforce consultation paper on merger reform</w:t>
        </w:r>
      </w:hyperlink>
      <w:r w:rsidRPr="006562A1">
        <w:rPr>
          <w:rFonts w:cstheme="minorHAnsi"/>
          <w:sz w:val="18"/>
          <w:szCs w:val="18"/>
        </w:rPr>
        <w:t>, January 2024, p 1, accessed 5 March 2024.</w:t>
      </w:r>
    </w:p>
  </w:footnote>
  <w:footnote w:id="46">
    <w:p w14:paraId="140DEC6F" w14:textId="0290025B" w:rsidR="003525DF" w:rsidRPr="000A0FC6" w:rsidRDefault="003525DF" w:rsidP="00947E3E">
      <w:pPr>
        <w:pStyle w:val="FootnoteText"/>
        <w:rPr>
          <w:rFonts w:cstheme="minorHAnsi"/>
        </w:rPr>
      </w:pPr>
      <w:r w:rsidRPr="000A0FC6">
        <w:rPr>
          <w:rStyle w:val="FootnoteReference"/>
          <w:rFonts w:cstheme="minorHAnsi"/>
        </w:rPr>
        <w:footnoteRef/>
      </w:r>
      <w:r w:rsidRPr="000A0FC6">
        <w:rPr>
          <w:rFonts w:cstheme="minorHAnsi"/>
        </w:rPr>
        <w:t xml:space="preserve"> </w:t>
      </w:r>
      <w:r w:rsidRPr="006562A1">
        <w:rPr>
          <w:rFonts w:cstheme="minorHAnsi"/>
          <w:sz w:val="18"/>
          <w:szCs w:val="18"/>
        </w:rPr>
        <w:t xml:space="preserve">MGA Independent Businesses Australia, </w:t>
      </w:r>
      <w:hyperlink r:id="rId47" w:history="1">
        <w:r w:rsidRPr="006562A1">
          <w:rPr>
            <w:rStyle w:val="Hyperlink"/>
            <w:rFonts w:cs="Calibri Light"/>
            <w:i/>
            <w:sz w:val="18"/>
            <w:szCs w:val="18"/>
          </w:rPr>
          <w:t>Reviving concentrated markets with merger reform – Response to the Treasury consultation paper on merger reform</w:t>
        </w:r>
      </w:hyperlink>
      <w:r w:rsidRPr="006562A1">
        <w:rPr>
          <w:rFonts w:cstheme="minorHAnsi"/>
          <w:sz w:val="18"/>
          <w:szCs w:val="18"/>
        </w:rPr>
        <w:t>, 19 January 2024, p 2, accessed 6 March 2024.</w:t>
      </w:r>
    </w:p>
  </w:footnote>
  <w:footnote w:id="47">
    <w:p w14:paraId="75341684" w14:textId="0C1CD4C4" w:rsidR="003525DF" w:rsidRPr="000A0FC6" w:rsidRDefault="003525DF" w:rsidP="00947E3E">
      <w:pPr>
        <w:pStyle w:val="FootnoteText"/>
        <w:rPr>
          <w:rFonts w:cstheme="minorHAnsi"/>
        </w:rPr>
      </w:pPr>
      <w:r w:rsidRPr="00145F2F">
        <w:rPr>
          <w:rStyle w:val="FootnoteReference"/>
          <w:rFonts w:cstheme="minorHAnsi"/>
        </w:rPr>
        <w:footnoteRef/>
      </w:r>
      <w:r w:rsidRPr="000A0FC6">
        <w:rPr>
          <w:rFonts w:cstheme="minorHAnsi"/>
        </w:rPr>
        <w:t xml:space="preserve"> </w:t>
      </w:r>
      <w:r w:rsidRPr="006562A1">
        <w:rPr>
          <w:rFonts w:cstheme="minorHAnsi"/>
          <w:sz w:val="18"/>
          <w:szCs w:val="18"/>
        </w:rPr>
        <w:t xml:space="preserve">Office of the Australian Information Commissioner, </w:t>
      </w:r>
      <w:hyperlink r:id="rId48" w:history="1">
        <w:r w:rsidRPr="006562A1">
          <w:rPr>
            <w:rStyle w:val="Hyperlink"/>
            <w:rFonts w:cs="Calibri Light"/>
            <w:i/>
            <w:sz w:val="18"/>
            <w:szCs w:val="18"/>
          </w:rPr>
          <w:t>OAIC submission to Merger Reform Consultation Paper</w:t>
        </w:r>
      </w:hyperlink>
      <w:r w:rsidRPr="006562A1">
        <w:rPr>
          <w:rFonts w:cstheme="minorHAnsi"/>
          <w:sz w:val="18"/>
          <w:szCs w:val="18"/>
        </w:rPr>
        <w:t>, January 2024, p 2,  accessed 5 March 2024.</w:t>
      </w:r>
      <w:r w:rsidRPr="000A0FC6">
        <w:rPr>
          <w:rFonts w:cstheme="minorHAnsi"/>
        </w:rPr>
        <w:t xml:space="preserve"> </w:t>
      </w:r>
    </w:p>
  </w:footnote>
  <w:footnote w:id="48">
    <w:p w14:paraId="67F7F661" w14:textId="78B2F367" w:rsidR="002D0059" w:rsidRDefault="002D0059">
      <w:pPr>
        <w:pStyle w:val="FootnoteText"/>
      </w:pPr>
      <w:r>
        <w:rPr>
          <w:rStyle w:val="FootnoteReference"/>
        </w:rPr>
        <w:footnoteRef/>
      </w:r>
      <w:r>
        <w:t xml:space="preserve"> </w:t>
      </w:r>
      <w:r w:rsidR="007D6A3C" w:rsidRPr="007F5270">
        <w:rPr>
          <w:rFonts w:cstheme="minorHAnsi"/>
          <w:sz w:val="18"/>
          <w:szCs w:val="18"/>
        </w:rPr>
        <w:t>Office of the Australian Information Commissioner</w:t>
      </w:r>
      <w:r w:rsidR="00BF2820" w:rsidRPr="007F5270">
        <w:rPr>
          <w:rFonts w:cstheme="minorHAnsi"/>
          <w:sz w:val="18"/>
          <w:szCs w:val="18"/>
        </w:rPr>
        <w:t>, Australian Government,</w:t>
      </w:r>
      <w:r w:rsidR="00BF2820">
        <w:t xml:space="preserve"> </w:t>
      </w:r>
      <w:hyperlink r:id="rId49" w:history="1">
        <w:r w:rsidR="00B979D2" w:rsidRPr="007F5270">
          <w:rPr>
            <w:rStyle w:val="Hyperlink"/>
            <w:rFonts w:cs="Calibri Light"/>
            <w:i/>
            <w:sz w:val="18"/>
            <w:szCs w:val="18"/>
          </w:rPr>
          <w:t>Australian Community Attitudes to Privacy Survey</w:t>
        </w:r>
        <w:r w:rsidR="00BF2820" w:rsidRPr="007F5270">
          <w:rPr>
            <w:sz w:val="18"/>
            <w:szCs w:val="18"/>
          </w:rPr>
          <w:t xml:space="preserve">, p </w:t>
        </w:r>
        <w:r w:rsidR="00532214" w:rsidRPr="007F5270">
          <w:rPr>
            <w:sz w:val="18"/>
            <w:szCs w:val="18"/>
          </w:rPr>
          <w:t>13</w:t>
        </w:r>
        <w:r w:rsidR="00BF2820" w:rsidRPr="007F5270">
          <w:rPr>
            <w:sz w:val="18"/>
            <w:szCs w:val="18"/>
          </w:rPr>
          <w:t>, accessed 27 June 2024</w:t>
        </w:r>
      </w:hyperlink>
      <w:r w:rsidR="00E84E97">
        <w:t>.</w:t>
      </w:r>
    </w:p>
  </w:footnote>
  <w:footnote w:id="49">
    <w:p w14:paraId="6A50CEFF" w14:textId="4B68D527" w:rsidR="003525DF" w:rsidRPr="000A0FC6" w:rsidRDefault="003525DF" w:rsidP="00947E3E">
      <w:pPr>
        <w:pStyle w:val="FootnoteText"/>
        <w:rPr>
          <w:rFonts w:cstheme="minorHAnsi"/>
          <w:sz w:val="16"/>
          <w:szCs w:val="16"/>
        </w:rPr>
      </w:pPr>
      <w:r w:rsidRPr="00145F2F">
        <w:rPr>
          <w:rStyle w:val="FootnoteReference"/>
          <w:rFonts w:cstheme="minorHAnsi"/>
          <w:sz w:val="16"/>
          <w:szCs w:val="16"/>
        </w:rPr>
        <w:footnoteRef/>
      </w:r>
      <w:r w:rsidRPr="000A0FC6">
        <w:rPr>
          <w:rFonts w:cstheme="minorHAnsi"/>
          <w:sz w:val="16"/>
          <w:szCs w:val="16"/>
        </w:rPr>
        <w:t xml:space="preserve"> </w:t>
      </w:r>
      <w:r w:rsidRPr="006562A1">
        <w:rPr>
          <w:rFonts w:cstheme="minorHAnsi"/>
          <w:sz w:val="18"/>
          <w:szCs w:val="18"/>
        </w:rPr>
        <w:t xml:space="preserve">C Shapiro, </w:t>
      </w:r>
      <w:hyperlink r:id="rId50" w:history="1">
        <w:r w:rsidRPr="00F24DCB">
          <w:rPr>
            <w:rStyle w:val="Hyperlink"/>
            <w:rFonts w:asciiTheme="minorHAnsi" w:hAnsiTheme="minorHAnsi" w:cstheme="minorHAnsi"/>
            <w:i/>
            <w:sz w:val="18"/>
            <w:szCs w:val="18"/>
          </w:rPr>
          <w:t xml:space="preserve">Protecting Competition in the American Economy: Merger Control, Tech Titans, Labor </w:t>
        </w:r>
        <w:r w:rsidRPr="00F24DCB">
          <w:rPr>
            <w:rStyle w:val="Hyperlink"/>
            <w:rFonts w:asciiTheme="minorHAnsi" w:hAnsiTheme="minorHAnsi" w:cstheme="minorHAnsi"/>
            <w:i/>
            <w:iCs/>
            <w:sz w:val="18"/>
            <w:szCs w:val="18"/>
          </w:rPr>
          <w:t>Markets’</w:t>
        </w:r>
        <w:r w:rsidRPr="00F24DCB">
          <w:rPr>
            <w:rStyle w:val="Hyperlink"/>
            <w:rFonts w:asciiTheme="minorHAnsi" w:hAnsiTheme="minorHAnsi" w:cstheme="minorHAnsi"/>
            <w:sz w:val="18"/>
            <w:szCs w:val="18"/>
          </w:rPr>
          <w:t xml:space="preserve">, 2019, </w:t>
        </w:r>
        <w:r w:rsidRPr="00F24DCB">
          <w:rPr>
            <w:rStyle w:val="Hyperlink"/>
            <w:rFonts w:asciiTheme="minorHAnsi" w:hAnsiTheme="minorHAnsi" w:cstheme="minorHAnsi"/>
            <w:i/>
            <w:iCs/>
            <w:sz w:val="18"/>
            <w:szCs w:val="18"/>
          </w:rPr>
          <w:t>Journal of Economic Perspectives</w:t>
        </w:r>
      </w:hyperlink>
      <w:r w:rsidRPr="006562A1">
        <w:rPr>
          <w:rFonts w:cstheme="minorHAnsi"/>
          <w:sz w:val="18"/>
          <w:szCs w:val="18"/>
        </w:rPr>
        <w:t>, 33 (3): pp 69-93, 77</w:t>
      </w:r>
      <w:r>
        <w:rPr>
          <w:rFonts w:cstheme="minorHAnsi"/>
          <w:sz w:val="18"/>
          <w:szCs w:val="18"/>
        </w:rPr>
        <w:t>, accessed 28 October 2023</w:t>
      </w:r>
      <w:r w:rsidRPr="006562A1">
        <w:rPr>
          <w:rFonts w:cstheme="minorHAnsi"/>
          <w:sz w:val="18"/>
          <w:szCs w:val="18"/>
        </w:rPr>
        <w:t>.</w:t>
      </w:r>
      <w:r w:rsidRPr="000A0FC6">
        <w:rPr>
          <w:rFonts w:cstheme="minorHAnsi"/>
          <w:sz w:val="16"/>
          <w:szCs w:val="16"/>
        </w:rPr>
        <w:t xml:space="preserve"> </w:t>
      </w:r>
    </w:p>
  </w:footnote>
  <w:footnote w:id="50">
    <w:p w14:paraId="3921EF05" w14:textId="4EDDC86B" w:rsidR="003525DF" w:rsidRPr="000A0FC6" w:rsidRDefault="003525DF" w:rsidP="002531F0">
      <w:pPr>
        <w:pStyle w:val="FootnoteText"/>
        <w:rPr>
          <w:rFonts w:cstheme="minorHAnsi"/>
          <w:szCs w:val="16"/>
        </w:rPr>
      </w:pPr>
      <w:r w:rsidRPr="000A0FC6">
        <w:rPr>
          <w:rStyle w:val="FootnoteReference"/>
          <w:rFonts w:cstheme="minorHAnsi"/>
          <w:sz w:val="16"/>
          <w:szCs w:val="16"/>
        </w:rPr>
        <w:footnoteRef/>
      </w:r>
      <w:r w:rsidRPr="000A0FC6">
        <w:rPr>
          <w:rFonts w:cstheme="minorHAnsi"/>
          <w:szCs w:val="16"/>
        </w:rPr>
        <w:t xml:space="preserve"> </w:t>
      </w:r>
      <w:r w:rsidRPr="006562A1">
        <w:rPr>
          <w:rFonts w:cstheme="minorHAnsi"/>
          <w:sz w:val="18"/>
          <w:szCs w:val="18"/>
        </w:rPr>
        <w:t>D Andrews, J Hambur, D Hansell and D Wheeler, ‘</w:t>
      </w:r>
      <w:hyperlink r:id="rId51" w:history="1">
        <w:r w:rsidRPr="006562A1">
          <w:rPr>
            <w:rStyle w:val="Hyperlink"/>
            <w:rFonts w:cs="Calibri Light"/>
            <w:i/>
            <w:sz w:val="18"/>
            <w:szCs w:val="18"/>
          </w:rPr>
          <w:t>Reaching for the Stars: Australian Firms and the Global Productivity Frontier</w:t>
        </w:r>
      </w:hyperlink>
      <w:r w:rsidRPr="006562A1">
        <w:rPr>
          <w:rStyle w:val="Hyperlink"/>
          <w:rFonts w:cs="Calibri Light"/>
          <w:i/>
          <w:sz w:val="18"/>
          <w:szCs w:val="18"/>
        </w:rPr>
        <w:t>’</w:t>
      </w:r>
      <w:r w:rsidRPr="006562A1">
        <w:rPr>
          <w:rFonts w:cstheme="minorHAnsi"/>
          <w:sz w:val="18"/>
          <w:szCs w:val="18"/>
        </w:rPr>
        <w:t>, The Treasury, Australian Government, 2022, Working Paper No 2022-01, ISBN 978-1-925832-41-9, accessed 28</w:t>
      </w:r>
      <w:r>
        <w:rPr>
          <w:rFonts w:cstheme="minorHAnsi"/>
          <w:sz w:val="18"/>
          <w:szCs w:val="18"/>
        </w:rPr>
        <w:t> </w:t>
      </w:r>
      <w:r w:rsidRPr="006562A1">
        <w:rPr>
          <w:rFonts w:cstheme="minorHAnsi"/>
          <w:sz w:val="18"/>
          <w:szCs w:val="18"/>
        </w:rPr>
        <w:t>October</w:t>
      </w:r>
      <w:r>
        <w:rPr>
          <w:rFonts w:cstheme="minorHAnsi"/>
          <w:sz w:val="18"/>
          <w:szCs w:val="18"/>
        </w:rPr>
        <w:t> </w:t>
      </w:r>
      <w:r w:rsidRPr="006562A1">
        <w:rPr>
          <w:rFonts w:cstheme="minorHAnsi"/>
          <w:sz w:val="18"/>
          <w:szCs w:val="18"/>
        </w:rPr>
        <w:t>2023.</w:t>
      </w:r>
    </w:p>
  </w:footnote>
  <w:footnote w:id="51">
    <w:p w14:paraId="65DB593F" w14:textId="14D84510" w:rsidR="003525DF" w:rsidRPr="002C12C1" w:rsidRDefault="003525DF" w:rsidP="00947E3E">
      <w:pPr>
        <w:pStyle w:val="FootnoteText"/>
        <w:ind w:left="142" w:hanging="142"/>
        <w:rPr>
          <w:rFonts w:cstheme="minorHAnsi"/>
          <w:szCs w:val="16"/>
        </w:rPr>
      </w:pPr>
      <w:r w:rsidRPr="002C12C1">
        <w:rPr>
          <w:rStyle w:val="FootnoteReference"/>
          <w:rFonts w:cstheme="minorHAnsi"/>
          <w:sz w:val="16"/>
          <w:szCs w:val="16"/>
        </w:rPr>
        <w:footnoteRef/>
      </w:r>
      <w:r w:rsidRPr="002C12C1">
        <w:rPr>
          <w:rFonts w:cstheme="minorHAnsi"/>
          <w:szCs w:val="16"/>
        </w:rPr>
        <w:t xml:space="preserve"> </w:t>
      </w:r>
      <w:r w:rsidRPr="006562A1">
        <w:rPr>
          <w:rFonts w:cstheme="minorHAnsi"/>
          <w:i/>
          <w:sz w:val="18"/>
          <w:szCs w:val="18"/>
        </w:rPr>
        <w:t>Competition and Consumer Act 2010</w:t>
      </w:r>
      <w:r w:rsidRPr="006562A1">
        <w:rPr>
          <w:rFonts w:cstheme="minorHAnsi"/>
          <w:sz w:val="18"/>
          <w:szCs w:val="18"/>
        </w:rPr>
        <w:t xml:space="preserve"> (Cth) s2.</w:t>
      </w:r>
    </w:p>
  </w:footnote>
  <w:footnote w:id="52">
    <w:p w14:paraId="2AFBBC33" w14:textId="310EC8D6" w:rsidR="003525DF" w:rsidRPr="002C12C1" w:rsidRDefault="003525DF" w:rsidP="00947E3E">
      <w:pPr>
        <w:pStyle w:val="FootnoteText"/>
        <w:ind w:left="142" w:hanging="142"/>
        <w:rPr>
          <w:rFonts w:cstheme="minorHAnsi"/>
          <w:szCs w:val="16"/>
        </w:rPr>
      </w:pPr>
      <w:r w:rsidRPr="002C12C1">
        <w:rPr>
          <w:rStyle w:val="FootnoteReference"/>
          <w:rFonts w:cstheme="minorHAnsi"/>
          <w:sz w:val="16"/>
          <w:szCs w:val="16"/>
        </w:rPr>
        <w:footnoteRef/>
      </w:r>
      <w:r w:rsidRPr="002C12C1">
        <w:rPr>
          <w:rFonts w:cstheme="minorHAnsi"/>
          <w:szCs w:val="16"/>
        </w:rPr>
        <w:t xml:space="preserve"> </w:t>
      </w:r>
      <w:r w:rsidRPr="006562A1">
        <w:rPr>
          <w:rFonts w:cstheme="minorHAnsi"/>
          <w:sz w:val="18"/>
          <w:szCs w:val="18"/>
        </w:rPr>
        <w:t xml:space="preserve">Productivity Commission (PC), </w:t>
      </w:r>
      <w:r w:rsidR="00634AD7" w:rsidRPr="007F5270">
        <w:rPr>
          <w:rFonts w:cstheme="minorHAnsi"/>
          <w:sz w:val="18"/>
          <w:szCs w:val="18"/>
        </w:rPr>
        <w:t>Australian Government,</w:t>
      </w:r>
      <w:r w:rsidR="00634AD7">
        <w:t xml:space="preserve"> </w:t>
      </w:r>
      <w:r w:rsidRPr="006562A1">
        <w:rPr>
          <w:rFonts w:cstheme="minorHAnsi"/>
          <w:sz w:val="18"/>
          <w:szCs w:val="18"/>
        </w:rPr>
        <w:t>‘</w:t>
      </w:r>
      <w:hyperlink r:id="rId52" w:history="1">
        <w:r w:rsidRPr="006562A1">
          <w:rPr>
            <w:rStyle w:val="Hyperlink"/>
            <w:rFonts w:cstheme="minorHAnsi"/>
            <w:i/>
            <w:sz w:val="18"/>
            <w:szCs w:val="18"/>
          </w:rPr>
          <w:t>On efficiency and effectiveness: Some Definitions</w:t>
        </w:r>
      </w:hyperlink>
      <w:r w:rsidRPr="006562A1">
        <w:rPr>
          <w:rStyle w:val="Hyperlink"/>
          <w:rFonts w:cstheme="minorHAnsi"/>
          <w:i/>
          <w:sz w:val="18"/>
          <w:szCs w:val="18"/>
        </w:rPr>
        <w:t>’</w:t>
      </w:r>
      <w:r w:rsidRPr="006562A1">
        <w:rPr>
          <w:rFonts w:cstheme="minorHAnsi"/>
          <w:sz w:val="18"/>
          <w:szCs w:val="18"/>
        </w:rPr>
        <w:t>, Staff research note, PC, Australian Government, 2013, accessed 27 October 2023.</w:t>
      </w:r>
      <w:r w:rsidRPr="002C12C1">
        <w:rPr>
          <w:rFonts w:cstheme="minorHAnsi"/>
          <w:szCs w:val="16"/>
        </w:rPr>
        <w:t xml:space="preserve"> </w:t>
      </w:r>
    </w:p>
  </w:footnote>
  <w:footnote w:id="53">
    <w:p w14:paraId="4B975849" w14:textId="67E25BA2" w:rsidR="003525DF" w:rsidRDefault="003525DF" w:rsidP="00F3477A">
      <w:pPr>
        <w:pStyle w:val="FootnoteText"/>
      </w:pPr>
      <w:r>
        <w:rPr>
          <w:rStyle w:val="FootnoteReference"/>
        </w:rPr>
        <w:footnoteRef/>
      </w:r>
      <w:r>
        <w:t xml:space="preserve"> </w:t>
      </w:r>
      <w:r w:rsidRPr="006562A1">
        <w:rPr>
          <w:sz w:val="18"/>
          <w:szCs w:val="18"/>
        </w:rPr>
        <w:t xml:space="preserve">ACCC, </w:t>
      </w:r>
      <w:r w:rsidR="00634AD7" w:rsidRPr="007F5270">
        <w:rPr>
          <w:rFonts w:cstheme="minorHAnsi"/>
          <w:sz w:val="18"/>
          <w:szCs w:val="18"/>
        </w:rPr>
        <w:t>Australian Government,</w:t>
      </w:r>
      <w:r w:rsidR="00634AD7">
        <w:t xml:space="preserve"> </w:t>
      </w:r>
      <w:r w:rsidRPr="006562A1">
        <w:rPr>
          <w:rStyle w:val="Hyperlink"/>
          <w:rFonts w:cstheme="minorHAnsi"/>
          <w:i/>
          <w:sz w:val="18"/>
          <w:szCs w:val="18"/>
        </w:rPr>
        <w:t>Statement of Expectations and Statement of Intent</w:t>
      </w:r>
      <w:r w:rsidRPr="006562A1">
        <w:rPr>
          <w:sz w:val="18"/>
          <w:szCs w:val="18"/>
        </w:rPr>
        <w:t>, 2024, accessed 12 June 2024.</w:t>
      </w:r>
    </w:p>
  </w:footnote>
  <w:footnote w:id="54">
    <w:p w14:paraId="166FC31A" w14:textId="71C8A0EE" w:rsidR="003525DF" w:rsidRDefault="003525DF" w:rsidP="00947E3E">
      <w:pPr>
        <w:pStyle w:val="FootnoteText"/>
      </w:pPr>
      <w:r>
        <w:rPr>
          <w:rStyle w:val="FootnoteReference"/>
        </w:rPr>
        <w:footnoteRef/>
      </w:r>
      <w:r>
        <w:t xml:space="preserve"> </w:t>
      </w:r>
      <w:r w:rsidRPr="006562A1">
        <w:rPr>
          <w:sz w:val="18"/>
          <w:szCs w:val="18"/>
        </w:rPr>
        <w:t xml:space="preserve">More information: The Treasury, </w:t>
      </w:r>
      <w:r w:rsidR="00634AD7" w:rsidRPr="007F5270">
        <w:rPr>
          <w:rFonts w:cstheme="minorHAnsi"/>
          <w:sz w:val="18"/>
          <w:szCs w:val="18"/>
        </w:rPr>
        <w:t>Australian Government,</w:t>
      </w:r>
      <w:r w:rsidR="00634AD7">
        <w:t xml:space="preserve"> </w:t>
      </w:r>
      <w:hyperlink r:id="rId53" w:history="1">
        <w:r w:rsidRPr="006562A1">
          <w:rPr>
            <w:rStyle w:val="Hyperlink"/>
            <w:rFonts w:cs="Calibri Light"/>
            <w:i/>
            <w:sz w:val="18"/>
            <w:szCs w:val="18"/>
          </w:rPr>
          <w:t>Merger Reform Consultation Paper - Appendices</w:t>
        </w:r>
      </w:hyperlink>
      <w:r w:rsidRPr="006562A1">
        <w:rPr>
          <w:sz w:val="18"/>
          <w:szCs w:val="18"/>
        </w:rPr>
        <w:t>, November 2023, p 5, accessed 9</w:t>
      </w:r>
      <w:r>
        <w:rPr>
          <w:sz w:val="18"/>
          <w:szCs w:val="18"/>
        </w:rPr>
        <w:t> </w:t>
      </w:r>
      <w:r w:rsidRPr="006562A1">
        <w:rPr>
          <w:sz w:val="18"/>
          <w:szCs w:val="18"/>
        </w:rPr>
        <w:t>May</w:t>
      </w:r>
      <w:r>
        <w:rPr>
          <w:sz w:val="18"/>
          <w:szCs w:val="18"/>
        </w:rPr>
        <w:t> </w:t>
      </w:r>
      <w:r w:rsidRPr="006562A1">
        <w:rPr>
          <w:sz w:val="18"/>
          <w:szCs w:val="18"/>
        </w:rPr>
        <w:t>2024.</w:t>
      </w:r>
    </w:p>
  </w:footnote>
  <w:footnote w:id="55">
    <w:p w14:paraId="08777AB5" w14:textId="54BA8CA3" w:rsidR="003525DF" w:rsidRDefault="003525DF" w:rsidP="001A5781">
      <w:pPr>
        <w:pStyle w:val="FootnoteText"/>
      </w:pPr>
      <w:r w:rsidRPr="007878A5">
        <w:rPr>
          <w:rStyle w:val="FootnoteReference"/>
        </w:rPr>
        <w:footnoteRef/>
      </w:r>
      <w:r w:rsidRPr="007878A5">
        <w:t xml:space="preserve"> </w:t>
      </w:r>
      <w:r w:rsidRPr="007878A5">
        <w:rPr>
          <w:sz w:val="18"/>
          <w:szCs w:val="18"/>
        </w:rPr>
        <w:t xml:space="preserve">Mergers </w:t>
      </w:r>
      <w:r w:rsidR="007B0F15" w:rsidRPr="007878A5">
        <w:rPr>
          <w:sz w:val="18"/>
          <w:szCs w:val="18"/>
        </w:rPr>
        <w:t xml:space="preserve">and acquisitions </w:t>
      </w:r>
      <w:r w:rsidRPr="007878A5">
        <w:rPr>
          <w:sz w:val="18"/>
          <w:szCs w:val="18"/>
        </w:rPr>
        <w:t xml:space="preserve">below the </w:t>
      </w:r>
      <w:r w:rsidR="00FA21A2" w:rsidRPr="007878A5">
        <w:rPr>
          <w:sz w:val="18"/>
          <w:szCs w:val="18"/>
        </w:rPr>
        <w:t xml:space="preserve">notification </w:t>
      </w:r>
      <w:r w:rsidRPr="007878A5">
        <w:rPr>
          <w:sz w:val="18"/>
          <w:szCs w:val="18"/>
        </w:rPr>
        <w:t>threshold</w:t>
      </w:r>
      <w:r w:rsidR="00E27A6A" w:rsidRPr="007878A5">
        <w:rPr>
          <w:sz w:val="18"/>
          <w:szCs w:val="18"/>
        </w:rPr>
        <w:t>s</w:t>
      </w:r>
      <w:r w:rsidRPr="007878A5">
        <w:rPr>
          <w:sz w:val="18"/>
          <w:szCs w:val="18"/>
        </w:rPr>
        <w:t xml:space="preserve"> may also be voluntarily notified to the ACCC. Such </w:t>
      </w:r>
      <w:r w:rsidR="00E27A6A" w:rsidRPr="007878A5">
        <w:rPr>
          <w:sz w:val="18"/>
          <w:szCs w:val="18"/>
        </w:rPr>
        <w:t>mergers and acquisitions</w:t>
      </w:r>
      <w:r w:rsidRPr="007878A5">
        <w:rPr>
          <w:sz w:val="18"/>
          <w:szCs w:val="18"/>
        </w:rPr>
        <w:t xml:space="preserve"> would be subject to the same administrative system as above-the-threshold mergers</w:t>
      </w:r>
      <w:r w:rsidR="007B0F15" w:rsidRPr="007878A5">
        <w:rPr>
          <w:sz w:val="18"/>
          <w:szCs w:val="18"/>
        </w:rPr>
        <w:t xml:space="preserve"> and acquisitions</w:t>
      </w:r>
      <w:r w:rsidRPr="007878A5">
        <w:rPr>
          <w:sz w:val="18"/>
          <w:szCs w:val="18"/>
        </w:rPr>
        <w:t>.</w:t>
      </w:r>
    </w:p>
  </w:footnote>
  <w:footnote w:id="56">
    <w:p w14:paraId="2070A7F2" w14:textId="19489A7F" w:rsidR="00927128" w:rsidRDefault="00927128">
      <w:pPr>
        <w:pStyle w:val="FootnoteText"/>
      </w:pPr>
      <w:r>
        <w:rPr>
          <w:rStyle w:val="FootnoteReference"/>
        </w:rPr>
        <w:footnoteRef/>
      </w:r>
      <w:r>
        <w:t xml:space="preserve"> </w:t>
      </w:r>
      <w:r w:rsidR="00011696" w:rsidRPr="006562A1">
        <w:rPr>
          <w:sz w:val="18"/>
          <w:szCs w:val="18"/>
        </w:rPr>
        <w:t xml:space="preserve">The Treasury, </w:t>
      </w:r>
      <w:r w:rsidR="00011696" w:rsidRPr="007F5270">
        <w:rPr>
          <w:rFonts w:cstheme="minorHAnsi"/>
          <w:sz w:val="18"/>
          <w:szCs w:val="18"/>
        </w:rPr>
        <w:t>Australian Government,</w:t>
      </w:r>
      <w:r w:rsidR="00011696">
        <w:t xml:space="preserve"> </w:t>
      </w:r>
      <w:hyperlink r:id="rId54" w:history="1">
        <w:r w:rsidR="00297536">
          <w:rPr>
            <w:rStyle w:val="Hyperlink"/>
            <w:rFonts w:cs="Calibri Light"/>
            <w:i/>
            <w:sz w:val="18"/>
            <w:szCs w:val="18"/>
          </w:rPr>
          <w:t xml:space="preserve">Notification </w:t>
        </w:r>
        <w:r w:rsidR="00B564B6">
          <w:rPr>
            <w:rStyle w:val="Hyperlink"/>
            <w:rFonts w:cs="Calibri Light"/>
            <w:i/>
            <w:sz w:val="18"/>
            <w:szCs w:val="18"/>
          </w:rPr>
          <w:t>T</w:t>
        </w:r>
        <w:r w:rsidR="00297536">
          <w:rPr>
            <w:rStyle w:val="Hyperlink"/>
            <w:rFonts w:cs="Calibri Light"/>
            <w:i/>
            <w:sz w:val="18"/>
            <w:szCs w:val="18"/>
          </w:rPr>
          <w:t xml:space="preserve">hresholds </w:t>
        </w:r>
        <w:r w:rsidR="00B564B6">
          <w:rPr>
            <w:rStyle w:val="Hyperlink"/>
            <w:rFonts w:cs="Calibri Light"/>
            <w:i/>
            <w:sz w:val="18"/>
            <w:szCs w:val="18"/>
          </w:rPr>
          <w:t>C</w:t>
        </w:r>
        <w:r w:rsidR="00297536">
          <w:rPr>
            <w:rStyle w:val="Hyperlink"/>
            <w:rFonts w:cs="Calibri Light"/>
            <w:i/>
            <w:sz w:val="18"/>
            <w:szCs w:val="18"/>
          </w:rPr>
          <w:t>onsultation</w:t>
        </w:r>
      </w:hyperlink>
      <w:r w:rsidR="00011696" w:rsidRPr="006562A1">
        <w:rPr>
          <w:sz w:val="18"/>
          <w:szCs w:val="18"/>
        </w:rPr>
        <w:t xml:space="preserve">, </w:t>
      </w:r>
      <w:r w:rsidR="00B63FE9">
        <w:rPr>
          <w:sz w:val="18"/>
          <w:szCs w:val="18"/>
        </w:rPr>
        <w:t>August</w:t>
      </w:r>
      <w:r w:rsidR="00011696" w:rsidRPr="006562A1">
        <w:rPr>
          <w:sz w:val="18"/>
          <w:szCs w:val="18"/>
        </w:rPr>
        <w:t xml:space="preserve"> 202</w:t>
      </w:r>
      <w:r w:rsidR="00B63FE9">
        <w:rPr>
          <w:sz w:val="18"/>
          <w:szCs w:val="18"/>
        </w:rPr>
        <w:t>4</w:t>
      </w:r>
      <w:r w:rsidR="00011696" w:rsidRPr="006562A1">
        <w:rPr>
          <w:sz w:val="18"/>
          <w:szCs w:val="18"/>
        </w:rPr>
        <w:t xml:space="preserve">, accessed </w:t>
      </w:r>
      <w:r w:rsidR="00B63FE9">
        <w:rPr>
          <w:sz w:val="18"/>
          <w:szCs w:val="18"/>
        </w:rPr>
        <w:t>30 August 2024</w:t>
      </w:r>
      <w:r w:rsidR="00011696" w:rsidRPr="006562A1">
        <w:rPr>
          <w:sz w:val="18"/>
          <w:szCs w:val="18"/>
        </w:rPr>
        <w:t>.</w:t>
      </w:r>
    </w:p>
  </w:footnote>
  <w:footnote w:id="57">
    <w:p w14:paraId="1508748B" w14:textId="252EC4C2" w:rsidR="003525DF" w:rsidRDefault="003525DF">
      <w:pPr>
        <w:pStyle w:val="FootnoteText"/>
      </w:pPr>
      <w:r>
        <w:rPr>
          <w:rStyle w:val="FootnoteReference"/>
        </w:rPr>
        <w:footnoteRef/>
      </w:r>
      <w:r>
        <w:t xml:space="preserve"> </w:t>
      </w:r>
      <w:r w:rsidRPr="006562A1">
        <w:rPr>
          <w:sz w:val="18"/>
          <w:szCs w:val="18"/>
        </w:rPr>
        <w:t xml:space="preserve">Department of Finance, Australian Government, </w:t>
      </w:r>
      <w:hyperlink r:id="rId55" w:history="1">
        <w:r w:rsidRPr="006562A1">
          <w:rPr>
            <w:rStyle w:val="Hyperlink"/>
            <w:rFonts w:cs="Calibri Light"/>
            <w:i/>
            <w:sz w:val="18"/>
            <w:szCs w:val="18"/>
          </w:rPr>
          <w:t>Australian Government Cost Recovery Policy</w:t>
        </w:r>
      </w:hyperlink>
      <w:r w:rsidRPr="006562A1">
        <w:rPr>
          <w:sz w:val="18"/>
          <w:szCs w:val="18"/>
        </w:rPr>
        <w:t>, 2023, accessed 12</w:t>
      </w:r>
      <w:r>
        <w:rPr>
          <w:sz w:val="18"/>
          <w:szCs w:val="18"/>
        </w:rPr>
        <w:t> </w:t>
      </w:r>
      <w:r w:rsidRPr="006562A1">
        <w:rPr>
          <w:sz w:val="18"/>
          <w:szCs w:val="18"/>
        </w:rPr>
        <w:t>June</w:t>
      </w:r>
      <w:r>
        <w:rPr>
          <w:sz w:val="18"/>
          <w:szCs w:val="18"/>
        </w:rPr>
        <w:t> </w:t>
      </w:r>
      <w:r w:rsidRPr="006562A1">
        <w:rPr>
          <w:sz w:val="18"/>
          <w:szCs w:val="18"/>
        </w:rPr>
        <w:t>2024.</w:t>
      </w:r>
    </w:p>
  </w:footnote>
  <w:footnote w:id="58">
    <w:p w14:paraId="4EB52822" w14:textId="514FB034" w:rsidR="003525DF" w:rsidRDefault="003525DF" w:rsidP="00341AB7">
      <w:pPr>
        <w:pStyle w:val="FootnoteText"/>
      </w:pPr>
      <w:r>
        <w:rPr>
          <w:rStyle w:val="FootnoteReference"/>
        </w:rPr>
        <w:footnoteRef/>
      </w:r>
      <w:r>
        <w:t xml:space="preserve"> </w:t>
      </w:r>
      <w:r w:rsidRPr="006562A1">
        <w:rPr>
          <w:sz w:val="18"/>
          <w:szCs w:val="18"/>
        </w:rPr>
        <w:t xml:space="preserve">ACCC, </w:t>
      </w:r>
      <w:r w:rsidR="0027620D" w:rsidRPr="006562A1">
        <w:rPr>
          <w:sz w:val="18"/>
          <w:szCs w:val="18"/>
        </w:rPr>
        <w:t xml:space="preserve">Australian Government, </w:t>
      </w:r>
      <w:hyperlink r:id="rId56" w:anchor="toc-mergers" w:history="1">
        <w:r w:rsidRPr="006562A1">
          <w:rPr>
            <w:rStyle w:val="Hyperlink"/>
            <w:rFonts w:cs="Calibri Light"/>
            <w:i/>
            <w:sz w:val="18"/>
            <w:szCs w:val="18"/>
          </w:rPr>
          <w:t>Second submission to Treasury on merger reform</w:t>
        </w:r>
      </w:hyperlink>
      <w:r w:rsidRPr="006562A1">
        <w:rPr>
          <w:sz w:val="18"/>
          <w:szCs w:val="18"/>
        </w:rPr>
        <w:t>, 31 January 2024, pp 67-68 (Attachment C), accessed 5</w:t>
      </w:r>
      <w:r>
        <w:rPr>
          <w:sz w:val="18"/>
          <w:szCs w:val="18"/>
        </w:rPr>
        <w:t> </w:t>
      </w:r>
      <w:r w:rsidRPr="006562A1">
        <w:rPr>
          <w:sz w:val="18"/>
          <w:szCs w:val="18"/>
        </w:rPr>
        <w:t>March</w:t>
      </w:r>
      <w:r>
        <w:rPr>
          <w:sz w:val="18"/>
          <w:szCs w:val="18"/>
        </w:rPr>
        <w:t> </w:t>
      </w:r>
      <w:r w:rsidRPr="006562A1">
        <w:rPr>
          <w:sz w:val="18"/>
          <w:szCs w:val="18"/>
        </w:rPr>
        <w:t>2024</w:t>
      </w:r>
      <w:r w:rsidR="00EF63E1">
        <w:rPr>
          <w:sz w:val="18"/>
          <w:szCs w:val="18"/>
        </w:rPr>
        <w:t>. The ACCC</w:t>
      </w:r>
      <w:r w:rsidRPr="006562A1">
        <w:rPr>
          <w:sz w:val="18"/>
          <w:szCs w:val="18"/>
        </w:rPr>
        <w:t xml:space="preserve"> provides 6 examples of mergers not notified to the ACCC in recent years. They include a large number of acquisitions by Petstock, Qantas acquiring 20 per cent of Alliance Airlines, Primary Healthcare’s acquisition of certain pathology assets from Healthscope, as well as mergers in the software, manufacturing and agricultural sectors.</w:t>
      </w:r>
      <w:r>
        <w:t xml:space="preserve"> </w:t>
      </w:r>
    </w:p>
  </w:footnote>
  <w:footnote w:id="59">
    <w:p w14:paraId="33D2BCA6" w14:textId="1E2F2C93" w:rsidR="003525DF" w:rsidRPr="00FE5D15" w:rsidRDefault="003525DF" w:rsidP="00947E3E">
      <w:pPr>
        <w:pStyle w:val="FootnoteText"/>
      </w:pPr>
      <w:r w:rsidRPr="000A0FC6">
        <w:rPr>
          <w:rStyle w:val="FootnoteReference"/>
          <w:rFonts w:cstheme="minorHAnsi"/>
        </w:rPr>
        <w:footnoteRef/>
      </w:r>
      <w:r w:rsidRPr="000A0FC6">
        <w:rPr>
          <w:rFonts w:cstheme="minorHAnsi"/>
        </w:rPr>
        <w:t xml:space="preserve"> </w:t>
      </w:r>
      <w:r w:rsidRPr="006562A1">
        <w:rPr>
          <w:rFonts w:cstheme="minorHAnsi"/>
          <w:sz w:val="18"/>
          <w:szCs w:val="18"/>
        </w:rPr>
        <w:t xml:space="preserve">OECD, </w:t>
      </w:r>
      <w:hyperlink r:id="rId57" w:history="1">
        <w:r w:rsidRPr="006562A1">
          <w:rPr>
            <w:rStyle w:val="Hyperlink"/>
            <w:rFonts w:cs="Calibri Light"/>
            <w:i/>
            <w:sz w:val="18"/>
            <w:szCs w:val="18"/>
          </w:rPr>
          <w:t>Guide for helping competition authorities assess the expected impact of their activities</w:t>
        </w:r>
        <w:r w:rsidRPr="006562A1">
          <w:rPr>
            <w:rFonts w:cstheme="minorHAnsi"/>
            <w:sz w:val="18"/>
            <w:szCs w:val="18"/>
          </w:rPr>
          <w:t>, April 2014, accessed 5</w:t>
        </w:r>
        <w:r>
          <w:rPr>
            <w:rFonts w:cstheme="minorHAnsi"/>
            <w:sz w:val="18"/>
            <w:szCs w:val="18"/>
          </w:rPr>
          <w:t> </w:t>
        </w:r>
        <w:r w:rsidRPr="006562A1">
          <w:rPr>
            <w:rFonts w:cstheme="minorHAnsi"/>
            <w:sz w:val="18"/>
            <w:szCs w:val="18"/>
          </w:rPr>
          <w:t>March</w:t>
        </w:r>
        <w:r>
          <w:rPr>
            <w:rFonts w:cstheme="minorHAnsi"/>
            <w:sz w:val="18"/>
            <w:szCs w:val="18"/>
          </w:rPr>
          <w:t> </w:t>
        </w:r>
        <w:r w:rsidRPr="006562A1">
          <w:rPr>
            <w:rFonts w:cstheme="minorHAnsi"/>
            <w:sz w:val="18"/>
            <w:szCs w:val="18"/>
          </w:rPr>
          <w:t>2024.</w:t>
        </w:r>
      </w:hyperlink>
    </w:p>
  </w:footnote>
  <w:footnote w:id="60">
    <w:p w14:paraId="40909E5F" w14:textId="36251451" w:rsidR="004C3293" w:rsidRDefault="004C3293">
      <w:pPr>
        <w:pStyle w:val="FootnoteText"/>
      </w:pPr>
      <w:r>
        <w:rPr>
          <w:rStyle w:val="FootnoteReference"/>
        </w:rPr>
        <w:footnoteRef/>
      </w:r>
      <w:r>
        <w:t xml:space="preserve"> </w:t>
      </w:r>
      <w:r w:rsidR="00D56A94" w:rsidRPr="006562A1">
        <w:rPr>
          <w:sz w:val="18"/>
          <w:szCs w:val="18"/>
        </w:rPr>
        <w:t xml:space="preserve">United Kingdom Competition and Markets Authority (CMA), </w:t>
      </w:r>
      <w:hyperlink r:id="rId58" w:history="1">
        <w:r w:rsidR="00D56A94" w:rsidRPr="006562A1">
          <w:rPr>
            <w:rStyle w:val="Hyperlink"/>
            <w:rFonts w:cs="Calibri Light"/>
            <w:i/>
            <w:sz w:val="18"/>
            <w:szCs w:val="18"/>
          </w:rPr>
          <w:t>Impact assessment report 2022 to 2023</w:t>
        </w:r>
      </w:hyperlink>
      <w:r w:rsidR="00D56A94" w:rsidRPr="006562A1">
        <w:rPr>
          <w:sz w:val="18"/>
          <w:szCs w:val="18"/>
        </w:rPr>
        <w:t>, 11 July 2023, accessed 5 March 2024</w:t>
      </w:r>
      <w:r w:rsidR="00D56A94">
        <w:rPr>
          <w:sz w:val="18"/>
          <w:szCs w:val="18"/>
        </w:rPr>
        <w:t xml:space="preserve"> and </w:t>
      </w:r>
      <w:r w:rsidR="00D56A94" w:rsidRPr="006562A1">
        <w:rPr>
          <w:rFonts w:cstheme="minorHAnsi"/>
          <w:sz w:val="18"/>
          <w:szCs w:val="18"/>
        </w:rPr>
        <w:t>United States, Federal Trade Commission</w:t>
      </w:r>
      <w:r w:rsidR="00D56A94" w:rsidRPr="006562A1">
        <w:rPr>
          <w:sz w:val="18"/>
          <w:szCs w:val="18"/>
        </w:rPr>
        <w:t xml:space="preserve">, </w:t>
      </w:r>
      <w:hyperlink r:id="rId59" w:history="1">
        <w:r w:rsidR="00D56A94" w:rsidRPr="006562A1">
          <w:rPr>
            <w:rStyle w:val="Hyperlink"/>
            <w:rFonts w:cs="Calibri Light"/>
            <w:i/>
            <w:sz w:val="18"/>
            <w:szCs w:val="18"/>
          </w:rPr>
          <w:t>Annual Performance Report for Fiscal Year 2022</w:t>
        </w:r>
        <w:r w:rsidR="00D56A94">
          <w:rPr>
            <w:rStyle w:val="Hyperlink"/>
            <w:rFonts w:cs="Calibri Light"/>
            <w:i/>
            <w:sz w:val="18"/>
            <w:szCs w:val="18"/>
          </w:rPr>
          <w:t xml:space="preserve"> </w:t>
        </w:r>
        <w:r w:rsidR="00D56A94" w:rsidRPr="006562A1">
          <w:rPr>
            <w:rStyle w:val="Hyperlink"/>
            <w:rFonts w:cs="Calibri Light"/>
            <w:i/>
            <w:sz w:val="18"/>
            <w:szCs w:val="18"/>
          </w:rPr>
          <w:t>and Annual Performance Plan for Fiscal Years 2023 to 2024</w:t>
        </w:r>
      </w:hyperlink>
      <w:r w:rsidR="00D56A94" w:rsidRPr="006562A1">
        <w:rPr>
          <w:sz w:val="18"/>
          <w:szCs w:val="18"/>
        </w:rPr>
        <w:t>, accessed 5 March 2024.</w:t>
      </w:r>
    </w:p>
  </w:footnote>
  <w:footnote w:id="61">
    <w:p w14:paraId="369BFC1B" w14:textId="4B7F683B" w:rsidR="003525DF" w:rsidRDefault="003525DF" w:rsidP="00947E3E">
      <w:pPr>
        <w:pStyle w:val="FootnoteText"/>
      </w:pPr>
      <w:r>
        <w:rPr>
          <w:rStyle w:val="FootnoteReference"/>
        </w:rPr>
        <w:footnoteRef/>
      </w:r>
      <w:r w:rsidDel="005F52DE">
        <w:t xml:space="preserve"> </w:t>
      </w:r>
      <w:r w:rsidRPr="006562A1">
        <w:rPr>
          <w:sz w:val="18"/>
          <w:szCs w:val="18"/>
        </w:rPr>
        <w:t xml:space="preserve">ACCC, </w:t>
      </w:r>
      <w:r w:rsidR="009F7E3F" w:rsidRPr="006562A1">
        <w:rPr>
          <w:sz w:val="18"/>
          <w:szCs w:val="18"/>
        </w:rPr>
        <w:t xml:space="preserve">Australian Government, </w:t>
      </w:r>
      <w:hyperlink r:id="rId60" w:history="1">
        <w:r w:rsidRPr="006562A1">
          <w:rPr>
            <w:rStyle w:val="Hyperlink"/>
            <w:rFonts w:asciiTheme="minorHAnsi" w:hAnsiTheme="minorHAnsi"/>
            <w:i/>
            <w:sz w:val="18"/>
            <w:szCs w:val="18"/>
          </w:rPr>
          <w:t>Submission to Treasury on ACCC preliminary views on options for merger control process</w:t>
        </w:r>
      </w:hyperlink>
      <w:r w:rsidRPr="006562A1">
        <w:rPr>
          <w:sz w:val="18"/>
          <w:szCs w:val="18"/>
        </w:rPr>
        <w:t>, 20 December 2023,</w:t>
      </w:r>
      <w:r w:rsidRPr="006562A1" w:rsidDel="000D19C4">
        <w:rPr>
          <w:sz w:val="18"/>
          <w:szCs w:val="18"/>
        </w:rPr>
        <w:t xml:space="preserve"> </w:t>
      </w:r>
      <w:r w:rsidRPr="006562A1">
        <w:rPr>
          <w:sz w:val="18"/>
          <w:szCs w:val="18"/>
        </w:rPr>
        <w:t>p</w:t>
      </w:r>
      <w:r w:rsidRPr="006562A1" w:rsidDel="005F52DE">
        <w:rPr>
          <w:sz w:val="18"/>
          <w:szCs w:val="18"/>
        </w:rPr>
        <w:t xml:space="preserve"> </w:t>
      </w:r>
      <w:r w:rsidRPr="006562A1">
        <w:rPr>
          <w:sz w:val="18"/>
          <w:szCs w:val="18"/>
        </w:rPr>
        <w:t>3, accessed 5 March 2024.</w:t>
      </w:r>
      <w:r>
        <w:t xml:space="preserve">  </w:t>
      </w:r>
    </w:p>
  </w:footnote>
  <w:footnote w:id="62">
    <w:p w14:paraId="19235C72" w14:textId="540D49ED" w:rsidR="003525DF" w:rsidRDefault="003525DF" w:rsidP="00947E3E">
      <w:pPr>
        <w:pStyle w:val="FootnoteText"/>
      </w:pPr>
      <w:r>
        <w:rPr>
          <w:rStyle w:val="FootnoteReference"/>
        </w:rPr>
        <w:footnoteRef/>
      </w:r>
      <w:r>
        <w:t xml:space="preserve"> </w:t>
      </w:r>
      <w:r w:rsidRPr="006562A1">
        <w:rPr>
          <w:sz w:val="18"/>
          <w:szCs w:val="18"/>
        </w:rPr>
        <w:t xml:space="preserve">This is calculated on the basis of the </w:t>
      </w:r>
      <w:r w:rsidR="006407E6">
        <w:rPr>
          <w:sz w:val="18"/>
          <w:szCs w:val="18"/>
        </w:rPr>
        <w:t>3</w:t>
      </w:r>
      <w:r w:rsidR="006407E6" w:rsidRPr="006562A1">
        <w:rPr>
          <w:sz w:val="18"/>
          <w:szCs w:val="18"/>
        </w:rPr>
        <w:t xml:space="preserve"> </w:t>
      </w:r>
      <w:r w:rsidRPr="006562A1">
        <w:rPr>
          <w:sz w:val="18"/>
          <w:szCs w:val="18"/>
        </w:rPr>
        <w:t>section 50 cases heard by the Federal Court in the past 15 years: ACCC v Metcash (2011); Vodafone Hutchinson v ACCC (2020); ACCC v Pacific National (2020). For each case</w:t>
      </w:r>
      <w:r w:rsidR="00850A6A">
        <w:rPr>
          <w:sz w:val="18"/>
          <w:szCs w:val="18"/>
        </w:rPr>
        <w:t>, the</w:t>
      </w:r>
      <w:r w:rsidRPr="006562A1">
        <w:rPr>
          <w:sz w:val="18"/>
          <w:szCs w:val="18"/>
        </w:rPr>
        <w:t xml:space="preserve"> duration is measured from </w:t>
      </w:r>
      <w:r w:rsidR="00850A6A">
        <w:rPr>
          <w:sz w:val="18"/>
          <w:szCs w:val="18"/>
        </w:rPr>
        <w:t xml:space="preserve">the </w:t>
      </w:r>
      <w:r w:rsidRPr="006562A1">
        <w:rPr>
          <w:sz w:val="18"/>
          <w:szCs w:val="18"/>
        </w:rPr>
        <w:t xml:space="preserve">first application to </w:t>
      </w:r>
      <w:r w:rsidR="00850A6A">
        <w:rPr>
          <w:sz w:val="18"/>
          <w:szCs w:val="18"/>
        </w:rPr>
        <w:t xml:space="preserve">the </w:t>
      </w:r>
      <w:r w:rsidRPr="006562A1">
        <w:rPr>
          <w:sz w:val="18"/>
          <w:szCs w:val="18"/>
        </w:rPr>
        <w:t xml:space="preserve">date of </w:t>
      </w:r>
      <w:r w:rsidR="00850A6A">
        <w:rPr>
          <w:sz w:val="18"/>
          <w:szCs w:val="18"/>
        </w:rPr>
        <w:t xml:space="preserve">the </w:t>
      </w:r>
      <w:r w:rsidRPr="006562A1">
        <w:rPr>
          <w:sz w:val="18"/>
          <w:szCs w:val="18"/>
        </w:rPr>
        <w:t>final decision (including any appeal).</w:t>
      </w:r>
      <w:r>
        <w:t xml:space="preserve"> </w:t>
      </w:r>
    </w:p>
  </w:footnote>
  <w:footnote w:id="63">
    <w:p w14:paraId="7C9E4393" w14:textId="48F2BFA3" w:rsidR="003525DF" w:rsidRDefault="003525DF" w:rsidP="00947E3E">
      <w:pPr>
        <w:pStyle w:val="FootnoteText"/>
      </w:pPr>
      <w:r>
        <w:rPr>
          <w:rStyle w:val="FootnoteReference"/>
        </w:rPr>
        <w:footnoteRef/>
      </w:r>
      <w:r>
        <w:t xml:space="preserve"> </w:t>
      </w:r>
      <w:r w:rsidRPr="006562A1">
        <w:rPr>
          <w:rFonts w:asciiTheme="majorHAnsi" w:hAnsiTheme="majorHAnsi" w:cstheme="majorHAnsi"/>
          <w:sz w:val="18"/>
          <w:szCs w:val="18"/>
        </w:rPr>
        <w:t xml:space="preserve">This figure is an estimated average based on costs ordered by the Federal Court in </w:t>
      </w:r>
      <w:r w:rsidRPr="006562A1">
        <w:rPr>
          <w:sz w:val="18"/>
          <w:szCs w:val="18"/>
        </w:rPr>
        <w:t>Vodafone Hutchinson v ACCC (2020) and ACCC v Pacific National (2020)</w:t>
      </w:r>
      <w:r w:rsidRPr="006562A1">
        <w:rPr>
          <w:rFonts w:asciiTheme="majorHAnsi" w:hAnsiTheme="majorHAnsi" w:cstheme="majorHAnsi"/>
          <w:sz w:val="18"/>
          <w:szCs w:val="18"/>
        </w:rPr>
        <w:t>.</w:t>
      </w:r>
    </w:p>
  </w:footnote>
  <w:footnote w:id="64">
    <w:p w14:paraId="5E934727" w14:textId="39A178AA" w:rsidR="003525DF" w:rsidRDefault="003525DF" w:rsidP="00947E3E">
      <w:pPr>
        <w:pStyle w:val="FootnoteText"/>
      </w:pPr>
      <w:r>
        <w:rPr>
          <w:rStyle w:val="FootnoteReference"/>
        </w:rPr>
        <w:footnoteRef/>
      </w:r>
      <w:r>
        <w:rPr>
          <w:rFonts w:cstheme="minorHAnsi"/>
          <w:sz w:val="18"/>
          <w:szCs w:val="18"/>
        </w:rPr>
        <w:t xml:space="preserve"> </w:t>
      </w:r>
      <w:r w:rsidRPr="006562A1">
        <w:rPr>
          <w:rFonts w:cstheme="minorHAnsi"/>
          <w:sz w:val="18"/>
          <w:szCs w:val="18"/>
        </w:rPr>
        <w:t xml:space="preserve">Business Council of Australia, </w:t>
      </w:r>
      <w:hyperlink r:id="rId61" w:history="1">
        <w:r w:rsidRPr="006562A1">
          <w:rPr>
            <w:rStyle w:val="Hyperlink"/>
            <w:i/>
            <w:sz w:val="18"/>
            <w:szCs w:val="18"/>
          </w:rPr>
          <w:t>Submission to Merger Reform consultation</w:t>
        </w:r>
      </w:hyperlink>
      <w:r w:rsidRPr="006562A1">
        <w:rPr>
          <w:rFonts w:cstheme="minorHAnsi"/>
          <w:sz w:val="18"/>
          <w:szCs w:val="18"/>
        </w:rPr>
        <w:t>, January 2024, p 19, accessed 5 March 2024.</w:t>
      </w:r>
      <w:r>
        <w:t xml:space="preserve"> </w:t>
      </w:r>
    </w:p>
  </w:footnote>
  <w:footnote w:id="65">
    <w:p w14:paraId="1605A9A5" w14:textId="6DFF5DA0" w:rsidR="00BD0A22" w:rsidRDefault="00BD0A22" w:rsidP="00BD0A22">
      <w:pPr>
        <w:pStyle w:val="FootnoteText"/>
      </w:pPr>
      <w:r>
        <w:rPr>
          <w:rStyle w:val="FootnoteReference"/>
        </w:rPr>
        <w:footnoteRef/>
      </w:r>
      <w:r>
        <w:t xml:space="preserve"> </w:t>
      </w:r>
      <w:r w:rsidR="00392B06">
        <w:t>B</w:t>
      </w:r>
      <w:r w:rsidRPr="0063244C">
        <w:rPr>
          <w:sz w:val="18"/>
          <w:szCs w:val="18"/>
        </w:rPr>
        <w:t xml:space="preserve">ased on Treasury analysis of confidential transaction value data provided by the ACCC, and calculated on the basis of the average phase </w:t>
      </w:r>
      <w:r w:rsidR="000A5D0F">
        <w:rPr>
          <w:sz w:val="18"/>
          <w:szCs w:val="18"/>
        </w:rPr>
        <w:t>1</w:t>
      </w:r>
      <w:r w:rsidRPr="0063244C">
        <w:rPr>
          <w:sz w:val="18"/>
          <w:szCs w:val="18"/>
        </w:rPr>
        <w:t xml:space="preserve"> duration of 59 days and average phase </w:t>
      </w:r>
      <w:r w:rsidR="000A5D0F">
        <w:rPr>
          <w:sz w:val="18"/>
          <w:szCs w:val="18"/>
        </w:rPr>
        <w:t>2</w:t>
      </w:r>
      <w:r w:rsidRPr="0063244C">
        <w:rPr>
          <w:sz w:val="18"/>
          <w:szCs w:val="18"/>
        </w:rPr>
        <w:t xml:space="preserve"> duration of 133 days. In the case of pre-assessments</w:t>
      </w:r>
      <w:r w:rsidR="00EF63E1">
        <w:rPr>
          <w:sz w:val="18"/>
          <w:szCs w:val="18"/>
        </w:rPr>
        <w:t>,</w:t>
      </w:r>
      <w:r w:rsidRPr="0063244C">
        <w:rPr>
          <w:sz w:val="18"/>
          <w:szCs w:val="18"/>
        </w:rPr>
        <w:t xml:space="preserve"> the transaction value data period covers 1 October 2022 to 29 November 2023 and </w:t>
      </w:r>
      <w:r w:rsidR="00EF63E1">
        <w:rPr>
          <w:sz w:val="18"/>
          <w:szCs w:val="18"/>
        </w:rPr>
        <w:t xml:space="preserve">was </w:t>
      </w:r>
      <w:r w:rsidRPr="0063244C">
        <w:rPr>
          <w:sz w:val="18"/>
          <w:szCs w:val="18"/>
        </w:rPr>
        <w:t xml:space="preserve">adjusted to reflect a 12 month period on the basis of </w:t>
      </w:r>
      <w:r w:rsidR="00167318">
        <w:rPr>
          <w:sz w:val="18"/>
          <w:szCs w:val="18"/>
        </w:rPr>
        <w:t xml:space="preserve">a </w:t>
      </w:r>
      <w:r w:rsidRPr="0063244C">
        <w:rPr>
          <w:sz w:val="18"/>
          <w:szCs w:val="18"/>
        </w:rPr>
        <w:t xml:space="preserve">14 </w:t>
      </w:r>
      <w:r w:rsidR="00925727">
        <w:rPr>
          <w:sz w:val="18"/>
          <w:szCs w:val="18"/>
        </w:rPr>
        <w:t xml:space="preserve">day </w:t>
      </w:r>
      <w:r w:rsidRPr="0063244C">
        <w:rPr>
          <w:sz w:val="18"/>
          <w:szCs w:val="18"/>
        </w:rPr>
        <w:t>average duration for pre-assessments</w:t>
      </w:r>
      <w:r w:rsidR="0063244C" w:rsidRPr="0063244C">
        <w:rPr>
          <w:sz w:val="18"/>
          <w:szCs w:val="18"/>
        </w:rPr>
        <w:t>.</w:t>
      </w:r>
    </w:p>
  </w:footnote>
  <w:footnote w:id="66">
    <w:p w14:paraId="531D7A9C" w14:textId="77777777" w:rsidR="003525DF" w:rsidRDefault="003525DF" w:rsidP="00947E3E">
      <w:pPr>
        <w:pStyle w:val="FootnoteText"/>
      </w:pPr>
      <w:r>
        <w:rPr>
          <w:rStyle w:val="FootnoteReference"/>
        </w:rPr>
        <w:footnoteRef/>
      </w:r>
      <w:r>
        <w:t xml:space="preserve"> </w:t>
      </w:r>
      <w:r w:rsidRPr="006562A1">
        <w:rPr>
          <w:sz w:val="18"/>
          <w:szCs w:val="18"/>
        </w:rPr>
        <w:t>Based on estimates supplied by the ACCC.</w:t>
      </w:r>
    </w:p>
  </w:footnote>
  <w:footnote w:id="67">
    <w:p w14:paraId="2CF58B8A" w14:textId="77777777" w:rsidR="003525DF" w:rsidRDefault="003525DF" w:rsidP="00947E3E">
      <w:pPr>
        <w:pStyle w:val="FootnoteText"/>
      </w:pPr>
      <w:r>
        <w:rPr>
          <w:rStyle w:val="FootnoteReference"/>
        </w:rPr>
        <w:footnoteRef/>
      </w:r>
      <w:r>
        <w:t xml:space="preserve"> </w:t>
      </w:r>
      <w:r w:rsidRPr="006562A1">
        <w:rPr>
          <w:sz w:val="18"/>
          <w:szCs w:val="18"/>
        </w:rPr>
        <w:t>Based on estimates supplied by the ACCC.</w:t>
      </w:r>
      <w:r>
        <w:t xml:space="preserve"> </w:t>
      </w:r>
    </w:p>
  </w:footnote>
  <w:footnote w:id="68">
    <w:p w14:paraId="7FB95BC2" w14:textId="2A23BF85" w:rsidR="003525DF" w:rsidRDefault="003525DF" w:rsidP="00992C5E">
      <w:pPr>
        <w:pStyle w:val="FootnoteText"/>
      </w:pPr>
      <w:r>
        <w:rPr>
          <w:rStyle w:val="FootnoteReference"/>
        </w:rPr>
        <w:footnoteRef/>
      </w:r>
      <w:r>
        <w:t xml:space="preserve"> </w:t>
      </w:r>
      <w:r w:rsidRPr="006562A1">
        <w:rPr>
          <w:sz w:val="18"/>
          <w:szCs w:val="18"/>
        </w:rPr>
        <w:t xml:space="preserve">Numbers obtained from ACCC, </w:t>
      </w:r>
      <w:hyperlink r:id="rId62" w:history="1">
        <w:r w:rsidRPr="006562A1">
          <w:rPr>
            <w:rStyle w:val="Hyperlink"/>
            <w:i/>
            <w:sz w:val="18"/>
            <w:szCs w:val="18"/>
          </w:rPr>
          <w:t>Public informal merger review register</w:t>
        </w:r>
      </w:hyperlink>
      <w:r w:rsidRPr="006562A1">
        <w:rPr>
          <w:sz w:val="18"/>
          <w:szCs w:val="18"/>
        </w:rPr>
        <w:t xml:space="preserve"> [online public register], accessed 23 May 2024</w:t>
      </w:r>
      <w:r>
        <w:rPr>
          <w:sz w:val="18"/>
          <w:szCs w:val="18"/>
        </w:rPr>
        <w:t>.</w:t>
      </w:r>
    </w:p>
  </w:footnote>
  <w:footnote w:id="69">
    <w:p w14:paraId="1C5ACD18" w14:textId="173DC429" w:rsidR="003525DF" w:rsidRDefault="003525DF">
      <w:pPr>
        <w:pStyle w:val="FootnoteText"/>
      </w:pPr>
      <w:r>
        <w:rPr>
          <w:rStyle w:val="FootnoteReference"/>
        </w:rPr>
        <w:footnoteRef/>
      </w:r>
      <w:r>
        <w:t xml:space="preserve"> </w:t>
      </w:r>
      <w:r w:rsidRPr="006562A1">
        <w:rPr>
          <w:sz w:val="18"/>
          <w:szCs w:val="18"/>
        </w:rPr>
        <w:t xml:space="preserve">See, for example, </w:t>
      </w:r>
      <w:r w:rsidRPr="006562A1">
        <w:rPr>
          <w:rFonts w:cstheme="minorHAnsi"/>
          <w:sz w:val="18"/>
          <w:szCs w:val="18"/>
        </w:rPr>
        <w:t xml:space="preserve">Business Council of Australia, </w:t>
      </w:r>
      <w:hyperlink r:id="rId63" w:history="1">
        <w:r w:rsidRPr="006562A1">
          <w:rPr>
            <w:rStyle w:val="Hyperlink"/>
            <w:i/>
            <w:sz w:val="18"/>
            <w:szCs w:val="18"/>
          </w:rPr>
          <w:t>Submission to Merger Reform consultation</w:t>
        </w:r>
      </w:hyperlink>
      <w:r w:rsidRPr="006562A1">
        <w:rPr>
          <w:rFonts w:cstheme="minorHAnsi"/>
          <w:sz w:val="18"/>
          <w:szCs w:val="18"/>
        </w:rPr>
        <w:t>, January 2024, p 9, accessed 10 June 2024.</w:t>
      </w:r>
    </w:p>
  </w:footnote>
  <w:footnote w:id="70">
    <w:p w14:paraId="36863627" w14:textId="721B8EA9" w:rsidR="003525DF" w:rsidRPr="00FE5D15" w:rsidRDefault="003525DF" w:rsidP="00947E3E">
      <w:pPr>
        <w:pStyle w:val="FootnoteText"/>
      </w:pPr>
      <w:r w:rsidRPr="00FE5D15">
        <w:rPr>
          <w:rStyle w:val="FootnoteReference"/>
          <w:rFonts w:ascii="Calibri Light" w:hAnsi="Calibri Light" w:cs="Calibri Light"/>
        </w:rPr>
        <w:footnoteRef/>
      </w:r>
      <w:r w:rsidRPr="00FE5D15">
        <w:t xml:space="preserve"> </w:t>
      </w:r>
      <w:r w:rsidRPr="006562A1">
        <w:rPr>
          <w:sz w:val="18"/>
          <w:szCs w:val="18"/>
        </w:rPr>
        <w:t xml:space="preserve">United Kingdom Competition and Markets Authority (CMA), </w:t>
      </w:r>
      <w:hyperlink r:id="rId64" w:history="1">
        <w:r w:rsidRPr="006562A1">
          <w:rPr>
            <w:rStyle w:val="Hyperlink"/>
            <w:rFonts w:cs="Calibri Light"/>
            <w:i/>
            <w:sz w:val="18"/>
            <w:szCs w:val="18"/>
          </w:rPr>
          <w:t>Impact assessment report 2022 to 2023</w:t>
        </w:r>
      </w:hyperlink>
      <w:r w:rsidRPr="006562A1">
        <w:rPr>
          <w:sz w:val="18"/>
          <w:szCs w:val="18"/>
        </w:rPr>
        <w:t>, 11 July 2023, accessed 5 March 2024. The CMA did not publish a figure for the costs incurred for merger control specifically but noted that the average annual total consumer saving as result of the CMA’s principal tools in 2020/21-2022/23 was £2713.8m and the average annual total costs were £105.1m for a total benefit/cost ratio of 25.8:1.</w:t>
      </w:r>
      <w:r w:rsidRPr="00FE5D15">
        <w:t xml:space="preserve"> </w:t>
      </w:r>
    </w:p>
  </w:footnote>
  <w:footnote w:id="71">
    <w:p w14:paraId="55D83F86" w14:textId="77777777" w:rsidR="003525DF" w:rsidRPr="006562A1" w:rsidRDefault="003525DF" w:rsidP="00947E3E">
      <w:pPr>
        <w:pStyle w:val="FootnoteText"/>
        <w:rPr>
          <w:rStyle w:val="Hyperlink"/>
          <w:rFonts w:cs="Calibri Light"/>
          <w:i/>
          <w:sz w:val="18"/>
          <w:szCs w:val="18"/>
        </w:rPr>
      </w:pPr>
      <w:r>
        <w:rPr>
          <w:rStyle w:val="FootnoteReference"/>
        </w:rPr>
        <w:footnoteRef/>
      </w:r>
      <w:r w:rsidRPr="0072427C">
        <w:rPr>
          <w:rFonts w:cstheme="minorHAnsi"/>
        </w:rPr>
        <w:t xml:space="preserve"> </w:t>
      </w:r>
      <w:r w:rsidRPr="006562A1">
        <w:rPr>
          <w:rFonts w:cstheme="minorHAnsi"/>
          <w:sz w:val="18"/>
          <w:szCs w:val="18"/>
        </w:rPr>
        <w:t>United States, Federal Trade Commission</w:t>
      </w:r>
      <w:r w:rsidRPr="006562A1">
        <w:rPr>
          <w:sz w:val="18"/>
          <w:szCs w:val="18"/>
        </w:rPr>
        <w:t xml:space="preserve">, </w:t>
      </w:r>
      <w:r w:rsidRPr="006562A1">
        <w:rPr>
          <w:rStyle w:val="Hyperlink"/>
          <w:rFonts w:cs="Calibri Light"/>
          <w:sz w:val="18"/>
          <w:szCs w:val="18"/>
        </w:rPr>
        <w:fldChar w:fldCharType="begin"/>
      </w:r>
      <w:r w:rsidRPr="006562A1">
        <w:rPr>
          <w:rStyle w:val="Hyperlink"/>
          <w:rFonts w:cs="Calibri Light"/>
          <w:sz w:val="18"/>
          <w:szCs w:val="18"/>
        </w:rPr>
        <w:instrText>HYPERLINK "https://www.ftc.gov/system/files/ftc_gov/pdf/p859900fy22apr_fy23-24app.pdf"</w:instrText>
      </w:r>
      <w:r w:rsidRPr="006562A1">
        <w:rPr>
          <w:rStyle w:val="Hyperlink"/>
          <w:rFonts w:cs="Calibri Light"/>
          <w:sz w:val="18"/>
          <w:szCs w:val="18"/>
        </w:rPr>
        <w:fldChar w:fldCharType="separate"/>
      </w:r>
      <w:r w:rsidRPr="006562A1">
        <w:rPr>
          <w:rStyle w:val="Hyperlink"/>
          <w:rFonts w:cs="Calibri Light"/>
          <w:i/>
          <w:sz w:val="18"/>
          <w:szCs w:val="18"/>
        </w:rPr>
        <w:t>Annual Performance Report for Fiscal Year 2022</w:t>
      </w:r>
    </w:p>
    <w:p w14:paraId="6409CAD9" w14:textId="7142C45C" w:rsidR="003525DF" w:rsidRDefault="003525DF" w:rsidP="00947E3E">
      <w:pPr>
        <w:pStyle w:val="FootnoteText"/>
      </w:pPr>
      <w:r w:rsidRPr="006562A1">
        <w:rPr>
          <w:rStyle w:val="Hyperlink"/>
          <w:rFonts w:cs="Calibri Light"/>
          <w:i/>
          <w:sz w:val="18"/>
          <w:szCs w:val="18"/>
        </w:rPr>
        <w:t>and Annual Performance Plan for Fiscal Years 2023 to 2024</w:t>
      </w:r>
      <w:r w:rsidRPr="006562A1">
        <w:rPr>
          <w:rStyle w:val="Hyperlink"/>
          <w:rFonts w:cs="Calibri Light"/>
          <w:sz w:val="18"/>
          <w:szCs w:val="18"/>
        </w:rPr>
        <w:fldChar w:fldCharType="end"/>
      </w:r>
      <w:r w:rsidRPr="006562A1">
        <w:rPr>
          <w:sz w:val="18"/>
          <w:szCs w:val="18"/>
        </w:rPr>
        <w:t xml:space="preserve">, accessed 5 March 2024. For the relevant period, the data includes 18 merger matters, and 2 competition enforcement cases. The FTC does not disaggregate the benefit to consumers between mergers and competition enforcement cases. </w:t>
      </w:r>
    </w:p>
  </w:footnote>
  <w:footnote w:id="72">
    <w:p w14:paraId="635676A7" w14:textId="3F565F98" w:rsidR="003525DF" w:rsidRDefault="003525DF">
      <w:pPr>
        <w:pStyle w:val="FootnoteText"/>
      </w:pPr>
      <w:r>
        <w:rPr>
          <w:rStyle w:val="FootnoteReference"/>
        </w:rPr>
        <w:footnoteRef/>
      </w:r>
      <w:r>
        <w:t xml:space="preserve"> </w:t>
      </w:r>
      <w:r w:rsidRPr="006562A1">
        <w:rPr>
          <w:sz w:val="18"/>
          <w:szCs w:val="18"/>
        </w:rPr>
        <w:t>Note: Savings given in millions of local currency at current prices. Australian savings extrapolated from 2021-22 UK and US figures. Sources: Office for National Statistics; Competition &amp; Markets Authority; Bureau of Economic Analysis; Federal Trade Commission; Australian Bureau of Statistics; Treasury; Refinitiv.</w:t>
      </w:r>
      <w:r w:rsidR="006B4C2D">
        <w:rPr>
          <w:sz w:val="18"/>
          <w:szCs w:val="18"/>
        </w:rPr>
        <w:t xml:space="preserve"> </w:t>
      </w:r>
      <w:r w:rsidR="00E85AED">
        <w:rPr>
          <w:sz w:val="18"/>
          <w:szCs w:val="18"/>
        </w:rPr>
        <w:t xml:space="preserve">The </w:t>
      </w:r>
      <w:r w:rsidR="00D85BC6">
        <w:rPr>
          <w:sz w:val="18"/>
          <w:szCs w:val="18"/>
        </w:rPr>
        <w:t>estimates</w:t>
      </w:r>
      <w:r w:rsidR="00D75C62">
        <w:rPr>
          <w:sz w:val="18"/>
          <w:szCs w:val="18"/>
        </w:rPr>
        <w:t xml:space="preserve"> assume the benefits are proportional to GDP and </w:t>
      </w:r>
      <w:r w:rsidR="00DB6212">
        <w:rPr>
          <w:sz w:val="18"/>
          <w:szCs w:val="18"/>
        </w:rPr>
        <w:t xml:space="preserve">excludes consideration around </w:t>
      </w:r>
      <w:r w:rsidR="00F5313F">
        <w:rPr>
          <w:sz w:val="18"/>
          <w:szCs w:val="18"/>
        </w:rPr>
        <w:t xml:space="preserve">differing population size, </w:t>
      </w:r>
      <w:r w:rsidR="00B94ADC">
        <w:rPr>
          <w:sz w:val="18"/>
          <w:szCs w:val="18"/>
        </w:rPr>
        <w:t xml:space="preserve">consumer spending, </w:t>
      </w:r>
      <w:r w:rsidR="00F5313F">
        <w:rPr>
          <w:sz w:val="18"/>
          <w:szCs w:val="18"/>
        </w:rPr>
        <w:t>market structure and concentration</w:t>
      </w:r>
      <w:r w:rsidR="00FA6E6E">
        <w:rPr>
          <w:sz w:val="18"/>
          <w:szCs w:val="18"/>
        </w:rPr>
        <w:t>, regulatory approach</w:t>
      </w:r>
      <w:r w:rsidR="00AE74B8">
        <w:rPr>
          <w:sz w:val="18"/>
          <w:szCs w:val="18"/>
        </w:rPr>
        <w:t>,</w:t>
      </w:r>
      <w:r w:rsidR="00F67303">
        <w:rPr>
          <w:sz w:val="18"/>
          <w:szCs w:val="18"/>
        </w:rPr>
        <w:t xml:space="preserve"> which may mean the benefits in Australia would be far greater than </w:t>
      </w:r>
      <w:r w:rsidR="005F1D58">
        <w:rPr>
          <w:sz w:val="18"/>
          <w:szCs w:val="18"/>
        </w:rPr>
        <w:t xml:space="preserve">in </w:t>
      </w:r>
      <w:r w:rsidR="00F67303">
        <w:rPr>
          <w:sz w:val="18"/>
          <w:szCs w:val="18"/>
        </w:rPr>
        <w:t>the UK and US.</w:t>
      </w:r>
    </w:p>
  </w:footnote>
  <w:footnote w:id="73">
    <w:p w14:paraId="0E34C6E3" w14:textId="183BA8E9" w:rsidR="003525DF" w:rsidRDefault="003525DF" w:rsidP="00947E3E">
      <w:pPr>
        <w:pStyle w:val="FootnoteText"/>
      </w:pPr>
      <w:r>
        <w:rPr>
          <w:rStyle w:val="FootnoteReference"/>
        </w:rPr>
        <w:footnoteRef/>
      </w:r>
      <w:r>
        <w:t xml:space="preserve"> </w:t>
      </w:r>
      <w:r w:rsidRPr="006562A1">
        <w:rPr>
          <w:sz w:val="18"/>
          <w:szCs w:val="18"/>
        </w:rPr>
        <w:t xml:space="preserve">Dr Steven Kennedy PSM, Secretary to the Treasury, </w:t>
      </w:r>
      <w:hyperlink r:id="rId65" w:history="1">
        <w:r w:rsidRPr="006562A1">
          <w:rPr>
            <w:rStyle w:val="Hyperlink"/>
            <w:rFonts w:cs="Calibri Light"/>
            <w:i/>
            <w:sz w:val="18"/>
            <w:szCs w:val="18"/>
          </w:rPr>
          <w:t>Post-Budget economic briefing: Address to the Australian Business Economists</w:t>
        </w:r>
      </w:hyperlink>
      <w:r w:rsidRPr="006562A1">
        <w:rPr>
          <w:sz w:val="18"/>
          <w:szCs w:val="18"/>
        </w:rPr>
        <w:t>, 30 May 2024, accessed 10 June 2024.</w:t>
      </w:r>
    </w:p>
  </w:footnote>
  <w:footnote w:id="74">
    <w:p w14:paraId="427AEB02" w14:textId="64824EFA" w:rsidR="003525DF" w:rsidRDefault="003525DF">
      <w:pPr>
        <w:pStyle w:val="FootnoteText"/>
      </w:pPr>
      <w:r>
        <w:rPr>
          <w:rStyle w:val="FootnoteReference"/>
        </w:rPr>
        <w:footnoteRef/>
      </w:r>
      <w:r>
        <w:t xml:space="preserve"> </w:t>
      </w:r>
      <w:r w:rsidRPr="006562A1">
        <w:rPr>
          <w:sz w:val="18"/>
          <w:szCs w:val="18"/>
        </w:rPr>
        <w:t xml:space="preserve">The Treasury, </w:t>
      </w:r>
      <w:r w:rsidR="00D53344">
        <w:rPr>
          <w:sz w:val="18"/>
          <w:szCs w:val="18"/>
        </w:rPr>
        <w:t xml:space="preserve">Australian Government, </w:t>
      </w:r>
      <w:r w:rsidRPr="006562A1">
        <w:rPr>
          <w:sz w:val="18"/>
          <w:szCs w:val="18"/>
        </w:rPr>
        <w:t>‘</w:t>
      </w:r>
      <w:hyperlink r:id="rId66" w:history="1">
        <w:r w:rsidRPr="006562A1">
          <w:rPr>
            <w:rStyle w:val="Hyperlink"/>
            <w:rFonts w:cs="Calibri Light"/>
            <w:i/>
            <w:sz w:val="18"/>
            <w:szCs w:val="18"/>
          </w:rPr>
          <w:t>Tracking mergers in Australia using worker flows</w:t>
        </w:r>
      </w:hyperlink>
      <w:r w:rsidRPr="006562A1">
        <w:rPr>
          <w:sz w:val="18"/>
          <w:szCs w:val="18"/>
        </w:rPr>
        <w:t>, p 1, accessed 13 June 2024.</w:t>
      </w:r>
    </w:p>
  </w:footnote>
  <w:footnote w:id="75">
    <w:p w14:paraId="35F96F08" w14:textId="7A287119" w:rsidR="003525DF" w:rsidRPr="007201E0" w:rsidRDefault="003525DF" w:rsidP="00947E3E">
      <w:pPr>
        <w:pStyle w:val="FootnoteText"/>
        <w:rPr>
          <w:i/>
        </w:rPr>
      </w:pPr>
      <w:r>
        <w:rPr>
          <w:rStyle w:val="FootnoteReference"/>
        </w:rPr>
        <w:footnoteRef/>
      </w:r>
      <w:r>
        <w:t xml:space="preserve"> </w:t>
      </w:r>
      <w:r w:rsidRPr="006562A1">
        <w:rPr>
          <w:sz w:val="18"/>
          <w:szCs w:val="18"/>
        </w:rPr>
        <w:t xml:space="preserve">Business Council of Australia, </w:t>
      </w:r>
      <w:hyperlink r:id="rId67" w:history="1">
        <w:r w:rsidRPr="006562A1">
          <w:rPr>
            <w:rStyle w:val="Hyperlink"/>
            <w:i/>
            <w:sz w:val="18"/>
            <w:szCs w:val="18"/>
          </w:rPr>
          <w:t>Submission to Merger Reform consultation</w:t>
        </w:r>
      </w:hyperlink>
      <w:r w:rsidRPr="006562A1">
        <w:rPr>
          <w:sz w:val="18"/>
          <w:szCs w:val="18"/>
        </w:rPr>
        <w:t>, January 2024, p 19, accessed 23 May 2024.</w:t>
      </w:r>
      <w:r>
        <w:t xml:space="preserve"> </w:t>
      </w:r>
    </w:p>
  </w:footnote>
  <w:footnote w:id="76">
    <w:p w14:paraId="16A67386" w14:textId="7232A4C1" w:rsidR="003525DF" w:rsidRDefault="003525DF">
      <w:pPr>
        <w:pStyle w:val="FootnoteText"/>
      </w:pPr>
      <w:r>
        <w:rPr>
          <w:rStyle w:val="FootnoteReference"/>
        </w:rPr>
        <w:footnoteRef/>
      </w:r>
      <w:r>
        <w:t xml:space="preserve"> </w:t>
      </w:r>
      <w:r w:rsidRPr="006562A1">
        <w:rPr>
          <w:sz w:val="18"/>
          <w:szCs w:val="18"/>
        </w:rPr>
        <w:t>Tech</w:t>
      </w:r>
      <w:r w:rsidR="00BF3C45">
        <w:rPr>
          <w:sz w:val="18"/>
          <w:szCs w:val="18"/>
        </w:rPr>
        <w:t xml:space="preserve"> </w:t>
      </w:r>
      <w:r w:rsidRPr="006562A1">
        <w:rPr>
          <w:sz w:val="18"/>
          <w:szCs w:val="18"/>
        </w:rPr>
        <w:t xml:space="preserve">Council of Australia, </w:t>
      </w:r>
      <w:hyperlink r:id="rId68" w:history="1">
        <w:r w:rsidRPr="006562A1">
          <w:rPr>
            <w:rStyle w:val="Hyperlink"/>
            <w:i/>
            <w:sz w:val="18"/>
            <w:szCs w:val="18"/>
          </w:rPr>
          <w:t>Merger</w:t>
        </w:r>
      </w:hyperlink>
      <w:r w:rsidRPr="006562A1">
        <w:rPr>
          <w:rStyle w:val="Hyperlink"/>
          <w:i/>
          <w:sz w:val="18"/>
          <w:szCs w:val="18"/>
        </w:rPr>
        <w:t xml:space="preserve"> reforms Consultation: Tech Council of Australia submission</w:t>
      </w:r>
      <w:r w:rsidRPr="006562A1">
        <w:rPr>
          <w:sz w:val="18"/>
          <w:szCs w:val="18"/>
        </w:rPr>
        <w:t>, January 2024, p 7, accessed 10 June 2024.</w:t>
      </w:r>
    </w:p>
  </w:footnote>
  <w:footnote w:id="77">
    <w:p w14:paraId="3D255927" w14:textId="2B54AB5C" w:rsidR="003525DF" w:rsidRDefault="003525DF" w:rsidP="00947E3E">
      <w:pPr>
        <w:pStyle w:val="FootnoteText"/>
      </w:pPr>
      <w:r>
        <w:rPr>
          <w:rStyle w:val="FootnoteReference"/>
        </w:rPr>
        <w:footnoteRef/>
      </w:r>
      <w:r>
        <w:t xml:space="preserve"> </w:t>
      </w:r>
      <w:r w:rsidRPr="006562A1">
        <w:rPr>
          <w:sz w:val="18"/>
          <w:szCs w:val="18"/>
        </w:rPr>
        <w:t xml:space="preserve">Information taken from the ACCC, </w:t>
      </w:r>
      <w:hyperlink r:id="rId69" w:history="1">
        <w:r w:rsidRPr="006562A1">
          <w:rPr>
            <w:rStyle w:val="Hyperlink"/>
            <w:i/>
            <w:sz w:val="18"/>
            <w:szCs w:val="18"/>
          </w:rPr>
          <w:t>Public informal merger review register</w:t>
        </w:r>
      </w:hyperlink>
      <w:r w:rsidRPr="006562A1">
        <w:rPr>
          <w:rStyle w:val="Hyperlink"/>
          <w:i/>
          <w:sz w:val="18"/>
          <w:szCs w:val="18"/>
        </w:rPr>
        <w:t xml:space="preserve"> </w:t>
      </w:r>
      <w:r w:rsidRPr="006562A1">
        <w:rPr>
          <w:sz w:val="18"/>
          <w:szCs w:val="18"/>
        </w:rPr>
        <w:t>[online public register], accessed 23 May 2024.</w:t>
      </w:r>
      <w:r w:rsidDel="001C418B">
        <w:t xml:space="preserve"> </w:t>
      </w:r>
    </w:p>
  </w:footnote>
  <w:footnote w:id="78">
    <w:p w14:paraId="2743EC82" w14:textId="6DE4D9D0" w:rsidR="003525DF" w:rsidRPr="006646D0" w:rsidRDefault="003525DF">
      <w:pPr>
        <w:pStyle w:val="FootnoteText"/>
      </w:pPr>
      <w:r>
        <w:rPr>
          <w:rStyle w:val="FootnoteReference"/>
        </w:rPr>
        <w:footnoteRef/>
      </w:r>
      <w:r>
        <w:t xml:space="preserve"> </w:t>
      </w:r>
      <w:r w:rsidRPr="006562A1">
        <w:rPr>
          <w:sz w:val="18"/>
          <w:szCs w:val="18"/>
        </w:rPr>
        <w:t xml:space="preserve">Competition and Markets Authority, </w:t>
      </w:r>
      <w:hyperlink r:id="rId70" w:anchor="fn:15" w:history="1">
        <w:r w:rsidRPr="006562A1">
          <w:rPr>
            <w:rStyle w:val="Hyperlink"/>
            <w:i/>
            <w:sz w:val="18"/>
            <w:szCs w:val="18"/>
          </w:rPr>
          <w:t>Impact Assessment 2022 to 2023</w:t>
        </w:r>
      </w:hyperlink>
      <w:r w:rsidRPr="006562A1">
        <w:rPr>
          <w:i/>
          <w:sz w:val="18"/>
          <w:szCs w:val="18"/>
        </w:rPr>
        <w:t xml:space="preserve">, </w:t>
      </w:r>
      <w:r w:rsidRPr="006562A1">
        <w:rPr>
          <w:sz w:val="18"/>
          <w:szCs w:val="18"/>
        </w:rPr>
        <w:t>July 2023, accessed 10 June 2024.</w:t>
      </w:r>
    </w:p>
  </w:footnote>
  <w:footnote w:id="79">
    <w:p w14:paraId="00B62D0E" w14:textId="232818DE" w:rsidR="004F7042" w:rsidRPr="004F7042" w:rsidRDefault="004F7042">
      <w:pPr>
        <w:pStyle w:val="FootnoteText"/>
        <w:rPr>
          <w:sz w:val="18"/>
          <w:szCs w:val="18"/>
        </w:rPr>
      </w:pPr>
      <w:r w:rsidRPr="00814C47">
        <w:rPr>
          <w:rStyle w:val="FootnoteReference"/>
          <w:sz w:val="18"/>
          <w:szCs w:val="18"/>
        </w:rPr>
        <w:footnoteRef/>
      </w:r>
      <w:r w:rsidRPr="00814C47">
        <w:rPr>
          <w:sz w:val="18"/>
          <w:szCs w:val="18"/>
        </w:rPr>
        <w:t xml:space="preserve"> Based on </w:t>
      </w:r>
      <w:r w:rsidR="005138ED" w:rsidRPr="00814C47">
        <w:rPr>
          <w:sz w:val="18"/>
          <w:szCs w:val="18"/>
        </w:rPr>
        <w:t>prelimin</w:t>
      </w:r>
      <w:r w:rsidR="00F141C7" w:rsidRPr="00814C47">
        <w:rPr>
          <w:sz w:val="18"/>
          <w:szCs w:val="18"/>
        </w:rPr>
        <w:t>ary</w:t>
      </w:r>
      <w:r w:rsidRPr="00814C47">
        <w:rPr>
          <w:sz w:val="18"/>
          <w:szCs w:val="18"/>
        </w:rPr>
        <w:t xml:space="preserve"> ACCC resourcing and activity-based costing </w:t>
      </w:r>
      <w:r w:rsidR="00F141C7" w:rsidRPr="00814C47">
        <w:rPr>
          <w:sz w:val="18"/>
          <w:szCs w:val="18"/>
        </w:rPr>
        <w:t xml:space="preserve">2024-25 Budget </w:t>
      </w:r>
      <w:r w:rsidRPr="00814C47">
        <w:rPr>
          <w:sz w:val="18"/>
          <w:szCs w:val="18"/>
        </w:rPr>
        <w:t>estimates.</w:t>
      </w:r>
      <w:r w:rsidRPr="004F7042">
        <w:rPr>
          <w:sz w:val="18"/>
          <w:szCs w:val="18"/>
        </w:rPr>
        <w:t xml:space="preserve"> </w:t>
      </w:r>
    </w:p>
  </w:footnote>
  <w:footnote w:id="80">
    <w:p w14:paraId="76E6C07C" w14:textId="4F4EA645" w:rsidR="003525DF" w:rsidRDefault="003525DF" w:rsidP="00947E3E">
      <w:pPr>
        <w:pStyle w:val="FootnoteText"/>
      </w:pPr>
      <w:r w:rsidRPr="004F7042">
        <w:rPr>
          <w:rStyle w:val="FootnoteReference"/>
          <w:sz w:val="18"/>
          <w:szCs w:val="18"/>
        </w:rPr>
        <w:footnoteRef/>
      </w:r>
      <w:r>
        <w:t xml:space="preserve"> </w:t>
      </w:r>
      <w:r w:rsidRPr="006562A1">
        <w:rPr>
          <w:rStyle w:val="ui-provider"/>
          <w:rFonts w:asciiTheme="minorHAnsi" w:hAnsiTheme="minorHAnsi" w:cstheme="minorHAnsi"/>
          <w:sz w:val="18"/>
          <w:szCs w:val="18"/>
        </w:rPr>
        <w:t>The Australian Government’s 2024-25</w:t>
      </w:r>
      <w:r w:rsidR="00E86E87" w:rsidRPr="00E86E87">
        <w:rPr>
          <w:rStyle w:val="ui-provider"/>
          <w:rFonts w:asciiTheme="minorHAnsi" w:hAnsiTheme="minorHAnsi" w:cstheme="minorHAnsi"/>
          <w:sz w:val="18"/>
          <w:szCs w:val="18"/>
        </w:rPr>
        <w:t xml:space="preserve"> </w:t>
      </w:r>
      <w:r w:rsidR="00E86E87" w:rsidRPr="006562A1">
        <w:rPr>
          <w:rStyle w:val="ui-provider"/>
          <w:rFonts w:asciiTheme="minorHAnsi" w:hAnsiTheme="minorHAnsi" w:cstheme="minorHAnsi"/>
          <w:sz w:val="18"/>
          <w:szCs w:val="18"/>
        </w:rPr>
        <w:t>Budget</w:t>
      </w:r>
      <w:r w:rsidRPr="006562A1">
        <w:rPr>
          <w:rStyle w:val="ui-provider"/>
          <w:rFonts w:asciiTheme="minorHAnsi" w:hAnsiTheme="minorHAnsi" w:cstheme="minorHAnsi"/>
          <w:sz w:val="18"/>
          <w:szCs w:val="18"/>
        </w:rPr>
        <w:t xml:space="preserve">, </w:t>
      </w:r>
      <w:hyperlink r:id="rId71" w:tgtFrame="_blank" w:tooltip="https://budget.gov.au/content/bp2/download/bp2_2024-25.pdf" w:history="1">
        <w:r w:rsidRPr="006562A1">
          <w:rPr>
            <w:rStyle w:val="Hyperlink"/>
            <w:i/>
            <w:sz w:val="18"/>
            <w:szCs w:val="18"/>
          </w:rPr>
          <w:t>Budget Paper No. 2</w:t>
        </w:r>
      </w:hyperlink>
      <w:r w:rsidRPr="006562A1">
        <w:rPr>
          <w:rStyle w:val="ui-provider"/>
          <w:rFonts w:asciiTheme="minorHAnsi" w:hAnsiTheme="minorHAnsi" w:cstheme="minorHAnsi"/>
          <w:sz w:val="18"/>
          <w:szCs w:val="18"/>
        </w:rPr>
        <w:t>, p 178, accessed 11 June 2023.</w:t>
      </w:r>
      <w:r w:rsidRPr="006562A1">
        <w:rPr>
          <w:rStyle w:val="ui-provider"/>
          <w:sz w:val="18"/>
          <w:szCs w:val="18"/>
        </w:rPr>
        <w:t> </w:t>
      </w:r>
    </w:p>
  </w:footnote>
  <w:footnote w:id="81">
    <w:p w14:paraId="50623DEB" w14:textId="33615647" w:rsidR="00716811" w:rsidRDefault="00716811" w:rsidP="00716811">
      <w:pPr>
        <w:pStyle w:val="FootnoteText"/>
      </w:pPr>
      <w:r>
        <w:rPr>
          <w:rStyle w:val="FootnoteReference"/>
        </w:rPr>
        <w:footnoteRef/>
      </w:r>
      <w:r>
        <w:t xml:space="preserve"> </w:t>
      </w:r>
      <w:r w:rsidRPr="00A45246">
        <w:rPr>
          <w:sz w:val="18"/>
          <w:szCs w:val="18"/>
        </w:rPr>
        <w:t xml:space="preserve">Dr Steven Kennedy PSM, Secretary to the Treasury, </w:t>
      </w:r>
      <w:hyperlink r:id="rId72" w:history="1">
        <w:r w:rsidRPr="00A45246">
          <w:rPr>
            <w:rStyle w:val="Hyperlink"/>
            <w:rFonts w:cs="Calibri Light"/>
            <w:i/>
            <w:sz w:val="18"/>
            <w:szCs w:val="18"/>
          </w:rPr>
          <w:t>Post-Budget economic briefing: Address to the Australian Business Economists</w:t>
        </w:r>
      </w:hyperlink>
      <w:r w:rsidRPr="00A45246">
        <w:rPr>
          <w:sz w:val="18"/>
          <w:szCs w:val="18"/>
        </w:rPr>
        <w:t>, 30 May 2024, accessed 10 June 2024.</w:t>
      </w:r>
    </w:p>
  </w:footnote>
  <w:footnote w:id="82">
    <w:p w14:paraId="4883D16C" w14:textId="48337237" w:rsidR="003525DF" w:rsidRDefault="003525DF">
      <w:pPr>
        <w:pStyle w:val="FootnoteText"/>
      </w:pPr>
      <w:r>
        <w:rPr>
          <w:rStyle w:val="FootnoteReference"/>
        </w:rPr>
        <w:footnoteRef/>
      </w:r>
      <w:r>
        <w:t xml:space="preserve"> </w:t>
      </w:r>
      <w:r w:rsidRPr="006562A1">
        <w:rPr>
          <w:sz w:val="18"/>
          <w:szCs w:val="18"/>
        </w:rPr>
        <w:t>Refer to Table 1 above.</w:t>
      </w:r>
    </w:p>
  </w:footnote>
  <w:footnote w:id="83">
    <w:p w14:paraId="6D688433" w14:textId="1DD9923B" w:rsidR="004A5B02" w:rsidRDefault="004A5B02" w:rsidP="004A5B02">
      <w:pPr>
        <w:pStyle w:val="FootnoteText"/>
      </w:pPr>
      <w:r>
        <w:rPr>
          <w:rStyle w:val="FootnoteReference"/>
        </w:rPr>
        <w:footnoteRef/>
      </w:r>
      <w:r>
        <w:t xml:space="preserve"> </w:t>
      </w:r>
      <w:r w:rsidRPr="00814C47">
        <w:rPr>
          <w:sz w:val="18"/>
          <w:szCs w:val="18"/>
        </w:rPr>
        <w:t>AustralianSuper</w:t>
      </w:r>
      <w:r w:rsidRPr="006562A1">
        <w:rPr>
          <w:sz w:val="18"/>
          <w:szCs w:val="18"/>
        </w:rPr>
        <w:t xml:space="preserve">, </w:t>
      </w:r>
      <w:hyperlink r:id="rId73" w:history="1">
        <w:r w:rsidR="00B301CC" w:rsidRPr="008B5AEF">
          <w:rPr>
            <w:rStyle w:val="Hyperlink"/>
            <w:i/>
            <w:sz w:val="18"/>
            <w:szCs w:val="18"/>
          </w:rPr>
          <w:t>AustralianSuper submission to Treasury</w:t>
        </w:r>
        <w:r w:rsidR="008B5AEF" w:rsidRPr="008B5AEF">
          <w:rPr>
            <w:rStyle w:val="Hyperlink"/>
            <w:i/>
            <w:sz w:val="18"/>
            <w:szCs w:val="18"/>
          </w:rPr>
          <w:t xml:space="preserve"> Merger Reform Consultation Paper dated November 2023 (Consultation Paper)</w:t>
        </w:r>
      </w:hyperlink>
      <w:r w:rsidRPr="006562A1">
        <w:rPr>
          <w:sz w:val="18"/>
          <w:szCs w:val="18"/>
        </w:rPr>
        <w:t xml:space="preserve">, January 2024, p </w:t>
      </w:r>
      <w:r w:rsidR="008B5AEF">
        <w:rPr>
          <w:sz w:val="18"/>
          <w:szCs w:val="18"/>
        </w:rPr>
        <w:t>4</w:t>
      </w:r>
      <w:r w:rsidRPr="006562A1">
        <w:rPr>
          <w:sz w:val="18"/>
          <w:szCs w:val="18"/>
        </w:rPr>
        <w:t xml:space="preserve">; accessed </w:t>
      </w:r>
      <w:r>
        <w:rPr>
          <w:sz w:val="18"/>
          <w:szCs w:val="18"/>
        </w:rPr>
        <w:t>26</w:t>
      </w:r>
      <w:r w:rsidRPr="006562A1">
        <w:rPr>
          <w:sz w:val="18"/>
          <w:szCs w:val="18"/>
        </w:rPr>
        <w:t xml:space="preserve"> June 2024</w:t>
      </w:r>
      <w:r>
        <w:rPr>
          <w:sz w:val="18"/>
          <w:szCs w:val="18"/>
        </w:rPr>
        <w:t>.</w:t>
      </w:r>
    </w:p>
  </w:footnote>
  <w:footnote w:id="84">
    <w:p w14:paraId="44F4A0AB" w14:textId="56035D27" w:rsidR="008179BB" w:rsidRDefault="008179BB">
      <w:pPr>
        <w:pStyle w:val="FootnoteText"/>
      </w:pPr>
      <w:r>
        <w:rPr>
          <w:rStyle w:val="FootnoteReference"/>
        </w:rPr>
        <w:footnoteRef/>
      </w:r>
      <w:r>
        <w:t xml:space="preserve"> </w:t>
      </w:r>
      <w:r w:rsidRPr="006562A1">
        <w:rPr>
          <w:sz w:val="18"/>
          <w:szCs w:val="18"/>
        </w:rPr>
        <w:t xml:space="preserve">Law Council of Australia, </w:t>
      </w:r>
      <w:hyperlink r:id="rId74" w:history="1">
        <w:r w:rsidRPr="006562A1">
          <w:rPr>
            <w:rStyle w:val="Hyperlink"/>
            <w:i/>
            <w:sz w:val="18"/>
            <w:szCs w:val="18"/>
          </w:rPr>
          <w:t>Response to Competition Review Merger Reform Consultation Paper</w:t>
        </w:r>
      </w:hyperlink>
      <w:r w:rsidRPr="006562A1">
        <w:rPr>
          <w:sz w:val="18"/>
          <w:szCs w:val="18"/>
        </w:rPr>
        <w:t xml:space="preserve">, January 2024, p </w:t>
      </w:r>
      <w:r w:rsidR="00F96A85">
        <w:rPr>
          <w:sz w:val="18"/>
          <w:szCs w:val="18"/>
        </w:rPr>
        <w:t>5</w:t>
      </w:r>
      <w:r w:rsidR="006443B1">
        <w:rPr>
          <w:sz w:val="18"/>
          <w:szCs w:val="18"/>
        </w:rPr>
        <w:t xml:space="preserve">, </w:t>
      </w:r>
      <w:r w:rsidRPr="006562A1">
        <w:rPr>
          <w:sz w:val="18"/>
          <w:szCs w:val="18"/>
        </w:rPr>
        <w:t xml:space="preserve">accessed </w:t>
      </w:r>
      <w:r w:rsidR="0096446B">
        <w:rPr>
          <w:sz w:val="18"/>
          <w:szCs w:val="18"/>
        </w:rPr>
        <w:t>26</w:t>
      </w:r>
      <w:r w:rsidRPr="006562A1">
        <w:rPr>
          <w:sz w:val="18"/>
          <w:szCs w:val="18"/>
        </w:rPr>
        <w:t xml:space="preserve"> June 2024</w:t>
      </w:r>
      <w:r w:rsidR="0096446B">
        <w:rPr>
          <w:sz w:val="18"/>
          <w:szCs w:val="18"/>
        </w:rPr>
        <w:t>.</w:t>
      </w:r>
    </w:p>
  </w:footnote>
  <w:footnote w:id="85">
    <w:p w14:paraId="64E956F0" w14:textId="57A80F7A" w:rsidR="00953709" w:rsidRDefault="00953709" w:rsidP="00953709">
      <w:pPr>
        <w:pStyle w:val="FootnoteText"/>
      </w:pPr>
      <w:r>
        <w:rPr>
          <w:rStyle w:val="FootnoteReference"/>
        </w:rPr>
        <w:footnoteRef/>
      </w:r>
      <w:r>
        <w:t xml:space="preserve"> </w:t>
      </w:r>
      <w:r w:rsidRPr="006562A1">
        <w:rPr>
          <w:sz w:val="18"/>
          <w:szCs w:val="18"/>
        </w:rPr>
        <w:t>Tech</w:t>
      </w:r>
      <w:r w:rsidR="00BF3C45">
        <w:rPr>
          <w:sz w:val="18"/>
          <w:szCs w:val="18"/>
        </w:rPr>
        <w:t xml:space="preserve"> </w:t>
      </w:r>
      <w:r w:rsidRPr="006562A1">
        <w:rPr>
          <w:sz w:val="18"/>
          <w:szCs w:val="18"/>
        </w:rPr>
        <w:t xml:space="preserve">Council of Australia, </w:t>
      </w:r>
      <w:hyperlink r:id="rId75" w:history="1">
        <w:r w:rsidRPr="006562A1">
          <w:rPr>
            <w:rStyle w:val="Hyperlink"/>
            <w:i/>
            <w:sz w:val="18"/>
            <w:szCs w:val="18"/>
          </w:rPr>
          <w:t>Merger</w:t>
        </w:r>
      </w:hyperlink>
      <w:r w:rsidRPr="006562A1">
        <w:rPr>
          <w:rStyle w:val="Hyperlink"/>
          <w:i/>
          <w:sz w:val="18"/>
          <w:szCs w:val="18"/>
        </w:rPr>
        <w:t xml:space="preserve"> reforms Consultation: Tech Council of Australia submission</w:t>
      </w:r>
      <w:r w:rsidRPr="006562A1">
        <w:rPr>
          <w:sz w:val="18"/>
          <w:szCs w:val="18"/>
        </w:rPr>
        <w:t>, January 2024, p </w:t>
      </w:r>
      <w:r>
        <w:rPr>
          <w:sz w:val="18"/>
          <w:szCs w:val="18"/>
        </w:rPr>
        <w:t>8</w:t>
      </w:r>
      <w:r w:rsidRPr="006562A1">
        <w:rPr>
          <w:sz w:val="18"/>
          <w:szCs w:val="18"/>
        </w:rPr>
        <w:t xml:space="preserve">, accessed </w:t>
      </w:r>
      <w:r w:rsidR="00BF3C45">
        <w:rPr>
          <w:sz w:val="18"/>
          <w:szCs w:val="18"/>
        </w:rPr>
        <w:t>26</w:t>
      </w:r>
      <w:r w:rsidRPr="006562A1">
        <w:rPr>
          <w:sz w:val="18"/>
          <w:szCs w:val="18"/>
        </w:rPr>
        <w:t xml:space="preserve"> June 2024.</w:t>
      </w:r>
    </w:p>
  </w:footnote>
  <w:footnote w:id="86">
    <w:p w14:paraId="47FEB626" w14:textId="57D232A9" w:rsidR="00AD3840" w:rsidRDefault="00AD3840">
      <w:pPr>
        <w:pStyle w:val="FootnoteText"/>
      </w:pPr>
      <w:r>
        <w:rPr>
          <w:rStyle w:val="FootnoteReference"/>
        </w:rPr>
        <w:footnoteRef/>
      </w:r>
      <w:r>
        <w:t xml:space="preserve"> </w:t>
      </w:r>
      <w:r w:rsidRPr="006562A1">
        <w:rPr>
          <w:sz w:val="18"/>
          <w:szCs w:val="18"/>
        </w:rPr>
        <w:t xml:space="preserve">Business Council of Australia, </w:t>
      </w:r>
      <w:hyperlink r:id="rId76" w:history="1">
        <w:r w:rsidRPr="006562A1">
          <w:rPr>
            <w:rStyle w:val="Hyperlink"/>
            <w:i/>
            <w:sz w:val="18"/>
            <w:szCs w:val="18"/>
          </w:rPr>
          <w:t>Submission to Merger Reform consultation</w:t>
        </w:r>
      </w:hyperlink>
      <w:r w:rsidRPr="006562A1">
        <w:rPr>
          <w:sz w:val="18"/>
          <w:szCs w:val="18"/>
        </w:rPr>
        <w:t>, January 2024, p</w:t>
      </w:r>
      <w:r w:rsidR="00437E32">
        <w:rPr>
          <w:sz w:val="18"/>
          <w:szCs w:val="18"/>
        </w:rPr>
        <w:t xml:space="preserve"> 4</w:t>
      </w:r>
      <w:r w:rsidRPr="006562A1">
        <w:rPr>
          <w:sz w:val="18"/>
          <w:szCs w:val="18"/>
        </w:rPr>
        <w:t xml:space="preserve">, accessed </w:t>
      </w:r>
      <w:r w:rsidR="00437E32">
        <w:rPr>
          <w:sz w:val="18"/>
          <w:szCs w:val="18"/>
        </w:rPr>
        <w:t>26</w:t>
      </w:r>
      <w:r w:rsidRPr="006562A1">
        <w:rPr>
          <w:sz w:val="18"/>
          <w:szCs w:val="18"/>
        </w:rPr>
        <w:t xml:space="preserve"> June 2024.</w:t>
      </w:r>
    </w:p>
  </w:footnote>
  <w:footnote w:id="87">
    <w:p w14:paraId="4A69C647" w14:textId="2EB48490" w:rsidR="004801F8" w:rsidRDefault="004801F8">
      <w:pPr>
        <w:pStyle w:val="FootnoteText"/>
      </w:pPr>
      <w:r>
        <w:rPr>
          <w:rStyle w:val="FootnoteReference"/>
        </w:rPr>
        <w:footnoteRef/>
      </w:r>
      <w:r>
        <w:t xml:space="preserve"> </w:t>
      </w:r>
      <w:r w:rsidRPr="006562A1">
        <w:rPr>
          <w:sz w:val="18"/>
          <w:szCs w:val="18"/>
        </w:rPr>
        <w:t>Tech</w:t>
      </w:r>
      <w:r>
        <w:rPr>
          <w:sz w:val="18"/>
          <w:szCs w:val="18"/>
        </w:rPr>
        <w:t xml:space="preserve"> </w:t>
      </w:r>
      <w:r w:rsidRPr="006562A1">
        <w:rPr>
          <w:sz w:val="18"/>
          <w:szCs w:val="18"/>
        </w:rPr>
        <w:t xml:space="preserve">Council of Australia, </w:t>
      </w:r>
      <w:hyperlink r:id="rId77" w:history="1">
        <w:r w:rsidRPr="006562A1">
          <w:rPr>
            <w:rStyle w:val="Hyperlink"/>
            <w:i/>
            <w:sz w:val="18"/>
            <w:szCs w:val="18"/>
          </w:rPr>
          <w:t>Merger</w:t>
        </w:r>
      </w:hyperlink>
      <w:r w:rsidRPr="006562A1">
        <w:rPr>
          <w:rStyle w:val="Hyperlink"/>
          <w:i/>
          <w:sz w:val="18"/>
          <w:szCs w:val="18"/>
        </w:rPr>
        <w:t xml:space="preserve"> reforms Consultation: Tech Council of Australia submission</w:t>
      </w:r>
      <w:r w:rsidRPr="006562A1">
        <w:rPr>
          <w:sz w:val="18"/>
          <w:szCs w:val="18"/>
        </w:rPr>
        <w:t>, January 2024, p </w:t>
      </w:r>
      <w:r>
        <w:rPr>
          <w:sz w:val="18"/>
          <w:szCs w:val="18"/>
        </w:rPr>
        <w:t>8</w:t>
      </w:r>
      <w:r w:rsidRPr="006562A1">
        <w:rPr>
          <w:sz w:val="18"/>
          <w:szCs w:val="18"/>
        </w:rPr>
        <w:t xml:space="preserve">, accessed </w:t>
      </w:r>
      <w:r>
        <w:rPr>
          <w:sz w:val="18"/>
          <w:szCs w:val="18"/>
        </w:rPr>
        <w:t>26</w:t>
      </w:r>
      <w:r w:rsidRPr="006562A1">
        <w:rPr>
          <w:sz w:val="18"/>
          <w:szCs w:val="18"/>
        </w:rPr>
        <w:t xml:space="preserve"> June 2024.</w:t>
      </w:r>
    </w:p>
  </w:footnote>
  <w:footnote w:id="88">
    <w:p w14:paraId="2935978A" w14:textId="3DAA7AA8" w:rsidR="00C7401E" w:rsidRDefault="00C7401E">
      <w:pPr>
        <w:pStyle w:val="FootnoteText"/>
      </w:pPr>
      <w:r>
        <w:rPr>
          <w:rStyle w:val="FootnoteReference"/>
        </w:rPr>
        <w:footnoteRef/>
      </w:r>
      <w:r>
        <w:t xml:space="preserve"> </w:t>
      </w:r>
      <w:r w:rsidRPr="006562A1">
        <w:rPr>
          <w:sz w:val="18"/>
          <w:szCs w:val="18"/>
        </w:rPr>
        <w:t xml:space="preserve">Law Council of Australia, </w:t>
      </w:r>
      <w:hyperlink r:id="rId78" w:history="1">
        <w:r w:rsidRPr="006562A1">
          <w:rPr>
            <w:rStyle w:val="Hyperlink"/>
            <w:i/>
            <w:sz w:val="18"/>
            <w:szCs w:val="18"/>
          </w:rPr>
          <w:t>Response to Competition Review Merger Reform Consultation Paper</w:t>
        </w:r>
      </w:hyperlink>
      <w:r w:rsidRPr="006562A1">
        <w:rPr>
          <w:sz w:val="18"/>
          <w:szCs w:val="18"/>
        </w:rPr>
        <w:t xml:space="preserve">, January 2024, p </w:t>
      </w:r>
      <w:r>
        <w:rPr>
          <w:sz w:val="18"/>
          <w:szCs w:val="18"/>
        </w:rPr>
        <w:t xml:space="preserve">5, </w:t>
      </w:r>
      <w:r w:rsidRPr="006562A1">
        <w:rPr>
          <w:sz w:val="18"/>
          <w:szCs w:val="18"/>
        </w:rPr>
        <w:t xml:space="preserve">accessed </w:t>
      </w:r>
      <w:r>
        <w:rPr>
          <w:sz w:val="18"/>
          <w:szCs w:val="18"/>
        </w:rPr>
        <w:t>26</w:t>
      </w:r>
      <w:r w:rsidRPr="006562A1">
        <w:rPr>
          <w:sz w:val="18"/>
          <w:szCs w:val="18"/>
        </w:rPr>
        <w:t xml:space="preserve"> June 2024</w:t>
      </w:r>
      <w:r>
        <w:rPr>
          <w:sz w:val="18"/>
          <w:szCs w:val="18"/>
        </w:rPr>
        <w:t>.</w:t>
      </w:r>
    </w:p>
  </w:footnote>
  <w:footnote w:id="89">
    <w:p w14:paraId="421E2361" w14:textId="235FCE02" w:rsidR="00421EDD" w:rsidRDefault="00421EDD">
      <w:pPr>
        <w:pStyle w:val="FootnoteText"/>
      </w:pPr>
      <w:r>
        <w:rPr>
          <w:rStyle w:val="FootnoteReference"/>
        </w:rPr>
        <w:footnoteRef/>
      </w:r>
      <w:r>
        <w:t xml:space="preserve"> </w:t>
      </w:r>
      <w:r w:rsidRPr="006562A1">
        <w:rPr>
          <w:sz w:val="18"/>
          <w:szCs w:val="18"/>
        </w:rPr>
        <w:t>Tech</w:t>
      </w:r>
      <w:r>
        <w:rPr>
          <w:sz w:val="18"/>
          <w:szCs w:val="18"/>
        </w:rPr>
        <w:t xml:space="preserve"> </w:t>
      </w:r>
      <w:r w:rsidRPr="006562A1">
        <w:rPr>
          <w:sz w:val="18"/>
          <w:szCs w:val="18"/>
        </w:rPr>
        <w:t xml:space="preserve">Council of Australia, </w:t>
      </w:r>
      <w:hyperlink r:id="rId79" w:history="1">
        <w:r w:rsidRPr="006562A1">
          <w:rPr>
            <w:rStyle w:val="Hyperlink"/>
            <w:i/>
            <w:sz w:val="18"/>
            <w:szCs w:val="18"/>
          </w:rPr>
          <w:t>Merger</w:t>
        </w:r>
      </w:hyperlink>
      <w:r w:rsidRPr="006562A1">
        <w:rPr>
          <w:rStyle w:val="Hyperlink"/>
          <w:i/>
          <w:sz w:val="18"/>
          <w:szCs w:val="18"/>
        </w:rPr>
        <w:t xml:space="preserve"> reforms Consultation: Tech Council of Australia submission</w:t>
      </w:r>
      <w:r w:rsidRPr="006562A1">
        <w:rPr>
          <w:sz w:val="18"/>
          <w:szCs w:val="18"/>
        </w:rPr>
        <w:t>, January 2024, p </w:t>
      </w:r>
      <w:r>
        <w:rPr>
          <w:sz w:val="18"/>
          <w:szCs w:val="18"/>
        </w:rPr>
        <w:t>8</w:t>
      </w:r>
      <w:r w:rsidRPr="006562A1">
        <w:rPr>
          <w:sz w:val="18"/>
          <w:szCs w:val="18"/>
        </w:rPr>
        <w:t xml:space="preserve">, accessed </w:t>
      </w:r>
      <w:r>
        <w:rPr>
          <w:sz w:val="18"/>
          <w:szCs w:val="18"/>
        </w:rPr>
        <w:t>28</w:t>
      </w:r>
      <w:r w:rsidRPr="006562A1">
        <w:rPr>
          <w:sz w:val="18"/>
          <w:szCs w:val="18"/>
        </w:rPr>
        <w:t xml:space="preserve"> </w:t>
      </w:r>
      <w:r>
        <w:rPr>
          <w:sz w:val="18"/>
          <w:szCs w:val="18"/>
        </w:rPr>
        <w:t>August</w:t>
      </w:r>
      <w:r w:rsidRPr="006562A1">
        <w:rPr>
          <w:sz w:val="18"/>
          <w:szCs w:val="18"/>
        </w:rPr>
        <w:t xml:space="preserve"> 2024.</w:t>
      </w:r>
    </w:p>
  </w:footnote>
  <w:footnote w:id="90">
    <w:p w14:paraId="1B1F35C1" w14:textId="7F6E0E12" w:rsidR="009A7F17" w:rsidRDefault="009A7F17" w:rsidP="009A7F17">
      <w:pPr>
        <w:pStyle w:val="FootnoteText"/>
      </w:pPr>
      <w:r>
        <w:rPr>
          <w:rStyle w:val="FootnoteReference"/>
        </w:rPr>
        <w:footnoteRef/>
      </w:r>
      <w:r>
        <w:t xml:space="preserve"> </w:t>
      </w:r>
      <w:r w:rsidRPr="006562A1">
        <w:rPr>
          <w:sz w:val="18"/>
          <w:szCs w:val="18"/>
        </w:rPr>
        <w:t xml:space="preserve">Dr Rhonda Smith University of Melbourne and Professor Deborah Healey UNSW Law and Justice, </w:t>
      </w:r>
      <w:hyperlink r:id="rId80" w:history="1">
        <w:r w:rsidRPr="006562A1">
          <w:rPr>
            <w:rStyle w:val="Hyperlink"/>
            <w:i/>
            <w:sz w:val="18"/>
            <w:szCs w:val="18"/>
          </w:rPr>
          <w:t>Treasury Submission re Merger Reform</w:t>
        </w:r>
      </w:hyperlink>
      <w:r w:rsidRPr="006562A1">
        <w:rPr>
          <w:sz w:val="18"/>
          <w:szCs w:val="18"/>
        </w:rPr>
        <w:t>,</w:t>
      </w:r>
      <w:r w:rsidRPr="006562A1">
        <w:rPr>
          <w:i/>
          <w:sz w:val="18"/>
          <w:szCs w:val="18"/>
        </w:rPr>
        <w:t xml:space="preserve"> </w:t>
      </w:r>
      <w:r w:rsidRPr="006562A1">
        <w:rPr>
          <w:sz w:val="18"/>
          <w:szCs w:val="18"/>
        </w:rPr>
        <w:t xml:space="preserve">p 2, accessed on </w:t>
      </w:r>
      <w:r w:rsidR="00AF5B10">
        <w:rPr>
          <w:sz w:val="18"/>
          <w:szCs w:val="18"/>
        </w:rPr>
        <w:t>26 June</w:t>
      </w:r>
      <w:r w:rsidRPr="006562A1">
        <w:rPr>
          <w:sz w:val="18"/>
          <w:szCs w:val="18"/>
        </w:rPr>
        <w:t xml:space="preserve"> 2024.</w:t>
      </w:r>
      <w:r>
        <w:t xml:space="preserve"> </w:t>
      </w:r>
    </w:p>
  </w:footnote>
  <w:footnote w:id="91">
    <w:p w14:paraId="01D8475C" w14:textId="6DB82014" w:rsidR="003525DF" w:rsidRDefault="003525DF">
      <w:pPr>
        <w:pStyle w:val="FootnoteText"/>
      </w:pPr>
      <w:r>
        <w:rPr>
          <w:rStyle w:val="FootnoteReference"/>
        </w:rPr>
        <w:footnoteRef/>
      </w:r>
      <w:r>
        <w:t xml:space="preserve"> </w:t>
      </w:r>
      <w:r w:rsidRPr="006562A1">
        <w:rPr>
          <w:sz w:val="18"/>
          <w:szCs w:val="18"/>
        </w:rPr>
        <w:t>New Zealand, which has a voluntary merger control system, has adopted this standard.</w:t>
      </w:r>
      <w:r>
        <w:t xml:space="preserve"> </w:t>
      </w:r>
    </w:p>
  </w:footnote>
  <w:footnote w:id="92">
    <w:p w14:paraId="2560642E" w14:textId="77777777" w:rsidR="003525DF" w:rsidRDefault="003525DF" w:rsidP="00947E3E">
      <w:pPr>
        <w:pStyle w:val="FootnoteText"/>
      </w:pPr>
      <w:r>
        <w:rPr>
          <w:rStyle w:val="FootnoteReference"/>
        </w:rPr>
        <w:footnoteRef/>
      </w:r>
      <w:r>
        <w:t xml:space="preserve"> </w:t>
      </w:r>
      <w:r w:rsidRPr="006562A1">
        <w:rPr>
          <w:sz w:val="18"/>
          <w:szCs w:val="18"/>
        </w:rPr>
        <w:t xml:space="preserve">The Treasury, Australian Government, </w:t>
      </w:r>
      <w:hyperlink r:id="rId81" w:history="1">
        <w:r w:rsidRPr="006562A1">
          <w:rPr>
            <w:rStyle w:val="Hyperlink"/>
            <w:i/>
            <w:sz w:val="18"/>
            <w:szCs w:val="18"/>
          </w:rPr>
          <w:t>Merger Reform: A Faster, Stronger and Simpler System for a More Competitive Economy</w:t>
        </w:r>
      </w:hyperlink>
      <w:r w:rsidRPr="006562A1">
        <w:rPr>
          <w:sz w:val="18"/>
          <w:szCs w:val="18"/>
        </w:rPr>
        <w:t>, 10 April 2024, p 19 (Attachment B), accessed 13 May 2024.</w:t>
      </w:r>
    </w:p>
  </w:footnote>
  <w:footnote w:id="93">
    <w:p w14:paraId="76F21F59" w14:textId="77777777" w:rsidR="003525DF" w:rsidRDefault="003525DF" w:rsidP="0051398C">
      <w:pPr>
        <w:pStyle w:val="FootnoteText"/>
      </w:pPr>
      <w:r>
        <w:rPr>
          <w:rStyle w:val="FootnoteReference"/>
        </w:rPr>
        <w:footnoteRef/>
      </w:r>
      <w:r>
        <w:t xml:space="preserve"> </w:t>
      </w:r>
      <w:r w:rsidRPr="006562A1">
        <w:rPr>
          <w:sz w:val="18"/>
          <w:szCs w:val="18"/>
        </w:rPr>
        <w:t>Refer to Table 1 above.</w:t>
      </w:r>
    </w:p>
  </w:footnote>
  <w:footnote w:id="94">
    <w:p w14:paraId="0AA04604" w14:textId="77777777" w:rsidR="00052EDF" w:rsidRDefault="00052EDF" w:rsidP="00052EDF">
      <w:pPr>
        <w:pStyle w:val="FootnoteText"/>
      </w:pPr>
      <w:r>
        <w:rPr>
          <w:rStyle w:val="FootnoteReference"/>
        </w:rPr>
        <w:footnoteRef/>
      </w:r>
      <w:r>
        <w:t xml:space="preserve"> </w:t>
      </w:r>
      <w:r w:rsidRPr="006562A1">
        <w:rPr>
          <w:sz w:val="18"/>
          <w:szCs w:val="18"/>
        </w:rPr>
        <w:t xml:space="preserve">Dr Rhonda Smith University of Melbourne and Professor Deborah Healey UNSW Law and Justice, </w:t>
      </w:r>
      <w:hyperlink r:id="rId82" w:history="1">
        <w:r w:rsidRPr="006562A1">
          <w:rPr>
            <w:rStyle w:val="Hyperlink"/>
            <w:i/>
            <w:sz w:val="18"/>
            <w:szCs w:val="18"/>
          </w:rPr>
          <w:t>Treasury Submission re Merger Reform</w:t>
        </w:r>
      </w:hyperlink>
      <w:r w:rsidRPr="006562A1">
        <w:rPr>
          <w:sz w:val="18"/>
          <w:szCs w:val="18"/>
        </w:rPr>
        <w:t>,</w:t>
      </w:r>
      <w:r w:rsidRPr="006562A1">
        <w:rPr>
          <w:i/>
          <w:sz w:val="18"/>
          <w:szCs w:val="18"/>
        </w:rPr>
        <w:t xml:space="preserve"> </w:t>
      </w:r>
      <w:r w:rsidRPr="006562A1">
        <w:rPr>
          <w:sz w:val="18"/>
          <w:szCs w:val="18"/>
        </w:rPr>
        <w:t xml:space="preserve">p 2, accessed on </w:t>
      </w:r>
      <w:r>
        <w:rPr>
          <w:sz w:val="18"/>
          <w:szCs w:val="18"/>
        </w:rPr>
        <w:t>26 June</w:t>
      </w:r>
      <w:r w:rsidRPr="006562A1">
        <w:rPr>
          <w:sz w:val="18"/>
          <w:szCs w:val="18"/>
        </w:rPr>
        <w:t xml:space="preserve"> 2024.</w:t>
      </w:r>
      <w:r>
        <w:t xml:space="preserve"> </w:t>
      </w:r>
    </w:p>
  </w:footnote>
  <w:footnote w:id="95">
    <w:p w14:paraId="46D44766" w14:textId="0C39F3AE" w:rsidR="003525DF" w:rsidRDefault="003525DF">
      <w:pPr>
        <w:pStyle w:val="FootnoteText"/>
      </w:pPr>
      <w:r>
        <w:rPr>
          <w:rStyle w:val="FootnoteReference"/>
        </w:rPr>
        <w:footnoteRef/>
      </w:r>
      <w:r>
        <w:t xml:space="preserve"> </w:t>
      </w:r>
      <w:r w:rsidRPr="006562A1">
        <w:rPr>
          <w:sz w:val="18"/>
          <w:szCs w:val="18"/>
        </w:rPr>
        <w:t xml:space="preserve">Council of Small Business Organisations Australia, </w:t>
      </w:r>
      <w:hyperlink r:id="rId83" w:history="1">
        <w:r w:rsidRPr="006562A1">
          <w:rPr>
            <w:rStyle w:val="Hyperlink"/>
            <w:i/>
            <w:sz w:val="18"/>
            <w:szCs w:val="18"/>
          </w:rPr>
          <w:t>Merger Reform Submission</w:t>
        </w:r>
      </w:hyperlink>
      <w:r w:rsidRPr="006562A1">
        <w:rPr>
          <w:sz w:val="18"/>
          <w:szCs w:val="18"/>
        </w:rPr>
        <w:t xml:space="preserve">, January 2024, p. 3, accessed 13 June 2024, </w:t>
      </w:r>
      <w:r w:rsidRPr="006562A1">
        <w:rPr>
          <w:rFonts w:cstheme="minorHAnsi"/>
          <w:sz w:val="18"/>
          <w:szCs w:val="18"/>
        </w:rPr>
        <w:t xml:space="preserve">CHOICE and Consumers Federation of Australia, </w:t>
      </w:r>
      <w:hyperlink r:id="rId84" w:history="1">
        <w:r w:rsidRPr="006562A1">
          <w:rPr>
            <w:rStyle w:val="Hyperlink"/>
            <w:i/>
            <w:sz w:val="18"/>
            <w:szCs w:val="18"/>
          </w:rPr>
          <w:t>Submission to the Competition Taskforce consultation paper on merger reform</w:t>
        </w:r>
      </w:hyperlink>
      <w:r w:rsidRPr="006562A1">
        <w:rPr>
          <w:rFonts w:cstheme="minorHAnsi"/>
          <w:sz w:val="18"/>
          <w:szCs w:val="18"/>
        </w:rPr>
        <w:t>, January 2024, pp 3-4, accessed 13 June 2024.</w:t>
      </w:r>
    </w:p>
  </w:footnote>
  <w:footnote w:id="96">
    <w:p w14:paraId="0690D5BE" w14:textId="77777777" w:rsidR="003525DF" w:rsidRDefault="003525DF" w:rsidP="008E0F98">
      <w:pPr>
        <w:pStyle w:val="FootnoteText"/>
      </w:pPr>
      <w:r>
        <w:rPr>
          <w:rStyle w:val="FootnoteReference"/>
        </w:rPr>
        <w:footnoteRef/>
      </w:r>
      <w:r>
        <w:t xml:space="preserve"> </w:t>
      </w:r>
      <w:r w:rsidRPr="006562A1">
        <w:rPr>
          <w:sz w:val="18"/>
          <w:szCs w:val="18"/>
        </w:rPr>
        <w:t>Refer to Table 1 above.</w:t>
      </w:r>
    </w:p>
  </w:footnote>
  <w:footnote w:id="97">
    <w:p w14:paraId="7DEFF1BA" w14:textId="2E429A6B" w:rsidR="003525DF" w:rsidRDefault="003525DF" w:rsidP="00947E3E">
      <w:pPr>
        <w:pStyle w:val="FootnoteText"/>
      </w:pPr>
      <w:r>
        <w:rPr>
          <w:rStyle w:val="FootnoteReference"/>
        </w:rPr>
        <w:footnoteRef/>
      </w:r>
      <w:r>
        <w:t xml:space="preserve"> </w:t>
      </w:r>
      <w:r w:rsidRPr="006562A1">
        <w:rPr>
          <w:sz w:val="18"/>
          <w:szCs w:val="18"/>
        </w:rPr>
        <w:t xml:space="preserve">The Treasury, </w:t>
      </w:r>
      <w:r w:rsidR="00E1208E">
        <w:rPr>
          <w:sz w:val="18"/>
          <w:szCs w:val="18"/>
        </w:rPr>
        <w:t xml:space="preserve">Australian Government, </w:t>
      </w:r>
      <w:hyperlink r:id="rId85" w:history="1">
        <w:r w:rsidRPr="006562A1">
          <w:rPr>
            <w:rStyle w:val="Hyperlink"/>
            <w:rFonts w:cs="Calibri Light"/>
            <w:i/>
            <w:sz w:val="18"/>
            <w:szCs w:val="18"/>
          </w:rPr>
          <w:t>Merger Reform Consultation Paper</w:t>
        </w:r>
      </w:hyperlink>
      <w:r w:rsidRPr="006562A1">
        <w:rPr>
          <w:sz w:val="18"/>
          <w:szCs w:val="18"/>
        </w:rPr>
        <w:t>, November 2023, accessed 23 March 2024.</w:t>
      </w:r>
    </w:p>
  </w:footnote>
  <w:footnote w:id="98">
    <w:p w14:paraId="79197589" w14:textId="77777777" w:rsidR="003525DF" w:rsidRPr="002C12C1" w:rsidRDefault="003525DF" w:rsidP="00947E3E">
      <w:pPr>
        <w:pStyle w:val="FootnoteText"/>
        <w:ind w:left="142" w:hanging="142"/>
        <w:rPr>
          <w:rFonts w:cstheme="minorHAnsi"/>
          <w:szCs w:val="16"/>
        </w:rPr>
      </w:pPr>
      <w:r w:rsidRPr="002C12C1">
        <w:rPr>
          <w:rStyle w:val="FootnoteReference"/>
          <w:rFonts w:cstheme="minorHAnsi"/>
          <w:sz w:val="16"/>
          <w:szCs w:val="16"/>
        </w:rPr>
        <w:footnoteRef/>
      </w:r>
      <w:r w:rsidRPr="002C12C1">
        <w:rPr>
          <w:rFonts w:cstheme="minorHAnsi"/>
          <w:szCs w:val="16"/>
        </w:rPr>
        <w:t xml:space="preserve"> </w:t>
      </w:r>
      <w:r w:rsidRPr="006562A1">
        <w:rPr>
          <w:rFonts w:cstheme="minorHAnsi"/>
          <w:sz w:val="18"/>
          <w:szCs w:val="18"/>
        </w:rPr>
        <w:t xml:space="preserve">See OECD (Organisation for Economic Co-operation and Development), </w:t>
      </w:r>
      <w:hyperlink r:id="rId86" w:history="1">
        <w:r w:rsidRPr="006562A1">
          <w:rPr>
            <w:rStyle w:val="Hyperlink"/>
            <w:rFonts w:cstheme="minorHAnsi"/>
            <w:i/>
            <w:sz w:val="18"/>
            <w:szCs w:val="18"/>
          </w:rPr>
          <w:t>OECD Competition Trends 2021 – Volume II: Global Merger Control</w:t>
        </w:r>
      </w:hyperlink>
      <w:r w:rsidRPr="006562A1">
        <w:rPr>
          <w:rFonts w:cstheme="minorHAnsi"/>
          <w:sz w:val="18"/>
          <w:szCs w:val="18"/>
        </w:rPr>
        <w:t>, 2021, p 12, accessed 29 October 2023.</w:t>
      </w:r>
    </w:p>
  </w:footnote>
  <w:footnote w:id="99">
    <w:p w14:paraId="60BF0A78" w14:textId="6A40BDDC" w:rsidR="003525DF" w:rsidRDefault="003525DF" w:rsidP="00947E3E">
      <w:pPr>
        <w:pStyle w:val="FootnoteText"/>
      </w:pPr>
      <w:r>
        <w:rPr>
          <w:rStyle w:val="FootnoteReference"/>
        </w:rPr>
        <w:footnoteRef/>
      </w:r>
      <w:r>
        <w:t xml:space="preserve"> </w:t>
      </w:r>
      <w:r w:rsidRPr="006562A1">
        <w:rPr>
          <w:sz w:val="18"/>
          <w:szCs w:val="18"/>
        </w:rPr>
        <w:t xml:space="preserve">Submissions are available at </w:t>
      </w:r>
      <w:hyperlink r:id="rId87" w:history="1">
        <w:r w:rsidRPr="006562A1">
          <w:rPr>
            <w:rStyle w:val="Hyperlink"/>
            <w:rFonts w:cs="Calibri Light"/>
            <w:i/>
            <w:sz w:val="18"/>
            <w:szCs w:val="18"/>
          </w:rPr>
          <w:t>Merger Reform consultation, Submissions</w:t>
        </w:r>
      </w:hyperlink>
      <w:r w:rsidRPr="006562A1">
        <w:rPr>
          <w:sz w:val="18"/>
          <w:szCs w:val="18"/>
        </w:rPr>
        <w:t>, treasury.gov.au website.</w:t>
      </w:r>
      <w:r>
        <w:t xml:space="preserve"> </w:t>
      </w:r>
    </w:p>
  </w:footnote>
  <w:footnote w:id="100">
    <w:p w14:paraId="1C01879F" w14:textId="2E8E730A" w:rsidR="003525DF" w:rsidRDefault="003525DF" w:rsidP="00947E3E">
      <w:pPr>
        <w:pStyle w:val="FootnoteText"/>
      </w:pPr>
      <w:r>
        <w:rPr>
          <w:rStyle w:val="FootnoteReference"/>
        </w:rPr>
        <w:footnoteRef/>
      </w:r>
      <w:r>
        <w:t xml:space="preserve"> </w:t>
      </w:r>
      <w:r w:rsidRPr="006562A1">
        <w:rPr>
          <w:sz w:val="18"/>
          <w:szCs w:val="18"/>
        </w:rPr>
        <w:t xml:space="preserve">The Treasury, Australian Government, </w:t>
      </w:r>
      <w:hyperlink r:id="rId88" w:history="1">
        <w:r w:rsidRPr="006562A1">
          <w:rPr>
            <w:rStyle w:val="Hyperlink"/>
            <w:rFonts w:cs="Calibri Light"/>
            <w:i/>
            <w:sz w:val="18"/>
            <w:szCs w:val="18"/>
          </w:rPr>
          <w:t>Merger Reform: A Faster, Stronger and Simpler System for a More Competitive</w:t>
        </w:r>
      </w:hyperlink>
      <w:r w:rsidRPr="006562A1">
        <w:rPr>
          <w:rStyle w:val="Hyperlink"/>
          <w:rFonts w:cs="Calibri Light"/>
          <w:sz w:val="18"/>
          <w:szCs w:val="18"/>
        </w:rPr>
        <w:t xml:space="preserve"> </w:t>
      </w:r>
      <w:r w:rsidRPr="006562A1">
        <w:rPr>
          <w:rStyle w:val="Hyperlink"/>
          <w:rFonts w:cs="Calibri Light"/>
          <w:i/>
          <w:sz w:val="18"/>
          <w:szCs w:val="18"/>
        </w:rPr>
        <w:t>Economy</w:t>
      </w:r>
      <w:r w:rsidRPr="006562A1">
        <w:rPr>
          <w:sz w:val="18"/>
          <w:szCs w:val="18"/>
        </w:rPr>
        <w:t>, 10 April 2024.</w:t>
      </w:r>
    </w:p>
  </w:footnote>
  <w:footnote w:id="101">
    <w:p w14:paraId="56526510" w14:textId="280DB46E" w:rsidR="003525DF" w:rsidRDefault="003525DF">
      <w:pPr>
        <w:pStyle w:val="FootnoteText"/>
      </w:pPr>
      <w:r>
        <w:rPr>
          <w:rStyle w:val="FootnoteReference"/>
        </w:rPr>
        <w:footnoteRef/>
      </w:r>
      <w:r>
        <w:t xml:space="preserve"> </w:t>
      </w:r>
      <w:r w:rsidRPr="006562A1">
        <w:rPr>
          <w:rFonts w:cstheme="minorHAnsi"/>
          <w:sz w:val="18"/>
          <w:szCs w:val="18"/>
        </w:rPr>
        <w:t xml:space="preserve">CHOICE and Consumers Federation of Australia, </w:t>
      </w:r>
      <w:hyperlink r:id="rId89" w:history="1">
        <w:r w:rsidRPr="006562A1">
          <w:rPr>
            <w:rStyle w:val="Hyperlink"/>
            <w:i/>
            <w:sz w:val="18"/>
            <w:szCs w:val="18"/>
          </w:rPr>
          <w:t>Submission to the Competition Taskforce consultation paper on merger reform</w:t>
        </w:r>
      </w:hyperlink>
      <w:r w:rsidRPr="006562A1">
        <w:rPr>
          <w:rFonts w:cstheme="minorHAnsi"/>
          <w:sz w:val="18"/>
          <w:szCs w:val="18"/>
        </w:rPr>
        <w:t>, January 2024, p 3, accessed 13 June 2024.</w:t>
      </w:r>
    </w:p>
  </w:footnote>
  <w:footnote w:id="102">
    <w:p w14:paraId="01C0B81A" w14:textId="557E4AB8" w:rsidR="003525DF" w:rsidRDefault="003525DF">
      <w:pPr>
        <w:pStyle w:val="FootnoteText"/>
      </w:pPr>
      <w:r>
        <w:rPr>
          <w:rStyle w:val="FootnoteReference"/>
        </w:rPr>
        <w:footnoteRef/>
      </w:r>
      <w:r>
        <w:t xml:space="preserve"> </w:t>
      </w:r>
      <w:r w:rsidRPr="006562A1">
        <w:rPr>
          <w:sz w:val="18"/>
          <w:szCs w:val="18"/>
        </w:rPr>
        <w:t xml:space="preserve">National Farmers’ Federation, </w:t>
      </w:r>
      <w:hyperlink r:id="rId90" w:history="1">
        <w:r w:rsidRPr="006562A1">
          <w:rPr>
            <w:rStyle w:val="Hyperlink"/>
            <w:rFonts w:cs="Calibri Light"/>
            <w:i/>
            <w:sz w:val="18"/>
            <w:szCs w:val="18"/>
          </w:rPr>
          <w:t>Submission to Competition Review consultation on merger reform</w:t>
        </w:r>
      </w:hyperlink>
      <w:r w:rsidRPr="006562A1">
        <w:rPr>
          <w:sz w:val="18"/>
          <w:szCs w:val="18"/>
        </w:rPr>
        <w:t>, January 2024, p 2, accessed 13 June 2024.</w:t>
      </w:r>
    </w:p>
  </w:footnote>
  <w:footnote w:id="103">
    <w:p w14:paraId="2A29CD09" w14:textId="0A1F3210" w:rsidR="003525DF" w:rsidRDefault="003525DF">
      <w:pPr>
        <w:pStyle w:val="FootnoteText"/>
      </w:pPr>
      <w:r>
        <w:rPr>
          <w:rStyle w:val="FootnoteReference"/>
        </w:rPr>
        <w:footnoteRef/>
      </w:r>
      <w:r>
        <w:t xml:space="preserve"> </w:t>
      </w:r>
      <w:r w:rsidRPr="006562A1">
        <w:rPr>
          <w:sz w:val="18"/>
          <w:szCs w:val="18"/>
        </w:rPr>
        <w:t xml:space="preserve">Council of Small Business Organisations Australia, </w:t>
      </w:r>
      <w:hyperlink r:id="rId91" w:history="1">
        <w:r w:rsidRPr="006562A1">
          <w:rPr>
            <w:rStyle w:val="Hyperlink"/>
            <w:i/>
            <w:sz w:val="18"/>
            <w:szCs w:val="18"/>
          </w:rPr>
          <w:t>Merger Reform Submission</w:t>
        </w:r>
      </w:hyperlink>
      <w:r w:rsidRPr="006562A1">
        <w:rPr>
          <w:sz w:val="18"/>
          <w:szCs w:val="18"/>
        </w:rPr>
        <w:t xml:space="preserve">, January 2024, p. 3, accessed 13 June 2024, Australian Small Business and Family Enterprise Ombudsman, </w:t>
      </w:r>
      <w:hyperlink r:id="rId92" w:history="1">
        <w:r w:rsidRPr="006562A1">
          <w:rPr>
            <w:rStyle w:val="Hyperlink"/>
            <w:i/>
            <w:sz w:val="18"/>
            <w:szCs w:val="18"/>
          </w:rPr>
          <w:t>Submission to the Treasury Competition Review on Merger reform options</w:t>
        </w:r>
      </w:hyperlink>
      <w:r w:rsidRPr="006562A1">
        <w:rPr>
          <w:sz w:val="18"/>
          <w:szCs w:val="18"/>
        </w:rPr>
        <w:t>, April 2024, p 2, accessed 13 June 2024.</w:t>
      </w:r>
    </w:p>
  </w:footnote>
  <w:footnote w:id="104">
    <w:p w14:paraId="48E0E7D9" w14:textId="6C61DBBC" w:rsidR="003525DF" w:rsidRDefault="003525DF">
      <w:pPr>
        <w:pStyle w:val="FootnoteText"/>
      </w:pPr>
      <w:r>
        <w:rPr>
          <w:rStyle w:val="FootnoteReference"/>
        </w:rPr>
        <w:footnoteRef/>
      </w:r>
      <w:r>
        <w:t xml:space="preserve"> </w:t>
      </w:r>
      <w:r w:rsidRPr="006562A1">
        <w:rPr>
          <w:sz w:val="18"/>
          <w:szCs w:val="18"/>
        </w:rPr>
        <w:t xml:space="preserve">Retail Guild of Australia, </w:t>
      </w:r>
      <w:hyperlink r:id="rId93" w:history="1">
        <w:r w:rsidRPr="006562A1">
          <w:rPr>
            <w:rStyle w:val="Hyperlink"/>
            <w:i/>
            <w:sz w:val="18"/>
            <w:szCs w:val="18"/>
          </w:rPr>
          <w:t>Addressing retail dominance through merger reform</w:t>
        </w:r>
      </w:hyperlink>
      <w:r w:rsidRPr="006562A1">
        <w:rPr>
          <w:sz w:val="18"/>
          <w:szCs w:val="18"/>
        </w:rPr>
        <w:t>, January 2024, p 12, accessed 13 June 2024.</w:t>
      </w:r>
    </w:p>
  </w:footnote>
  <w:footnote w:id="105">
    <w:p w14:paraId="54DEF068" w14:textId="735968E9" w:rsidR="003525DF" w:rsidRDefault="003525DF">
      <w:pPr>
        <w:pStyle w:val="FootnoteText"/>
      </w:pPr>
      <w:r>
        <w:rPr>
          <w:rStyle w:val="FootnoteReference"/>
        </w:rPr>
        <w:footnoteRef/>
      </w:r>
      <w:r>
        <w:t xml:space="preserve"> </w:t>
      </w:r>
      <w:r w:rsidRPr="006562A1">
        <w:rPr>
          <w:rFonts w:cstheme="minorHAnsi"/>
          <w:sz w:val="18"/>
          <w:szCs w:val="18"/>
        </w:rPr>
        <w:t xml:space="preserve">MGA Independent Businesses Australia, </w:t>
      </w:r>
      <w:hyperlink r:id="rId94" w:history="1">
        <w:r w:rsidRPr="006562A1">
          <w:rPr>
            <w:rStyle w:val="Hyperlink"/>
            <w:rFonts w:cs="Calibri Light"/>
            <w:i/>
            <w:sz w:val="18"/>
            <w:szCs w:val="18"/>
          </w:rPr>
          <w:t>Reviving concentrated markets with merger reform – Response to the Treasury consultation paper on merger reform</w:t>
        </w:r>
      </w:hyperlink>
      <w:r w:rsidRPr="006562A1">
        <w:rPr>
          <w:rFonts w:cstheme="minorHAnsi"/>
          <w:sz w:val="18"/>
          <w:szCs w:val="18"/>
        </w:rPr>
        <w:t>, 19 January 2024, p 11, accessed 13 June 2024</w:t>
      </w:r>
      <w:r w:rsidRPr="006562A1">
        <w:rPr>
          <w:sz w:val="18"/>
          <w:szCs w:val="18"/>
        </w:rPr>
        <w:t>.</w:t>
      </w:r>
    </w:p>
  </w:footnote>
  <w:footnote w:id="106">
    <w:p w14:paraId="60F566B2" w14:textId="1E97D071" w:rsidR="003525DF" w:rsidRDefault="003525DF">
      <w:pPr>
        <w:pStyle w:val="FootnoteText"/>
      </w:pPr>
      <w:r>
        <w:rPr>
          <w:rStyle w:val="FootnoteReference"/>
        </w:rPr>
        <w:footnoteRef/>
      </w:r>
      <w:r>
        <w:t xml:space="preserve"> </w:t>
      </w:r>
      <w:r w:rsidRPr="006562A1">
        <w:rPr>
          <w:sz w:val="18"/>
          <w:szCs w:val="18"/>
        </w:rPr>
        <w:t xml:space="preserve">Emeritus Professor Stephen Corones, </w:t>
      </w:r>
      <w:hyperlink r:id="rId95" w:history="1">
        <w:r w:rsidRPr="006562A1">
          <w:rPr>
            <w:rStyle w:val="Hyperlink"/>
            <w:i/>
            <w:sz w:val="18"/>
            <w:szCs w:val="18"/>
          </w:rPr>
          <w:t>Consultation paper: Merger Reform</w:t>
        </w:r>
      </w:hyperlink>
      <w:r w:rsidRPr="006562A1">
        <w:rPr>
          <w:sz w:val="18"/>
          <w:szCs w:val="18"/>
        </w:rPr>
        <w:t xml:space="preserve">, December 2023, pp 1-2, accessed 13 June 2024, Dr Rhonda Smith University of Melbourne and Professor Deborah Healey UNSW Law and Justice, </w:t>
      </w:r>
      <w:hyperlink r:id="rId96" w:history="1">
        <w:r w:rsidRPr="006562A1">
          <w:rPr>
            <w:rStyle w:val="Hyperlink"/>
            <w:i/>
            <w:sz w:val="18"/>
            <w:szCs w:val="18"/>
          </w:rPr>
          <w:t>Treasury Submission re Merger Reform</w:t>
        </w:r>
      </w:hyperlink>
      <w:r w:rsidRPr="006562A1">
        <w:rPr>
          <w:sz w:val="18"/>
          <w:szCs w:val="18"/>
        </w:rPr>
        <w:t>,</w:t>
      </w:r>
      <w:r w:rsidRPr="006562A1">
        <w:rPr>
          <w:i/>
          <w:sz w:val="18"/>
          <w:szCs w:val="18"/>
        </w:rPr>
        <w:t xml:space="preserve"> </w:t>
      </w:r>
      <w:r w:rsidRPr="006562A1">
        <w:rPr>
          <w:sz w:val="18"/>
          <w:szCs w:val="18"/>
        </w:rPr>
        <w:t>pp 3-4, accessed on 13 June 2024.</w:t>
      </w:r>
    </w:p>
  </w:footnote>
  <w:footnote w:id="107">
    <w:p w14:paraId="5042433E" w14:textId="39075D63" w:rsidR="003525DF" w:rsidRDefault="003525DF">
      <w:pPr>
        <w:pStyle w:val="FootnoteText"/>
      </w:pPr>
      <w:r>
        <w:rPr>
          <w:rStyle w:val="FootnoteReference"/>
        </w:rPr>
        <w:footnoteRef/>
      </w:r>
      <w:r>
        <w:t xml:space="preserve"> </w:t>
      </w:r>
      <w:r w:rsidRPr="006562A1">
        <w:rPr>
          <w:rFonts w:cstheme="minorHAnsi"/>
          <w:sz w:val="18"/>
          <w:szCs w:val="18"/>
        </w:rPr>
        <w:t xml:space="preserve">CHOICE and Consumers Federation of Australia, </w:t>
      </w:r>
      <w:hyperlink r:id="rId97" w:history="1">
        <w:r w:rsidRPr="006562A1">
          <w:rPr>
            <w:rStyle w:val="Hyperlink"/>
            <w:i/>
            <w:sz w:val="18"/>
            <w:szCs w:val="18"/>
          </w:rPr>
          <w:t>Submission to the Competition Taskforce consultation paper on merger reform</w:t>
        </w:r>
      </w:hyperlink>
      <w:r w:rsidRPr="006562A1">
        <w:rPr>
          <w:rFonts w:cstheme="minorHAnsi"/>
          <w:sz w:val="18"/>
          <w:szCs w:val="18"/>
        </w:rPr>
        <w:t>, January 2024, p 1, accessed 13 June 2024.</w:t>
      </w:r>
    </w:p>
  </w:footnote>
  <w:footnote w:id="108">
    <w:p w14:paraId="51E76D91" w14:textId="3C255928" w:rsidR="003525DF" w:rsidRDefault="003525DF">
      <w:pPr>
        <w:pStyle w:val="FootnoteText"/>
      </w:pPr>
      <w:r>
        <w:rPr>
          <w:rStyle w:val="FootnoteReference"/>
        </w:rPr>
        <w:footnoteRef/>
      </w:r>
      <w:r>
        <w:t xml:space="preserve"> </w:t>
      </w:r>
      <w:r w:rsidRPr="006562A1">
        <w:rPr>
          <w:rFonts w:cstheme="minorHAnsi"/>
          <w:sz w:val="18"/>
          <w:szCs w:val="18"/>
        </w:rPr>
        <w:t xml:space="preserve">CHOICE and Consumers Federation of Australia, </w:t>
      </w:r>
      <w:hyperlink r:id="rId98" w:history="1">
        <w:r w:rsidRPr="006562A1">
          <w:rPr>
            <w:rStyle w:val="Hyperlink"/>
            <w:i/>
            <w:sz w:val="18"/>
            <w:szCs w:val="18"/>
          </w:rPr>
          <w:t>Submission to the Competition Taskforce consultation paper on merger reform</w:t>
        </w:r>
      </w:hyperlink>
      <w:r w:rsidRPr="006562A1">
        <w:rPr>
          <w:rFonts w:cstheme="minorHAnsi"/>
          <w:sz w:val="18"/>
          <w:szCs w:val="18"/>
        </w:rPr>
        <w:t>, January 2024, p 4, accessed 13 June 2024.</w:t>
      </w:r>
    </w:p>
  </w:footnote>
  <w:footnote w:id="109">
    <w:p w14:paraId="06A015AB" w14:textId="37325565" w:rsidR="003525DF" w:rsidRDefault="003525DF">
      <w:pPr>
        <w:pStyle w:val="FootnoteText"/>
      </w:pPr>
      <w:r>
        <w:rPr>
          <w:rStyle w:val="FootnoteReference"/>
        </w:rPr>
        <w:footnoteRef/>
      </w:r>
      <w:r>
        <w:t xml:space="preserve"> </w:t>
      </w:r>
      <w:r w:rsidRPr="006562A1">
        <w:rPr>
          <w:sz w:val="18"/>
          <w:szCs w:val="18"/>
        </w:rPr>
        <w:t xml:space="preserve">National Farmers’ Federation, </w:t>
      </w:r>
      <w:hyperlink r:id="rId99" w:history="1">
        <w:r w:rsidRPr="006562A1">
          <w:rPr>
            <w:rStyle w:val="Hyperlink"/>
            <w:rFonts w:cs="Calibri Light"/>
            <w:i/>
            <w:sz w:val="18"/>
            <w:szCs w:val="18"/>
          </w:rPr>
          <w:t>Submission to Competition Review consultation on merger reform</w:t>
        </w:r>
      </w:hyperlink>
      <w:r w:rsidRPr="006562A1">
        <w:rPr>
          <w:sz w:val="18"/>
          <w:szCs w:val="18"/>
        </w:rPr>
        <w:t>, January 2024, pp 1-2, accessed 13 June 2024.</w:t>
      </w:r>
    </w:p>
  </w:footnote>
  <w:footnote w:id="110">
    <w:p w14:paraId="79C6CA5C" w14:textId="2B633DA2" w:rsidR="003525DF" w:rsidRDefault="003525DF">
      <w:pPr>
        <w:pStyle w:val="FootnoteText"/>
      </w:pPr>
      <w:r>
        <w:rPr>
          <w:rStyle w:val="FootnoteReference"/>
        </w:rPr>
        <w:footnoteRef/>
      </w:r>
      <w:r>
        <w:t xml:space="preserve"> </w:t>
      </w:r>
      <w:r w:rsidRPr="006562A1">
        <w:rPr>
          <w:sz w:val="18"/>
          <w:szCs w:val="18"/>
        </w:rPr>
        <w:t xml:space="preserve">National Farmers’ Federation, </w:t>
      </w:r>
      <w:hyperlink r:id="rId100" w:history="1">
        <w:r w:rsidRPr="006562A1">
          <w:rPr>
            <w:rStyle w:val="Hyperlink"/>
            <w:rFonts w:cs="Calibri Light"/>
            <w:i/>
            <w:sz w:val="18"/>
            <w:szCs w:val="18"/>
          </w:rPr>
          <w:t>Submission to Competition Review consultation on merger reform</w:t>
        </w:r>
      </w:hyperlink>
      <w:r w:rsidRPr="006562A1">
        <w:rPr>
          <w:sz w:val="18"/>
          <w:szCs w:val="18"/>
        </w:rPr>
        <w:t>, January 2024, p 2, accessed 13 June 2024.</w:t>
      </w:r>
    </w:p>
  </w:footnote>
  <w:footnote w:id="111">
    <w:p w14:paraId="0DDDCAA1" w14:textId="138E4FEB" w:rsidR="003525DF" w:rsidRDefault="003525DF">
      <w:pPr>
        <w:pStyle w:val="FootnoteText"/>
      </w:pPr>
      <w:r>
        <w:rPr>
          <w:rStyle w:val="FootnoteReference"/>
        </w:rPr>
        <w:footnoteRef/>
      </w:r>
      <w:r>
        <w:t xml:space="preserve"> </w:t>
      </w:r>
      <w:r w:rsidRPr="006562A1">
        <w:rPr>
          <w:sz w:val="18"/>
          <w:szCs w:val="18"/>
        </w:rPr>
        <w:t xml:space="preserve">Emeritus Professor Stephen Corones, </w:t>
      </w:r>
      <w:hyperlink r:id="rId101" w:history="1">
        <w:r w:rsidRPr="006562A1">
          <w:rPr>
            <w:rStyle w:val="Hyperlink"/>
            <w:i/>
            <w:sz w:val="18"/>
            <w:szCs w:val="18"/>
          </w:rPr>
          <w:t>Consultation paper: Merger Reform</w:t>
        </w:r>
      </w:hyperlink>
      <w:r w:rsidRPr="006562A1">
        <w:rPr>
          <w:sz w:val="18"/>
          <w:szCs w:val="18"/>
        </w:rPr>
        <w:t xml:space="preserve">, December 2023, p 4, accessed 13 June 2024; Dr Rhonda Smith University of Melbourne and Professor Deborah Healey UNSW Law and Justice, </w:t>
      </w:r>
      <w:hyperlink r:id="rId102" w:history="1">
        <w:r w:rsidRPr="006562A1">
          <w:rPr>
            <w:rStyle w:val="Hyperlink"/>
            <w:i/>
            <w:sz w:val="18"/>
            <w:szCs w:val="18"/>
          </w:rPr>
          <w:t>Treasury Submission re Merger Reform</w:t>
        </w:r>
      </w:hyperlink>
      <w:r w:rsidRPr="006562A1">
        <w:rPr>
          <w:sz w:val="18"/>
          <w:szCs w:val="18"/>
        </w:rPr>
        <w:t>,</w:t>
      </w:r>
      <w:r w:rsidRPr="006562A1">
        <w:rPr>
          <w:i/>
          <w:sz w:val="18"/>
          <w:szCs w:val="18"/>
        </w:rPr>
        <w:t xml:space="preserve"> </w:t>
      </w:r>
      <w:r w:rsidRPr="006562A1">
        <w:rPr>
          <w:sz w:val="18"/>
          <w:szCs w:val="18"/>
        </w:rPr>
        <w:t>pp 2-3, accessed on 13 June 2024.</w:t>
      </w:r>
    </w:p>
  </w:footnote>
  <w:footnote w:id="112">
    <w:p w14:paraId="0F48016E" w14:textId="6DAF8BF3" w:rsidR="003525DF" w:rsidRDefault="003525DF">
      <w:pPr>
        <w:pStyle w:val="FootnoteText"/>
      </w:pPr>
      <w:r>
        <w:rPr>
          <w:rStyle w:val="FootnoteReference"/>
        </w:rPr>
        <w:footnoteRef/>
      </w:r>
      <w:r>
        <w:t xml:space="preserve"> </w:t>
      </w:r>
      <w:r w:rsidRPr="006562A1">
        <w:rPr>
          <w:sz w:val="18"/>
          <w:szCs w:val="18"/>
        </w:rPr>
        <w:t xml:space="preserve">Retail Guild of Australia, </w:t>
      </w:r>
      <w:hyperlink r:id="rId103" w:history="1">
        <w:r w:rsidRPr="006562A1">
          <w:rPr>
            <w:rStyle w:val="Hyperlink"/>
            <w:i/>
            <w:sz w:val="18"/>
            <w:szCs w:val="18"/>
          </w:rPr>
          <w:t>Addressing retail dominance through merger reform</w:t>
        </w:r>
      </w:hyperlink>
      <w:r w:rsidRPr="006562A1">
        <w:rPr>
          <w:sz w:val="18"/>
          <w:szCs w:val="18"/>
        </w:rPr>
        <w:t>, January 2024, p 11, accessed 13 June 2024.</w:t>
      </w:r>
    </w:p>
  </w:footnote>
  <w:footnote w:id="113">
    <w:p w14:paraId="3FC4AFFD" w14:textId="69D04BE7" w:rsidR="003525DF" w:rsidRDefault="003525DF" w:rsidP="00E04A5C">
      <w:pPr>
        <w:pStyle w:val="FootnoteText"/>
      </w:pPr>
      <w:r>
        <w:rPr>
          <w:rStyle w:val="FootnoteReference"/>
        </w:rPr>
        <w:footnoteRef/>
      </w:r>
      <w:r>
        <w:t xml:space="preserve"> </w:t>
      </w:r>
      <w:r w:rsidRPr="006562A1">
        <w:rPr>
          <w:sz w:val="18"/>
          <w:szCs w:val="18"/>
        </w:rPr>
        <w:t xml:space="preserve">Law Council of Australia, </w:t>
      </w:r>
      <w:hyperlink r:id="rId104" w:history="1">
        <w:r w:rsidRPr="006562A1">
          <w:rPr>
            <w:rStyle w:val="Hyperlink"/>
            <w:i/>
            <w:sz w:val="18"/>
            <w:szCs w:val="18"/>
          </w:rPr>
          <w:t>Response to Competition Review Merger Reform Consultation Paper</w:t>
        </w:r>
      </w:hyperlink>
      <w:r w:rsidRPr="006562A1">
        <w:rPr>
          <w:sz w:val="18"/>
          <w:szCs w:val="18"/>
        </w:rPr>
        <w:t xml:space="preserve">, January 2024; Business Council of Australia, </w:t>
      </w:r>
      <w:hyperlink r:id="rId105" w:history="1">
        <w:r w:rsidRPr="006562A1">
          <w:rPr>
            <w:rStyle w:val="Hyperlink"/>
            <w:i/>
            <w:sz w:val="18"/>
            <w:szCs w:val="18"/>
          </w:rPr>
          <w:t>Submission to Merger Reform consultation</w:t>
        </w:r>
      </w:hyperlink>
      <w:r w:rsidRPr="006562A1">
        <w:rPr>
          <w:sz w:val="18"/>
          <w:szCs w:val="18"/>
        </w:rPr>
        <w:t>, January 2024, pp 2, 9, 19, accessed 13 June 2024.</w:t>
      </w:r>
    </w:p>
  </w:footnote>
  <w:footnote w:id="114">
    <w:p w14:paraId="3E1CB110" w14:textId="76FCD0AE" w:rsidR="003525DF" w:rsidRDefault="003525DF" w:rsidP="005E5472">
      <w:pPr>
        <w:pStyle w:val="FootnoteText"/>
      </w:pPr>
      <w:r>
        <w:rPr>
          <w:rStyle w:val="FootnoteReference"/>
        </w:rPr>
        <w:footnoteRef/>
      </w:r>
      <w:r>
        <w:t xml:space="preserve"> </w:t>
      </w:r>
      <w:r w:rsidRPr="006562A1">
        <w:rPr>
          <w:sz w:val="18"/>
          <w:szCs w:val="18"/>
        </w:rPr>
        <w:t xml:space="preserve">Law Council of Australia, </w:t>
      </w:r>
      <w:hyperlink r:id="rId106" w:history="1">
        <w:r w:rsidRPr="006562A1">
          <w:rPr>
            <w:rStyle w:val="Hyperlink"/>
            <w:i/>
            <w:sz w:val="18"/>
            <w:szCs w:val="18"/>
          </w:rPr>
          <w:t>Response to Competition Review Merger Reform Consultation Paper</w:t>
        </w:r>
      </w:hyperlink>
      <w:r w:rsidRPr="006562A1">
        <w:rPr>
          <w:sz w:val="18"/>
          <w:szCs w:val="18"/>
        </w:rPr>
        <w:t xml:space="preserve">, January 2024, p 1; Business Council of Australia, </w:t>
      </w:r>
      <w:hyperlink r:id="rId107" w:history="1">
        <w:r w:rsidRPr="006562A1">
          <w:rPr>
            <w:rStyle w:val="Hyperlink"/>
            <w:i/>
            <w:sz w:val="18"/>
            <w:szCs w:val="18"/>
          </w:rPr>
          <w:t>Submission to Merger Reform consultation</w:t>
        </w:r>
      </w:hyperlink>
      <w:r w:rsidRPr="006562A1">
        <w:rPr>
          <w:sz w:val="18"/>
          <w:szCs w:val="18"/>
        </w:rPr>
        <w:t>, January 2024, pp 2, 9, 19, accessed 13 June 2024.</w:t>
      </w:r>
    </w:p>
  </w:footnote>
  <w:footnote w:id="115">
    <w:p w14:paraId="4CAD9C58" w14:textId="45036986" w:rsidR="003525DF" w:rsidRDefault="003525DF">
      <w:pPr>
        <w:pStyle w:val="FootnoteText"/>
      </w:pPr>
      <w:r>
        <w:rPr>
          <w:rStyle w:val="FootnoteReference"/>
        </w:rPr>
        <w:footnoteRef/>
      </w:r>
      <w:r>
        <w:t xml:space="preserve"> </w:t>
      </w:r>
      <w:r w:rsidRPr="006562A1">
        <w:rPr>
          <w:sz w:val="18"/>
          <w:szCs w:val="18"/>
        </w:rPr>
        <w:t xml:space="preserve">Business Council of Australia, </w:t>
      </w:r>
      <w:hyperlink r:id="rId108" w:history="1">
        <w:r w:rsidRPr="006562A1">
          <w:rPr>
            <w:rStyle w:val="Hyperlink"/>
            <w:i/>
            <w:sz w:val="18"/>
            <w:szCs w:val="18"/>
          </w:rPr>
          <w:t>Submission to Merger Reform consultation</w:t>
        </w:r>
      </w:hyperlink>
      <w:r w:rsidRPr="006562A1">
        <w:rPr>
          <w:sz w:val="18"/>
          <w:szCs w:val="18"/>
        </w:rPr>
        <w:t>, January 2024, pp 19, accessed 13 June 2024; Arnold Bloch Liebler, Submission to Treasury on the Merger Reform Consultation Paper, January 2024, pp 1-2, accessed 13</w:t>
      </w:r>
      <w:r>
        <w:rPr>
          <w:sz w:val="18"/>
          <w:szCs w:val="18"/>
        </w:rPr>
        <w:t> </w:t>
      </w:r>
      <w:r w:rsidRPr="006562A1">
        <w:rPr>
          <w:sz w:val="18"/>
          <w:szCs w:val="18"/>
        </w:rPr>
        <w:t>June</w:t>
      </w:r>
      <w:r>
        <w:rPr>
          <w:sz w:val="18"/>
          <w:szCs w:val="18"/>
        </w:rPr>
        <w:t> </w:t>
      </w:r>
      <w:r w:rsidRPr="006562A1">
        <w:rPr>
          <w:sz w:val="18"/>
          <w:szCs w:val="18"/>
        </w:rPr>
        <w:t>2024.</w:t>
      </w:r>
    </w:p>
  </w:footnote>
  <w:footnote w:id="116">
    <w:p w14:paraId="361D47BD" w14:textId="00C31760" w:rsidR="00252AB5" w:rsidRPr="004E2B7F" w:rsidRDefault="00252AB5">
      <w:pPr>
        <w:pStyle w:val="FootnoteText"/>
        <w:rPr>
          <w:sz w:val="18"/>
          <w:szCs w:val="18"/>
        </w:rPr>
      </w:pPr>
      <w:r>
        <w:rPr>
          <w:rStyle w:val="FootnoteReference"/>
        </w:rPr>
        <w:footnoteRef/>
      </w:r>
      <w:r>
        <w:t xml:space="preserve"> </w:t>
      </w:r>
      <w:r w:rsidR="004E2B7F" w:rsidRPr="006562A1">
        <w:rPr>
          <w:sz w:val="18"/>
          <w:szCs w:val="18"/>
        </w:rPr>
        <w:t xml:space="preserve">The Treasury, Australian Government, </w:t>
      </w:r>
      <w:hyperlink r:id="rId109" w:history="1">
        <w:r w:rsidR="00C2775D" w:rsidRPr="00AA4CE1">
          <w:rPr>
            <w:rStyle w:val="Hyperlink"/>
            <w:rFonts w:cs="Calibri Light"/>
            <w:i/>
            <w:sz w:val="18"/>
            <w:szCs w:val="18"/>
          </w:rPr>
          <w:t>Reforming mergers and acquisitions – exposure draft</w:t>
        </w:r>
      </w:hyperlink>
      <w:r w:rsidR="004E2B7F" w:rsidRPr="006562A1">
        <w:rPr>
          <w:sz w:val="18"/>
          <w:szCs w:val="18"/>
        </w:rPr>
        <w:t xml:space="preserve">, </w:t>
      </w:r>
      <w:r w:rsidR="00C2775D">
        <w:rPr>
          <w:sz w:val="18"/>
          <w:szCs w:val="18"/>
        </w:rPr>
        <w:t>24 July</w:t>
      </w:r>
      <w:r w:rsidR="004E2B7F" w:rsidRPr="006562A1">
        <w:rPr>
          <w:sz w:val="18"/>
          <w:szCs w:val="18"/>
        </w:rPr>
        <w:t xml:space="preserve"> 2024.</w:t>
      </w:r>
    </w:p>
  </w:footnote>
  <w:footnote w:id="117">
    <w:p w14:paraId="12D9DEE9" w14:textId="1CFD971E" w:rsidR="003525DF" w:rsidRDefault="003525DF" w:rsidP="007A5AD3">
      <w:pPr>
        <w:pStyle w:val="FootnoteText"/>
      </w:pPr>
      <w:r>
        <w:rPr>
          <w:rStyle w:val="FootnoteReference"/>
        </w:rPr>
        <w:footnoteRef/>
      </w:r>
      <w:r w:rsidRPr="005A55EC">
        <w:rPr>
          <w:sz w:val="18"/>
          <w:szCs w:val="18"/>
        </w:rPr>
        <w:t>ACCC,</w:t>
      </w:r>
      <w:r w:rsidR="00C11F6A">
        <w:rPr>
          <w:sz w:val="18"/>
          <w:szCs w:val="18"/>
        </w:rPr>
        <w:t xml:space="preserve"> Australian Government,</w:t>
      </w:r>
      <w:r w:rsidRPr="005A55EC">
        <w:rPr>
          <w:sz w:val="18"/>
          <w:szCs w:val="18"/>
        </w:rPr>
        <w:t xml:space="preserve"> </w:t>
      </w:r>
      <w:hyperlink r:id="rId110" w:history="1">
        <w:r w:rsidRPr="005A55EC">
          <w:rPr>
            <w:rStyle w:val="Hyperlink"/>
            <w:rFonts w:cstheme="minorHAnsi"/>
            <w:i/>
            <w:sz w:val="18"/>
            <w:szCs w:val="18"/>
          </w:rPr>
          <w:t>Statement of Expectations and Statement of Intent</w:t>
        </w:r>
      </w:hyperlink>
      <w:r w:rsidRPr="005A55EC">
        <w:rPr>
          <w:sz w:val="18"/>
          <w:szCs w:val="18"/>
        </w:rPr>
        <w:t>, April 2024, accessed 12 June 2024.</w:t>
      </w:r>
    </w:p>
  </w:footnote>
  <w:footnote w:id="118">
    <w:p w14:paraId="79C02ED2" w14:textId="0038B48D" w:rsidR="003525DF" w:rsidRDefault="003525DF" w:rsidP="00245163">
      <w:pPr>
        <w:pStyle w:val="FootnoteText"/>
      </w:pPr>
      <w:r>
        <w:rPr>
          <w:rStyle w:val="FootnoteReference"/>
        </w:rPr>
        <w:footnoteRef/>
      </w:r>
      <w:r w:rsidRPr="005A55EC">
        <w:rPr>
          <w:sz w:val="18"/>
          <w:szCs w:val="18"/>
        </w:rPr>
        <w:t>ACCC,</w:t>
      </w:r>
      <w:r w:rsidR="00C11F6A">
        <w:rPr>
          <w:sz w:val="18"/>
          <w:szCs w:val="18"/>
        </w:rPr>
        <w:t xml:space="preserve"> Australian Government,</w:t>
      </w:r>
      <w:r w:rsidRPr="005A55EC">
        <w:rPr>
          <w:sz w:val="18"/>
          <w:szCs w:val="18"/>
        </w:rPr>
        <w:t xml:space="preserve"> </w:t>
      </w:r>
      <w:hyperlink r:id="rId111" w:history="1">
        <w:r w:rsidRPr="005A55EC">
          <w:rPr>
            <w:rStyle w:val="Hyperlink"/>
            <w:rFonts w:cstheme="minorHAnsi"/>
            <w:i/>
            <w:sz w:val="18"/>
            <w:szCs w:val="18"/>
          </w:rPr>
          <w:t>Statement of Expectations and Statement of Intent</w:t>
        </w:r>
      </w:hyperlink>
      <w:r w:rsidRPr="005A55EC">
        <w:rPr>
          <w:sz w:val="18"/>
          <w:szCs w:val="18"/>
        </w:rPr>
        <w:t>, April 2024, accessed 11 June 2024.</w:t>
      </w:r>
      <w:r>
        <w:t xml:space="preserve"> </w:t>
      </w:r>
    </w:p>
  </w:footnote>
  <w:footnote w:id="119">
    <w:p w14:paraId="56FBF2F4" w14:textId="2A9B6D57" w:rsidR="00F83773" w:rsidRPr="002A04C9" w:rsidRDefault="00F83773">
      <w:pPr>
        <w:pStyle w:val="FootnoteText"/>
        <w:rPr>
          <w:sz w:val="18"/>
          <w:szCs w:val="18"/>
        </w:rPr>
      </w:pPr>
      <w:r>
        <w:rPr>
          <w:rStyle w:val="FootnoteReference"/>
        </w:rPr>
        <w:footnoteRef/>
      </w:r>
      <w:r>
        <w:t xml:space="preserve"> </w:t>
      </w:r>
      <w:r w:rsidR="002A04C9" w:rsidRPr="002A04C9">
        <w:rPr>
          <w:sz w:val="18"/>
          <w:szCs w:val="18"/>
        </w:rPr>
        <w:t>ACCC,</w:t>
      </w:r>
      <w:r w:rsidR="00BD7730">
        <w:rPr>
          <w:sz w:val="18"/>
          <w:szCs w:val="18"/>
        </w:rPr>
        <w:t xml:space="preserve"> Australian Government,</w:t>
      </w:r>
      <w:r w:rsidR="002A04C9" w:rsidRPr="002A04C9">
        <w:rPr>
          <w:sz w:val="18"/>
          <w:szCs w:val="18"/>
        </w:rPr>
        <w:t xml:space="preserve"> </w:t>
      </w:r>
      <w:hyperlink r:id="rId112" w:history="1">
        <w:r w:rsidR="002A04C9" w:rsidRPr="002A04C9">
          <w:rPr>
            <w:rStyle w:val="Hyperlink"/>
            <w:rFonts w:cstheme="minorHAnsi"/>
            <w:i/>
            <w:sz w:val="18"/>
            <w:szCs w:val="18"/>
          </w:rPr>
          <w:t>ACCC and AER annual reports</w:t>
        </w:r>
      </w:hyperlink>
      <w:r w:rsidR="002A04C9" w:rsidRPr="002A04C9">
        <w:rPr>
          <w:sz w:val="18"/>
          <w:szCs w:val="18"/>
        </w:rPr>
        <w:t>, accessed 9 July 2024.</w:t>
      </w:r>
    </w:p>
  </w:footnote>
  <w:footnote w:id="120">
    <w:p w14:paraId="6E16D0A8" w14:textId="7601CC79" w:rsidR="006667E6" w:rsidRDefault="006667E6">
      <w:pPr>
        <w:pStyle w:val="FootnoteText"/>
      </w:pPr>
      <w:r>
        <w:rPr>
          <w:rStyle w:val="FootnoteReference"/>
        </w:rPr>
        <w:footnoteRef/>
      </w:r>
      <w:r>
        <w:t xml:space="preserve"> </w:t>
      </w:r>
      <w:r w:rsidR="009E1D4E" w:rsidRPr="00820037">
        <w:rPr>
          <w:sz w:val="18"/>
          <w:szCs w:val="18"/>
        </w:rPr>
        <w:t>ACCC has conducted 2 ex post m</w:t>
      </w:r>
      <w:r w:rsidR="009E1D4E" w:rsidRPr="00FD6E93">
        <w:rPr>
          <w:sz w:val="18"/>
          <w:szCs w:val="18"/>
        </w:rPr>
        <w:t>erger reviews</w:t>
      </w:r>
      <w:r w:rsidR="0094359A" w:rsidRPr="00FD6E93">
        <w:rPr>
          <w:sz w:val="18"/>
          <w:szCs w:val="18"/>
        </w:rPr>
        <w:t xml:space="preserve">, </w:t>
      </w:r>
      <w:hyperlink r:id="rId113" w:history="1">
        <w:r w:rsidR="000928E5" w:rsidRPr="00FD6E93">
          <w:rPr>
            <w:rStyle w:val="Hyperlink"/>
            <w:rFonts w:cstheme="minorHAnsi"/>
            <w:i/>
            <w:sz w:val="18"/>
            <w:szCs w:val="18"/>
          </w:rPr>
          <w:t>Ex post review of merger decisions 2022</w:t>
        </w:r>
      </w:hyperlink>
      <w:r w:rsidR="00A145A3" w:rsidRPr="00FD6E93">
        <w:rPr>
          <w:sz w:val="18"/>
          <w:szCs w:val="18"/>
        </w:rPr>
        <w:t xml:space="preserve"> and </w:t>
      </w:r>
      <w:hyperlink r:id="rId114" w:history="1">
        <w:r w:rsidR="00A145A3" w:rsidRPr="00FD6E93">
          <w:rPr>
            <w:rStyle w:val="Hyperlink"/>
            <w:rFonts w:cstheme="minorHAnsi"/>
            <w:i/>
            <w:sz w:val="18"/>
            <w:szCs w:val="18"/>
          </w:rPr>
          <w:t>Ex post review of merger decisions 2024</w:t>
        </w:r>
      </w:hyperlink>
      <w:r w:rsidR="00A145A3" w:rsidRPr="00FD6E93">
        <w:rPr>
          <w:sz w:val="18"/>
          <w:szCs w:val="18"/>
        </w:rPr>
        <w:t>, accessed</w:t>
      </w:r>
      <w:r w:rsidR="00FD6E93" w:rsidRPr="00FD6E93">
        <w:rPr>
          <w:sz w:val="18"/>
          <w:szCs w:val="18"/>
        </w:rPr>
        <w:t xml:space="preserve"> 25 June 2024. </w:t>
      </w:r>
    </w:p>
  </w:footnote>
  <w:footnote w:id="121">
    <w:p w14:paraId="02312C14" w14:textId="3C2B3F96" w:rsidR="003525DF" w:rsidRDefault="003525DF">
      <w:pPr>
        <w:pStyle w:val="FootnoteText"/>
      </w:pPr>
      <w:r>
        <w:rPr>
          <w:rStyle w:val="FootnoteReference"/>
        </w:rPr>
        <w:footnoteRef/>
      </w:r>
      <w:r>
        <w:t xml:space="preserve"> </w:t>
      </w:r>
      <w:r w:rsidRPr="005A55EC">
        <w:rPr>
          <w:sz w:val="18"/>
          <w:szCs w:val="18"/>
        </w:rPr>
        <w:t>Based on ACCC data.</w:t>
      </w:r>
      <w:r>
        <w:t xml:space="preserve"> </w:t>
      </w:r>
    </w:p>
  </w:footnote>
  <w:footnote w:id="122">
    <w:p w14:paraId="202105DE" w14:textId="6BFFB82E" w:rsidR="003525DF" w:rsidRDefault="003525DF">
      <w:pPr>
        <w:pStyle w:val="FootnoteText"/>
      </w:pPr>
      <w:r>
        <w:rPr>
          <w:rStyle w:val="FootnoteReference"/>
        </w:rPr>
        <w:footnoteRef/>
      </w:r>
      <w:r>
        <w:rPr>
          <w:sz w:val="18"/>
          <w:szCs w:val="18"/>
        </w:rPr>
        <w:t xml:space="preserve"> </w:t>
      </w:r>
      <w:r w:rsidRPr="005A55EC">
        <w:rPr>
          <w:sz w:val="18"/>
          <w:szCs w:val="18"/>
        </w:rPr>
        <w:t>ACCC,</w:t>
      </w:r>
      <w:r w:rsidR="00BD7730">
        <w:rPr>
          <w:sz w:val="18"/>
          <w:szCs w:val="18"/>
        </w:rPr>
        <w:t xml:space="preserve"> Australian Government,</w:t>
      </w:r>
      <w:r w:rsidRPr="005A55EC">
        <w:rPr>
          <w:sz w:val="18"/>
          <w:szCs w:val="18"/>
        </w:rPr>
        <w:t xml:space="preserve"> </w:t>
      </w:r>
      <w:hyperlink r:id="rId115" w:history="1">
        <w:r w:rsidRPr="005A55EC">
          <w:rPr>
            <w:rStyle w:val="Hyperlink"/>
            <w:rFonts w:cstheme="minorHAnsi"/>
            <w:i/>
            <w:sz w:val="18"/>
            <w:szCs w:val="18"/>
          </w:rPr>
          <w:t>Statement of Expectations and Statement of Intent</w:t>
        </w:r>
      </w:hyperlink>
      <w:r w:rsidRPr="005A55EC">
        <w:rPr>
          <w:sz w:val="18"/>
          <w:szCs w:val="18"/>
        </w:rPr>
        <w:t>, April 2024, accessed 12 June 2024.</w:t>
      </w:r>
    </w:p>
  </w:footnote>
  <w:footnote w:id="123">
    <w:p w14:paraId="092679FF" w14:textId="6D9FFFCC" w:rsidR="008F030E" w:rsidRDefault="008F030E">
      <w:pPr>
        <w:pStyle w:val="FootnoteText"/>
      </w:pPr>
      <w:r>
        <w:rPr>
          <w:rStyle w:val="FootnoteReference"/>
        </w:rPr>
        <w:footnoteRef/>
      </w:r>
      <w:r>
        <w:t xml:space="preserve"> </w:t>
      </w:r>
      <w:r w:rsidR="0043077B" w:rsidRPr="003E5C35">
        <w:rPr>
          <w:sz w:val="18"/>
          <w:szCs w:val="18"/>
        </w:rPr>
        <w:t>ACCC,</w:t>
      </w:r>
      <w:r w:rsidR="000601D8">
        <w:rPr>
          <w:sz w:val="18"/>
          <w:szCs w:val="18"/>
        </w:rPr>
        <w:t xml:space="preserve"> Australian Government,</w:t>
      </w:r>
      <w:r w:rsidR="0043077B" w:rsidRPr="003E5C35">
        <w:rPr>
          <w:rStyle w:val="Hyperlink"/>
          <w:rFonts w:cstheme="minorHAnsi"/>
          <w:i/>
          <w:sz w:val="18"/>
          <w:szCs w:val="18"/>
        </w:rPr>
        <w:t xml:space="preserve"> </w:t>
      </w:r>
      <w:hyperlink r:id="rId116" w:history="1">
        <w:r w:rsidR="0043077B" w:rsidRPr="003E5C35">
          <w:rPr>
            <w:rStyle w:val="Hyperlink"/>
            <w:rFonts w:cstheme="minorHAnsi"/>
            <w:i/>
            <w:sz w:val="18"/>
            <w:szCs w:val="18"/>
          </w:rPr>
          <w:t>Regulator Performance Guide</w:t>
        </w:r>
      </w:hyperlink>
      <w:r w:rsidR="0043077B" w:rsidRPr="003E5C35">
        <w:rPr>
          <w:sz w:val="18"/>
          <w:szCs w:val="18"/>
        </w:rPr>
        <w:t xml:space="preserve">, </w:t>
      </w:r>
      <w:r w:rsidR="00C60C64" w:rsidRPr="003E5C35">
        <w:rPr>
          <w:sz w:val="18"/>
          <w:szCs w:val="18"/>
        </w:rPr>
        <w:t>accessed 9 July 2024.</w:t>
      </w:r>
    </w:p>
  </w:footnote>
  <w:footnote w:id="124">
    <w:p w14:paraId="3A629E69" w14:textId="0F6EB7C7" w:rsidR="003525DF" w:rsidRDefault="003525DF" w:rsidP="00947E3E">
      <w:pPr>
        <w:pStyle w:val="FootnoteText"/>
      </w:pPr>
      <w:r>
        <w:rPr>
          <w:rStyle w:val="FootnoteReference"/>
        </w:rPr>
        <w:footnoteRef/>
      </w:r>
      <w:r>
        <w:rPr>
          <w:sz w:val="18"/>
          <w:szCs w:val="18"/>
        </w:rPr>
        <w:t xml:space="preserve"> </w:t>
      </w:r>
      <w:r w:rsidRPr="005A55EC">
        <w:rPr>
          <w:sz w:val="18"/>
          <w:szCs w:val="18"/>
        </w:rPr>
        <w:t xml:space="preserve">United Kingdom Competition and Markets Authority, </w:t>
      </w:r>
      <w:hyperlink r:id="rId117" w:history="1">
        <w:r w:rsidRPr="005A55EC">
          <w:rPr>
            <w:rStyle w:val="Hyperlink"/>
            <w:rFonts w:eastAsia="Times New Roman" w:cs="Calibri Light"/>
            <w:i/>
            <w:kern w:val="0"/>
            <w:sz w:val="18"/>
            <w:szCs w:val="18"/>
            <w:lang w:eastAsia="en-AU"/>
            <w14:ligatures w14:val="none"/>
          </w:rPr>
          <w:t>Impact Analysis - Reforms to Merger Control</w:t>
        </w:r>
      </w:hyperlink>
      <w:r w:rsidRPr="005A55EC">
        <w:rPr>
          <w:sz w:val="18"/>
          <w:szCs w:val="18"/>
        </w:rPr>
        <w:t>, 20 April 2023, p 43, accessed 23 May 2024</w:t>
      </w:r>
    </w:p>
  </w:footnote>
  <w:footnote w:id="125">
    <w:p w14:paraId="7463F491" w14:textId="3E7A8EAF" w:rsidR="003525DF" w:rsidRDefault="003525DF" w:rsidP="00947E3E">
      <w:pPr>
        <w:pStyle w:val="FootnoteText"/>
      </w:pPr>
      <w:r>
        <w:rPr>
          <w:rStyle w:val="FootnoteReference"/>
        </w:rPr>
        <w:footnoteRef/>
      </w:r>
      <w:r>
        <w:rPr>
          <w:sz w:val="18"/>
          <w:szCs w:val="18"/>
        </w:rPr>
        <w:t xml:space="preserve"> </w:t>
      </w:r>
      <w:r w:rsidRPr="005A55EC">
        <w:rPr>
          <w:sz w:val="18"/>
          <w:szCs w:val="18"/>
        </w:rPr>
        <w:t xml:space="preserve">United Kingdom Competition and Markets Authority, </w:t>
      </w:r>
      <w:hyperlink r:id="rId118" w:history="1">
        <w:r w:rsidRPr="005A55EC">
          <w:rPr>
            <w:rStyle w:val="Hyperlink"/>
            <w:rFonts w:eastAsia="Times New Roman" w:cs="Calibri Light"/>
            <w:i/>
            <w:kern w:val="0"/>
            <w:sz w:val="18"/>
            <w:szCs w:val="18"/>
            <w:lang w:eastAsia="en-AU"/>
            <w14:ligatures w14:val="none"/>
          </w:rPr>
          <w:t>Impact Analysis - Reforms to Merger Control</w:t>
        </w:r>
      </w:hyperlink>
      <w:r w:rsidRPr="005A55EC">
        <w:rPr>
          <w:sz w:val="18"/>
          <w:szCs w:val="18"/>
        </w:rPr>
        <w:t>, 20 April 2023, p 43, accessed 23 May 2024</w:t>
      </w:r>
    </w:p>
  </w:footnote>
  <w:footnote w:id="126">
    <w:p w14:paraId="39AA4807" w14:textId="69E408DF" w:rsidR="003525DF" w:rsidRDefault="003525DF" w:rsidP="00947E3E">
      <w:pPr>
        <w:pStyle w:val="FootnoteText"/>
      </w:pPr>
      <w:r>
        <w:rPr>
          <w:rStyle w:val="FootnoteReference"/>
        </w:rPr>
        <w:footnoteRef/>
      </w:r>
      <w:r>
        <w:t xml:space="preserve"> </w:t>
      </w:r>
      <w:r w:rsidRPr="005A55EC">
        <w:rPr>
          <w:sz w:val="18"/>
          <w:szCs w:val="18"/>
        </w:rPr>
        <w:t>The Treasury,</w:t>
      </w:r>
      <w:r w:rsidR="0083224B">
        <w:rPr>
          <w:sz w:val="18"/>
          <w:szCs w:val="18"/>
        </w:rPr>
        <w:t xml:space="preserve"> Australian Government,</w:t>
      </w:r>
      <w:r w:rsidRPr="005A55EC">
        <w:rPr>
          <w:sz w:val="18"/>
          <w:szCs w:val="18"/>
        </w:rPr>
        <w:t xml:space="preserve"> ‘</w:t>
      </w:r>
      <w:hyperlink r:id="rId119" w:history="1">
        <w:r w:rsidRPr="005A55EC">
          <w:rPr>
            <w:rStyle w:val="Hyperlink"/>
            <w:rFonts w:eastAsia="Times New Roman" w:cs="Calibri Light"/>
            <w:i/>
            <w:kern w:val="0"/>
            <w:sz w:val="18"/>
            <w:szCs w:val="18"/>
            <w:lang w:eastAsia="en-AU"/>
            <w14:ligatures w14:val="none"/>
          </w:rPr>
          <w:t>Tracking mergers in Australia using worker flows</w:t>
        </w:r>
      </w:hyperlink>
      <w:r w:rsidRPr="005A55EC">
        <w:rPr>
          <w:rStyle w:val="Hyperlink"/>
          <w:rFonts w:eastAsia="Times New Roman" w:cs="Calibri Light"/>
          <w:i/>
          <w:kern w:val="0"/>
          <w:sz w:val="18"/>
          <w:szCs w:val="18"/>
          <w:lang w:eastAsia="en-AU"/>
          <w14:ligatures w14:val="none"/>
        </w:rPr>
        <w:t>’</w:t>
      </w:r>
      <w:r w:rsidRPr="005A55EC">
        <w:rPr>
          <w:sz w:val="18"/>
          <w:szCs w:val="18"/>
        </w:rPr>
        <w:t>, p 1, accessed 5 March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5BFA0" w14:textId="77777777" w:rsidR="003525DF" w:rsidRDefault="00DC3CDC" w:rsidP="008E5E81">
    <w:pPr>
      <w:pStyle w:val="SecurityClassificationHeader"/>
    </w:pPr>
    <w:r>
      <w:fldChar w:fldCharType="begin"/>
    </w:r>
    <w:r>
      <w:instrText>DOCPROPERTY SecurityClassification \* MERGEFORMAT</w:instrText>
    </w:r>
    <w:r>
      <w:fldChar w:fldCharType="separate"/>
    </w:r>
    <w:r w:rsidR="003525DF">
      <w:t>PROTECTED//CABINET</w:t>
    </w:r>
    <w:r>
      <w:fldChar w:fldCharType="end"/>
    </w:r>
  </w:p>
  <w:p w14:paraId="3EB523EF" w14:textId="77777777" w:rsidR="003525DF" w:rsidRDefault="00BE11CA" w:rsidP="003F3D35">
    <w:pPr>
      <w:pStyle w:val="SecurityClassificationHeader"/>
    </w:pPr>
    <w:fldSimple w:instr="DOCPROPERTY WorkingDocStatus \* MERGEFORMAT">
      <w:r w:rsidR="003525DF">
        <w:t>DRAFT WORKING DOCUMENT</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7E044" w14:textId="77777777" w:rsidR="003525DF" w:rsidRDefault="00BE11CA" w:rsidP="003F5386">
    <w:pPr>
      <w:pStyle w:val="SecurityClassificationHeader"/>
    </w:pPr>
    <w:fldSimple w:instr="DOCPROPERTY WorkingDocStatus \* MERGEFORMAT">
      <w:r w:rsidR="003525DF">
        <w:t>DRAFT WORKING DOCUMENT</w:t>
      </w:r>
    </w:fldSimple>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EC73" w14:textId="77777777" w:rsidR="003525DF" w:rsidRDefault="00BE11CA" w:rsidP="00237911">
    <w:pPr>
      <w:pStyle w:val="SecurityClassificationHeader"/>
    </w:pPr>
    <w:fldSimple w:instr="DOCPROPERTY SecurityClassification \* MERGEFORMAT">
      <w:r w:rsidR="003525DF">
        <w:t>PROTECTED//CABINET</w:t>
      </w:r>
    </w:fldSimple>
  </w:p>
  <w:p w14:paraId="3681B3A5" w14:textId="77777777" w:rsidR="003525DF" w:rsidRDefault="00BE11CA" w:rsidP="00237911">
    <w:pPr>
      <w:pStyle w:val="SecurityClassificationHeader"/>
    </w:pPr>
    <w:fldSimple w:instr="DOCPROPERTY WorkingDocStatus \* MERGEFORMAT">
      <w:r w:rsidR="003525DF">
        <w:t>DRAFT WORKING DOCUMENT</w:t>
      </w:r>
    </w:fldSimple>
  </w:p>
  <w:p w14:paraId="28D59FCD" w14:textId="77777777" w:rsidR="003525DF" w:rsidRDefault="003525DF" w:rsidP="00CC2F72">
    <w:pPr>
      <w:pStyle w:val="SecurityClassification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3639B" w14:textId="5499FD60" w:rsidR="003525DF" w:rsidRDefault="003525DF" w:rsidP="003F5386">
    <w:pPr>
      <w:pStyle w:val="SecurityClassification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91A9D" w14:textId="44AFF6D6" w:rsidR="003525DF" w:rsidRDefault="00352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E6613" w14:textId="77777777" w:rsidR="00DC3CDC" w:rsidRDefault="00DC3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EE55B" w14:textId="77777777" w:rsidR="003525DF" w:rsidRDefault="00BE11CA" w:rsidP="008E5E81">
    <w:pPr>
      <w:pStyle w:val="SecurityClassificationHeader"/>
    </w:pPr>
    <w:fldSimple w:instr="DOCPROPERTY SecurityClassification \* MERGEFORMAT">
      <w:r w:rsidR="003525DF">
        <w:t>PROTECTED//CABINET</w:t>
      </w:r>
    </w:fldSimple>
  </w:p>
  <w:p w14:paraId="6E31A355" w14:textId="77777777" w:rsidR="003525DF" w:rsidRDefault="00BE11CA" w:rsidP="003F3D35">
    <w:pPr>
      <w:pStyle w:val="SecurityClassificationHeader"/>
    </w:pPr>
    <w:fldSimple w:instr="DOCPROPERTY WorkingDocStatus \* MERGEFORMAT">
      <w:r w:rsidR="003525DF">
        <w:t>DRAFT WORKING DOCUMENT</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8D7B" w14:textId="77777777" w:rsidR="003525DF" w:rsidRDefault="00BE11CA" w:rsidP="00EF3652">
    <w:pPr>
      <w:pStyle w:val="SecurityClassificationHeader"/>
      <w:spacing w:before="0"/>
    </w:pPr>
    <w:fldSimple w:instr="DOCPROPERTY SecurityClassification \* MERGEFORMAT">
      <w:r w:rsidR="003525DF">
        <w:t>PROTECTED//CABINET</w:t>
      </w:r>
    </w:fldSimple>
  </w:p>
  <w:p w14:paraId="47E16384" w14:textId="77777777" w:rsidR="003525DF" w:rsidRPr="00095D88" w:rsidRDefault="00BE11CA" w:rsidP="00EF3652">
    <w:pPr>
      <w:pStyle w:val="SecurityClassificationHeader"/>
      <w:spacing w:before="0"/>
    </w:pPr>
    <w:fldSimple w:instr="DOCPROPERTY WorkingDocStatus \* MERGEFORMAT">
      <w:r w:rsidR="003525DF">
        <w:t>DRAFT WORKING DOCUMENT</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483D5" w14:textId="19CFA0F8" w:rsidR="003525DF" w:rsidRPr="00DA2B75" w:rsidRDefault="003525DF" w:rsidP="00DA2B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6D9D5" w14:textId="7F17A929" w:rsidR="003525DF" w:rsidRPr="00846E1F" w:rsidRDefault="003525DF" w:rsidP="00846E1F">
    <w:pPr>
      <w:pStyle w:val="TableMainHeading"/>
      <w:spacing w:before="120"/>
      <w:jc w:val="center"/>
      <w:rPr>
        <w:rFonts w:asciiTheme="minorHAnsi" w:hAnsiTheme="minorHAnsi" w:cs="Times New Roman"/>
        <w:b/>
        <w:color w:val="FF0000"/>
        <w:kern w:val="0"/>
        <w:sz w:val="24"/>
        <w:szCs w:val="28"/>
      </w:rPr>
    </w:pPr>
    <w:r w:rsidRPr="00846E1F">
      <w:rPr>
        <w:rFonts w:asciiTheme="minorHAnsi" w:hAnsiTheme="minorHAnsi" w:cs="Times New Roman"/>
        <w:b/>
        <w:color w:val="FF0000"/>
        <w:kern w:val="0"/>
        <w:sz w:val="24"/>
        <w:szCs w:val="28"/>
      </w:rPr>
      <w:fldChar w:fldCharType="begin"/>
    </w:r>
    <w:r w:rsidRPr="00846E1F">
      <w:rPr>
        <w:rFonts w:asciiTheme="minorHAnsi" w:hAnsiTheme="minorHAnsi" w:cs="Times New Roman"/>
        <w:b/>
        <w:color w:val="FF0000"/>
        <w:kern w:val="0"/>
        <w:sz w:val="24"/>
        <w:szCs w:val="28"/>
      </w:rPr>
      <w:instrText xml:space="preserve"> DOCPROPERTY WorkingDocStatus \* MERGEFORMAT </w:instrText>
    </w:r>
    <w:r w:rsidRPr="00846E1F">
      <w:rPr>
        <w:rFonts w:asciiTheme="minorHAnsi" w:hAnsiTheme="minorHAnsi" w:cs="Times New Roman"/>
        <w:b/>
        <w:color w:val="FF0000"/>
        <w:kern w:val="0"/>
        <w:sz w:val="24"/>
        <w:szCs w:val="2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92F65" w14:textId="77777777" w:rsidR="003525DF" w:rsidRDefault="00BE11CA" w:rsidP="008E5E81">
    <w:pPr>
      <w:pStyle w:val="SecurityClassificationHeader"/>
    </w:pPr>
    <w:fldSimple w:instr="DOCPROPERTY SecurityClassification \* MERGEFORMAT">
      <w:r w:rsidR="003525DF">
        <w:t>PROTECTED//CABINET</w:t>
      </w:r>
    </w:fldSimple>
  </w:p>
  <w:p w14:paraId="307BEFB0" w14:textId="77777777" w:rsidR="003525DF" w:rsidRDefault="00BE11CA" w:rsidP="00021F77">
    <w:pPr>
      <w:pStyle w:val="SecurityClassificationHeader"/>
      <w:spacing w:before="0" w:after="0"/>
    </w:pPr>
    <w:fldSimple w:instr="DOCPROPERTY WorkingDocStatus \* MERGEFORMAT">
      <w:r w:rsidR="003525DF">
        <w:t>DRAFT WORKING DOCUMENT</w:t>
      </w:r>
    </w:fldSimple>
  </w:p>
  <w:p w14:paraId="1DA6FD0B" w14:textId="77777777" w:rsidR="003525DF" w:rsidRPr="00AC75E2" w:rsidRDefault="003525DF">
    <w:pPr>
      <w:pStyle w:val="HeaderEven"/>
    </w:pPr>
    <w:r>
      <w:rPr>
        <w:noProof/>
      </w:rPr>
      <w:drawing>
        <wp:anchor distT="0" distB="0" distL="114300" distR="114300" simplePos="0" relativeHeight="251658241" behindDoc="1" locked="1" layoutInCell="1" allowOverlap="1" wp14:anchorId="3ED200A9" wp14:editId="19702C30">
          <wp:simplePos x="0" y="0"/>
          <wp:positionH relativeFrom="page">
            <wp:align>left</wp:align>
          </wp:positionH>
          <wp:positionV relativeFrom="page">
            <wp:align>top</wp:align>
          </wp:positionV>
          <wp:extent cx="7570800" cy="936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2A314" w14:textId="18C6882A" w:rsidR="003525DF" w:rsidRPr="00F65230" w:rsidRDefault="003525DF" w:rsidP="00F6523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E9BF2" w14:textId="77777777" w:rsidR="003525DF" w:rsidRDefault="00BE11CA" w:rsidP="006D7FD8">
    <w:pPr>
      <w:pStyle w:val="Dash"/>
    </w:pPr>
    <w:fldSimple w:instr="DOCPROPERTY SecurityClassification \* MERGEFORMAT">
      <w:r w:rsidR="003525DF">
        <w:t>PROTECTED//CABINET</w:t>
      </w:r>
    </w:fldSimple>
  </w:p>
  <w:p w14:paraId="6A015C44" w14:textId="77777777" w:rsidR="003525DF" w:rsidRPr="00095D88" w:rsidRDefault="00BE11CA" w:rsidP="00D152A4">
    <w:fldSimple w:instr="DOCPROPERTY WorkingDocStatus \* MERGEFORMAT">
      <w:r w:rsidR="003525DF">
        <w:t>DRAFT WORKING DOCUMENT</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9CA"/>
    <w:multiLevelType w:val="multilevel"/>
    <w:tmpl w:val="38DE2B42"/>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D12133A"/>
    <w:multiLevelType w:val="hybridMultilevel"/>
    <w:tmpl w:val="AEB626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0653560"/>
    <w:multiLevelType w:val="multilevel"/>
    <w:tmpl w:val="72F8140E"/>
    <w:styleLink w:val="OutlineList"/>
    <w:lvl w:ilvl="0">
      <w:start w:val="1"/>
      <w:numFmt w:val="decimal"/>
      <w:pStyle w:val="Figure"/>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1F38D3"/>
    <w:multiLevelType w:val="hybridMultilevel"/>
    <w:tmpl w:val="D9FA007C"/>
    <w:lvl w:ilvl="0" w:tplc="F34AE8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1229B8"/>
    <w:multiLevelType w:val="hybridMultilevel"/>
    <w:tmpl w:val="48A66344"/>
    <w:lvl w:ilvl="0" w:tplc="FD2C1F04">
      <w:start w:val="1"/>
      <w:numFmt w:val="bullet"/>
      <w:lvlText w:val="•"/>
      <w:lvlJc w:val="left"/>
      <w:pPr>
        <w:tabs>
          <w:tab w:val="num" w:pos="472"/>
        </w:tabs>
        <w:ind w:left="472" w:hanging="472"/>
      </w:pPr>
      <w:rPr>
        <w:rFonts w:ascii="Times New Roman" w:hAnsi="Times New Roman" w:hint="default"/>
      </w:rPr>
    </w:lvl>
    <w:lvl w:ilvl="1" w:tplc="BE8471A4">
      <w:start w:val="1"/>
      <w:numFmt w:val="bullet"/>
      <w:lvlText w:val="–"/>
      <w:lvlJc w:val="left"/>
      <w:pPr>
        <w:tabs>
          <w:tab w:val="num" w:pos="944"/>
        </w:tabs>
        <w:ind w:left="944" w:hanging="472"/>
      </w:pPr>
      <w:rPr>
        <w:rFonts w:ascii="Times New Roman" w:hAnsi="Times New Roman" w:hint="default"/>
      </w:rPr>
    </w:lvl>
    <w:lvl w:ilvl="2" w:tplc="AF32833A">
      <w:start w:val="1"/>
      <w:numFmt w:val="bullet"/>
      <w:lvlText w:val=":"/>
      <w:lvlJc w:val="left"/>
      <w:pPr>
        <w:tabs>
          <w:tab w:val="num" w:pos="1416"/>
        </w:tabs>
        <w:ind w:left="1416" w:hanging="472"/>
      </w:pPr>
      <w:rPr>
        <w:rFonts w:ascii="Times New Roman" w:hAnsi="Times New Roman" w:hint="default"/>
      </w:rPr>
    </w:lvl>
    <w:lvl w:ilvl="3" w:tplc="E3D88CF4">
      <w:start w:val="1"/>
      <w:numFmt w:val="decimal"/>
      <w:lvlText w:val="(%4)"/>
      <w:lvlJc w:val="left"/>
      <w:pPr>
        <w:ind w:left="1440" w:hanging="360"/>
      </w:pPr>
    </w:lvl>
    <w:lvl w:ilvl="4" w:tplc="F710D432">
      <w:start w:val="1"/>
      <w:numFmt w:val="lowerLetter"/>
      <w:lvlText w:val="(%5)"/>
      <w:lvlJc w:val="left"/>
      <w:pPr>
        <w:ind w:left="1800" w:hanging="360"/>
      </w:pPr>
    </w:lvl>
    <w:lvl w:ilvl="5" w:tplc="0EBC8A38">
      <w:start w:val="1"/>
      <w:numFmt w:val="lowerRoman"/>
      <w:lvlText w:val="(%6)"/>
      <w:lvlJc w:val="left"/>
      <w:pPr>
        <w:ind w:left="2160" w:hanging="360"/>
      </w:pPr>
    </w:lvl>
    <w:lvl w:ilvl="6" w:tplc="27868F62">
      <w:start w:val="1"/>
      <w:numFmt w:val="decimal"/>
      <w:lvlText w:val="%7."/>
      <w:lvlJc w:val="left"/>
      <w:pPr>
        <w:ind w:left="2520" w:hanging="360"/>
      </w:pPr>
    </w:lvl>
    <w:lvl w:ilvl="7" w:tplc="15B2D2B6">
      <w:start w:val="1"/>
      <w:numFmt w:val="lowerLetter"/>
      <w:lvlText w:val="%8."/>
      <w:lvlJc w:val="left"/>
      <w:pPr>
        <w:ind w:left="2880" w:hanging="360"/>
      </w:pPr>
    </w:lvl>
    <w:lvl w:ilvl="8" w:tplc="1248A4A6">
      <w:start w:val="1"/>
      <w:numFmt w:val="lowerRoman"/>
      <w:lvlText w:val="%9."/>
      <w:lvlJc w:val="left"/>
      <w:pPr>
        <w:ind w:left="3240" w:hanging="360"/>
      </w:pPr>
    </w:lvl>
  </w:abstractNum>
  <w:abstractNum w:abstractNumId="8"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050B74"/>
    <w:multiLevelType w:val="hybridMultilevel"/>
    <w:tmpl w:val="423E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17338B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F743A6"/>
    <w:multiLevelType w:val="multilevel"/>
    <w:tmpl w:val="58D0B304"/>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8511DA6"/>
    <w:multiLevelType w:val="multilevel"/>
    <w:tmpl w:val="36CEDD6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4B400F83"/>
    <w:multiLevelType w:val="hybridMultilevel"/>
    <w:tmpl w:val="76284252"/>
    <w:lvl w:ilvl="0" w:tplc="E79A90D8">
      <w:start w:val="1"/>
      <w:numFmt w:val="bullet"/>
      <w:lvlText w:val="•"/>
      <w:lvlJc w:val="left"/>
      <w:pPr>
        <w:tabs>
          <w:tab w:val="num" w:pos="520"/>
        </w:tabs>
        <w:ind w:left="520" w:hanging="520"/>
      </w:pPr>
      <w:rPr>
        <w:rFonts w:ascii="Times New Roman" w:hAnsi="Times New Roman" w:hint="default"/>
      </w:rPr>
    </w:lvl>
    <w:lvl w:ilvl="1" w:tplc="545E158A">
      <w:start w:val="1"/>
      <w:numFmt w:val="bullet"/>
      <w:lvlText w:val="–"/>
      <w:lvlJc w:val="left"/>
      <w:pPr>
        <w:tabs>
          <w:tab w:val="num" w:pos="1040"/>
        </w:tabs>
        <w:ind w:left="1040" w:hanging="520"/>
      </w:pPr>
      <w:rPr>
        <w:rFonts w:ascii="Times New Roman" w:hAnsi="Times New Roman" w:hint="default"/>
      </w:rPr>
    </w:lvl>
    <w:lvl w:ilvl="2" w:tplc="C374F464">
      <w:start w:val="1"/>
      <w:numFmt w:val="bullet"/>
      <w:lvlText w:val=":"/>
      <w:lvlJc w:val="left"/>
      <w:pPr>
        <w:tabs>
          <w:tab w:val="num" w:pos="1560"/>
        </w:tabs>
        <w:ind w:left="1560" w:hanging="520"/>
      </w:pPr>
      <w:rPr>
        <w:rFonts w:ascii="Times New Roman" w:hAnsi="Times New Roman" w:hint="default"/>
      </w:rPr>
    </w:lvl>
    <w:lvl w:ilvl="3" w:tplc="3976B67E">
      <w:start w:val="1"/>
      <w:numFmt w:val="decimal"/>
      <w:lvlText w:val="(%4)"/>
      <w:lvlJc w:val="left"/>
      <w:pPr>
        <w:ind w:left="1960" w:hanging="360"/>
      </w:pPr>
    </w:lvl>
    <w:lvl w:ilvl="4" w:tplc="A950F0EC">
      <w:start w:val="1"/>
      <w:numFmt w:val="lowerLetter"/>
      <w:lvlText w:val="(%5)"/>
      <w:lvlJc w:val="left"/>
      <w:pPr>
        <w:ind w:left="2320" w:hanging="360"/>
      </w:pPr>
    </w:lvl>
    <w:lvl w:ilvl="5" w:tplc="450C6D7A">
      <w:start w:val="1"/>
      <w:numFmt w:val="lowerRoman"/>
      <w:lvlText w:val="(%6)"/>
      <w:lvlJc w:val="left"/>
      <w:pPr>
        <w:ind w:left="2680" w:hanging="360"/>
      </w:pPr>
    </w:lvl>
    <w:lvl w:ilvl="6" w:tplc="3C0291B4">
      <w:start w:val="1"/>
      <w:numFmt w:val="decimal"/>
      <w:lvlText w:val="%7."/>
      <w:lvlJc w:val="left"/>
      <w:pPr>
        <w:ind w:left="3040" w:hanging="360"/>
      </w:pPr>
    </w:lvl>
    <w:lvl w:ilvl="7" w:tplc="21562CEA">
      <w:start w:val="1"/>
      <w:numFmt w:val="lowerLetter"/>
      <w:lvlText w:val="%8."/>
      <w:lvlJc w:val="left"/>
      <w:pPr>
        <w:ind w:left="3400" w:hanging="360"/>
      </w:pPr>
    </w:lvl>
    <w:lvl w:ilvl="8" w:tplc="908A7EB0">
      <w:start w:val="1"/>
      <w:numFmt w:val="lowerRoman"/>
      <w:lvlText w:val="%9."/>
      <w:lvlJc w:val="left"/>
      <w:pPr>
        <w:ind w:left="3760" w:hanging="360"/>
      </w:pPr>
    </w:lvl>
  </w:abstractNum>
  <w:abstractNum w:abstractNumId="17" w15:restartNumberingAfterBreak="0">
    <w:nsid w:val="4E6A0636"/>
    <w:multiLevelType w:val="hybridMultilevel"/>
    <w:tmpl w:val="F1F4ABC8"/>
    <w:lvl w:ilvl="0" w:tplc="922AC1A6">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5361B71"/>
    <w:multiLevelType w:val="multilevel"/>
    <w:tmpl w:val="CE426F44"/>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C181079"/>
    <w:multiLevelType w:val="multilevel"/>
    <w:tmpl w:val="65A870CC"/>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0" w15:restartNumberingAfterBreak="0">
    <w:nsid w:val="77386FAA"/>
    <w:multiLevelType w:val="multilevel"/>
    <w:tmpl w:val="177AEA2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D082002"/>
    <w:multiLevelType w:val="hybridMultilevel"/>
    <w:tmpl w:val="FFFFFFFF"/>
    <w:lvl w:ilvl="0" w:tplc="8D185A36">
      <w:start w:val="1"/>
      <w:numFmt w:val="bullet"/>
      <w:lvlText w:val="•"/>
      <w:lvlJc w:val="left"/>
      <w:pPr>
        <w:ind w:left="284" w:hanging="284"/>
      </w:pPr>
      <w:rPr>
        <w:rFonts w:ascii="Times New Roman" w:hAnsi="Times New Roman" w:hint="default"/>
      </w:rPr>
    </w:lvl>
    <w:lvl w:ilvl="1" w:tplc="527A7AA2">
      <w:start w:val="1"/>
      <w:numFmt w:val="bullet"/>
      <w:lvlText w:val="o"/>
      <w:lvlJc w:val="left"/>
      <w:pPr>
        <w:ind w:left="1440" w:hanging="360"/>
      </w:pPr>
      <w:rPr>
        <w:rFonts w:ascii="Courier New" w:hAnsi="Courier New" w:hint="default"/>
      </w:rPr>
    </w:lvl>
    <w:lvl w:ilvl="2" w:tplc="133AD63A">
      <w:start w:val="1"/>
      <w:numFmt w:val="bullet"/>
      <w:lvlText w:val=""/>
      <w:lvlJc w:val="left"/>
      <w:pPr>
        <w:ind w:left="2160" w:hanging="360"/>
      </w:pPr>
      <w:rPr>
        <w:rFonts w:ascii="Wingdings" w:hAnsi="Wingdings" w:hint="default"/>
      </w:rPr>
    </w:lvl>
    <w:lvl w:ilvl="3" w:tplc="1EA85304">
      <w:start w:val="1"/>
      <w:numFmt w:val="bullet"/>
      <w:lvlText w:val=""/>
      <w:lvlJc w:val="left"/>
      <w:pPr>
        <w:ind w:left="2880" w:hanging="360"/>
      </w:pPr>
      <w:rPr>
        <w:rFonts w:ascii="Symbol" w:hAnsi="Symbol" w:hint="default"/>
      </w:rPr>
    </w:lvl>
    <w:lvl w:ilvl="4" w:tplc="1FDA61A6">
      <w:start w:val="1"/>
      <w:numFmt w:val="bullet"/>
      <w:lvlText w:val="o"/>
      <w:lvlJc w:val="left"/>
      <w:pPr>
        <w:ind w:left="3600" w:hanging="360"/>
      </w:pPr>
      <w:rPr>
        <w:rFonts w:ascii="Courier New" w:hAnsi="Courier New" w:hint="default"/>
      </w:rPr>
    </w:lvl>
    <w:lvl w:ilvl="5" w:tplc="8CAAF228">
      <w:start w:val="1"/>
      <w:numFmt w:val="bullet"/>
      <w:lvlText w:val=""/>
      <w:lvlJc w:val="left"/>
      <w:pPr>
        <w:ind w:left="4320" w:hanging="360"/>
      </w:pPr>
      <w:rPr>
        <w:rFonts w:ascii="Wingdings" w:hAnsi="Wingdings" w:hint="default"/>
      </w:rPr>
    </w:lvl>
    <w:lvl w:ilvl="6" w:tplc="877E750E">
      <w:start w:val="1"/>
      <w:numFmt w:val="bullet"/>
      <w:lvlText w:val=""/>
      <w:lvlJc w:val="left"/>
      <w:pPr>
        <w:ind w:left="5040" w:hanging="360"/>
      </w:pPr>
      <w:rPr>
        <w:rFonts w:ascii="Symbol" w:hAnsi="Symbol" w:hint="default"/>
      </w:rPr>
    </w:lvl>
    <w:lvl w:ilvl="7" w:tplc="23165FB2">
      <w:start w:val="1"/>
      <w:numFmt w:val="bullet"/>
      <w:lvlText w:val="o"/>
      <w:lvlJc w:val="left"/>
      <w:pPr>
        <w:ind w:left="5760" w:hanging="360"/>
      </w:pPr>
      <w:rPr>
        <w:rFonts w:ascii="Courier New" w:hAnsi="Courier New" w:hint="default"/>
      </w:rPr>
    </w:lvl>
    <w:lvl w:ilvl="8" w:tplc="CC08F1E4">
      <w:start w:val="1"/>
      <w:numFmt w:val="bullet"/>
      <w:lvlText w:val=""/>
      <w:lvlJc w:val="left"/>
      <w:pPr>
        <w:ind w:left="6480" w:hanging="360"/>
      </w:pPr>
      <w:rPr>
        <w:rFonts w:ascii="Wingdings" w:hAnsi="Wingdings" w:hint="default"/>
      </w:rPr>
    </w:lvl>
  </w:abstractNum>
  <w:abstractNum w:abstractNumId="22" w15:restartNumberingAfterBreak="0">
    <w:nsid w:val="7D6B5224"/>
    <w:multiLevelType w:val="multilevel"/>
    <w:tmpl w:val="016AC130"/>
    <w:name w:val="StandardBulletedList"/>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num w:numId="1">
    <w:abstractNumId w:val="15"/>
  </w:num>
  <w:num w:numId="2">
    <w:abstractNumId w:val="19"/>
  </w:num>
  <w:num w:numId="3">
    <w:abstractNumId w:val="10"/>
  </w:num>
  <w:num w:numId="4">
    <w:abstractNumId w:val="1"/>
  </w:num>
  <w:num w:numId="5">
    <w:abstractNumId w:val="13"/>
  </w:num>
  <w:num w:numId="6">
    <w:abstractNumId w:val="3"/>
  </w:num>
  <w:num w:numId="7">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5"/>
  </w:num>
  <w:num w:numId="9">
    <w:abstractNumId w:val="8"/>
  </w:num>
  <w:num w:numId="10">
    <w:abstractNumId w:val="4"/>
  </w:num>
  <w:num w:numId="11">
    <w:abstractNumId w:val="12"/>
  </w:num>
  <w:num w:numId="12">
    <w:abstractNumId w:val="22"/>
  </w:num>
  <w:num w:numId="1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14"/>
  </w:num>
  <w:num w:numId="17">
    <w:abstractNumId w:val="16"/>
  </w:num>
  <w:num w:numId="18">
    <w:abstractNumId w:val="20"/>
  </w:num>
  <w:num w:numId="19">
    <w:abstractNumId w:val="11"/>
  </w:num>
  <w:num w:numId="20">
    <w:abstractNumId w:val="21"/>
  </w:num>
  <w:num w:numId="21">
    <w:abstractNumId w:val="6"/>
  </w:num>
  <w:num w:numId="22">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abstractNumId w:val="0"/>
  </w:num>
  <w:num w:numId="24">
    <w:abstractNumId w:val="17"/>
  </w:num>
  <w:num w:numId="25">
    <w:abstractNumId w:val="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True"/>
    <w:docVar w:name="SecurityClassificationInHeader" w:val="False"/>
    <w:docVar w:name="SecurityDLMInHeader" w:val="False"/>
  </w:docVars>
  <w:rsids>
    <w:rsidRoot w:val="00614A81"/>
    <w:rsid w:val="0000007A"/>
    <w:rsid w:val="000001DD"/>
    <w:rsid w:val="0000025A"/>
    <w:rsid w:val="000002AE"/>
    <w:rsid w:val="00000395"/>
    <w:rsid w:val="000003A6"/>
    <w:rsid w:val="00000474"/>
    <w:rsid w:val="0000053E"/>
    <w:rsid w:val="00000595"/>
    <w:rsid w:val="00000650"/>
    <w:rsid w:val="00000856"/>
    <w:rsid w:val="00000897"/>
    <w:rsid w:val="0000096C"/>
    <w:rsid w:val="00000974"/>
    <w:rsid w:val="000009EF"/>
    <w:rsid w:val="00000AE0"/>
    <w:rsid w:val="00000B06"/>
    <w:rsid w:val="00000B73"/>
    <w:rsid w:val="00000BB5"/>
    <w:rsid w:val="00000BEC"/>
    <w:rsid w:val="00000CD7"/>
    <w:rsid w:val="00000D4D"/>
    <w:rsid w:val="00000E5F"/>
    <w:rsid w:val="00000E90"/>
    <w:rsid w:val="0000111D"/>
    <w:rsid w:val="00001233"/>
    <w:rsid w:val="00001300"/>
    <w:rsid w:val="00001475"/>
    <w:rsid w:val="00001587"/>
    <w:rsid w:val="00001596"/>
    <w:rsid w:val="0000173F"/>
    <w:rsid w:val="0000174C"/>
    <w:rsid w:val="00001909"/>
    <w:rsid w:val="000019A7"/>
    <w:rsid w:val="00001A6F"/>
    <w:rsid w:val="00001AD2"/>
    <w:rsid w:val="00001D58"/>
    <w:rsid w:val="00001E7D"/>
    <w:rsid w:val="00001F39"/>
    <w:rsid w:val="00001F6D"/>
    <w:rsid w:val="00001F83"/>
    <w:rsid w:val="00002027"/>
    <w:rsid w:val="000020EC"/>
    <w:rsid w:val="0000215C"/>
    <w:rsid w:val="000021DE"/>
    <w:rsid w:val="000021F3"/>
    <w:rsid w:val="00002206"/>
    <w:rsid w:val="00002218"/>
    <w:rsid w:val="000022CB"/>
    <w:rsid w:val="000022E1"/>
    <w:rsid w:val="0000237E"/>
    <w:rsid w:val="000023C2"/>
    <w:rsid w:val="000024A2"/>
    <w:rsid w:val="000024E1"/>
    <w:rsid w:val="000025FF"/>
    <w:rsid w:val="0000268D"/>
    <w:rsid w:val="00002921"/>
    <w:rsid w:val="00002A39"/>
    <w:rsid w:val="00002A83"/>
    <w:rsid w:val="00002AFE"/>
    <w:rsid w:val="00002C0D"/>
    <w:rsid w:val="00002D30"/>
    <w:rsid w:val="00002D79"/>
    <w:rsid w:val="00002DE2"/>
    <w:rsid w:val="00002E00"/>
    <w:rsid w:val="00002E20"/>
    <w:rsid w:val="00002EFF"/>
    <w:rsid w:val="00002F3F"/>
    <w:rsid w:val="0000314A"/>
    <w:rsid w:val="00003481"/>
    <w:rsid w:val="0000348D"/>
    <w:rsid w:val="0000350C"/>
    <w:rsid w:val="0000353C"/>
    <w:rsid w:val="000036F8"/>
    <w:rsid w:val="00003706"/>
    <w:rsid w:val="00003A8D"/>
    <w:rsid w:val="00003AA5"/>
    <w:rsid w:val="00003BC1"/>
    <w:rsid w:val="00003E40"/>
    <w:rsid w:val="00003E4A"/>
    <w:rsid w:val="00003FB0"/>
    <w:rsid w:val="000040F9"/>
    <w:rsid w:val="00004206"/>
    <w:rsid w:val="000042B0"/>
    <w:rsid w:val="000043FC"/>
    <w:rsid w:val="0000447F"/>
    <w:rsid w:val="00004493"/>
    <w:rsid w:val="000044FE"/>
    <w:rsid w:val="000045D5"/>
    <w:rsid w:val="0000460F"/>
    <w:rsid w:val="0000463A"/>
    <w:rsid w:val="000046E4"/>
    <w:rsid w:val="00004709"/>
    <w:rsid w:val="0000487A"/>
    <w:rsid w:val="0000491D"/>
    <w:rsid w:val="0000496F"/>
    <w:rsid w:val="00004997"/>
    <w:rsid w:val="00004A2A"/>
    <w:rsid w:val="00004B45"/>
    <w:rsid w:val="00004B51"/>
    <w:rsid w:val="00004C03"/>
    <w:rsid w:val="00004C0F"/>
    <w:rsid w:val="00004D97"/>
    <w:rsid w:val="00004EF9"/>
    <w:rsid w:val="000050AF"/>
    <w:rsid w:val="00005114"/>
    <w:rsid w:val="0000513D"/>
    <w:rsid w:val="00005141"/>
    <w:rsid w:val="0000524E"/>
    <w:rsid w:val="00005320"/>
    <w:rsid w:val="00005399"/>
    <w:rsid w:val="0000547B"/>
    <w:rsid w:val="0000553C"/>
    <w:rsid w:val="00005666"/>
    <w:rsid w:val="000056DA"/>
    <w:rsid w:val="00005729"/>
    <w:rsid w:val="0000588D"/>
    <w:rsid w:val="00005899"/>
    <w:rsid w:val="000058B6"/>
    <w:rsid w:val="00005A61"/>
    <w:rsid w:val="00005CB5"/>
    <w:rsid w:val="00005CBA"/>
    <w:rsid w:val="00005D22"/>
    <w:rsid w:val="00005D63"/>
    <w:rsid w:val="00005D91"/>
    <w:rsid w:val="00005E29"/>
    <w:rsid w:val="00005F3E"/>
    <w:rsid w:val="00005FAC"/>
    <w:rsid w:val="0000614C"/>
    <w:rsid w:val="00006169"/>
    <w:rsid w:val="00006217"/>
    <w:rsid w:val="0000629F"/>
    <w:rsid w:val="00006331"/>
    <w:rsid w:val="00006373"/>
    <w:rsid w:val="0000648F"/>
    <w:rsid w:val="000064DD"/>
    <w:rsid w:val="0000652A"/>
    <w:rsid w:val="0000657A"/>
    <w:rsid w:val="000066F6"/>
    <w:rsid w:val="0000672D"/>
    <w:rsid w:val="0000679C"/>
    <w:rsid w:val="0000681B"/>
    <w:rsid w:val="00006825"/>
    <w:rsid w:val="00006862"/>
    <w:rsid w:val="00006973"/>
    <w:rsid w:val="000069C6"/>
    <w:rsid w:val="00006B0F"/>
    <w:rsid w:val="00006B24"/>
    <w:rsid w:val="00006B49"/>
    <w:rsid w:val="00006B4D"/>
    <w:rsid w:val="00006BA2"/>
    <w:rsid w:val="00006E31"/>
    <w:rsid w:val="00006E8F"/>
    <w:rsid w:val="00006FE2"/>
    <w:rsid w:val="0000714B"/>
    <w:rsid w:val="00007182"/>
    <w:rsid w:val="00007248"/>
    <w:rsid w:val="000073DF"/>
    <w:rsid w:val="000073F8"/>
    <w:rsid w:val="00007509"/>
    <w:rsid w:val="000075A4"/>
    <w:rsid w:val="000075E9"/>
    <w:rsid w:val="00007725"/>
    <w:rsid w:val="00007753"/>
    <w:rsid w:val="000077DD"/>
    <w:rsid w:val="000077FE"/>
    <w:rsid w:val="00007869"/>
    <w:rsid w:val="00007875"/>
    <w:rsid w:val="0000792D"/>
    <w:rsid w:val="00007A85"/>
    <w:rsid w:val="00007A90"/>
    <w:rsid w:val="00007AD0"/>
    <w:rsid w:val="00007B59"/>
    <w:rsid w:val="00007BCB"/>
    <w:rsid w:val="00007C8D"/>
    <w:rsid w:val="00007D31"/>
    <w:rsid w:val="00007F4C"/>
    <w:rsid w:val="00007F71"/>
    <w:rsid w:val="00007FD6"/>
    <w:rsid w:val="00010011"/>
    <w:rsid w:val="0001002C"/>
    <w:rsid w:val="00010045"/>
    <w:rsid w:val="00010084"/>
    <w:rsid w:val="00010203"/>
    <w:rsid w:val="00010220"/>
    <w:rsid w:val="00010428"/>
    <w:rsid w:val="00010511"/>
    <w:rsid w:val="000105FE"/>
    <w:rsid w:val="00010629"/>
    <w:rsid w:val="00010632"/>
    <w:rsid w:val="00010678"/>
    <w:rsid w:val="00010873"/>
    <w:rsid w:val="000108F7"/>
    <w:rsid w:val="000109D2"/>
    <w:rsid w:val="00010AAB"/>
    <w:rsid w:val="00010B39"/>
    <w:rsid w:val="00010C77"/>
    <w:rsid w:val="00010E2A"/>
    <w:rsid w:val="00010F67"/>
    <w:rsid w:val="00010FFD"/>
    <w:rsid w:val="00011041"/>
    <w:rsid w:val="0001112E"/>
    <w:rsid w:val="0001114C"/>
    <w:rsid w:val="00011156"/>
    <w:rsid w:val="00011174"/>
    <w:rsid w:val="000112D7"/>
    <w:rsid w:val="00011342"/>
    <w:rsid w:val="0001138E"/>
    <w:rsid w:val="00011443"/>
    <w:rsid w:val="0001145D"/>
    <w:rsid w:val="00011501"/>
    <w:rsid w:val="00011592"/>
    <w:rsid w:val="00011638"/>
    <w:rsid w:val="00011639"/>
    <w:rsid w:val="00011690"/>
    <w:rsid w:val="00011696"/>
    <w:rsid w:val="000116C8"/>
    <w:rsid w:val="000116F2"/>
    <w:rsid w:val="00011B73"/>
    <w:rsid w:val="00011BF4"/>
    <w:rsid w:val="00011D87"/>
    <w:rsid w:val="00011E1D"/>
    <w:rsid w:val="00011EF2"/>
    <w:rsid w:val="00011F04"/>
    <w:rsid w:val="00012145"/>
    <w:rsid w:val="00012187"/>
    <w:rsid w:val="00012206"/>
    <w:rsid w:val="000123EB"/>
    <w:rsid w:val="000125B8"/>
    <w:rsid w:val="0001268A"/>
    <w:rsid w:val="000126AA"/>
    <w:rsid w:val="00012857"/>
    <w:rsid w:val="00012A53"/>
    <w:rsid w:val="00012A7A"/>
    <w:rsid w:val="00012A93"/>
    <w:rsid w:val="00012B41"/>
    <w:rsid w:val="00012DD8"/>
    <w:rsid w:val="00012DE6"/>
    <w:rsid w:val="00012EA4"/>
    <w:rsid w:val="00012FA0"/>
    <w:rsid w:val="00012FD5"/>
    <w:rsid w:val="00013045"/>
    <w:rsid w:val="00013445"/>
    <w:rsid w:val="0001349D"/>
    <w:rsid w:val="0001354B"/>
    <w:rsid w:val="0001359F"/>
    <w:rsid w:val="0001367F"/>
    <w:rsid w:val="00013792"/>
    <w:rsid w:val="00013794"/>
    <w:rsid w:val="000137D4"/>
    <w:rsid w:val="000137D6"/>
    <w:rsid w:val="000137DF"/>
    <w:rsid w:val="00013800"/>
    <w:rsid w:val="0001380E"/>
    <w:rsid w:val="0001387D"/>
    <w:rsid w:val="00013883"/>
    <w:rsid w:val="00013890"/>
    <w:rsid w:val="000139B8"/>
    <w:rsid w:val="00013A1C"/>
    <w:rsid w:val="00013A4E"/>
    <w:rsid w:val="00013A6F"/>
    <w:rsid w:val="00013B1B"/>
    <w:rsid w:val="00013B1E"/>
    <w:rsid w:val="00013BC7"/>
    <w:rsid w:val="00013C58"/>
    <w:rsid w:val="00013D06"/>
    <w:rsid w:val="00013DEC"/>
    <w:rsid w:val="00013F6D"/>
    <w:rsid w:val="00013F90"/>
    <w:rsid w:val="0001406B"/>
    <w:rsid w:val="000140F8"/>
    <w:rsid w:val="00014101"/>
    <w:rsid w:val="0001419D"/>
    <w:rsid w:val="00014208"/>
    <w:rsid w:val="00014336"/>
    <w:rsid w:val="0001455B"/>
    <w:rsid w:val="000145EB"/>
    <w:rsid w:val="0001473D"/>
    <w:rsid w:val="000147CE"/>
    <w:rsid w:val="00014843"/>
    <w:rsid w:val="0001484B"/>
    <w:rsid w:val="000149D5"/>
    <w:rsid w:val="000149F1"/>
    <w:rsid w:val="00014B1E"/>
    <w:rsid w:val="00014B48"/>
    <w:rsid w:val="00014B56"/>
    <w:rsid w:val="00014B59"/>
    <w:rsid w:val="00014C3C"/>
    <w:rsid w:val="00014C3F"/>
    <w:rsid w:val="00014C6C"/>
    <w:rsid w:val="00014CD5"/>
    <w:rsid w:val="00014D47"/>
    <w:rsid w:val="00014F6D"/>
    <w:rsid w:val="00015070"/>
    <w:rsid w:val="00015123"/>
    <w:rsid w:val="0001518C"/>
    <w:rsid w:val="000151C4"/>
    <w:rsid w:val="0001523B"/>
    <w:rsid w:val="000152C5"/>
    <w:rsid w:val="000152F3"/>
    <w:rsid w:val="00015318"/>
    <w:rsid w:val="00015476"/>
    <w:rsid w:val="00015492"/>
    <w:rsid w:val="00015496"/>
    <w:rsid w:val="00015520"/>
    <w:rsid w:val="00015643"/>
    <w:rsid w:val="00015678"/>
    <w:rsid w:val="00015710"/>
    <w:rsid w:val="00015763"/>
    <w:rsid w:val="0001577B"/>
    <w:rsid w:val="00015970"/>
    <w:rsid w:val="00015983"/>
    <w:rsid w:val="00015A68"/>
    <w:rsid w:val="00015AC3"/>
    <w:rsid w:val="00015B06"/>
    <w:rsid w:val="00015B7F"/>
    <w:rsid w:val="00015BCE"/>
    <w:rsid w:val="00015BE4"/>
    <w:rsid w:val="00015BEE"/>
    <w:rsid w:val="00015CEF"/>
    <w:rsid w:val="00015DA0"/>
    <w:rsid w:val="00015E4D"/>
    <w:rsid w:val="00015E9D"/>
    <w:rsid w:val="00016057"/>
    <w:rsid w:val="000160BC"/>
    <w:rsid w:val="0001636B"/>
    <w:rsid w:val="000163A3"/>
    <w:rsid w:val="00016429"/>
    <w:rsid w:val="000164E9"/>
    <w:rsid w:val="0001650D"/>
    <w:rsid w:val="00016520"/>
    <w:rsid w:val="000165CD"/>
    <w:rsid w:val="00016687"/>
    <w:rsid w:val="00016713"/>
    <w:rsid w:val="0001678C"/>
    <w:rsid w:val="00016887"/>
    <w:rsid w:val="000168B2"/>
    <w:rsid w:val="000168D6"/>
    <w:rsid w:val="000168F6"/>
    <w:rsid w:val="000169F6"/>
    <w:rsid w:val="00016A55"/>
    <w:rsid w:val="00016B25"/>
    <w:rsid w:val="00016C71"/>
    <w:rsid w:val="00016C8B"/>
    <w:rsid w:val="00016DA5"/>
    <w:rsid w:val="00016F8C"/>
    <w:rsid w:val="0001704F"/>
    <w:rsid w:val="0001713D"/>
    <w:rsid w:val="000172A8"/>
    <w:rsid w:val="000172AD"/>
    <w:rsid w:val="0001731E"/>
    <w:rsid w:val="00017331"/>
    <w:rsid w:val="0001734E"/>
    <w:rsid w:val="000173D4"/>
    <w:rsid w:val="00017529"/>
    <w:rsid w:val="0001775D"/>
    <w:rsid w:val="000177C9"/>
    <w:rsid w:val="00017862"/>
    <w:rsid w:val="00017984"/>
    <w:rsid w:val="00017998"/>
    <w:rsid w:val="00017B43"/>
    <w:rsid w:val="00017BC0"/>
    <w:rsid w:val="00017C06"/>
    <w:rsid w:val="00017C96"/>
    <w:rsid w:val="00017CA4"/>
    <w:rsid w:val="00017CE7"/>
    <w:rsid w:val="00017DB7"/>
    <w:rsid w:val="00017DD8"/>
    <w:rsid w:val="00017DEA"/>
    <w:rsid w:val="00017E4E"/>
    <w:rsid w:val="00017EF1"/>
    <w:rsid w:val="00017F1E"/>
    <w:rsid w:val="00017F42"/>
    <w:rsid w:val="00017FCC"/>
    <w:rsid w:val="00020130"/>
    <w:rsid w:val="00020206"/>
    <w:rsid w:val="00020292"/>
    <w:rsid w:val="000202AC"/>
    <w:rsid w:val="000202C9"/>
    <w:rsid w:val="00020311"/>
    <w:rsid w:val="000203AA"/>
    <w:rsid w:val="00020541"/>
    <w:rsid w:val="0002059D"/>
    <w:rsid w:val="0002061D"/>
    <w:rsid w:val="000206DF"/>
    <w:rsid w:val="00020719"/>
    <w:rsid w:val="0002084B"/>
    <w:rsid w:val="00020A4F"/>
    <w:rsid w:val="00020BCD"/>
    <w:rsid w:val="00020C22"/>
    <w:rsid w:val="00020D75"/>
    <w:rsid w:val="00020F10"/>
    <w:rsid w:val="00020F2C"/>
    <w:rsid w:val="00020F8B"/>
    <w:rsid w:val="00020FEE"/>
    <w:rsid w:val="0002109B"/>
    <w:rsid w:val="000210C5"/>
    <w:rsid w:val="0002113B"/>
    <w:rsid w:val="0002114B"/>
    <w:rsid w:val="000211D6"/>
    <w:rsid w:val="000211E0"/>
    <w:rsid w:val="00021444"/>
    <w:rsid w:val="0002144D"/>
    <w:rsid w:val="000214B6"/>
    <w:rsid w:val="00021541"/>
    <w:rsid w:val="000215D2"/>
    <w:rsid w:val="000215DA"/>
    <w:rsid w:val="000216A6"/>
    <w:rsid w:val="000216ED"/>
    <w:rsid w:val="000216F4"/>
    <w:rsid w:val="0002180B"/>
    <w:rsid w:val="00021908"/>
    <w:rsid w:val="00021A53"/>
    <w:rsid w:val="00021A58"/>
    <w:rsid w:val="00021B12"/>
    <w:rsid w:val="00021C7A"/>
    <w:rsid w:val="00021C84"/>
    <w:rsid w:val="00021C88"/>
    <w:rsid w:val="00021CEB"/>
    <w:rsid w:val="00021D27"/>
    <w:rsid w:val="00021D4B"/>
    <w:rsid w:val="00021E34"/>
    <w:rsid w:val="00021F77"/>
    <w:rsid w:val="00021FC5"/>
    <w:rsid w:val="00021FE4"/>
    <w:rsid w:val="000220B6"/>
    <w:rsid w:val="00022102"/>
    <w:rsid w:val="00022166"/>
    <w:rsid w:val="0002222E"/>
    <w:rsid w:val="00022295"/>
    <w:rsid w:val="00022326"/>
    <w:rsid w:val="00022443"/>
    <w:rsid w:val="00022499"/>
    <w:rsid w:val="00022501"/>
    <w:rsid w:val="00022520"/>
    <w:rsid w:val="00022648"/>
    <w:rsid w:val="00022683"/>
    <w:rsid w:val="000226BA"/>
    <w:rsid w:val="00022859"/>
    <w:rsid w:val="000228EA"/>
    <w:rsid w:val="00022BD0"/>
    <w:rsid w:val="00022ECA"/>
    <w:rsid w:val="00022F15"/>
    <w:rsid w:val="00022F83"/>
    <w:rsid w:val="00022FA3"/>
    <w:rsid w:val="00023011"/>
    <w:rsid w:val="00023017"/>
    <w:rsid w:val="0002301C"/>
    <w:rsid w:val="00023149"/>
    <w:rsid w:val="00023178"/>
    <w:rsid w:val="000232D3"/>
    <w:rsid w:val="00023314"/>
    <w:rsid w:val="00023401"/>
    <w:rsid w:val="000236A0"/>
    <w:rsid w:val="00023959"/>
    <w:rsid w:val="0002396E"/>
    <w:rsid w:val="000239BF"/>
    <w:rsid w:val="000239D9"/>
    <w:rsid w:val="00023BAC"/>
    <w:rsid w:val="00023C64"/>
    <w:rsid w:val="00023C71"/>
    <w:rsid w:val="00023C7A"/>
    <w:rsid w:val="00023CF0"/>
    <w:rsid w:val="00023D3E"/>
    <w:rsid w:val="00023E85"/>
    <w:rsid w:val="00023EE6"/>
    <w:rsid w:val="00023F1F"/>
    <w:rsid w:val="0002400F"/>
    <w:rsid w:val="0002403E"/>
    <w:rsid w:val="00024057"/>
    <w:rsid w:val="00024111"/>
    <w:rsid w:val="00024215"/>
    <w:rsid w:val="000242CF"/>
    <w:rsid w:val="000243E9"/>
    <w:rsid w:val="00024473"/>
    <w:rsid w:val="00024577"/>
    <w:rsid w:val="000245AF"/>
    <w:rsid w:val="00024682"/>
    <w:rsid w:val="000246C5"/>
    <w:rsid w:val="000246DC"/>
    <w:rsid w:val="000246F8"/>
    <w:rsid w:val="00024776"/>
    <w:rsid w:val="00024966"/>
    <w:rsid w:val="00024A0E"/>
    <w:rsid w:val="00024A54"/>
    <w:rsid w:val="00024B82"/>
    <w:rsid w:val="00024B86"/>
    <w:rsid w:val="00024E38"/>
    <w:rsid w:val="00024F6E"/>
    <w:rsid w:val="00024F97"/>
    <w:rsid w:val="00024FD4"/>
    <w:rsid w:val="000250AF"/>
    <w:rsid w:val="00025268"/>
    <w:rsid w:val="00025342"/>
    <w:rsid w:val="000253C3"/>
    <w:rsid w:val="0002545A"/>
    <w:rsid w:val="00025578"/>
    <w:rsid w:val="000255CB"/>
    <w:rsid w:val="00025656"/>
    <w:rsid w:val="000258C7"/>
    <w:rsid w:val="000258E6"/>
    <w:rsid w:val="00025A1A"/>
    <w:rsid w:val="00025AC1"/>
    <w:rsid w:val="00025C07"/>
    <w:rsid w:val="00025CB8"/>
    <w:rsid w:val="00025CD5"/>
    <w:rsid w:val="00025D89"/>
    <w:rsid w:val="00025E2C"/>
    <w:rsid w:val="00025E45"/>
    <w:rsid w:val="00025E66"/>
    <w:rsid w:val="00025EE8"/>
    <w:rsid w:val="00025F5A"/>
    <w:rsid w:val="00025F9A"/>
    <w:rsid w:val="0002604A"/>
    <w:rsid w:val="00026108"/>
    <w:rsid w:val="0002611F"/>
    <w:rsid w:val="0002613D"/>
    <w:rsid w:val="000261DC"/>
    <w:rsid w:val="000261F1"/>
    <w:rsid w:val="000262C3"/>
    <w:rsid w:val="000263AB"/>
    <w:rsid w:val="00026415"/>
    <w:rsid w:val="0002644A"/>
    <w:rsid w:val="00026521"/>
    <w:rsid w:val="0002678A"/>
    <w:rsid w:val="000267BA"/>
    <w:rsid w:val="000267E3"/>
    <w:rsid w:val="000268E2"/>
    <w:rsid w:val="00026920"/>
    <w:rsid w:val="000269EC"/>
    <w:rsid w:val="00026A46"/>
    <w:rsid w:val="00026A72"/>
    <w:rsid w:val="00026A7A"/>
    <w:rsid w:val="00026ACA"/>
    <w:rsid w:val="00026B27"/>
    <w:rsid w:val="00026B3F"/>
    <w:rsid w:val="00026BCE"/>
    <w:rsid w:val="00026BDC"/>
    <w:rsid w:val="00026BF9"/>
    <w:rsid w:val="00026CA2"/>
    <w:rsid w:val="00026CE4"/>
    <w:rsid w:val="00026CFC"/>
    <w:rsid w:val="00026DB8"/>
    <w:rsid w:val="00026E14"/>
    <w:rsid w:val="00026E3A"/>
    <w:rsid w:val="00026EA7"/>
    <w:rsid w:val="00026FEF"/>
    <w:rsid w:val="00027116"/>
    <w:rsid w:val="00027288"/>
    <w:rsid w:val="00027532"/>
    <w:rsid w:val="000275C2"/>
    <w:rsid w:val="000275CE"/>
    <w:rsid w:val="00027622"/>
    <w:rsid w:val="00027792"/>
    <w:rsid w:val="000277E3"/>
    <w:rsid w:val="00027900"/>
    <w:rsid w:val="00027970"/>
    <w:rsid w:val="0002798A"/>
    <w:rsid w:val="00027A1C"/>
    <w:rsid w:val="00027A6D"/>
    <w:rsid w:val="00027A6E"/>
    <w:rsid w:val="00027A94"/>
    <w:rsid w:val="00027D8B"/>
    <w:rsid w:val="00027EA3"/>
    <w:rsid w:val="0003017B"/>
    <w:rsid w:val="000301FA"/>
    <w:rsid w:val="00030278"/>
    <w:rsid w:val="00030305"/>
    <w:rsid w:val="00030435"/>
    <w:rsid w:val="00030472"/>
    <w:rsid w:val="000304C9"/>
    <w:rsid w:val="00030689"/>
    <w:rsid w:val="000306DA"/>
    <w:rsid w:val="000307DD"/>
    <w:rsid w:val="000307E4"/>
    <w:rsid w:val="00030950"/>
    <w:rsid w:val="0003096B"/>
    <w:rsid w:val="00030A40"/>
    <w:rsid w:val="00030A95"/>
    <w:rsid w:val="00030C47"/>
    <w:rsid w:val="00030CF8"/>
    <w:rsid w:val="00030D04"/>
    <w:rsid w:val="00030D16"/>
    <w:rsid w:val="00030EB1"/>
    <w:rsid w:val="000310CA"/>
    <w:rsid w:val="000310D1"/>
    <w:rsid w:val="00031102"/>
    <w:rsid w:val="00031255"/>
    <w:rsid w:val="00031257"/>
    <w:rsid w:val="000313CE"/>
    <w:rsid w:val="000315EF"/>
    <w:rsid w:val="00031624"/>
    <w:rsid w:val="0003185D"/>
    <w:rsid w:val="000318D4"/>
    <w:rsid w:val="000318E9"/>
    <w:rsid w:val="0003194D"/>
    <w:rsid w:val="00031985"/>
    <w:rsid w:val="00031A6F"/>
    <w:rsid w:val="00031A91"/>
    <w:rsid w:val="00031B10"/>
    <w:rsid w:val="00031C1D"/>
    <w:rsid w:val="00031C60"/>
    <w:rsid w:val="00031C80"/>
    <w:rsid w:val="00031DB6"/>
    <w:rsid w:val="00031E81"/>
    <w:rsid w:val="00031F3B"/>
    <w:rsid w:val="00031F4B"/>
    <w:rsid w:val="00031F7C"/>
    <w:rsid w:val="000320AA"/>
    <w:rsid w:val="000320E4"/>
    <w:rsid w:val="000321EF"/>
    <w:rsid w:val="000322DF"/>
    <w:rsid w:val="00032376"/>
    <w:rsid w:val="0003246B"/>
    <w:rsid w:val="000325C9"/>
    <w:rsid w:val="00032614"/>
    <w:rsid w:val="0003263A"/>
    <w:rsid w:val="00032642"/>
    <w:rsid w:val="00032717"/>
    <w:rsid w:val="00032770"/>
    <w:rsid w:val="000328D1"/>
    <w:rsid w:val="000328D4"/>
    <w:rsid w:val="00032954"/>
    <w:rsid w:val="00032AD5"/>
    <w:rsid w:val="00032AEE"/>
    <w:rsid w:val="00032B81"/>
    <w:rsid w:val="00032DDF"/>
    <w:rsid w:val="00032DF3"/>
    <w:rsid w:val="00032EB0"/>
    <w:rsid w:val="00032FC2"/>
    <w:rsid w:val="00032FC5"/>
    <w:rsid w:val="0003301B"/>
    <w:rsid w:val="000330F9"/>
    <w:rsid w:val="000331E9"/>
    <w:rsid w:val="0003327A"/>
    <w:rsid w:val="00033325"/>
    <w:rsid w:val="00033348"/>
    <w:rsid w:val="0003337C"/>
    <w:rsid w:val="000334EC"/>
    <w:rsid w:val="000334FD"/>
    <w:rsid w:val="00033573"/>
    <w:rsid w:val="000335F5"/>
    <w:rsid w:val="00033B0A"/>
    <w:rsid w:val="00033B3C"/>
    <w:rsid w:val="00033B4B"/>
    <w:rsid w:val="00033B89"/>
    <w:rsid w:val="00033C11"/>
    <w:rsid w:val="00033CF4"/>
    <w:rsid w:val="00033E5B"/>
    <w:rsid w:val="00033EE5"/>
    <w:rsid w:val="00033FF0"/>
    <w:rsid w:val="00034006"/>
    <w:rsid w:val="0003406D"/>
    <w:rsid w:val="000340B0"/>
    <w:rsid w:val="000340BD"/>
    <w:rsid w:val="000340C0"/>
    <w:rsid w:val="00034156"/>
    <w:rsid w:val="000341AF"/>
    <w:rsid w:val="000341C1"/>
    <w:rsid w:val="00034250"/>
    <w:rsid w:val="00034310"/>
    <w:rsid w:val="00034315"/>
    <w:rsid w:val="000343AB"/>
    <w:rsid w:val="0003440C"/>
    <w:rsid w:val="0003444B"/>
    <w:rsid w:val="00034614"/>
    <w:rsid w:val="00034713"/>
    <w:rsid w:val="000347D6"/>
    <w:rsid w:val="0003496B"/>
    <w:rsid w:val="00034A17"/>
    <w:rsid w:val="00034A4A"/>
    <w:rsid w:val="00034A8B"/>
    <w:rsid w:val="00034A94"/>
    <w:rsid w:val="00034B1F"/>
    <w:rsid w:val="00034BBF"/>
    <w:rsid w:val="00034C19"/>
    <w:rsid w:val="00034C2A"/>
    <w:rsid w:val="00034CDB"/>
    <w:rsid w:val="00034D61"/>
    <w:rsid w:val="00034E49"/>
    <w:rsid w:val="00034E70"/>
    <w:rsid w:val="00034E71"/>
    <w:rsid w:val="00034E80"/>
    <w:rsid w:val="0003519B"/>
    <w:rsid w:val="000352E8"/>
    <w:rsid w:val="0003537E"/>
    <w:rsid w:val="00035396"/>
    <w:rsid w:val="0003540A"/>
    <w:rsid w:val="00035414"/>
    <w:rsid w:val="00035536"/>
    <w:rsid w:val="000355D4"/>
    <w:rsid w:val="000356A5"/>
    <w:rsid w:val="00035737"/>
    <w:rsid w:val="0003573D"/>
    <w:rsid w:val="0003576A"/>
    <w:rsid w:val="0003594B"/>
    <w:rsid w:val="00035B2C"/>
    <w:rsid w:val="00035B9C"/>
    <w:rsid w:val="00035C01"/>
    <w:rsid w:val="00035C91"/>
    <w:rsid w:val="00035DA1"/>
    <w:rsid w:val="00035DE3"/>
    <w:rsid w:val="00035E12"/>
    <w:rsid w:val="00035E82"/>
    <w:rsid w:val="00035EAA"/>
    <w:rsid w:val="00035FEC"/>
    <w:rsid w:val="0003626A"/>
    <w:rsid w:val="000362EF"/>
    <w:rsid w:val="00036389"/>
    <w:rsid w:val="000363A2"/>
    <w:rsid w:val="00036470"/>
    <w:rsid w:val="00036549"/>
    <w:rsid w:val="000365BC"/>
    <w:rsid w:val="000366F2"/>
    <w:rsid w:val="00036857"/>
    <w:rsid w:val="00036863"/>
    <w:rsid w:val="000368BA"/>
    <w:rsid w:val="00036965"/>
    <w:rsid w:val="000369E6"/>
    <w:rsid w:val="00036A2E"/>
    <w:rsid w:val="00036A6D"/>
    <w:rsid w:val="00036B13"/>
    <w:rsid w:val="00036CC6"/>
    <w:rsid w:val="00036DB3"/>
    <w:rsid w:val="00036E62"/>
    <w:rsid w:val="00037011"/>
    <w:rsid w:val="0003702E"/>
    <w:rsid w:val="00037059"/>
    <w:rsid w:val="000370A9"/>
    <w:rsid w:val="000371E0"/>
    <w:rsid w:val="00037229"/>
    <w:rsid w:val="0003725B"/>
    <w:rsid w:val="00037554"/>
    <w:rsid w:val="000375A8"/>
    <w:rsid w:val="0003760E"/>
    <w:rsid w:val="0003769E"/>
    <w:rsid w:val="000376CC"/>
    <w:rsid w:val="00037721"/>
    <w:rsid w:val="00037883"/>
    <w:rsid w:val="0003789A"/>
    <w:rsid w:val="00037A35"/>
    <w:rsid w:val="00037A85"/>
    <w:rsid w:val="00037AED"/>
    <w:rsid w:val="00037B85"/>
    <w:rsid w:val="00037C84"/>
    <w:rsid w:val="00037F2B"/>
    <w:rsid w:val="00037FAC"/>
    <w:rsid w:val="00040118"/>
    <w:rsid w:val="00040132"/>
    <w:rsid w:val="00040162"/>
    <w:rsid w:val="000401DB"/>
    <w:rsid w:val="000401F5"/>
    <w:rsid w:val="00040250"/>
    <w:rsid w:val="000402ED"/>
    <w:rsid w:val="00040352"/>
    <w:rsid w:val="00040404"/>
    <w:rsid w:val="0004041D"/>
    <w:rsid w:val="00040439"/>
    <w:rsid w:val="000408BF"/>
    <w:rsid w:val="0004093E"/>
    <w:rsid w:val="0004098A"/>
    <w:rsid w:val="000409A6"/>
    <w:rsid w:val="000409AE"/>
    <w:rsid w:val="000409E9"/>
    <w:rsid w:val="00040B6C"/>
    <w:rsid w:val="00040BC2"/>
    <w:rsid w:val="00040CDA"/>
    <w:rsid w:val="00040DBC"/>
    <w:rsid w:val="00040DD7"/>
    <w:rsid w:val="00040E06"/>
    <w:rsid w:val="00040E2A"/>
    <w:rsid w:val="000411E5"/>
    <w:rsid w:val="0004140C"/>
    <w:rsid w:val="00041415"/>
    <w:rsid w:val="000414B6"/>
    <w:rsid w:val="000415C0"/>
    <w:rsid w:val="000416CE"/>
    <w:rsid w:val="00041781"/>
    <w:rsid w:val="00041B19"/>
    <w:rsid w:val="00041B29"/>
    <w:rsid w:val="00041B47"/>
    <w:rsid w:val="00041BF7"/>
    <w:rsid w:val="00041D35"/>
    <w:rsid w:val="00041DEA"/>
    <w:rsid w:val="00041F44"/>
    <w:rsid w:val="00041F5D"/>
    <w:rsid w:val="000420E0"/>
    <w:rsid w:val="0004220A"/>
    <w:rsid w:val="000422C3"/>
    <w:rsid w:val="00042425"/>
    <w:rsid w:val="000424D7"/>
    <w:rsid w:val="000425D4"/>
    <w:rsid w:val="00042666"/>
    <w:rsid w:val="000426F2"/>
    <w:rsid w:val="0004271F"/>
    <w:rsid w:val="0004273B"/>
    <w:rsid w:val="000427AE"/>
    <w:rsid w:val="00042880"/>
    <w:rsid w:val="0004288A"/>
    <w:rsid w:val="0004288D"/>
    <w:rsid w:val="0004289E"/>
    <w:rsid w:val="000429CC"/>
    <w:rsid w:val="00042A5A"/>
    <w:rsid w:val="00042A8F"/>
    <w:rsid w:val="00042B1C"/>
    <w:rsid w:val="00042BDD"/>
    <w:rsid w:val="00042C2F"/>
    <w:rsid w:val="00042D15"/>
    <w:rsid w:val="00042D80"/>
    <w:rsid w:val="00043263"/>
    <w:rsid w:val="00043279"/>
    <w:rsid w:val="00043311"/>
    <w:rsid w:val="00043350"/>
    <w:rsid w:val="00043479"/>
    <w:rsid w:val="0004348E"/>
    <w:rsid w:val="00043773"/>
    <w:rsid w:val="00043872"/>
    <w:rsid w:val="00043898"/>
    <w:rsid w:val="000438DD"/>
    <w:rsid w:val="000438EE"/>
    <w:rsid w:val="00043A2B"/>
    <w:rsid w:val="00043A76"/>
    <w:rsid w:val="00043ACD"/>
    <w:rsid w:val="00043AD7"/>
    <w:rsid w:val="00043AF7"/>
    <w:rsid w:val="00043B87"/>
    <w:rsid w:val="00043DFF"/>
    <w:rsid w:val="00043E39"/>
    <w:rsid w:val="00043F17"/>
    <w:rsid w:val="00044036"/>
    <w:rsid w:val="00044062"/>
    <w:rsid w:val="00044212"/>
    <w:rsid w:val="00044342"/>
    <w:rsid w:val="00044345"/>
    <w:rsid w:val="000444CD"/>
    <w:rsid w:val="00044652"/>
    <w:rsid w:val="000448E5"/>
    <w:rsid w:val="00044992"/>
    <w:rsid w:val="000449EC"/>
    <w:rsid w:val="00044B58"/>
    <w:rsid w:val="00044B65"/>
    <w:rsid w:val="00044C15"/>
    <w:rsid w:val="00044C73"/>
    <w:rsid w:val="00044C7E"/>
    <w:rsid w:val="00044D73"/>
    <w:rsid w:val="00044E14"/>
    <w:rsid w:val="00044E2C"/>
    <w:rsid w:val="00044E73"/>
    <w:rsid w:val="00044F27"/>
    <w:rsid w:val="00044FCC"/>
    <w:rsid w:val="00044FFA"/>
    <w:rsid w:val="0004514A"/>
    <w:rsid w:val="0004519D"/>
    <w:rsid w:val="0004522B"/>
    <w:rsid w:val="00045418"/>
    <w:rsid w:val="0004545F"/>
    <w:rsid w:val="000454DF"/>
    <w:rsid w:val="000454EA"/>
    <w:rsid w:val="00045547"/>
    <w:rsid w:val="000455AA"/>
    <w:rsid w:val="000455BD"/>
    <w:rsid w:val="00045604"/>
    <w:rsid w:val="00045654"/>
    <w:rsid w:val="00045697"/>
    <w:rsid w:val="000456B6"/>
    <w:rsid w:val="000456CF"/>
    <w:rsid w:val="000456D7"/>
    <w:rsid w:val="00045723"/>
    <w:rsid w:val="0004581A"/>
    <w:rsid w:val="00045861"/>
    <w:rsid w:val="000458FE"/>
    <w:rsid w:val="00045919"/>
    <w:rsid w:val="0004591E"/>
    <w:rsid w:val="00045B3E"/>
    <w:rsid w:val="00045BBE"/>
    <w:rsid w:val="00045C7A"/>
    <w:rsid w:val="00045CAA"/>
    <w:rsid w:val="00045D95"/>
    <w:rsid w:val="00045EE5"/>
    <w:rsid w:val="00045F07"/>
    <w:rsid w:val="000460C6"/>
    <w:rsid w:val="00046145"/>
    <w:rsid w:val="00046190"/>
    <w:rsid w:val="0004630A"/>
    <w:rsid w:val="00046340"/>
    <w:rsid w:val="0004659E"/>
    <w:rsid w:val="000465F6"/>
    <w:rsid w:val="000466D1"/>
    <w:rsid w:val="0004676C"/>
    <w:rsid w:val="000467C3"/>
    <w:rsid w:val="0004691E"/>
    <w:rsid w:val="000469AA"/>
    <w:rsid w:val="00046A81"/>
    <w:rsid w:val="00046AD5"/>
    <w:rsid w:val="00046BAF"/>
    <w:rsid w:val="00046DBD"/>
    <w:rsid w:val="00046FA0"/>
    <w:rsid w:val="00046FC0"/>
    <w:rsid w:val="00047074"/>
    <w:rsid w:val="00047147"/>
    <w:rsid w:val="00047337"/>
    <w:rsid w:val="00047407"/>
    <w:rsid w:val="0004745F"/>
    <w:rsid w:val="00047464"/>
    <w:rsid w:val="000474A9"/>
    <w:rsid w:val="00047547"/>
    <w:rsid w:val="00047593"/>
    <w:rsid w:val="0004769B"/>
    <w:rsid w:val="000476D4"/>
    <w:rsid w:val="000476FF"/>
    <w:rsid w:val="0004777B"/>
    <w:rsid w:val="00047842"/>
    <w:rsid w:val="00047AF3"/>
    <w:rsid w:val="00047AFA"/>
    <w:rsid w:val="00047AFE"/>
    <w:rsid w:val="00047D15"/>
    <w:rsid w:val="00047D4F"/>
    <w:rsid w:val="00047DA0"/>
    <w:rsid w:val="00047FC3"/>
    <w:rsid w:val="00047FC6"/>
    <w:rsid w:val="0005008D"/>
    <w:rsid w:val="000501D7"/>
    <w:rsid w:val="000502FA"/>
    <w:rsid w:val="000503D4"/>
    <w:rsid w:val="00050539"/>
    <w:rsid w:val="000505BE"/>
    <w:rsid w:val="000505CE"/>
    <w:rsid w:val="00050617"/>
    <w:rsid w:val="0005079A"/>
    <w:rsid w:val="000508F8"/>
    <w:rsid w:val="000509DA"/>
    <w:rsid w:val="00050A14"/>
    <w:rsid w:val="00050A75"/>
    <w:rsid w:val="00050A89"/>
    <w:rsid w:val="00050B30"/>
    <w:rsid w:val="00050C95"/>
    <w:rsid w:val="00050CA0"/>
    <w:rsid w:val="00050D07"/>
    <w:rsid w:val="00050F4C"/>
    <w:rsid w:val="00050F78"/>
    <w:rsid w:val="00050F9B"/>
    <w:rsid w:val="00051080"/>
    <w:rsid w:val="00051112"/>
    <w:rsid w:val="00051273"/>
    <w:rsid w:val="000512AB"/>
    <w:rsid w:val="00051346"/>
    <w:rsid w:val="000513E6"/>
    <w:rsid w:val="00051449"/>
    <w:rsid w:val="0005146C"/>
    <w:rsid w:val="000514AB"/>
    <w:rsid w:val="00051511"/>
    <w:rsid w:val="00051677"/>
    <w:rsid w:val="00051739"/>
    <w:rsid w:val="0005184C"/>
    <w:rsid w:val="00051945"/>
    <w:rsid w:val="0005197F"/>
    <w:rsid w:val="000519C9"/>
    <w:rsid w:val="000519D5"/>
    <w:rsid w:val="00051C30"/>
    <w:rsid w:val="00051D93"/>
    <w:rsid w:val="00051E9D"/>
    <w:rsid w:val="00051F4F"/>
    <w:rsid w:val="00051F75"/>
    <w:rsid w:val="00052026"/>
    <w:rsid w:val="00052041"/>
    <w:rsid w:val="0005220C"/>
    <w:rsid w:val="0005247A"/>
    <w:rsid w:val="00052573"/>
    <w:rsid w:val="000525A2"/>
    <w:rsid w:val="00052629"/>
    <w:rsid w:val="00052635"/>
    <w:rsid w:val="0005270E"/>
    <w:rsid w:val="00052796"/>
    <w:rsid w:val="000527A4"/>
    <w:rsid w:val="0005280D"/>
    <w:rsid w:val="00052A3B"/>
    <w:rsid w:val="00052A84"/>
    <w:rsid w:val="00052A97"/>
    <w:rsid w:val="00052ADE"/>
    <w:rsid w:val="00052B33"/>
    <w:rsid w:val="00052BA5"/>
    <w:rsid w:val="00052D62"/>
    <w:rsid w:val="00052EBE"/>
    <w:rsid w:val="00052EDF"/>
    <w:rsid w:val="0005300F"/>
    <w:rsid w:val="0005305F"/>
    <w:rsid w:val="00053156"/>
    <w:rsid w:val="00053280"/>
    <w:rsid w:val="0005328D"/>
    <w:rsid w:val="0005337B"/>
    <w:rsid w:val="000533BE"/>
    <w:rsid w:val="000533F7"/>
    <w:rsid w:val="00053445"/>
    <w:rsid w:val="0005349B"/>
    <w:rsid w:val="000536AC"/>
    <w:rsid w:val="00053868"/>
    <w:rsid w:val="00053921"/>
    <w:rsid w:val="000539CC"/>
    <w:rsid w:val="00053B15"/>
    <w:rsid w:val="00053B4A"/>
    <w:rsid w:val="00053C17"/>
    <w:rsid w:val="00053CA3"/>
    <w:rsid w:val="00053D9D"/>
    <w:rsid w:val="00053DA3"/>
    <w:rsid w:val="00053E57"/>
    <w:rsid w:val="00053EA5"/>
    <w:rsid w:val="0005406D"/>
    <w:rsid w:val="000540C2"/>
    <w:rsid w:val="0005429C"/>
    <w:rsid w:val="0005432F"/>
    <w:rsid w:val="00054442"/>
    <w:rsid w:val="00054628"/>
    <w:rsid w:val="00054680"/>
    <w:rsid w:val="000546C2"/>
    <w:rsid w:val="000546E0"/>
    <w:rsid w:val="00054989"/>
    <w:rsid w:val="000549D7"/>
    <w:rsid w:val="000549F9"/>
    <w:rsid w:val="00054A73"/>
    <w:rsid w:val="00054BBD"/>
    <w:rsid w:val="00054CBF"/>
    <w:rsid w:val="00054E4F"/>
    <w:rsid w:val="00054EB2"/>
    <w:rsid w:val="00054EB6"/>
    <w:rsid w:val="00054F5F"/>
    <w:rsid w:val="00054FFE"/>
    <w:rsid w:val="000550DB"/>
    <w:rsid w:val="00055282"/>
    <w:rsid w:val="000553A4"/>
    <w:rsid w:val="00055455"/>
    <w:rsid w:val="00055693"/>
    <w:rsid w:val="000556DE"/>
    <w:rsid w:val="00055710"/>
    <w:rsid w:val="00055780"/>
    <w:rsid w:val="00055785"/>
    <w:rsid w:val="00055791"/>
    <w:rsid w:val="000558B7"/>
    <w:rsid w:val="000558C8"/>
    <w:rsid w:val="00055935"/>
    <w:rsid w:val="000559FA"/>
    <w:rsid w:val="00055A9B"/>
    <w:rsid w:val="00055BB6"/>
    <w:rsid w:val="00055CAE"/>
    <w:rsid w:val="00055D1B"/>
    <w:rsid w:val="00055D55"/>
    <w:rsid w:val="00055E44"/>
    <w:rsid w:val="00055EFB"/>
    <w:rsid w:val="00055F71"/>
    <w:rsid w:val="00055F88"/>
    <w:rsid w:val="00055F94"/>
    <w:rsid w:val="00056052"/>
    <w:rsid w:val="00056148"/>
    <w:rsid w:val="00056159"/>
    <w:rsid w:val="00056254"/>
    <w:rsid w:val="00056363"/>
    <w:rsid w:val="000566A4"/>
    <w:rsid w:val="00056824"/>
    <w:rsid w:val="00056965"/>
    <w:rsid w:val="00056998"/>
    <w:rsid w:val="000569BE"/>
    <w:rsid w:val="000569D1"/>
    <w:rsid w:val="000569D8"/>
    <w:rsid w:val="000569F8"/>
    <w:rsid w:val="00056A1F"/>
    <w:rsid w:val="00056A49"/>
    <w:rsid w:val="00056B4B"/>
    <w:rsid w:val="00056BB9"/>
    <w:rsid w:val="00056CC4"/>
    <w:rsid w:val="00056CCD"/>
    <w:rsid w:val="00056CE3"/>
    <w:rsid w:val="00056E2D"/>
    <w:rsid w:val="00056F12"/>
    <w:rsid w:val="00056FA4"/>
    <w:rsid w:val="00056FA7"/>
    <w:rsid w:val="000570EE"/>
    <w:rsid w:val="00057115"/>
    <w:rsid w:val="00057138"/>
    <w:rsid w:val="00057162"/>
    <w:rsid w:val="000574F8"/>
    <w:rsid w:val="0005752C"/>
    <w:rsid w:val="00057673"/>
    <w:rsid w:val="000577FF"/>
    <w:rsid w:val="000578EF"/>
    <w:rsid w:val="00057993"/>
    <w:rsid w:val="000579A2"/>
    <w:rsid w:val="000579AC"/>
    <w:rsid w:val="000579B6"/>
    <w:rsid w:val="00057C27"/>
    <w:rsid w:val="00057C9A"/>
    <w:rsid w:val="00057DC4"/>
    <w:rsid w:val="00057EF6"/>
    <w:rsid w:val="000600A3"/>
    <w:rsid w:val="000600C8"/>
    <w:rsid w:val="000600CD"/>
    <w:rsid w:val="00060154"/>
    <w:rsid w:val="000601D8"/>
    <w:rsid w:val="00060235"/>
    <w:rsid w:val="00060483"/>
    <w:rsid w:val="000605E0"/>
    <w:rsid w:val="000606B7"/>
    <w:rsid w:val="00060707"/>
    <w:rsid w:val="000607C4"/>
    <w:rsid w:val="00060A2B"/>
    <w:rsid w:val="00060A77"/>
    <w:rsid w:val="00060B28"/>
    <w:rsid w:val="00060B54"/>
    <w:rsid w:val="00060CEA"/>
    <w:rsid w:val="00060D43"/>
    <w:rsid w:val="00060D93"/>
    <w:rsid w:val="00060DB4"/>
    <w:rsid w:val="00060E1F"/>
    <w:rsid w:val="00060E81"/>
    <w:rsid w:val="00060F3B"/>
    <w:rsid w:val="0006112F"/>
    <w:rsid w:val="000612F7"/>
    <w:rsid w:val="00061315"/>
    <w:rsid w:val="00061316"/>
    <w:rsid w:val="00061384"/>
    <w:rsid w:val="00061410"/>
    <w:rsid w:val="00061655"/>
    <w:rsid w:val="0006168B"/>
    <w:rsid w:val="00061747"/>
    <w:rsid w:val="00061777"/>
    <w:rsid w:val="000617F9"/>
    <w:rsid w:val="00061845"/>
    <w:rsid w:val="00061871"/>
    <w:rsid w:val="0006194C"/>
    <w:rsid w:val="00061C25"/>
    <w:rsid w:val="00061CBE"/>
    <w:rsid w:val="00061E7C"/>
    <w:rsid w:val="00061F24"/>
    <w:rsid w:val="00061F28"/>
    <w:rsid w:val="00061F54"/>
    <w:rsid w:val="00061FF3"/>
    <w:rsid w:val="000620BB"/>
    <w:rsid w:val="000620BF"/>
    <w:rsid w:val="00062151"/>
    <w:rsid w:val="000621B0"/>
    <w:rsid w:val="000621DD"/>
    <w:rsid w:val="000621E4"/>
    <w:rsid w:val="000622F5"/>
    <w:rsid w:val="00062333"/>
    <w:rsid w:val="0006249D"/>
    <w:rsid w:val="00062587"/>
    <w:rsid w:val="0006264E"/>
    <w:rsid w:val="000626B4"/>
    <w:rsid w:val="000626C2"/>
    <w:rsid w:val="00062779"/>
    <w:rsid w:val="0006281F"/>
    <w:rsid w:val="00062901"/>
    <w:rsid w:val="00062924"/>
    <w:rsid w:val="00062A58"/>
    <w:rsid w:val="00062AA0"/>
    <w:rsid w:val="00062B11"/>
    <w:rsid w:val="00062B51"/>
    <w:rsid w:val="00062CD6"/>
    <w:rsid w:val="00062EA1"/>
    <w:rsid w:val="00062EB6"/>
    <w:rsid w:val="00062EE3"/>
    <w:rsid w:val="00062EF0"/>
    <w:rsid w:val="00062FBB"/>
    <w:rsid w:val="00062FC2"/>
    <w:rsid w:val="0006301E"/>
    <w:rsid w:val="00063040"/>
    <w:rsid w:val="0006309A"/>
    <w:rsid w:val="000630F7"/>
    <w:rsid w:val="0006312A"/>
    <w:rsid w:val="000631B3"/>
    <w:rsid w:val="000631C4"/>
    <w:rsid w:val="0006341C"/>
    <w:rsid w:val="00063436"/>
    <w:rsid w:val="000634AB"/>
    <w:rsid w:val="000635BB"/>
    <w:rsid w:val="000635F9"/>
    <w:rsid w:val="0006384A"/>
    <w:rsid w:val="00063928"/>
    <w:rsid w:val="00063937"/>
    <w:rsid w:val="00063941"/>
    <w:rsid w:val="00063A69"/>
    <w:rsid w:val="00063DF2"/>
    <w:rsid w:val="00063EC3"/>
    <w:rsid w:val="00063EDF"/>
    <w:rsid w:val="00063EF8"/>
    <w:rsid w:val="00063F68"/>
    <w:rsid w:val="0006400B"/>
    <w:rsid w:val="00064128"/>
    <w:rsid w:val="00064157"/>
    <w:rsid w:val="0006422A"/>
    <w:rsid w:val="0006427F"/>
    <w:rsid w:val="000643DB"/>
    <w:rsid w:val="000644CC"/>
    <w:rsid w:val="0006456E"/>
    <w:rsid w:val="0006469C"/>
    <w:rsid w:val="000646D6"/>
    <w:rsid w:val="00064818"/>
    <w:rsid w:val="00064854"/>
    <w:rsid w:val="00064865"/>
    <w:rsid w:val="0006499E"/>
    <w:rsid w:val="00064A8C"/>
    <w:rsid w:val="00064AC1"/>
    <w:rsid w:val="00064AD8"/>
    <w:rsid w:val="00064B55"/>
    <w:rsid w:val="00064BCD"/>
    <w:rsid w:val="00064D01"/>
    <w:rsid w:val="00064DBB"/>
    <w:rsid w:val="00064DEB"/>
    <w:rsid w:val="00064E35"/>
    <w:rsid w:val="00064F56"/>
    <w:rsid w:val="00064FD3"/>
    <w:rsid w:val="0006501B"/>
    <w:rsid w:val="0006502D"/>
    <w:rsid w:val="0006513C"/>
    <w:rsid w:val="000651E3"/>
    <w:rsid w:val="00065291"/>
    <w:rsid w:val="0006535D"/>
    <w:rsid w:val="000654BE"/>
    <w:rsid w:val="0006574B"/>
    <w:rsid w:val="0006577D"/>
    <w:rsid w:val="000657CB"/>
    <w:rsid w:val="0006582A"/>
    <w:rsid w:val="000658A3"/>
    <w:rsid w:val="000658B4"/>
    <w:rsid w:val="000658D1"/>
    <w:rsid w:val="00065AAA"/>
    <w:rsid w:val="00065B99"/>
    <w:rsid w:val="00065C09"/>
    <w:rsid w:val="00065C9C"/>
    <w:rsid w:val="00065D3F"/>
    <w:rsid w:val="00065D47"/>
    <w:rsid w:val="00065EC6"/>
    <w:rsid w:val="00065F34"/>
    <w:rsid w:val="00065FBD"/>
    <w:rsid w:val="00065FD0"/>
    <w:rsid w:val="00066051"/>
    <w:rsid w:val="0006605A"/>
    <w:rsid w:val="0006606D"/>
    <w:rsid w:val="00066097"/>
    <w:rsid w:val="000660AE"/>
    <w:rsid w:val="0006612D"/>
    <w:rsid w:val="000661AA"/>
    <w:rsid w:val="000662A7"/>
    <w:rsid w:val="000662AE"/>
    <w:rsid w:val="00066318"/>
    <w:rsid w:val="00066380"/>
    <w:rsid w:val="0006644C"/>
    <w:rsid w:val="00066463"/>
    <w:rsid w:val="0006649C"/>
    <w:rsid w:val="000666F4"/>
    <w:rsid w:val="000668C6"/>
    <w:rsid w:val="0006692E"/>
    <w:rsid w:val="000669DC"/>
    <w:rsid w:val="00066A10"/>
    <w:rsid w:val="00066A4E"/>
    <w:rsid w:val="00066A89"/>
    <w:rsid w:val="00066B4B"/>
    <w:rsid w:val="00066BED"/>
    <w:rsid w:val="00066BF9"/>
    <w:rsid w:val="00066C46"/>
    <w:rsid w:val="00066D2E"/>
    <w:rsid w:val="00066DAA"/>
    <w:rsid w:val="00066E5A"/>
    <w:rsid w:val="00066EF4"/>
    <w:rsid w:val="00066F99"/>
    <w:rsid w:val="00066FBC"/>
    <w:rsid w:val="0006707F"/>
    <w:rsid w:val="00067171"/>
    <w:rsid w:val="00067203"/>
    <w:rsid w:val="000672D7"/>
    <w:rsid w:val="00067478"/>
    <w:rsid w:val="00067577"/>
    <w:rsid w:val="0006763F"/>
    <w:rsid w:val="000676AB"/>
    <w:rsid w:val="000676CD"/>
    <w:rsid w:val="000676F5"/>
    <w:rsid w:val="000676FE"/>
    <w:rsid w:val="000679D9"/>
    <w:rsid w:val="00067B44"/>
    <w:rsid w:val="00067BDA"/>
    <w:rsid w:val="00067BEC"/>
    <w:rsid w:val="00067D36"/>
    <w:rsid w:val="00067D51"/>
    <w:rsid w:val="00067D52"/>
    <w:rsid w:val="00067D65"/>
    <w:rsid w:val="00067DD2"/>
    <w:rsid w:val="00067E10"/>
    <w:rsid w:val="00067ED3"/>
    <w:rsid w:val="000700DB"/>
    <w:rsid w:val="000701B7"/>
    <w:rsid w:val="00070295"/>
    <w:rsid w:val="0007035B"/>
    <w:rsid w:val="000703A2"/>
    <w:rsid w:val="00070404"/>
    <w:rsid w:val="0007054B"/>
    <w:rsid w:val="00070567"/>
    <w:rsid w:val="0007056F"/>
    <w:rsid w:val="000705B1"/>
    <w:rsid w:val="000706C3"/>
    <w:rsid w:val="0007078F"/>
    <w:rsid w:val="000707E4"/>
    <w:rsid w:val="00070880"/>
    <w:rsid w:val="00070887"/>
    <w:rsid w:val="000708D7"/>
    <w:rsid w:val="00070A80"/>
    <w:rsid w:val="00070BAF"/>
    <w:rsid w:val="00070BE7"/>
    <w:rsid w:val="00070BF6"/>
    <w:rsid w:val="00070CF2"/>
    <w:rsid w:val="00070DC0"/>
    <w:rsid w:val="00070F16"/>
    <w:rsid w:val="00070FBE"/>
    <w:rsid w:val="00070FC4"/>
    <w:rsid w:val="0007108B"/>
    <w:rsid w:val="000710D4"/>
    <w:rsid w:val="000710F4"/>
    <w:rsid w:val="00071134"/>
    <w:rsid w:val="0007114C"/>
    <w:rsid w:val="00071165"/>
    <w:rsid w:val="000711A4"/>
    <w:rsid w:val="000712DF"/>
    <w:rsid w:val="00071348"/>
    <w:rsid w:val="00071417"/>
    <w:rsid w:val="00071563"/>
    <w:rsid w:val="00071577"/>
    <w:rsid w:val="000716B3"/>
    <w:rsid w:val="00071A36"/>
    <w:rsid w:val="00071B8E"/>
    <w:rsid w:val="00071B9D"/>
    <w:rsid w:val="00071D24"/>
    <w:rsid w:val="00071FD2"/>
    <w:rsid w:val="0007212F"/>
    <w:rsid w:val="000722B5"/>
    <w:rsid w:val="000725B1"/>
    <w:rsid w:val="000725C6"/>
    <w:rsid w:val="00072695"/>
    <w:rsid w:val="000727FC"/>
    <w:rsid w:val="00072941"/>
    <w:rsid w:val="0007299C"/>
    <w:rsid w:val="000729AF"/>
    <w:rsid w:val="000729DC"/>
    <w:rsid w:val="000729FA"/>
    <w:rsid w:val="000729FF"/>
    <w:rsid w:val="00072AEB"/>
    <w:rsid w:val="00072AF4"/>
    <w:rsid w:val="00072BEF"/>
    <w:rsid w:val="00072C20"/>
    <w:rsid w:val="00072CD3"/>
    <w:rsid w:val="00072CE9"/>
    <w:rsid w:val="0007301F"/>
    <w:rsid w:val="0007307B"/>
    <w:rsid w:val="00073195"/>
    <w:rsid w:val="00073228"/>
    <w:rsid w:val="0007328E"/>
    <w:rsid w:val="000732B9"/>
    <w:rsid w:val="000733D3"/>
    <w:rsid w:val="00073517"/>
    <w:rsid w:val="00073549"/>
    <w:rsid w:val="000735D7"/>
    <w:rsid w:val="0007363E"/>
    <w:rsid w:val="000737ED"/>
    <w:rsid w:val="00073993"/>
    <w:rsid w:val="00073A15"/>
    <w:rsid w:val="00073A3A"/>
    <w:rsid w:val="00073AA1"/>
    <w:rsid w:val="00073B45"/>
    <w:rsid w:val="00073B5B"/>
    <w:rsid w:val="00073E62"/>
    <w:rsid w:val="00073F5E"/>
    <w:rsid w:val="00073FC5"/>
    <w:rsid w:val="0007400F"/>
    <w:rsid w:val="000740BB"/>
    <w:rsid w:val="000740C0"/>
    <w:rsid w:val="0007431B"/>
    <w:rsid w:val="000743B3"/>
    <w:rsid w:val="00074433"/>
    <w:rsid w:val="000744E3"/>
    <w:rsid w:val="0007450F"/>
    <w:rsid w:val="000745AF"/>
    <w:rsid w:val="000746CC"/>
    <w:rsid w:val="00074761"/>
    <w:rsid w:val="00074771"/>
    <w:rsid w:val="000747FC"/>
    <w:rsid w:val="00074803"/>
    <w:rsid w:val="0007485C"/>
    <w:rsid w:val="00074885"/>
    <w:rsid w:val="000748AE"/>
    <w:rsid w:val="00074947"/>
    <w:rsid w:val="000749AB"/>
    <w:rsid w:val="00074AB6"/>
    <w:rsid w:val="00074C13"/>
    <w:rsid w:val="00074D25"/>
    <w:rsid w:val="00074FA5"/>
    <w:rsid w:val="00074FC5"/>
    <w:rsid w:val="00074FD3"/>
    <w:rsid w:val="00074FE5"/>
    <w:rsid w:val="0007500F"/>
    <w:rsid w:val="000750C3"/>
    <w:rsid w:val="00075156"/>
    <w:rsid w:val="000751B7"/>
    <w:rsid w:val="00075222"/>
    <w:rsid w:val="00075281"/>
    <w:rsid w:val="000752C7"/>
    <w:rsid w:val="000752FE"/>
    <w:rsid w:val="0007532A"/>
    <w:rsid w:val="000754DA"/>
    <w:rsid w:val="00075506"/>
    <w:rsid w:val="00075522"/>
    <w:rsid w:val="0007552D"/>
    <w:rsid w:val="00075551"/>
    <w:rsid w:val="00075596"/>
    <w:rsid w:val="00075654"/>
    <w:rsid w:val="00075805"/>
    <w:rsid w:val="0007595A"/>
    <w:rsid w:val="000759FD"/>
    <w:rsid w:val="00075A07"/>
    <w:rsid w:val="00075A1F"/>
    <w:rsid w:val="00075A84"/>
    <w:rsid w:val="00075B31"/>
    <w:rsid w:val="00075B3A"/>
    <w:rsid w:val="00075BCF"/>
    <w:rsid w:val="00075CD4"/>
    <w:rsid w:val="00075E0B"/>
    <w:rsid w:val="00075E23"/>
    <w:rsid w:val="00076058"/>
    <w:rsid w:val="00076135"/>
    <w:rsid w:val="00076195"/>
    <w:rsid w:val="000761EE"/>
    <w:rsid w:val="000762A5"/>
    <w:rsid w:val="000762F5"/>
    <w:rsid w:val="000762FF"/>
    <w:rsid w:val="000765C6"/>
    <w:rsid w:val="000765DB"/>
    <w:rsid w:val="000766A0"/>
    <w:rsid w:val="00076719"/>
    <w:rsid w:val="000768F8"/>
    <w:rsid w:val="00076BB1"/>
    <w:rsid w:val="00076C74"/>
    <w:rsid w:val="00076CF4"/>
    <w:rsid w:val="00076DD4"/>
    <w:rsid w:val="00076DF2"/>
    <w:rsid w:val="00076E41"/>
    <w:rsid w:val="00076F31"/>
    <w:rsid w:val="00076F3E"/>
    <w:rsid w:val="00076FE9"/>
    <w:rsid w:val="00077001"/>
    <w:rsid w:val="000770C9"/>
    <w:rsid w:val="000770F8"/>
    <w:rsid w:val="00077115"/>
    <w:rsid w:val="00077117"/>
    <w:rsid w:val="00077134"/>
    <w:rsid w:val="00077153"/>
    <w:rsid w:val="00077165"/>
    <w:rsid w:val="0007716A"/>
    <w:rsid w:val="0007725C"/>
    <w:rsid w:val="000772C1"/>
    <w:rsid w:val="000773D3"/>
    <w:rsid w:val="00077483"/>
    <w:rsid w:val="00077550"/>
    <w:rsid w:val="00077682"/>
    <w:rsid w:val="000777D6"/>
    <w:rsid w:val="0007784E"/>
    <w:rsid w:val="000778C2"/>
    <w:rsid w:val="000778F3"/>
    <w:rsid w:val="00077960"/>
    <w:rsid w:val="00077A52"/>
    <w:rsid w:val="00077C3B"/>
    <w:rsid w:val="00077CD7"/>
    <w:rsid w:val="00077D9A"/>
    <w:rsid w:val="00077E1F"/>
    <w:rsid w:val="00077E2A"/>
    <w:rsid w:val="00077E8A"/>
    <w:rsid w:val="00077F7D"/>
    <w:rsid w:val="0008000E"/>
    <w:rsid w:val="00080081"/>
    <w:rsid w:val="00080262"/>
    <w:rsid w:val="00080487"/>
    <w:rsid w:val="00080572"/>
    <w:rsid w:val="00080792"/>
    <w:rsid w:val="000807AA"/>
    <w:rsid w:val="0008086F"/>
    <w:rsid w:val="000809AC"/>
    <w:rsid w:val="00080A00"/>
    <w:rsid w:val="00080A2C"/>
    <w:rsid w:val="00080B2F"/>
    <w:rsid w:val="00080BB9"/>
    <w:rsid w:val="00080CA3"/>
    <w:rsid w:val="00080CE0"/>
    <w:rsid w:val="00080D43"/>
    <w:rsid w:val="00080DB6"/>
    <w:rsid w:val="00080E31"/>
    <w:rsid w:val="00080EC9"/>
    <w:rsid w:val="00080EEF"/>
    <w:rsid w:val="00081063"/>
    <w:rsid w:val="000810FC"/>
    <w:rsid w:val="00081130"/>
    <w:rsid w:val="00081248"/>
    <w:rsid w:val="00081332"/>
    <w:rsid w:val="00081404"/>
    <w:rsid w:val="0008187B"/>
    <w:rsid w:val="000818EE"/>
    <w:rsid w:val="00081BA3"/>
    <w:rsid w:val="00081DD5"/>
    <w:rsid w:val="00081DE7"/>
    <w:rsid w:val="00081E82"/>
    <w:rsid w:val="00081EAA"/>
    <w:rsid w:val="00081ECD"/>
    <w:rsid w:val="00081F25"/>
    <w:rsid w:val="00081F70"/>
    <w:rsid w:val="0008209B"/>
    <w:rsid w:val="000820B4"/>
    <w:rsid w:val="000820EA"/>
    <w:rsid w:val="0008223A"/>
    <w:rsid w:val="00082251"/>
    <w:rsid w:val="000822B2"/>
    <w:rsid w:val="000822F5"/>
    <w:rsid w:val="0008230A"/>
    <w:rsid w:val="0008243A"/>
    <w:rsid w:val="0008249D"/>
    <w:rsid w:val="000824C6"/>
    <w:rsid w:val="000826E3"/>
    <w:rsid w:val="00082794"/>
    <w:rsid w:val="0008279A"/>
    <w:rsid w:val="00082898"/>
    <w:rsid w:val="00082908"/>
    <w:rsid w:val="000829F5"/>
    <w:rsid w:val="00082A5B"/>
    <w:rsid w:val="00082A86"/>
    <w:rsid w:val="00082BF6"/>
    <w:rsid w:val="00082CC4"/>
    <w:rsid w:val="00082D8B"/>
    <w:rsid w:val="00082EA8"/>
    <w:rsid w:val="00082EB4"/>
    <w:rsid w:val="00082FBD"/>
    <w:rsid w:val="00083048"/>
    <w:rsid w:val="00083060"/>
    <w:rsid w:val="000831EE"/>
    <w:rsid w:val="000831FF"/>
    <w:rsid w:val="000832C5"/>
    <w:rsid w:val="00083382"/>
    <w:rsid w:val="000833F6"/>
    <w:rsid w:val="000834BE"/>
    <w:rsid w:val="0008351D"/>
    <w:rsid w:val="000835C1"/>
    <w:rsid w:val="00083615"/>
    <w:rsid w:val="00083641"/>
    <w:rsid w:val="000836D6"/>
    <w:rsid w:val="0008377F"/>
    <w:rsid w:val="000837F2"/>
    <w:rsid w:val="00083837"/>
    <w:rsid w:val="00083897"/>
    <w:rsid w:val="000838A6"/>
    <w:rsid w:val="000838F4"/>
    <w:rsid w:val="00083A24"/>
    <w:rsid w:val="00083CBB"/>
    <w:rsid w:val="00083CE5"/>
    <w:rsid w:val="00083CE9"/>
    <w:rsid w:val="00083E12"/>
    <w:rsid w:val="00083E4C"/>
    <w:rsid w:val="00083E8A"/>
    <w:rsid w:val="00083EC7"/>
    <w:rsid w:val="00083F31"/>
    <w:rsid w:val="00083F5D"/>
    <w:rsid w:val="00084139"/>
    <w:rsid w:val="0008434C"/>
    <w:rsid w:val="00084353"/>
    <w:rsid w:val="000843BF"/>
    <w:rsid w:val="000843DF"/>
    <w:rsid w:val="000845DA"/>
    <w:rsid w:val="0008460A"/>
    <w:rsid w:val="0008466A"/>
    <w:rsid w:val="000846B7"/>
    <w:rsid w:val="0008476B"/>
    <w:rsid w:val="0008494D"/>
    <w:rsid w:val="0008496B"/>
    <w:rsid w:val="00084A09"/>
    <w:rsid w:val="00084A7F"/>
    <w:rsid w:val="00084A8C"/>
    <w:rsid w:val="00084B84"/>
    <w:rsid w:val="00084DAC"/>
    <w:rsid w:val="00085060"/>
    <w:rsid w:val="00085583"/>
    <w:rsid w:val="00085705"/>
    <w:rsid w:val="00085840"/>
    <w:rsid w:val="0008588C"/>
    <w:rsid w:val="000859C9"/>
    <w:rsid w:val="00085A56"/>
    <w:rsid w:val="00085A70"/>
    <w:rsid w:val="00085B5E"/>
    <w:rsid w:val="00085B9A"/>
    <w:rsid w:val="00085CED"/>
    <w:rsid w:val="00085CEE"/>
    <w:rsid w:val="00085D22"/>
    <w:rsid w:val="00085D23"/>
    <w:rsid w:val="00085E3D"/>
    <w:rsid w:val="00085EE8"/>
    <w:rsid w:val="00086013"/>
    <w:rsid w:val="0008603E"/>
    <w:rsid w:val="0008607D"/>
    <w:rsid w:val="00086239"/>
    <w:rsid w:val="0008624C"/>
    <w:rsid w:val="00086320"/>
    <w:rsid w:val="00086339"/>
    <w:rsid w:val="0008635D"/>
    <w:rsid w:val="00086394"/>
    <w:rsid w:val="000864BC"/>
    <w:rsid w:val="000864EA"/>
    <w:rsid w:val="00086505"/>
    <w:rsid w:val="0008650F"/>
    <w:rsid w:val="00086536"/>
    <w:rsid w:val="00086575"/>
    <w:rsid w:val="0008658F"/>
    <w:rsid w:val="000865A4"/>
    <w:rsid w:val="000865E0"/>
    <w:rsid w:val="00086692"/>
    <w:rsid w:val="0008673A"/>
    <w:rsid w:val="00086792"/>
    <w:rsid w:val="000867C8"/>
    <w:rsid w:val="00086804"/>
    <w:rsid w:val="0008687C"/>
    <w:rsid w:val="000869BA"/>
    <w:rsid w:val="000869C8"/>
    <w:rsid w:val="00086A91"/>
    <w:rsid w:val="00086D4F"/>
    <w:rsid w:val="00086D6C"/>
    <w:rsid w:val="00086DF9"/>
    <w:rsid w:val="00086E0B"/>
    <w:rsid w:val="00086ECA"/>
    <w:rsid w:val="00086EFB"/>
    <w:rsid w:val="00086FA9"/>
    <w:rsid w:val="00087009"/>
    <w:rsid w:val="0008702D"/>
    <w:rsid w:val="00087060"/>
    <w:rsid w:val="0008706C"/>
    <w:rsid w:val="0008709B"/>
    <w:rsid w:val="0008719B"/>
    <w:rsid w:val="00087292"/>
    <w:rsid w:val="000872CB"/>
    <w:rsid w:val="000872E1"/>
    <w:rsid w:val="00087331"/>
    <w:rsid w:val="0008733C"/>
    <w:rsid w:val="00087389"/>
    <w:rsid w:val="00087409"/>
    <w:rsid w:val="0008740F"/>
    <w:rsid w:val="00087504"/>
    <w:rsid w:val="00087515"/>
    <w:rsid w:val="000875F0"/>
    <w:rsid w:val="00087605"/>
    <w:rsid w:val="0008760F"/>
    <w:rsid w:val="00087653"/>
    <w:rsid w:val="0008767B"/>
    <w:rsid w:val="0008779C"/>
    <w:rsid w:val="000877E4"/>
    <w:rsid w:val="0008780D"/>
    <w:rsid w:val="00087875"/>
    <w:rsid w:val="00087AEB"/>
    <w:rsid w:val="00087BBF"/>
    <w:rsid w:val="00087C2F"/>
    <w:rsid w:val="00087D57"/>
    <w:rsid w:val="00087E1A"/>
    <w:rsid w:val="00087EE4"/>
    <w:rsid w:val="00087FA7"/>
    <w:rsid w:val="0009023D"/>
    <w:rsid w:val="0009031D"/>
    <w:rsid w:val="0009037F"/>
    <w:rsid w:val="000903F1"/>
    <w:rsid w:val="00090490"/>
    <w:rsid w:val="00090495"/>
    <w:rsid w:val="0009055F"/>
    <w:rsid w:val="00090602"/>
    <w:rsid w:val="00090653"/>
    <w:rsid w:val="00090680"/>
    <w:rsid w:val="000906A4"/>
    <w:rsid w:val="000906DD"/>
    <w:rsid w:val="0009088A"/>
    <w:rsid w:val="000908BD"/>
    <w:rsid w:val="000908CC"/>
    <w:rsid w:val="0009096E"/>
    <w:rsid w:val="000909A1"/>
    <w:rsid w:val="00090AAB"/>
    <w:rsid w:val="00090B02"/>
    <w:rsid w:val="00090B9E"/>
    <w:rsid w:val="00090C8A"/>
    <w:rsid w:val="00090F35"/>
    <w:rsid w:val="00091014"/>
    <w:rsid w:val="00091038"/>
    <w:rsid w:val="000910BF"/>
    <w:rsid w:val="00091134"/>
    <w:rsid w:val="0009116F"/>
    <w:rsid w:val="00091445"/>
    <w:rsid w:val="000914D3"/>
    <w:rsid w:val="00091547"/>
    <w:rsid w:val="00091728"/>
    <w:rsid w:val="0009178D"/>
    <w:rsid w:val="00091899"/>
    <w:rsid w:val="0009189B"/>
    <w:rsid w:val="00091AD6"/>
    <w:rsid w:val="00091B23"/>
    <w:rsid w:val="00091BE1"/>
    <w:rsid w:val="00091D57"/>
    <w:rsid w:val="00091DC1"/>
    <w:rsid w:val="00091E67"/>
    <w:rsid w:val="00091E76"/>
    <w:rsid w:val="00091E83"/>
    <w:rsid w:val="00091EDA"/>
    <w:rsid w:val="00091FCD"/>
    <w:rsid w:val="000920B6"/>
    <w:rsid w:val="000920E3"/>
    <w:rsid w:val="00092198"/>
    <w:rsid w:val="000921B0"/>
    <w:rsid w:val="000921C1"/>
    <w:rsid w:val="000921E7"/>
    <w:rsid w:val="00092225"/>
    <w:rsid w:val="00092249"/>
    <w:rsid w:val="00092443"/>
    <w:rsid w:val="000924CB"/>
    <w:rsid w:val="00092547"/>
    <w:rsid w:val="0009267A"/>
    <w:rsid w:val="000926DF"/>
    <w:rsid w:val="00092808"/>
    <w:rsid w:val="0009280B"/>
    <w:rsid w:val="0009287F"/>
    <w:rsid w:val="000928E5"/>
    <w:rsid w:val="0009295E"/>
    <w:rsid w:val="00092966"/>
    <w:rsid w:val="000929AF"/>
    <w:rsid w:val="000929D2"/>
    <w:rsid w:val="00092AD9"/>
    <w:rsid w:val="00092BFF"/>
    <w:rsid w:val="00092C16"/>
    <w:rsid w:val="00092CBF"/>
    <w:rsid w:val="00092D2C"/>
    <w:rsid w:val="00092DB5"/>
    <w:rsid w:val="00092E1C"/>
    <w:rsid w:val="00092ED6"/>
    <w:rsid w:val="00092F3C"/>
    <w:rsid w:val="00092FE7"/>
    <w:rsid w:val="00093161"/>
    <w:rsid w:val="000931AD"/>
    <w:rsid w:val="00093375"/>
    <w:rsid w:val="00093409"/>
    <w:rsid w:val="0009344C"/>
    <w:rsid w:val="0009361E"/>
    <w:rsid w:val="00093664"/>
    <w:rsid w:val="00093689"/>
    <w:rsid w:val="00093693"/>
    <w:rsid w:val="000936B5"/>
    <w:rsid w:val="00093762"/>
    <w:rsid w:val="00093977"/>
    <w:rsid w:val="000939E7"/>
    <w:rsid w:val="00093AD2"/>
    <w:rsid w:val="00093BED"/>
    <w:rsid w:val="00093C08"/>
    <w:rsid w:val="00093CA5"/>
    <w:rsid w:val="00093D22"/>
    <w:rsid w:val="00093D92"/>
    <w:rsid w:val="00093DF9"/>
    <w:rsid w:val="00094148"/>
    <w:rsid w:val="00094158"/>
    <w:rsid w:val="000941C3"/>
    <w:rsid w:val="00094216"/>
    <w:rsid w:val="000942B3"/>
    <w:rsid w:val="000942C8"/>
    <w:rsid w:val="000942D8"/>
    <w:rsid w:val="0009444B"/>
    <w:rsid w:val="000946F3"/>
    <w:rsid w:val="0009473C"/>
    <w:rsid w:val="00094741"/>
    <w:rsid w:val="000948C3"/>
    <w:rsid w:val="000948EC"/>
    <w:rsid w:val="00094979"/>
    <w:rsid w:val="000949D1"/>
    <w:rsid w:val="00094A0B"/>
    <w:rsid w:val="00094A66"/>
    <w:rsid w:val="00094B20"/>
    <w:rsid w:val="00094BD5"/>
    <w:rsid w:val="00094BE1"/>
    <w:rsid w:val="00094BFB"/>
    <w:rsid w:val="00094C35"/>
    <w:rsid w:val="00094C44"/>
    <w:rsid w:val="00094C5E"/>
    <w:rsid w:val="00094CDF"/>
    <w:rsid w:val="00094D8E"/>
    <w:rsid w:val="00094EA4"/>
    <w:rsid w:val="00094ED8"/>
    <w:rsid w:val="00094EEB"/>
    <w:rsid w:val="00094EFE"/>
    <w:rsid w:val="00094F5E"/>
    <w:rsid w:val="00094FB3"/>
    <w:rsid w:val="0009502D"/>
    <w:rsid w:val="0009506E"/>
    <w:rsid w:val="000950B5"/>
    <w:rsid w:val="000950C3"/>
    <w:rsid w:val="0009512E"/>
    <w:rsid w:val="00095135"/>
    <w:rsid w:val="000952C0"/>
    <w:rsid w:val="000952D5"/>
    <w:rsid w:val="0009532D"/>
    <w:rsid w:val="0009539E"/>
    <w:rsid w:val="00095453"/>
    <w:rsid w:val="0009557F"/>
    <w:rsid w:val="0009562B"/>
    <w:rsid w:val="0009589C"/>
    <w:rsid w:val="00095966"/>
    <w:rsid w:val="000959D6"/>
    <w:rsid w:val="00095A6C"/>
    <w:rsid w:val="00095AF0"/>
    <w:rsid w:val="00095B5A"/>
    <w:rsid w:val="00095C07"/>
    <w:rsid w:val="00095CBD"/>
    <w:rsid w:val="00095E9A"/>
    <w:rsid w:val="00095EA0"/>
    <w:rsid w:val="00095F0A"/>
    <w:rsid w:val="0009604E"/>
    <w:rsid w:val="00096201"/>
    <w:rsid w:val="00096204"/>
    <w:rsid w:val="000962C4"/>
    <w:rsid w:val="000963C2"/>
    <w:rsid w:val="00096419"/>
    <w:rsid w:val="0009649C"/>
    <w:rsid w:val="000964C5"/>
    <w:rsid w:val="0009650F"/>
    <w:rsid w:val="00096596"/>
    <w:rsid w:val="000965FC"/>
    <w:rsid w:val="0009664C"/>
    <w:rsid w:val="0009675A"/>
    <w:rsid w:val="00096871"/>
    <w:rsid w:val="000968DC"/>
    <w:rsid w:val="0009690D"/>
    <w:rsid w:val="0009692C"/>
    <w:rsid w:val="00096962"/>
    <w:rsid w:val="00096A54"/>
    <w:rsid w:val="00096B1F"/>
    <w:rsid w:val="00096BA5"/>
    <w:rsid w:val="00096CBD"/>
    <w:rsid w:val="00096E1C"/>
    <w:rsid w:val="00096F77"/>
    <w:rsid w:val="00096FB1"/>
    <w:rsid w:val="00096FCB"/>
    <w:rsid w:val="00097138"/>
    <w:rsid w:val="000971EF"/>
    <w:rsid w:val="00097438"/>
    <w:rsid w:val="00097461"/>
    <w:rsid w:val="000974A1"/>
    <w:rsid w:val="000974C8"/>
    <w:rsid w:val="000974CF"/>
    <w:rsid w:val="0009761C"/>
    <w:rsid w:val="000976AF"/>
    <w:rsid w:val="00097872"/>
    <w:rsid w:val="00097932"/>
    <w:rsid w:val="00097969"/>
    <w:rsid w:val="00097A08"/>
    <w:rsid w:val="00097A24"/>
    <w:rsid w:val="00097AD5"/>
    <w:rsid w:val="00097B8B"/>
    <w:rsid w:val="00097C51"/>
    <w:rsid w:val="00097CFD"/>
    <w:rsid w:val="00097D01"/>
    <w:rsid w:val="00097DD3"/>
    <w:rsid w:val="000A0025"/>
    <w:rsid w:val="000A0028"/>
    <w:rsid w:val="000A00A6"/>
    <w:rsid w:val="000A01B4"/>
    <w:rsid w:val="000A01F3"/>
    <w:rsid w:val="000A03C0"/>
    <w:rsid w:val="000A03E9"/>
    <w:rsid w:val="000A04B1"/>
    <w:rsid w:val="000A0522"/>
    <w:rsid w:val="000A0596"/>
    <w:rsid w:val="000A05A4"/>
    <w:rsid w:val="000A0692"/>
    <w:rsid w:val="000A081A"/>
    <w:rsid w:val="000A082F"/>
    <w:rsid w:val="000A0B90"/>
    <w:rsid w:val="000A0C02"/>
    <w:rsid w:val="000A0F46"/>
    <w:rsid w:val="000A0F77"/>
    <w:rsid w:val="000A1026"/>
    <w:rsid w:val="000A11DC"/>
    <w:rsid w:val="000A11E0"/>
    <w:rsid w:val="000A123A"/>
    <w:rsid w:val="000A125C"/>
    <w:rsid w:val="000A1277"/>
    <w:rsid w:val="000A127E"/>
    <w:rsid w:val="000A130A"/>
    <w:rsid w:val="000A13D0"/>
    <w:rsid w:val="000A1419"/>
    <w:rsid w:val="000A1426"/>
    <w:rsid w:val="000A1465"/>
    <w:rsid w:val="000A15E0"/>
    <w:rsid w:val="000A1676"/>
    <w:rsid w:val="000A16A1"/>
    <w:rsid w:val="000A16CD"/>
    <w:rsid w:val="000A1881"/>
    <w:rsid w:val="000A18C0"/>
    <w:rsid w:val="000A1963"/>
    <w:rsid w:val="000A1964"/>
    <w:rsid w:val="000A1999"/>
    <w:rsid w:val="000A1A17"/>
    <w:rsid w:val="000A1A66"/>
    <w:rsid w:val="000A1C77"/>
    <w:rsid w:val="000A1CC9"/>
    <w:rsid w:val="000A1D67"/>
    <w:rsid w:val="000A1DE0"/>
    <w:rsid w:val="000A1E5E"/>
    <w:rsid w:val="000A1E97"/>
    <w:rsid w:val="000A1FA5"/>
    <w:rsid w:val="000A2009"/>
    <w:rsid w:val="000A2022"/>
    <w:rsid w:val="000A20EA"/>
    <w:rsid w:val="000A2391"/>
    <w:rsid w:val="000A24BE"/>
    <w:rsid w:val="000A253D"/>
    <w:rsid w:val="000A26C8"/>
    <w:rsid w:val="000A2788"/>
    <w:rsid w:val="000A27B0"/>
    <w:rsid w:val="000A28C3"/>
    <w:rsid w:val="000A28DA"/>
    <w:rsid w:val="000A28DF"/>
    <w:rsid w:val="000A28F4"/>
    <w:rsid w:val="000A2919"/>
    <w:rsid w:val="000A2943"/>
    <w:rsid w:val="000A2965"/>
    <w:rsid w:val="000A29A4"/>
    <w:rsid w:val="000A2B78"/>
    <w:rsid w:val="000A2C72"/>
    <w:rsid w:val="000A2CE0"/>
    <w:rsid w:val="000A2CFF"/>
    <w:rsid w:val="000A2D37"/>
    <w:rsid w:val="000A2E73"/>
    <w:rsid w:val="000A2EEB"/>
    <w:rsid w:val="000A2EFE"/>
    <w:rsid w:val="000A2FAF"/>
    <w:rsid w:val="000A305A"/>
    <w:rsid w:val="000A30EC"/>
    <w:rsid w:val="000A3187"/>
    <w:rsid w:val="000A3190"/>
    <w:rsid w:val="000A319D"/>
    <w:rsid w:val="000A3245"/>
    <w:rsid w:val="000A3247"/>
    <w:rsid w:val="000A32D6"/>
    <w:rsid w:val="000A341A"/>
    <w:rsid w:val="000A34F5"/>
    <w:rsid w:val="000A3542"/>
    <w:rsid w:val="000A365B"/>
    <w:rsid w:val="000A3751"/>
    <w:rsid w:val="000A3797"/>
    <w:rsid w:val="000A38ED"/>
    <w:rsid w:val="000A3904"/>
    <w:rsid w:val="000A3923"/>
    <w:rsid w:val="000A397B"/>
    <w:rsid w:val="000A3A23"/>
    <w:rsid w:val="000A3A3F"/>
    <w:rsid w:val="000A3D13"/>
    <w:rsid w:val="000A3D17"/>
    <w:rsid w:val="000A3D18"/>
    <w:rsid w:val="000A3F57"/>
    <w:rsid w:val="000A4004"/>
    <w:rsid w:val="000A400F"/>
    <w:rsid w:val="000A4090"/>
    <w:rsid w:val="000A40B3"/>
    <w:rsid w:val="000A40BC"/>
    <w:rsid w:val="000A4242"/>
    <w:rsid w:val="000A4312"/>
    <w:rsid w:val="000A4328"/>
    <w:rsid w:val="000A439C"/>
    <w:rsid w:val="000A446C"/>
    <w:rsid w:val="000A454F"/>
    <w:rsid w:val="000A4567"/>
    <w:rsid w:val="000A4682"/>
    <w:rsid w:val="000A46D2"/>
    <w:rsid w:val="000A47DA"/>
    <w:rsid w:val="000A4815"/>
    <w:rsid w:val="000A4882"/>
    <w:rsid w:val="000A48A8"/>
    <w:rsid w:val="000A4992"/>
    <w:rsid w:val="000A4A37"/>
    <w:rsid w:val="000A4BD6"/>
    <w:rsid w:val="000A4C61"/>
    <w:rsid w:val="000A4D18"/>
    <w:rsid w:val="000A4DE6"/>
    <w:rsid w:val="000A4F48"/>
    <w:rsid w:val="000A4F96"/>
    <w:rsid w:val="000A4FC3"/>
    <w:rsid w:val="000A5145"/>
    <w:rsid w:val="000A517C"/>
    <w:rsid w:val="000A51BD"/>
    <w:rsid w:val="000A5271"/>
    <w:rsid w:val="000A5277"/>
    <w:rsid w:val="000A5362"/>
    <w:rsid w:val="000A53FA"/>
    <w:rsid w:val="000A551B"/>
    <w:rsid w:val="000A5576"/>
    <w:rsid w:val="000A56FE"/>
    <w:rsid w:val="000A572E"/>
    <w:rsid w:val="000A5787"/>
    <w:rsid w:val="000A58AE"/>
    <w:rsid w:val="000A58B6"/>
    <w:rsid w:val="000A58BD"/>
    <w:rsid w:val="000A592B"/>
    <w:rsid w:val="000A5AFC"/>
    <w:rsid w:val="000A5B39"/>
    <w:rsid w:val="000A5D0F"/>
    <w:rsid w:val="000A5D6C"/>
    <w:rsid w:val="000A5D75"/>
    <w:rsid w:val="000A5DA3"/>
    <w:rsid w:val="000A5DF2"/>
    <w:rsid w:val="000A5E66"/>
    <w:rsid w:val="000A5E8E"/>
    <w:rsid w:val="000A5F43"/>
    <w:rsid w:val="000A6139"/>
    <w:rsid w:val="000A61F6"/>
    <w:rsid w:val="000A61FC"/>
    <w:rsid w:val="000A6299"/>
    <w:rsid w:val="000A6351"/>
    <w:rsid w:val="000A6383"/>
    <w:rsid w:val="000A63C0"/>
    <w:rsid w:val="000A63D5"/>
    <w:rsid w:val="000A64BB"/>
    <w:rsid w:val="000A66C6"/>
    <w:rsid w:val="000A6723"/>
    <w:rsid w:val="000A67C2"/>
    <w:rsid w:val="000A67C3"/>
    <w:rsid w:val="000A6866"/>
    <w:rsid w:val="000A6CDE"/>
    <w:rsid w:val="000A6D2A"/>
    <w:rsid w:val="000A6DC5"/>
    <w:rsid w:val="000A6E30"/>
    <w:rsid w:val="000A6E66"/>
    <w:rsid w:val="000A6E70"/>
    <w:rsid w:val="000A6F14"/>
    <w:rsid w:val="000A6F85"/>
    <w:rsid w:val="000A7057"/>
    <w:rsid w:val="000A7205"/>
    <w:rsid w:val="000A7259"/>
    <w:rsid w:val="000A72C1"/>
    <w:rsid w:val="000A7333"/>
    <w:rsid w:val="000A737C"/>
    <w:rsid w:val="000A73CA"/>
    <w:rsid w:val="000A7475"/>
    <w:rsid w:val="000A7483"/>
    <w:rsid w:val="000A74FE"/>
    <w:rsid w:val="000A757C"/>
    <w:rsid w:val="000A75C9"/>
    <w:rsid w:val="000A762E"/>
    <w:rsid w:val="000A7633"/>
    <w:rsid w:val="000A766D"/>
    <w:rsid w:val="000A767B"/>
    <w:rsid w:val="000A775A"/>
    <w:rsid w:val="000A776A"/>
    <w:rsid w:val="000A77A2"/>
    <w:rsid w:val="000A77CD"/>
    <w:rsid w:val="000A77E0"/>
    <w:rsid w:val="000A78D8"/>
    <w:rsid w:val="000A7AF7"/>
    <w:rsid w:val="000A7BD9"/>
    <w:rsid w:val="000A7CFE"/>
    <w:rsid w:val="000A7D7F"/>
    <w:rsid w:val="000A7DE8"/>
    <w:rsid w:val="000A7E00"/>
    <w:rsid w:val="000A7E79"/>
    <w:rsid w:val="000A7EB8"/>
    <w:rsid w:val="000A7F1A"/>
    <w:rsid w:val="000A7F54"/>
    <w:rsid w:val="000B0034"/>
    <w:rsid w:val="000B005A"/>
    <w:rsid w:val="000B0063"/>
    <w:rsid w:val="000B012A"/>
    <w:rsid w:val="000B0190"/>
    <w:rsid w:val="000B0218"/>
    <w:rsid w:val="000B02AE"/>
    <w:rsid w:val="000B037A"/>
    <w:rsid w:val="000B040D"/>
    <w:rsid w:val="000B04A5"/>
    <w:rsid w:val="000B0669"/>
    <w:rsid w:val="000B06DC"/>
    <w:rsid w:val="000B07F3"/>
    <w:rsid w:val="000B0A07"/>
    <w:rsid w:val="000B0ADF"/>
    <w:rsid w:val="000B0B52"/>
    <w:rsid w:val="000B0C8E"/>
    <w:rsid w:val="000B0FFF"/>
    <w:rsid w:val="000B1429"/>
    <w:rsid w:val="000B15A8"/>
    <w:rsid w:val="000B17E6"/>
    <w:rsid w:val="000B1857"/>
    <w:rsid w:val="000B189E"/>
    <w:rsid w:val="000B18FD"/>
    <w:rsid w:val="000B1AF2"/>
    <w:rsid w:val="000B1C90"/>
    <w:rsid w:val="000B1DC4"/>
    <w:rsid w:val="000B1DE8"/>
    <w:rsid w:val="000B1F66"/>
    <w:rsid w:val="000B20B0"/>
    <w:rsid w:val="000B20D0"/>
    <w:rsid w:val="000B21B0"/>
    <w:rsid w:val="000B21DD"/>
    <w:rsid w:val="000B21F7"/>
    <w:rsid w:val="000B2206"/>
    <w:rsid w:val="000B222C"/>
    <w:rsid w:val="000B2278"/>
    <w:rsid w:val="000B237E"/>
    <w:rsid w:val="000B2425"/>
    <w:rsid w:val="000B2466"/>
    <w:rsid w:val="000B249A"/>
    <w:rsid w:val="000B258F"/>
    <w:rsid w:val="000B25A0"/>
    <w:rsid w:val="000B25C6"/>
    <w:rsid w:val="000B2639"/>
    <w:rsid w:val="000B267B"/>
    <w:rsid w:val="000B271F"/>
    <w:rsid w:val="000B274C"/>
    <w:rsid w:val="000B28B4"/>
    <w:rsid w:val="000B2954"/>
    <w:rsid w:val="000B2955"/>
    <w:rsid w:val="000B29D1"/>
    <w:rsid w:val="000B2A17"/>
    <w:rsid w:val="000B2B03"/>
    <w:rsid w:val="000B2B97"/>
    <w:rsid w:val="000B2B9D"/>
    <w:rsid w:val="000B2BA6"/>
    <w:rsid w:val="000B2C0C"/>
    <w:rsid w:val="000B2C31"/>
    <w:rsid w:val="000B2DAA"/>
    <w:rsid w:val="000B2E77"/>
    <w:rsid w:val="000B2F08"/>
    <w:rsid w:val="000B2F49"/>
    <w:rsid w:val="000B2FCB"/>
    <w:rsid w:val="000B301C"/>
    <w:rsid w:val="000B3102"/>
    <w:rsid w:val="000B33BE"/>
    <w:rsid w:val="000B34B5"/>
    <w:rsid w:val="000B34C0"/>
    <w:rsid w:val="000B3665"/>
    <w:rsid w:val="000B366F"/>
    <w:rsid w:val="000B36C6"/>
    <w:rsid w:val="000B37BA"/>
    <w:rsid w:val="000B37CA"/>
    <w:rsid w:val="000B3888"/>
    <w:rsid w:val="000B394E"/>
    <w:rsid w:val="000B397F"/>
    <w:rsid w:val="000B3990"/>
    <w:rsid w:val="000B39AE"/>
    <w:rsid w:val="000B3D53"/>
    <w:rsid w:val="000B3EAC"/>
    <w:rsid w:val="000B3ED3"/>
    <w:rsid w:val="000B3F2D"/>
    <w:rsid w:val="000B3F9E"/>
    <w:rsid w:val="000B3FD4"/>
    <w:rsid w:val="000B4034"/>
    <w:rsid w:val="000B411C"/>
    <w:rsid w:val="000B415D"/>
    <w:rsid w:val="000B419D"/>
    <w:rsid w:val="000B421A"/>
    <w:rsid w:val="000B43A8"/>
    <w:rsid w:val="000B4466"/>
    <w:rsid w:val="000B44B0"/>
    <w:rsid w:val="000B454B"/>
    <w:rsid w:val="000B46AE"/>
    <w:rsid w:val="000B470B"/>
    <w:rsid w:val="000B475C"/>
    <w:rsid w:val="000B4830"/>
    <w:rsid w:val="000B48AA"/>
    <w:rsid w:val="000B48F1"/>
    <w:rsid w:val="000B4930"/>
    <w:rsid w:val="000B494F"/>
    <w:rsid w:val="000B497E"/>
    <w:rsid w:val="000B4995"/>
    <w:rsid w:val="000B4AA2"/>
    <w:rsid w:val="000B4B01"/>
    <w:rsid w:val="000B4BB0"/>
    <w:rsid w:val="000B4BD1"/>
    <w:rsid w:val="000B4C47"/>
    <w:rsid w:val="000B4C79"/>
    <w:rsid w:val="000B4D9C"/>
    <w:rsid w:val="000B4E11"/>
    <w:rsid w:val="000B4EB4"/>
    <w:rsid w:val="000B4EEB"/>
    <w:rsid w:val="000B5016"/>
    <w:rsid w:val="000B525C"/>
    <w:rsid w:val="000B5275"/>
    <w:rsid w:val="000B527C"/>
    <w:rsid w:val="000B5304"/>
    <w:rsid w:val="000B536E"/>
    <w:rsid w:val="000B53C6"/>
    <w:rsid w:val="000B5469"/>
    <w:rsid w:val="000B54AF"/>
    <w:rsid w:val="000B560E"/>
    <w:rsid w:val="000B5698"/>
    <w:rsid w:val="000B5792"/>
    <w:rsid w:val="000B57F4"/>
    <w:rsid w:val="000B57F6"/>
    <w:rsid w:val="000B5933"/>
    <w:rsid w:val="000B5A86"/>
    <w:rsid w:val="000B5A9C"/>
    <w:rsid w:val="000B5B3D"/>
    <w:rsid w:val="000B5B40"/>
    <w:rsid w:val="000B5DA9"/>
    <w:rsid w:val="000B5DAA"/>
    <w:rsid w:val="000B5E01"/>
    <w:rsid w:val="000B5F32"/>
    <w:rsid w:val="000B5FA1"/>
    <w:rsid w:val="000B605A"/>
    <w:rsid w:val="000B607F"/>
    <w:rsid w:val="000B60A1"/>
    <w:rsid w:val="000B612F"/>
    <w:rsid w:val="000B6164"/>
    <w:rsid w:val="000B6168"/>
    <w:rsid w:val="000B6220"/>
    <w:rsid w:val="000B624C"/>
    <w:rsid w:val="000B624D"/>
    <w:rsid w:val="000B62D4"/>
    <w:rsid w:val="000B63CD"/>
    <w:rsid w:val="000B64D0"/>
    <w:rsid w:val="000B6587"/>
    <w:rsid w:val="000B6746"/>
    <w:rsid w:val="000B67AE"/>
    <w:rsid w:val="000B68CC"/>
    <w:rsid w:val="000B6906"/>
    <w:rsid w:val="000B6961"/>
    <w:rsid w:val="000B69F5"/>
    <w:rsid w:val="000B6A1F"/>
    <w:rsid w:val="000B6A4C"/>
    <w:rsid w:val="000B6B20"/>
    <w:rsid w:val="000B6B77"/>
    <w:rsid w:val="000B6CEF"/>
    <w:rsid w:val="000B6E21"/>
    <w:rsid w:val="000B6E29"/>
    <w:rsid w:val="000B6E6A"/>
    <w:rsid w:val="000B6EE9"/>
    <w:rsid w:val="000B6F46"/>
    <w:rsid w:val="000B7020"/>
    <w:rsid w:val="000B7051"/>
    <w:rsid w:val="000B7070"/>
    <w:rsid w:val="000B7082"/>
    <w:rsid w:val="000B70C6"/>
    <w:rsid w:val="000B70FF"/>
    <w:rsid w:val="000B715B"/>
    <w:rsid w:val="000B71C0"/>
    <w:rsid w:val="000B730D"/>
    <w:rsid w:val="000B743C"/>
    <w:rsid w:val="000B749A"/>
    <w:rsid w:val="000B74A0"/>
    <w:rsid w:val="000B7805"/>
    <w:rsid w:val="000B783D"/>
    <w:rsid w:val="000B7864"/>
    <w:rsid w:val="000B79A8"/>
    <w:rsid w:val="000B7A4D"/>
    <w:rsid w:val="000B7B84"/>
    <w:rsid w:val="000B7CD2"/>
    <w:rsid w:val="000B7E10"/>
    <w:rsid w:val="000B7FAF"/>
    <w:rsid w:val="000B7FE7"/>
    <w:rsid w:val="000C00F5"/>
    <w:rsid w:val="000C0113"/>
    <w:rsid w:val="000C0137"/>
    <w:rsid w:val="000C0148"/>
    <w:rsid w:val="000C016A"/>
    <w:rsid w:val="000C0183"/>
    <w:rsid w:val="000C0234"/>
    <w:rsid w:val="000C0249"/>
    <w:rsid w:val="000C02D1"/>
    <w:rsid w:val="000C0420"/>
    <w:rsid w:val="000C04F0"/>
    <w:rsid w:val="000C0518"/>
    <w:rsid w:val="000C057F"/>
    <w:rsid w:val="000C0732"/>
    <w:rsid w:val="000C073B"/>
    <w:rsid w:val="000C07BB"/>
    <w:rsid w:val="000C07C4"/>
    <w:rsid w:val="000C0878"/>
    <w:rsid w:val="000C091A"/>
    <w:rsid w:val="000C09AD"/>
    <w:rsid w:val="000C09F9"/>
    <w:rsid w:val="000C0A30"/>
    <w:rsid w:val="000C0D81"/>
    <w:rsid w:val="000C0E57"/>
    <w:rsid w:val="000C0E99"/>
    <w:rsid w:val="000C0EAC"/>
    <w:rsid w:val="000C0EC2"/>
    <w:rsid w:val="000C1001"/>
    <w:rsid w:val="000C1031"/>
    <w:rsid w:val="000C104E"/>
    <w:rsid w:val="000C109D"/>
    <w:rsid w:val="000C1230"/>
    <w:rsid w:val="000C13B9"/>
    <w:rsid w:val="000C13D3"/>
    <w:rsid w:val="000C157D"/>
    <w:rsid w:val="000C15EE"/>
    <w:rsid w:val="000C1615"/>
    <w:rsid w:val="000C17E0"/>
    <w:rsid w:val="000C18FC"/>
    <w:rsid w:val="000C1925"/>
    <w:rsid w:val="000C1983"/>
    <w:rsid w:val="000C1A90"/>
    <w:rsid w:val="000C1B10"/>
    <w:rsid w:val="000C1C04"/>
    <w:rsid w:val="000C1C3A"/>
    <w:rsid w:val="000C1CC3"/>
    <w:rsid w:val="000C1D66"/>
    <w:rsid w:val="000C1D8C"/>
    <w:rsid w:val="000C1EF8"/>
    <w:rsid w:val="000C1F1C"/>
    <w:rsid w:val="000C1F2C"/>
    <w:rsid w:val="000C1FAB"/>
    <w:rsid w:val="000C1FB6"/>
    <w:rsid w:val="000C1FF0"/>
    <w:rsid w:val="000C2074"/>
    <w:rsid w:val="000C207F"/>
    <w:rsid w:val="000C213D"/>
    <w:rsid w:val="000C2154"/>
    <w:rsid w:val="000C217B"/>
    <w:rsid w:val="000C2199"/>
    <w:rsid w:val="000C2263"/>
    <w:rsid w:val="000C2297"/>
    <w:rsid w:val="000C22D2"/>
    <w:rsid w:val="000C23EA"/>
    <w:rsid w:val="000C24E5"/>
    <w:rsid w:val="000C24F0"/>
    <w:rsid w:val="000C254E"/>
    <w:rsid w:val="000C25CB"/>
    <w:rsid w:val="000C279F"/>
    <w:rsid w:val="000C27B6"/>
    <w:rsid w:val="000C27BC"/>
    <w:rsid w:val="000C2894"/>
    <w:rsid w:val="000C28FF"/>
    <w:rsid w:val="000C2AE9"/>
    <w:rsid w:val="000C2B74"/>
    <w:rsid w:val="000C2BB1"/>
    <w:rsid w:val="000C2E0E"/>
    <w:rsid w:val="000C2F4D"/>
    <w:rsid w:val="000C2FAF"/>
    <w:rsid w:val="000C2FC0"/>
    <w:rsid w:val="000C318E"/>
    <w:rsid w:val="000C33FF"/>
    <w:rsid w:val="000C349C"/>
    <w:rsid w:val="000C349D"/>
    <w:rsid w:val="000C3504"/>
    <w:rsid w:val="000C3578"/>
    <w:rsid w:val="000C366D"/>
    <w:rsid w:val="000C36A4"/>
    <w:rsid w:val="000C374B"/>
    <w:rsid w:val="000C374E"/>
    <w:rsid w:val="000C3769"/>
    <w:rsid w:val="000C38B4"/>
    <w:rsid w:val="000C391F"/>
    <w:rsid w:val="000C393B"/>
    <w:rsid w:val="000C3A4C"/>
    <w:rsid w:val="000C3C43"/>
    <w:rsid w:val="000C3D80"/>
    <w:rsid w:val="000C3E64"/>
    <w:rsid w:val="000C3E99"/>
    <w:rsid w:val="000C3F7C"/>
    <w:rsid w:val="000C3FD5"/>
    <w:rsid w:val="000C409E"/>
    <w:rsid w:val="000C40A4"/>
    <w:rsid w:val="000C412C"/>
    <w:rsid w:val="000C4145"/>
    <w:rsid w:val="000C426F"/>
    <w:rsid w:val="000C441C"/>
    <w:rsid w:val="000C4448"/>
    <w:rsid w:val="000C4512"/>
    <w:rsid w:val="000C4594"/>
    <w:rsid w:val="000C45E4"/>
    <w:rsid w:val="000C46C7"/>
    <w:rsid w:val="000C4734"/>
    <w:rsid w:val="000C4798"/>
    <w:rsid w:val="000C4848"/>
    <w:rsid w:val="000C484B"/>
    <w:rsid w:val="000C496F"/>
    <w:rsid w:val="000C49D7"/>
    <w:rsid w:val="000C49E6"/>
    <w:rsid w:val="000C4A46"/>
    <w:rsid w:val="000C4ACC"/>
    <w:rsid w:val="000C4AF4"/>
    <w:rsid w:val="000C4C13"/>
    <w:rsid w:val="000C4DBD"/>
    <w:rsid w:val="000C4E2C"/>
    <w:rsid w:val="000C4E34"/>
    <w:rsid w:val="000C4E3A"/>
    <w:rsid w:val="000C4EA1"/>
    <w:rsid w:val="000C4F7C"/>
    <w:rsid w:val="000C511F"/>
    <w:rsid w:val="000C5171"/>
    <w:rsid w:val="000C5189"/>
    <w:rsid w:val="000C51F7"/>
    <w:rsid w:val="000C5316"/>
    <w:rsid w:val="000C53E9"/>
    <w:rsid w:val="000C56DF"/>
    <w:rsid w:val="000C56EE"/>
    <w:rsid w:val="000C5704"/>
    <w:rsid w:val="000C5779"/>
    <w:rsid w:val="000C582F"/>
    <w:rsid w:val="000C584E"/>
    <w:rsid w:val="000C58C7"/>
    <w:rsid w:val="000C59DD"/>
    <w:rsid w:val="000C5BC5"/>
    <w:rsid w:val="000C5BE3"/>
    <w:rsid w:val="000C5CE3"/>
    <w:rsid w:val="000C5DD1"/>
    <w:rsid w:val="000C5F7B"/>
    <w:rsid w:val="000C5FAE"/>
    <w:rsid w:val="000C6127"/>
    <w:rsid w:val="000C6277"/>
    <w:rsid w:val="000C62FA"/>
    <w:rsid w:val="000C6443"/>
    <w:rsid w:val="000C64D1"/>
    <w:rsid w:val="000C64E0"/>
    <w:rsid w:val="000C64EA"/>
    <w:rsid w:val="000C64EC"/>
    <w:rsid w:val="000C662B"/>
    <w:rsid w:val="000C6651"/>
    <w:rsid w:val="000C6682"/>
    <w:rsid w:val="000C6820"/>
    <w:rsid w:val="000C6821"/>
    <w:rsid w:val="000C696D"/>
    <w:rsid w:val="000C69B7"/>
    <w:rsid w:val="000C6AB1"/>
    <w:rsid w:val="000C6AE4"/>
    <w:rsid w:val="000C6B2B"/>
    <w:rsid w:val="000C6B70"/>
    <w:rsid w:val="000C6C8A"/>
    <w:rsid w:val="000C6C91"/>
    <w:rsid w:val="000C6F29"/>
    <w:rsid w:val="000C703D"/>
    <w:rsid w:val="000C704C"/>
    <w:rsid w:val="000C709B"/>
    <w:rsid w:val="000C7184"/>
    <w:rsid w:val="000C71E8"/>
    <w:rsid w:val="000C72B8"/>
    <w:rsid w:val="000C737A"/>
    <w:rsid w:val="000C753C"/>
    <w:rsid w:val="000C761D"/>
    <w:rsid w:val="000C7638"/>
    <w:rsid w:val="000C7766"/>
    <w:rsid w:val="000C77A3"/>
    <w:rsid w:val="000C77B0"/>
    <w:rsid w:val="000C785C"/>
    <w:rsid w:val="000C7966"/>
    <w:rsid w:val="000C79AD"/>
    <w:rsid w:val="000C79C4"/>
    <w:rsid w:val="000C79CE"/>
    <w:rsid w:val="000C79E7"/>
    <w:rsid w:val="000C79F4"/>
    <w:rsid w:val="000C7A4E"/>
    <w:rsid w:val="000C7A75"/>
    <w:rsid w:val="000C7AF3"/>
    <w:rsid w:val="000C7B9D"/>
    <w:rsid w:val="000C7C8E"/>
    <w:rsid w:val="000C7CE4"/>
    <w:rsid w:val="000C7CE9"/>
    <w:rsid w:val="000C7D37"/>
    <w:rsid w:val="000C7DDA"/>
    <w:rsid w:val="000C7EDC"/>
    <w:rsid w:val="000C7F3A"/>
    <w:rsid w:val="000C7FC8"/>
    <w:rsid w:val="000D0205"/>
    <w:rsid w:val="000D0263"/>
    <w:rsid w:val="000D02CB"/>
    <w:rsid w:val="000D031D"/>
    <w:rsid w:val="000D0359"/>
    <w:rsid w:val="000D042D"/>
    <w:rsid w:val="000D046F"/>
    <w:rsid w:val="000D04CF"/>
    <w:rsid w:val="000D0507"/>
    <w:rsid w:val="000D07C8"/>
    <w:rsid w:val="000D0900"/>
    <w:rsid w:val="000D0950"/>
    <w:rsid w:val="000D0A19"/>
    <w:rsid w:val="000D0ADE"/>
    <w:rsid w:val="000D0AF5"/>
    <w:rsid w:val="000D0B2D"/>
    <w:rsid w:val="000D0B8C"/>
    <w:rsid w:val="000D0C7D"/>
    <w:rsid w:val="000D0CD8"/>
    <w:rsid w:val="000D0CFB"/>
    <w:rsid w:val="000D0DF6"/>
    <w:rsid w:val="000D1004"/>
    <w:rsid w:val="000D102C"/>
    <w:rsid w:val="000D105A"/>
    <w:rsid w:val="000D11E3"/>
    <w:rsid w:val="000D130E"/>
    <w:rsid w:val="000D1403"/>
    <w:rsid w:val="000D1459"/>
    <w:rsid w:val="000D14B3"/>
    <w:rsid w:val="000D1533"/>
    <w:rsid w:val="000D1547"/>
    <w:rsid w:val="000D16AE"/>
    <w:rsid w:val="000D172E"/>
    <w:rsid w:val="000D1774"/>
    <w:rsid w:val="000D17F6"/>
    <w:rsid w:val="000D187B"/>
    <w:rsid w:val="000D1A13"/>
    <w:rsid w:val="000D1A2E"/>
    <w:rsid w:val="000D1A97"/>
    <w:rsid w:val="000D1AFA"/>
    <w:rsid w:val="000D1D32"/>
    <w:rsid w:val="000D2088"/>
    <w:rsid w:val="000D20D4"/>
    <w:rsid w:val="000D20DA"/>
    <w:rsid w:val="000D216A"/>
    <w:rsid w:val="000D219E"/>
    <w:rsid w:val="000D224F"/>
    <w:rsid w:val="000D2348"/>
    <w:rsid w:val="000D240A"/>
    <w:rsid w:val="000D243B"/>
    <w:rsid w:val="000D24F8"/>
    <w:rsid w:val="000D2511"/>
    <w:rsid w:val="000D252F"/>
    <w:rsid w:val="000D2723"/>
    <w:rsid w:val="000D2862"/>
    <w:rsid w:val="000D28B6"/>
    <w:rsid w:val="000D2976"/>
    <w:rsid w:val="000D2CD8"/>
    <w:rsid w:val="000D2CDD"/>
    <w:rsid w:val="000D2D7F"/>
    <w:rsid w:val="000D2F04"/>
    <w:rsid w:val="000D3175"/>
    <w:rsid w:val="000D31E4"/>
    <w:rsid w:val="000D336B"/>
    <w:rsid w:val="000D33BE"/>
    <w:rsid w:val="000D341F"/>
    <w:rsid w:val="000D3640"/>
    <w:rsid w:val="000D3700"/>
    <w:rsid w:val="000D37E3"/>
    <w:rsid w:val="000D37F6"/>
    <w:rsid w:val="000D3824"/>
    <w:rsid w:val="000D38F1"/>
    <w:rsid w:val="000D3917"/>
    <w:rsid w:val="000D394D"/>
    <w:rsid w:val="000D39C5"/>
    <w:rsid w:val="000D39F1"/>
    <w:rsid w:val="000D3B13"/>
    <w:rsid w:val="000D3B94"/>
    <w:rsid w:val="000D3BB6"/>
    <w:rsid w:val="000D3CA5"/>
    <w:rsid w:val="000D4029"/>
    <w:rsid w:val="000D402E"/>
    <w:rsid w:val="000D412A"/>
    <w:rsid w:val="000D4216"/>
    <w:rsid w:val="000D4254"/>
    <w:rsid w:val="000D43E9"/>
    <w:rsid w:val="000D4437"/>
    <w:rsid w:val="000D448F"/>
    <w:rsid w:val="000D4517"/>
    <w:rsid w:val="000D4589"/>
    <w:rsid w:val="000D458D"/>
    <w:rsid w:val="000D461E"/>
    <w:rsid w:val="000D46B0"/>
    <w:rsid w:val="000D46EF"/>
    <w:rsid w:val="000D4754"/>
    <w:rsid w:val="000D4779"/>
    <w:rsid w:val="000D48D5"/>
    <w:rsid w:val="000D495D"/>
    <w:rsid w:val="000D4983"/>
    <w:rsid w:val="000D4984"/>
    <w:rsid w:val="000D4B61"/>
    <w:rsid w:val="000D4BBC"/>
    <w:rsid w:val="000D4C06"/>
    <w:rsid w:val="000D4C3E"/>
    <w:rsid w:val="000D4C52"/>
    <w:rsid w:val="000D4C6F"/>
    <w:rsid w:val="000D4DDB"/>
    <w:rsid w:val="000D4F28"/>
    <w:rsid w:val="000D4F84"/>
    <w:rsid w:val="000D4FA9"/>
    <w:rsid w:val="000D50BF"/>
    <w:rsid w:val="000D50C3"/>
    <w:rsid w:val="000D50C7"/>
    <w:rsid w:val="000D5221"/>
    <w:rsid w:val="000D523B"/>
    <w:rsid w:val="000D5330"/>
    <w:rsid w:val="000D5506"/>
    <w:rsid w:val="000D557A"/>
    <w:rsid w:val="000D577B"/>
    <w:rsid w:val="000D57EC"/>
    <w:rsid w:val="000D580C"/>
    <w:rsid w:val="000D595A"/>
    <w:rsid w:val="000D5A52"/>
    <w:rsid w:val="000D5A98"/>
    <w:rsid w:val="000D5B55"/>
    <w:rsid w:val="000D5BAB"/>
    <w:rsid w:val="000D5C1F"/>
    <w:rsid w:val="000D5C4C"/>
    <w:rsid w:val="000D5F69"/>
    <w:rsid w:val="000D5FD7"/>
    <w:rsid w:val="000D6060"/>
    <w:rsid w:val="000D6243"/>
    <w:rsid w:val="000D63A5"/>
    <w:rsid w:val="000D6403"/>
    <w:rsid w:val="000D6419"/>
    <w:rsid w:val="000D6430"/>
    <w:rsid w:val="000D6589"/>
    <w:rsid w:val="000D6594"/>
    <w:rsid w:val="000D668A"/>
    <w:rsid w:val="000D66AB"/>
    <w:rsid w:val="000D66E2"/>
    <w:rsid w:val="000D66E6"/>
    <w:rsid w:val="000D6753"/>
    <w:rsid w:val="000D68CA"/>
    <w:rsid w:val="000D6A3C"/>
    <w:rsid w:val="000D6AF5"/>
    <w:rsid w:val="000D6B44"/>
    <w:rsid w:val="000D6B53"/>
    <w:rsid w:val="000D6B9D"/>
    <w:rsid w:val="000D6C96"/>
    <w:rsid w:val="000D6CF4"/>
    <w:rsid w:val="000D6D57"/>
    <w:rsid w:val="000D6DE4"/>
    <w:rsid w:val="000D6DF5"/>
    <w:rsid w:val="000D6DF6"/>
    <w:rsid w:val="000D6E79"/>
    <w:rsid w:val="000D70D3"/>
    <w:rsid w:val="000D717B"/>
    <w:rsid w:val="000D71CC"/>
    <w:rsid w:val="000D7310"/>
    <w:rsid w:val="000D7368"/>
    <w:rsid w:val="000D740D"/>
    <w:rsid w:val="000D7457"/>
    <w:rsid w:val="000D7582"/>
    <w:rsid w:val="000D75CD"/>
    <w:rsid w:val="000D7628"/>
    <w:rsid w:val="000D769D"/>
    <w:rsid w:val="000D76DF"/>
    <w:rsid w:val="000D772C"/>
    <w:rsid w:val="000D7741"/>
    <w:rsid w:val="000D77CD"/>
    <w:rsid w:val="000D77E3"/>
    <w:rsid w:val="000D7818"/>
    <w:rsid w:val="000D7936"/>
    <w:rsid w:val="000D7949"/>
    <w:rsid w:val="000D79BA"/>
    <w:rsid w:val="000D7BAE"/>
    <w:rsid w:val="000D7BDF"/>
    <w:rsid w:val="000D7C78"/>
    <w:rsid w:val="000D7DAE"/>
    <w:rsid w:val="000D7DCE"/>
    <w:rsid w:val="000D7DD6"/>
    <w:rsid w:val="000D7E6A"/>
    <w:rsid w:val="000D7F68"/>
    <w:rsid w:val="000D7FC1"/>
    <w:rsid w:val="000D7FC3"/>
    <w:rsid w:val="000E00BA"/>
    <w:rsid w:val="000E0228"/>
    <w:rsid w:val="000E04E7"/>
    <w:rsid w:val="000E0593"/>
    <w:rsid w:val="000E05D9"/>
    <w:rsid w:val="000E05FA"/>
    <w:rsid w:val="000E0798"/>
    <w:rsid w:val="000E08A8"/>
    <w:rsid w:val="000E08FF"/>
    <w:rsid w:val="000E0A28"/>
    <w:rsid w:val="000E0A4B"/>
    <w:rsid w:val="000E0A78"/>
    <w:rsid w:val="000E0BEA"/>
    <w:rsid w:val="000E0C9F"/>
    <w:rsid w:val="000E0D94"/>
    <w:rsid w:val="000E0E53"/>
    <w:rsid w:val="000E0F49"/>
    <w:rsid w:val="000E0FD0"/>
    <w:rsid w:val="000E106C"/>
    <w:rsid w:val="000E10A2"/>
    <w:rsid w:val="000E10B6"/>
    <w:rsid w:val="000E11C0"/>
    <w:rsid w:val="000E12B4"/>
    <w:rsid w:val="000E1392"/>
    <w:rsid w:val="000E13CB"/>
    <w:rsid w:val="000E143D"/>
    <w:rsid w:val="000E15F5"/>
    <w:rsid w:val="000E15FB"/>
    <w:rsid w:val="000E17FA"/>
    <w:rsid w:val="000E1809"/>
    <w:rsid w:val="000E1883"/>
    <w:rsid w:val="000E19FB"/>
    <w:rsid w:val="000E1C00"/>
    <w:rsid w:val="000E1CD0"/>
    <w:rsid w:val="000E1DF8"/>
    <w:rsid w:val="000E1F16"/>
    <w:rsid w:val="000E1F75"/>
    <w:rsid w:val="000E1F95"/>
    <w:rsid w:val="000E1FEE"/>
    <w:rsid w:val="000E210D"/>
    <w:rsid w:val="000E212C"/>
    <w:rsid w:val="000E214A"/>
    <w:rsid w:val="000E21AA"/>
    <w:rsid w:val="000E2206"/>
    <w:rsid w:val="000E22D9"/>
    <w:rsid w:val="000E252F"/>
    <w:rsid w:val="000E267B"/>
    <w:rsid w:val="000E297A"/>
    <w:rsid w:val="000E2A1F"/>
    <w:rsid w:val="000E2AB6"/>
    <w:rsid w:val="000E2B88"/>
    <w:rsid w:val="000E2BB7"/>
    <w:rsid w:val="000E2C6E"/>
    <w:rsid w:val="000E2CA1"/>
    <w:rsid w:val="000E2D92"/>
    <w:rsid w:val="000E2E5A"/>
    <w:rsid w:val="000E2E92"/>
    <w:rsid w:val="000E2EF7"/>
    <w:rsid w:val="000E2F14"/>
    <w:rsid w:val="000E328E"/>
    <w:rsid w:val="000E3372"/>
    <w:rsid w:val="000E35E6"/>
    <w:rsid w:val="000E3600"/>
    <w:rsid w:val="000E3772"/>
    <w:rsid w:val="000E3836"/>
    <w:rsid w:val="000E389A"/>
    <w:rsid w:val="000E389E"/>
    <w:rsid w:val="000E3A13"/>
    <w:rsid w:val="000E3E26"/>
    <w:rsid w:val="000E3E94"/>
    <w:rsid w:val="000E3ED5"/>
    <w:rsid w:val="000E3FD2"/>
    <w:rsid w:val="000E40A2"/>
    <w:rsid w:val="000E418C"/>
    <w:rsid w:val="000E41D1"/>
    <w:rsid w:val="000E42DC"/>
    <w:rsid w:val="000E42F8"/>
    <w:rsid w:val="000E440E"/>
    <w:rsid w:val="000E4507"/>
    <w:rsid w:val="000E4549"/>
    <w:rsid w:val="000E45B7"/>
    <w:rsid w:val="000E4634"/>
    <w:rsid w:val="000E46C2"/>
    <w:rsid w:val="000E472B"/>
    <w:rsid w:val="000E4814"/>
    <w:rsid w:val="000E4B89"/>
    <w:rsid w:val="000E4BA0"/>
    <w:rsid w:val="000E4D08"/>
    <w:rsid w:val="000E4D74"/>
    <w:rsid w:val="000E4E7E"/>
    <w:rsid w:val="000E4FD7"/>
    <w:rsid w:val="000E4FF0"/>
    <w:rsid w:val="000E5005"/>
    <w:rsid w:val="000E500D"/>
    <w:rsid w:val="000E50E2"/>
    <w:rsid w:val="000E5171"/>
    <w:rsid w:val="000E51C1"/>
    <w:rsid w:val="000E5211"/>
    <w:rsid w:val="000E529F"/>
    <w:rsid w:val="000E52C2"/>
    <w:rsid w:val="000E5392"/>
    <w:rsid w:val="000E53AD"/>
    <w:rsid w:val="000E5467"/>
    <w:rsid w:val="000E54FA"/>
    <w:rsid w:val="000E5561"/>
    <w:rsid w:val="000E55FE"/>
    <w:rsid w:val="000E5673"/>
    <w:rsid w:val="000E567E"/>
    <w:rsid w:val="000E575A"/>
    <w:rsid w:val="000E57A2"/>
    <w:rsid w:val="000E57C7"/>
    <w:rsid w:val="000E594C"/>
    <w:rsid w:val="000E5A3D"/>
    <w:rsid w:val="000E5AE7"/>
    <w:rsid w:val="000E5B12"/>
    <w:rsid w:val="000E5B17"/>
    <w:rsid w:val="000E5B95"/>
    <w:rsid w:val="000E5D68"/>
    <w:rsid w:val="000E5DE1"/>
    <w:rsid w:val="000E5F03"/>
    <w:rsid w:val="000E6020"/>
    <w:rsid w:val="000E6072"/>
    <w:rsid w:val="000E609A"/>
    <w:rsid w:val="000E60EF"/>
    <w:rsid w:val="000E60FC"/>
    <w:rsid w:val="000E6122"/>
    <w:rsid w:val="000E61D2"/>
    <w:rsid w:val="000E6456"/>
    <w:rsid w:val="000E6491"/>
    <w:rsid w:val="000E6508"/>
    <w:rsid w:val="000E6681"/>
    <w:rsid w:val="000E6683"/>
    <w:rsid w:val="000E680B"/>
    <w:rsid w:val="000E6825"/>
    <w:rsid w:val="000E68BD"/>
    <w:rsid w:val="000E68E7"/>
    <w:rsid w:val="000E69B2"/>
    <w:rsid w:val="000E69F7"/>
    <w:rsid w:val="000E6A8E"/>
    <w:rsid w:val="000E6AC2"/>
    <w:rsid w:val="000E6B85"/>
    <w:rsid w:val="000E6C48"/>
    <w:rsid w:val="000E6EE5"/>
    <w:rsid w:val="000E6F28"/>
    <w:rsid w:val="000E6F88"/>
    <w:rsid w:val="000E708A"/>
    <w:rsid w:val="000E70CC"/>
    <w:rsid w:val="000E733B"/>
    <w:rsid w:val="000E735F"/>
    <w:rsid w:val="000E73B2"/>
    <w:rsid w:val="000E73FB"/>
    <w:rsid w:val="000E755F"/>
    <w:rsid w:val="000E764D"/>
    <w:rsid w:val="000E77D8"/>
    <w:rsid w:val="000E77EE"/>
    <w:rsid w:val="000E7843"/>
    <w:rsid w:val="000E78A6"/>
    <w:rsid w:val="000E78CC"/>
    <w:rsid w:val="000E7904"/>
    <w:rsid w:val="000E7924"/>
    <w:rsid w:val="000E7A04"/>
    <w:rsid w:val="000E7B7E"/>
    <w:rsid w:val="000E7C7C"/>
    <w:rsid w:val="000E7E21"/>
    <w:rsid w:val="000E7E6B"/>
    <w:rsid w:val="000E7EF5"/>
    <w:rsid w:val="000E7F72"/>
    <w:rsid w:val="000F001B"/>
    <w:rsid w:val="000F00E8"/>
    <w:rsid w:val="000F00E9"/>
    <w:rsid w:val="000F0124"/>
    <w:rsid w:val="000F0148"/>
    <w:rsid w:val="000F01B0"/>
    <w:rsid w:val="000F01ED"/>
    <w:rsid w:val="000F03C9"/>
    <w:rsid w:val="000F044B"/>
    <w:rsid w:val="000F048D"/>
    <w:rsid w:val="000F0492"/>
    <w:rsid w:val="000F0536"/>
    <w:rsid w:val="000F0573"/>
    <w:rsid w:val="000F06C8"/>
    <w:rsid w:val="000F06EC"/>
    <w:rsid w:val="000F072E"/>
    <w:rsid w:val="000F0746"/>
    <w:rsid w:val="000F0945"/>
    <w:rsid w:val="000F0949"/>
    <w:rsid w:val="000F09E4"/>
    <w:rsid w:val="000F0B32"/>
    <w:rsid w:val="000F0D68"/>
    <w:rsid w:val="000F0DF1"/>
    <w:rsid w:val="000F0E50"/>
    <w:rsid w:val="000F0E68"/>
    <w:rsid w:val="000F0EA1"/>
    <w:rsid w:val="000F0F55"/>
    <w:rsid w:val="000F107C"/>
    <w:rsid w:val="000F1199"/>
    <w:rsid w:val="000F1238"/>
    <w:rsid w:val="000F124E"/>
    <w:rsid w:val="000F1398"/>
    <w:rsid w:val="000F1447"/>
    <w:rsid w:val="000F1471"/>
    <w:rsid w:val="000F1475"/>
    <w:rsid w:val="000F153A"/>
    <w:rsid w:val="000F1547"/>
    <w:rsid w:val="000F15C2"/>
    <w:rsid w:val="000F15D1"/>
    <w:rsid w:val="000F15D6"/>
    <w:rsid w:val="000F1798"/>
    <w:rsid w:val="000F17A1"/>
    <w:rsid w:val="000F1889"/>
    <w:rsid w:val="000F18E9"/>
    <w:rsid w:val="000F1927"/>
    <w:rsid w:val="000F1A4C"/>
    <w:rsid w:val="000F1ABB"/>
    <w:rsid w:val="000F1B4A"/>
    <w:rsid w:val="000F1C25"/>
    <w:rsid w:val="000F1CC3"/>
    <w:rsid w:val="000F1E1C"/>
    <w:rsid w:val="000F1E4D"/>
    <w:rsid w:val="000F1E82"/>
    <w:rsid w:val="000F1E9D"/>
    <w:rsid w:val="000F1F3A"/>
    <w:rsid w:val="000F2083"/>
    <w:rsid w:val="000F2154"/>
    <w:rsid w:val="000F2161"/>
    <w:rsid w:val="000F21A6"/>
    <w:rsid w:val="000F2204"/>
    <w:rsid w:val="000F2306"/>
    <w:rsid w:val="000F2331"/>
    <w:rsid w:val="000F2403"/>
    <w:rsid w:val="000F26A0"/>
    <w:rsid w:val="000F26E0"/>
    <w:rsid w:val="000F273B"/>
    <w:rsid w:val="000F2854"/>
    <w:rsid w:val="000F2895"/>
    <w:rsid w:val="000F2945"/>
    <w:rsid w:val="000F2993"/>
    <w:rsid w:val="000F2A09"/>
    <w:rsid w:val="000F2A6D"/>
    <w:rsid w:val="000F2CCB"/>
    <w:rsid w:val="000F2CFF"/>
    <w:rsid w:val="000F2D88"/>
    <w:rsid w:val="000F3041"/>
    <w:rsid w:val="000F30E5"/>
    <w:rsid w:val="000F30EF"/>
    <w:rsid w:val="000F319C"/>
    <w:rsid w:val="000F3236"/>
    <w:rsid w:val="000F3306"/>
    <w:rsid w:val="000F3468"/>
    <w:rsid w:val="000F34D5"/>
    <w:rsid w:val="000F34DB"/>
    <w:rsid w:val="000F3521"/>
    <w:rsid w:val="000F35C8"/>
    <w:rsid w:val="000F36A9"/>
    <w:rsid w:val="000F3767"/>
    <w:rsid w:val="000F380B"/>
    <w:rsid w:val="000F3816"/>
    <w:rsid w:val="000F38A0"/>
    <w:rsid w:val="000F38AE"/>
    <w:rsid w:val="000F38CA"/>
    <w:rsid w:val="000F38F3"/>
    <w:rsid w:val="000F3923"/>
    <w:rsid w:val="000F393B"/>
    <w:rsid w:val="000F3978"/>
    <w:rsid w:val="000F39AE"/>
    <w:rsid w:val="000F39D1"/>
    <w:rsid w:val="000F3A6C"/>
    <w:rsid w:val="000F3A8F"/>
    <w:rsid w:val="000F3B18"/>
    <w:rsid w:val="000F3BC3"/>
    <w:rsid w:val="000F3C8A"/>
    <w:rsid w:val="000F3CAF"/>
    <w:rsid w:val="000F3CBB"/>
    <w:rsid w:val="000F3CC3"/>
    <w:rsid w:val="000F3D6A"/>
    <w:rsid w:val="000F3DE8"/>
    <w:rsid w:val="000F3E35"/>
    <w:rsid w:val="000F3F47"/>
    <w:rsid w:val="000F3FE4"/>
    <w:rsid w:val="000F419E"/>
    <w:rsid w:val="000F42AC"/>
    <w:rsid w:val="000F4300"/>
    <w:rsid w:val="000F4365"/>
    <w:rsid w:val="000F43B2"/>
    <w:rsid w:val="000F44AD"/>
    <w:rsid w:val="000F4599"/>
    <w:rsid w:val="000F46A8"/>
    <w:rsid w:val="000F46CA"/>
    <w:rsid w:val="000F4774"/>
    <w:rsid w:val="000F48B4"/>
    <w:rsid w:val="000F4B63"/>
    <w:rsid w:val="000F4C17"/>
    <w:rsid w:val="000F4C3E"/>
    <w:rsid w:val="000F4DFE"/>
    <w:rsid w:val="000F4E32"/>
    <w:rsid w:val="000F4F16"/>
    <w:rsid w:val="000F4FDA"/>
    <w:rsid w:val="000F4FDE"/>
    <w:rsid w:val="000F5116"/>
    <w:rsid w:val="000F5152"/>
    <w:rsid w:val="000F51D2"/>
    <w:rsid w:val="000F52A3"/>
    <w:rsid w:val="000F52D6"/>
    <w:rsid w:val="000F531F"/>
    <w:rsid w:val="000F532C"/>
    <w:rsid w:val="000F5355"/>
    <w:rsid w:val="000F54BB"/>
    <w:rsid w:val="000F5566"/>
    <w:rsid w:val="000F55BF"/>
    <w:rsid w:val="000F55DB"/>
    <w:rsid w:val="000F5603"/>
    <w:rsid w:val="000F5642"/>
    <w:rsid w:val="000F5723"/>
    <w:rsid w:val="000F575D"/>
    <w:rsid w:val="000F58BD"/>
    <w:rsid w:val="000F5900"/>
    <w:rsid w:val="000F592D"/>
    <w:rsid w:val="000F59ED"/>
    <w:rsid w:val="000F5B12"/>
    <w:rsid w:val="000F5B50"/>
    <w:rsid w:val="000F5DB2"/>
    <w:rsid w:val="000F607B"/>
    <w:rsid w:val="000F607C"/>
    <w:rsid w:val="000F61D9"/>
    <w:rsid w:val="000F622E"/>
    <w:rsid w:val="000F62EE"/>
    <w:rsid w:val="000F638B"/>
    <w:rsid w:val="000F6500"/>
    <w:rsid w:val="000F658C"/>
    <w:rsid w:val="000F65D3"/>
    <w:rsid w:val="000F6658"/>
    <w:rsid w:val="000F6690"/>
    <w:rsid w:val="000F68AF"/>
    <w:rsid w:val="000F68F1"/>
    <w:rsid w:val="000F69CB"/>
    <w:rsid w:val="000F69FA"/>
    <w:rsid w:val="000F6A07"/>
    <w:rsid w:val="000F6B01"/>
    <w:rsid w:val="000F6B6B"/>
    <w:rsid w:val="000F6BC1"/>
    <w:rsid w:val="000F6C59"/>
    <w:rsid w:val="000F6DB4"/>
    <w:rsid w:val="000F6E0D"/>
    <w:rsid w:val="000F6E2C"/>
    <w:rsid w:val="000F6E97"/>
    <w:rsid w:val="000F70CA"/>
    <w:rsid w:val="000F7216"/>
    <w:rsid w:val="000F72B9"/>
    <w:rsid w:val="000F75A3"/>
    <w:rsid w:val="000F760D"/>
    <w:rsid w:val="000F76F6"/>
    <w:rsid w:val="000F7735"/>
    <w:rsid w:val="000F77C7"/>
    <w:rsid w:val="000F78CB"/>
    <w:rsid w:val="000F7A49"/>
    <w:rsid w:val="000F7B30"/>
    <w:rsid w:val="000F7B8F"/>
    <w:rsid w:val="000F7C37"/>
    <w:rsid w:val="000F7F64"/>
    <w:rsid w:val="00100023"/>
    <w:rsid w:val="00100216"/>
    <w:rsid w:val="00100295"/>
    <w:rsid w:val="00100373"/>
    <w:rsid w:val="001003F5"/>
    <w:rsid w:val="00100417"/>
    <w:rsid w:val="001004AC"/>
    <w:rsid w:val="001006B9"/>
    <w:rsid w:val="00100710"/>
    <w:rsid w:val="0010078B"/>
    <w:rsid w:val="001007CA"/>
    <w:rsid w:val="0010092A"/>
    <w:rsid w:val="00100AF2"/>
    <w:rsid w:val="00100D07"/>
    <w:rsid w:val="0010103E"/>
    <w:rsid w:val="00101377"/>
    <w:rsid w:val="001013D9"/>
    <w:rsid w:val="00101409"/>
    <w:rsid w:val="00101426"/>
    <w:rsid w:val="00101473"/>
    <w:rsid w:val="00101688"/>
    <w:rsid w:val="001016A9"/>
    <w:rsid w:val="001017E3"/>
    <w:rsid w:val="00101848"/>
    <w:rsid w:val="00101878"/>
    <w:rsid w:val="00101899"/>
    <w:rsid w:val="001018BC"/>
    <w:rsid w:val="001019A9"/>
    <w:rsid w:val="001019EC"/>
    <w:rsid w:val="00101AD9"/>
    <w:rsid w:val="00101B32"/>
    <w:rsid w:val="00101B65"/>
    <w:rsid w:val="00101C20"/>
    <w:rsid w:val="00101C9E"/>
    <w:rsid w:val="00101CB0"/>
    <w:rsid w:val="00101CD1"/>
    <w:rsid w:val="00101E12"/>
    <w:rsid w:val="00101E56"/>
    <w:rsid w:val="00101E82"/>
    <w:rsid w:val="00101EF9"/>
    <w:rsid w:val="00101F82"/>
    <w:rsid w:val="001020D5"/>
    <w:rsid w:val="001021D2"/>
    <w:rsid w:val="00102345"/>
    <w:rsid w:val="0010235B"/>
    <w:rsid w:val="001023DC"/>
    <w:rsid w:val="001024C3"/>
    <w:rsid w:val="00102550"/>
    <w:rsid w:val="00102560"/>
    <w:rsid w:val="0010264B"/>
    <w:rsid w:val="00102670"/>
    <w:rsid w:val="0010269B"/>
    <w:rsid w:val="0010276A"/>
    <w:rsid w:val="00102773"/>
    <w:rsid w:val="00102793"/>
    <w:rsid w:val="00102A86"/>
    <w:rsid w:val="00102AA4"/>
    <w:rsid w:val="00102BDA"/>
    <w:rsid w:val="00102C88"/>
    <w:rsid w:val="00102DA6"/>
    <w:rsid w:val="00102EEB"/>
    <w:rsid w:val="00102EFC"/>
    <w:rsid w:val="00102FA0"/>
    <w:rsid w:val="0010302A"/>
    <w:rsid w:val="001031BC"/>
    <w:rsid w:val="001034A3"/>
    <w:rsid w:val="001036D9"/>
    <w:rsid w:val="00103750"/>
    <w:rsid w:val="001037A1"/>
    <w:rsid w:val="0010389D"/>
    <w:rsid w:val="001039A5"/>
    <w:rsid w:val="00103A4C"/>
    <w:rsid w:val="00103A91"/>
    <w:rsid w:val="00103A9E"/>
    <w:rsid w:val="00103B31"/>
    <w:rsid w:val="00103C04"/>
    <w:rsid w:val="00103DC8"/>
    <w:rsid w:val="00103E04"/>
    <w:rsid w:val="00103E22"/>
    <w:rsid w:val="00103E8E"/>
    <w:rsid w:val="00103ED9"/>
    <w:rsid w:val="00103F35"/>
    <w:rsid w:val="00103F4C"/>
    <w:rsid w:val="00103F5C"/>
    <w:rsid w:val="00103FB8"/>
    <w:rsid w:val="00103FD9"/>
    <w:rsid w:val="001041E8"/>
    <w:rsid w:val="001041FE"/>
    <w:rsid w:val="00104224"/>
    <w:rsid w:val="00104282"/>
    <w:rsid w:val="00104497"/>
    <w:rsid w:val="0010468B"/>
    <w:rsid w:val="00104A43"/>
    <w:rsid w:val="00104A6A"/>
    <w:rsid w:val="00104A7B"/>
    <w:rsid w:val="00104AEA"/>
    <w:rsid w:val="00104D33"/>
    <w:rsid w:val="00104D80"/>
    <w:rsid w:val="00104E2C"/>
    <w:rsid w:val="00104E7A"/>
    <w:rsid w:val="00104EF8"/>
    <w:rsid w:val="001050A0"/>
    <w:rsid w:val="001050AF"/>
    <w:rsid w:val="00105189"/>
    <w:rsid w:val="001051F2"/>
    <w:rsid w:val="00105260"/>
    <w:rsid w:val="0010531A"/>
    <w:rsid w:val="0010539C"/>
    <w:rsid w:val="001053CC"/>
    <w:rsid w:val="0010551D"/>
    <w:rsid w:val="0010561A"/>
    <w:rsid w:val="001056D7"/>
    <w:rsid w:val="001057E4"/>
    <w:rsid w:val="001057F6"/>
    <w:rsid w:val="001059DE"/>
    <w:rsid w:val="00105ABC"/>
    <w:rsid w:val="00105B7E"/>
    <w:rsid w:val="00105C21"/>
    <w:rsid w:val="00105D41"/>
    <w:rsid w:val="00105DC3"/>
    <w:rsid w:val="00105E50"/>
    <w:rsid w:val="00105F18"/>
    <w:rsid w:val="00105FB9"/>
    <w:rsid w:val="0010616F"/>
    <w:rsid w:val="0010623A"/>
    <w:rsid w:val="001062C4"/>
    <w:rsid w:val="001063B3"/>
    <w:rsid w:val="0010647A"/>
    <w:rsid w:val="001064FF"/>
    <w:rsid w:val="00106560"/>
    <w:rsid w:val="00106638"/>
    <w:rsid w:val="00106646"/>
    <w:rsid w:val="0010681B"/>
    <w:rsid w:val="00106824"/>
    <w:rsid w:val="00106827"/>
    <w:rsid w:val="00106A98"/>
    <w:rsid w:val="00106AFF"/>
    <w:rsid w:val="00106B84"/>
    <w:rsid w:val="00106BF1"/>
    <w:rsid w:val="00106C0D"/>
    <w:rsid w:val="00106C12"/>
    <w:rsid w:val="00106C46"/>
    <w:rsid w:val="001070FC"/>
    <w:rsid w:val="001071D9"/>
    <w:rsid w:val="001071ED"/>
    <w:rsid w:val="00107209"/>
    <w:rsid w:val="001072ED"/>
    <w:rsid w:val="001073B4"/>
    <w:rsid w:val="001073E7"/>
    <w:rsid w:val="001075E0"/>
    <w:rsid w:val="00107695"/>
    <w:rsid w:val="00107800"/>
    <w:rsid w:val="001079D0"/>
    <w:rsid w:val="00107A4B"/>
    <w:rsid w:val="00107AD9"/>
    <w:rsid w:val="00107B60"/>
    <w:rsid w:val="00107BB6"/>
    <w:rsid w:val="00107C07"/>
    <w:rsid w:val="00107D02"/>
    <w:rsid w:val="00107DBF"/>
    <w:rsid w:val="00107E21"/>
    <w:rsid w:val="00107E59"/>
    <w:rsid w:val="00107E95"/>
    <w:rsid w:val="00107EDF"/>
    <w:rsid w:val="001100BB"/>
    <w:rsid w:val="0011024A"/>
    <w:rsid w:val="001102B7"/>
    <w:rsid w:val="001103C8"/>
    <w:rsid w:val="00110476"/>
    <w:rsid w:val="00110477"/>
    <w:rsid w:val="00110498"/>
    <w:rsid w:val="001104CD"/>
    <w:rsid w:val="001105A3"/>
    <w:rsid w:val="001105DC"/>
    <w:rsid w:val="001107DA"/>
    <w:rsid w:val="001108B9"/>
    <w:rsid w:val="0011093D"/>
    <w:rsid w:val="00110961"/>
    <w:rsid w:val="001109F9"/>
    <w:rsid w:val="00110A34"/>
    <w:rsid w:val="00110ACB"/>
    <w:rsid w:val="00110B21"/>
    <w:rsid w:val="00110B78"/>
    <w:rsid w:val="00110C18"/>
    <w:rsid w:val="00110C6D"/>
    <w:rsid w:val="00110E23"/>
    <w:rsid w:val="00110E5D"/>
    <w:rsid w:val="00110FE6"/>
    <w:rsid w:val="00111017"/>
    <w:rsid w:val="00111043"/>
    <w:rsid w:val="001111A7"/>
    <w:rsid w:val="001112C4"/>
    <w:rsid w:val="00111303"/>
    <w:rsid w:val="0011132A"/>
    <w:rsid w:val="00111436"/>
    <w:rsid w:val="00111453"/>
    <w:rsid w:val="001115CA"/>
    <w:rsid w:val="001115EA"/>
    <w:rsid w:val="001116BA"/>
    <w:rsid w:val="00111781"/>
    <w:rsid w:val="001117BF"/>
    <w:rsid w:val="001117DB"/>
    <w:rsid w:val="00111832"/>
    <w:rsid w:val="00111839"/>
    <w:rsid w:val="00111869"/>
    <w:rsid w:val="00111C1E"/>
    <w:rsid w:val="00111CE2"/>
    <w:rsid w:val="00111F07"/>
    <w:rsid w:val="00111FDF"/>
    <w:rsid w:val="0011209F"/>
    <w:rsid w:val="001121F2"/>
    <w:rsid w:val="00112228"/>
    <w:rsid w:val="0011227C"/>
    <w:rsid w:val="00112375"/>
    <w:rsid w:val="00112433"/>
    <w:rsid w:val="0011248F"/>
    <w:rsid w:val="001124CE"/>
    <w:rsid w:val="001124DF"/>
    <w:rsid w:val="0011259D"/>
    <w:rsid w:val="001125A4"/>
    <w:rsid w:val="001125DB"/>
    <w:rsid w:val="001127AE"/>
    <w:rsid w:val="001127BF"/>
    <w:rsid w:val="00112A08"/>
    <w:rsid w:val="00112A7F"/>
    <w:rsid w:val="00112A83"/>
    <w:rsid w:val="00112B5B"/>
    <w:rsid w:val="00112B81"/>
    <w:rsid w:val="00112BB3"/>
    <w:rsid w:val="00112D0D"/>
    <w:rsid w:val="00112E0D"/>
    <w:rsid w:val="00112ED5"/>
    <w:rsid w:val="0011311D"/>
    <w:rsid w:val="00113204"/>
    <w:rsid w:val="00113340"/>
    <w:rsid w:val="0011340D"/>
    <w:rsid w:val="00113500"/>
    <w:rsid w:val="00113519"/>
    <w:rsid w:val="00113598"/>
    <w:rsid w:val="001135B3"/>
    <w:rsid w:val="001135E1"/>
    <w:rsid w:val="001136A4"/>
    <w:rsid w:val="001136BB"/>
    <w:rsid w:val="001136D8"/>
    <w:rsid w:val="00113839"/>
    <w:rsid w:val="00113A34"/>
    <w:rsid w:val="00113BDB"/>
    <w:rsid w:val="00113D30"/>
    <w:rsid w:val="00113D65"/>
    <w:rsid w:val="00113D6C"/>
    <w:rsid w:val="00113DE5"/>
    <w:rsid w:val="00113FA6"/>
    <w:rsid w:val="00114144"/>
    <w:rsid w:val="001141FE"/>
    <w:rsid w:val="00114285"/>
    <w:rsid w:val="001142E3"/>
    <w:rsid w:val="00114529"/>
    <w:rsid w:val="00114707"/>
    <w:rsid w:val="00114743"/>
    <w:rsid w:val="001147CC"/>
    <w:rsid w:val="001147E9"/>
    <w:rsid w:val="00114836"/>
    <w:rsid w:val="00114862"/>
    <w:rsid w:val="00114902"/>
    <w:rsid w:val="00114982"/>
    <w:rsid w:val="00114A24"/>
    <w:rsid w:val="00114A89"/>
    <w:rsid w:val="00114B4A"/>
    <w:rsid w:val="00114BBF"/>
    <w:rsid w:val="00114C07"/>
    <w:rsid w:val="00114DBA"/>
    <w:rsid w:val="00114EE5"/>
    <w:rsid w:val="00114F08"/>
    <w:rsid w:val="00114F3A"/>
    <w:rsid w:val="00114F7C"/>
    <w:rsid w:val="00114F93"/>
    <w:rsid w:val="00115070"/>
    <w:rsid w:val="001151DF"/>
    <w:rsid w:val="00115205"/>
    <w:rsid w:val="001154A8"/>
    <w:rsid w:val="001155C5"/>
    <w:rsid w:val="00115672"/>
    <w:rsid w:val="001156E5"/>
    <w:rsid w:val="001157AE"/>
    <w:rsid w:val="00115837"/>
    <w:rsid w:val="00115933"/>
    <w:rsid w:val="00115948"/>
    <w:rsid w:val="00115BC1"/>
    <w:rsid w:val="00115C03"/>
    <w:rsid w:val="00115C82"/>
    <w:rsid w:val="00115D4D"/>
    <w:rsid w:val="00115D9D"/>
    <w:rsid w:val="00115DA8"/>
    <w:rsid w:val="00115E71"/>
    <w:rsid w:val="00115F24"/>
    <w:rsid w:val="00115F42"/>
    <w:rsid w:val="00115FE2"/>
    <w:rsid w:val="00116102"/>
    <w:rsid w:val="00116156"/>
    <w:rsid w:val="0011631B"/>
    <w:rsid w:val="00116341"/>
    <w:rsid w:val="00116394"/>
    <w:rsid w:val="001164E9"/>
    <w:rsid w:val="001164EE"/>
    <w:rsid w:val="00116503"/>
    <w:rsid w:val="0011656E"/>
    <w:rsid w:val="0011658D"/>
    <w:rsid w:val="001165C3"/>
    <w:rsid w:val="001165DD"/>
    <w:rsid w:val="00116781"/>
    <w:rsid w:val="001167D1"/>
    <w:rsid w:val="00116937"/>
    <w:rsid w:val="00116AF8"/>
    <w:rsid w:val="00116B59"/>
    <w:rsid w:val="00116B82"/>
    <w:rsid w:val="00116B86"/>
    <w:rsid w:val="00116C35"/>
    <w:rsid w:val="00116C4B"/>
    <w:rsid w:val="00116C62"/>
    <w:rsid w:val="00116C7B"/>
    <w:rsid w:val="00116CB2"/>
    <w:rsid w:val="00116CF4"/>
    <w:rsid w:val="00116D3A"/>
    <w:rsid w:val="00116D58"/>
    <w:rsid w:val="00116DC7"/>
    <w:rsid w:val="00116E18"/>
    <w:rsid w:val="00116EF4"/>
    <w:rsid w:val="00117063"/>
    <w:rsid w:val="0011715F"/>
    <w:rsid w:val="0011717A"/>
    <w:rsid w:val="00117183"/>
    <w:rsid w:val="001171A1"/>
    <w:rsid w:val="001171AE"/>
    <w:rsid w:val="001171D8"/>
    <w:rsid w:val="001173BE"/>
    <w:rsid w:val="00117429"/>
    <w:rsid w:val="001174F3"/>
    <w:rsid w:val="001175F3"/>
    <w:rsid w:val="00117781"/>
    <w:rsid w:val="00117811"/>
    <w:rsid w:val="0011795E"/>
    <w:rsid w:val="001179F9"/>
    <w:rsid w:val="00117A26"/>
    <w:rsid w:val="00117BB0"/>
    <w:rsid w:val="00117BC2"/>
    <w:rsid w:val="00117CBA"/>
    <w:rsid w:val="00117D52"/>
    <w:rsid w:val="00117D53"/>
    <w:rsid w:val="00117D5B"/>
    <w:rsid w:val="00117D5C"/>
    <w:rsid w:val="00117F7F"/>
    <w:rsid w:val="00117FBD"/>
    <w:rsid w:val="00117FF5"/>
    <w:rsid w:val="001200E4"/>
    <w:rsid w:val="001201FC"/>
    <w:rsid w:val="00120341"/>
    <w:rsid w:val="001206AC"/>
    <w:rsid w:val="00120777"/>
    <w:rsid w:val="0012084A"/>
    <w:rsid w:val="00120975"/>
    <w:rsid w:val="00120DD2"/>
    <w:rsid w:val="00120EA8"/>
    <w:rsid w:val="00120F36"/>
    <w:rsid w:val="00120FF2"/>
    <w:rsid w:val="001210C4"/>
    <w:rsid w:val="00121146"/>
    <w:rsid w:val="0012116A"/>
    <w:rsid w:val="001211B0"/>
    <w:rsid w:val="00121282"/>
    <w:rsid w:val="001212FE"/>
    <w:rsid w:val="0012131E"/>
    <w:rsid w:val="00121356"/>
    <w:rsid w:val="00121358"/>
    <w:rsid w:val="00121396"/>
    <w:rsid w:val="001214AB"/>
    <w:rsid w:val="001214D8"/>
    <w:rsid w:val="00121522"/>
    <w:rsid w:val="001215DB"/>
    <w:rsid w:val="00121678"/>
    <w:rsid w:val="001216A0"/>
    <w:rsid w:val="001216E2"/>
    <w:rsid w:val="001216EF"/>
    <w:rsid w:val="00121855"/>
    <w:rsid w:val="001218AC"/>
    <w:rsid w:val="001218EE"/>
    <w:rsid w:val="0012194B"/>
    <w:rsid w:val="00121AAA"/>
    <w:rsid w:val="00121AAF"/>
    <w:rsid w:val="00121B46"/>
    <w:rsid w:val="00121B98"/>
    <w:rsid w:val="00121C2B"/>
    <w:rsid w:val="00121C5F"/>
    <w:rsid w:val="00121C6D"/>
    <w:rsid w:val="00121CB5"/>
    <w:rsid w:val="00121D3C"/>
    <w:rsid w:val="00121D6C"/>
    <w:rsid w:val="00121DB3"/>
    <w:rsid w:val="00121E61"/>
    <w:rsid w:val="00121EA6"/>
    <w:rsid w:val="00121EA8"/>
    <w:rsid w:val="00121EAF"/>
    <w:rsid w:val="00121F5B"/>
    <w:rsid w:val="00122006"/>
    <w:rsid w:val="001220F5"/>
    <w:rsid w:val="0012210E"/>
    <w:rsid w:val="0012217B"/>
    <w:rsid w:val="0012219B"/>
    <w:rsid w:val="00122271"/>
    <w:rsid w:val="0012230E"/>
    <w:rsid w:val="0012231F"/>
    <w:rsid w:val="00122349"/>
    <w:rsid w:val="0012238B"/>
    <w:rsid w:val="00122399"/>
    <w:rsid w:val="001223C3"/>
    <w:rsid w:val="001223FC"/>
    <w:rsid w:val="0012251D"/>
    <w:rsid w:val="0012251F"/>
    <w:rsid w:val="00122526"/>
    <w:rsid w:val="00122610"/>
    <w:rsid w:val="00122633"/>
    <w:rsid w:val="00122688"/>
    <w:rsid w:val="00122699"/>
    <w:rsid w:val="00122787"/>
    <w:rsid w:val="001227E8"/>
    <w:rsid w:val="001227FC"/>
    <w:rsid w:val="00122860"/>
    <w:rsid w:val="0012287C"/>
    <w:rsid w:val="001228EA"/>
    <w:rsid w:val="001229B0"/>
    <w:rsid w:val="001229D8"/>
    <w:rsid w:val="001229F1"/>
    <w:rsid w:val="00122A85"/>
    <w:rsid w:val="00122A9D"/>
    <w:rsid w:val="00122B6B"/>
    <w:rsid w:val="00122C19"/>
    <w:rsid w:val="00122C3C"/>
    <w:rsid w:val="00122C51"/>
    <w:rsid w:val="00122C5C"/>
    <w:rsid w:val="00122C91"/>
    <w:rsid w:val="00122D03"/>
    <w:rsid w:val="00122D38"/>
    <w:rsid w:val="00122E8E"/>
    <w:rsid w:val="00122EE7"/>
    <w:rsid w:val="00122EF3"/>
    <w:rsid w:val="00122F78"/>
    <w:rsid w:val="0012306A"/>
    <w:rsid w:val="0012306B"/>
    <w:rsid w:val="001231AF"/>
    <w:rsid w:val="00123318"/>
    <w:rsid w:val="0012348D"/>
    <w:rsid w:val="00123529"/>
    <w:rsid w:val="001235FA"/>
    <w:rsid w:val="00123691"/>
    <w:rsid w:val="00123740"/>
    <w:rsid w:val="0012380E"/>
    <w:rsid w:val="0012390D"/>
    <w:rsid w:val="00123917"/>
    <w:rsid w:val="00123980"/>
    <w:rsid w:val="00123A18"/>
    <w:rsid w:val="00123A85"/>
    <w:rsid w:val="00123BCA"/>
    <w:rsid w:val="00123BDD"/>
    <w:rsid w:val="00123C39"/>
    <w:rsid w:val="00123C74"/>
    <w:rsid w:val="00123CA7"/>
    <w:rsid w:val="00123E1F"/>
    <w:rsid w:val="00123E39"/>
    <w:rsid w:val="00123EB9"/>
    <w:rsid w:val="00123EF0"/>
    <w:rsid w:val="00123F6A"/>
    <w:rsid w:val="00123FB5"/>
    <w:rsid w:val="00123FF8"/>
    <w:rsid w:val="00124015"/>
    <w:rsid w:val="0012401C"/>
    <w:rsid w:val="00124062"/>
    <w:rsid w:val="0012413F"/>
    <w:rsid w:val="00124147"/>
    <w:rsid w:val="0012418E"/>
    <w:rsid w:val="0012429A"/>
    <w:rsid w:val="001243C2"/>
    <w:rsid w:val="00124449"/>
    <w:rsid w:val="0012481C"/>
    <w:rsid w:val="00124869"/>
    <w:rsid w:val="00124887"/>
    <w:rsid w:val="001248B5"/>
    <w:rsid w:val="001249E3"/>
    <w:rsid w:val="001249FE"/>
    <w:rsid w:val="00124A00"/>
    <w:rsid w:val="00124A04"/>
    <w:rsid w:val="00124A95"/>
    <w:rsid w:val="00124B05"/>
    <w:rsid w:val="00124D44"/>
    <w:rsid w:val="00124E01"/>
    <w:rsid w:val="00124E3C"/>
    <w:rsid w:val="00124EF1"/>
    <w:rsid w:val="00124FCA"/>
    <w:rsid w:val="00124FE8"/>
    <w:rsid w:val="001250C4"/>
    <w:rsid w:val="001251A4"/>
    <w:rsid w:val="0012530F"/>
    <w:rsid w:val="001253A2"/>
    <w:rsid w:val="0012543F"/>
    <w:rsid w:val="0012546A"/>
    <w:rsid w:val="00125550"/>
    <w:rsid w:val="0012558A"/>
    <w:rsid w:val="00125591"/>
    <w:rsid w:val="00125671"/>
    <w:rsid w:val="001256B0"/>
    <w:rsid w:val="0012570D"/>
    <w:rsid w:val="00125781"/>
    <w:rsid w:val="00125A93"/>
    <w:rsid w:val="00125B1F"/>
    <w:rsid w:val="00125B27"/>
    <w:rsid w:val="00125F54"/>
    <w:rsid w:val="00125FD1"/>
    <w:rsid w:val="00125FF3"/>
    <w:rsid w:val="0012600F"/>
    <w:rsid w:val="001260C5"/>
    <w:rsid w:val="0012621C"/>
    <w:rsid w:val="0012625E"/>
    <w:rsid w:val="00126290"/>
    <w:rsid w:val="00126449"/>
    <w:rsid w:val="00126542"/>
    <w:rsid w:val="00126611"/>
    <w:rsid w:val="0012662B"/>
    <w:rsid w:val="00126739"/>
    <w:rsid w:val="001267C8"/>
    <w:rsid w:val="001267EA"/>
    <w:rsid w:val="001268AE"/>
    <w:rsid w:val="001268C9"/>
    <w:rsid w:val="00126906"/>
    <w:rsid w:val="00126907"/>
    <w:rsid w:val="00126928"/>
    <w:rsid w:val="00126B25"/>
    <w:rsid w:val="00126BB7"/>
    <w:rsid w:val="00126BC7"/>
    <w:rsid w:val="00126C0C"/>
    <w:rsid w:val="00126D4F"/>
    <w:rsid w:val="00126DAB"/>
    <w:rsid w:val="00126DAC"/>
    <w:rsid w:val="00126DE2"/>
    <w:rsid w:val="00126F03"/>
    <w:rsid w:val="00126F25"/>
    <w:rsid w:val="001270A7"/>
    <w:rsid w:val="001271C1"/>
    <w:rsid w:val="00127257"/>
    <w:rsid w:val="00127396"/>
    <w:rsid w:val="001273E9"/>
    <w:rsid w:val="001273FA"/>
    <w:rsid w:val="00127484"/>
    <w:rsid w:val="00127602"/>
    <w:rsid w:val="00127709"/>
    <w:rsid w:val="001277B0"/>
    <w:rsid w:val="00127809"/>
    <w:rsid w:val="0012790E"/>
    <w:rsid w:val="0012791D"/>
    <w:rsid w:val="001279D4"/>
    <w:rsid w:val="00127A9A"/>
    <w:rsid w:val="00127AB0"/>
    <w:rsid w:val="00127AB8"/>
    <w:rsid w:val="00127B74"/>
    <w:rsid w:val="00127B87"/>
    <w:rsid w:val="00127CA1"/>
    <w:rsid w:val="00127E96"/>
    <w:rsid w:val="00127EFB"/>
    <w:rsid w:val="00127F48"/>
    <w:rsid w:val="00130016"/>
    <w:rsid w:val="00130094"/>
    <w:rsid w:val="001300D5"/>
    <w:rsid w:val="00130156"/>
    <w:rsid w:val="001301CF"/>
    <w:rsid w:val="001301EB"/>
    <w:rsid w:val="001301FA"/>
    <w:rsid w:val="001303ED"/>
    <w:rsid w:val="00130503"/>
    <w:rsid w:val="0013063B"/>
    <w:rsid w:val="00130716"/>
    <w:rsid w:val="001307CD"/>
    <w:rsid w:val="00130929"/>
    <w:rsid w:val="00130965"/>
    <w:rsid w:val="00130A08"/>
    <w:rsid w:val="00130A24"/>
    <w:rsid w:val="00130A70"/>
    <w:rsid w:val="00130A84"/>
    <w:rsid w:val="00130AB6"/>
    <w:rsid w:val="00130B52"/>
    <w:rsid w:val="00130E0D"/>
    <w:rsid w:val="00130E67"/>
    <w:rsid w:val="00130E75"/>
    <w:rsid w:val="00130E7D"/>
    <w:rsid w:val="00130E95"/>
    <w:rsid w:val="00130F1A"/>
    <w:rsid w:val="00130F59"/>
    <w:rsid w:val="00130F91"/>
    <w:rsid w:val="00131042"/>
    <w:rsid w:val="001312A5"/>
    <w:rsid w:val="00131330"/>
    <w:rsid w:val="0013139E"/>
    <w:rsid w:val="00131401"/>
    <w:rsid w:val="0013151B"/>
    <w:rsid w:val="001315F9"/>
    <w:rsid w:val="0013161D"/>
    <w:rsid w:val="00131721"/>
    <w:rsid w:val="001317F4"/>
    <w:rsid w:val="001318E4"/>
    <w:rsid w:val="00131955"/>
    <w:rsid w:val="001319E3"/>
    <w:rsid w:val="00131B26"/>
    <w:rsid w:val="00131B38"/>
    <w:rsid w:val="00131B84"/>
    <w:rsid w:val="00131CB8"/>
    <w:rsid w:val="00131E2A"/>
    <w:rsid w:val="00131FD5"/>
    <w:rsid w:val="00131FE4"/>
    <w:rsid w:val="00131FF8"/>
    <w:rsid w:val="0013208C"/>
    <w:rsid w:val="0013212E"/>
    <w:rsid w:val="001321AC"/>
    <w:rsid w:val="00132227"/>
    <w:rsid w:val="0013240A"/>
    <w:rsid w:val="0013245B"/>
    <w:rsid w:val="00132647"/>
    <w:rsid w:val="001326C7"/>
    <w:rsid w:val="00132761"/>
    <w:rsid w:val="001327C1"/>
    <w:rsid w:val="0013280A"/>
    <w:rsid w:val="00132888"/>
    <w:rsid w:val="001328CD"/>
    <w:rsid w:val="00132AAE"/>
    <w:rsid w:val="00132C27"/>
    <w:rsid w:val="00132C33"/>
    <w:rsid w:val="00132C45"/>
    <w:rsid w:val="00132CFE"/>
    <w:rsid w:val="00132D43"/>
    <w:rsid w:val="00132E00"/>
    <w:rsid w:val="00132EA0"/>
    <w:rsid w:val="00132FA9"/>
    <w:rsid w:val="00132FEC"/>
    <w:rsid w:val="00133010"/>
    <w:rsid w:val="001330C1"/>
    <w:rsid w:val="00133108"/>
    <w:rsid w:val="00133176"/>
    <w:rsid w:val="001331FC"/>
    <w:rsid w:val="00133320"/>
    <w:rsid w:val="0013333A"/>
    <w:rsid w:val="001333DA"/>
    <w:rsid w:val="001333F1"/>
    <w:rsid w:val="00133502"/>
    <w:rsid w:val="0013358B"/>
    <w:rsid w:val="00133604"/>
    <w:rsid w:val="0013384F"/>
    <w:rsid w:val="00133864"/>
    <w:rsid w:val="001338A1"/>
    <w:rsid w:val="001339A7"/>
    <w:rsid w:val="001339D1"/>
    <w:rsid w:val="00133A7C"/>
    <w:rsid w:val="00133ADE"/>
    <w:rsid w:val="00133B55"/>
    <w:rsid w:val="00133B61"/>
    <w:rsid w:val="00133C23"/>
    <w:rsid w:val="00133DBE"/>
    <w:rsid w:val="00133FAE"/>
    <w:rsid w:val="00133FD1"/>
    <w:rsid w:val="001340D1"/>
    <w:rsid w:val="0013419E"/>
    <w:rsid w:val="001341A4"/>
    <w:rsid w:val="001341B3"/>
    <w:rsid w:val="0013426F"/>
    <w:rsid w:val="001342C3"/>
    <w:rsid w:val="001343FC"/>
    <w:rsid w:val="0013442E"/>
    <w:rsid w:val="001344E0"/>
    <w:rsid w:val="00134537"/>
    <w:rsid w:val="00134547"/>
    <w:rsid w:val="001345AF"/>
    <w:rsid w:val="0013475A"/>
    <w:rsid w:val="001347E7"/>
    <w:rsid w:val="00134870"/>
    <w:rsid w:val="00134878"/>
    <w:rsid w:val="001348E4"/>
    <w:rsid w:val="001348E7"/>
    <w:rsid w:val="001348F7"/>
    <w:rsid w:val="0013496B"/>
    <w:rsid w:val="001349A1"/>
    <w:rsid w:val="001349BB"/>
    <w:rsid w:val="00134A09"/>
    <w:rsid w:val="00134AB0"/>
    <w:rsid w:val="00134B3F"/>
    <w:rsid w:val="00134B7B"/>
    <w:rsid w:val="00134BCE"/>
    <w:rsid w:val="00134BF3"/>
    <w:rsid w:val="00134C31"/>
    <w:rsid w:val="00134C37"/>
    <w:rsid w:val="00134D10"/>
    <w:rsid w:val="00134D12"/>
    <w:rsid w:val="00134D40"/>
    <w:rsid w:val="00134D63"/>
    <w:rsid w:val="00134D89"/>
    <w:rsid w:val="00134D8A"/>
    <w:rsid w:val="00134D8E"/>
    <w:rsid w:val="00134E77"/>
    <w:rsid w:val="00134F27"/>
    <w:rsid w:val="00134F62"/>
    <w:rsid w:val="0013505A"/>
    <w:rsid w:val="00135249"/>
    <w:rsid w:val="00135261"/>
    <w:rsid w:val="001352D0"/>
    <w:rsid w:val="0013533D"/>
    <w:rsid w:val="0013535A"/>
    <w:rsid w:val="00135376"/>
    <w:rsid w:val="0013540E"/>
    <w:rsid w:val="00135495"/>
    <w:rsid w:val="00135498"/>
    <w:rsid w:val="001354A5"/>
    <w:rsid w:val="0013551F"/>
    <w:rsid w:val="00135553"/>
    <w:rsid w:val="0013566C"/>
    <w:rsid w:val="0013568A"/>
    <w:rsid w:val="0013571C"/>
    <w:rsid w:val="00135823"/>
    <w:rsid w:val="00135916"/>
    <w:rsid w:val="00135B02"/>
    <w:rsid w:val="00135B10"/>
    <w:rsid w:val="00135B65"/>
    <w:rsid w:val="00135BD8"/>
    <w:rsid w:val="00135C24"/>
    <w:rsid w:val="00135C2E"/>
    <w:rsid w:val="00135C9C"/>
    <w:rsid w:val="00135D01"/>
    <w:rsid w:val="00135D3B"/>
    <w:rsid w:val="00135DA5"/>
    <w:rsid w:val="00135DB0"/>
    <w:rsid w:val="00135ED2"/>
    <w:rsid w:val="0013601D"/>
    <w:rsid w:val="00136099"/>
    <w:rsid w:val="0013630D"/>
    <w:rsid w:val="00136328"/>
    <w:rsid w:val="00136337"/>
    <w:rsid w:val="00136352"/>
    <w:rsid w:val="0013638A"/>
    <w:rsid w:val="00136416"/>
    <w:rsid w:val="001365E0"/>
    <w:rsid w:val="0013675F"/>
    <w:rsid w:val="001367EE"/>
    <w:rsid w:val="00136804"/>
    <w:rsid w:val="00136880"/>
    <w:rsid w:val="00136923"/>
    <w:rsid w:val="0013693B"/>
    <w:rsid w:val="00136A13"/>
    <w:rsid w:val="00136BAC"/>
    <w:rsid w:val="00136C5F"/>
    <w:rsid w:val="00136D65"/>
    <w:rsid w:val="00136DE7"/>
    <w:rsid w:val="00136E7A"/>
    <w:rsid w:val="00136EE0"/>
    <w:rsid w:val="00136FE5"/>
    <w:rsid w:val="0013702A"/>
    <w:rsid w:val="0013709E"/>
    <w:rsid w:val="00137178"/>
    <w:rsid w:val="00137189"/>
    <w:rsid w:val="001371D2"/>
    <w:rsid w:val="00137256"/>
    <w:rsid w:val="00137260"/>
    <w:rsid w:val="0013741C"/>
    <w:rsid w:val="00137465"/>
    <w:rsid w:val="001374A6"/>
    <w:rsid w:val="00137512"/>
    <w:rsid w:val="00137544"/>
    <w:rsid w:val="001375E1"/>
    <w:rsid w:val="00137676"/>
    <w:rsid w:val="001376B4"/>
    <w:rsid w:val="001376DF"/>
    <w:rsid w:val="0013783D"/>
    <w:rsid w:val="00137859"/>
    <w:rsid w:val="0013794A"/>
    <w:rsid w:val="00137975"/>
    <w:rsid w:val="0013799A"/>
    <w:rsid w:val="001379A3"/>
    <w:rsid w:val="001379E0"/>
    <w:rsid w:val="00137B1E"/>
    <w:rsid w:val="00137CF5"/>
    <w:rsid w:val="00137CF6"/>
    <w:rsid w:val="00137D0A"/>
    <w:rsid w:val="00137D3C"/>
    <w:rsid w:val="00137D48"/>
    <w:rsid w:val="00137D80"/>
    <w:rsid w:val="00137DEA"/>
    <w:rsid w:val="00137EBA"/>
    <w:rsid w:val="00140018"/>
    <w:rsid w:val="001400E8"/>
    <w:rsid w:val="00140117"/>
    <w:rsid w:val="0014012B"/>
    <w:rsid w:val="001402C0"/>
    <w:rsid w:val="00140397"/>
    <w:rsid w:val="00140605"/>
    <w:rsid w:val="00140772"/>
    <w:rsid w:val="001408DB"/>
    <w:rsid w:val="00140A7E"/>
    <w:rsid w:val="00140B12"/>
    <w:rsid w:val="00140BF4"/>
    <w:rsid w:val="00140CEC"/>
    <w:rsid w:val="00140D9A"/>
    <w:rsid w:val="00140E9E"/>
    <w:rsid w:val="00140EDC"/>
    <w:rsid w:val="00140FDE"/>
    <w:rsid w:val="00141043"/>
    <w:rsid w:val="00141100"/>
    <w:rsid w:val="0014117E"/>
    <w:rsid w:val="0014142D"/>
    <w:rsid w:val="00141497"/>
    <w:rsid w:val="00141549"/>
    <w:rsid w:val="001415FD"/>
    <w:rsid w:val="0014169E"/>
    <w:rsid w:val="0014179D"/>
    <w:rsid w:val="001418E3"/>
    <w:rsid w:val="00141A80"/>
    <w:rsid w:val="00141AA3"/>
    <w:rsid w:val="00141ADC"/>
    <w:rsid w:val="00141B22"/>
    <w:rsid w:val="00141BB7"/>
    <w:rsid w:val="00141CBF"/>
    <w:rsid w:val="00141D7E"/>
    <w:rsid w:val="00141EB3"/>
    <w:rsid w:val="00141EC3"/>
    <w:rsid w:val="00141F85"/>
    <w:rsid w:val="00142087"/>
    <w:rsid w:val="0014211F"/>
    <w:rsid w:val="0014245A"/>
    <w:rsid w:val="001424CC"/>
    <w:rsid w:val="00142524"/>
    <w:rsid w:val="001425F3"/>
    <w:rsid w:val="0014267B"/>
    <w:rsid w:val="001426B5"/>
    <w:rsid w:val="001426CA"/>
    <w:rsid w:val="0014277D"/>
    <w:rsid w:val="001427AB"/>
    <w:rsid w:val="001427B7"/>
    <w:rsid w:val="001428AA"/>
    <w:rsid w:val="001428D9"/>
    <w:rsid w:val="00142933"/>
    <w:rsid w:val="00142B04"/>
    <w:rsid w:val="00142C11"/>
    <w:rsid w:val="00142C2A"/>
    <w:rsid w:val="00142C6B"/>
    <w:rsid w:val="00142D41"/>
    <w:rsid w:val="00142D53"/>
    <w:rsid w:val="00142F21"/>
    <w:rsid w:val="00142FD8"/>
    <w:rsid w:val="00143029"/>
    <w:rsid w:val="00143190"/>
    <w:rsid w:val="00143195"/>
    <w:rsid w:val="001431FE"/>
    <w:rsid w:val="00143211"/>
    <w:rsid w:val="0014322A"/>
    <w:rsid w:val="0014330A"/>
    <w:rsid w:val="00143358"/>
    <w:rsid w:val="00143548"/>
    <w:rsid w:val="001436E7"/>
    <w:rsid w:val="00143768"/>
    <w:rsid w:val="00143846"/>
    <w:rsid w:val="00143875"/>
    <w:rsid w:val="001438C4"/>
    <w:rsid w:val="00143931"/>
    <w:rsid w:val="00143934"/>
    <w:rsid w:val="0014397A"/>
    <w:rsid w:val="00143CF8"/>
    <w:rsid w:val="00143DAE"/>
    <w:rsid w:val="00143E93"/>
    <w:rsid w:val="00143FA5"/>
    <w:rsid w:val="00143FDA"/>
    <w:rsid w:val="0014423D"/>
    <w:rsid w:val="0014426B"/>
    <w:rsid w:val="001442A3"/>
    <w:rsid w:val="001442C9"/>
    <w:rsid w:val="001443F9"/>
    <w:rsid w:val="00144488"/>
    <w:rsid w:val="0014461A"/>
    <w:rsid w:val="00144779"/>
    <w:rsid w:val="00144799"/>
    <w:rsid w:val="001448BF"/>
    <w:rsid w:val="00144A36"/>
    <w:rsid w:val="00144B2A"/>
    <w:rsid w:val="00144B3C"/>
    <w:rsid w:val="00144B49"/>
    <w:rsid w:val="00144BB0"/>
    <w:rsid w:val="00144D28"/>
    <w:rsid w:val="00144E3C"/>
    <w:rsid w:val="00144E48"/>
    <w:rsid w:val="00144E76"/>
    <w:rsid w:val="00144F4E"/>
    <w:rsid w:val="00145005"/>
    <w:rsid w:val="00145008"/>
    <w:rsid w:val="001450EA"/>
    <w:rsid w:val="001451B5"/>
    <w:rsid w:val="001454BA"/>
    <w:rsid w:val="00145547"/>
    <w:rsid w:val="00145558"/>
    <w:rsid w:val="00145593"/>
    <w:rsid w:val="001455ED"/>
    <w:rsid w:val="00145922"/>
    <w:rsid w:val="001459E1"/>
    <w:rsid w:val="00145A1E"/>
    <w:rsid w:val="00145A25"/>
    <w:rsid w:val="00145A68"/>
    <w:rsid w:val="00145CEA"/>
    <w:rsid w:val="00145E48"/>
    <w:rsid w:val="00145E8A"/>
    <w:rsid w:val="00145ECF"/>
    <w:rsid w:val="00146040"/>
    <w:rsid w:val="0014620E"/>
    <w:rsid w:val="0014630E"/>
    <w:rsid w:val="0014634F"/>
    <w:rsid w:val="00146424"/>
    <w:rsid w:val="0014642D"/>
    <w:rsid w:val="0014651B"/>
    <w:rsid w:val="0014651E"/>
    <w:rsid w:val="0014661D"/>
    <w:rsid w:val="001466B8"/>
    <w:rsid w:val="00146715"/>
    <w:rsid w:val="00146897"/>
    <w:rsid w:val="001468DA"/>
    <w:rsid w:val="001468EA"/>
    <w:rsid w:val="00146968"/>
    <w:rsid w:val="00146A6A"/>
    <w:rsid w:val="00146A9F"/>
    <w:rsid w:val="00146CBE"/>
    <w:rsid w:val="00146CEC"/>
    <w:rsid w:val="00146DFF"/>
    <w:rsid w:val="00146E7B"/>
    <w:rsid w:val="00147478"/>
    <w:rsid w:val="0014748B"/>
    <w:rsid w:val="001474C3"/>
    <w:rsid w:val="001474D6"/>
    <w:rsid w:val="00147532"/>
    <w:rsid w:val="001475B8"/>
    <w:rsid w:val="001475CF"/>
    <w:rsid w:val="00147613"/>
    <w:rsid w:val="0014764D"/>
    <w:rsid w:val="0014777B"/>
    <w:rsid w:val="001477B9"/>
    <w:rsid w:val="00147A00"/>
    <w:rsid w:val="00147A0F"/>
    <w:rsid w:val="00147A32"/>
    <w:rsid w:val="00147A58"/>
    <w:rsid w:val="00147A94"/>
    <w:rsid w:val="00147B31"/>
    <w:rsid w:val="00147B7A"/>
    <w:rsid w:val="00147BAA"/>
    <w:rsid w:val="00147BDD"/>
    <w:rsid w:val="00147C3B"/>
    <w:rsid w:val="00147C4E"/>
    <w:rsid w:val="00147D26"/>
    <w:rsid w:val="00147D41"/>
    <w:rsid w:val="00147E18"/>
    <w:rsid w:val="00147F3E"/>
    <w:rsid w:val="00147F91"/>
    <w:rsid w:val="00150064"/>
    <w:rsid w:val="001500C3"/>
    <w:rsid w:val="00150222"/>
    <w:rsid w:val="00150230"/>
    <w:rsid w:val="00150274"/>
    <w:rsid w:val="00150279"/>
    <w:rsid w:val="001504E9"/>
    <w:rsid w:val="001505E0"/>
    <w:rsid w:val="00150604"/>
    <w:rsid w:val="0015066B"/>
    <w:rsid w:val="001506A2"/>
    <w:rsid w:val="00150823"/>
    <w:rsid w:val="0015086D"/>
    <w:rsid w:val="001508B3"/>
    <w:rsid w:val="001508E9"/>
    <w:rsid w:val="00150928"/>
    <w:rsid w:val="00150984"/>
    <w:rsid w:val="00150A73"/>
    <w:rsid w:val="00150A99"/>
    <w:rsid w:val="00150BAA"/>
    <w:rsid w:val="00150BED"/>
    <w:rsid w:val="00150BF3"/>
    <w:rsid w:val="00150D7E"/>
    <w:rsid w:val="00150DD1"/>
    <w:rsid w:val="00150E4E"/>
    <w:rsid w:val="00150F08"/>
    <w:rsid w:val="00150F45"/>
    <w:rsid w:val="00150F78"/>
    <w:rsid w:val="00150FDA"/>
    <w:rsid w:val="00150FFA"/>
    <w:rsid w:val="00151022"/>
    <w:rsid w:val="0015104C"/>
    <w:rsid w:val="00151065"/>
    <w:rsid w:val="001510A8"/>
    <w:rsid w:val="001511D5"/>
    <w:rsid w:val="00151342"/>
    <w:rsid w:val="00151381"/>
    <w:rsid w:val="001514F2"/>
    <w:rsid w:val="0015159C"/>
    <w:rsid w:val="00151737"/>
    <w:rsid w:val="001517A6"/>
    <w:rsid w:val="001517BB"/>
    <w:rsid w:val="00151A99"/>
    <w:rsid w:val="00151C0A"/>
    <w:rsid w:val="00151E7B"/>
    <w:rsid w:val="00151E83"/>
    <w:rsid w:val="00151EAD"/>
    <w:rsid w:val="00151EF8"/>
    <w:rsid w:val="00151F4C"/>
    <w:rsid w:val="00151F9C"/>
    <w:rsid w:val="00151FD5"/>
    <w:rsid w:val="001520FC"/>
    <w:rsid w:val="00152382"/>
    <w:rsid w:val="001523F9"/>
    <w:rsid w:val="00152535"/>
    <w:rsid w:val="001525A9"/>
    <w:rsid w:val="00152629"/>
    <w:rsid w:val="00152693"/>
    <w:rsid w:val="001526AF"/>
    <w:rsid w:val="001526B1"/>
    <w:rsid w:val="001527D4"/>
    <w:rsid w:val="001528FA"/>
    <w:rsid w:val="00152943"/>
    <w:rsid w:val="001529B1"/>
    <w:rsid w:val="001529F2"/>
    <w:rsid w:val="00152A47"/>
    <w:rsid w:val="00152B11"/>
    <w:rsid w:val="00152B4A"/>
    <w:rsid w:val="00152B6B"/>
    <w:rsid w:val="00152B7A"/>
    <w:rsid w:val="00152C7A"/>
    <w:rsid w:val="00152DB1"/>
    <w:rsid w:val="00152DFD"/>
    <w:rsid w:val="00152E4A"/>
    <w:rsid w:val="00152E59"/>
    <w:rsid w:val="00152EB0"/>
    <w:rsid w:val="00152EB8"/>
    <w:rsid w:val="00152EC1"/>
    <w:rsid w:val="00152FA8"/>
    <w:rsid w:val="00152FD3"/>
    <w:rsid w:val="00153000"/>
    <w:rsid w:val="00153017"/>
    <w:rsid w:val="00153054"/>
    <w:rsid w:val="00153087"/>
    <w:rsid w:val="001531C9"/>
    <w:rsid w:val="001531F1"/>
    <w:rsid w:val="00153217"/>
    <w:rsid w:val="001532D1"/>
    <w:rsid w:val="001533DF"/>
    <w:rsid w:val="001533F5"/>
    <w:rsid w:val="001534FE"/>
    <w:rsid w:val="001535CF"/>
    <w:rsid w:val="00153701"/>
    <w:rsid w:val="001537C4"/>
    <w:rsid w:val="00153869"/>
    <w:rsid w:val="00153878"/>
    <w:rsid w:val="0015388B"/>
    <w:rsid w:val="00153891"/>
    <w:rsid w:val="001538B6"/>
    <w:rsid w:val="00153921"/>
    <w:rsid w:val="00153A18"/>
    <w:rsid w:val="00153AF2"/>
    <w:rsid w:val="00153BC9"/>
    <w:rsid w:val="00153D06"/>
    <w:rsid w:val="00153DF7"/>
    <w:rsid w:val="00153F01"/>
    <w:rsid w:val="001541A7"/>
    <w:rsid w:val="00154248"/>
    <w:rsid w:val="00154320"/>
    <w:rsid w:val="00154343"/>
    <w:rsid w:val="001546FB"/>
    <w:rsid w:val="0015473C"/>
    <w:rsid w:val="001548A9"/>
    <w:rsid w:val="00154A81"/>
    <w:rsid w:val="00154ADD"/>
    <w:rsid w:val="00154BC7"/>
    <w:rsid w:val="00154C02"/>
    <w:rsid w:val="00154D03"/>
    <w:rsid w:val="00154E93"/>
    <w:rsid w:val="00154FBA"/>
    <w:rsid w:val="00154FE9"/>
    <w:rsid w:val="00155059"/>
    <w:rsid w:val="00155067"/>
    <w:rsid w:val="001550CA"/>
    <w:rsid w:val="0015510E"/>
    <w:rsid w:val="00155139"/>
    <w:rsid w:val="00155145"/>
    <w:rsid w:val="001553CF"/>
    <w:rsid w:val="00155402"/>
    <w:rsid w:val="001554E0"/>
    <w:rsid w:val="001554EF"/>
    <w:rsid w:val="0015554A"/>
    <w:rsid w:val="00155583"/>
    <w:rsid w:val="001555D2"/>
    <w:rsid w:val="00155692"/>
    <w:rsid w:val="001556FA"/>
    <w:rsid w:val="00155795"/>
    <w:rsid w:val="00155833"/>
    <w:rsid w:val="0015592D"/>
    <w:rsid w:val="00155A6F"/>
    <w:rsid w:val="00155CDF"/>
    <w:rsid w:val="00155CE5"/>
    <w:rsid w:val="00155D77"/>
    <w:rsid w:val="00155E50"/>
    <w:rsid w:val="00155F06"/>
    <w:rsid w:val="00155F75"/>
    <w:rsid w:val="00155F8D"/>
    <w:rsid w:val="00155F9B"/>
    <w:rsid w:val="001561DF"/>
    <w:rsid w:val="0015634C"/>
    <w:rsid w:val="0015640A"/>
    <w:rsid w:val="0015646D"/>
    <w:rsid w:val="00156706"/>
    <w:rsid w:val="001567BF"/>
    <w:rsid w:val="001567F2"/>
    <w:rsid w:val="00156835"/>
    <w:rsid w:val="001568D9"/>
    <w:rsid w:val="001568F3"/>
    <w:rsid w:val="001569F5"/>
    <w:rsid w:val="00156B2A"/>
    <w:rsid w:val="00156BC0"/>
    <w:rsid w:val="00156C04"/>
    <w:rsid w:val="00156D34"/>
    <w:rsid w:val="00156E09"/>
    <w:rsid w:val="00156E9F"/>
    <w:rsid w:val="00156EE6"/>
    <w:rsid w:val="00156FAD"/>
    <w:rsid w:val="00157057"/>
    <w:rsid w:val="0015713F"/>
    <w:rsid w:val="001571B4"/>
    <w:rsid w:val="0015731C"/>
    <w:rsid w:val="001574C8"/>
    <w:rsid w:val="0015758E"/>
    <w:rsid w:val="001575B7"/>
    <w:rsid w:val="001575F9"/>
    <w:rsid w:val="00157601"/>
    <w:rsid w:val="00157653"/>
    <w:rsid w:val="0015774F"/>
    <w:rsid w:val="00157898"/>
    <w:rsid w:val="00157996"/>
    <w:rsid w:val="00157A7E"/>
    <w:rsid w:val="00157A9B"/>
    <w:rsid w:val="00157D35"/>
    <w:rsid w:val="00157DD0"/>
    <w:rsid w:val="00157E24"/>
    <w:rsid w:val="00157EA3"/>
    <w:rsid w:val="00157F2A"/>
    <w:rsid w:val="00157FD2"/>
    <w:rsid w:val="00160026"/>
    <w:rsid w:val="00160093"/>
    <w:rsid w:val="0016009F"/>
    <w:rsid w:val="0016030A"/>
    <w:rsid w:val="00160364"/>
    <w:rsid w:val="0016048C"/>
    <w:rsid w:val="00160643"/>
    <w:rsid w:val="00160671"/>
    <w:rsid w:val="001607DF"/>
    <w:rsid w:val="00160804"/>
    <w:rsid w:val="00160809"/>
    <w:rsid w:val="00160935"/>
    <w:rsid w:val="001609FA"/>
    <w:rsid w:val="00160A8E"/>
    <w:rsid w:val="00160AD0"/>
    <w:rsid w:val="00160B1F"/>
    <w:rsid w:val="00160B46"/>
    <w:rsid w:val="00160CC9"/>
    <w:rsid w:val="00160CCF"/>
    <w:rsid w:val="00160DBC"/>
    <w:rsid w:val="00160EC2"/>
    <w:rsid w:val="00160F8A"/>
    <w:rsid w:val="00160FC1"/>
    <w:rsid w:val="00161057"/>
    <w:rsid w:val="00161177"/>
    <w:rsid w:val="001611E4"/>
    <w:rsid w:val="0016131D"/>
    <w:rsid w:val="0016134B"/>
    <w:rsid w:val="001613B0"/>
    <w:rsid w:val="001613B6"/>
    <w:rsid w:val="00161584"/>
    <w:rsid w:val="00161598"/>
    <w:rsid w:val="001615DD"/>
    <w:rsid w:val="00161769"/>
    <w:rsid w:val="00161857"/>
    <w:rsid w:val="0016194C"/>
    <w:rsid w:val="00161982"/>
    <w:rsid w:val="0016199C"/>
    <w:rsid w:val="00161A32"/>
    <w:rsid w:val="00161A70"/>
    <w:rsid w:val="00161A7E"/>
    <w:rsid w:val="00161BD5"/>
    <w:rsid w:val="00161C44"/>
    <w:rsid w:val="00161C72"/>
    <w:rsid w:val="00161D87"/>
    <w:rsid w:val="00161D8C"/>
    <w:rsid w:val="001620AE"/>
    <w:rsid w:val="001623B7"/>
    <w:rsid w:val="001623F4"/>
    <w:rsid w:val="001624AF"/>
    <w:rsid w:val="001625D5"/>
    <w:rsid w:val="001625D9"/>
    <w:rsid w:val="00162638"/>
    <w:rsid w:val="001626D1"/>
    <w:rsid w:val="00162712"/>
    <w:rsid w:val="0016273B"/>
    <w:rsid w:val="001628E8"/>
    <w:rsid w:val="00162948"/>
    <w:rsid w:val="00162A78"/>
    <w:rsid w:val="00162B19"/>
    <w:rsid w:val="00162B6E"/>
    <w:rsid w:val="00162B89"/>
    <w:rsid w:val="00162C67"/>
    <w:rsid w:val="00162D11"/>
    <w:rsid w:val="00162DDE"/>
    <w:rsid w:val="00162DEF"/>
    <w:rsid w:val="00162E27"/>
    <w:rsid w:val="001630A8"/>
    <w:rsid w:val="0016310F"/>
    <w:rsid w:val="0016315C"/>
    <w:rsid w:val="00163192"/>
    <w:rsid w:val="001631AD"/>
    <w:rsid w:val="001632FA"/>
    <w:rsid w:val="0016330C"/>
    <w:rsid w:val="001633A8"/>
    <w:rsid w:val="00163435"/>
    <w:rsid w:val="0016358B"/>
    <w:rsid w:val="00163667"/>
    <w:rsid w:val="001636B3"/>
    <w:rsid w:val="00163883"/>
    <w:rsid w:val="001639A0"/>
    <w:rsid w:val="00163A0E"/>
    <w:rsid w:val="00163A65"/>
    <w:rsid w:val="00163A72"/>
    <w:rsid w:val="00163ADE"/>
    <w:rsid w:val="00163B00"/>
    <w:rsid w:val="00163B4A"/>
    <w:rsid w:val="00163B77"/>
    <w:rsid w:val="00163B8A"/>
    <w:rsid w:val="00163C29"/>
    <w:rsid w:val="00163C4D"/>
    <w:rsid w:val="00163C9D"/>
    <w:rsid w:val="00163CA2"/>
    <w:rsid w:val="00163CFE"/>
    <w:rsid w:val="00163D14"/>
    <w:rsid w:val="00163D8B"/>
    <w:rsid w:val="00163D9C"/>
    <w:rsid w:val="00163DA4"/>
    <w:rsid w:val="00163DF7"/>
    <w:rsid w:val="00163E47"/>
    <w:rsid w:val="00163E67"/>
    <w:rsid w:val="00163ED3"/>
    <w:rsid w:val="001640E3"/>
    <w:rsid w:val="00164195"/>
    <w:rsid w:val="001641CB"/>
    <w:rsid w:val="001641D9"/>
    <w:rsid w:val="0016430B"/>
    <w:rsid w:val="00164369"/>
    <w:rsid w:val="001644B4"/>
    <w:rsid w:val="001646AB"/>
    <w:rsid w:val="001647B7"/>
    <w:rsid w:val="001649CD"/>
    <w:rsid w:val="001649D8"/>
    <w:rsid w:val="001649DD"/>
    <w:rsid w:val="001649E3"/>
    <w:rsid w:val="00164B34"/>
    <w:rsid w:val="00164B5E"/>
    <w:rsid w:val="00164BB8"/>
    <w:rsid w:val="00164BBA"/>
    <w:rsid w:val="00164BEC"/>
    <w:rsid w:val="00164BF9"/>
    <w:rsid w:val="00164C2B"/>
    <w:rsid w:val="00164C64"/>
    <w:rsid w:val="00164D03"/>
    <w:rsid w:val="00164D1B"/>
    <w:rsid w:val="00164D37"/>
    <w:rsid w:val="00164D57"/>
    <w:rsid w:val="00164FC8"/>
    <w:rsid w:val="00164FCF"/>
    <w:rsid w:val="00164FFC"/>
    <w:rsid w:val="00165055"/>
    <w:rsid w:val="00165184"/>
    <w:rsid w:val="001651C8"/>
    <w:rsid w:val="00165274"/>
    <w:rsid w:val="00165369"/>
    <w:rsid w:val="00165388"/>
    <w:rsid w:val="00165430"/>
    <w:rsid w:val="00165612"/>
    <w:rsid w:val="00165728"/>
    <w:rsid w:val="00165742"/>
    <w:rsid w:val="0016575A"/>
    <w:rsid w:val="0016577F"/>
    <w:rsid w:val="001657C1"/>
    <w:rsid w:val="0016594D"/>
    <w:rsid w:val="001659B6"/>
    <w:rsid w:val="00165A0E"/>
    <w:rsid w:val="00165A51"/>
    <w:rsid w:val="00165BE3"/>
    <w:rsid w:val="00165CF2"/>
    <w:rsid w:val="00165D84"/>
    <w:rsid w:val="00165DC0"/>
    <w:rsid w:val="00165DC6"/>
    <w:rsid w:val="00165DCB"/>
    <w:rsid w:val="00165FCB"/>
    <w:rsid w:val="0016605E"/>
    <w:rsid w:val="0016607E"/>
    <w:rsid w:val="001660C5"/>
    <w:rsid w:val="001660EF"/>
    <w:rsid w:val="001661A6"/>
    <w:rsid w:val="001661E0"/>
    <w:rsid w:val="00166328"/>
    <w:rsid w:val="001663C3"/>
    <w:rsid w:val="0016654E"/>
    <w:rsid w:val="00166595"/>
    <w:rsid w:val="001665EC"/>
    <w:rsid w:val="0016668E"/>
    <w:rsid w:val="0016688A"/>
    <w:rsid w:val="001668AA"/>
    <w:rsid w:val="001669DB"/>
    <w:rsid w:val="00166A4A"/>
    <w:rsid w:val="00166AF4"/>
    <w:rsid w:val="00166B09"/>
    <w:rsid w:val="00166B5D"/>
    <w:rsid w:val="00166B61"/>
    <w:rsid w:val="00166BE9"/>
    <w:rsid w:val="00166C02"/>
    <w:rsid w:val="00166C76"/>
    <w:rsid w:val="00166E21"/>
    <w:rsid w:val="00166EA2"/>
    <w:rsid w:val="00166EE6"/>
    <w:rsid w:val="00166FE5"/>
    <w:rsid w:val="001670FA"/>
    <w:rsid w:val="001671BD"/>
    <w:rsid w:val="00167233"/>
    <w:rsid w:val="0016728F"/>
    <w:rsid w:val="00167318"/>
    <w:rsid w:val="001673B5"/>
    <w:rsid w:val="001673B8"/>
    <w:rsid w:val="0016744E"/>
    <w:rsid w:val="00167485"/>
    <w:rsid w:val="001674C1"/>
    <w:rsid w:val="00167501"/>
    <w:rsid w:val="0016758D"/>
    <w:rsid w:val="001675AA"/>
    <w:rsid w:val="00167662"/>
    <w:rsid w:val="001676B5"/>
    <w:rsid w:val="001676C9"/>
    <w:rsid w:val="001677D2"/>
    <w:rsid w:val="00167A6F"/>
    <w:rsid w:val="00167AC8"/>
    <w:rsid w:val="00167B39"/>
    <w:rsid w:val="00167B3D"/>
    <w:rsid w:val="00167C3A"/>
    <w:rsid w:val="00167D3D"/>
    <w:rsid w:val="00167D5F"/>
    <w:rsid w:val="00167DB5"/>
    <w:rsid w:val="00167DDC"/>
    <w:rsid w:val="00167E22"/>
    <w:rsid w:val="00167E78"/>
    <w:rsid w:val="00167F33"/>
    <w:rsid w:val="00170043"/>
    <w:rsid w:val="0017020C"/>
    <w:rsid w:val="00170214"/>
    <w:rsid w:val="00170243"/>
    <w:rsid w:val="0017024A"/>
    <w:rsid w:val="001703A2"/>
    <w:rsid w:val="001704A6"/>
    <w:rsid w:val="00170615"/>
    <w:rsid w:val="00170687"/>
    <w:rsid w:val="0017083A"/>
    <w:rsid w:val="0017090E"/>
    <w:rsid w:val="0017093F"/>
    <w:rsid w:val="00170A87"/>
    <w:rsid w:val="00170ADA"/>
    <w:rsid w:val="00170B5A"/>
    <w:rsid w:val="00170C72"/>
    <w:rsid w:val="00170D79"/>
    <w:rsid w:val="00170D84"/>
    <w:rsid w:val="00170DA7"/>
    <w:rsid w:val="00170DB0"/>
    <w:rsid w:val="00170DC2"/>
    <w:rsid w:val="00170EB2"/>
    <w:rsid w:val="00170F10"/>
    <w:rsid w:val="00170F36"/>
    <w:rsid w:val="00171037"/>
    <w:rsid w:val="001711A0"/>
    <w:rsid w:val="001711F5"/>
    <w:rsid w:val="001711FD"/>
    <w:rsid w:val="001712AC"/>
    <w:rsid w:val="0017131B"/>
    <w:rsid w:val="0017144F"/>
    <w:rsid w:val="001714CF"/>
    <w:rsid w:val="0017163C"/>
    <w:rsid w:val="0017167A"/>
    <w:rsid w:val="00171781"/>
    <w:rsid w:val="001717EE"/>
    <w:rsid w:val="00171A58"/>
    <w:rsid w:val="00171AD0"/>
    <w:rsid w:val="00171AF9"/>
    <w:rsid w:val="00171BAD"/>
    <w:rsid w:val="00171BEB"/>
    <w:rsid w:val="00171C99"/>
    <w:rsid w:val="00171CD9"/>
    <w:rsid w:val="00171D4E"/>
    <w:rsid w:val="00171D7C"/>
    <w:rsid w:val="00171DAB"/>
    <w:rsid w:val="00171F98"/>
    <w:rsid w:val="001720EF"/>
    <w:rsid w:val="001721BA"/>
    <w:rsid w:val="0017221C"/>
    <w:rsid w:val="0017233A"/>
    <w:rsid w:val="001723E4"/>
    <w:rsid w:val="001723FE"/>
    <w:rsid w:val="00172400"/>
    <w:rsid w:val="00172406"/>
    <w:rsid w:val="00172527"/>
    <w:rsid w:val="00172600"/>
    <w:rsid w:val="001726FE"/>
    <w:rsid w:val="0017273E"/>
    <w:rsid w:val="0017277E"/>
    <w:rsid w:val="001727C7"/>
    <w:rsid w:val="001727DB"/>
    <w:rsid w:val="0017281D"/>
    <w:rsid w:val="0017285C"/>
    <w:rsid w:val="00172899"/>
    <w:rsid w:val="00172A0E"/>
    <w:rsid w:val="00172B3E"/>
    <w:rsid w:val="00172BC2"/>
    <w:rsid w:val="00172C7B"/>
    <w:rsid w:val="00172C99"/>
    <w:rsid w:val="00172CB4"/>
    <w:rsid w:val="00172E54"/>
    <w:rsid w:val="00172ECF"/>
    <w:rsid w:val="00172ED0"/>
    <w:rsid w:val="00172EF9"/>
    <w:rsid w:val="00172F49"/>
    <w:rsid w:val="00172FC0"/>
    <w:rsid w:val="0017303B"/>
    <w:rsid w:val="00173063"/>
    <w:rsid w:val="00173194"/>
    <w:rsid w:val="001731C4"/>
    <w:rsid w:val="00173217"/>
    <w:rsid w:val="0017321A"/>
    <w:rsid w:val="001733A3"/>
    <w:rsid w:val="001733AD"/>
    <w:rsid w:val="0017347A"/>
    <w:rsid w:val="00173518"/>
    <w:rsid w:val="00173567"/>
    <w:rsid w:val="0017358E"/>
    <w:rsid w:val="001735FA"/>
    <w:rsid w:val="00173615"/>
    <w:rsid w:val="00173673"/>
    <w:rsid w:val="001737E9"/>
    <w:rsid w:val="00173A5A"/>
    <w:rsid w:val="00173B6E"/>
    <w:rsid w:val="00173BC5"/>
    <w:rsid w:val="00173C8D"/>
    <w:rsid w:val="00173CB0"/>
    <w:rsid w:val="00173CC0"/>
    <w:rsid w:val="00173DBD"/>
    <w:rsid w:val="00173DD1"/>
    <w:rsid w:val="00173E35"/>
    <w:rsid w:val="00173E42"/>
    <w:rsid w:val="00173E58"/>
    <w:rsid w:val="00173FDD"/>
    <w:rsid w:val="0017427A"/>
    <w:rsid w:val="001742AB"/>
    <w:rsid w:val="001746AF"/>
    <w:rsid w:val="001749E6"/>
    <w:rsid w:val="00174A51"/>
    <w:rsid w:val="00174A85"/>
    <w:rsid w:val="00174B02"/>
    <w:rsid w:val="00174BB4"/>
    <w:rsid w:val="00174C6C"/>
    <w:rsid w:val="00174C73"/>
    <w:rsid w:val="00174D66"/>
    <w:rsid w:val="00174D76"/>
    <w:rsid w:val="00174DAD"/>
    <w:rsid w:val="00174DFB"/>
    <w:rsid w:val="00174F31"/>
    <w:rsid w:val="00174FD1"/>
    <w:rsid w:val="0017505B"/>
    <w:rsid w:val="0017512D"/>
    <w:rsid w:val="00175171"/>
    <w:rsid w:val="00175172"/>
    <w:rsid w:val="00175173"/>
    <w:rsid w:val="001751D4"/>
    <w:rsid w:val="001751E6"/>
    <w:rsid w:val="00175279"/>
    <w:rsid w:val="00175423"/>
    <w:rsid w:val="00175445"/>
    <w:rsid w:val="00175494"/>
    <w:rsid w:val="00175618"/>
    <w:rsid w:val="001756D3"/>
    <w:rsid w:val="00175896"/>
    <w:rsid w:val="001759C8"/>
    <w:rsid w:val="001759F8"/>
    <w:rsid w:val="00175A68"/>
    <w:rsid w:val="00175A6F"/>
    <w:rsid w:val="00175A7D"/>
    <w:rsid w:val="00175ABD"/>
    <w:rsid w:val="00175AEB"/>
    <w:rsid w:val="00175BE0"/>
    <w:rsid w:val="00175C12"/>
    <w:rsid w:val="00175DCB"/>
    <w:rsid w:val="00175E71"/>
    <w:rsid w:val="00175F01"/>
    <w:rsid w:val="00175F61"/>
    <w:rsid w:val="0017621A"/>
    <w:rsid w:val="001762FC"/>
    <w:rsid w:val="00176335"/>
    <w:rsid w:val="0017646A"/>
    <w:rsid w:val="0017646C"/>
    <w:rsid w:val="00176600"/>
    <w:rsid w:val="00176669"/>
    <w:rsid w:val="00176808"/>
    <w:rsid w:val="001768E0"/>
    <w:rsid w:val="00176947"/>
    <w:rsid w:val="00176987"/>
    <w:rsid w:val="00176A58"/>
    <w:rsid w:val="00176BF4"/>
    <w:rsid w:val="00176C71"/>
    <w:rsid w:val="00176C86"/>
    <w:rsid w:val="00176CAA"/>
    <w:rsid w:val="00176CE0"/>
    <w:rsid w:val="00176D4C"/>
    <w:rsid w:val="00176DE4"/>
    <w:rsid w:val="00176E3B"/>
    <w:rsid w:val="00176E75"/>
    <w:rsid w:val="00176F4B"/>
    <w:rsid w:val="00176F4E"/>
    <w:rsid w:val="00177087"/>
    <w:rsid w:val="00177097"/>
    <w:rsid w:val="001771BA"/>
    <w:rsid w:val="001772A3"/>
    <w:rsid w:val="001772B8"/>
    <w:rsid w:val="001772FC"/>
    <w:rsid w:val="00177505"/>
    <w:rsid w:val="00177689"/>
    <w:rsid w:val="001776F6"/>
    <w:rsid w:val="001777BF"/>
    <w:rsid w:val="001777E7"/>
    <w:rsid w:val="00177820"/>
    <w:rsid w:val="0017786B"/>
    <w:rsid w:val="00177935"/>
    <w:rsid w:val="0017794E"/>
    <w:rsid w:val="00177A0E"/>
    <w:rsid w:val="00177B66"/>
    <w:rsid w:val="00177C66"/>
    <w:rsid w:val="00177E2C"/>
    <w:rsid w:val="00177E4D"/>
    <w:rsid w:val="00177F2B"/>
    <w:rsid w:val="0018008E"/>
    <w:rsid w:val="0018009E"/>
    <w:rsid w:val="00180154"/>
    <w:rsid w:val="0018023E"/>
    <w:rsid w:val="00180357"/>
    <w:rsid w:val="0018035A"/>
    <w:rsid w:val="00180369"/>
    <w:rsid w:val="00180380"/>
    <w:rsid w:val="001803CB"/>
    <w:rsid w:val="001804B0"/>
    <w:rsid w:val="001804FC"/>
    <w:rsid w:val="0018069E"/>
    <w:rsid w:val="001806D9"/>
    <w:rsid w:val="00180700"/>
    <w:rsid w:val="0018076A"/>
    <w:rsid w:val="00180895"/>
    <w:rsid w:val="00180909"/>
    <w:rsid w:val="00180ABC"/>
    <w:rsid w:val="00180C81"/>
    <w:rsid w:val="00180D36"/>
    <w:rsid w:val="00180D70"/>
    <w:rsid w:val="00180E79"/>
    <w:rsid w:val="00180F13"/>
    <w:rsid w:val="00180F4D"/>
    <w:rsid w:val="00181098"/>
    <w:rsid w:val="00181116"/>
    <w:rsid w:val="0018118F"/>
    <w:rsid w:val="001812B4"/>
    <w:rsid w:val="001812E5"/>
    <w:rsid w:val="0018135A"/>
    <w:rsid w:val="0018157D"/>
    <w:rsid w:val="00181744"/>
    <w:rsid w:val="00181821"/>
    <w:rsid w:val="0018185D"/>
    <w:rsid w:val="00181985"/>
    <w:rsid w:val="00181ADD"/>
    <w:rsid w:val="00181AEF"/>
    <w:rsid w:val="00181B31"/>
    <w:rsid w:val="00181C2C"/>
    <w:rsid w:val="00181DDA"/>
    <w:rsid w:val="00181F68"/>
    <w:rsid w:val="00182060"/>
    <w:rsid w:val="00182066"/>
    <w:rsid w:val="0018208D"/>
    <w:rsid w:val="00182101"/>
    <w:rsid w:val="00182134"/>
    <w:rsid w:val="001824B1"/>
    <w:rsid w:val="001824D3"/>
    <w:rsid w:val="0018250D"/>
    <w:rsid w:val="00182591"/>
    <w:rsid w:val="001826DA"/>
    <w:rsid w:val="001826EA"/>
    <w:rsid w:val="00182759"/>
    <w:rsid w:val="0018289F"/>
    <w:rsid w:val="001828CD"/>
    <w:rsid w:val="0018292D"/>
    <w:rsid w:val="00182963"/>
    <w:rsid w:val="00182A00"/>
    <w:rsid w:val="00182B24"/>
    <w:rsid w:val="00182B9D"/>
    <w:rsid w:val="00182C41"/>
    <w:rsid w:val="00182CDD"/>
    <w:rsid w:val="00182D73"/>
    <w:rsid w:val="00182F4F"/>
    <w:rsid w:val="00182F8D"/>
    <w:rsid w:val="0018322A"/>
    <w:rsid w:val="001832BB"/>
    <w:rsid w:val="001834AB"/>
    <w:rsid w:val="001834CB"/>
    <w:rsid w:val="00183529"/>
    <w:rsid w:val="00183568"/>
    <w:rsid w:val="00183579"/>
    <w:rsid w:val="0018364A"/>
    <w:rsid w:val="001837B8"/>
    <w:rsid w:val="001838A5"/>
    <w:rsid w:val="0018392C"/>
    <w:rsid w:val="0018394A"/>
    <w:rsid w:val="0018398A"/>
    <w:rsid w:val="00183A43"/>
    <w:rsid w:val="00183AAE"/>
    <w:rsid w:val="00183B6A"/>
    <w:rsid w:val="00183C4C"/>
    <w:rsid w:val="00183C83"/>
    <w:rsid w:val="00183C87"/>
    <w:rsid w:val="00183DA6"/>
    <w:rsid w:val="00183DD7"/>
    <w:rsid w:val="00183E18"/>
    <w:rsid w:val="00183E54"/>
    <w:rsid w:val="00183F00"/>
    <w:rsid w:val="00183F43"/>
    <w:rsid w:val="0018411D"/>
    <w:rsid w:val="001841DA"/>
    <w:rsid w:val="001843A0"/>
    <w:rsid w:val="00184424"/>
    <w:rsid w:val="00184518"/>
    <w:rsid w:val="00184537"/>
    <w:rsid w:val="001846A7"/>
    <w:rsid w:val="001846DE"/>
    <w:rsid w:val="0018474F"/>
    <w:rsid w:val="001847D7"/>
    <w:rsid w:val="00184887"/>
    <w:rsid w:val="00184B7B"/>
    <w:rsid w:val="00184C54"/>
    <w:rsid w:val="00184C7F"/>
    <w:rsid w:val="00184CCE"/>
    <w:rsid w:val="00184F6B"/>
    <w:rsid w:val="00184FA6"/>
    <w:rsid w:val="00184FC5"/>
    <w:rsid w:val="00185035"/>
    <w:rsid w:val="00185089"/>
    <w:rsid w:val="001850D6"/>
    <w:rsid w:val="0018511D"/>
    <w:rsid w:val="0018517F"/>
    <w:rsid w:val="001852D7"/>
    <w:rsid w:val="00185401"/>
    <w:rsid w:val="0018541E"/>
    <w:rsid w:val="0018564E"/>
    <w:rsid w:val="00185974"/>
    <w:rsid w:val="001859F2"/>
    <w:rsid w:val="00185A75"/>
    <w:rsid w:val="00185BD8"/>
    <w:rsid w:val="00185C58"/>
    <w:rsid w:val="00185CAA"/>
    <w:rsid w:val="00185EF0"/>
    <w:rsid w:val="00185F4F"/>
    <w:rsid w:val="0018600C"/>
    <w:rsid w:val="00186014"/>
    <w:rsid w:val="00186122"/>
    <w:rsid w:val="0018619F"/>
    <w:rsid w:val="00186358"/>
    <w:rsid w:val="001864B5"/>
    <w:rsid w:val="001864E5"/>
    <w:rsid w:val="0018654B"/>
    <w:rsid w:val="00186622"/>
    <w:rsid w:val="001866E2"/>
    <w:rsid w:val="00186975"/>
    <w:rsid w:val="00186AF0"/>
    <w:rsid w:val="00186B8B"/>
    <w:rsid w:val="00186CD0"/>
    <w:rsid w:val="00186D81"/>
    <w:rsid w:val="00186DB7"/>
    <w:rsid w:val="00186E8A"/>
    <w:rsid w:val="00186E96"/>
    <w:rsid w:val="00186F55"/>
    <w:rsid w:val="00186FE7"/>
    <w:rsid w:val="0018702D"/>
    <w:rsid w:val="001870B0"/>
    <w:rsid w:val="001870C0"/>
    <w:rsid w:val="00187137"/>
    <w:rsid w:val="0018725C"/>
    <w:rsid w:val="00187910"/>
    <w:rsid w:val="001879E8"/>
    <w:rsid w:val="00187B20"/>
    <w:rsid w:val="00187B3D"/>
    <w:rsid w:val="00187BD9"/>
    <w:rsid w:val="00187C86"/>
    <w:rsid w:val="00187C8A"/>
    <w:rsid w:val="00187CAF"/>
    <w:rsid w:val="00187D29"/>
    <w:rsid w:val="00187D53"/>
    <w:rsid w:val="00187E22"/>
    <w:rsid w:val="00187E59"/>
    <w:rsid w:val="00187E77"/>
    <w:rsid w:val="00187F4D"/>
    <w:rsid w:val="0019010C"/>
    <w:rsid w:val="00190245"/>
    <w:rsid w:val="00190365"/>
    <w:rsid w:val="00190485"/>
    <w:rsid w:val="001904A1"/>
    <w:rsid w:val="00190604"/>
    <w:rsid w:val="0019068C"/>
    <w:rsid w:val="0019069B"/>
    <w:rsid w:val="0019071D"/>
    <w:rsid w:val="00190744"/>
    <w:rsid w:val="0019090E"/>
    <w:rsid w:val="0019093B"/>
    <w:rsid w:val="001909AB"/>
    <w:rsid w:val="001909DD"/>
    <w:rsid w:val="00190A81"/>
    <w:rsid w:val="00190AA4"/>
    <w:rsid w:val="00190AB0"/>
    <w:rsid w:val="00190B21"/>
    <w:rsid w:val="00190B58"/>
    <w:rsid w:val="00190BFB"/>
    <w:rsid w:val="00190C2A"/>
    <w:rsid w:val="00190CEA"/>
    <w:rsid w:val="00190D97"/>
    <w:rsid w:val="00190ED9"/>
    <w:rsid w:val="00190F84"/>
    <w:rsid w:val="00191064"/>
    <w:rsid w:val="001911A4"/>
    <w:rsid w:val="0019137B"/>
    <w:rsid w:val="001913D1"/>
    <w:rsid w:val="001913D3"/>
    <w:rsid w:val="001913DC"/>
    <w:rsid w:val="001913DD"/>
    <w:rsid w:val="00191445"/>
    <w:rsid w:val="00191454"/>
    <w:rsid w:val="00191497"/>
    <w:rsid w:val="0019149D"/>
    <w:rsid w:val="0019158D"/>
    <w:rsid w:val="001916A1"/>
    <w:rsid w:val="001917B8"/>
    <w:rsid w:val="00191AE6"/>
    <w:rsid w:val="00191BD5"/>
    <w:rsid w:val="00191C66"/>
    <w:rsid w:val="00191D87"/>
    <w:rsid w:val="00191F34"/>
    <w:rsid w:val="00191F35"/>
    <w:rsid w:val="00191FE1"/>
    <w:rsid w:val="00192111"/>
    <w:rsid w:val="00192146"/>
    <w:rsid w:val="0019216E"/>
    <w:rsid w:val="0019226B"/>
    <w:rsid w:val="00192287"/>
    <w:rsid w:val="001922F1"/>
    <w:rsid w:val="0019237A"/>
    <w:rsid w:val="001924AC"/>
    <w:rsid w:val="00192569"/>
    <w:rsid w:val="0019267E"/>
    <w:rsid w:val="001926A3"/>
    <w:rsid w:val="001926C0"/>
    <w:rsid w:val="00192741"/>
    <w:rsid w:val="00192748"/>
    <w:rsid w:val="00192761"/>
    <w:rsid w:val="001927AD"/>
    <w:rsid w:val="00192814"/>
    <w:rsid w:val="0019289A"/>
    <w:rsid w:val="001928A9"/>
    <w:rsid w:val="0019298E"/>
    <w:rsid w:val="00192997"/>
    <w:rsid w:val="001929C8"/>
    <w:rsid w:val="00192A2E"/>
    <w:rsid w:val="00192AC7"/>
    <w:rsid w:val="00192B2D"/>
    <w:rsid w:val="00192C84"/>
    <w:rsid w:val="00192DD7"/>
    <w:rsid w:val="00192E57"/>
    <w:rsid w:val="00192F19"/>
    <w:rsid w:val="00192F50"/>
    <w:rsid w:val="00193014"/>
    <w:rsid w:val="0019308B"/>
    <w:rsid w:val="0019312B"/>
    <w:rsid w:val="001931B0"/>
    <w:rsid w:val="00193476"/>
    <w:rsid w:val="001934E3"/>
    <w:rsid w:val="00193503"/>
    <w:rsid w:val="00193512"/>
    <w:rsid w:val="00193700"/>
    <w:rsid w:val="00193716"/>
    <w:rsid w:val="00193A79"/>
    <w:rsid w:val="00193BCE"/>
    <w:rsid w:val="00193C1C"/>
    <w:rsid w:val="00193EA7"/>
    <w:rsid w:val="00193EF0"/>
    <w:rsid w:val="00193FFF"/>
    <w:rsid w:val="00194056"/>
    <w:rsid w:val="0019409B"/>
    <w:rsid w:val="001940CB"/>
    <w:rsid w:val="001941A4"/>
    <w:rsid w:val="001942AC"/>
    <w:rsid w:val="00194546"/>
    <w:rsid w:val="0019455E"/>
    <w:rsid w:val="001946FD"/>
    <w:rsid w:val="00194752"/>
    <w:rsid w:val="0019479A"/>
    <w:rsid w:val="001947C5"/>
    <w:rsid w:val="001948FE"/>
    <w:rsid w:val="00194912"/>
    <w:rsid w:val="00194A90"/>
    <w:rsid w:val="00194AD4"/>
    <w:rsid w:val="00194B13"/>
    <w:rsid w:val="00194B96"/>
    <w:rsid w:val="00194C96"/>
    <w:rsid w:val="00194CC7"/>
    <w:rsid w:val="00194D0E"/>
    <w:rsid w:val="00194DD0"/>
    <w:rsid w:val="00194EDC"/>
    <w:rsid w:val="00194F3B"/>
    <w:rsid w:val="00194F5D"/>
    <w:rsid w:val="0019507E"/>
    <w:rsid w:val="001950E2"/>
    <w:rsid w:val="001950E9"/>
    <w:rsid w:val="00195122"/>
    <w:rsid w:val="00195139"/>
    <w:rsid w:val="0019518F"/>
    <w:rsid w:val="00195196"/>
    <w:rsid w:val="00195248"/>
    <w:rsid w:val="0019537B"/>
    <w:rsid w:val="00195455"/>
    <w:rsid w:val="0019557C"/>
    <w:rsid w:val="00195682"/>
    <w:rsid w:val="001959E4"/>
    <w:rsid w:val="00195CB6"/>
    <w:rsid w:val="00195CD6"/>
    <w:rsid w:val="00195DC7"/>
    <w:rsid w:val="00195E41"/>
    <w:rsid w:val="00195E97"/>
    <w:rsid w:val="00195F80"/>
    <w:rsid w:val="0019603A"/>
    <w:rsid w:val="0019603E"/>
    <w:rsid w:val="00196062"/>
    <w:rsid w:val="00196119"/>
    <w:rsid w:val="00196175"/>
    <w:rsid w:val="00196197"/>
    <w:rsid w:val="00196211"/>
    <w:rsid w:val="00196216"/>
    <w:rsid w:val="00196280"/>
    <w:rsid w:val="001963D5"/>
    <w:rsid w:val="001964C0"/>
    <w:rsid w:val="001965AB"/>
    <w:rsid w:val="001965B6"/>
    <w:rsid w:val="0019666C"/>
    <w:rsid w:val="0019667F"/>
    <w:rsid w:val="001966DB"/>
    <w:rsid w:val="0019676E"/>
    <w:rsid w:val="001968D4"/>
    <w:rsid w:val="00196A5B"/>
    <w:rsid w:val="00196A8C"/>
    <w:rsid w:val="00196CAA"/>
    <w:rsid w:val="00196CB6"/>
    <w:rsid w:val="00196D52"/>
    <w:rsid w:val="00196D6F"/>
    <w:rsid w:val="00196D7F"/>
    <w:rsid w:val="00196DF1"/>
    <w:rsid w:val="00196E04"/>
    <w:rsid w:val="00196E24"/>
    <w:rsid w:val="00196E6D"/>
    <w:rsid w:val="00196ECD"/>
    <w:rsid w:val="00196F7D"/>
    <w:rsid w:val="001971F9"/>
    <w:rsid w:val="0019723D"/>
    <w:rsid w:val="0019727C"/>
    <w:rsid w:val="00197425"/>
    <w:rsid w:val="00197500"/>
    <w:rsid w:val="001975B8"/>
    <w:rsid w:val="001975CF"/>
    <w:rsid w:val="001975DA"/>
    <w:rsid w:val="001975E2"/>
    <w:rsid w:val="001976BA"/>
    <w:rsid w:val="001976C0"/>
    <w:rsid w:val="00197755"/>
    <w:rsid w:val="00197850"/>
    <w:rsid w:val="001978A3"/>
    <w:rsid w:val="001978CC"/>
    <w:rsid w:val="00197A7A"/>
    <w:rsid w:val="00197BB0"/>
    <w:rsid w:val="00197CBD"/>
    <w:rsid w:val="00197CC3"/>
    <w:rsid w:val="00197E1C"/>
    <w:rsid w:val="00197E44"/>
    <w:rsid w:val="001A0094"/>
    <w:rsid w:val="001A00B4"/>
    <w:rsid w:val="001A0142"/>
    <w:rsid w:val="001A015C"/>
    <w:rsid w:val="001A0173"/>
    <w:rsid w:val="001A019E"/>
    <w:rsid w:val="001A03F9"/>
    <w:rsid w:val="001A04C1"/>
    <w:rsid w:val="001A0547"/>
    <w:rsid w:val="001A0554"/>
    <w:rsid w:val="001A05C2"/>
    <w:rsid w:val="001A066F"/>
    <w:rsid w:val="001A0690"/>
    <w:rsid w:val="001A0716"/>
    <w:rsid w:val="001A0789"/>
    <w:rsid w:val="001A079E"/>
    <w:rsid w:val="001A07BF"/>
    <w:rsid w:val="001A0813"/>
    <w:rsid w:val="001A0836"/>
    <w:rsid w:val="001A0890"/>
    <w:rsid w:val="001A08FA"/>
    <w:rsid w:val="001A0940"/>
    <w:rsid w:val="001A0995"/>
    <w:rsid w:val="001A0A18"/>
    <w:rsid w:val="001A0A4B"/>
    <w:rsid w:val="001A0A6B"/>
    <w:rsid w:val="001A0A6C"/>
    <w:rsid w:val="001A0AD6"/>
    <w:rsid w:val="001A0AE3"/>
    <w:rsid w:val="001A0D4A"/>
    <w:rsid w:val="001A0D80"/>
    <w:rsid w:val="001A0D8C"/>
    <w:rsid w:val="001A0F2C"/>
    <w:rsid w:val="001A0F63"/>
    <w:rsid w:val="001A1040"/>
    <w:rsid w:val="001A106F"/>
    <w:rsid w:val="001A1074"/>
    <w:rsid w:val="001A138A"/>
    <w:rsid w:val="001A13D4"/>
    <w:rsid w:val="001A1469"/>
    <w:rsid w:val="001A14B1"/>
    <w:rsid w:val="001A1508"/>
    <w:rsid w:val="001A1530"/>
    <w:rsid w:val="001A1634"/>
    <w:rsid w:val="001A1644"/>
    <w:rsid w:val="001A1727"/>
    <w:rsid w:val="001A1849"/>
    <w:rsid w:val="001A1AFD"/>
    <w:rsid w:val="001A1B0C"/>
    <w:rsid w:val="001A1B6D"/>
    <w:rsid w:val="001A1B73"/>
    <w:rsid w:val="001A1B80"/>
    <w:rsid w:val="001A1BA8"/>
    <w:rsid w:val="001A1C7E"/>
    <w:rsid w:val="001A1CE0"/>
    <w:rsid w:val="001A1EA0"/>
    <w:rsid w:val="001A1EDB"/>
    <w:rsid w:val="001A1F05"/>
    <w:rsid w:val="001A1F26"/>
    <w:rsid w:val="001A1F5C"/>
    <w:rsid w:val="001A1F91"/>
    <w:rsid w:val="001A1F93"/>
    <w:rsid w:val="001A1F9A"/>
    <w:rsid w:val="001A200A"/>
    <w:rsid w:val="001A209F"/>
    <w:rsid w:val="001A21A8"/>
    <w:rsid w:val="001A232B"/>
    <w:rsid w:val="001A2370"/>
    <w:rsid w:val="001A23F5"/>
    <w:rsid w:val="001A2409"/>
    <w:rsid w:val="001A251F"/>
    <w:rsid w:val="001A255C"/>
    <w:rsid w:val="001A2646"/>
    <w:rsid w:val="001A27A7"/>
    <w:rsid w:val="001A27AB"/>
    <w:rsid w:val="001A2932"/>
    <w:rsid w:val="001A2A75"/>
    <w:rsid w:val="001A2AC0"/>
    <w:rsid w:val="001A2C28"/>
    <w:rsid w:val="001A2D82"/>
    <w:rsid w:val="001A2D92"/>
    <w:rsid w:val="001A2E19"/>
    <w:rsid w:val="001A2FBC"/>
    <w:rsid w:val="001A3045"/>
    <w:rsid w:val="001A3175"/>
    <w:rsid w:val="001A3187"/>
    <w:rsid w:val="001A3377"/>
    <w:rsid w:val="001A3607"/>
    <w:rsid w:val="001A3684"/>
    <w:rsid w:val="001A371C"/>
    <w:rsid w:val="001A3853"/>
    <w:rsid w:val="001A3911"/>
    <w:rsid w:val="001A39A7"/>
    <w:rsid w:val="001A39B4"/>
    <w:rsid w:val="001A3C52"/>
    <w:rsid w:val="001A3C79"/>
    <w:rsid w:val="001A3E1B"/>
    <w:rsid w:val="001A3E62"/>
    <w:rsid w:val="001A40D4"/>
    <w:rsid w:val="001A422C"/>
    <w:rsid w:val="001A4306"/>
    <w:rsid w:val="001A4364"/>
    <w:rsid w:val="001A4367"/>
    <w:rsid w:val="001A4424"/>
    <w:rsid w:val="001A4503"/>
    <w:rsid w:val="001A4656"/>
    <w:rsid w:val="001A46B8"/>
    <w:rsid w:val="001A46CA"/>
    <w:rsid w:val="001A4852"/>
    <w:rsid w:val="001A48DF"/>
    <w:rsid w:val="001A49CD"/>
    <w:rsid w:val="001A4A96"/>
    <w:rsid w:val="001A4B27"/>
    <w:rsid w:val="001A4B65"/>
    <w:rsid w:val="001A4CDF"/>
    <w:rsid w:val="001A4E56"/>
    <w:rsid w:val="001A4E7A"/>
    <w:rsid w:val="001A5020"/>
    <w:rsid w:val="001A514B"/>
    <w:rsid w:val="001A524D"/>
    <w:rsid w:val="001A526E"/>
    <w:rsid w:val="001A52E4"/>
    <w:rsid w:val="001A5320"/>
    <w:rsid w:val="001A5391"/>
    <w:rsid w:val="001A56BE"/>
    <w:rsid w:val="001A5781"/>
    <w:rsid w:val="001A58A1"/>
    <w:rsid w:val="001A58BF"/>
    <w:rsid w:val="001A5995"/>
    <w:rsid w:val="001A5AD3"/>
    <w:rsid w:val="001A5B85"/>
    <w:rsid w:val="001A5B8F"/>
    <w:rsid w:val="001A5CBC"/>
    <w:rsid w:val="001A5E47"/>
    <w:rsid w:val="001A5F37"/>
    <w:rsid w:val="001A6099"/>
    <w:rsid w:val="001A6175"/>
    <w:rsid w:val="001A6185"/>
    <w:rsid w:val="001A62C3"/>
    <w:rsid w:val="001A64E0"/>
    <w:rsid w:val="001A658C"/>
    <w:rsid w:val="001A65A2"/>
    <w:rsid w:val="001A668A"/>
    <w:rsid w:val="001A671A"/>
    <w:rsid w:val="001A68F1"/>
    <w:rsid w:val="001A6A2A"/>
    <w:rsid w:val="001A6ACA"/>
    <w:rsid w:val="001A6AFE"/>
    <w:rsid w:val="001A6B7B"/>
    <w:rsid w:val="001A6C86"/>
    <w:rsid w:val="001A6CAC"/>
    <w:rsid w:val="001A6D17"/>
    <w:rsid w:val="001A6F7C"/>
    <w:rsid w:val="001A6FBD"/>
    <w:rsid w:val="001A7085"/>
    <w:rsid w:val="001A708B"/>
    <w:rsid w:val="001A72A1"/>
    <w:rsid w:val="001A74EA"/>
    <w:rsid w:val="001A751F"/>
    <w:rsid w:val="001A76A6"/>
    <w:rsid w:val="001A7730"/>
    <w:rsid w:val="001A7742"/>
    <w:rsid w:val="001A7761"/>
    <w:rsid w:val="001A78E7"/>
    <w:rsid w:val="001A7946"/>
    <w:rsid w:val="001A794A"/>
    <w:rsid w:val="001A7989"/>
    <w:rsid w:val="001A7A10"/>
    <w:rsid w:val="001A7A27"/>
    <w:rsid w:val="001A7A39"/>
    <w:rsid w:val="001A7C25"/>
    <w:rsid w:val="001A7CCB"/>
    <w:rsid w:val="001A7D8D"/>
    <w:rsid w:val="001A7F56"/>
    <w:rsid w:val="001A7FD4"/>
    <w:rsid w:val="001B0281"/>
    <w:rsid w:val="001B0533"/>
    <w:rsid w:val="001B056C"/>
    <w:rsid w:val="001B063E"/>
    <w:rsid w:val="001B067C"/>
    <w:rsid w:val="001B06A0"/>
    <w:rsid w:val="001B0734"/>
    <w:rsid w:val="001B0867"/>
    <w:rsid w:val="001B0BF9"/>
    <w:rsid w:val="001B0C3E"/>
    <w:rsid w:val="001B0D8B"/>
    <w:rsid w:val="001B0DDB"/>
    <w:rsid w:val="001B0DFE"/>
    <w:rsid w:val="001B0EA6"/>
    <w:rsid w:val="001B10CB"/>
    <w:rsid w:val="001B10D5"/>
    <w:rsid w:val="001B10DC"/>
    <w:rsid w:val="001B1100"/>
    <w:rsid w:val="001B12C6"/>
    <w:rsid w:val="001B12E0"/>
    <w:rsid w:val="001B1360"/>
    <w:rsid w:val="001B1479"/>
    <w:rsid w:val="001B149D"/>
    <w:rsid w:val="001B1641"/>
    <w:rsid w:val="001B16EA"/>
    <w:rsid w:val="001B178C"/>
    <w:rsid w:val="001B1822"/>
    <w:rsid w:val="001B1959"/>
    <w:rsid w:val="001B198F"/>
    <w:rsid w:val="001B1AA1"/>
    <w:rsid w:val="001B1BFB"/>
    <w:rsid w:val="001B1C45"/>
    <w:rsid w:val="001B1CF1"/>
    <w:rsid w:val="001B1D1D"/>
    <w:rsid w:val="001B1D90"/>
    <w:rsid w:val="001B1DA5"/>
    <w:rsid w:val="001B1E25"/>
    <w:rsid w:val="001B1E5B"/>
    <w:rsid w:val="001B1EEB"/>
    <w:rsid w:val="001B1F87"/>
    <w:rsid w:val="001B1FBF"/>
    <w:rsid w:val="001B22F4"/>
    <w:rsid w:val="001B23AF"/>
    <w:rsid w:val="001B2495"/>
    <w:rsid w:val="001B24F1"/>
    <w:rsid w:val="001B25EB"/>
    <w:rsid w:val="001B26A2"/>
    <w:rsid w:val="001B2747"/>
    <w:rsid w:val="001B27D9"/>
    <w:rsid w:val="001B2836"/>
    <w:rsid w:val="001B2857"/>
    <w:rsid w:val="001B2865"/>
    <w:rsid w:val="001B2964"/>
    <w:rsid w:val="001B29B3"/>
    <w:rsid w:val="001B29E8"/>
    <w:rsid w:val="001B2A90"/>
    <w:rsid w:val="001B2B2C"/>
    <w:rsid w:val="001B2B5B"/>
    <w:rsid w:val="001B2BCF"/>
    <w:rsid w:val="001B2E65"/>
    <w:rsid w:val="001B2FFE"/>
    <w:rsid w:val="001B304F"/>
    <w:rsid w:val="001B307C"/>
    <w:rsid w:val="001B3089"/>
    <w:rsid w:val="001B308A"/>
    <w:rsid w:val="001B3097"/>
    <w:rsid w:val="001B3167"/>
    <w:rsid w:val="001B3346"/>
    <w:rsid w:val="001B34B3"/>
    <w:rsid w:val="001B34B9"/>
    <w:rsid w:val="001B3574"/>
    <w:rsid w:val="001B35D5"/>
    <w:rsid w:val="001B35E1"/>
    <w:rsid w:val="001B35ED"/>
    <w:rsid w:val="001B36A6"/>
    <w:rsid w:val="001B3845"/>
    <w:rsid w:val="001B3AA0"/>
    <w:rsid w:val="001B3BE3"/>
    <w:rsid w:val="001B3CF7"/>
    <w:rsid w:val="001B3D12"/>
    <w:rsid w:val="001B4005"/>
    <w:rsid w:val="001B4032"/>
    <w:rsid w:val="001B4064"/>
    <w:rsid w:val="001B42F4"/>
    <w:rsid w:val="001B4321"/>
    <w:rsid w:val="001B43D1"/>
    <w:rsid w:val="001B44DD"/>
    <w:rsid w:val="001B45AB"/>
    <w:rsid w:val="001B4656"/>
    <w:rsid w:val="001B4669"/>
    <w:rsid w:val="001B46C1"/>
    <w:rsid w:val="001B46C2"/>
    <w:rsid w:val="001B46D7"/>
    <w:rsid w:val="001B46F4"/>
    <w:rsid w:val="001B4819"/>
    <w:rsid w:val="001B4865"/>
    <w:rsid w:val="001B488A"/>
    <w:rsid w:val="001B48EB"/>
    <w:rsid w:val="001B4A91"/>
    <w:rsid w:val="001B4B37"/>
    <w:rsid w:val="001B4B68"/>
    <w:rsid w:val="001B4D58"/>
    <w:rsid w:val="001B4DED"/>
    <w:rsid w:val="001B4E7F"/>
    <w:rsid w:val="001B4EC0"/>
    <w:rsid w:val="001B4EC6"/>
    <w:rsid w:val="001B4F5C"/>
    <w:rsid w:val="001B4FC4"/>
    <w:rsid w:val="001B5222"/>
    <w:rsid w:val="001B539B"/>
    <w:rsid w:val="001B540D"/>
    <w:rsid w:val="001B5513"/>
    <w:rsid w:val="001B555E"/>
    <w:rsid w:val="001B559B"/>
    <w:rsid w:val="001B55C7"/>
    <w:rsid w:val="001B55CF"/>
    <w:rsid w:val="001B5611"/>
    <w:rsid w:val="001B56A3"/>
    <w:rsid w:val="001B56BB"/>
    <w:rsid w:val="001B5725"/>
    <w:rsid w:val="001B576F"/>
    <w:rsid w:val="001B58D5"/>
    <w:rsid w:val="001B5AD3"/>
    <w:rsid w:val="001B5C5C"/>
    <w:rsid w:val="001B5CD9"/>
    <w:rsid w:val="001B5CF6"/>
    <w:rsid w:val="001B5F3C"/>
    <w:rsid w:val="001B5FA3"/>
    <w:rsid w:val="001B6021"/>
    <w:rsid w:val="001B61BD"/>
    <w:rsid w:val="001B61ED"/>
    <w:rsid w:val="001B6247"/>
    <w:rsid w:val="001B6258"/>
    <w:rsid w:val="001B62A0"/>
    <w:rsid w:val="001B6347"/>
    <w:rsid w:val="001B63A1"/>
    <w:rsid w:val="001B63B9"/>
    <w:rsid w:val="001B6458"/>
    <w:rsid w:val="001B645D"/>
    <w:rsid w:val="001B6482"/>
    <w:rsid w:val="001B6564"/>
    <w:rsid w:val="001B6570"/>
    <w:rsid w:val="001B65C2"/>
    <w:rsid w:val="001B682B"/>
    <w:rsid w:val="001B6845"/>
    <w:rsid w:val="001B68A3"/>
    <w:rsid w:val="001B68D9"/>
    <w:rsid w:val="001B69F9"/>
    <w:rsid w:val="001B6B7B"/>
    <w:rsid w:val="001B6BA8"/>
    <w:rsid w:val="001B6BCE"/>
    <w:rsid w:val="001B6CC5"/>
    <w:rsid w:val="001B6E8B"/>
    <w:rsid w:val="001B6F35"/>
    <w:rsid w:val="001B7005"/>
    <w:rsid w:val="001B701A"/>
    <w:rsid w:val="001B7021"/>
    <w:rsid w:val="001B707C"/>
    <w:rsid w:val="001B70E1"/>
    <w:rsid w:val="001B714F"/>
    <w:rsid w:val="001B71E5"/>
    <w:rsid w:val="001B722C"/>
    <w:rsid w:val="001B7293"/>
    <w:rsid w:val="001B7313"/>
    <w:rsid w:val="001B73B9"/>
    <w:rsid w:val="001B73BE"/>
    <w:rsid w:val="001B73BF"/>
    <w:rsid w:val="001B73C7"/>
    <w:rsid w:val="001B73D8"/>
    <w:rsid w:val="001B73ED"/>
    <w:rsid w:val="001B7432"/>
    <w:rsid w:val="001B74A9"/>
    <w:rsid w:val="001B74AE"/>
    <w:rsid w:val="001B7747"/>
    <w:rsid w:val="001B77AD"/>
    <w:rsid w:val="001B77C1"/>
    <w:rsid w:val="001B782C"/>
    <w:rsid w:val="001B7A7E"/>
    <w:rsid w:val="001B7AAA"/>
    <w:rsid w:val="001B7B69"/>
    <w:rsid w:val="001B7B8F"/>
    <w:rsid w:val="001B7E7C"/>
    <w:rsid w:val="001C001F"/>
    <w:rsid w:val="001C028B"/>
    <w:rsid w:val="001C0362"/>
    <w:rsid w:val="001C0422"/>
    <w:rsid w:val="001C04AF"/>
    <w:rsid w:val="001C054B"/>
    <w:rsid w:val="001C05B0"/>
    <w:rsid w:val="001C05E4"/>
    <w:rsid w:val="001C0702"/>
    <w:rsid w:val="001C0818"/>
    <w:rsid w:val="001C0893"/>
    <w:rsid w:val="001C0907"/>
    <w:rsid w:val="001C0945"/>
    <w:rsid w:val="001C09E1"/>
    <w:rsid w:val="001C09F3"/>
    <w:rsid w:val="001C0A24"/>
    <w:rsid w:val="001C0BA4"/>
    <w:rsid w:val="001C0C6C"/>
    <w:rsid w:val="001C0CB7"/>
    <w:rsid w:val="001C0D69"/>
    <w:rsid w:val="001C0D8C"/>
    <w:rsid w:val="001C0E4F"/>
    <w:rsid w:val="001C0EBB"/>
    <w:rsid w:val="001C102B"/>
    <w:rsid w:val="001C122D"/>
    <w:rsid w:val="001C1288"/>
    <w:rsid w:val="001C1392"/>
    <w:rsid w:val="001C13D9"/>
    <w:rsid w:val="001C13E9"/>
    <w:rsid w:val="001C13FA"/>
    <w:rsid w:val="001C148A"/>
    <w:rsid w:val="001C14AA"/>
    <w:rsid w:val="001C14F2"/>
    <w:rsid w:val="001C1589"/>
    <w:rsid w:val="001C1799"/>
    <w:rsid w:val="001C184A"/>
    <w:rsid w:val="001C18F5"/>
    <w:rsid w:val="001C1909"/>
    <w:rsid w:val="001C1A59"/>
    <w:rsid w:val="001C1B0E"/>
    <w:rsid w:val="001C1D28"/>
    <w:rsid w:val="001C1D2B"/>
    <w:rsid w:val="001C1D86"/>
    <w:rsid w:val="001C1E93"/>
    <w:rsid w:val="001C1E94"/>
    <w:rsid w:val="001C1EFA"/>
    <w:rsid w:val="001C2111"/>
    <w:rsid w:val="001C2518"/>
    <w:rsid w:val="001C2537"/>
    <w:rsid w:val="001C2659"/>
    <w:rsid w:val="001C265B"/>
    <w:rsid w:val="001C26B8"/>
    <w:rsid w:val="001C26D7"/>
    <w:rsid w:val="001C2721"/>
    <w:rsid w:val="001C27FE"/>
    <w:rsid w:val="001C2866"/>
    <w:rsid w:val="001C295D"/>
    <w:rsid w:val="001C2AC8"/>
    <w:rsid w:val="001C2BE5"/>
    <w:rsid w:val="001C2C42"/>
    <w:rsid w:val="001C2F9D"/>
    <w:rsid w:val="001C3009"/>
    <w:rsid w:val="001C3067"/>
    <w:rsid w:val="001C3074"/>
    <w:rsid w:val="001C307D"/>
    <w:rsid w:val="001C3095"/>
    <w:rsid w:val="001C3226"/>
    <w:rsid w:val="001C3231"/>
    <w:rsid w:val="001C33CB"/>
    <w:rsid w:val="001C3488"/>
    <w:rsid w:val="001C34C8"/>
    <w:rsid w:val="001C35E6"/>
    <w:rsid w:val="001C3753"/>
    <w:rsid w:val="001C3814"/>
    <w:rsid w:val="001C3816"/>
    <w:rsid w:val="001C384C"/>
    <w:rsid w:val="001C3929"/>
    <w:rsid w:val="001C3B06"/>
    <w:rsid w:val="001C3C04"/>
    <w:rsid w:val="001C3C49"/>
    <w:rsid w:val="001C3D94"/>
    <w:rsid w:val="001C3DB9"/>
    <w:rsid w:val="001C3F3C"/>
    <w:rsid w:val="001C3FE3"/>
    <w:rsid w:val="001C4151"/>
    <w:rsid w:val="001C4180"/>
    <w:rsid w:val="001C4297"/>
    <w:rsid w:val="001C429F"/>
    <w:rsid w:val="001C4335"/>
    <w:rsid w:val="001C436E"/>
    <w:rsid w:val="001C44FB"/>
    <w:rsid w:val="001C4574"/>
    <w:rsid w:val="001C4669"/>
    <w:rsid w:val="001C4795"/>
    <w:rsid w:val="001C487F"/>
    <w:rsid w:val="001C4983"/>
    <w:rsid w:val="001C49C5"/>
    <w:rsid w:val="001C4A41"/>
    <w:rsid w:val="001C4B5E"/>
    <w:rsid w:val="001C4BD2"/>
    <w:rsid w:val="001C4CD2"/>
    <w:rsid w:val="001C4D2D"/>
    <w:rsid w:val="001C4D5D"/>
    <w:rsid w:val="001C501E"/>
    <w:rsid w:val="001C5063"/>
    <w:rsid w:val="001C5075"/>
    <w:rsid w:val="001C5146"/>
    <w:rsid w:val="001C5154"/>
    <w:rsid w:val="001C531E"/>
    <w:rsid w:val="001C53B2"/>
    <w:rsid w:val="001C5439"/>
    <w:rsid w:val="001C559A"/>
    <w:rsid w:val="001C5830"/>
    <w:rsid w:val="001C59F1"/>
    <w:rsid w:val="001C5A55"/>
    <w:rsid w:val="001C5A80"/>
    <w:rsid w:val="001C5AA9"/>
    <w:rsid w:val="001C5C81"/>
    <w:rsid w:val="001C5CEA"/>
    <w:rsid w:val="001C5F60"/>
    <w:rsid w:val="001C5F94"/>
    <w:rsid w:val="001C6008"/>
    <w:rsid w:val="001C60F7"/>
    <w:rsid w:val="001C6292"/>
    <w:rsid w:val="001C6376"/>
    <w:rsid w:val="001C63D1"/>
    <w:rsid w:val="001C6415"/>
    <w:rsid w:val="001C6510"/>
    <w:rsid w:val="001C6567"/>
    <w:rsid w:val="001C662B"/>
    <w:rsid w:val="001C66E8"/>
    <w:rsid w:val="001C66EE"/>
    <w:rsid w:val="001C66F0"/>
    <w:rsid w:val="001C676D"/>
    <w:rsid w:val="001C67F1"/>
    <w:rsid w:val="001C6815"/>
    <w:rsid w:val="001C68F5"/>
    <w:rsid w:val="001C6976"/>
    <w:rsid w:val="001C6A8C"/>
    <w:rsid w:val="001C6B3E"/>
    <w:rsid w:val="001C6B94"/>
    <w:rsid w:val="001C6C76"/>
    <w:rsid w:val="001C6C79"/>
    <w:rsid w:val="001C6CB6"/>
    <w:rsid w:val="001C6D19"/>
    <w:rsid w:val="001C6DE3"/>
    <w:rsid w:val="001C6F9D"/>
    <w:rsid w:val="001C6FEB"/>
    <w:rsid w:val="001C70C1"/>
    <w:rsid w:val="001C70C6"/>
    <w:rsid w:val="001C70FC"/>
    <w:rsid w:val="001C7181"/>
    <w:rsid w:val="001C722D"/>
    <w:rsid w:val="001C7281"/>
    <w:rsid w:val="001C72C9"/>
    <w:rsid w:val="001C72DD"/>
    <w:rsid w:val="001C732E"/>
    <w:rsid w:val="001C74CE"/>
    <w:rsid w:val="001C74F5"/>
    <w:rsid w:val="001C74F6"/>
    <w:rsid w:val="001C7612"/>
    <w:rsid w:val="001C7682"/>
    <w:rsid w:val="001C77CA"/>
    <w:rsid w:val="001C7866"/>
    <w:rsid w:val="001C78DD"/>
    <w:rsid w:val="001C7A64"/>
    <w:rsid w:val="001C7ADF"/>
    <w:rsid w:val="001C7DFC"/>
    <w:rsid w:val="001C7F70"/>
    <w:rsid w:val="001C7FB5"/>
    <w:rsid w:val="001C7FDF"/>
    <w:rsid w:val="001D0002"/>
    <w:rsid w:val="001D0019"/>
    <w:rsid w:val="001D0045"/>
    <w:rsid w:val="001D0132"/>
    <w:rsid w:val="001D01A7"/>
    <w:rsid w:val="001D032A"/>
    <w:rsid w:val="001D0382"/>
    <w:rsid w:val="001D0386"/>
    <w:rsid w:val="001D03ED"/>
    <w:rsid w:val="001D0585"/>
    <w:rsid w:val="001D05D0"/>
    <w:rsid w:val="001D06AF"/>
    <w:rsid w:val="001D06E1"/>
    <w:rsid w:val="001D0774"/>
    <w:rsid w:val="001D0790"/>
    <w:rsid w:val="001D0836"/>
    <w:rsid w:val="001D08BC"/>
    <w:rsid w:val="001D092A"/>
    <w:rsid w:val="001D0A48"/>
    <w:rsid w:val="001D0A61"/>
    <w:rsid w:val="001D0A67"/>
    <w:rsid w:val="001D0AF7"/>
    <w:rsid w:val="001D0CF3"/>
    <w:rsid w:val="001D0D97"/>
    <w:rsid w:val="001D0F2B"/>
    <w:rsid w:val="001D0F93"/>
    <w:rsid w:val="001D1049"/>
    <w:rsid w:val="001D1240"/>
    <w:rsid w:val="001D1395"/>
    <w:rsid w:val="001D13A0"/>
    <w:rsid w:val="001D13AF"/>
    <w:rsid w:val="001D13E0"/>
    <w:rsid w:val="001D153B"/>
    <w:rsid w:val="001D1556"/>
    <w:rsid w:val="001D15D5"/>
    <w:rsid w:val="001D1695"/>
    <w:rsid w:val="001D16A7"/>
    <w:rsid w:val="001D1743"/>
    <w:rsid w:val="001D180F"/>
    <w:rsid w:val="001D18CD"/>
    <w:rsid w:val="001D1950"/>
    <w:rsid w:val="001D196D"/>
    <w:rsid w:val="001D19C1"/>
    <w:rsid w:val="001D1AF2"/>
    <w:rsid w:val="001D1B96"/>
    <w:rsid w:val="001D1B9D"/>
    <w:rsid w:val="001D1C49"/>
    <w:rsid w:val="001D1D4E"/>
    <w:rsid w:val="001D1D67"/>
    <w:rsid w:val="001D1E59"/>
    <w:rsid w:val="001D1EF6"/>
    <w:rsid w:val="001D201F"/>
    <w:rsid w:val="001D21C2"/>
    <w:rsid w:val="001D23C6"/>
    <w:rsid w:val="001D2470"/>
    <w:rsid w:val="001D253E"/>
    <w:rsid w:val="001D2541"/>
    <w:rsid w:val="001D262E"/>
    <w:rsid w:val="001D275A"/>
    <w:rsid w:val="001D2876"/>
    <w:rsid w:val="001D2A29"/>
    <w:rsid w:val="001D2DBA"/>
    <w:rsid w:val="001D2E1D"/>
    <w:rsid w:val="001D2ECB"/>
    <w:rsid w:val="001D2EF7"/>
    <w:rsid w:val="001D2F4C"/>
    <w:rsid w:val="001D2FCB"/>
    <w:rsid w:val="001D3037"/>
    <w:rsid w:val="001D3040"/>
    <w:rsid w:val="001D30B0"/>
    <w:rsid w:val="001D30F4"/>
    <w:rsid w:val="001D315C"/>
    <w:rsid w:val="001D31D1"/>
    <w:rsid w:val="001D31EF"/>
    <w:rsid w:val="001D3251"/>
    <w:rsid w:val="001D3269"/>
    <w:rsid w:val="001D326F"/>
    <w:rsid w:val="001D329E"/>
    <w:rsid w:val="001D32E1"/>
    <w:rsid w:val="001D32EB"/>
    <w:rsid w:val="001D3327"/>
    <w:rsid w:val="001D336C"/>
    <w:rsid w:val="001D3563"/>
    <w:rsid w:val="001D3575"/>
    <w:rsid w:val="001D37F6"/>
    <w:rsid w:val="001D388F"/>
    <w:rsid w:val="001D38D6"/>
    <w:rsid w:val="001D3922"/>
    <w:rsid w:val="001D3967"/>
    <w:rsid w:val="001D397E"/>
    <w:rsid w:val="001D3B2F"/>
    <w:rsid w:val="001D3B42"/>
    <w:rsid w:val="001D3B53"/>
    <w:rsid w:val="001D3B75"/>
    <w:rsid w:val="001D3B9A"/>
    <w:rsid w:val="001D3BB9"/>
    <w:rsid w:val="001D3BCB"/>
    <w:rsid w:val="001D3DD0"/>
    <w:rsid w:val="001D3E33"/>
    <w:rsid w:val="001D3E3A"/>
    <w:rsid w:val="001D3E5F"/>
    <w:rsid w:val="001D4110"/>
    <w:rsid w:val="001D4129"/>
    <w:rsid w:val="001D41B6"/>
    <w:rsid w:val="001D41E5"/>
    <w:rsid w:val="001D4377"/>
    <w:rsid w:val="001D4444"/>
    <w:rsid w:val="001D44B0"/>
    <w:rsid w:val="001D451B"/>
    <w:rsid w:val="001D4597"/>
    <w:rsid w:val="001D46B4"/>
    <w:rsid w:val="001D48FE"/>
    <w:rsid w:val="001D4965"/>
    <w:rsid w:val="001D49D1"/>
    <w:rsid w:val="001D4AB6"/>
    <w:rsid w:val="001D4AB7"/>
    <w:rsid w:val="001D4B3B"/>
    <w:rsid w:val="001D4B4E"/>
    <w:rsid w:val="001D4B78"/>
    <w:rsid w:val="001D4C37"/>
    <w:rsid w:val="001D4C4A"/>
    <w:rsid w:val="001D4E1E"/>
    <w:rsid w:val="001D4E54"/>
    <w:rsid w:val="001D4F4C"/>
    <w:rsid w:val="001D5000"/>
    <w:rsid w:val="001D5013"/>
    <w:rsid w:val="001D5076"/>
    <w:rsid w:val="001D5130"/>
    <w:rsid w:val="001D5202"/>
    <w:rsid w:val="001D53F5"/>
    <w:rsid w:val="001D542C"/>
    <w:rsid w:val="001D554E"/>
    <w:rsid w:val="001D55D6"/>
    <w:rsid w:val="001D5662"/>
    <w:rsid w:val="001D56F0"/>
    <w:rsid w:val="001D5723"/>
    <w:rsid w:val="001D584C"/>
    <w:rsid w:val="001D590E"/>
    <w:rsid w:val="001D591A"/>
    <w:rsid w:val="001D59F5"/>
    <w:rsid w:val="001D5C20"/>
    <w:rsid w:val="001D5C47"/>
    <w:rsid w:val="001D5C84"/>
    <w:rsid w:val="001D5CD7"/>
    <w:rsid w:val="001D5D30"/>
    <w:rsid w:val="001D5DC1"/>
    <w:rsid w:val="001D5DD7"/>
    <w:rsid w:val="001D5DF5"/>
    <w:rsid w:val="001D5E5F"/>
    <w:rsid w:val="001D5EA5"/>
    <w:rsid w:val="001D6156"/>
    <w:rsid w:val="001D61EF"/>
    <w:rsid w:val="001D6216"/>
    <w:rsid w:val="001D629B"/>
    <w:rsid w:val="001D6395"/>
    <w:rsid w:val="001D642E"/>
    <w:rsid w:val="001D654F"/>
    <w:rsid w:val="001D65C9"/>
    <w:rsid w:val="001D6618"/>
    <w:rsid w:val="001D66D6"/>
    <w:rsid w:val="001D6738"/>
    <w:rsid w:val="001D67AD"/>
    <w:rsid w:val="001D6830"/>
    <w:rsid w:val="001D6996"/>
    <w:rsid w:val="001D6AFC"/>
    <w:rsid w:val="001D6B09"/>
    <w:rsid w:val="001D6B1D"/>
    <w:rsid w:val="001D6B6D"/>
    <w:rsid w:val="001D6C04"/>
    <w:rsid w:val="001D6C5E"/>
    <w:rsid w:val="001D6C85"/>
    <w:rsid w:val="001D6CA6"/>
    <w:rsid w:val="001D6DA0"/>
    <w:rsid w:val="001D6DA9"/>
    <w:rsid w:val="001D6ECA"/>
    <w:rsid w:val="001D6F99"/>
    <w:rsid w:val="001D701D"/>
    <w:rsid w:val="001D7115"/>
    <w:rsid w:val="001D713E"/>
    <w:rsid w:val="001D72ED"/>
    <w:rsid w:val="001D734D"/>
    <w:rsid w:val="001D737D"/>
    <w:rsid w:val="001D7391"/>
    <w:rsid w:val="001D739A"/>
    <w:rsid w:val="001D74E8"/>
    <w:rsid w:val="001D7509"/>
    <w:rsid w:val="001D7683"/>
    <w:rsid w:val="001D76AE"/>
    <w:rsid w:val="001D77D9"/>
    <w:rsid w:val="001D77E5"/>
    <w:rsid w:val="001D7981"/>
    <w:rsid w:val="001D79B0"/>
    <w:rsid w:val="001D7A7F"/>
    <w:rsid w:val="001D7B0A"/>
    <w:rsid w:val="001D7BAE"/>
    <w:rsid w:val="001D7DC5"/>
    <w:rsid w:val="001D7F89"/>
    <w:rsid w:val="001D7F8A"/>
    <w:rsid w:val="001D7FCF"/>
    <w:rsid w:val="001E024A"/>
    <w:rsid w:val="001E03BD"/>
    <w:rsid w:val="001E0442"/>
    <w:rsid w:val="001E044A"/>
    <w:rsid w:val="001E0485"/>
    <w:rsid w:val="001E0507"/>
    <w:rsid w:val="001E0599"/>
    <w:rsid w:val="001E0639"/>
    <w:rsid w:val="001E0699"/>
    <w:rsid w:val="001E0714"/>
    <w:rsid w:val="001E0742"/>
    <w:rsid w:val="001E0B38"/>
    <w:rsid w:val="001E0B7A"/>
    <w:rsid w:val="001E0BA8"/>
    <w:rsid w:val="001E0C34"/>
    <w:rsid w:val="001E0C41"/>
    <w:rsid w:val="001E0CB5"/>
    <w:rsid w:val="001E0D02"/>
    <w:rsid w:val="001E0E8E"/>
    <w:rsid w:val="001E0F52"/>
    <w:rsid w:val="001E0FBF"/>
    <w:rsid w:val="001E102C"/>
    <w:rsid w:val="001E119B"/>
    <w:rsid w:val="001E11D4"/>
    <w:rsid w:val="001E11DD"/>
    <w:rsid w:val="001E11E0"/>
    <w:rsid w:val="001E125C"/>
    <w:rsid w:val="001E1308"/>
    <w:rsid w:val="001E131A"/>
    <w:rsid w:val="001E168E"/>
    <w:rsid w:val="001E16A7"/>
    <w:rsid w:val="001E17A4"/>
    <w:rsid w:val="001E191D"/>
    <w:rsid w:val="001E1976"/>
    <w:rsid w:val="001E1A91"/>
    <w:rsid w:val="001E1ABD"/>
    <w:rsid w:val="001E1B1E"/>
    <w:rsid w:val="001E1B6C"/>
    <w:rsid w:val="001E1D37"/>
    <w:rsid w:val="001E1D4C"/>
    <w:rsid w:val="001E1E42"/>
    <w:rsid w:val="001E1F27"/>
    <w:rsid w:val="001E1FE4"/>
    <w:rsid w:val="001E201A"/>
    <w:rsid w:val="001E222F"/>
    <w:rsid w:val="001E223D"/>
    <w:rsid w:val="001E2258"/>
    <w:rsid w:val="001E22D8"/>
    <w:rsid w:val="001E2303"/>
    <w:rsid w:val="001E23CD"/>
    <w:rsid w:val="001E2420"/>
    <w:rsid w:val="001E249C"/>
    <w:rsid w:val="001E24A8"/>
    <w:rsid w:val="001E253F"/>
    <w:rsid w:val="001E2546"/>
    <w:rsid w:val="001E254F"/>
    <w:rsid w:val="001E25D0"/>
    <w:rsid w:val="001E2690"/>
    <w:rsid w:val="001E28E9"/>
    <w:rsid w:val="001E2A7F"/>
    <w:rsid w:val="001E2A83"/>
    <w:rsid w:val="001E2AC8"/>
    <w:rsid w:val="001E2B83"/>
    <w:rsid w:val="001E2B84"/>
    <w:rsid w:val="001E2C1A"/>
    <w:rsid w:val="001E2C51"/>
    <w:rsid w:val="001E2C78"/>
    <w:rsid w:val="001E2D51"/>
    <w:rsid w:val="001E2ED0"/>
    <w:rsid w:val="001E2F12"/>
    <w:rsid w:val="001E2F1B"/>
    <w:rsid w:val="001E2F2A"/>
    <w:rsid w:val="001E3090"/>
    <w:rsid w:val="001E31A2"/>
    <w:rsid w:val="001E31B3"/>
    <w:rsid w:val="001E31D9"/>
    <w:rsid w:val="001E324C"/>
    <w:rsid w:val="001E33C7"/>
    <w:rsid w:val="001E33F5"/>
    <w:rsid w:val="001E34A4"/>
    <w:rsid w:val="001E383E"/>
    <w:rsid w:val="001E3849"/>
    <w:rsid w:val="001E386D"/>
    <w:rsid w:val="001E3897"/>
    <w:rsid w:val="001E38ED"/>
    <w:rsid w:val="001E38FF"/>
    <w:rsid w:val="001E395F"/>
    <w:rsid w:val="001E3A1A"/>
    <w:rsid w:val="001E3A3B"/>
    <w:rsid w:val="001E3ACC"/>
    <w:rsid w:val="001E3AE5"/>
    <w:rsid w:val="001E3B9C"/>
    <w:rsid w:val="001E3BB0"/>
    <w:rsid w:val="001E3BB4"/>
    <w:rsid w:val="001E3BB7"/>
    <w:rsid w:val="001E3C04"/>
    <w:rsid w:val="001E3C9D"/>
    <w:rsid w:val="001E3DD2"/>
    <w:rsid w:val="001E3EA4"/>
    <w:rsid w:val="001E3EB7"/>
    <w:rsid w:val="001E3F9A"/>
    <w:rsid w:val="001E3FDC"/>
    <w:rsid w:val="001E4089"/>
    <w:rsid w:val="001E4123"/>
    <w:rsid w:val="001E41E4"/>
    <w:rsid w:val="001E43DE"/>
    <w:rsid w:val="001E441A"/>
    <w:rsid w:val="001E445B"/>
    <w:rsid w:val="001E4483"/>
    <w:rsid w:val="001E449B"/>
    <w:rsid w:val="001E44C2"/>
    <w:rsid w:val="001E4525"/>
    <w:rsid w:val="001E4603"/>
    <w:rsid w:val="001E4611"/>
    <w:rsid w:val="001E46FD"/>
    <w:rsid w:val="001E47BD"/>
    <w:rsid w:val="001E47F2"/>
    <w:rsid w:val="001E484D"/>
    <w:rsid w:val="001E48AB"/>
    <w:rsid w:val="001E4928"/>
    <w:rsid w:val="001E4938"/>
    <w:rsid w:val="001E4965"/>
    <w:rsid w:val="001E49EA"/>
    <w:rsid w:val="001E4A54"/>
    <w:rsid w:val="001E4AE8"/>
    <w:rsid w:val="001E4B9E"/>
    <w:rsid w:val="001E4C07"/>
    <w:rsid w:val="001E4C4B"/>
    <w:rsid w:val="001E4C97"/>
    <w:rsid w:val="001E4CA3"/>
    <w:rsid w:val="001E4D6F"/>
    <w:rsid w:val="001E4D8A"/>
    <w:rsid w:val="001E4DD8"/>
    <w:rsid w:val="001E4E50"/>
    <w:rsid w:val="001E4E58"/>
    <w:rsid w:val="001E4E78"/>
    <w:rsid w:val="001E4E8E"/>
    <w:rsid w:val="001E4EA8"/>
    <w:rsid w:val="001E4F9D"/>
    <w:rsid w:val="001E4FB3"/>
    <w:rsid w:val="001E4FBE"/>
    <w:rsid w:val="001E509F"/>
    <w:rsid w:val="001E51E1"/>
    <w:rsid w:val="001E51E6"/>
    <w:rsid w:val="001E5211"/>
    <w:rsid w:val="001E52AD"/>
    <w:rsid w:val="001E53AB"/>
    <w:rsid w:val="001E55F6"/>
    <w:rsid w:val="001E5683"/>
    <w:rsid w:val="001E56D8"/>
    <w:rsid w:val="001E58F2"/>
    <w:rsid w:val="001E5A4F"/>
    <w:rsid w:val="001E5CB1"/>
    <w:rsid w:val="001E5D36"/>
    <w:rsid w:val="001E5D4A"/>
    <w:rsid w:val="001E5D77"/>
    <w:rsid w:val="001E5DDE"/>
    <w:rsid w:val="001E5E17"/>
    <w:rsid w:val="001E5E1C"/>
    <w:rsid w:val="001E5E76"/>
    <w:rsid w:val="001E5EF9"/>
    <w:rsid w:val="001E5F19"/>
    <w:rsid w:val="001E5F3D"/>
    <w:rsid w:val="001E5F83"/>
    <w:rsid w:val="001E600B"/>
    <w:rsid w:val="001E60E7"/>
    <w:rsid w:val="001E613C"/>
    <w:rsid w:val="001E61E5"/>
    <w:rsid w:val="001E62F5"/>
    <w:rsid w:val="001E6519"/>
    <w:rsid w:val="001E6588"/>
    <w:rsid w:val="001E66BE"/>
    <w:rsid w:val="001E66C2"/>
    <w:rsid w:val="001E6715"/>
    <w:rsid w:val="001E6780"/>
    <w:rsid w:val="001E6934"/>
    <w:rsid w:val="001E6935"/>
    <w:rsid w:val="001E69AF"/>
    <w:rsid w:val="001E6A09"/>
    <w:rsid w:val="001E6A48"/>
    <w:rsid w:val="001E6B6C"/>
    <w:rsid w:val="001E6BBA"/>
    <w:rsid w:val="001E6C25"/>
    <w:rsid w:val="001E6D22"/>
    <w:rsid w:val="001E6D30"/>
    <w:rsid w:val="001E6E62"/>
    <w:rsid w:val="001E6E71"/>
    <w:rsid w:val="001E6E7C"/>
    <w:rsid w:val="001E6F0B"/>
    <w:rsid w:val="001E6F0E"/>
    <w:rsid w:val="001E7021"/>
    <w:rsid w:val="001E7024"/>
    <w:rsid w:val="001E7171"/>
    <w:rsid w:val="001E71DF"/>
    <w:rsid w:val="001E7313"/>
    <w:rsid w:val="001E737B"/>
    <w:rsid w:val="001E74FF"/>
    <w:rsid w:val="001E753A"/>
    <w:rsid w:val="001E7811"/>
    <w:rsid w:val="001E782E"/>
    <w:rsid w:val="001E78A8"/>
    <w:rsid w:val="001E7945"/>
    <w:rsid w:val="001E79A9"/>
    <w:rsid w:val="001E7AB6"/>
    <w:rsid w:val="001E7BD8"/>
    <w:rsid w:val="001E7C2A"/>
    <w:rsid w:val="001E7D14"/>
    <w:rsid w:val="001E7D46"/>
    <w:rsid w:val="001E7DED"/>
    <w:rsid w:val="001E7EB4"/>
    <w:rsid w:val="001E7F17"/>
    <w:rsid w:val="001F0033"/>
    <w:rsid w:val="001F0154"/>
    <w:rsid w:val="001F0187"/>
    <w:rsid w:val="001F01B5"/>
    <w:rsid w:val="001F0286"/>
    <w:rsid w:val="001F02B8"/>
    <w:rsid w:val="001F04DE"/>
    <w:rsid w:val="001F0532"/>
    <w:rsid w:val="001F053E"/>
    <w:rsid w:val="001F054F"/>
    <w:rsid w:val="001F0686"/>
    <w:rsid w:val="001F07C0"/>
    <w:rsid w:val="001F08AC"/>
    <w:rsid w:val="001F0962"/>
    <w:rsid w:val="001F0989"/>
    <w:rsid w:val="001F0990"/>
    <w:rsid w:val="001F0999"/>
    <w:rsid w:val="001F0A9D"/>
    <w:rsid w:val="001F0C04"/>
    <w:rsid w:val="001F0C1E"/>
    <w:rsid w:val="001F0D5B"/>
    <w:rsid w:val="001F0DEB"/>
    <w:rsid w:val="001F0DFA"/>
    <w:rsid w:val="001F0E30"/>
    <w:rsid w:val="001F0E39"/>
    <w:rsid w:val="001F0FD2"/>
    <w:rsid w:val="001F0FE0"/>
    <w:rsid w:val="001F1053"/>
    <w:rsid w:val="001F10C7"/>
    <w:rsid w:val="001F1117"/>
    <w:rsid w:val="001F11CF"/>
    <w:rsid w:val="001F11D8"/>
    <w:rsid w:val="001F11FB"/>
    <w:rsid w:val="001F1325"/>
    <w:rsid w:val="001F1385"/>
    <w:rsid w:val="001F1403"/>
    <w:rsid w:val="001F14B4"/>
    <w:rsid w:val="001F14C4"/>
    <w:rsid w:val="001F1536"/>
    <w:rsid w:val="001F15F5"/>
    <w:rsid w:val="001F163A"/>
    <w:rsid w:val="001F16B2"/>
    <w:rsid w:val="001F1787"/>
    <w:rsid w:val="001F17DC"/>
    <w:rsid w:val="001F18ED"/>
    <w:rsid w:val="001F18EF"/>
    <w:rsid w:val="001F18FA"/>
    <w:rsid w:val="001F1B20"/>
    <w:rsid w:val="001F1BB0"/>
    <w:rsid w:val="001F1BD7"/>
    <w:rsid w:val="001F1C51"/>
    <w:rsid w:val="001F1C5D"/>
    <w:rsid w:val="001F1D16"/>
    <w:rsid w:val="001F1D1E"/>
    <w:rsid w:val="001F1D37"/>
    <w:rsid w:val="001F1F4C"/>
    <w:rsid w:val="001F1F97"/>
    <w:rsid w:val="001F1FF8"/>
    <w:rsid w:val="001F2120"/>
    <w:rsid w:val="001F21F8"/>
    <w:rsid w:val="001F2223"/>
    <w:rsid w:val="001F225E"/>
    <w:rsid w:val="001F243B"/>
    <w:rsid w:val="001F2446"/>
    <w:rsid w:val="001F245B"/>
    <w:rsid w:val="001F2495"/>
    <w:rsid w:val="001F24FA"/>
    <w:rsid w:val="001F252F"/>
    <w:rsid w:val="001F260F"/>
    <w:rsid w:val="001F26C0"/>
    <w:rsid w:val="001F2715"/>
    <w:rsid w:val="001F2840"/>
    <w:rsid w:val="001F28BA"/>
    <w:rsid w:val="001F28DC"/>
    <w:rsid w:val="001F2970"/>
    <w:rsid w:val="001F299F"/>
    <w:rsid w:val="001F29E6"/>
    <w:rsid w:val="001F2B1F"/>
    <w:rsid w:val="001F2BB8"/>
    <w:rsid w:val="001F2CA5"/>
    <w:rsid w:val="001F2CC8"/>
    <w:rsid w:val="001F2D28"/>
    <w:rsid w:val="001F2F00"/>
    <w:rsid w:val="001F302D"/>
    <w:rsid w:val="001F3088"/>
    <w:rsid w:val="001F326B"/>
    <w:rsid w:val="001F32C0"/>
    <w:rsid w:val="001F33D4"/>
    <w:rsid w:val="001F3426"/>
    <w:rsid w:val="001F348B"/>
    <w:rsid w:val="001F34E0"/>
    <w:rsid w:val="001F35A2"/>
    <w:rsid w:val="001F37F2"/>
    <w:rsid w:val="001F383C"/>
    <w:rsid w:val="001F3929"/>
    <w:rsid w:val="001F3930"/>
    <w:rsid w:val="001F3BC1"/>
    <w:rsid w:val="001F3BE0"/>
    <w:rsid w:val="001F3C0D"/>
    <w:rsid w:val="001F3C50"/>
    <w:rsid w:val="001F3C87"/>
    <w:rsid w:val="001F3D2D"/>
    <w:rsid w:val="001F3EAC"/>
    <w:rsid w:val="001F4095"/>
    <w:rsid w:val="001F41E2"/>
    <w:rsid w:val="001F4269"/>
    <w:rsid w:val="001F42D3"/>
    <w:rsid w:val="001F42E6"/>
    <w:rsid w:val="001F4306"/>
    <w:rsid w:val="001F4393"/>
    <w:rsid w:val="001F4444"/>
    <w:rsid w:val="001F4470"/>
    <w:rsid w:val="001F4521"/>
    <w:rsid w:val="001F4541"/>
    <w:rsid w:val="001F4570"/>
    <w:rsid w:val="001F4599"/>
    <w:rsid w:val="001F4635"/>
    <w:rsid w:val="001F46E6"/>
    <w:rsid w:val="001F477F"/>
    <w:rsid w:val="001F47B2"/>
    <w:rsid w:val="001F4804"/>
    <w:rsid w:val="001F4810"/>
    <w:rsid w:val="001F484B"/>
    <w:rsid w:val="001F48A2"/>
    <w:rsid w:val="001F4931"/>
    <w:rsid w:val="001F4960"/>
    <w:rsid w:val="001F49AA"/>
    <w:rsid w:val="001F4A57"/>
    <w:rsid w:val="001F4AC3"/>
    <w:rsid w:val="001F4B35"/>
    <w:rsid w:val="001F4BFA"/>
    <w:rsid w:val="001F4C13"/>
    <w:rsid w:val="001F4DCC"/>
    <w:rsid w:val="001F4DFE"/>
    <w:rsid w:val="001F4F44"/>
    <w:rsid w:val="001F4FAC"/>
    <w:rsid w:val="001F50C7"/>
    <w:rsid w:val="001F5184"/>
    <w:rsid w:val="001F5232"/>
    <w:rsid w:val="001F5275"/>
    <w:rsid w:val="001F5295"/>
    <w:rsid w:val="001F52E0"/>
    <w:rsid w:val="001F5387"/>
    <w:rsid w:val="001F53AE"/>
    <w:rsid w:val="001F5456"/>
    <w:rsid w:val="001F54C6"/>
    <w:rsid w:val="001F54D9"/>
    <w:rsid w:val="001F55D9"/>
    <w:rsid w:val="001F5814"/>
    <w:rsid w:val="001F58BF"/>
    <w:rsid w:val="001F5923"/>
    <w:rsid w:val="001F59C1"/>
    <w:rsid w:val="001F59D9"/>
    <w:rsid w:val="001F5A34"/>
    <w:rsid w:val="001F5A9C"/>
    <w:rsid w:val="001F5B24"/>
    <w:rsid w:val="001F5BDA"/>
    <w:rsid w:val="001F5C0E"/>
    <w:rsid w:val="001F5D78"/>
    <w:rsid w:val="001F5DB8"/>
    <w:rsid w:val="001F5DE4"/>
    <w:rsid w:val="001F5EB5"/>
    <w:rsid w:val="001F5F78"/>
    <w:rsid w:val="001F5FAE"/>
    <w:rsid w:val="001F6026"/>
    <w:rsid w:val="001F60BB"/>
    <w:rsid w:val="001F612E"/>
    <w:rsid w:val="001F6253"/>
    <w:rsid w:val="001F6284"/>
    <w:rsid w:val="001F629D"/>
    <w:rsid w:val="001F62B3"/>
    <w:rsid w:val="001F62CD"/>
    <w:rsid w:val="001F62F9"/>
    <w:rsid w:val="001F630E"/>
    <w:rsid w:val="001F63E4"/>
    <w:rsid w:val="001F63E9"/>
    <w:rsid w:val="001F648D"/>
    <w:rsid w:val="001F64B3"/>
    <w:rsid w:val="001F6635"/>
    <w:rsid w:val="001F66EF"/>
    <w:rsid w:val="001F6773"/>
    <w:rsid w:val="001F6785"/>
    <w:rsid w:val="001F67CA"/>
    <w:rsid w:val="001F67DA"/>
    <w:rsid w:val="001F6893"/>
    <w:rsid w:val="001F68A1"/>
    <w:rsid w:val="001F69E4"/>
    <w:rsid w:val="001F6AC3"/>
    <w:rsid w:val="001F6B51"/>
    <w:rsid w:val="001F6C92"/>
    <w:rsid w:val="001F6CA6"/>
    <w:rsid w:val="001F6CF3"/>
    <w:rsid w:val="001F6D78"/>
    <w:rsid w:val="001F6F12"/>
    <w:rsid w:val="001F6F8F"/>
    <w:rsid w:val="001F7101"/>
    <w:rsid w:val="001F71E8"/>
    <w:rsid w:val="001F7244"/>
    <w:rsid w:val="001F7269"/>
    <w:rsid w:val="001F74AA"/>
    <w:rsid w:val="001F765F"/>
    <w:rsid w:val="001F7663"/>
    <w:rsid w:val="001F76F0"/>
    <w:rsid w:val="001F7713"/>
    <w:rsid w:val="001F77C2"/>
    <w:rsid w:val="001F78B5"/>
    <w:rsid w:val="001F7A76"/>
    <w:rsid w:val="001F7BBB"/>
    <w:rsid w:val="001F7CF2"/>
    <w:rsid w:val="001F7DFE"/>
    <w:rsid w:val="001F7E08"/>
    <w:rsid w:val="001F7E63"/>
    <w:rsid w:val="001F7E7E"/>
    <w:rsid w:val="001F7EED"/>
    <w:rsid w:val="001F7F2C"/>
    <w:rsid w:val="001F7F4C"/>
    <w:rsid w:val="00200044"/>
    <w:rsid w:val="00200161"/>
    <w:rsid w:val="0020019A"/>
    <w:rsid w:val="0020031E"/>
    <w:rsid w:val="00200392"/>
    <w:rsid w:val="00200532"/>
    <w:rsid w:val="0020058C"/>
    <w:rsid w:val="0020062A"/>
    <w:rsid w:val="0020072C"/>
    <w:rsid w:val="0020090D"/>
    <w:rsid w:val="002009A3"/>
    <w:rsid w:val="002009C1"/>
    <w:rsid w:val="00200A49"/>
    <w:rsid w:val="00200B02"/>
    <w:rsid w:val="00200BBE"/>
    <w:rsid w:val="00200D01"/>
    <w:rsid w:val="0020100A"/>
    <w:rsid w:val="0020105C"/>
    <w:rsid w:val="00201065"/>
    <w:rsid w:val="002010BF"/>
    <w:rsid w:val="002010D1"/>
    <w:rsid w:val="002011FC"/>
    <w:rsid w:val="00201563"/>
    <w:rsid w:val="002015B8"/>
    <w:rsid w:val="00201626"/>
    <w:rsid w:val="00201869"/>
    <w:rsid w:val="002018DB"/>
    <w:rsid w:val="002019B7"/>
    <w:rsid w:val="00201A1C"/>
    <w:rsid w:val="00201B07"/>
    <w:rsid w:val="00201B46"/>
    <w:rsid w:val="00201D20"/>
    <w:rsid w:val="00201F09"/>
    <w:rsid w:val="00201FF2"/>
    <w:rsid w:val="0020214C"/>
    <w:rsid w:val="002021A1"/>
    <w:rsid w:val="00202201"/>
    <w:rsid w:val="0020221A"/>
    <w:rsid w:val="00202274"/>
    <w:rsid w:val="00202290"/>
    <w:rsid w:val="002022E1"/>
    <w:rsid w:val="002022EE"/>
    <w:rsid w:val="0020241F"/>
    <w:rsid w:val="0020245B"/>
    <w:rsid w:val="00202463"/>
    <w:rsid w:val="00202539"/>
    <w:rsid w:val="00202587"/>
    <w:rsid w:val="00202650"/>
    <w:rsid w:val="002026ED"/>
    <w:rsid w:val="00202760"/>
    <w:rsid w:val="002027B6"/>
    <w:rsid w:val="002028FB"/>
    <w:rsid w:val="002029D8"/>
    <w:rsid w:val="00202B28"/>
    <w:rsid w:val="00202B4A"/>
    <w:rsid w:val="00202CE0"/>
    <w:rsid w:val="00202D2B"/>
    <w:rsid w:val="00202EF2"/>
    <w:rsid w:val="00202F13"/>
    <w:rsid w:val="00202F3E"/>
    <w:rsid w:val="0020301C"/>
    <w:rsid w:val="00203089"/>
    <w:rsid w:val="0020316F"/>
    <w:rsid w:val="0020317C"/>
    <w:rsid w:val="00203248"/>
    <w:rsid w:val="00203278"/>
    <w:rsid w:val="0020338A"/>
    <w:rsid w:val="00203446"/>
    <w:rsid w:val="0020344D"/>
    <w:rsid w:val="002034EE"/>
    <w:rsid w:val="00203536"/>
    <w:rsid w:val="002035AF"/>
    <w:rsid w:val="002036F4"/>
    <w:rsid w:val="002037A1"/>
    <w:rsid w:val="00203869"/>
    <w:rsid w:val="002038D3"/>
    <w:rsid w:val="002038D7"/>
    <w:rsid w:val="00203A3F"/>
    <w:rsid w:val="00203B0E"/>
    <w:rsid w:val="00203BB2"/>
    <w:rsid w:val="00203C6E"/>
    <w:rsid w:val="00203D27"/>
    <w:rsid w:val="00203D78"/>
    <w:rsid w:val="00203DD0"/>
    <w:rsid w:val="00203EB2"/>
    <w:rsid w:val="00203EB4"/>
    <w:rsid w:val="00203EEA"/>
    <w:rsid w:val="00204032"/>
    <w:rsid w:val="00204070"/>
    <w:rsid w:val="0020410F"/>
    <w:rsid w:val="0020411B"/>
    <w:rsid w:val="0020425B"/>
    <w:rsid w:val="00204268"/>
    <w:rsid w:val="0020442B"/>
    <w:rsid w:val="002044B3"/>
    <w:rsid w:val="00204545"/>
    <w:rsid w:val="00204585"/>
    <w:rsid w:val="002045EB"/>
    <w:rsid w:val="00204607"/>
    <w:rsid w:val="0020475C"/>
    <w:rsid w:val="0020488D"/>
    <w:rsid w:val="002048A3"/>
    <w:rsid w:val="00204CC1"/>
    <w:rsid w:val="00204DF1"/>
    <w:rsid w:val="00204E34"/>
    <w:rsid w:val="00205033"/>
    <w:rsid w:val="00205171"/>
    <w:rsid w:val="002051A4"/>
    <w:rsid w:val="00205336"/>
    <w:rsid w:val="0020544F"/>
    <w:rsid w:val="00205487"/>
    <w:rsid w:val="0020553A"/>
    <w:rsid w:val="002056FA"/>
    <w:rsid w:val="00205748"/>
    <w:rsid w:val="0020578D"/>
    <w:rsid w:val="002058A1"/>
    <w:rsid w:val="002058AE"/>
    <w:rsid w:val="002059A3"/>
    <w:rsid w:val="00205AA4"/>
    <w:rsid w:val="00205CD6"/>
    <w:rsid w:val="0020601E"/>
    <w:rsid w:val="00206045"/>
    <w:rsid w:val="002061FC"/>
    <w:rsid w:val="0020621A"/>
    <w:rsid w:val="002062CD"/>
    <w:rsid w:val="002062E1"/>
    <w:rsid w:val="00206449"/>
    <w:rsid w:val="002064A7"/>
    <w:rsid w:val="002064AE"/>
    <w:rsid w:val="002064B6"/>
    <w:rsid w:val="00206940"/>
    <w:rsid w:val="002069C9"/>
    <w:rsid w:val="00206B4D"/>
    <w:rsid w:val="00206CEA"/>
    <w:rsid w:val="00206D45"/>
    <w:rsid w:val="00206F49"/>
    <w:rsid w:val="00206FC4"/>
    <w:rsid w:val="00206FC6"/>
    <w:rsid w:val="0020700E"/>
    <w:rsid w:val="002070CA"/>
    <w:rsid w:val="00207119"/>
    <w:rsid w:val="00207151"/>
    <w:rsid w:val="002072C4"/>
    <w:rsid w:val="002072DE"/>
    <w:rsid w:val="002072E4"/>
    <w:rsid w:val="002073A3"/>
    <w:rsid w:val="002073D9"/>
    <w:rsid w:val="0020749F"/>
    <w:rsid w:val="0020753E"/>
    <w:rsid w:val="00207543"/>
    <w:rsid w:val="002075F3"/>
    <w:rsid w:val="00207602"/>
    <w:rsid w:val="00207613"/>
    <w:rsid w:val="00207655"/>
    <w:rsid w:val="0020781E"/>
    <w:rsid w:val="0020785E"/>
    <w:rsid w:val="002079B0"/>
    <w:rsid w:val="00207A2B"/>
    <w:rsid w:val="00207A56"/>
    <w:rsid w:val="00207B7E"/>
    <w:rsid w:val="00207BD4"/>
    <w:rsid w:val="00207C72"/>
    <w:rsid w:val="00207CB0"/>
    <w:rsid w:val="00207CD3"/>
    <w:rsid w:val="00207D6B"/>
    <w:rsid w:val="00207E94"/>
    <w:rsid w:val="00207F0E"/>
    <w:rsid w:val="00207FA4"/>
    <w:rsid w:val="00207FB3"/>
    <w:rsid w:val="00207FC2"/>
    <w:rsid w:val="0021003B"/>
    <w:rsid w:val="00210164"/>
    <w:rsid w:val="0021027B"/>
    <w:rsid w:val="0021034A"/>
    <w:rsid w:val="00210376"/>
    <w:rsid w:val="00210449"/>
    <w:rsid w:val="00210471"/>
    <w:rsid w:val="002104E1"/>
    <w:rsid w:val="0021059D"/>
    <w:rsid w:val="002106EE"/>
    <w:rsid w:val="00210795"/>
    <w:rsid w:val="0021081D"/>
    <w:rsid w:val="00210857"/>
    <w:rsid w:val="0021095D"/>
    <w:rsid w:val="002109E5"/>
    <w:rsid w:val="00210AB2"/>
    <w:rsid w:val="00210AF0"/>
    <w:rsid w:val="00210BA8"/>
    <w:rsid w:val="00210C00"/>
    <w:rsid w:val="00210C0E"/>
    <w:rsid w:val="00210DDD"/>
    <w:rsid w:val="00210E03"/>
    <w:rsid w:val="00210F36"/>
    <w:rsid w:val="00210F64"/>
    <w:rsid w:val="00211002"/>
    <w:rsid w:val="002110CB"/>
    <w:rsid w:val="002110F6"/>
    <w:rsid w:val="00211361"/>
    <w:rsid w:val="002113CA"/>
    <w:rsid w:val="002113E3"/>
    <w:rsid w:val="002114B5"/>
    <w:rsid w:val="002115AD"/>
    <w:rsid w:val="0021168C"/>
    <w:rsid w:val="00211696"/>
    <w:rsid w:val="00211824"/>
    <w:rsid w:val="002118D5"/>
    <w:rsid w:val="00211947"/>
    <w:rsid w:val="002119C9"/>
    <w:rsid w:val="002119D4"/>
    <w:rsid w:val="00211AE8"/>
    <w:rsid w:val="00211B4E"/>
    <w:rsid w:val="00211BFD"/>
    <w:rsid w:val="00211D0F"/>
    <w:rsid w:val="00211DA0"/>
    <w:rsid w:val="00211DF2"/>
    <w:rsid w:val="00211E04"/>
    <w:rsid w:val="00211E6E"/>
    <w:rsid w:val="00211F39"/>
    <w:rsid w:val="00211F80"/>
    <w:rsid w:val="00211FC3"/>
    <w:rsid w:val="00212056"/>
    <w:rsid w:val="00212146"/>
    <w:rsid w:val="00212183"/>
    <w:rsid w:val="00212233"/>
    <w:rsid w:val="0021232A"/>
    <w:rsid w:val="00212373"/>
    <w:rsid w:val="00212404"/>
    <w:rsid w:val="00212454"/>
    <w:rsid w:val="00212462"/>
    <w:rsid w:val="00212574"/>
    <w:rsid w:val="002125B0"/>
    <w:rsid w:val="0021260D"/>
    <w:rsid w:val="00212792"/>
    <w:rsid w:val="002127CA"/>
    <w:rsid w:val="0021284B"/>
    <w:rsid w:val="002128F7"/>
    <w:rsid w:val="002128F9"/>
    <w:rsid w:val="00212924"/>
    <w:rsid w:val="00212931"/>
    <w:rsid w:val="002129B4"/>
    <w:rsid w:val="00212AC2"/>
    <w:rsid w:val="00212B24"/>
    <w:rsid w:val="00212B5A"/>
    <w:rsid w:val="00212B91"/>
    <w:rsid w:val="00212C67"/>
    <w:rsid w:val="00212D6C"/>
    <w:rsid w:val="00212D93"/>
    <w:rsid w:val="00212DCB"/>
    <w:rsid w:val="00212DE0"/>
    <w:rsid w:val="00212E1D"/>
    <w:rsid w:val="00212EB1"/>
    <w:rsid w:val="00212FAC"/>
    <w:rsid w:val="00213008"/>
    <w:rsid w:val="0021322D"/>
    <w:rsid w:val="0021325C"/>
    <w:rsid w:val="002132AE"/>
    <w:rsid w:val="0021331F"/>
    <w:rsid w:val="00213335"/>
    <w:rsid w:val="00213389"/>
    <w:rsid w:val="002133DA"/>
    <w:rsid w:val="00213463"/>
    <w:rsid w:val="0021346D"/>
    <w:rsid w:val="0021347D"/>
    <w:rsid w:val="00213570"/>
    <w:rsid w:val="00213596"/>
    <w:rsid w:val="00213625"/>
    <w:rsid w:val="00213698"/>
    <w:rsid w:val="00213702"/>
    <w:rsid w:val="0021371F"/>
    <w:rsid w:val="00213728"/>
    <w:rsid w:val="00213759"/>
    <w:rsid w:val="0021378A"/>
    <w:rsid w:val="002137D0"/>
    <w:rsid w:val="0021381B"/>
    <w:rsid w:val="00213940"/>
    <w:rsid w:val="002139B7"/>
    <w:rsid w:val="00213A0C"/>
    <w:rsid w:val="00213A7F"/>
    <w:rsid w:val="00213AA9"/>
    <w:rsid w:val="00213B70"/>
    <w:rsid w:val="00213BC4"/>
    <w:rsid w:val="00213C06"/>
    <w:rsid w:val="00213C38"/>
    <w:rsid w:val="00213C44"/>
    <w:rsid w:val="00213D87"/>
    <w:rsid w:val="00213E48"/>
    <w:rsid w:val="00213EED"/>
    <w:rsid w:val="0021402E"/>
    <w:rsid w:val="00214083"/>
    <w:rsid w:val="00214140"/>
    <w:rsid w:val="002142AA"/>
    <w:rsid w:val="002142D1"/>
    <w:rsid w:val="00214310"/>
    <w:rsid w:val="00214357"/>
    <w:rsid w:val="0021436C"/>
    <w:rsid w:val="002143F7"/>
    <w:rsid w:val="00214400"/>
    <w:rsid w:val="00214466"/>
    <w:rsid w:val="002145BA"/>
    <w:rsid w:val="00214623"/>
    <w:rsid w:val="00214689"/>
    <w:rsid w:val="0021491C"/>
    <w:rsid w:val="0021492C"/>
    <w:rsid w:val="0021493D"/>
    <w:rsid w:val="0021495F"/>
    <w:rsid w:val="00214984"/>
    <w:rsid w:val="002149EC"/>
    <w:rsid w:val="00214A53"/>
    <w:rsid w:val="00214AB8"/>
    <w:rsid w:val="00214B3C"/>
    <w:rsid w:val="00214B73"/>
    <w:rsid w:val="00214C0D"/>
    <w:rsid w:val="00214DB1"/>
    <w:rsid w:val="00215091"/>
    <w:rsid w:val="002151B4"/>
    <w:rsid w:val="00215245"/>
    <w:rsid w:val="00215290"/>
    <w:rsid w:val="002152B0"/>
    <w:rsid w:val="00215354"/>
    <w:rsid w:val="00215457"/>
    <w:rsid w:val="002154AC"/>
    <w:rsid w:val="002154B6"/>
    <w:rsid w:val="002154D4"/>
    <w:rsid w:val="00215662"/>
    <w:rsid w:val="00215694"/>
    <w:rsid w:val="002156C4"/>
    <w:rsid w:val="00215979"/>
    <w:rsid w:val="0021598A"/>
    <w:rsid w:val="00215B25"/>
    <w:rsid w:val="00215B2F"/>
    <w:rsid w:val="00215C41"/>
    <w:rsid w:val="00215C76"/>
    <w:rsid w:val="00215C7F"/>
    <w:rsid w:val="00215C91"/>
    <w:rsid w:val="00215CAC"/>
    <w:rsid w:val="00215D8A"/>
    <w:rsid w:val="00215D99"/>
    <w:rsid w:val="00215DDE"/>
    <w:rsid w:val="00215E20"/>
    <w:rsid w:val="00215E3B"/>
    <w:rsid w:val="00215E94"/>
    <w:rsid w:val="00215EFB"/>
    <w:rsid w:val="00215F0A"/>
    <w:rsid w:val="00215F1B"/>
    <w:rsid w:val="00215F1E"/>
    <w:rsid w:val="002160A5"/>
    <w:rsid w:val="002161AF"/>
    <w:rsid w:val="00216211"/>
    <w:rsid w:val="0021624E"/>
    <w:rsid w:val="0021631B"/>
    <w:rsid w:val="0021632C"/>
    <w:rsid w:val="00216353"/>
    <w:rsid w:val="002164A4"/>
    <w:rsid w:val="00216558"/>
    <w:rsid w:val="00216656"/>
    <w:rsid w:val="00216678"/>
    <w:rsid w:val="00216859"/>
    <w:rsid w:val="00216A12"/>
    <w:rsid w:val="00216A5E"/>
    <w:rsid w:val="00216B02"/>
    <w:rsid w:val="00216BDC"/>
    <w:rsid w:val="00216D27"/>
    <w:rsid w:val="00216DFA"/>
    <w:rsid w:val="00216E01"/>
    <w:rsid w:val="00216EAB"/>
    <w:rsid w:val="00216F09"/>
    <w:rsid w:val="00217021"/>
    <w:rsid w:val="00217119"/>
    <w:rsid w:val="00217127"/>
    <w:rsid w:val="00217167"/>
    <w:rsid w:val="002172B3"/>
    <w:rsid w:val="0021731F"/>
    <w:rsid w:val="002173F5"/>
    <w:rsid w:val="00217429"/>
    <w:rsid w:val="002174E7"/>
    <w:rsid w:val="002174FF"/>
    <w:rsid w:val="00217730"/>
    <w:rsid w:val="00217805"/>
    <w:rsid w:val="002178D8"/>
    <w:rsid w:val="00217920"/>
    <w:rsid w:val="00217B7D"/>
    <w:rsid w:val="00217D63"/>
    <w:rsid w:val="00217D7A"/>
    <w:rsid w:val="00217DF3"/>
    <w:rsid w:val="00217E1B"/>
    <w:rsid w:val="00217E25"/>
    <w:rsid w:val="00217E9E"/>
    <w:rsid w:val="00217EBD"/>
    <w:rsid w:val="00217F2D"/>
    <w:rsid w:val="00217FE8"/>
    <w:rsid w:val="00220044"/>
    <w:rsid w:val="002200E4"/>
    <w:rsid w:val="002200FC"/>
    <w:rsid w:val="00220141"/>
    <w:rsid w:val="002201F9"/>
    <w:rsid w:val="002202FE"/>
    <w:rsid w:val="00220353"/>
    <w:rsid w:val="00220526"/>
    <w:rsid w:val="0022055A"/>
    <w:rsid w:val="00220634"/>
    <w:rsid w:val="0022071B"/>
    <w:rsid w:val="0022073B"/>
    <w:rsid w:val="002207ED"/>
    <w:rsid w:val="002208B8"/>
    <w:rsid w:val="00220988"/>
    <w:rsid w:val="00220AEC"/>
    <w:rsid w:val="00220AFE"/>
    <w:rsid w:val="00220B00"/>
    <w:rsid w:val="00220BAD"/>
    <w:rsid w:val="00220CAE"/>
    <w:rsid w:val="00220CF7"/>
    <w:rsid w:val="00220D5E"/>
    <w:rsid w:val="00220EA2"/>
    <w:rsid w:val="00220EAC"/>
    <w:rsid w:val="00221008"/>
    <w:rsid w:val="00221270"/>
    <w:rsid w:val="00221284"/>
    <w:rsid w:val="002213CA"/>
    <w:rsid w:val="00221448"/>
    <w:rsid w:val="0022154F"/>
    <w:rsid w:val="002215C0"/>
    <w:rsid w:val="0022161D"/>
    <w:rsid w:val="00221844"/>
    <w:rsid w:val="00221846"/>
    <w:rsid w:val="00221891"/>
    <w:rsid w:val="0022189D"/>
    <w:rsid w:val="00221A2F"/>
    <w:rsid w:val="00221B19"/>
    <w:rsid w:val="00221BB2"/>
    <w:rsid w:val="00221BCB"/>
    <w:rsid w:val="00221DA1"/>
    <w:rsid w:val="00221DA6"/>
    <w:rsid w:val="00221E45"/>
    <w:rsid w:val="00221E67"/>
    <w:rsid w:val="00222007"/>
    <w:rsid w:val="002220FB"/>
    <w:rsid w:val="002221E2"/>
    <w:rsid w:val="00222300"/>
    <w:rsid w:val="002225E8"/>
    <w:rsid w:val="00222723"/>
    <w:rsid w:val="00222759"/>
    <w:rsid w:val="00222836"/>
    <w:rsid w:val="00222890"/>
    <w:rsid w:val="002228D8"/>
    <w:rsid w:val="002229C3"/>
    <w:rsid w:val="002229DB"/>
    <w:rsid w:val="00222A33"/>
    <w:rsid w:val="00222A6D"/>
    <w:rsid w:val="00222ABA"/>
    <w:rsid w:val="00222B11"/>
    <w:rsid w:val="00222CB3"/>
    <w:rsid w:val="00222E15"/>
    <w:rsid w:val="00222F49"/>
    <w:rsid w:val="00222F6D"/>
    <w:rsid w:val="00222FAF"/>
    <w:rsid w:val="00222FD6"/>
    <w:rsid w:val="00223386"/>
    <w:rsid w:val="002233C8"/>
    <w:rsid w:val="0022344A"/>
    <w:rsid w:val="00223490"/>
    <w:rsid w:val="002235C3"/>
    <w:rsid w:val="00223627"/>
    <w:rsid w:val="00223659"/>
    <w:rsid w:val="0022366D"/>
    <w:rsid w:val="0022370A"/>
    <w:rsid w:val="00223875"/>
    <w:rsid w:val="002239FF"/>
    <w:rsid w:val="00223AA8"/>
    <w:rsid w:val="00223AB9"/>
    <w:rsid w:val="00223B40"/>
    <w:rsid w:val="00223B5C"/>
    <w:rsid w:val="00223E71"/>
    <w:rsid w:val="00223EA1"/>
    <w:rsid w:val="00223F16"/>
    <w:rsid w:val="00223FD2"/>
    <w:rsid w:val="00224019"/>
    <w:rsid w:val="0022401C"/>
    <w:rsid w:val="00224087"/>
    <w:rsid w:val="002240BC"/>
    <w:rsid w:val="00224107"/>
    <w:rsid w:val="00224320"/>
    <w:rsid w:val="002243B2"/>
    <w:rsid w:val="002243D8"/>
    <w:rsid w:val="00224458"/>
    <w:rsid w:val="00224468"/>
    <w:rsid w:val="0022448E"/>
    <w:rsid w:val="002245D3"/>
    <w:rsid w:val="00224686"/>
    <w:rsid w:val="0022481E"/>
    <w:rsid w:val="00224881"/>
    <w:rsid w:val="00224903"/>
    <w:rsid w:val="0022490A"/>
    <w:rsid w:val="0022499D"/>
    <w:rsid w:val="002249BB"/>
    <w:rsid w:val="002249DE"/>
    <w:rsid w:val="00224B75"/>
    <w:rsid w:val="00224BD6"/>
    <w:rsid w:val="00224BDD"/>
    <w:rsid w:val="00224BFA"/>
    <w:rsid w:val="00224CEC"/>
    <w:rsid w:val="00224EBF"/>
    <w:rsid w:val="00224F0F"/>
    <w:rsid w:val="00224F24"/>
    <w:rsid w:val="00224F2B"/>
    <w:rsid w:val="00224F58"/>
    <w:rsid w:val="00224F5B"/>
    <w:rsid w:val="00225007"/>
    <w:rsid w:val="00225178"/>
    <w:rsid w:val="0022524D"/>
    <w:rsid w:val="002253B8"/>
    <w:rsid w:val="002253FC"/>
    <w:rsid w:val="00225408"/>
    <w:rsid w:val="0022552B"/>
    <w:rsid w:val="002255E5"/>
    <w:rsid w:val="00225756"/>
    <w:rsid w:val="002257A3"/>
    <w:rsid w:val="00225832"/>
    <w:rsid w:val="00225869"/>
    <w:rsid w:val="002258D4"/>
    <w:rsid w:val="00225967"/>
    <w:rsid w:val="002259BB"/>
    <w:rsid w:val="00225A46"/>
    <w:rsid w:val="00225A59"/>
    <w:rsid w:val="00225A61"/>
    <w:rsid w:val="00225AA3"/>
    <w:rsid w:val="00225AB6"/>
    <w:rsid w:val="00225ADB"/>
    <w:rsid w:val="00225B6A"/>
    <w:rsid w:val="00225BD0"/>
    <w:rsid w:val="00225D9A"/>
    <w:rsid w:val="00225E30"/>
    <w:rsid w:val="00225EB9"/>
    <w:rsid w:val="00225F8E"/>
    <w:rsid w:val="00226005"/>
    <w:rsid w:val="002260F5"/>
    <w:rsid w:val="00226121"/>
    <w:rsid w:val="00226131"/>
    <w:rsid w:val="0022620B"/>
    <w:rsid w:val="002262EE"/>
    <w:rsid w:val="00226399"/>
    <w:rsid w:val="00226448"/>
    <w:rsid w:val="002264AE"/>
    <w:rsid w:val="00226553"/>
    <w:rsid w:val="002265EE"/>
    <w:rsid w:val="00226663"/>
    <w:rsid w:val="0022671C"/>
    <w:rsid w:val="00226771"/>
    <w:rsid w:val="00226A9E"/>
    <w:rsid w:val="00226ADD"/>
    <w:rsid w:val="00226B2A"/>
    <w:rsid w:val="00226CCB"/>
    <w:rsid w:val="00226E74"/>
    <w:rsid w:val="00226F5E"/>
    <w:rsid w:val="00226F83"/>
    <w:rsid w:val="00227065"/>
    <w:rsid w:val="00227133"/>
    <w:rsid w:val="0022718F"/>
    <w:rsid w:val="002271D4"/>
    <w:rsid w:val="00227255"/>
    <w:rsid w:val="002272A6"/>
    <w:rsid w:val="002272BB"/>
    <w:rsid w:val="0022734A"/>
    <w:rsid w:val="0022736E"/>
    <w:rsid w:val="002273CC"/>
    <w:rsid w:val="00227526"/>
    <w:rsid w:val="002275ED"/>
    <w:rsid w:val="002278A8"/>
    <w:rsid w:val="00227994"/>
    <w:rsid w:val="002279B6"/>
    <w:rsid w:val="00227ACA"/>
    <w:rsid w:val="00227D59"/>
    <w:rsid w:val="00227E64"/>
    <w:rsid w:val="00227E8C"/>
    <w:rsid w:val="00230026"/>
    <w:rsid w:val="002300F1"/>
    <w:rsid w:val="00230112"/>
    <w:rsid w:val="00230311"/>
    <w:rsid w:val="00230342"/>
    <w:rsid w:val="00230489"/>
    <w:rsid w:val="002304C6"/>
    <w:rsid w:val="002305B2"/>
    <w:rsid w:val="0023066C"/>
    <w:rsid w:val="002306AF"/>
    <w:rsid w:val="002306C0"/>
    <w:rsid w:val="0023078A"/>
    <w:rsid w:val="002307FE"/>
    <w:rsid w:val="002307FF"/>
    <w:rsid w:val="00230867"/>
    <w:rsid w:val="00230960"/>
    <w:rsid w:val="002309CE"/>
    <w:rsid w:val="00230C70"/>
    <w:rsid w:val="00230D2E"/>
    <w:rsid w:val="00230E14"/>
    <w:rsid w:val="00230E96"/>
    <w:rsid w:val="00230EA8"/>
    <w:rsid w:val="0023109F"/>
    <w:rsid w:val="002310FF"/>
    <w:rsid w:val="002311AF"/>
    <w:rsid w:val="002312E2"/>
    <w:rsid w:val="00231305"/>
    <w:rsid w:val="002314C8"/>
    <w:rsid w:val="00231601"/>
    <w:rsid w:val="0023163A"/>
    <w:rsid w:val="002317A5"/>
    <w:rsid w:val="002317DB"/>
    <w:rsid w:val="0023183C"/>
    <w:rsid w:val="002318C6"/>
    <w:rsid w:val="002318F4"/>
    <w:rsid w:val="002319C3"/>
    <w:rsid w:val="00231A16"/>
    <w:rsid w:val="00231A4A"/>
    <w:rsid w:val="00231A6D"/>
    <w:rsid w:val="00231A76"/>
    <w:rsid w:val="00231C22"/>
    <w:rsid w:val="00231C59"/>
    <w:rsid w:val="00231CA8"/>
    <w:rsid w:val="00231CAE"/>
    <w:rsid w:val="00231D8E"/>
    <w:rsid w:val="00231DB3"/>
    <w:rsid w:val="00231EC4"/>
    <w:rsid w:val="00231ED9"/>
    <w:rsid w:val="002320E6"/>
    <w:rsid w:val="00232133"/>
    <w:rsid w:val="002321D2"/>
    <w:rsid w:val="002322A1"/>
    <w:rsid w:val="002324BF"/>
    <w:rsid w:val="00232562"/>
    <w:rsid w:val="0023257B"/>
    <w:rsid w:val="00232673"/>
    <w:rsid w:val="00232679"/>
    <w:rsid w:val="00232684"/>
    <w:rsid w:val="002326BE"/>
    <w:rsid w:val="00232703"/>
    <w:rsid w:val="00232796"/>
    <w:rsid w:val="0023279D"/>
    <w:rsid w:val="0023280C"/>
    <w:rsid w:val="0023289C"/>
    <w:rsid w:val="002328AF"/>
    <w:rsid w:val="00232975"/>
    <w:rsid w:val="00232BBE"/>
    <w:rsid w:val="00232D08"/>
    <w:rsid w:val="00232E8B"/>
    <w:rsid w:val="00232E98"/>
    <w:rsid w:val="0023303E"/>
    <w:rsid w:val="002330A3"/>
    <w:rsid w:val="00233130"/>
    <w:rsid w:val="002331FC"/>
    <w:rsid w:val="00233291"/>
    <w:rsid w:val="002332B1"/>
    <w:rsid w:val="002333A7"/>
    <w:rsid w:val="002334C4"/>
    <w:rsid w:val="00233635"/>
    <w:rsid w:val="002336A0"/>
    <w:rsid w:val="00233822"/>
    <w:rsid w:val="002339AB"/>
    <w:rsid w:val="00233A7C"/>
    <w:rsid w:val="00233AF8"/>
    <w:rsid w:val="00233B44"/>
    <w:rsid w:val="00233BD9"/>
    <w:rsid w:val="00233C3F"/>
    <w:rsid w:val="00233C73"/>
    <w:rsid w:val="00233C9E"/>
    <w:rsid w:val="00233CB8"/>
    <w:rsid w:val="00233CE1"/>
    <w:rsid w:val="00233CE7"/>
    <w:rsid w:val="00233DE9"/>
    <w:rsid w:val="00233E0F"/>
    <w:rsid w:val="00233F7F"/>
    <w:rsid w:val="00233FCC"/>
    <w:rsid w:val="00233FE0"/>
    <w:rsid w:val="00234084"/>
    <w:rsid w:val="002342A6"/>
    <w:rsid w:val="00234356"/>
    <w:rsid w:val="002343A0"/>
    <w:rsid w:val="002343F5"/>
    <w:rsid w:val="00234473"/>
    <w:rsid w:val="00234534"/>
    <w:rsid w:val="0023457F"/>
    <w:rsid w:val="00234695"/>
    <w:rsid w:val="002346ED"/>
    <w:rsid w:val="002346F5"/>
    <w:rsid w:val="00234797"/>
    <w:rsid w:val="002348B5"/>
    <w:rsid w:val="002348DF"/>
    <w:rsid w:val="0023498E"/>
    <w:rsid w:val="00234990"/>
    <w:rsid w:val="002349CB"/>
    <w:rsid w:val="002349D5"/>
    <w:rsid w:val="00234A26"/>
    <w:rsid w:val="00234BCB"/>
    <w:rsid w:val="00234DEE"/>
    <w:rsid w:val="00234E53"/>
    <w:rsid w:val="00234EC2"/>
    <w:rsid w:val="00234EEE"/>
    <w:rsid w:val="00234FB7"/>
    <w:rsid w:val="0023504B"/>
    <w:rsid w:val="00235085"/>
    <w:rsid w:val="00235133"/>
    <w:rsid w:val="00235249"/>
    <w:rsid w:val="0023527B"/>
    <w:rsid w:val="002352B0"/>
    <w:rsid w:val="002352CD"/>
    <w:rsid w:val="002352ED"/>
    <w:rsid w:val="002352F7"/>
    <w:rsid w:val="00235383"/>
    <w:rsid w:val="002353E3"/>
    <w:rsid w:val="0023546E"/>
    <w:rsid w:val="0023548E"/>
    <w:rsid w:val="0023555F"/>
    <w:rsid w:val="002356C9"/>
    <w:rsid w:val="00235755"/>
    <w:rsid w:val="0023581D"/>
    <w:rsid w:val="00235856"/>
    <w:rsid w:val="002358C8"/>
    <w:rsid w:val="002358D3"/>
    <w:rsid w:val="002358F9"/>
    <w:rsid w:val="00235B23"/>
    <w:rsid w:val="00235B28"/>
    <w:rsid w:val="00235BAF"/>
    <w:rsid w:val="00235BB3"/>
    <w:rsid w:val="00235C60"/>
    <w:rsid w:val="00235C6A"/>
    <w:rsid w:val="00235CC0"/>
    <w:rsid w:val="00235CE5"/>
    <w:rsid w:val="00235E70"/>
    <w:rsid w:val="00235E9D"/>
    <w:rsid w:val="00235F60"/>
    <w:rsid w:val="00235F82"/>
    <w:rsid w:val="00235FD2"/>
    <w:rsid w:val="002362BA"/>
    <w:rsid w:val="0023633E"/>
    <w:rsid w:val="002363EE"/>
    <w:rsid w:val="00236420"/>
    <w:rsid w:val="0023644B"/>
    <w:rsid w:val="0023647D"/>
    <w:rsid w:val="002364B2"/>
    <w:rsid w:val="0023653B"/>
    <w:rsid w:val="0023655A"/>
    <w:rsid w:val="00236713"/>
    <w:rsid w:val="002367B5"/>
    <w:rsid w:val="002368FC"/>
    <w:rsid w:val="00236958"/>
    <w:rsid w:val="002369C2"/>
    <w:rsid w:val="00236A1B"/>
    <w:rsid w:val="00236AA2"/>
    <w:rsid w:val="00236ACC"/>
    <w:rsid w:val="00236AEA"/>
    <w:rsid w:val="00236B48"/>
    <w:rsid w:val="00236CF2"/>
    <w:rsid w:val="00236D74"/>
    <w:rsid w:val="00236DE3"/>
    <w:rsid w:val="00236E0B"/>
    <w:rsid w:val="00236E16"/>
    <w:rsid w:val="00236EE3"/>
    <w:rsid w:val="00236EFA"/>
    <w:rsid w:val="00236F9D"/>
    <w:rsid w:val="00236FBB"/>
    <w:rsid w:val="00237262"/>
    <w:rsid w:val="0023743D"/>
    <w:rsid w:val="00237562"/>
    <w:rsid w:val="00237605"/>
    <w:rsid w:val="00237769"/>
    <w:rsid w:val="00237896"/>
    <w:rsid w:val="002378F8"/>
    <w:rsid w:val="00237911"/>
    <w:rsid w:val="00237AFE"/>
    <w:rsid w:val="00237B89"/>
    <w:rsid w:val="00237BBC"/>
    <w:rsid w:val="00237C1B"/>
    <w:rsid w:val="00237D0D"/>
    <w:rsid w:val="00237D10"/>
    <w:rsid w:val="00237FCF"/>
    <w:rsid w:val="0024008D"/>
    <w:rsid w:val="0024020D"/>
    <w:rsid w:val="00240337"/>
    <w:rsid w:val="00240481"/>
    <w:rsid w:val="00240494"/>
    <w:rsid w:val="0024049C"/>
    <w:rsid w:val="00240705"/>
    <w:rsid w:val="00240796"/>
    <w:rsid w:val="002407C8"/>
    <w:rsid w:val="002407F4"/>
    <w:rsid w:val="00240833"/>
    <w:rsid w:val="002408DC"/>
    <w:rsid w:val="002408FC"/>
    <w:rsid w:val="0024091A"/>
    <w:rsid w:val="00240990"/>
    <w:rsid w:val="002409CB"/>
    <w:rsid w:val="00240AE2"/>
    <w:rsid w:val="00240D84"/>
    <w:rsid w:val="00240DB0"/>
    <w:rsid w:val="00240DD1"/>
    <w:rsid w:val="00240ECE"/>
    <w:rsid w:val="00240EF5"/>
    <w:rsid w:val="00240F89"/>
    <w:rsid w:val="00241015"/>
    <w:rsid w:val="00241016"/>
    <w:rsid w:val="002410AF"/>
    <w:rsid w:val="0024110B"/>
    <w:rsid w:val="002411AA"/>
    <w:rsid w:val="0024127C"/>
    <w:rsid w:val="00241497"/>
    <w:rsid w:val="002414CD"/>
    <w:rsid w:val="002414FC"/>
    <w:rsid w:val="00241598"/>
    <w:rsid w:val="002415B0"/>
    <w:rsid w:val="002415E4"/>
    <w:rsid w:val="00241624"/>
    <w:rsid w:val="00241674"/>
    <w:rsid w:val="00241812"/>
    <w:rsid w:val="00241822"/>
    <w:rsid w:val="00241891"/>
    <w:rsid w:val="00241932"/>
    <w:rsid w:val="00241934"/>
    <w:rsid w:val="002419DA"/>
    <w:rsid w:val="00241A06"/>
    <w:rsid w:val="00241C6B"/>
    <w:rsid w:val="00241E1F"/>
    <w:rsid w:val="00241E85"/>
    <w:rsid w:val="00241F55"/>
    <w:rsid w:val="0024204F"/>
    <w:rsid w:val="0024211A"/>
    <w:rsid w:val="0024218D"/>
    <w:rsid w:val="002422F8"/>
    <w:rsid w:val="00242316"/>
    <w:rsid w:val="002424F2"/>
    <w:rsid w:val="002428A7"/>
    <w:rsid w:val="002429AB"/>
    <w:rsid w:val="00242A6B"/>
    <w:rsid w:val="00242A88"/>
    <w:rsid w:val="00242AC4"/>
    <w:rsid w:val="00242C16"/>
    <w:rsid w:val="00242CF7"/>
    <w:rsid w:val="00242D93"/>
    <w:rsid w:val="00242DF4"/>
    <w:rsid w:val="00242DFC"/>
    <w:rsid w:val="00242FED"/>
    <w:rsid w:val="0024310A"/>
    <w:rsid w:val="002434A7"/>
    <w:rsid w:val="002434F6"/>
    <w:rsid w:val="00243517"/>
    <w:rsid w:val="002436C8"/>
    <w:rsid w:val="002437B7"/>
    <w:rsid w:val="00243802"/>
    <w:rsid w:val="0024381D"/>
    <w:rsid w:val="0024383F"/>
    <w:rsid w:val="00243853"/>
    <w:rsid w:val="002438D0"/>
    <w:rsid w:val="0024394D"/>
    <w:rsid w:val="002439A4"/>
    <w:rsid w:val="002439F0"/>
    <w:rsid w:val="00243C8F"/>
    <w:rsid w:val="00243CB7"/>
    <w:rsid w:val="00243D83"/>
    <w:rsid w:val="00243E62"/>
    <w:rsid w:val="00243EB6"/>
    <w:rsid w:val="00243EE8"/>
    <w:rsid w:val="00243F75"/>
    <w:rsid w:val="00243FE1"/>
    <w:rsid w:val="00243FF7"/>
    <w:rsid w:val="00244061"/>
    <w:rsid w:val="00244142"/>
    <w:rsid w:val="00244178"/>
    <w:rsid w:val="00244356"/>
    <w:rsid w:val="00244438"/>
    <w:rsid w:val="002444CB"/>
    <w:rsid w:val="00244511"/>
    <w:rsid w:val="00244567"/>
    <w:rsid w:val="0024459A"/>
    <w:rsid w:val="002445C7"/>
    <w:rsid w:val="002445CF"/>
    <w:rsid w:val="002445DF"/>
    <w:rsid w:val="002447C1"/>
    <w:rsid w:val="00244846"/>
    <w:rsid w:val="002448E7"/>
    <w:rsid w:val="00244988"/>
    <w:rsid w:val="002449FA"/>
    <w:rsid w:val="00244AA4"/>
    <w:rsid w:val="00244C1F"/>
    <w:rsid w:val="00244CCC"/>
    <w:rsid w:val="00244CD5"/>
    <w:rsid w:val="00244D51"/>
    <w:rsid w:val="00244D53"/>
    <w:rsid w:val="00244D56"/>
    <w:rsid w:val="00244D63"/>
    <w:rsid w:val="00244D96"/>
    <w:rsid w:val="00245018"/>
    <w:rsid w:val="0024511A"/>
    <w:rsid w:val="00245163"/>
    <w:rsid w:val="002451E1"/>
    <w:rsid w:val="002451E9"/>
    <w:rsid w:val="00245318"/>
    <w:rsid w:val="00245396"/>
    <w:rsid w:val="002454E8"/>
    <w:rsid w:val="00245522"/>
    <w:rsid w:val="00245534"/>
    <w:rsid w:val="00245547"/>
    <w:rsid w:val="002456CB"/>
    <w:rsid w:val="002456F6"/>
    <w:rsid w:val="00245744"/>
    <w:rsid w:val="00245778"/>
    <w:rsid w:val="002457B7"/>
    <w:rsid w:val="002457F7"/>
    <w:rsid w:val="002459B4"/>
    <w:rsid w:val="002459CB"/>
    <w:rsid w:val="00245A09"/>
    <w:rsid w:val="00245AE8"/>
    <w:rsid w:val="00245C61"/>
    <w:rsid w:val="00245CBA"/>
    <w:rsid w:val="00245CEF"/>
    <w:rsid w:val="00245DC0"/>
    <w:rsid w:val="00245E9E"/>
    <w:rsid w:val="00245ECC"/>
    <w:rsid w:val="00245FE7"/>
    <w:rsid w:val="00246034"/>
    <w:rsid w:val="002460F9"/>
    <w:rsid w:val="00246184"/>
    <w:rsid w:val="00246193"/>
    <w:rsid w:val="002464CE"/>
    <w:rsid w:val="002465D1"/>
    <w:rsid w:val="00246641"/>
    <w:rsid w:val="0024671C"/>
    <w:rsid w:val="0024676F"/>
    <w:rsid w:val="00246993"/>
    <w:rsid w:val="002469AD"/>
    <w:rsid w:val="002469D8"/>
    <w:rsid w:val="002469DF"/>
    <w:rsid w:val="00246B27"/>
    <w:rsid w:val="00246B57"/>
    <w:rsid w:val="00246BAA"/>
    <w:rsid w:val="00246CA0"/>
    <w:rsid w:val="00246CA2"/>
    <w:rsid w:val="00246D21"/>
    <w:rsid w:val="00246D82"/>
    <w:rsid w:val="00246DBE"/>
    <w:rsid w:val="00246E90"/>
    <w:rsid w:val="002470AE"/>
    <w:rsid w:val="002470D7"/>
    <w:rsid w:val="0024710C"/>
    <w:rsid w:val="002471F6"/>
    <w:rsid w:val="002472D6"/>
    <w:rsid w:val="0024731D"/>
    <w:rsid w:val="0024738E"/>
    <w:rsid w:val="002473D2"/>
    <w:rsid w:val="0024745A"/>
    <w:rsid w:val="0024754C"/>
    <w:rsid w:val="00247581"/>
    <w:rsid w:val="00247727"/>
    <w:rsid w:val="00247753"/>
    <w:rsid w:val="0024775B"/>
    <w:rsid w:val="002477D7"/>
    <w:rsid w:val="00247804"/>
    <w:rsid w:val="0024787A"/>
    <w:rsid w:val="00247970"/>
    <w:rsid w:val="00247978"/>
    <w:rsid w:val="00247981"/>
    <w:rsid w:val="002479A3"/>
    <w:rsid w:val="00247ACE"/>
    <w:rsid w:val="00247AE8"/>
    <w:rsid w:val="00247C3A"/>
    <w:rsid w:val="00247C3C"/>
    <w:rsid w:val="00247C68"/>
    <w:rsid w:val="00247C7D"/>
    <w:rsid w:val="00247CE2"/>
    <w:rsid w:val="00247D13"/>
    <w:rsid w:val="00247D20"/>
    <w:rsid w:val="00247DDE"/>
    <w:rsid w:val="00247F16"/>
    <w:rsid w:val="00247F89"/>
    <w:rsid w:val="00250086"/>
    <w:rsid w:val="002500E4"/>
    <w:rsid w:val="002501E8"/>
    <w:rsid w:val="00250298"/>
    <w:rsid w:val="0025035A"/>
    <w:rsid w:val="002504E5"/>
    <w:rsid w:val="00250523"/>
    <w:rsid w:val="002506E0"/>
    <w:rsid w:val="002507D1"/>
    <w:rsid w:val="00250848"/>
    <w:rsid w:val="00250975"/>
    <w:rsid w:val="00250B71"/>
    <w:rsid w:val="00250C0F"/>
    <w:rsid w:val="002510B2"/>
    <w:rsid w:val="00251124"/>
    <w:rsid w:val="00251301"/>
    <w:rsid w:val="00251356"/>
    <w:rsid w:val="00251423"/>
    <w:rsid w:val="0025144C"/>
    <w:rsid w:val="0025161E"/>
    <w:rsid w:val="0025170B"/>
    <w:rsid w:val="00251716"/>
    <w:rsid w:val="00251731"/>
    <w:rsid w:val="002517D3"/>
    <w:rsid w:val="002517D9"/>
    <w:rsid w:val="00251870"/>
    <w:rsid w:val="002518DA"/>
    <w:rsid w:val="00251BB0"/>
    <w:rsid w:val="00251DB0"/>
    <w:rsid w:val="00251EB9"/>
    <w:rsid w:val="00251EE2"/>
    <w:rsid w:val="00251EF5"/>
    <w:rsid w:val="00251F69"/>
    <w:rsid w:val="00251F73"/>
    <w:rsid w:val="00251F8E"/>
    <w:rsid w:val="00252034"/>
    <w:rsid w:val="00252035"/>
    <w:rsid w:val="00252090"/>
    <w:rsid w:val="00252118"/>
    <w:rsid w:val="0025211B"/>
    <w:rsid w:val="00252128"/>
    <w:rsid w:val="00252189"/>
    <w:rsid w:val="0025234B"/>
    <w:rsid w:val="0025236D"/>
    <w:rsid w:val="002523E1"/>
    <w:rsid w:val="00252430"/>
    <w:rsid w:val="00252441"/>
    <w:rsid w:val="00252456"/>
    <w:rsid w:val="00252529"/>
    <w:rsid w:val="0025252B"/>
    <w:rsid w:val="002525B8"/>
    <w:rsid w:val="00252607"/>
    <w:rsid w:val="002526C0"/>
    <w:rsid w:val="002527AC"/>
    <w:rsid w:val="002527F2"/>
    <w:rsid w:val="002529B4"/>
    <w:rsid w:val="00252A63"/>
    <w:rsid w:val="00252AA4"/>
    <w:rsid w:val="00252AB4"/>
    <w:rsid w:val="00252AB5"/>
    <w:rsid w:val="00252C12"/>
    <w:rsid w:val="00252C26"/>
    <w:rsid w:val="00252E7C"/>
    <w:rsid w:val="00253059"/>
    <w:rsid w:val="002530AA"/>
    <w:rsid w:val="0025310C"/>
    <w:rsid w:val="002531F0"/>
    <w:rsid w:val="002532D5"/>
    <w:rsid w:val="00253362"/>
    <w:rsid w:val="002533A2"/>
    <w:rsid w:val="0025348A"/>
    <w:rsid w:val="002534AE"/>
    <w:rsid w:val="00253548"/>
    <w:rsid w:val="0025363E"/>
    <w:rsid w:val="002536B9"/>
    <w:rsid w:val="002537F3"/>
    <w:rsid w:val="0025383A"/>
    <w:rsid w:val="0025387B"/>
    <w:rsid w:val="0025393D"/>
    <w:rsid w:val="002539A1"/>
    <w:rsid w:val="002539E6"/>
    <w:rsid w:val="00253A1B"/>
    <w:rsid w:val="00253A1F"/>
    <w:rsid w:val="00253A46"/>
    <w:rsid w:val="00253AE5"/>
    <w:rsid w:val="00253B98"/>
    <w:rsid w:val="00253BD3"/>
    <w:rsid w:val="00253BD5"/>
    <w:rsid w:val="00253CF0"/>
    <w:rsid w:val="00253D46"/>
    <w:rsid w:val="00253D82"/>
    <w:rsid w:val="00253DAB"/>
    <w:rsid w:val="00253DEA"/>
    <w:rsid w:val="00253EB8"/>
    <w:rsid w:val="0025403A"/>
    <w:rsid w:val="00254383"/>
    <w:rsid w:val="002543E0"/>
    <w:rsid w:val="0025445B"/>
    <w:rsid w:val="00254487"/>
    <w:rsid w:val="002544C4"/>
    <w:rsid w:val="0025464E"/>
    <w:rsid w:val="0025474D"/>
    <w:rsid w:val="00254A02"/>
    <w:rsid w:val="00254AC7"/>
    <w:rsid w:val="00254AD1"/>
    <w:rsid w:val="00254CCC"/>
    <w:rsid w:val="00254D56"/>
    <w:rsid w:val="00254D5B"/>
    <w:rsid w:val="00254E3B"/>
    <w:rsid w:val="00254E40"/>
    <w:rsid w:val="00254ED9"/>
    <w:rsid w:val="00254F1E"/>
    <w:rsid w:val="002552C0"/>
    <w:rsid w:val="00255377"/>
    <w:rsid w:val="002553BB"/>
    <w:rsid w:val="0025546D"/>
    <w:rsid w:val="00255515"/>
    <w:rsid w:val="00255627"/>
    <w:rsid w:val="002557B7"/>
    <w:rsid w:val="00255802"/>
    <w:rsid w:val="00255817"/>
    <w:rsid w:val="00255881"/>
    <w:rsid w:val="002558CF"/>
    <w:rsid w:val="0025598F"/>
    <w:rsid w:val="002559B4"/>
    <w:rsid w:val="00255A25"/>
    <w:rsid w:val="00255B03"/>
    <w:rsid w:val="00255B7C"/>
    <w:rsid w:val="00255CCC"/>
    <w:rsid w:val="00255D52"/>
    <w:rsid w:val="00255DA5"/>
    <w:rsid w:val="00255DE6"/>
    <w:rsid w:val="00255DEF"/>
    <w:rsid w:val="00255F88"/>
    <w:rsid w:val="00256080"/>
    <w:rsid w:val="0025609B"/>
    <w:rsid w:val="00256135"/>
    <w:rsid w:val="002561D2"/>
    <w:rsid w:val="002562AC"/>
    <w:rsid w:val="002563C4"/>
    <w:rsid w:val="002564B3"/>
    <w:rsid w:val="0025652E"/>
    <w:rsid w:val="00256544"/>
    <w:rsid w:val="002565F2"/>
    <w:rsid w:val="0025663C"/>
    <w:rsid w:val="0025663D"/>
    <w:rsid w:val="00256652"/>
    <w:rsid w:val="002566FA"/>
    <w:rsid w:val="00256747"/>
    <w:rsid w:val="00256761"/>
    <w:rsid w:val="00256B63"/>
    <w:rsid w:val="00256CD8"/>
    <w:rsid w:val="00256D47"/>
    <w:rsid w:val="00256D78"/>
    <w:rsid w:val="00256DE4"/>
    <w:rsid w:val="00256DEE"/>
    <w:rsid w:val="00256EF3"/>
    <w:rsid w:val="00256FD4"/>
    <w:rsid w:val="00257039"/>
    <w:rsid w:val="00257230"/>
    <w:rsid w:val="00257247"/>
    <w:rsid w:val="00257293"/>
    <w:rsid w:val="002572AC"/>
    <w:rsid w:val="002572DE"/>
    <w:rsid w:val="00257304"/>
    <w:rsid w:val="00257373"/>
    <w:rsid w:val="0025744E"/>
    <w:rsid w:val="002574D1"/>
    <w:rsid w:val="002575C1"/>
    <w:rsid w:val="002575D0"/>
    <w:rsid w:val="002575EE"/>
    <w:rsid w:val="002576E5"/>
    <w:rsid w:val="00257715"/>
    <w:rsid w:val="0025773D"/>
    <w:rsid w:val="00257745"/>
    <w:rsid w:val="002577B1"/>
    <w:rsid w:val="002579AD"/>
    <w:rsid w:val="002579F0"/>
    <w:rsid w:val="00257B6B"/>
    <w:rsid w:val="00257B82"/>
    <w:rsid w:val="00257C07"/>
    <w:rsid w:val="00257C43"/>
    <w:rsid w:val="00257D85"/>
    <w:rsid w:val="00257DC9"/>
    <w:rsid w:val="00257E3F"/>
    <w:rsid w:val="00257ED8"/>
    <w:rsid w:val="00257FCF"/>
    <w:rsid w:val="00260113"/>
    <w:rsid w:val="00260305"/>
    <w:rsid w:val="002603BD"/>
    <w:rsid w:val="00260413"/>
    <w:rsid w:val="0026055E"/>
    <w:rsid w:val="00260636"/>
    <w:rsid w:val="0026073C"/>
    <w:rsid w:val="00260746"/>
    <w:rsid w:val="0026085C"/>
    <w:rsid w:val="002608BC"/>
    <w:rsid w:val="0026092D"/>
    <w:rsid w:val="0026097C"/>
    <w:rsid w:val="00260CDE"/>
    <w:rsid w:val="00260E17"/>
    <w:rsid w:val="00260F2F"/>
    <w:rsid w:val="002610A5"/>
    <w:rsid w:val="00261160"/>
    <w:rsid w:val="002611F3"/>
    <w:rsid w:val="00261233"/>
    <w:rsid w:val="0026146A"/>
    <w:rsid w:val="00261508"/>
    <w:rsid w:val="002615DC"/>
    <w:rsid w:val="00261618"/>
    <w:rsid w:val="00261628"/>
    <w:rsid w:val="0026165A"/>
    <w:rsid w:val="0026168B"/>
    <w:rsid w:val="00261690"/>
    <w:rsid w:val="00261785"/>
    <w:rsid w:val="00261826"/>
    <w:rsid w:val="00261847"/>
    <w:rsid w:val="002619FC"/>
    <w:rsid w:val="00261A2F"/>
    <w:rsid w:val="00261AAF"/>
    <w:rsid w:val="00261BF9"/>
    <w:rsid w:val="00261C56"/>
    <w:rsid w:val="00261C74"/>
    <w:rsid w:val="00261DBD"/>
    <w:rsid w:val="00261DC8"/>
    <w:rsid w:val="00261E0E"/>
    <w:rsid w:val="00261E79"/>
    <w:rsid w:val="00261EAE"/>
    <w:rsid w:val="00261F7F"/>
    <w:rsid w:val="00261FAE"/>
    <w:rsid w:val="00262127"/>
    <w:rsid w:val="002621AB"/>
    <w:rsid w:val="00262211"/>
    <w:rsid w:val="0026223F"/>
    <w:rsid w:val="00262253"/>
    <w:rsid w:val="00262497"/>
    <w:rsid w:val="00262614"/>
    <w:rsid w:val="0026261B"/>
    <w:rsid w:val="0026261F"/>
    <w:rsid w:val="002626A5"/>
    <w:rsid w:val="0026277A"/>
    <w:rsid w:val="002627F5"/>
    <w:rsid w:val="0026280B"/>
    <w:rsid w:val="002628D2"/>
    <w:rsid w:val="00262929"/>
    <w:rsid w:val="00262BA9"/>
    <w:rsid w:val="00262BF8"/>
    <w:rsid w:val="00262C22"/>
    <w:rsid w:val="00262C43"/>
    <w:rsid w:val="00262D71"/>
    <w:rsid w:val="00262DFD"/>
    <w:rsid w:val="00263086"/>
    <w:rsid w:val="0026319F"/>
    <w:rsid w:val="00263374"/>
    <w:rsid w:val="00263402"/>
    <w:rsid w:val="00263429"/>
    <w:rsid w:val="002634BE"/>
    <w:rsid w:val="00263577"/>
    <w:rsid w:val="00263696"/>
    <w:rsid w:val="002638D0"/>
    <w:rsid w:val="00263907"/>
    <w:rsid w:val="00263945"/>
    <w:rsid w:val="002639BB"/>
    <w:rsid w:val="002639D3"/>
    <w:rsid w:val="002639E1"/>
    <w:rsid w:val="00263AB1"/>
    <w:rsid w:val="00263AE0"/>
    <w:rsid w:val="00263B86"/>
    <w:rsid w:val="00263BD6"/>
    <w:rsid w:val="00263BE3"/>
    <w:rsid w:val="00263C50"/>
    <w:rsid w:val="00263C5C"/>
    <w:rsid w:val="00263D1B"/>
    <w:rsid w:val="00263D22"/>
    <w:rsid w:val="00263D66"/>
    <w:rsid w:val="00263DD5"/>
    <w:rsid w:val="00263DF8"/>
    <w:rsid w:val="00263E4D"/>
    <w:rsid w:val="00263EAF"/>
    <w:rsid w:val="00263FE7"/>
    <w:rsid w:val="002640C7"/>
    <w:rsid w:val="00264112"/>
    <w:rsid w:val="0026422D"/>
    <w:rsid w:val="00264249"/>
    <w:rsid w:val="0026424A"/>
    <w:rsid w:val="0026426C"/>
    <w:rsid w:val="0026428E"/>
    <w:rsid w:val="002642F6"/>
    <w:rsid w:val="002643EB"/>
    <w:rsid w:val="00264443"/>
    <w:rsid w:val="00264520"/>
    <w:rsid w:val="00264521"/>
    <w:rsid w:val="0026465E"/>
    <w:rsid w:val="00264666"/>
    <w:rsid w:val="00264697"/>
    <w:rsid w:val="002646D5"/>
    <w:rsid w:val="00264799"/>
    <w:rsid w:val="0026488F"/>
    <w:rsid w:val="00264913"/>
    <w:rsid w:val="00264964"/>
    <w:rsid w:val="002649C3"/>
    <w:rsid w:val="002649E6"/>
    <w:rsid w:val="00264AEF"/>
    <w:rsid w:val="00264B0A"/>
    <w:rsid w:val="00264B6F"/>
    <w:rsid w:val="00264C51"/>
    <w:rsid w:val="00264D9C"/>
    <w:rsid w:val="00264E33"/>
    <w:rsid w:val="00264EA6"/>
    <w:rsid w:val="00264ECF"/>
    <w:rsid w:val="002650EA"/>
    <w:rsid w:val="0026510C"/>
    <w:rsid w:val="0026511E"/>
    <w:rsid w:val="002651D5"/>
    <w:rsid w:val="002651E9"/>
    <w:rsid w:val="00265266"/>
    <w:rsid w:val="002654F5"/>
    <w:rsid w:val="00265531"/>
    <w:rsid w:val="002655D3"/>
    <w:rsid w:val="002656A3"/>
    <w:rsid w:val="0026576D"/>
    <w:rsid w:val="002658CF"/>
    <w:rsid w:val="00265936"/>
    <w:rsid w:val="00265984"/>
    <w:rsid w:val="002659AA"/>
    <w:rsid w:val="00265A11"/>
    <w:rsid w:val="00265A15"/>
    <w:rsid w:val="00265AE7"/>
    <w:rsid w:val="00265B2F"/>
    <w:rsid w:val="00265B72"/>
    <w:rsid w:val="00265BC0"/>
    <w:rsid w:val="00265BEF"/>
    <w:rsid w:val="00265E12"/>
    <w:rsid w:val="00265E63"/>
    <w:rsid w:val="00265FCD"/>
    <w:rsid w:val="00266098"/>
    <w:rsid w:val="002660E7"/>
    <w:rsid w:val="00266139"/>
    <w:rsid w:val="002661E0"/>
    <w:rsid w:val="002661E7"/>
    <w:rsid w:val="002662AE"/>
    <w:rsid w:val="002662D2"/>
    <w:rsid w:val="00266339"/>
    <w:rsid w:val="002663D1"/>
    <w:rsid w:val="0026640F"/>
    <w:rsid w:val="00266440"/>
    <w:rsid w:val="0026647A"/>
    <w:rsid w:val="0026648F"/>
    <w:rsid w:val="002664AE"/>
    <w:rsid w:val="00266564"/>
    <w:rsid w:val="00266619"/>
    <w:rsid w:val="002666DE"/>
    <w:rsid w:val="002666DF"/>
    <w:rsid w:val="0026671E"/>
    <w:rsid w:val="00266760"/>
    <w:rsid w:val="00266761"/>
    <w:rsid w:val="00266805"/>
    <w:rsid w:val="0026682E"/>
    <w:rsid w:val="0026695E"/>
    <w:rsid w:val="002669B4"/>
    <w:rsid w:val="00266A9E"/>
    <w:rsid w:val="00266A9F"/>
    <w:rsid w:val="00266B21"/>
    <w:rsid w:val="00266D35"/>
    <w:rsid w:val="00266DEE"/>
    <w:rsid w:val="00266E84"/>
    <w:rsid w:val="00266F58"/>
    <w:rsid w:val="00266FA3"/>
    <w:rsid w:val="00266FFF"/>
    <w:rsid w:val="00267187"/>
    <w:rsid w:val="002671C4"/>
    <w:rsid w:val="00267473"/>
    <w:rsid w:val="002675A7"/>
    <w:rsid w:val="002675C4"/>
    <w:rsid w:val="00267623"/>
    <w:rsid w:val="002677EC"/>
    <w:rsid w:val="00267865"/>
    <w:rsid w:val="00267A2B"/>
    <w:rsid w:val="00267C1C"/>
    <w:rsid w:val="00267C5C"/>
    <w:rsid w:val="00267C96"/>
    <w:rsid w:val="00267D90"/>
    <w:rsid w:val="00267DB3"/>
    <w:rsid w:val="00267DE3"/>
    <w:rsid w:val="00267F67"/>
    <w:rsid w:val="00267F86"/>
    <w:rsid w:val="002700D2"/>
    <w:rsid w:val="00270121"/>
    <w:rsid w:val="002702D3"/>
    <w:rsid w:val="002703BA"/>
    <w:rsid w:val="002703C6"/>
    <w:rsid w:val="0027041D"/>
    <w:rsid w:val="00270453"/>
    <w:rsid w:val="0027048C"/>
    <w:rsid w:val="0027050D"/>
    <w:rsid w:val="00270527"/>
    <w:rsid w:val="00270583"/>
    <w:rsid w:val="00270669"/>
    <w:rsid w:val="002706ED"/>
    <w:rsid w:val="002706F6"/>
    <w:rsid w:val="00270709"/>
    <w:rsid w:val="002707FD"/>
    <w:rsid w:val="00270899"/>
    <w:rsid w:val="0027099A"/>
    <w:rsid w:val="002709D2"/>
    <w:rsid w:val="00270A51"/>
    <w:rsid w:val="00270AB8"/>
    <w:rsid w:val="00270B0E"/>
    <w:rsid w:val="00270BD2"/>
    <w:rsid w:val="00270BF8"/>
    <w:rsid w:val="00270CA3"/>
    <w:rsid w:val="00270CFA"/>
    <w:rsid w:val="00270F0F"/>
    <w:rsid w:val="00270F76"/>
    <w:rsid w:val="00271065"/>
    <w:rsid w:val="00271073"/>
    <w:rsid w:val="0027128D"/>
    <w:rsid w:val="002712A6"/>
    <w:rsid w:val="002712BC"/>
    <w:rsid w:val="002715A1"/>
    <w:rsid w:val="002715AB"/>
    <w:rsid w:val="002715ED"/>
    <w:rsid w:val="0027165D"/>
    <w:rsid w:val="00271663"/>
    <w:rsid w:val="00271681"/>
    <w:rsid w:val="002716ED"/>
    <w:rsid w:val="002718D5"/>
    <w:rsid w:val="002719B7"/>
    <w:rsid w:val="00271A68"/>
    <w:rsid w:val="00271B64"/>
    <w:rsid w:val="00271ECC"/>
    <w:rsid w:val="00271FA9"/>
    <w:rsid w:val="002720E8"/>
    <w:rsid w:val="00272127"/>
    <w:rsid w:val="00272139"/>
    <w:rsid w:val="00272209"/>
    <w:rsid w:val="002723A0"/>
    <w:rsid w:val="00272568"/>
    <w:rsid w:val="002725E2"/>
    <w:rsid w:val="00272747"/>
    <w:rsid w:val="0027275B"/>
    <w:rsid w:val="00272818"/>
    <w:rsid w:val="00272A30"/>
    <w:rsid w:val="00272B08"/>
    <w:rsid w:val="00272BAB"/>
    <w:rsid w:val="00272C4F"/>
    <w:rsid w:val="00272CBD"/>
    <w:rsid w:val="00272D0B"/>
    <w:rsid w:val="00272DC6"/>
    <w:rsid w:val="00272DD0"/>
    <w:rsid w:val="00272DEA"/>
    <w:rsid w:val="00272EEB"/>
    <w:rsid w:val="0027317E"/>
    <w:rsid w:val="0027327D"/>
    <w:rsid w:val="002732AA"/>
    <w:rsid w:val="0027331D"/>
    <w:rsid w:val="00273381"/>
    <w:rsid w:val="002734E4"/>
    <w:rsid w:val="00273510"/>
    <w:rsid w:val="002735F3"/>
    <w:rsid w:val="0027360F"/>
    <w:rsid w:val="002736A6"/>
    <w:rsid w:val="0027378B"/>
    <w:rsid w:val="00273926"/>
    <w:rsid w:val="00273A7F"/>
    <w:rsid w:val="00273A9E"/>
    <w:rsid w:val="00273D00"/>
    <w:rsid w:val="00273D04"/>
    <w:rsid w:val="00273EEE"/>
    <w:rsid w:val="00273FEA"/>
    <w:rsid w:val="0027404F"/>
    <w:rsid w:val="002740A9"/>
    <w:rsid w:val="0027412E"/>
    <w:rsid w:val="00274434"/>
    <w:rsid w:val="00274556"/>
    <w:rsid w:val="0027478F"/>
    <w:rsid w:val="002747AD"/>
    <w:rsid w:val="002747AE"/>
    <w:rsid w:val="00274832"/>
    <w:rsid w:val="002748C4"/>
    <w:rsid w:val="00274CAE"/>
    <w:rsid w:val="00274CE5"/>
    <w:rsid w:val="00274D03"/>
    <w:rsid w:val="00274DF2"/>
    <w:rsid w:val="002750E1"/>
    <w:rsid w:val="0027515D"/>
    <w:rsid w:val="002752A0"/>
    <w:rsid w:val="002753B0"/>
    <w:rsid w:val="002753CB"/>
    <w:rsid w:val="00275477"/>
    <w:rsid w:val="0027554C"/>
    <w:rsid w:val="00275581"/>
    <w:rsid w:val="0027574A"/>
    <w:rsid w:val="002759C6"/>
    <w:rsid w:val="00275A26"/>
    <w:rsid w:val="00275A6B"/>
    <w:rsid w:val="00275A6E"/>
    <w:rsid w:val="00275AB3"/>
    <w:rsid w:val="00275AD5"/>
    <w:rsid w:val="00275BF7"/>
    <w:rsid w:val="00275D54"/>
    <w:rsid w:val="00275DD0"/>
    <w:rsid w:val="00275E41"/>
    <w:rsid w:val="00275E9E"/>
    <w:rsid w:val="00275EBC"/>
    <w:rsid w:val="00275ED4"/>
    <w:rsid w:val="00275F15"/>
    <w:rsid w:val="00275F2C"/>
    <w:rsid w:val="00275FAC"/>
    <w:rsid w:val="00275FB2"/>
    <w:rsid w:val="0027606B"/>
    <w:rsid w:val="002760B8"/>
    <w:rsid w:val="002760E7"/>
    <w:rsid w:val="002761ED"/>
    <w:rsid w:val="0027620D"/>
    <w:rsid w:val="00276225"/>
    <w:rsid w:val="0027623D"/>
    <w:rsid w:val="00276335"/>
    <w:rsid w:val="002763D8"/>
    <w:rsid w:val="002765D1"/>
    <w:rsid w:val="00276640"/>
    <w:rsid w:val="002766C4"/>
    <w:rsid w:val="002766EB"/>
    <w:rsid w:val="00276754"/>
    <w:rsid w:val="0027676E"/>
    <w:rsid w:val="0027687C"/>
    <w:rsid w:val="002768A5"/>
    <w:rsid w:val="00276A1F"/>
    <w:rsid w:val="00276B32"/>
    <w:rsid w:val="00276B5F"/>
    <w:rsid w:val="00276B95"/>
    <w:rsid w:val="00276D03"/>
    <w:rsid w:val="00276E04"/>
    <w:rsid w:val="00276EA5"/>
    <w:rsid w:val="00276ED8"/>
    <w:rsid w:val="00276F08"/>
    <w:rsid w:val="00276F37"/>
    <w:rsid w:val="00276F70"/>
    <w:rsid w:val="00277026"/>
    <w:rsid w:val="0027702D"/>
    <w:rsid w:val="00277066"/>
    <w:rsid w:val="002772D6"/>
    <w:rsid w:val="00277365"/>
    <w:rsid w:val="0027740A"/>
    <w:rsid w:val="002774E2"/>
    <w:rsid w:val="0027755E"/>
    <w:rsid w:val="00277873"/>
    <w:rsid w:val="002778F3"/>
    <w:rsid w:val="00277906"/>
    <w:rsid w:val="00277A1A"/>
    <w:rsid w:val="00277D4B"/>
    <w:rsid w:val="00277E91"/>
    <w:rsid w:val="00277E93"/>
    <w:rsid w:val="00277EF9"/>
    <w:rsid w:val="00277FF6"/>
    <w:rsid w:val="00280053"/>
    <w:rsid w:val="002801E7"/>
    <w:rsid w:val="00280228"/>
    <w:rsid w:val="0028037F"/>
    <w:rsid w:val="002805AF"/>
    <w:rsid w:val="002805EA"/>
    <w:rsid w:val="00280621"/>
    <w:rsid w:val="00280643"/>
    <w:rsid w:val="00280661"/>
    <w:rsid w:val="002808C1"/>
    <w:rsid w:val="00280967"/>
    <w:rsid w:val="002809AA"/>
    <w:rsid w:val="00280A70"/>
    <w:rsid w:val="00280AD0"/>
    <w:rsid w:val="00280B1F"/>
    <w:rsid w:val="00280BA0"/>
    <w:rsid w:val="00280CB6"/>
    <w:rsid w:val="00280CCF"/>
    <w:rsid w:val="00280DF5"/>
    <w:rsid w:val="0028111E"/>
    <w:rsid w:val="002812DF"/>
    <w:rsid w:val="0028146A"/>
    <w:rsid w:val="002814F7"/>
    <w:rsid w:val="0028157A"/>
    <w:rsid w:val="002815BE"/>
    <w:rsid w:val="0028161A"/>
    <w:rsid w:val="00281704"/>
    <w:rsid w:val="0028173F"/>
    <w:rsid w:val="002817D0"/>
    <w:rsid w:val="00281823"/>
    <w:rsid w:val="002818CF"/>
    <w:rsid w:val="00281920"/>
    <w:rsid w:val="00281923"/>
    <w:rsid w:val="00281951"/>
    <w:rsid w:val="002819FF"/>
    <w:rsid w:val="00281AE9"/>
    <w:rsid w:val="00281B99"/>
    <w:rsid w:val="00281C13"/>
    <w:rsid w:val="00281C73"/>
    <w:rsid w:val="00281D22"/>
    <w:rsid w:val="00281DC1"/>
    <w:rsid w:val="00281EB0"/>
    <w:rsid w:val="00281EB9"/>
    <w:rsid w:val="00281F86"/>
    <w:rsid w:val="00281FCF"/>
    <w:rsid w:val="00281FDD"/>
    <w:rsid w:val="00282038"/>
    <w:rsid w:val="00282069"/>
    <w:rsid w:val="00282087"/>
    <w:rsid w:val="002820C3"/>
    <w:rsid w:val="00282161"/>
    <w:rsid w:val="002821B3"/>
    <w:rsid w:val="00282231"/>
    <w:rsid w:val="0028255B"/>
    <w:rsid w:val="00282613"/>
    <w:rsid w:val="00282762"/>
    <w:rsid w:val="002827B1"/>
    <w:rsid w:val="00282896"/>
    <w:rsid w:val="002828E9"/>
    <w:rsid w:val="002828F0"/>
    <w:rsid w:val="00282ACE"/>
    <w:rsid w:val="00282B72"/>
    <w:rsid w:val="00282C60"/>
    <w:rsid w:val="00282DD6"/>
    <w:rsid w:val="00282DDB"/>
    <w:rsid w:val="00282ECE"/>
    <w:rsid w:val="0028300B"/>
    <w:rsid w:val="0028306C"/>
    <w:rsid w:val="002831C1"/>
    <w:rsid w:val="00283227"/>
    <w:rsid w:val="002832B3"/>
    <w:rsid w:val="002832DD"/>
    <w:rsid w:val="002832E0"/>
    <w:rsid w:val="0028332C"/>
    <w:rsid w:val="0028338C"/>
    <w:rsid w:val="0028338E"/>
    <w:rsid w:val="002833EA"/>
    <w:rsid w:val="002833F6"/>
    <w:rsid w:val="0028344B"/>
    <w:rsid w:val="002835F1"/>
    <w:rsid w:val="00283655"/>
    <w:rsid w:val="002836C8"/>
    <w:rsid w:val="002836CB"/>
    <w:rsid w:val="00283758"/>
    <w:rsid w:val="002838FB"/>
    <w:rsid w:val="00283995"/>
    <w:rsid w:val="002839AF"/>
    <w:rsid w:val="002839FA"/>
    <w:rsid w:val="00283A5A"/>
    <w:rsid w:val="00283B92"/>
    <w:rsid w:val="00283C75"/>
    <w:rsid w:val="00283D82"/>
    <w:rsid w:val="00283DEE"/>
    <w:rsid w:val="00283E33"/>
    <w:rsid w:val="00283E5C"/>
    <w:rsid w:val="0028401C"/>
    <w:rsid w:val="002842B7"/>
    <w:rsid w:val="002842DB"/>
    <w:rsid w:val="002842E3"/>
    <w:rsid w:val="00284325"/>
    <w:rsid w:val="0028442C"/>
    <w:rsid w:val="002844E2"/>
    <w:rsid w:val="002845EF"/>
    <w:rsid w:val="00284685"/>
    <w:rsid w:val="002846B5"/>
    <w:rsid w:val="00284748"/>
    <w:rsid w:val="002847CD"/>
    <w:rsid w:val="002847E0"/>
    <w:rsid w:val="0028495A"/>
    <w:rsid w:val="0028495F"/>
    <w:rsid w:val="00284A97"/>
    <w:rsid w:val="00284C39"/>
    <w:rsid w:val="00284C49"/>
    <w:rsid w:val="00284CB3"/>
    <w:rsid w:val="00284E80"/>
    <w:rsid w:val="00284EC9"/>
    <w:rsid w:val="00284F77"/>
    <w:rsid w:val="00284FD0"/>
    <w:rsid w:val="002851C6"/>
    <w:rsid w:val="00285236"/>
    <w:rsid w:val="002852B5"/>
    <w:rsid w:val="00285391"/>
    <w:rsid w:val="002853AE"/>
    <w:rsid w:val="00285490"/>
    <w:rsid w:val="0028549F"/>
    <w:rsid w:val="00285550"/>
    <w:rsid w:val="0028556A"/>
    <w:rsid w:val="002856BE"/>
    <w:rsid w:val="0028578F"/>
    <w:rsid w:val="002858A5"/>
    <w:rsid w:val="002858C9"/>
    <w:rsid w:val="00285923"/>
    <w:rsid w:val="00285A72"/>
    <w:rsid w:val="00285C1D"/>
    <w:rsid w:val="00285C1F"/>
    <w:rsid w:val="00285CD2"/>
    <w:rsid w:val="00285F16"/>
    <w:rsid w:val="00285F52"/>
    <w:rsid w:val="002860CA"/>
    <w:rsid w:val="0028613A"/>
    <w:rsid w:val="00286248"/>
    <w:rsid w:val="0028637E"/>
    <w:rsid w:val="00286413"/>
    <w:rsid w:val="002864D2"/>
    <w:rsid w:val="002865F4"/>
    <w:rsid w:val="00286700"/>
    <w:rsid w:val="0028673C"/>
    <w:rsid w:val="002867F2"/>
    <w:rsid w:val="0028688B"/>
    <w:rsid w:val="00286940"/>
    <w:rsid w:val="002869D2"/>
    <w:rsid w:val="00286A08"/>
    <w:rsid w:val="00286B24"/>
    <w:rsid w:val="00286B5D"/>
    <w:rsid w:val="00286C85"/>
    <w:rsid w:val="00286D5E"/>
    <w:rsid w:val="0028708E"/>
    <w:rsid w:val="00287108"/>
    <w:rsid w:val="0028712D"/>
    <w:rsid w:val="002871A6"/>
    <w:rsid w:val="00287228"/>
    <w:rsid w:val="0028729F"/>
    <w:rsid w:val="00287317"/>
    <w:rsid w:val="0028736A"/>
    <w:rsid w:val="002874AA"/>
    <w:rsid w:val="002874C4"/>
    <w:rsid w:val="0028753B"/>
    <w:rsid w:val="00287578"/>
    <w:rsid w:val="002875E1"/>
    <w:rsid w:val="002876C8"/>
    <w:rsid w:val="00287806"/>
    <w:rsid w:val="0028785F"/>
    <w:rsid w:val="002878FB"/>
    <w:rsid w:val="0028799F"/>
    <w:rsid w:val="002879EA"/>
    <w:rsid w:val="00287A7D"/>
    <w:rsid w:val="00287AC4"/>
    <w:rsid w:val="00287B88"/>
    <w:rsid w:val="00287BAF"/>
    <w:rsid w:val="00287BBB"/>
    <w:rsid w:val="00287DBF"/>
    <w:rsid w:val="00287E58"/>
    <w:rsid w:val="00287F2E"/>
    <w:rsid w:val="002900CB"/>
    <w:rsid w:val="00290106"/>
    <w:rsid w:val="00290154"/>
    <w:rsid w:val="002901D5"/>
    <w:rsid w:val="002901E5"/>
    <w:rsid w:val="00290212"/>
    <w:rsid w:val="00290215"/>
    <w:rsid w:val="00290323"/>
    <w:rsid w:val="00290401"/>
    <w:rsid w:val="0029040B"/>
    <w:rsid w:val="0029059B"/>
    <w:rsid w:val="002905BB"/>
    <w:rsid w:val="0029061E"/>
    <w:rsid w:val="002906D4"/>
    <w:rsid w:val="002906DE"/>
    <w:rsid w:val="0029079A"/>
    <w:rsid w:val="0029087A"/>
    <w:rsid w:val="00290995"/>
    <w:rsid w:val="00290B52"/>
    <w:rsid w:val="00290B61"/>
    <w:rsid w:val="00290BC3"/>
    <w:rsid w:val="00290C02"/>
    <w:rsid w:val="00290C1E"/>
    <w:rsid w:val="00290D19"/>
    <w:rsid w:val="00290DD0"/>
    <w:rsid w:val="00290DDD"/>
    <w:rsid w:val="00290E02"/>
    <w:rsid w:val="00290F36"/>
    <w:rsid w:val="00290F41"/>
    <w:rsid w:val="00290F4D"/>
    <w:rsid w:val="00290F84"/>
    <w:rsid w:val="00290FA2"/>
    <w:rsid w:val="002910F9"/>
    <w:rsid w:val="0029119D"/>
    <w:rsid w:val="0029120E"/>
    <w:rsid w:val="002912EE"/>
    <w:rsid w:val="0029131C"/>
    <w:rsid w:val="00291334"/>
    <w:rsid w:val="002913F8"/>
    <w:rsid w:val="00291489"/>
    <w:rsid w:val="00291597"/>
    <w:rsid w:val="002915FA"/>
    <w:rsid w:val="002918A6"/>
    <w:rsid w:val="00291945"/>
    <w:rsid w:val="00291972"/>
    <w:rsid w:val="00291BB8"/>
    <w:rsid w:val="00291D14"/>
    <w:rsid w:val="00291D7A"/>
    <w:rsid w:val="00291D8A"/>
    <w:rsid w:val="00291DDD"/>
    <w:rsid w:val="00291E8E"/>
    <w:rsid w:val="00291E9C"/>
    <w:rsid w:val="00291EA0"/>
    <w:rsid w:val="00291EC2"/>
    <w:rsid w:val="00291F2B"/>
    <w:rsid w:val="00292013"/>
    <w:rsid w:val="0029207F"/>
    <w:rsid w:val="00292080"/>
    <w:rsid w:val="002920E5"/>
    <w:rsid w:val="00292101"/>
    <w:rsid w:val="00292311"/>
    <w:rsid w:val="00292348"/>
    <w:rsid w:val="00292442"/>
    <w:rsid w:val="0029246F"/>
    <w:rsid w:val="002924A4"/>
    <w:rsid w:val="002924F7"/>
    <w:rsid w:val="00292550"/>
    <w:rsid w:val="00292595"/>
    <w:rsid w:val="002925D0"/>
    <w:rsid w:val="002925E7"/>
    <w:rsid w:val="00292602"/>
    <w:rsid w:val="0029261C"/>
    <w:rsid w:val="00292683"/>
    <w:rsid w:val="0029271B"/>
    <w:rsid w:val="0029274C"/>
    <w:rsid w:val="002928CD"/>
    <w:rsid w:val="00292904"/>
    <w:rsid w:val="00292B8A"/>
    <w:rsid w:val="00292B9F"/>
    <w:rsid w:val="00292D88"/>
    <w:rsid w:val="00292E06"/>
    <w:rsid w:val="00292E0C"/>
    <w:rsid w:val="00292E60"/>
    <w:rsid w:val="00292F64"/>
    <w:rsid w:val="00292FD5"/>
    <w:rsid w:val="00292FFB"/>
    <w:rsid w:val="002930C8"/>
    <w:rsid w:val="002931CB"/>
    <w:rsid w:val="002931D4"/>
    <w:rsid w:val="00293361"/>
    <w:rsid w:val="00293441"/>
    <w:rsid w:val="002934A6"/>
    <w:rsid w:val="0029354B"/>
    <w:rsid w:val="002935C5"/>
    <w:rsid w:val="00293618"/>
    <w:rsid w:val="00293660"/>
    <w:rsid w:val="002936DC"/>
    <w:rsid w:val="00293756"/>
    <w:rsid w:val="002937C5"/>
    <w:rsid w:val="00293805"/>
    <w:rsid w:val="00293858"/>
    <w:rsid w:val="00293874"/>
    <w:rsid w:val="00293875"/>
    <w:rsid w:val="00293A80"/>
    <w:rsid w:val="00293AB0"/>
    <w:rsid w:val="00293B11"/>
    <w:rsid w:val="00293E58"/>
    <w:rsid w:val="00293F22"/>
    <w:rsid w:val="00294055"/>
    <w:rsid w:val="00294099"/>
    <w:rsid w:val="00294231"/>
    <w:rsid w:val="00294257"/>
    <w:rsid w:val="00294323"/>
    <w:rsid w:val="0029438C"/>
    <w:rsid w:val="00294429"/>
    <w:rsid w:val="0029443E"/>
    <w:rsid w:val="00294480"/>
    <w:rsid w:val="002944B3"/>
    <w:rsid w:val="00294535"/>
    <w:rsid w:val="00294553"/>
    <w:rsid w:val="00294578"/>
    <w:rsid w:val="002945B1"/>
    <w:rsid w:val="002946B1"/>
    <w:rsid w:val="00294755"/>
    <w:rsid w:val="0029475F"/>
    <w:rsid w:val="00294797"/>
    <w:rsid w:val="002947E0"/>
    <w:rsid w:val="002947FC"/>
    <w:rsid w:val="00294846"/>
    <w:rsid w:val="00294851"/>
    <w:rsid w:val="0029489E"/>
    <w:rsid w:val="002948EB"/>
    <w:rsid w:val="00294911"/>
    <w:rsid w:val="00294A0E"/>
    <w:rsid w:val="00294ABE"/>
    <w:rsid w:val="00294AD5"/>
    <w:rsid w:val="00294AFD"/>
    <w:rsid w:val="00294BC2"/>
    <w:rsid w:val="00294BFE"/>
    <w:rsid w:val="00294C0F"/>
    <w:rsid w:val="00294C6A"/>
    <w:rsid w:val="00294CDC"/>
    <w:rsid w:val="00294DB3"/>
    <w:rsid w:val="00294EAD"/>
    <w:rsid w:val="00294EFC"/>
    <w:rsid w:val="00294F18"/>
    <w:rsid w:val="00295030"/>
    <w:rsid w:val="00295096"/>
    <w:rsid w:val="00295116"/>
    <w:rsid w:val="00295151"/>
    <w:rsid w:val="002951BE"/>
    <w:rsid w:val="00295213"/>
    <w:rsid w:val="002952B8"/>
    <w:rsid w:val="002952E6"/>
    <w:rsid w:val="00295325"/>
    <w:rsid w:val="0029535E"/>
    <w:rsid w:val="00295592"/>
    <w:rsid w:val="002955F1"/>
    <w:rsid w:val="00295644"/>
    <w:rsid w:val="0029571F"/>
    <w:rsid w:val="00295741"/>
    <w:rsid w:val="002957F1"/>
    <w:rsid w:val="00295801"/>
    <w:rsid w:val="0029598A"/>
    <w:rsid w:val="00295AB1"/>
    <w:rsid w:val="00295B8E"/>
    <w:rsid w:val="00295BE3"/>
    <w:rsid w:val="00295BEE"/>
    <w:rsid w:val="00295CAD"/>
    <w:rsid w:val="00295D25"/>
    <w:rsid w:val="00295D29"/>
    <w:rsid w:val="00295D6C"/>
    <w:rsid w:val="00295D6E"/>
    <w:rsid w:val="00295DB7"/>
    <w:rsid w:val="00295E7E"/>
    <w:rsid w:val="00295ED3"/>
    <w:rsid w:val="00295F09"/>
    <w:rsid w:val="00295F97"/>
    <w:rsid w:val="00295FC5"/>
    <w:rsid w:val="00296038"/>
    <w:rsid w:val="002960C1"/>
    <w:rsid w:val="00296169"/>
    <w:rsid w:val="002962CD"/>
    <w:rsid w:val="00296347"/>
    <w:rsid w:val="002963FA"/>
    <w:rsid w:val="002964A0"/>
    <w:rsid w:val="00296551"/>
    <w:rsid w:val="002965D3"/>
    <w:rsid w:val="002965EF"/>
    <w:rsid w:val="0029664C"/>
    <w:rsid w:val="0029672F"/>
    <w:rsid w:val="00296773"/>
    <w:rsid w:val="0029680E"/>
    <w:rsid w:val="00296906"/>
    <w:rsid w:val="00296936"/>
    <w:rsid w:val="00296994"/>
    <w:rsid w:val="00296B70"/>
    <w:rsid w:val="00296BE0"/>
    <w:rsid w:val="00296D1C"/>
    <w:rsid w:val="00296DEA"/>
    <w:rsid w:val="00296EE7"/>
    <w:rsid w:val="00296F3A"/>
    <w:rsid w:val="00296FBB"/>
    <w:rsid w:val="00297075"/>
    <w:rsid w:val="00297208"/>
    <w:rsid w:val="00297276"/>
    <w:rsid w:val="0029735B"/>
    <w:rsid w:val="00297478"/>
    <w:rsid w:val="00297513"/>
    <w:rsid w:val="00297529"/>
    <w:rsid w:val="00297536"/>
    <w:rsid w:val="00297560"/>
    <w:rsid w:val="002976AF"/>
    <w:rsid w:val="002976D1"/>
    <w:rsid w:val="0029771C"/>
    <w:rsid w:val="002978CC"/>
    <w:rsid w:val="002978EA"/>
    <w:rsid w:val="002978F7"/>
    <w:rsid w:val="00297B1D"/>
    <w:rsid w:val="00297B2D"/>
    <w:rsid w:val="00297DFC"/>
    <w:rsid w:val="002A0027"/>
    <w:rsid w:val="002A011D"/>
    <w:rsid w:val="002A0123"/>
    <w:rsid w:val="002A0241"/>
    <w:rsid w:val="002A0242"/>
    <w:rsid w:val="002A02C5"/>
    <w:rsid w:val="002A02DF"/>
    <w:rsid w:val="002A0425"/>
    <w:rsid w:val="002A0453"/>
    <w:rsid w:val="002A04C9"/>
    <w:rsid w:val="002A04E4"/>
    <w:rsid w:val="002A0522"/>
    <w:rsid w:val="002A0537"/>
    <w:rsid w:val="002A05BB"/>
    <w:rsid w:val="002A06E3"/>
    <w:rsid w:val="002A06F8"/>
    <w:rsid w:val="002A06FC"/>
    <w:rsid w:val="002A07B6"/>
    <w:rsid w:val="002A0817"/>
    <w:rsid w:val="002A0819"/>
    <w:rsid w:val="002A0965"/>
    <w:rsid w:val="002A0B4C"/>
    <w:rsid w:val="002A0BFE"/>
    <w:rsid w:val="002A0C12"/>
    <w:rsid w:val="002A0F30"/>
    <w:rsid w:val="002A1182"/>
    <w:rsid w:val="002A11EB"/>
    <w:rsid w:val="002A11EC"/>
    <w:rsid w:val="002A1273"/>
    <w:rsid w:val="002A12B1"/>
    <w:rsid w:val="002A139D"/>
    <w:rsid w:val="002A141A"/>
    <w:rsid w:val="002A160C"/>
    <w:rsid w:val="002A1666"/>
    <w:rsid w:val="002A174E"/>
    <w:rsid w:val="002A17E3"/>
    <w:rsid w:val="002A1898"/>
    <w:rsid w:val="002A18BA"/>
    <w:rsid w:val="002A195A"/>
    <w:rsid w:val="002A1995"/>
    <w:rsid w:val="002A19A7"/>
    <w:rsid w:val="002A19D2"/>
    <w:rsid w:val="002A1A12"/>
    <w:rsid w:val="002A1A37"/>
    <w:rsid w:val="002A1BCC"/>
    <w:rsid w:val="002A1C66"/>
    <w:rsid w:val="002A1D31"/>
    <w:rsid w:val="002A1D38"/>
    <w:rsid w:val="002A1DCB"/>
    <w:rsid w:val="002A1EE5"/>
    <w:rsid w:val="002A1FB8"/>
    <w:rsid w:val="002A2010"/>
    <w:rsid w:val="002A2034"/>
    <w:rsid w:val="002A20AA"/>
    <w:rsid w:val="002A2145"/>
    <w:rsid w:val="002A2440"/>
    <w:rsid w:val="002A24BC"/>
    <w:rsid w:val="002A25E4"/>
    <w:rsid w:val="002A274B"/>
    <w:rsid w:val="002A296D"/>
    <w:rsid w:val="002A29AF"/>
    <w:rsid w:val="002A29B9"/>
    <w:rsid w:val="002A2B0F"/>
    <w:rsid w:val="002A2BCA"/>
    <w:rsid w:val="002A2CD9"/>
    <w:rsid w:val="002A2D90"/>
    <w:rsid w:val="002A2E50"/>
    <w:rsid w:val="002A2E68"/>
    <w:rsid w:val="002A2ED7"/>
    <w:rsid w:val="002A2ED9"/>
    <w:rsid w:val="002A2F39"/>
    <w:rsid w:val="002A2F5B"/>
    <w:rsid w:val="002A2F9A"/>
    <w:rsid w:val="002A3003"/>
    <w:rsid w:val="002A30AE"/>
    <w:rsid w:val="002A30B6"/>
    <w:rsid w:val="002A30F8"/>
    <w:rsid w:val="002A311C"/>
    <w:rsid w:val="002A322A"/>
    <w:rsid w:val="002A32B1"/>
    <w:rsid w:val="002A33ED"/>
    <w:rsid w:val="002A3538"/>
    <w:rsid w:val="002A353C"/>
    <w:rsid w:val="002A358B"/>
    <w:rsid w:val="002A35AA"/>
    <w:rsid w:val="002A361E"/>
    <w:rsid w:val="002A3630"/>
    <w:rsid w:val="002A37F8"/>
    <w:rsid w:val="002A381D"/>
    <w:rsid w:val="002A3909"/>
    <w:rsid w:val="002A3926"/>
    <w:rsid w:val="002A39DC"/>
    <w:rsid w:val="002A3A3A"/>
    <w:rsid w:val="002A3A54"/>
    <w:rsid w:val="002A3B12"/>
    <w:rsid w:val="002A3C11"/>
    <w:rsid w:val="002A3CA3"/>
    <w:rsid w:val="002A3CBD"/>
    <w:rsid w:val="002A3D3D"/>
    <w:rsid w:val="002A3F06"/>
    <w:rsid w:val="002A3F4B"/>
    <w:rsid w:val="002A3F54"/>
    <w:rsid w:val="002A400E"/>
    <w:rsid w:val="002A4061"/>
    <w:rsid w:val="002A4148"/>
    <w:rsid w:val="002A4300"/>
    <w:rsid w:val="002A43A4"/>
    <w:rsid w:val="002A4486"/>
    <w:rsid w:val="002A46BB"/>
    <w:rsid w:val="002A4729"/>
    <w:rsid w:val="002A48D9"/>
    <w:rsid w:val="002A4904"/>
    <w:rsid w:val="002A4A1F"/>
    <w:rsid w:val="002A4A4C"/>
    <w:rsid w:val="002A4B42"/>
    <w:rsid w:val="002A4B89"/>
    <w:rsid w:val="002A4BAA"/>
    <w:rsid w:val="002A4C25"/>
    <w:rsid w:val="002A4CF1"/>
    <w:rsid w:val="002A4DE9"/>
    <w:rsid w:val="002A4E11"/>
    <w:rsid w:val="002A4EB9"/>
    <w:rsid w:val="002A5038"/>
    <w:rsid w:val="002A5115"/>
    <w:rsid w:val="002A511C"/>
    <w:rsid w:val="002A53A7"/>
    <w:rsid w:val="002A54AA"/>
    <w:rsid w:val="002A54D9"/>
    <w:rsid w:val="002A5544"/>
    <w:rsid w:val="002A561F"/>
    <w:rsid w:val="002A566B"/>
    <w:rsid w:val="002A5695"/>
    <w:rsid w:val="002A56F7"/>
    <w:rsid w:val="002A59CF"/>
    <w:rsid w:val="002A5A7A"/>
    <w:rsid w:val="002A5AF0"/>
    <w:rsid w:val="002A5B41"/>
    <w:rsid w:val="002A5B6E"/>
    <w:rsid w:val="002A5C2C"/>
    <w:rsid w:val="002A5E5D"/>
    <w:rsid w:val="002A5EE4"/>
    <w:rsid w:val="002A5F50"/>
    <w:rsid w:val="002A5F69"/>
    <w:rsid w:val="002A6051"/>
    <w:rsid w:val="002A60B5"/>
    <w:rsid w:val="002A62CB"/>
    <w:rsid w:val="002A62CE"/>
    <w:rsid w:val="002A637D"/>
    <w:rsid w:val="002A6413"/>
    <w:rsid w:val="002A6476"/>
    <w:rsid w:val="002A64EE"/>
    <w:rsid w:val="002A6566"/>
    <w:rsid w:val="002A658D"/>
    <w:rsid w:val="002A6630"/>
    <w:rsid w:val="002A6679"/>
    <w:rsid w:val="002A6696"/>
    <w:rsid w:val="002A66E9"/>
    <w:rsid w:val="002A6876"/>
    <w:rsid w:val="002A68E4"/>
    <w:rsid w:val="002A69DD"/>
    <w:rsid w:val="002A6A67"/>
    <w:rsid w:val="002A6AE9"/>
    <w:rsid w:val="002A6AEE"/>
    <w:rsid w:val="002A6B48"/>
    <w:rsid w:val="002A6C2D"/>
    <w:rsid w:val="002A6CE7"/>
    <w:rsid w:val="002A6D0F"/>
    <w:rsid w:val="002A6EA9"/>
    <w:rsid w:val="002A6FCE"/>
    <w:rsid w:val="002A70BD"/>
    <w:rsid w:val="002A725B"/>
    <w:rsid w:val="002A730E"/>
    <w:rsid w:val="002A73A7"/>
    <w:rsid w:val="002A7492"/>
    <w:rsid w:val="002A74BA"/>
    <w:rsid w:val="002A7591"/>
    <w:rsid w:val="002A766E"/>
    <w:rsid w:val="002A76DE"/>
    <w:rsid w:val="002A7730"/>
    <w:rsid w:val="002A77C8"/>
    <w:rsid w:val="002A7845"/>
    <w:rsid w:val="002A797B"/>
    <w:rsid w:val="002A7A3D"/>
    <w:rsid w:val="002A7B53"/>
    <w:rsid w:val="002A7C4F"/>
    <w:rsid w:val="002A7CE9"/>
    <w:rsid w:val="002A7D55"/>
    <w:rsid w:val="002B0019"/>
    <w:rsid w:val="002B0033"/>
    <w:rsid w:val="002B0127"/>
    <w:rsid w:val="002B0163"/>
    <w:rsid w:val="002B0182"/>
    <w:rsid w:val="002B01A7"/>
    <w:rsid w:val="002B0208"/>
    <w:rsid w:val="002B029C"/>
    <w:rsid w:val="002B02A2"/>
    <w:rsid w:val="002B041C"/>
    <w:rsid w:val="002B0455"/>
    <w:rsid w:val="002B067C"/>
    <w:rsid w:val="002B069C"/>
    <w:rsid w:val="002B099E"/>
    <w:rsid w:val="002B0B00"/>
    <w:rsid w:val="002B0B2F"/>
    <w:rsid w:val="002B0BFF"/>
    <w:rsid w:val="002B0C39"/>
    <w:rsid w:val="002B0C54"/>
    <w:rsid w:val="002B0D06"/>
    <w:rsid w:val="002B0D2B"/>
    <w:rsid w:val="002B0DD4"/>
    <w:rsid w:val="002B0EA0"/>
    <w:rsid w:val="002B0F2B"/>
    <w:rsid w:val="002B0F8E"/>
    <w:rsid w:val="002B0FB7"/>
    <w:rsid w:val="002B101B"/>
    <w:rsid w:val="002B1097"/>
    <w:rsid w:val="002B10B1"/>
    <w:rsid w:val="002B10CE"/>
    <w:rsid w:val="002B1134"/>
    <w:rsid w:val="002B117F"/>
    <w:rsid w:val="002B1288"/>
    <w:rsid w:val="002B1341"/>
    <w:rsid w:val="002B13AF"/>
    <w:rsid w:val="002B13B9"/>
    <w:rsid w:val="002B14CF"/>
    <w:rsid w:val="002B1540"/>
    <w:rsid w:val="002B1594"/>
    <w:rsid w:val="002B15EE"/>
    <w:rsid w:val="002B160B"/>
    <w:rsid w:val="002B16A5"/>
    <w:rsid w:val="002B1734"/>
    <w:rsid w:val="002B17DA"/>
    <w:rsid w:val="002B17FB"/>
    <w:rsid w:val="002B1ABD"/>
    <w:rsid w:val="002B1AD0"/>
    <w:rsid w:val="002B1BBA"/>
    <w:rsid w:val="002B1BEA"/>
    <w:rsid w:val="002B1D95"/>
    <w:rsid w:val="002B1E55"/>
    <w:rsid w:val="002B1EDB"/>
    <w:rsid w:val="002B1F55"/>
    <w:rsid w:val="002B1FD6"/>
    <w:rsid w:val="002B1FE4"/>
    <w:rsid w:val="002B1FF4"/>
    <w:rsid w:val="002B20C9"/>
    <w:rsid w:val="002B211A"/>
    <w:rsid w:val="002B21B2"/>
    <w:rsid w:val="002B2232"/>
    <w:rsid w:val="002B2274"/>
    <w:rsid w:val="002B23E3"/>
    <w:rsid w:val="002B250B"/>
    <w:rsid w:val="002B2612"/>
    <w:rsid w:val="002B276B"/>
    <w:rsid w:val="002B27F3"/>
    <w:rsid w:val="002B280E"/>
    <w:rsid w:val="002B28A8"/>
    <w:rsid w:val="002B2961"/>
    <w:rsid w:val="002B29C3"/>
    <w:rsid w:val="002B2A29"/>
    <w:rsid w:val="002B2A2E"/>
    <w:rsid w:val="002B2A4A"/>
    <w:rsid w:val="002B2A53"/>
    <w:rsid w:val="002B2ABE"/>
    <w:rsid w:val="002B2AC3"/>
    <w:rsid w:val="002B2B1B"/>
    <w:rsid w:val="002B2B3E"/>
    <w:rsid w:val="002B2B6F"/>
    <w:rsid w:val="002B2BF3"/>
    <w:rsid w:val="002B2DE7"/>
    <w:rsid w:val="002B2E16"/>
    <w:rsid w:val="002B2F71"/>
    <w:rsid w:val="002B304A"/>
    <w:rsid w:val="002B30E5"/>
    <w:rsid w:val="002B3362"/>
    <w:rsid w:val="002B3473"/>
    <w:rsid w:val="002B350D"/>
    <w:rsid w:val="002B35AA"/>
    <w:rsid w:val="002B35D6"/>
    <w:rsid w:val="002B36AE"/>
    <w:rsid w:val="002B371B"/>
    <w:rsid w:val="002B374E"/>
    <w:rsid w:val="002B37CA"/>
    <w:rsid w:val="002B3886"/>
    <w:rsid w:val="002B390A"/>
    <w:rsid w:val="002B391C"/>
    <w:rsid w:val="002B3AF2"/>
    <w:rsid w:val="002B3BBB"/>
    <w:rsid w:val="002B3C74"/>
    <w:rsid w:val="002B3DA4"/>
    <w:rsid w:val="002B3EA5"/>
    <w:rsid w:val="002B3ECD"/>
    <w:rsid w:val="002B404C"/>
    <w:rsid w:val="002B40A4"/>
    <w:rsid w:val="002B41D8"/>
    <w:rsid w:val="002B41E9"/>
    <w:rsid w:val="002B41EE"/>
    <w:rsid w:val="002B420D"/>
    <w:rsid w:val="002B4341"/>
    <w:rsid w:val="002B4399"/>
    <w:rsid w:val="002B452C"/>
    <w:rsid w:val="002B463D"/>
    <w:rsid w:val="002B474F"/>
    <w:rsid w:val="002B4766"/>
    <w:rsid w:val="002B481F"/>
    <w:rsid w:val="002B4883"/>
    <w:rsid w:val="002B4887"/>
    <w:rsid w:val="002B4916"/>
    <w:rsid w:val="002B4925"/>
    <w:rsid w:val="002B49A7"/>
    <w:rsid w:val="002B4A36"/>
    <w:rsid w:val="002B4A4E"/>
    <w:rsid w:val="002B4BDA"/>
    <w:rsid w:val="002B4CC5"/>
    <w:rsid w:val="002B4D10"/>
    <w:rsid w:val="002B4E0F"/>
    <w:rsid w:val="002B4E1B"/>
    <w:rsid w:val="002B4E54"/>
    <w:rsid w:val="002B4EA3"/>
    <w:rsid w:val="002B4EA8"/>
    <w:rsid w:val="002B4F1C"/>
    <w:rsid w:val="002B4F36"/>
    <w:rsid w:val="002B4F4A"/>
    <w:rsid w:val="002B4F66"/>
    <w:rsid w:val="002B50FC"/>
    <w:rsid w:val="002B50FE"/>
    <w:rsid w:val="002B51F2"/>
    <w:rsid w:val="002B5259"/>
    <w:rsid w:val="002B52E7"/>
    <w:rsid w:val="002B53AC"/>
    <w:rsid w:val="002B542F"/>
    <w:rsid w:val="002B55B3"/>
    <w:rsid w:val="002B5897"/>
    <w:rsid w:val="002B5B0D"/>
    <w:rsid w:val="002B5B49"/>
    <w:rsid w:val="002B5B7E"/>
    <w:rsid w:val="002B5C0A"/>
    <w:rsid w:val="002B5C18"/>
    <w:rsid w:val="002B5C30"/>
    <w:rsid w:val="002B5C36"/>
    <w:rsid w:val="002B5CDF"/>
    <w:rsid w:val="002B5CF5"/>
    <w:rsid w:val="002B5D17"/>
    <w:rsid w:val="002B5D35"/>
    <w:rsid w:val="002B5DCC"/>
    <w:rsid w:val="002B5E07"/>
    <w:rsid w:val="002B5EB4"/>
    <w:rsid w:val="002B61C2"/>
    <w:rsid w:val="002B61F2"/>
    <w:rsid w:val="002B6400"/>
    <w:rsid w:val="002B64BA"/>
    <w:rsid w:val="002B6555"/>
    <w:rsid w:val="002B65A4"/>
    <w:rsid w:val="002B65B3"/>
    <w:rsid w:val="002B6675"/>
    <w:rsid w:val="002B671F"/>
    <w:rsid w:val="002B678E"/>
    <w:rsid w:val="002B67A2"/>
    <w:rsid w:val="002B67B2"/>
    <w:rsid w:val="002B67F4"/>
    <w:rsid w:val="002B68A7"/>
    <w:rsid w:val="002B68D3"/>
    <w:rsid w:val="002B68F2"/>
    <w:rsid w:val="002B6CE1"/>
    <w:rsid w:val="002B6DB0"/>
    <w:rsid w:val="002B6DFC"/>
    <w:rsid w:val="002B6E43"/>
    <w:rsid w:val="002B6EEE"/>
    <w:rsid w:val="002B6F0E"/>
    <w:rsid w:val="002B6F25"/>
    <w:rsid w:val="002B70FA"/>
    <w:rsid w:val="002B7199"/>
    <w:rsid w:val="002B7334"/>
    <w:rsid w:val="002B7349"/>
    <w:rsid w:val="002B7364"/>
    <w:rsid w:val="002B7385"/>
    <w:rsid w:val="002B739D"/>
    <w:rsid w:val="002B7559"/>
    <w:rsid w:val="002B755E"/>
    <w:rsid w:val="002B7678"/>
    <w:rsid w:val="002B7710"/>
    <w:rsid w:val="002B7953"/>
    <w:rsid w:val="002B7A29"/>
    <w:rsid w:val="002B7A2F"/>
    <w:rsid w:val="002B7AB0"/>
    <w:rsid w:val="002B7B37"/>
    <w:rsid w:val="002B7BE6"/>
    <w:rsid w:val="002B7CFD"/>
    <w:rsid w:val="002B7D3E"/>
    <w:rsid w:val="002B7E35"/>
    <w:rsid w:val="002C0079"/>
    <w:rsid w:val="002C00E9"/>
    <w:rsid w:val="002C0103"/>
    <w:rsid w:val="002C01C6"/>
    <w:rsid w:val="002C0245"/>
    <w:rsid w:val="002C0253"/>
    <w:rsid w:val="002C0297"/>
    <w:rsid w:val="002C0459"/>
    <w:rsid w:val="002C0493"/>
    <w:rsid w:val="002C061A"/>
    <w:rsid w:val="002C065B"/>
    <w:rsid w:val="002C0777"/>
    <w:rsid w:val="002C095C"/>
    <w:rsid w:val="002C09CE"/>
    <w:rsid w:val="002C0A19"/>
    <w:rsid w:val="002C0AC2"/>
    <w:rsid w:val="002C0B4D"/>
    <w:rsid w:val="002C0B55"/>
    <w:rsid w:val="002C0CF1"/>
    <w:rsid w:val="002C0DBA"/>
    <w:rsid w:val="002C0DC5"/>
    <w:rsid w:val="002C0ECF"/>
    <w:rsid w:val="002C0EED"/>
    <w:rsid w:val="002C0F7B"/>
    <w:rsid w:val="002C10E3"/>
    <w:rsid w:val="002C10F7"/>
    <w:rsid w:val="002C1138"/>
    <w:rsid w:val="002C11A2"/>
    <w:rsid w:val="002C1201"/>
    <w:rsid w:val="002C1214"/>
    <w:rsid w:val="002C125B"/>
    <w:rsid w:val="002C12C8"/>
    <w:rsid w:val="002C1314"/>
    <w:rsid w:val="002C14B7"/>
    <w:rsid w:val="002C1588"/>
    <w:rsid w:val="002C159D"/>
    <w:rsid w:val="002C160A"/>
    <w:rsid w:val="002C1749"/>
    <w:rsid w:val="002C17AB"/>
    <w:rsid w:val="002C17FE"/>
    <w:rsid w:val="002C19CD"/>
    <w:rsid w:val="002C1A44"/>
    <w:rsid w:val="002C1B95"/>
    <w:rsid w:val="002C1BEC"/>
    <w:rsid w:val="002C1C1B"/>
    <w:rsid w:val="002C1C54"/>
    <w:rsid w:val="002C206B"/>
    <w:rsid w:val="002C214B"/>
    <w:rsid w:val="002C2277"/>
    <w:rsid w:val="002C228F"/>
    <w:rsid w:val="002C2384"/>
    <w:rsid w:val="002C24AA"/>
    <w:rsid w:val="002C25A2"/>
    <w:rsid w:val="002C264C"/>
    <w:rsid w:val="002C2756"/>
    <w:rsid w:val="002C2973"/>
    <w:rsid w:val="002C29D4"/>
    <w:rsid w:val="002C2B25"/>
    <w:rsid w:val="002C2B7C"/>
    <w:rsid w:val="002C2CB3"/>
    <w:rsid w:val="002C2D29"/>
    <w:rsid w:val="002C2D88"/>
    <w:rsid w:val="002C2DBD"/>
    <w:rsid w:val="002C2E21"/>
    <w:rsid w:val="002C2F10"/>
    <w:rsid w:val="002C2FFB"/>
    <w:rsid w:val="002C3092"/>
    <w:rsid w:val="002C30E6"/>
    <w:rsid w:val="002C3215"/>
    <w:rsid w:val="002C3325"/>
    <w:rsid w:val="002C3364"/>
    <w:rsid w:val="002C33BC"/>
    <w:rsid w:val="002C33E9"/>
    <w:rsid w:val="002C345F"/>
    <w:rsid w:val="002C34B1"/>
    <w:rsid w:val="002C34FA"/>
    <w:rsid w:val="002C3507"/>
    <w:rsid w:val="002C35E2"/>
    <w:rsid w:val="002C363F"/>
    <w:rsid w:val="002C364C"/>
    <w:rsid w:val="002C3758"/>
    <w:rsid w:val="002C3764"/>
    <w:rsid w:val="002C38AF"/>
    <w:rsid w:val="002C39EB"/>
    <w:rsid w:val="002C3B54"/>
    <w:rsid w:val="002C3B88"/>
    <w:rsid w:val="002C3B96"/>
    <w:rsid w:val="002C3C96"/>
    <w:rsid w:val="002C3DC9"/>
    <w:rsid w:val="002C3DDC"/>
    <w:rsid w:val="002C3E7E"/>
    <w:rsid w:val="002C3EB2"/>
    <w:rsid w:val="002C3EB5"/>
    <w:rsid w:val="002C3F70"/>
    <w:rsid w:val="002C40B5"/>
    <w:rsid w:val="002C40F0"/>
    <w:rsid w:val="002C415D"/>
    <w:rsid w:val="002C4215"/>
    <w:rsid w:val="002C444B"/>
    <w:rsid w:val="002C4486"/>
    <w:rsid w:val="002C44B1"/>
    <w:rsid w:val="002C4560"/>
    <w:rsid w:val="002C4566"/>
    <w:rsid w:val="002C473A"/>
    <w:rsid w:val="002C477F"/>
    <w:rsid w:val="002C47C4"/>
    <w:rsid w:val="002C4976"/>
    <w:rsid w:val="002C4CCE"/>
    <w:rsid w:val="002C4D00"/>
    <w:rsid w:val="002C4D4F"/>
    <w:rsid w:val="002C4E8C"/>
    <w:rsid w:val="002C4EB7"/>
    <w:rsid w:val="002C4FE2"/>
    <w:rsid w:val="002C4FFA"/>
    <w:rsid w:val="002C5041"/>
    <w:rsid w:val="002C5046"/>
    <w:rsid w:val="002C50B2"/>
    <w:rsid w:val="002C50C8"/>
    <w:rsid w:val="002C50D2"/>
    <w:rsid w:val="002C50D9"/>
    <w:rsid w:val="002C532D"/>
    <w:rsid w:val="002C5440"/>
    <w:rsid w:val="002C5456"/>
    <w:rsid w:val="002C549B"/>
    <w:rsid w:val="002C55E2"/>
    <w:rsid w:val="002C563C"/>
    <w:rsid w:val="002C5742"/>
    <w:rsid w:val="002C5967"/>
    <w:rsid w:val="002C5A8A"/>
    <w:rsid w:val="002C5ACF"/>
    <w:rsid w:val="002C5CA2"/>
    <w:rsid w:val="002C5CA8"/>
    <w:rsid w:val="002C5CE1"/>
    <w:rsid w:val="002C5CE3"/>
    <w:rsid w:val="002C5EE6"/>
    <w:rsid w:val="002C5F6E"/>
    <w:rsid w:val="002C602B"/>
    <w:rsid w:val="002C6106"/>
    <w:rsid w:val="002C615D"/>
    <w:rsid w:val="002C61B1"/>
    <w:rsid w:val="002C61B7"/>
    <w:rsid w:val="002C61CE"/>
    <w:rsid w:val="002C61F2"/>
    <w:rsid w:val="002C628E"/>
    <w:rsid w:val="002C62A8"/>
    <w:rsid w:val="002C6412"/>
    <w:rsid w:val="002C6471"/>
    <w:rsid w:val="002C652A"/>
    <w:rsid w:val="002C65B5"/>
    <w:rsid w:val="002C661A"/>
    <w:rsid w:val="002C6733"/>
    <w:rsid w:val="002C684C"/>
    <w:rsid w:val="002C6940"/>
    <w:rsid w:val="002C69CC"/>
    <w:rsid w:val="002C6AFA"/>
    <w:rsid w:val="002C6CCA"/>
    <w:rsid w:val="002C6D21"/>
    <w:rsid w:val="002C6D36"/>
    <w:rsid w:val="002C6D9B"/>
    <w:rsid w:val="002C6DBF"/>
    <w:rsid w:val="002C6DE5"/>
    <w:rsid w:val="002C6E18"/>
    <w:rsid w:val="002C6E1C"/>
    <w:rsid w:val="002C6EDC"/>
    <w:rsid w:val="002C6EF9"/>
    <w:rsid w:val="002C6F49"/>
    <w:rsid w:val="002C6F85"/>
    <w:rsid w:val="002C6FD4"/>
    <w:rsid w:val="002C70B4"/>
    <w:rsid w:val="002C7160"/>
    <w:rsid w:val="002C718A"/>
    <w:rsid w:val="002C7264"/>
    <w:rsid w:val="002C72F7"/>
    <w:rsid w:val="002C73EA"/>
    <w:rsid w:val="002C74B7"/>
    <w:rsid w:val="002C758D"/>
    <w:rsid w:val="002C75F4"/>
    <w:rsid w:val="002C7697"/>
    <w:rsid w:val="002C7753"/>
    <w:rsid w:val="002C77CA"/>
    <w:rsid w:val="002C781B"/>
    <w:rsid w:val="002C785A"/>
    <w:rsid w:val="002C7880"/>
    <w:rsid w:val="002C7904"/>
    <w:rsid w:val="002C7A78"/>
    <w:rsid w:val="002C7AD4"/>
    <w:rsid w:val="002C7B0F"/>
    <w:rsid w:val="002C7C01"/>
    <w:rsid w:val="002C7CDF"/>
    <w:rsid w:val="002C7D32"/>
    <w:rsid w:val="002C7E98"/>
    <w:rsid w:val="002C7F16"/>
    <w:rsid w:val="002C7F9A"/>
    <w:rsid w:val="002C7FFC"/>
    <w:rsid w:val="002D0034"/>
    <w:rsid w:val="002D0059"/>
    <w:rsid w:val="002D0184"/>
    <w:rsid w:val="002D036C"/>
    <w:rsid w:val="002D04AB"/>
    <w:rsid w:val="002D0555"/>
    <w:rsid w:val="002D05BC"/>
    <w:rsid w:val="002D05FB"/>
    <w:rsid w:val="002D0659"/>
    <w:rsid w:val="002D0782"/>
    <w:rsid w:val="002D07C8"/>
    <w:rsid w:val="002D088E"/>
    <w:rsid w:val="002D08E7"/>
    <w:rsid w:val="002D095B"/>
    <w:rsid w:val="002D0A50"/>
    <w:rsid w:val="002D0B0C"/>
    <w:rsid w:val="002D0C94"/>
    <w:rsid w:val="002D0CDD"/>
    <w:rsid w:val="002D0DB3"/>
    <w:rsid w:val="002D0DC0"/>
    <w:rsid w:val="002D0DF0"/>
    <w:rsid w:val="002D0F9B"/>
    <w:rsid w:val="002D1016"/>
    <w:rsid w:val="002D10C9"/>
    <w:rsid w:val="002D1162"/>
    <w:rsid w:val="002D11BE"/>
    <w:rsid w:val="002D1201"/>
    <w:rsid w:val="002D1327"/>
    <w:rsid w:val="002D13CD"/>
    <w:rsid w:val="002D149C"/>
    <w:rsid w:val="002D1505"/>
    <w:rsid w:val="002D1562"/>
    <w:rsid w:val="002D1681"/>
    <w:rsid w:val="002D1844"/>
    <w:rsid w:val="002D1A47"/>
    <w:rsid w:val="002D1A51"/>
    <w:rsid w:val="002D1AAE"/>
    <w:rsid w:val="002D1AB8"/>
    <w:rsid w:val="002D1AE9"/>
    <w:rsid w:val="002D1B08"/>
    <w:rsid w:val="002D1BA2"/>
    <w:rsid w:val="002D1C32"/>
    <w:rsid w:val="002D1C75"/>
    <w:rsid w:val="002D1D27"/>
    <w:rsid w:val="002D1DA3"/>
    <w:rsid w:val="002D1DE4"/>
    <w:rsid w:val="002D1E11"/>
    <w:rsid w:val="002D1E5F"/>
    <w:rsid w:val="002D1FC4"/>
    <w:rsid w:val="002D1FD3"/>
    <w:rsid w:val="002D204F"/>
    <w:rsid w:val="002D2103"/>
    <w:rsid w:val="002D2120"/>
    <w:rsid w:val="002D2233"/>
    <w:rsid w:val="002D22DB"/>
    <w:rsid w:val="002D23E3"/>
    <w:rsid w:val="002D260C"/>
    <w:rsid w:val="002D268C"/>
    <w:rsid w:val="002D27B7"/>
    <w:rsid w:val="002D287D"/>
    <w:rsid w:val="002D28E3"/>
    <w:rsid w:val="002D28F7"/>
    <w:rsid w:val="002D28FA"/>
    <w:rsid w:val="002D2C0D"/>
    <w:rsid w:val="002D2CD4"/>
    <w:rsid w:val="002D2D0A"/>
    <w:rsid w:val="002D2DCA"/>
    <w:rsid w:val="002D2E7D"/>
    <w:rsid w:val="002D2FAC"/>
    <w:rsid w:val="002D337E"/>
    <w:rsid w:val="002D33EB"/>
    <w:rsid w:val="002D3482"/>
    <w:rsid w:val="002D35A9"/>
    <w:rsid w:val="002D35E9"/>
    <w:rsid w:val="002D37CC"/>
    <w:rsid w:val="002D383D"/>
    <w:rsid w:val="002D3840"/>
    <w:rsid w:val="002D387D"/>
    <w:rsid w:val="002D39F9"/>
    <w:rsid w:val="002D3A3F"/>
    <w:rsid w:val="002D3A42"/>
    <w:rsid w:val="002D3AFE"/>
    <w:rsid w:val="002D3B1D"/>
    <w:rsid w:val="002D3D25"/>
    <w:rsid w:val="002D3DC9"/>
    <w:rsid w:val="002D3E52"/>
    <w:rsid w:val="002D3EBA"/>
    <w:rsid w:val="002D4082"/>
    <w:rsid w:val="002D41F2"/>
    <w:rsid w:val="002D433D"/>
    <w:rsid w:val="002D43BE"/>
    <w:rsid w:val="002D4496"/>
    <w:rsid w:val="002D454A"/>
    <w:rsid w:val="002D45D0"/>
    <w:rsid w:val="002D460F"/>
    <w:rsid w:val="002D4614"/>
    <w:rsid w:val="002D4721"/>
    <w:rsid w:val="002D48EE"/>
    <w:rsid w:val="002D4972"/>
    <w:rsid w:val="002D4A34"/>
    <w:rsid w:val="002D4B5A"/>
    <w:rsid w:val="002D4BAC"/>
    <w:rsid w:val="002D4BC9"/>
    <w:rsid w:val="002D4BE9"/>
    <w:rsid w:val="002D4C28"/>
    <w:rsid w:val="002D4D63"/>
    <w:rsid w:val="002D4DB8"/>
    <w:rsid w:val="002D4DCB"/>
    <w:rsid w:val="002D4E6D"/>
    <w:rsid w:val="002D4ED2"/>
    <w:rsid w:val="002D5093"/>
    <w:rsid w:val="002D513B"/>
    <w:rsid w:val="002D524C"/>
    <w:rsid w:val="002D52E4"/>
    <w:rsid w:val="002D5333"/>
    <w:rsid w:val="002D56FD"/>
    <w:rsid w:val="002D5741"/>
    <w:rsid w:val="002D5786"/>
    <w:rsid w:val="002D57A6"/>
    <w:rsid w:val="002D57F8"/>
    <w:rsid w:val="002D58CD"/>
    <w:rsid w:val="002D58CF"/>
    <w:rsid w:val="002D5944"/>
    <w:rsid w:val="002D5969"/>
    <w:rsid w:val="002D5A6C"/>
    <w:rsid w:val="002D5C89"/>
    <w:rsid w:val="002D5C97"/>
    <w:rsid w:val="002D5CA8"/>
    <w:rsid w:val="002D5DA5"/>
    <w:rsid w:val="002D5DDE"/>
    <w:rsid w:val="002D5DE5"/>
    <w:rsid w:val="002D5E46"/>
    <w:rsid w:val="002D5ECC"/>
    <w:rsid w:val="002D5EF0"/>
    <w:rsid w:val="002D5F50"/>
    <w:rsid w:val="002D5FEC"/>
    <w:rsid w:val="002D603B"/>
    <w:rsid w:val="002D6167"/>
    <w:rsid w:val="002D62CF"/>
    <w:rsid w:val="002D64EE"/>
    <w:rsid w:val="002D65E8"/>
    <w:rsid w:val="002D6629"/>
    <w:rsid w:val="002D67B8"/>
    <w:rsid w:val="002D69DE"/>
    <w:rsid w:val="002D6A03"/>
    <w:rsid w:val="002D6B1B"/>
    <w:rsid w:val="002D6C49"/>
    <w:rsid w:val="002D6E08"/>
    <w:rsid w:val="002D6EF0"/>
    <w:rsid w:val="002D6F2A"/>
    <w:rsid w:val="002D6FD9"/>
    <w:rsid w:val="002D713E"/>
    <w:rsid w:val="002D7166"/>
    <w:rsid w:val="002D7181"/>
    <w:rsid w:val="002D71B4"/>
    <w:rsid w:val="002D71DA"/>
    <w:rsid w:val="002D729D"/>
    <w:rsid w:val="002D72AD"/>
    <w:rsid w:val="002D7307"/>
    <w:rsid w:val="002D7483"/>
    <w:rsid w:val="002D7614"/>
    <w:rsid w:val="002D7634"/>
    <w:rsid w:val="002D766F"/>
    <w:rsid w:val="002D76DE"/>
    <w:rsid w:val="002D77DA"/>
    <w:rsid w:val="002D791E"/>
    <w:rsid w:val="002D7936"/>
    <w:rsid w:val="002D7A7F"/>
    <w:rsid w:val="002D7B3C"/>
    <w:rsid w:val="002D7B68"/>
    <w:rsid w:val="002D7BD1"/>
    <w:rsid w:val="002D7CF3"/>
    <w:rsid w:val="002D7D32"/>
    <w:rsid w:val="002D7EC7"/>
    <w:rsid w:val="002D7EEE"/>
    <w:rsid w:val="002D7FCA"/>
    <w:rsid w:val="002E00E6"/>
    <w:rsid w:val="002E0103"/>
    <w:rsid w:val="002E01B0"/>
    <w:rsid w:val="002E0232"/>
    <w:rsid w:val="002E02D1"/>
    <w:rsid w:val="002E02F3"/>
    <w:rsid w:val="002E0344"/>
    <w:rsid w:val="002E04EC"/>
    <w:rsid w:val="002E05C5"/>
    <w:rsid w:val="002E068D"/>
    <w:rsid w:val="002E087B"/>
    <w:rsid w:val="002E08D7"/>
    <w:rsid w:val="002E0A60"/>
    <w:rsid w:val="002E0C3B"/>
    <w:rsid w:val="002E0CCC"/>
    <w:rsid w:val="002E0D00"/>
    <w:rsid w:val="002E0D8E"/>
    <w:rsid w:val="002E0DB6"/>
    <w:rsid w:val="002E0DBC"/>
    <w:rsid w:val="002E0EE1"/>
    <w:rsid w:val="002E1018"/>
    <w:rsid w:val="002E1169"/>
    <w:rsid w:val="002E11EC"/>
    <w:rsid w:val="002E11F4"/>
    <w:rsid w:val="002E1209"/>
    <w:rsid w:val="002E13EC"/>
    <w:rsid w:val="002E13F5"/>
    <w:rsid w:val="002E1459"/>
    <w:rsid w:val="002E147F"/>
    <w:rsid w:val="002E14E8"/>
    <w:rsid w:val="002E1544"/>
    <w:rsid w:val="002E1585"/>
    <w:rsid w:val="002E15FF"/>
    <w:rsid w:val="002E16E1"/>
    <w:rsid w:val="002E172C"/>
    <w:rsid w:val="002E176E"/>
    <w:rsid w:val="002E1817"/>
    <w:rsid w:val="002E1867"/>
    <w:rsid w:val="002E191E"/>
    <w:rsid w:val="002E1950"/>
    <w:rsid w:val="002E1A0B"/>
    <w:rsid w:val="002E1A14"/>
    <w:rsid w:val="002E1B26"/>
    <w:rsid w:val="002E1B35"/>
    <w:rsid w:val="002E1BE0"/>
    <w:rsid w:val="002E1D54"/>
    <w:rsid w:val="002E1DB8"/>
    <w:rsid w:val="002E1DC9"/>
    <w:rsid w:val="002E1DEB"/>
    <w:rsid w:val="002E1F15"/>
    <w:rsid w:val="002E1F6C"/>
    <w:rsid w:val="002E20F5"/>
    <w:rsid w:val="002E2211"/>
    <w:rsid w:val="002E2263"/>
    <w:rsid w:val="002E2352"/>
    <w:rsid w:val="002E24BE"/>
    <w:rsid w:val="002E24C0"/>
    <w:rsid w:val="002E24D9"/>
    <w:rsid w:val="002E256C"/>
    <w:rsid w:val="002E2581"/>
    <w:rsid w:val="002E2705"/>
    <w:rsid w:val="002E2767"/>
    <w:rsid w:val="002E28C4"/>
    <w:rsid w:val="002E2969"/>
    <w:rsid w:val="002E29F2"/>
    <w:rsid w:val="002E2A70"/>
    <w:rsid w:val="002E2BE6"/>
    <w:rsid w:val="002E2BF8"/>
    <w:rsid w:val="002E2CDC"/>
    <w:rsid w:val="002E2E0B"/>
    <w:rsid w:val="002E2E53"/>
    <w:rsid w:val="002E3095"/>
    <w:rsid w:val="002E30D6"/>
    <w:rsid w:val="002E31CF"/>
    <w:rsid w:val="002E336E"/>
    <w:rsid w:val="002E33DC"/>
    <w:rsid w:val="002E33E0"/>
    <w:rsid w:val="002E33F2"/>
    <w:rsid w:val="002E3582"/>
    <w:rsid w:val="002E362F"/>
    <w:rsid w:val="002E3662"/>
    <w:rsid w:val="002E374B"/>
    <w:rsid w:val="002E3AD1"/>
    <w:rsid w:val="002E3C1A"/>
    <w:rsid w:val="002E3CA8"/>
    <w:rsid w:val="002E3FFF"/>
    <w:rsid w:val="002E402C"/>
    <w:rsid w:val="002E41CD"/>
    <w:rsid w:val="002E42A5"/>
    <w:rsid w:val="002E4317"/>
    <w:rsid w:val="002E431D"/>
    <w:rsid w:val="002E45E5"/>
    <w:rsid w:val="002E45EC"/>
    <w:rsid w:val="002E4642"/>
    <w:rsid w:val="002E4644"/>
    <w:rsid w:val="002E47C0"/>
    <w:rsid w:val="002E483E"/>
    <w:rsid w:val="002E4897"/>
    <w:rsid w:val="002E48FA"/>
    <w:rsid w:val="002E4998"/>
    <w:rsid w:val="002E4A05"/>
    <w:rsid w:val="002E4A72"/>
    <w:rsid w:val="002E4AF3"/>
    <w:rsid w:val="002E4B9D"/>
    <w:rsid w:val="002E4CCD"/>
    <w:rsid w:val="002E4D0F"/>
    <w:rsid w:val="002E4EC9"/>
    <w:rsid w:val="002E5198"/>
    <w:rsid w:val="002E51D8"/>
    <w:rsid w:val="002E542E"/>
    <w:rsid w:val="002E547E"/>
    <w:rsid w:val="002E55B3"/>
    <w:rsid w:val="002E568E"/>
    <w:rsid w:val="002E572B"/>
    <w:rsid w:val="002E5936"/>
    <w:rsid w:val="002E5964"/>
    <w:rsid w:val="002E5ADC"/>
    <w:rsid w:val="002E5AEF"/>
    <w:rsid w:val="002E5C1B"/>
    <w:rsid w:val="002E5CDF"/>
    <w:rsid w:val="002E5D12"/>
    <w:rsid w:val="002E5D16"/>
    <w:rsid w:val="002E5D1D"/>
    <w:rsid w:val="002E5D3C"/>
    <w:rsid w:val="002E5E1B"/>
    <w:rsid w:val="002E5E33"/>
    <w:rsid w:val="002E5E92"/>
    <w:rsid w:val="002E5EAB"/>
    <w:rsid w:val="002E5F8D"/>
    <w:rsid w:val="002E603C"/>
    <w:rsid w:val="002E61F9"/>
    <w:rsid w:val="002E62A7"/>
    <w:rsid w:val="002E62F5"/>
    <w:rsid w:val="002E638B"/>
    <w:rsid w:val="002E63C4"/>
    <w:rsid w:val="002E64C3"/>
    <w:rsid w:val="002E6604"/>
    <w:rsid w:val="002E6631"/>
    <w:rsid w:val="002E663E"/>
    <w:rsid w:val="002E6649"/>
    <w:rsid w:val="002E6650"/>
    <w:rsid w:val="002E66C4"/>
    <w:rsid w:val="002E675B"/>
    <w:rsid w:val="002E6810"/>
    <w:rsid w:val="002E68AF"/>
    <w:rsid w:val="002E6927"/>
    <w:rsid w:val="002E6A4D"/>
    <w:rsid w:val="002E6A72"/>
    <w:rsid w:val="002E6AC0"/>
    <w:rsid w:val="002E6B29"/>
    <w:rsid w:val="002E6B89"/>
    <w:rsid w:val="002E6B9F"/>
    <w:rsid w:val="002E6BEC"/>
    <w:rsid w:val="002E6C98"/>
    <w:rsid w:val="002E6DB8"/>
    <w:rsid w:val="002E6DBF"/>
    <w:rsid w:val="002E6E3D"/>
    <w:rsid w:val="002E6F19"/>
    <w:rsid w:val="002E6F91"/>
    <w:rsid w:val="002E7036"/>
    <w:rsid w:val="002E7085"/>
    <w:rsid w:val="002E70F0"/>
    <w:rsid w:val="002E712B"/>
    <w:rsid w:val="002E760B"/>
    <w:rsid w:val="002E7634"/>
    <w:rsid w:val="002E76B9"/>
    <w:rsid w:val="002E7730"/>
    <w:rsid w:val="002E78BF"/>
    <w:rsid w:val="002E78E2"/>
    <w:rsid w:val="002E79F6"/>
    <w:rsid w:val="002E7A13"/>
    <w:rsid w:val="002E7A39"/>
    <w:rsid w:val="002E7C61"/>
    <w:rsid w:val="002E7D1A"/>
    <w:rsid w:val="002E7D28"/>
    <w:rsid w:val="002E7D30"/>
    <w:rsid w:val="002E7D7A"/>
    <w:rsid w:val="002E7E74"/>
    <w:rsid w:val="002E7F6A"/>
    <w:rsid w:val="002E7F7F"/>
    <w:rsid w:val="002E7FE5"/>
    <w:rsid w:val="002F0153"/>
    <w:rsid w:val="002F0300"/>
    <w:rsid w:val="002F04BF"/>
    <w:rsid w:val="002F04DF"/>
    <w:rsid w:val="002F05C6"/>
    <w:rsid w:val="002F0648"/>
    <w:rsid w:val="002F0667"/>
    <w:rsid w:val="002F06FD"/>
    <w:rsid w:val="002F0703"/>
    <w:rsid w:val="002F076B"/>
    <w:rsid w:val="002F077D"/>
    <w:rsid w:val="002F07CC"/>
    <w:rsid w:val="002F0826"/>
    <w:rsid w:val="002F0871"/>
    <w:rsid w:val="002F087C"/>
    <w:rsid w:val="002F0923"/>
    <w:rsid w:val="002F094B"/>
    <w:rsid w:val="002F09EE"/>
    <w:rsid w:val="002F0A1A"/>
    <w:rsid w:val="002F0A1C"/>
    <w:rsid w:val="002F0AAB"/>
    <w:rsid w:val="002F0BED"/>
    <w:rsid w:val="002F0CD6"/>
    <w:rsid w:val="002F0E27"/>
    <w:rsid w:val="002F0E9B"/>
    <w:rsid w:val="002F0F5D"/>
    <w:rsid w:val="002F1056"/>
    <w:rsid w:val="002F1059"/>
    <w:rsid w:val="002F10E6"/>
    <w:rsid w:val="002F1103"/>
    <w:rsid w:val="002F1216"/>
    <w:rsid w:val="002F12BC"/>
    <w:rsid w:val="002F1373"/>
    <w:rsid w:val="002F137F"/>
    <w:rsid w:val="002F1441"/>
    <w:rsid w:val="002F15B4"/>
    <w:rsid w:val="002F1638"/>
    <w:rsid w:val="002F1706"/>
    <w:rsid w:val="002F1804"/>
    <w:rsid w:val="002F190A"/>
    <w:rsid w:val="002F1929"/>
    <w:rsid w:val="002F19BE"/>
    <w:rsid w:val="002F1A0C"/>
    <w:rsid w:val="002F1A28"/>
    <w:rsid w:val="002F1A40"/>
    <w:rsid w:val="002F1BF1"/>
    <w:rsid w:val="002F1D47"/>
    <w:rsid w:val="002F1DEB"/>
    <w:rsid w:val="002F1E1E"/>
    <w:rsid w:val="002F1E8A"/>
    <w:rsid w:val="002F1E90"/>
    <w:rsid w:val="002F1EE8"/>
    <w:rsid w:val="002F20EC"/>
    <w:rsid w:val="002F21A6"/>
    <w:rsid w:val="002F2224"/>
    <w:rsid w:val="002F223F"/>
    <w:rsid w:val="002F236E"/>
    <w:rsid w:val="002F23E5"/>
    <w:rsid w:val="002F2431"/>
    <w:rsid w:val="002F249F"/>
    <w:rsid w:val="002F252E"/>
    <w:rsid w:val="002F2573"/>
    <w:rsid w:val="002F27DE"/>
    <w:rsid w:val="002F2810"/>
    <w:rsid w:val="002F2954"/>
    <w:rsid w:val="002F297A"/>
    <w:rsid w:val="002F29BD"/>
    <w:rsid w:val="002F2A3D"/>
    <w:rsid w:val="002F2AFB"/>
    <w:rsid w:val="002F2D92"/>
    <w:rsid w:val="002F2E1A"/>
    <w:rsid w:val="002F2E42"/>
    <w:rsid w:val="002F2EB9"/>
    <w:rsid w:val="002F3017"/>
    <w:rsid w:val="002F30D4"/>
    <w:rsid w:val="002F322E"/>
    <w:rsid w:val="002F323C"/>
    <w:rsid w:val="002F3335"/>
    <w:rsid w:val="002F333D"/>
    <w:rsid w:val="002F33D1"/>
    <w:rsid w:val="002F3435"/>
    <w:rsid w:val="002F355E"/>
    <w:rsid w:val="002F359B"/>
    <w:rsid w:val="002F361C"/>
    <w:rsid w:val="002F364B"/>
    <w:rsid w:val="002F3675"/>
    <w:rsid w:val="002F3874"/>
    <w:rsid w:val="002F38DF"/>
    <w:rsid w:val="002F3ACC"/>
    <w:rsid w:val="002F3B02"/>
    <w:rsid w:val="002F3B28"/>
    <w:rsid w:val="002F3BCE"/>
    <w:rsid w:val="002F3C06"/>
    <w:rsid w:val="002F3E2F"/>
    <w:rsid w:val="002F3ED8"/>
    <w:rsid w:val="002F401E"/>
    <w:rsid w:val="002F403D"/>
    <w:rsid w:val="002F40C6"/>
    <w:rsid w:val="002F40D3"/>
    <w:rsid w:val="002F42B2"/>
    <w:rsid w:val="002F4367"/>
    <w:rsid w:val="002F4498"/>
    <w:rsid w:val="002F4506"/>
    <w:rsid w:val="002F45F0"/>
    <w:rsid w:val="002F4659"/>
    <w:rsid w:val="002F489D"/>
    <w:rsid w:val="002F490A"/>
    <w:rsid w:val="002F49E3"/>
    <w:rsid w:val="002F4AA4"/>
    <w:rsid w:val="002F4B6B"/>
    <w:rsid w:val="002F4B99"/>
    <w:rsid w:val="002F4C16"/>
    <w:rsid w:val="002F4C92"/>
    <w:rsid w:val="002F4CC6"/>
    <w:rsid w:val="002F4D07"/>
    <w:rsid w:val="002F4E5F"/>
    <w:rsid w:val="002F4F34"/>
    <w:rsid w:val="002F50CB"/>
    <w:rsid w:val="002F51C3"/>
    <w:rsid w:val="002F52AF"/>
    <w:rsid w:val="002F52EE"/>
    <w:rsid w:val="002F53F1"/>
    <w:rsid w:val="002F580B"/>
    <w:rsid w:val="002F58D7"/>
    <w:rsid w:val="002F5951"/>
    <w:rsid w:val="002F5A49"/>
    <w:rsid w:val="002F5D8D"/>
    <w:rsid w:val="002F5E02"/>
    <w:rsid w:val="002F5EB2"/>
    <w:rsid w:val="002F5F26"/>
    <w:rsid w:val="002F6084"/>
    <w:rsid w:val="002F6093"/>
    <w:rsid w:val="002F6169"/>
    <w:rsid w:val="002F618E"/>
    <w:rsid w:val="002F627D"/>
    <w:rsid w:val="002F62F8"/>
    <w:rsid w:val="002F6332"/>
    <w:rsid w:val="002F6441"/>
    <w:rsid w:val="002F657B"/>
    <w:rsid w:val="002F65AA"/>
    <w:rsid w:val="002F669F"/>
    <w:rsid w:val="002F676B"/>
    <w:rsid w:val="002F6799"/>
    <w:rsid w:val="002F68ED"/>
    <w:rsid w:val="002F6AE5"/>
    <w:rsid w:val="002F6BC1"/>
    <w:rsid w:val="002F6CAF"/>
    <w:rsid w:val="002F6D37"/>
    <w:rsid w:val="002F6DB7"/>
    <w:rsid w:val="002F6DF0"/>
    <w:rsid w:val="002F6E04"/>
    <w:rsid w:val="002F6FE1"/>
    <w:rsid w:val="002F7063"/>
    <w:rsid w:val="002F70F5"/>
    <w:rsid w:val="002F7119"/>
    <w:rsid w:val="002F71C1"/>
    <w:rsid w:val="002F730F"/>
    <w:rsid w:val="002F7464"/>
    <w:rsid w:val="002F7524"/>
    <w:rsid w:val="002F7559"/>
    <w:rsid w:val="002F7660"/>
    <w:rsid w:val="002F7892"/>
    <w:rsid w:val="002F7922"/>
    <w:rsid w:val="002F7967"/>
    <w:rsid w:val="002F7A21"/>
    <w:rsid w:val="002F7DBF"/>
    <w:rsid w:val="002F7DF0"/>
    <w:rsid w:val="002F7F9A"/>
    <w:rsid w:val="00300038"/>
    <w:rsid w:val="00300057"/>
    <w:rsid w:val="00300104"/>
    <w:rsid w:val="0030016A"/>
    <w:rsid w:val="003002BB"/>
    <w:rsid w:val="003002C9"/>
    <w:rsid w:val="00300302"/>
    <w:rsid w:val="003005CE"/>
    <w:rsid w:val="003005FA"/>
    <w:rsid w:val="00300664"/>
    <w:rsid w:val="00300674"/>
    <w:rsid w:val="0030068C"/>
    <w:rsid w:val="00300711"/>
    <w:rsid w:val="00300717"/>
    <w:rsid w:val="00300751"/>
    <w:rsid w:val="003008D1"/>
    <w:rsid w:val="003008DD"/>
    <w:rsid w:val="00300A0A"/>
    <w:rsid w:val="00300ACE"/>
    <w:rsid w:val="00300B0A"/>
    <w:rsid w:val="00300B3C"/>
    <w:rsid w:val="00300BF3"/>
    <w:rsid w:val="00300BFE"/>
    <w:rsid w:val="00300C08"/>
    <w:rsid w:val="00300C0F"/>
    <w:rsid w:val="00300C16"/>
    <w:rsid w:val="00300D0D"/>
    <w:rsid w:val="00300E68"/>
    <w:rsid w:val="00300F65"/>
    <w:rsid w:val="00300FE4"/>
    <w:rsid w:val="00301103"/>
    <w:rsid w:val="003011A8"/>
    <w:rsid w:val="00301275"/>
    <w:rsid w:val="00301448"/>
    <w:rsid w:val="003015A5"/>
    <w:rsid w:val="003015B0"/>
    <w:rsid w:val="0030161E"/>
    <w:rsid w:val="00301704"/>
    <w:rsid w:val="00301775"/>
    <w:rsid w:val="003017E2"/>
    <w:rsid w:val="00301818"/>
    <w:rsid w:val="0030186C"/>
    <w:rsid w:val="00301984"/>
    <w:rsid w:val="00301A73"/>
    <w:rsid w:val="00301A89"/>
    <w:rsid w:val="00301B9F"/>
    <w:rsid w:val="00301BDE"/>
    <w:rsid w:val="00301C19"/>
    <w:rsid w:val="00301CB6"/>
    <w:rsid w:val="00301DD2"/>
    <w:rsid w:val="00301E80"/>
    <w:rsid w:val="00302047"/>
    <w:rsid w:val="00302063"/>
    <w:rsid w:val="00302067"/>
    <w:rsid w:val="00302116"/>
    <w:rsid w:val="00302166"/>
    <w:rsid w:val="003022A0"/>
    <w:rsid w:val="003022D2"/>
    <w:rsid w:val="00302406"/>
    <w:rsid w:val="00302554"/>
    <w:rsid w:val="0030258B"/>
    <w:rsid w:val="003025A8"/>
    <w:rsid w:val="00302758"/>
    <w:rsid w:val="003027A3"/>
    <w:rsid w:val="003028C1"/>
    <w:rsid w:val="003028D7"/>
    <w:rsid w:val="0030292D"/>
    <w:rsid w:val="00302959"/>
    <w:rsid w:val="00302ABD"/>
    <w:rsid w:val="00302ADD"/>
    <w:rsid w:val="00302B59"/>
    <w:rsid w:val="00302C69"/>
    <w:rsid w:val="00302C96"/>
    <w:rsid w:val="00302CBF"/>
    <w:rsid w:val="00302CFE"/>
    <w:rsid w:val="00302D27"/>
    <w:rsid w:val="00302D50"/>
    <w:rsid w:val="00302D58"/>
    <w:rsid w:val="00302E47"/>
    <w:rsid w:val="00302EA1"/>
    <w:rsid w:val="00302EB7"/>
    <w:rsid w:val="00302EC2"/>
    <w:rsid w:val="00302EF4"/>
    <w:rsid w:val="00302F10"/>
    <w:rsid w:val="00302F47"/>
    <w:rsid w:val="00302FC0"/>
    <w:rsid w:val="00302FF7"/>
    <w:rsid w:val="00303180"/>
    <w:rsid w:val="003031DB"/>
    <w:rsid w:val="003033F4"/>
    <w:rsid w:val="00303460"/>
    <w:rsid w:val="00303699"/>
    <w:rsid w:val="00303760"/>
    <w:rsid w:val="0030378D"/>
    <w:rsid w:val="003037AE"/>
    <w:rsid w:val="00303A57"/>
    <w:rsid w:val="00303A9C"/>
    <w:rsid w:val="00303BAA"/>
    <w:rsid w:val="00303DF6"/>
    <w:rsid w:val="003040B3"/>
    <w:rsid w:val="00304124"/>
    <w:rsid w:val="003041A9"/>
    <w:rsid w:val="003041FD"/>
    <w:rsid w:val="00304242"/>
    <w:rsid w:val="00304278"/>
    <w:rsid w:val="003042A2"/>
    <w:rsid w:val="003045B2"/>
    <w:rsid w:val="003045B6"/>
    <w:rsid w:val="003046B4"/>
    <w:rsid w:val="00304A20"/>
    <w:rsid w:val="00304AA1"/>
    <w:rsid w:val="00304AB2"/>
    <w:rsid w:val="00304C14"/>
    <w:rsid w:val="00304D5D"/>
    <w:rsid w:val="00304D69"/>
    <w:rsid w:val="00304DDD"/>
    <w:rsid w:val="00305031"/>
    <w:rsid w:val="0030507A"/>
    <w:rsid w:val="00305295"/>
    <w:rsid w:val="003052C8"/>
    <w:rsid w:val="003052D7"/>
    <w:rsid w:val="00305526"/>
    <w:rsid w:val="003056DE"/>
    <w:rsid w:val="00305807"/>
    <w:rsid w:val="00305892"/>
    <w:rsid w:val="003058FA"/>
    <w:rsid w:val="00305965"/>
    <w:rsid w:val="00305A3E"/>
    <w:rsid w:val="00305A4C"/>
    <w:rsid w:val="00305ACF"/>
    <w:rsid w:val="00305B26"/>
    <w:rsid w:val="00305B2A"/>
    <w:rsid w:val="00305BC4"/>
    <w:rsid w:val="00305C19"/>
    <w:rsid w:val="00305C52"/>
    <w:rsid w:val="00305CFC"/>
    <w:rsid w:val="00305D38"/>
    <w:rsid w:val="00305D86"/>
    <w:rsid w:val="00305DC4"/>
    <w:rsid w:val="00305E49"/>
    <w:rsid w:val="00305EDB"/>
    <w:rsid w:val="00306025"/>
    <w:rsid w:val="00306061"/>
    <w:rsid w:val="003062D2"/>
    <w:rsid w:val="003062DE"/>
    <w:rsid w:val="00306322"/>
    <w:rsid w:val="00306385"/>
    <w:rsid w:val="003063FE"/>
    <w:rsid w:val="0030662F"/>
    <w:rsid w:val="00306656"/>
    <w:rsid w:val="003066C7"/>
    <w:rsid w:val="00306712"/>
    <w:rsid w:val="003068A0"/>
    <w:rsid w:val="003068A1"/>
    <w:rsid w:val="003068AE"/>
    <w:rsid w:val="003068C4"/>
    <w:rsid w:val="00306902"/>
    <w:rsid w:val="00306937"/>
    <w:rsid w:val="00306AE2"/>
    <w:rsid w:val="00306B9C"/>
    <w:rsid w:val="00306C1B"/>
    <w:rsid w:val="00306C90"/>
    <w:rsid w:val="00306D65"/>
    <w:rsid w:val="00306DAD"/>
    <w:rsid w:val="00306E6E"/>
    <w:rsid w:val="00306EF9"/>
    <w:rsid w:val="00306F36"/>
    <w:rsid w:val="00306F78"/>
    <w:rsid w:val="00307070"/>
    <w:rsid w:val="0030715F"/>
    <w:rsid w:val="00307498"/>
    <w:rsid w:val="00307562"/>
    <w:rsid w:val="0030756B"/>
    <w:rsid w:val="003075BD"/>
    <w:rsid w:val="00307624"/>
    <w:rsid w:val="0030766F"/>
    <w:rsid w:val="003076EF"/>
    <w:rsid w:val="003077C3"/>
    <w:rsid w:val="003077D9"/>
    <w:rsid w:val="00307846"/>
    <w:rsid w:val="00307865"/>
    <w:rsid w:val="00307893"/>
    <w:rsid w:val="0030789D"/>
    <w:rsid w:val="003078F7"/>
    <w:rsid w:val="00307973"/>
    <w:rsid w:val="00307A25"/>
    <w:rsid w:val="00307BEE"/>
    <w:rsid w:val="00307C04"/>
    <w:rsid w:val="00307C11"/>
    <w:rsid w:val="00307C89"/>
    <w:rsid w:val="00307CA5"/>
    <w:rsid w:val="00307CAC"/>
    <w:rsid w:val="00307D4F"/>
    <w:rsid w:val="00307D80"/>
    <w:rsid w:val="00307D95"/>
    <w:rsid w:val="00307EB4"/>
    <w:rsid w:val="00307EB8"/>
    <w:rsid w:val="00307F31"/>
    <w:rsid w:val="00307F51"/>
    <w:rsid w:val="00310090"/>
    <w:rsid w:val="003100AB"/>
    <w:rsid w:val="00310125"/>
    <w:rsid w:val="0031025A"/>
    <w:rsid w:val="003102AB"/>
    <w:rsid w:val="0031034F"/>
    <w:rsid w:val="00310407"/>
    <w:rsid w:val="0031046B"/>
    <w:rsid w:val="00310544"/>
    <w:rsid w:val="003105CF"/>
    <w:rsid w:val="00310689"/>
    <w:rsid w:val="0031073D"/>
    <w:rsid w:val="00310A02"/>
    <w:rsid w:val="00310C15"/>
    <w:rsid w:val="00310D21"/>
    <w:rsid w:val="00310D52"/>
    <w:rsid w:val="00310DE5"/>
    <w:rsid w:val="00310EED"/>
    <w:rsid w:val="00310F7F"/>
    <w:rsid w:val="00310FC6"/>
    <w:rsid w:val="00310FEB"/>
    <w:rsid w:val="00311059"/>
    <w:rsid w:val="003110CF"/>
    <w:rsid w:val="00311297"/>
    <w:rsid w:val="00311343"/>
    <w:rsid w:val="0031134F"/>
    <w:rsid w:val="003113A9"/>
    <w:rsid w:val="00311466"/>
    <w:rsid w:val="0031147C"/>
    <w:rsid w:val="00311525"/>
    <w:rsid w:val="00311535"/>
    <w:rsid w:val="00311657"/>
    <w:rsid w:val="0031184E"/>
    <w:rsid w:val="003119E3"/>
    <w:rsid w:val="003119FD"/>
    <w:rsid w:val="00311CE6"/>
    <w:rsid w:val="00311CE8"/>
    <w:rsid w:val="003120C2"/>
    <w:rsid w:val="00312137"/>
    <w:rsid w:val="003121F4"/>
    <w:rsid w:val="003122FD"/>
    <w:rsid w:val="00312690"/>
    <w:rsid w:val="003126DD"/>
    <w:rsid w:val="003126F9"/>
    <w:rsid w:val="003127E7"/>
    <w:rsid w:val="003127FC"/>
    <w:rsid w:val="00312A6D"/>
    <w:rsid w:val="00312AA4"/>
    <w:rsid w:val="00312B0D"/>
    <w:rsid w:val="00312B99"/>
    <w:rsid w:val="00312C62"/>
    <w:rsid w:val="00312CC8"/>
    <w:rsid w:val="00312CEC"/>
    <w:rsid w:val="00312D24"/>
    <w:rsid w:val="00312DB9"/>
    <w:rsid w:val="00312DC3"/>
    <w:rsid w:val="00312F64"/>
    <w:rsid w:val="00312F74"/>
    <w:rsid w:val="003131CA"/>
    <w:rsid w:val="003131D3"/>
    <w:rsid w:val="00313349"/>
    <w:rsid w:val="00313418"/>
    <w:rsid w:val="00313519"/>
    <w:rsid w:val="00313568"/>
    <w:rsid w:val="00313667"/>
    <w:rsid w:val="0031369D"/>
    <w:rsid w:val="003136CA"/>
    <w:rsid w:val="0031383F"/>
    <w:rsid w:val="00313844"/>
    <w:rsid w:val="00313846"/>
    <w:rsid w:val="003139C7"/>
    <w:rsid w:val="003139D1"/>
    <w:rsid w:val="003139DC"/>
    <w:rsid w:val="00313A19"/>
    <w:rsid w:val="00313AED"/>
    <w:rsid w:val="00313B1D"/>
    <w:rsid w:val="00313CC5"/>
    <w:rsid w:val="00313D2D"/>
    <w:rsid w:val="00313D85"/>
    <w:rsid w:val="00313ED2"/>
    <w:rsid w:val="00313FCE"/>
    <w:rsid w:val="0031405F"/>
    <w:rsid w:val="00314083"/>
    <w:rsid w:val="003140AF"/>
    <w:rsid w:val="003140F4"/>
    <w:rsid w:val="00314202"/>
    <w:rsid w:val="003142D5"/>
    <w:rsid w:val="003142ED"/>
    <w:rsid w:val="00314435"/>
    <w:rsid w:val="003144C8"/>
    <w:rsid w:val="0031457E"/>
    <w:rsid w:val="00314651"/>
    <w:rsid w:val="00314699"/>
    <w:rsid w:val="003146A8"/>
    <w:rsid w:val="003147BD"/>
    <w:rsid w:val="00314878"/>
    <w:rsid w:val="003148BD"/>
    <w:rsid w:val="003148EB"/>
    <w:rsid w:val="00314A3F"/>
    <w:rsid w:val="00314AF7"/>
    <w:rsid w:val="00314BF6"/>
    <w:rsid w:val="00314C88"/>
    <w:rsid w:val="00314FB2"/>
    <w:rsid w:val="0031501E"/>
    <w:rsid w:val="003150CB"/>
    <w:rsid w:val="003151D3"/>
    <w:rsid w:val="00315270"/>
    <w:rsid w:val="003152F2"/>
    <w:rsid w:val="003153B9"/>
    <w:rsid w:val="003153C2"/>
    <w:rsid w:val="0031541E"/>
    <w:rsid w:val="00315423"/>
    <w:rsid w:val="00315535"/>
    <w:rsid w:val="00315604"/>
    <w:rsid w:val="0031574A"/>
    <w:rsid w:val="00315769"/>
    <w:rsid w:val="00315799"/>
    <w:rsid w:val="0031583B"/>
    <w:rsid w:val="00315880"/>
    <w:rsid w:val="00315BD3"/>
    <w:rsid w:val="00315BD5"/>
    <w:rsid w:val="00315C19"/>
    <w:rsid w:val="00315E31"/>
    <w:rsid w:val="00315E4C"/>
    <w:rsid w:val="00315E51"/>
    <w:rsid w:val="00315EE8"/>
    <w:rsid w:val="00315F3C"/>
    <w:rsid w:val="003160EA"/>
    <w:rsid w:val="00316100"/>
    <w:rsid w:val="0031611A"/>
    <w:rsid w:val="0031621A"/>
    <w:rsid w:val="0031628B"/>
    <w:rsid w:val="00316320"/>
    <w:rsid w:val="00316361"/>
    <w:rsid w:val="00316377"/>
    <w:rsid w:val="0031645B"/>
    <w:rsid w:val="0031647C"/>
    <w:rsid w:val="003164F7"/>
    <w:rsid w:val="00316589"/>
    <w:rsid w:val="003165D1"/>
    <w:rsid w:val="00316686"/>
    <w:rsid w:val="0031668C"/>
    <w:rsid w:val="003167F4"/>
    <w:rsid w:val="0031697A"/>
    <w:rsid w:val="00316991"/>
    <w:rsid w:val="00316A02"/>
    <w:rsid w:val="00316A58"/>
    <w:rsid w:val="00316A96"/>
    <w:rsid w:val="00316C01"/>
    <w:rsid w:val="00316DC5"/>
    <w:rsid w:val="00316F9D"/>
    <w:rsid w:val="003172E4"/>
    <w:rsid w:val="00317341"/>
    <w:rsid w:val="00317378"/>
    <w:rsid w:val="0031748C"/>
    <w:rsid w:val="003176E6"/>
    <w:rsid w:val="00317781"/>
    <w:rsid w:val="003177AD"/>
    <w:rsid w:val="0031786B"/>
    <w:rsid w:val="003179E3"/>
    <w:rsid w:val="003179F5"/>
    <w:rsid w:val="00317A17"/>
    <w:rsid w:val="00317AC4"/>
    <w:rsid w:val="00317BC1"/>
    <w:rsid w:val="00317DEC"/>
    <w:rsid w:val="00317EA5"/>
    <w:rsid w:val="00317EA6"/>
    <w:rsid w:val="00320026"/>
    <w:rsid w:val="003200C9"/>
    <w:rsid w:val="003200F9"/>
    <w:rsid w:val="0032012D"/>
    <w:rsid w:val="003202F5"/>
    <w:rsid w:val="0032038E"/>
    <w:rsid w:val="003205C4"/>
    <w:rsid w:val="003205FA"/>
    <w:rsid w:val="00320616"/>
    <w:rsid w:val="0032075D"/>
    <w:rsid w:val="00320768"/>
    <w:rsid w:val="0032085B"/>
    <w:rsid w:val="00320869"/>
    <w:rsid w:val="003208C8"/>
    <w:rsid w:val="003208D5"/>
    <w:rsid w:val="00320904"/>
    <w:rsid w:val="00320986"/>
    <w:rsid w:val="00320A47"/>
    <w:rsid w:val="00320BB9"/>
    <w:rsid w:val="00320BDE"/>
    <w:rsid w:val="00320BFA"/>
    <w:rsid w:val="00320C5F"/>
    <w:rsid w:val="00320C9B"/>
    <w:rsid w:val="00320CDA"/>
    <w:rsid w:val="00320D72"/>
    <w:rsid w:val="00320F30"/>
    <w:rsid w:val="00321060"/>
    <w:rsid w:val="00321084"/>
    <w:rsid w:val="00321230"/>
    <w:rsid w:val="0032123C"/>
    <w:rsid w:val="003213A8"/>
    <w:rsid w:val="003213FE"/>
    <w:rsid w:val="0032141C"/>
    <w:rsid w:val="0032146C"/>
    <w:rsid w:val="00321484"/>
    <w:rsid w:val="00321666"/>
    <w:rsid w:val="003216C4"/>
    <w:rsid w:val="00321725"/>
    <w:rsid w:val="00321733"/>
    <w:rsid w:val="0032197B"/>
    <w:rsid w:val="003219B4"/>
    <w:rsid w:val="003219F2"/>
    <w:rsid w:val="00321B8D"/>
    <w:rsid w:val="00321BC3"/>
    <w:rsid w:val="00321C4F"/>
    <w:rsid w:val="00321DE1"/>
    <w:rsid w:val="00321E13"/>
    <w:rsid w:val="003222BB"/>
    <w:rsid w:val="003224B4"/>
    <w:rsid w:val="003224D2"/>
    <w:rsid w:val="00322650"/>
    <w:rsid w:val="0032266F"/>
    <w:rsid w:val="00322687"/>
    <w:rsid w:val="003226A0"/>
    <w:rsid w:val="0032275B"/>
    <w:rsid w:val="00322764"/>
    <w:rsid w:val="00322988"/>
    <w:rsid w:val="00322999"/>
    <w:rsid w:val="00322B23"/>
    <w:rsid w:val="00322B47"/>
    <w:rsid w:val="00322C78"/>
    <w:rsid w:val="00322E7D"/>
    <w:rsid w:val="00322EA9"/>
    <w:rsid w:val="00322ED0"/>
    <w:rsid w:val="00322F19"/>
    <w:rsid w:val="00323086"/>
    <w:rsid w:val="003231DE"/>
    <w:rsid w:val="00323267"/>
    <w:rsid w:val="0032345C"/>
    <w:rsid w:val="00323470"/>
    <w:rsid w:val="0032351D"/>
    <w:rsid w:val="00323540"/>
    <w:rsid w:val="0032355C"/>
    <w:rsid w:val="00323588"/>
    <w:rsid w:val="003235E7"/>
    <w:rsid w:val="0032363A"/>
    <w:rsid w:val="00323667"/>
    <w:rsid w:val="0032366C"/>
    <w:rsid w:val="0032367A"/>
    <w:rsid w:val="003236AC"/>
    <w:rsid w:val="003236B5"/>
    <w:rsid w:val="00323787"/>
    <w:rsid w:val="003237A9"/>
    <w:rsid w:val="003237CC"/>
    <w:rsid w:val="003237DB"/>
    <w:rsid w:val="00323800"/>
    <w:rsid w:val="00323851"/>
    <w:rsid w:val="0032392A"/>
    <w:rsid w:val="00323BA9"/>
    <w:rsid w:val="00323C0A"/>
    <w:rsid w:val="00323C4D"/>
    <w:rsid w:val="00323DB8"/>
    <w:rsid w:val="00323E40"/>
    <w:rsid w:val="00323F56"/>
    <w:rsid w:val="00323FB8"/>
    <w:rsid w:val="0032403A"/>
    <w:rsid w:val="0032408B"/>
    <w:rsid w:val="003240AC"/>
    <w:rsid w:val="003240C4"/>
    <w:rsid w:val="003241ED"/>
    <w:rsid w:val="0032423E"/>
    <w:rsid w:val="0032458D"/>
    <w:rsid w:val="003245A7"/>
    <w:rsid w:val="00324649"/>
    <w:rsid w:val="00324713"/>
    <w:rsid w:val="0032479B"/>
    <w:rsid w:val="003247E0"/>
    <w:rsid w:val="00324825"/>
    <w:rsid w:val="00324846"/>
    <w:rsid w:val="00324A9E"/>
    <w:rsid w:val="00324C00"/>
    <w:rsid w:val="00324C67"/>
    <w:rsid w:val="00324E8A"/>
    <w:rsid w:val="00324F2F"/>
    <w:rsid w:val="0032500C"/>
    <w:rsid w:val="0032500E"/>
    <w:rsid w:val="00325161"/>
    <w:rsid w:val="00325218"/>
    <w:rsid w:val="003252E4"/>
    <w:rsid w:val="0032539B"/>
    <w:rsid w:val="003253B9"/>
    <w:rsid w:val="003253D7"/>
    <w:rsid w:val="00325409"/>
    <w:rsid w:val="00325430"/>
    <w:rsid w:val="00325470"/>
    <w:rsid w:val="003254C0"/>
    <w:rsid w:val="003254F6"/>
    <w:rsid w:val="0032554D"/>
    <w:rsid w:val="0032563A"/>
    <w:rsid w:val="003257BE"/>
    <w:rsid w:val="003257E4"/>
    <w:rsid w:val="003257E7"/>
    <w:rsid w:val="0032588A"/>
    <w:rsid w:val="003258C1"/>
    <w:rsid w:val="00325A0C"/>
    <w:rsid w:val="00325A77"/>
    <w:rsid w:val="00325B2D"/>
    <w:rsid w:val="00325B6D"/>
    <w:rsid w:val="00325B9F"/>
    <w:rsid w:val="00325C26"/>
    <w:rsid w:val="00325D7B"/>
    <w:rsid w:val="00325DDC"/>
    <w:rsid w:val="00325E92"/>
    <w:rsid w:val="00325FB7"/>
    <w:rsid w:val="0032612B"/>
    <w:rsid w:val="00326164"/>
    <w:rsid w:val="00326236"/>
    <w:rsid w:val="003262DB"/>
    <w:rsid w:val="003262DF"/>
    <w:rsid w:val="00326543"/>
    <w:rsid w:val="003265A7"/>
    <w:rsid w:val="003265CD"/>
    <w:rsid w:val="003265E9"/>
    <w:rsid w:val="00326733"/>
    <w:rsid w:val="003267F1"/>
    <w:rsid w:val="00326863"/>
    <w:rsid w:val="00326964"/>
    <w:rsid w:val="003269BB"/>
    <w:rsid w:val="00326B22"/>
    <w:rsid w:val="00326B69"/>
    <w:rsid w:val="00326BBD"/>
    <w:rsid w:val="00326DB8"/>
    <w:rsid w:val="00326DD9"/>
    <w:rsid w:val="00326E49"/>
    <w:rsid w:val="00326F14"/>
    <w:rsid w:val="00327115"/>
    <w:rsid w:val="003272D7"/>
    <w:rsid w:val="00327376"/>
    <w:rsid w:val="0032744A"/>
    <w:rsid w:val="00327727"/>
    <w:rsid w:val="003278A5"/>
    <w:rsid w:val="003278AB"/>
    <w:rsid w:val="003278CD"/>
    <w:rsid w:val="0032795F"/>
    <w:rsid w:val="00327974"/>
    <w:rsid w:val="003279DC"/>
    <w:rsid w:val="00327B9E"/>
    <w:rsid w:val="00327C36"/>
    <w:rsid w:val="00327CED"/>
    <w:rsid w:val="00327D13"/>
    <w:rsid w:val="00327E2E"/>
    <w:rsid w:val="00327E74"/>
    <w:rsid w:val="00327EC2"/>
    <w:rsid w:val="00327EE2"/>
    <w:rsid w:val="00327F48"/>
    <w:rsid w:val="00330078"/>
    <w:rsid w:val="00330092"/>
    <w:rsid w:val="003301E3"/>
    <w:rsid w:val="0033025A"/>
    <w:rsid w:val="0033037B"/>
    <w:rsid w:val="0033052F"/>
    <w:rsid w:val="0033053E"/>
    <w:rsid w:val="0033054A"/>
    <w:rsid w:val="00330733"/>
    <w:rsid w:val="003308F2"/>
    <w:rsid w:val="0033092E"/>
    <w:rsid w:val="0033094E"/>
    <w:rsid w:val="00330A2D"/>
    <w:rsid w:val="00330A2F"/>
    <w:rsid w:val="00330A9F"/>
    <w:rsid w:val="00330AB6"/>
    <w:rsid w:val="00330AC4"/>
    <w:rsid w:val="00330B02"/>
    <w:rsid w:val="00330B54"/>
    <w:rsid w:val="00330C24"/>
    <w:rsid w:val="00330CE1"/>
    <w:rsid w:val="00330D2A"/>
    <w:rsid w:val="00330D69"/>
    <w:rsid w:val="00330E3C"/>
    <w:rsid w:val="00331026"/>
    <w:rsid w:val="003311B8"/>
    <w:rsid w:val="003311EA"/>
    <w:rsid w:val="0033136B"/>
    <w:rsid w:val="00331401"/>
    <w:rsid w:val="0033148A"/>
    <w:rsid w:val="00331522"/>
    <w:rsid w:val="003315AA"/>
    <w:rsid w:val="0033168A"/>
    <w:rsid w:val="003317FC"/>
    <w:rsid w:val="00331833"/>
    <w:rsid w:val="0033194E"/>
    <w:rsid w:val="003319E4"/>
    <w:rsid w:val="00331AE0"/>
    <w:rsid w:val="00331B70"/>
    <w:rsid w:val="00331BDB"/>
    <w:rsid w:val="00331C54"/>
    <w:rsid w:val="00331C95"/>
    <w:rsid w:val="00331D37"/>
    <w:rsid w:val="00331D5F"/>
    <w:rsid w:val="00331D7A"/>
    <w:rsid w:val="00331D93"/>
    <w:rsid w:val="00331E35"/>
    <w:rsid w:val="00331E4A"/>
    <w:rsid w:val="00331E5D"/>
    <w:rsid w:val="00331E8D"/>
    <w:rsid w:val="00331F66"/>
    <w:rsid w:val="00331FF0"/>
    <w:rsid w:val="003320B8"/>
    <w:rsid w:val="003321AF"/>
    <w:rsid w:val="00332380"/>
    <w:rsid w:val="00332389"/>
    <w:rsid w:val="00332483"/>
    <w:rsid w:val="00332529"/>
    <w:rsid w:val="0033254B"/>
    <w:rsid w:val="003325A8"/>
    <w:rsid w:val="0033261C"/>
    <w:rsid w:val="003326D1"/>
    <w:rsid w:val="0033272F"/>
    <w:rsid w:val="0033295E"/>
    <w:rsid w:val="00332A3F"/>
    <w:rsid w:val="00332ABE"/>
    <w:rsid w:val="00332B3D"/>
    <w:rsid w:val="00332BA3"/>
    <w:rsid w:val="00332BF4"/>
    <w:rsid w:val="00332D29"/>
    <w:rsid w:val="00332ED5"/>
    <w:rsid w:val="00332FBB"/>
    <w:rsid w:val="003331C2"/>
    <w:rsid w:val="003331CB"/>
    <w:rsid w:val="0033327C"/>
    <w:rsid w:val="003332AC"/>
    <w:rsid w:val="00333361"/>
    <w:rsid w:val="0033339E"/>
    <w:rsid w:val="003334F1"/>
    <w:rsid w:val="003335AD"/>
    <w:rsid w:val="00333669"/>
    <w:rsid w:val="0033367F"/>
    <w:rsid w:val="003336E8"/>
    <w:rsid w:val="0033380E"/>
    <w:rsid w:val="00333872"/>
    <w:rsid w:val="00333A40"/>
    <w:rsid w:val="00333CC0"/>
    <w:rsid w:val="00333D8E"/>
    <w:rsid w:val="00333ED5"/>
    <w:rsid w:val="00333EE3"/>
    <w:rsid w:val="00333FE4"/>
    <w:rsid w:val="003340BD"/>
    <w:rsid w:val="0033419B"/>
    <w:rsid w:val="0033444E"/>
    <w:rsid w:val="003344BA"/>
    <w:rsid w:val="003345E3"/>
    <w:rsid w:val="0033471B"/>
    <w:rsid w:val="003347C6"/>
    <w:rsid w:val="00334854"/>
    <w:rsid w:val="00334940"/>
    <w:rsid w:val="003349DB"/>
    <w:rsid w:val="00334AA0"/>
    <w:rsid w:val="00334C0A"/>
    <w:rsid w:val="00334EEF"/>
    <w:rsid w:val="00334F66"/>
    <w:rsid w:val="00334F7C"/>
    <w:rsid w:val="00335087"/>
    <w:rsid w:val="003350F6"/>
    <w:rsid w:val="00335375"/>
    <w:rsid w:val="0033541F"/>
    <w:rsid w:val="00335477"/>
    <w:rsid w:val="003354A4"/>
    <w:rsid w:val="00335615"/>
    <w:rsid w:val="0033567C"/>
    <w:rsid w:val="003356D0"/>
    <w:rsid w:val="00335717"/>
    <w:rsid w:val="0033578D"/>
    <w:rsid w:val="00335A5F"/>
    <w:rsid w:val="00335C0E"/>
    <w:rsid w:val="00335C9B"/>
    <w:rsid w:val="00335D63"/>
    <w:rsid w:val="00335D70"/>
    <w:rsid w:val="00335E92"/>
    <w:rsid w:val="00335F11"/>
    <w:rsid w:val="00335FD4"/>
    <w:rsid w:val="00336127"/>
    <w:rsid w:val="00336156"/>
    <w:rsid w:val="00336189"/>
    <w:rsid w:val="0033624C"/>
    <w:rsid w:val="0033634A"/>
    <w:rsid w:val="00336447"/>
    <w:rsid w:val="00336494"/>
    <w:rsid w:val="003364FC"/>
    <w:rsid w:val="0033664B"/>
    <w:rsid w:val="0033672F"/>
    <w:rsid w:val="0033681E"/>
    <w:rsid w:val="00336824"/>
    <w:rsid w:val="003368BE"/>
    <w:rsid w:val="003368C9"/>
    <w:rsid w:val="003369D5"/>
    <w:rsid w:val="00336A5D"/>
    <w:rsid w:val="00336A72"/>
    <w:rsid w:val="00336AC8"/>
    <w:rsid w:val="00336AD7"/>
    <w:rsid w:val="00336B80"/>
    <w:rsid w:val="00336B82"/>
    <w:rsid w:val="00336CE2"/>
    <w:rsid w:val="00336DFD"/>
    <w:rsid w:val="00336E27"/>
    <w:rsid w:val="00336EF6"/>
    <w:rsid w:val="00337118"/>
    <w:rsid w:val="0033715B"/>
    <w:rsid w:val="003371D8"/>
    <w:rsid w:val="0033732F"/>
    <w:rsid w:val="00337508"/>
    <w:rsid w:val="00337653"/>
    <w:rsid w:val="0033777C"/>
    <w:rsid w:val="003378C2"/>
    <w:rsid w:val="00337A3D"/>
    <w:rsid w:val="00337B54"/>
    <w:rsid w:val="00337B86"/>
    <w:rsid w:val="00337DC8"/>
    <w:rsid w:val="00337E03"/>
    <w:rsid w:val="00337E87"/>
    <w:rsid w:val="00337EC4"/>
    <w:rsid w:val="00337FFA"/>
    <w:rsid w:val="0034000F"/>
    <w:rsid w:val="003400BD"/>
    <w:rsid w:val="0034017A"/>
    <w:rsid w:val="00340239"/>
    <w:rsid w:val="00340711"/>
    <w:rsid w:val="0034071B"/>
    <w:rsid w:val="00340759"/>
    <w:rsid w:val="0034084A"/>
    <w:rsid w:val="0034087F"/>
    <w:rsid w:val="003408D2"/>
    <w:rsid w:val="003408E7"/>
    <w:rsid w:val="0034097A"/>
    <w:rsid w:val="003409AB"/>
    <w:rsid w:val="003409AF"/>
    <w:rsid w:val="00340B6E"/>
    <w:rsid w:val="00340B77"/>
    <w:rsid w:val="00340B8E"/>
    <w:rsid w:val="00340C52"/>
    <w:rsid w:val="00340D38"/>
    <w:rsid w:val="00340E9C"/>
    <w:rsid w:val="00340ED8"/>
    <w:rsid w:val="00340EDF"/>
    <w:rsid w:val="00340FC5"/>
    <w:rsid w:val="00340FC8"/>
    <w:rsid w:val="00341038"/>
    <w:rsid w:val="0034126B"/>
    <w:rsid w:val="00341310"/>
    <w:rsid w:val="0034147D"/>
    <w:rsid w:val="00341569"/>
    <w:rsid w:val="003415BE"/>
    <w:rsid w:val="003416F4"/>
    <w:rsid w:val="003417C6"/>
    <w:rsid w:val="003419BB"/>
    <w:rsid w:val="003419F0"/>
    <w:rsid w:val="00341A9D"/>
    <w:rsid w:val="00341AB7"/>
    <w:rsid w:val="00341B13"/>
    <w:rsid w:val="00341B5D"/>
    <w:rsid w:val="00341BB4"/>
    <w:rsid w:val="00341DC8"/>
    <w:rsid w:val="00341F59"/>
    <w:rsid w:val="0034207E"/>
    <w:rsid w:val="003420D3"/>
    <w:rsid w:val="00342235"/>
    <w:rsid w:val="003422F6"/>
    <w:rsid w:val="00342303"/>
    <w:rsid w:val="0034232E"/>
    <w:rsid w:val="003424B9"/>
    <w:rsid w:val="0034255C"/>
    <w:rsid w:val="003425B4"/>
    <w:rsid w:val="003425E8"/>
    <w:rsid w:val="00342877"/>
    <w:rsid w:val="00342A25"/>
    <w:rsid w:val="00342A49"/>
    <w:rsid w:val="00342AA0"/>
    <w:rsid w:val="00342BFF"/>
    <w:rsid w:val="00342C13"/>
    <w:rsid w:val="00342D54"/>
    <w:rsid w:val="00342DA8"/>
    <w:rsid w:val="00342DC5"/>
    <w:rsid w:val="003430F0"/>
    <w:rsid w:val="00343120"/>
    <w:rsid w:val="00343230"/>
    <w:rsid w:val="0034324A"/>
    <w:rsid w:val="003432B9"/>
    <w:rsid w:val="003433C2"/>
    <w:rsid w:val="00343493"/>
    <w:rsid w:val="00343509"/>
    <w:rsid w:val="0034354B"/>
    <w:rsid w:val="003435B6"/>
    <w:rsid w:val="0034364A"/>
    <w:rsid w:val="003436AA"/>
    <w:rsid w:val="003438BC"/>
    <w:rsid w:val="00343919"/>
    <w:rsid w:val="00343969"/>
    <w:rsid w:val="00343A05"/>
    <w:rsid w:val="00343A89"/>
    <w:rsid w:val="00343B6A"/>
    <w:rsid w:val="00343C4E"/>
    <w:rsid w:val="00343DCB"/>
    <w:rsid w:val="00343E9F"/>
    <w:rsid w:val="00343F2D"/>
    <w:rsid w:val="003440CC"/>
    <w:rsid w:val="003441B0"/>
    <w:rsid w:val="00344259"/>
    <w:rsid w:val="003444EA"/>
    <w:rsid w:val="003445A6"/>
    <w:rsid w:val="0034462E"/>
    <w:rsid w:val="00344715"/>
    <w:rsid w:val="003447E3"/>
    <w:rsid w:val="003447FB"/>
    <w:rsid w:val="00344889"/>
    <w:rsid w:val="0034490A"/>
    <w:rsid w:val="00344A17"/>
    <w:rsid w:val="00344A34"/>
    <w:rsid w:val="00344A4E"/>
    <w:rsid w:val="00344A78"/>
    <w:rsid w:val="00344B12"/>
    <w:rsid w:val="00344B1D"/>
    <w:rsid w:val="00344D41"/>
    <w:rsid w:val="00344D4C"/>
    <w:rsid w:val="00344E8B"/>
    <w:rsid w:val="00344FE0"/>
    <w:rsid w:val="00345092"/>
    <w:rsid w:val="003450F5"/>
    <w:rsid w:val="0034512D"/>
    <w:rsid w:val="00345261"/>
    <w:rsid w:val="00345269"/>
    <w:rsid w:val="003453A3"/>
    <w:rsid w:val="003453EF"/>
    <w:rsid w:val="003455A4"/>
    <w:rsid w:val="0034567E"/>
    <w:rsid w:val="003456F2"/>
    <w:rsid w:val="003456FD"/>
    <w:rsid w:val="003458DE"/>
    <w:rsid w:val="00345973"/>
    <w:rsid w:val="0034599E"/>
    <w:rsid w:val="00345A2C"/>
    <w:rsid w:val="00345B0A"/>
    <w:rsid w:val="00345C04"/>
    <w:rsid w:val="00345C31"/>
    <w:rsid w:val="00345DF2"/>
    <w:rsid w:val="00345DFD"/>
    <w:rsid w:val="00345E13"/>
    <w:rsid w:val="00345EC4"/>
    <w:rsid w:val="00345ECC"/>
    <w:rsid w:val="00345F01"/>
    <w:rsid w:val="00345F69"/>
    <w:rsid w:val="00346030"/>
    <w:rsid w:val="0034611A"/>
    <w:rsid w:val="00346144"/>
    <w:rsid w:val="0034616F"/>
    <w:rsid w:val="003462A5"/>
    <w:rsid w:val="003462A8"/>
    <w:rsid w:val="003462B0"/>
    <w:rsid w:val="003462FC"/>
    <w:rsid w:val="00346314"/>
    <w:rsid w:val="00346393"/>
    <w:rsid w:val="003463CD"/>
    <w:rsid w:val="0034645E"/>
    <w:rsid w:val="003466D8"/>
    <w:rsid w:val="0034676C"/>
    <w:rsid w:val="0034686F"/>
    <w:rsid w:val="003468BC"/>
    <w:rsid w:val="00346A1C"/>
    <w:rsid w:val="00346A4A"/>
    <w:rsid w:val="00346ABD"/>
    <w:rsid w:val="00346B14"/>
    <w:rsid w:val="00346CCB"/>
    <w:rsid w:val="00346CF6"/>
    <w:rsid w:val="00346D14"/>
    <w:rsid w:val="00346D1D"/>
    <w:rsid w:val="00346E30"/>
    <w:rsid w:val="00346E46"/>
    <w:rsid w:val="00346F6A"/>
    <w:rsid w:val="00346FE4"/>
    <w:rsid w:val="00347006"/>
    <w:rsid w:val="0034719A"/>
    <w:rsid w:val="003472E0"/>
    <w:rsid w:val="00347319"/>
    <w:rsid w:val="00347340"/>
    <w:rsid w:val="003473BD"/>
    <w:rsid w:val="003473BF"/>
    <w:rsid w:val="003473C8"/>
    <w:rsid w:val="003473CE"/>
    <w:rsid w:val="0034746D"/>
    <w:rsid w:val="00347506"/>
    <w:rsid w:val="00347560"/>
    <w:rsid w:val="0034759A"/>
    <w:rsid w:val="00347822"/>
    <w:rsid w:val="003478B6"/>
    <w:rsid w:val="003479A1"/>
    <w:rsid w:val="003479CA"/>
    <w:rsid w:val="00347A18"/>
    <w:rsid w:val="00347A88"/>
    <w:rsid w:val="00347AD5"/>
    <w:rsid w:val="00347BDD"/>
    <w:rsid w:val="00347CAA"/>
    <w:rsid w:val="00347CCA"/>
    <w:rsid w:val="00347D1C"/>
    <w:rsid w:val="00347DA9"/>
    <w:rsid w:val="00347E8A"/>
    <w:rsid w:val="00347EBA"/>
    <w:rsid w:val="00347EC0"/>
    <w:rsid w:val="00347EE1"/>
    <w:rsid w:val="00347F17"/>
    <w:rsid w:val="00347F6C"/>
    <w:rsid w:val="00347FEB"/>
    <w:rsid w:val="003500A5"/>
    <w:rsid w:val="00350255"/>
    <w:rsid w:val="00350304"/>
    <w:rsid w:val="0035031A"/>
    <w:rsid w:val="00350410"/>
    <w:rsid w:val="003504A6"/>
    <w:rsid w:val="00350558"/>
    <w:rsid w:val="00350602"/>
    <w:rsid w:val="0035067C"/>
    <w:rsid w:val="003506CD"/>
    <w:rsid w:val="003506FD"/>
    <w:rsid w:val="00350872"/>
    <w:rsid w:val="003508E9"/>
    <w:rsid w:val="0035092B"/>
    <w:rsid w:val="00350951"/>
    <w:rsid w:val="003509D5"/>
    <w:rsid w:val="003509E2"/>
    <w:rsid w:val="003509FD"/>
    <w:rsid w:val="00350A7E"/>
    <w:rsid w:val="00350BB6"/>
    <w:rsid w:val="00350BFE"/>
    <w:rsid w:val="00350C57"/>
    <w:rsid w:val="00350D43"/>
    <w:rsid w:val="00350E30"/>
    <w:rsid w:val="00351030"/>
    <w:rsid w:val="00351170"/>
    <w:rsid w:val="00351268"/>
    <w:rsid w:val="00351279"/>
    <w:rsid w:val="0035137C"/>
    <w:rsid w:val="0035142A"/>
    <w:rsid w:val="00351453"/>
    <w:rsid w:val="00351467"/>
    <w:rsid w:val="0035152E"/>
    <w:rsid w:val="00351545"/>
    <w:rsid w:val="003515B8"/>
    <w:rsid w:val="003515C8"/>
    <w:rsid w:val="003516FB"/>
    <w:rsid w:val="0035183B"/>
    <w:rsid w:val="00351854"/>
    <w:rsid w:val="0035197E"/>
    <w:rsid w:val="003519E9"/>
    <w:rsid w:val="00351B0E"/>
    <w:rsid w:val="00351DA9"/>
    <w:rsid w:val="00351EF2"/>
    <w:rsid w:val="00351FD7"/>
    <w:rsid w:val="0035211B"/>
    <w:rsid w:val="00352248"/>
    <w:rsid w:val="0035227A"/>
    <w:rsid w:val="003523D7"/>
    <w:rsid w:val="003523DF"/>
    <w:rsid w:val="003524F7"/>
    <w:rsid w:val="003525DC"/>
    <w:rsid w:val="003525DF"/>
    <w:rsid w:val="0035260C"/>
    <w:rsid w:val="00352748"/>
    <w:rsid w:val="00352868"/>
    <w:rsid w:val="00352989"/>
    <w:rsid w:val="00352A06"/>
    <w:rsid w:val="00352B40"/>
    <w:rsid w:val="00352BF2"/>
    <w:rsid w:val="00352CAF"/>
    <w:rsid w:val="00352CFF"/>
    <w:rsid w:val="00352D49"/>
    <w:rsid w:val="00352D8D"/>
    <w:rsid w:val="00352F5F"/>
    <w:rsid w:val="0035301A"/>
    <w:rsid w:val="00353022"/>
    <w:rsid w:val="00353036"/>
    <w:rsid w:val="00353059"/>
    <w:rsid w:val="003530CA"/>
    <w:rsid w:val="003531DE"/>
    <w:rsid w:val="003531E3"/>
    <w:rsid w:val="0035329A"/>
    <w:rsid w:val="0035329B"/>
    <w:rsid w:val="00353327"/>
    <w:rsid w:val="003533C9"/>
    <w:rsid w:val="003533E8"/>
    <w:rsid w:val="00353479"/>
    <w:rsid w:val="003536A4"/>
    <w:rsid w:val="00353957"/>
    <w:rsid w:val="00353AF3"/>
    <w:rsid w:val="00353B20"/>
    <w:rsid w:val="00353E6F"/>
    <w:rsid w:val="00353E90"/>
    <w:rsid w:val="00353F59"/>
    <w:rsid w:val="00353FEF"/>
    <w:rsid w:val="00354173"/>
    <w:rsid w:val="0035417A"/>
    <w:rsid w:val="0035447B"/>
    <w:rsid w:val="00354561"/>
    <w:rsid w:val="00354670"/>
    <w:rsid w:val="00354855"/>
    <w:rsid w:val="0035494E"/>
    <w:rsid w:val="00354A4D"/>
    <w:rsid w:val="00354C0C"/>
    <w:rsid w:val="00354EAD"/>
    <w:rsid w:val="00354EEA"/>
    <w:rsid w:val="00354F18"/>
    <w:rsid w:val="00354F2B"/>
    <w:rsid w:val="00354FED"/>
    <w:rsid w:val="0035511D"/>
    <w:rsid w:val="0035523A"/>
    <w:rsid w:val="00355257"/>
    <w:rsid w:val="00355290"/>
    <w:rsid w:val="0035529D"/>
    <w:rsid w:val="003552C0"/>
    <w:rsid w:val="003553BC"/>
    <w:rsid w:val="00355451"/>
    <w:rsid w:val="00355491"/>
    <w:rsid w:val="0035561F"/>
    <w:rsid w:val="0035574C"/>
    <w:rsid w:val="00355756"/>
    <w:rsid w:val="0035588F"/>
    <w:rsid w:val="003558E7"/>
    <w:rsid w:val="00355A3D"/>
    <w:rsid w:val="00355A5E"/>
    <w:rsid w:val="00355A63"/>
    <w:rsid w:val="00355A7A"/>
    <w:rsid w:val="00355AA2"/>
    <w:rsid w:val="00355C38"/>
    <w:rsid w:val="00355E9E"/>
    <w:rsid w:val="00355F06"/>
    <w:rsid w:val="00355F98"/>
    <w:rsid w:val="00356026"/>
    <w:rsid w:val="0035606C"/>
    <w:rsid w:val="00356086"/>
    <w:rsid w:val="00356132"/>
    <w:rsid w:val="00356195"/>
    <w:rsid w:val="003561B1"/>
    <w:rsid w:val="0035622E"/>
    <w:rsid w:val="0035623B"/>
    <w:rsid w:val="0035626F"/>
    <w:rsid w:val="003562D8"/>
    <w:rsid w:val="0035633E"/>
    <w:rsid w:val="00356353"/>
    <w:rsid w:val="00356390"/>
    <w:rsid w:val="00356405"/>
    <w:rsid w:val="00356548"/>
    <w:rsid w:val="003565D7"/>
    <w:rsid w:val="003565F1"/>
    <w:rsid w:val="00356617"/>
    <w:rsid w:val="003566FE"/>
    <w:rsid w:val="00356781"/>
    <w:rsid w:val="00356783"/>
    <w:rsid w:val="0035681F"/>
    <w:rsid w:val="00356822"/>
    <w:rsid w:val="00356878"/>
    <w:rsid w:val="0035690D"/>
    <w:rsid w:val="00356912"/>
    <w:rsid w:val="00356939"/>
    <w:rsid w:val="0035695F"/>
    <w:rsid w:val="003569D6"/>
    <w:rsid w:val="003569E7"/>
    <w:rsid w:val="00356BAD"/>
    <w:rsid w:val="00356C65"/>
    <w:rsid w:val="00356CDA"/>
    <w:rsid w:val="00356D07"/>
    <w:rsid w:val="00356D3A"/>
    <w:rsid w:val="00356DE0"/>
    <w:rsid w:val="00356EAC"/>
    <w:rsid w:val="00357100"/>
    <w:rsid w:val="0035711E"/>
    <w:rsid w:val="0035716B"/>
    <w:rsid w:val="003571C0"/>
    <w:rsid w:val="00357222"/>
    <w:rsid w:val="003572C2"/>
    <w:rsid w:val="0035731E"/>
    <w:rsid w:val="00357352"/>
    <w:rsid w:val="00357404"/>
    <w:rsid w:val="0035765B"/>
    <w:rsid w:val="003576D5"/>
    <w:rsid w:val="00357715"/>
    <w:rsid w:val="003578A3"/>
    <w:rsid w:val="00357960"/>
    <w:rsid w:val="00357A00"/>
    <w:rsid w:val="00357A35"/>
    <w:rsid w:val="00357A78"/>
    <w:rsid w:val="00357AA0"/>
    <w:rsid w:val="00357AE9"/>
    <w:rsid w:val="00357B8C"/>
    <w:rsid w:val="00357CAD"/>
    <w:rsid w:val="00357D8C"/>
    <w:rsid w:val="00357EDD"/>
    <w:rsid w:val="00357FB2"/>
    <w:rsid w:val="0036024D"/>
    <w:rsid w:val="00360266"/>
    <w:rsid w:val="00360311"/>
    <w:rsid w:val="003603DD"/>
    <w:rsid w:val="003603E5"/>
    <w:rsid w:val="003603EB"/>
    <w:rsid w:val="0036045D"/>
    <w:rsid w:val="003604C9"/>
    <w:rsid w:val="003606A9"/>
    <w:rsid w:val="003608E7"/>
    <w:rsid w:val="00360931"/>
    <w:rsid w:val="00360936"/>
    <w:rsid w:val="00360AB6"/>
    <w:rsid w:val="00360B4A"/>
    <w:rsid w:val="00360D51"/>
    <w:rsid w:val="00360D5F"/>
    <w:rsid w:val="00360D92"/>
    <w:rsid w:val="00360DA5"/>
    <w:rsid w:val="00360E53"/>
    <w:rsid w:val="00360EF2"/>
    <w:rsid w:val="00360F1B"/>
    <w:rsid w:val="00360F2D"/>
    <w:rsid w:val="00361065"/>
    <w:rsid w:val="00361175"/>
    <w:rsid w:val="0036122C"/>
    <w:rsid w:val="00361254"/>
    <w:rsid w:val="00361287"/>
    <w:rsid w:val="0036129D"/>
    <w:rsid w:val="003613FE"/>
    <w:rsid w:val="00361415"/>
    <w:rsid w:val="00361503"/>
    <w:rsid w:val="0036165A"/>
    <w:rsid w:val="00361894"/>
    <w:rsid w:val="003618A7"/>
    <w:rsid w:val="003619CE"/>
    <w:rsid w:val="003619FD"/>
    <w:rsid w:val="00361A93"/>
    <w:rsid w:val="00361AE1"/>
    <w:rsid w:val="00361BE9"/>
    <w:rsid w:val="00361BFD"/>
    <w:rsid w:val="00361CD0"/>
    <w:rsid w:val="00361D3C"/>
    <w:rsid w:val="00361E77"/>
    <w:rsid w:val="00361F6D"/>
    <w:rsid w:val="00362057"/>
    <w:rsid w:val="00362068"/>
    <w:rsid w:val="003620B2"/>
    <w:rsid w:val="00362109"/>
    <w:rsid w:val="0036215C"/>
    <w:rsid w:val="0036221B"/>
    <w:rsid w:val="003622EB"/>
    <w:rsid w:val="0036232D"/>
    <w:rsid w:val="0036253B"/>
    <w:rsid w:val="003625C9"/>
    <w:rsid w:val="0036266A"/>
    <w:rsid w:val="003627FF"/>
    <w:rsid w:val="00362845"/>
    <w:rsid w:val="0036299B"/>
    <w:rsid w:val="00362C49"/>
    <w:rsid w:val="00362CD1"/>
    <w:rsid w:val="00362D0E"/>
    <w:rsid w:val="00362ED3"/>
    <w:rsid w:val="00362EE8"/>
    <w:rsid w:val="0036322A"/>
    <w:rsid w:val="00363277"/>
    <w:rsid w:val="0036333D"/>
    <w:rsid w:val="00363362"/>
    <w:rsid w:val="00363405"/>
    <w:rsid w:val="00363445"/>
    <w:rsid w:val="00363490"/>
    <w:rsid w:val="003634D0"/>
    <w:rsid w:val="003635B4"/>
    <w:rsid w:val="00363609"/>
    <w:rsid w:val="00363629"/>
    <w:rsid w:val="003636A0"/>
    <w:rsid w:val="003636FA"/>
    <w:rsid w:val="00363910"/>
    <w:rsid w:val="003639CD"/>
    <w:rsid w:val="003639F9"/>
    <w:rsid w:val="00363A2D"/>
    <w:rsid w:val="00363A44"/>
    <w:rsid w:val="00363A85"/>
    <w:rsid w:val="00363AA9"/>
    <w:rsid w:val="00363BDA"/>
    <w:rsid w:val="00363BE1"/>
    <w:rsid w:val="00363C5B"/>
    <w:rsid w:val="00363D21"/>
    <w:rsid w:val="00363D2F"/>
    <w:rsid w:val="00363D76"/>
    <w:rsid w:val="00363DBC"/>
    <w:rsid w:val="00363DCD"/>
    <w:rsid w:val="00363E0F"/>
    <w:rsid w:val="00363F34"/>
    <w:rsid w:val="003640E4"/>
    <w:rsid w:val="00364135"/>
    <w:rsid w:val="003641C7"/>
    <w:rsid w:val="003642BF"/>
    <w:rsid w:val="003642C5"/>
    <w:rsid w:val="003643BA"/>
    <w:rsid w:val="00364462"/>
    <w:rsid w:val="003644AF"/>
    <w:rsid w:val="003648BE"/>
    <w:rsid w:val="00364982"/>
    <w:rsid w:val="003649E5"/>
    <w:rsid w:val="00364A07"/>
    <w:rsid w:val="00364A84"/>
    <w:rsid w:val="00364B0F"/>
    <w:rsid w:val="00364B4E"/>
    <w:rsid w:val="00364B51"/>
    <w:rsid w:val="00364D86"/>
    <w:rsid w:val="00364D8E"/>
    <w:rsid w:val="00364EC4"/>
    <w:rsid w:val="00364F79"/>
    <w:rsid w:val="003650CD"/>
    <w:rsid w:val="003651A2"/>
    <w:rsid w:val="003651A4"/>
    <w:rsid w:val="00365206"/>
    <w:rsid w:val="003652D2"/>
    <w:rsid w:val="00365307"/>
    <w:rsid w:val="0036542E"/>
    <w:rsid w:val="0036545D"/>
    <w:rsid w:val="00365881"/>
    <w:rsid w:val="0036593C"/>
    <w:rsid w:val="0036595B"/>
    <w:rsid w:val="00365963"/>
    <w:rsid w:val="003659E2"/>
    <w:rsid w:val="00365A11"/>
    <w:rsid w:val="00365A2A"/>
    <w:rsid w:val="00365A9A"/>
    <w:rsid w:val="00365AEA"/>
    <w:rsid w:val="00365B20"/>
    <w:rsid w:val="00365C05"/>
    <w:rsid w:val="00365CCC"/>
    <w:rsid w:val="00365DE9"/>
    <w:rsid w:val="00365E88"/>
    <w:rsid w:val="00365EE9"/>
    <w:rsid w:val="00365EF3"/>
    <w:rsid w:val="00365F86"/>
    <w:rsid w:val="00365FF6"/>
    <w:rsid w:val="0036603C"/>
    <w:rsid w:val="0036604D"/>
    <w:rsid w:val="0036608E"/>
    <w:rsid w:val="00366173"/>
    <w:rsid w:val="00366185"/>
    <w:rsid w:val="003661D9"/>
    <w:rsid w:val="00366216"/>
    <w:rsid w:val="003662D5"/>
    <w:rsid w:val="0036636D"/>
    <w:rsid w:val="003664A6"/>
    <w:rsid w:val="0036650E"/>
    <w:rsid w:val="00366624"/>
    <w:rsid w:val="00366758"/>
    <w:rsid w:val="003669A1"/>
    <w:rsid w:val="003669AF"/>
    <w:rsid w:val="003669DA"/>
    <w:rsid w:val="00366A16"/>
    <w:rsid w:val="00366B18"/>
    <w:rsid w:val="00366BAB"/>
    <w:rsid w:val="00366C2E"/>
    <w:rsid w:val="00366DB6"/>
    <w:rsid w:val="00366DDF"/>
    <w:rsid w:val="00366E7D"/>
    <w:rsid w:val="00366FD3"/>
    <w:rsid w:val="00367058"/>
    <w:rsid w:val="003672AA"/>
    <w:rsid w:val="003672E6"/>
    <w:rsid w:val="00367325"/>
    <w:rsid w:val="0036743A"/>
    <w:rsid w:val="00367526"/>
    <w:rsid w:val="0036758D"/>
    <w:rsid w:val="00367612"/>
    <w:rsid w:val="003676B3"/>
    <w:rsid w:val="0036778D"/>
    <w:rsid w:val="003677A3"/>
    <w:rsid w:val="0036781E"/>
    <w:rsid w:val="00367895"/>
    <w:rsid w:val="00367976"/>
    <w:rsid w:val="00367A50"/>
    <w:rsid w:val="00367AF0"/>
    <w:rsid w:val="00367B48"/>
    <w:rsid w:val="00367B56"/>
    <w:rsid w:val="00367D23"/>
    <w:rsid w:val="00367DB6"/>
    <w:rsid w:val="00367EAA"/>
    <w:rsid w:val="00367EF0"/>
    <w:rsid w:val="003700CC"/>
    <w:rsid w:val="00370169"/>
    <w:rsid w:val="003704ED"/>
    <w:rsid w:val="0037050B"/>
    <w:rsid w:val="00370537"/>
    <w:rsid w:val="00370710"/>
    <w:rsid w:val="00370819"/>
    <w:rsid w:val="00370A00"/>
    <w:rsid w:val="00370ACA"/>
    <w:rsid w:val="00370D66"/>
    <w:rsid w:val="00370D91"/>
    <w:rsid w:val="00370F8F"/>
    <w:rsid w:val="00370F9D"/>
    <w:rsid w:val="0037102F"/>
    <w:rsid w:val="003710A6"/>
    <w:rsid w:val="00371284"/>
    <w:rsid w:val="003712D4"/>
    <w:rsid w:val="003712D5"/>
    <w:rsid w:val="00371367"/>
    <w:rsid w:val="00371620"/>
    <w:rsid w:val="0037163F"/>
    <w:rsid w:val="003716C7"/>
    <w:rsid w:val="00371735"/>
    <w:rsid w:val="0037175F"/>
    <w:rsid w:val="003718E4"/>
    <w:rsid w:val="003719A9"/>
    <w:rsid w:val="003719B7"/>
    <w:rsid w:val="00371A6D"/>
    <w:rsid w:val="00371AE0"/>
    <w:rsid w:val="00371B76"/>
    <w:rsid w:val="00371BB5"/>
    <w:rsid w:val="00371BC3"/>
    <w:rsid w:val="00371C66"/>
    <w:rsid w:val="00371D8A"/>
    <w:rsid w:val="00371EB9"/>
    <w:rsid w:val="00372043"/>
    <w:rsid w:val="00372050"/>
    <w:rsid w:val="00372112"/>
    <w:rsid w:val="00372367"/>
    <w:rsid w:val="0037247F"/>
    <w:rsid w:val="003724E1"/>
    <w:rsid w:val="00372509"/>
    <w:rsid w:val="0037261B"/>
    <w:rsid w:val="00372678"/>
    <w:rsid w:val="003726AD"/>
    <w:rsid w:val="003726D3"/>
    <w:rsid w:val="003726F6"/>
    <w:rsid w:val="0037278D"/>
    <w:rsid w:val="00372970"/>
    <w:rsid w:val="003729AD"/>
    <w:rsid w:val="00372A51"/>
    <w:rsid w:val="00372AB5"/>
    <w:rsid w:val="00372B35"/>
    <w:rsid w:val="00372BBD"/>
    <w:rsid w:val="00372BEE"/>
    <w:rsid w:val="00372CBF"/>
    <w:rsid w:val="00372D0F"/>
    <w:rsid w:val="00372D34"/>
    <w:rsid w:val="00372DD3"/>
    <w:rsid w:val="00372EB5"/>
    <w:rsid w:val="00372F16"/>
    <w:rsid w:val="00372F8B"/>
    <w:rsid w:val="00372FDE"/>
    <w:rsid w:val="0037315F"/>
    <w:rsid w:val="0037316A"/>
    <w:rsid w:val="00373222"/>
    <w:rsid w:val="00373390"/>
    <w:rsid w:val="003733BA"/>
    <w:rsid w:val="0037342E"/>
    <w:rsid w:val="00373487"/>
    <w:rsid w:val="003734D5"/>
    <w:rsid w:val="003734FD"/>
    <w:rsid w:val="00373568"/>
    <w:rsid w:val="0037359A"/>
    <w:rsid w:val="003735E9"/>
    <w:rsid w:val="00373605"/>
    <w:rsid w:val="00373652"/>
    <w:rsid w:val="003736E6"/>
    <w:rsid w:val="0037385A"/>
    <w:rsid w:val="003738B2"/>
    <w:rsid w:val="003738F2"/>
    <w:rsid w:val="0037390D"/>
    <w:rsid w:val="00373A24"/>
    <w:rsid w:val="00373A40"/>
    <w:rsid w:val="00373B55"/>
    <w:rsid w:val="00373B5A"/>
    <w:rsid w:val="00373F37"/>
    <w:rsid w:val="0037425C"/>
    <w:rsid w:val="0037427D"/>
    <w:rsid w:val="003743A3"/>
    <w:rsid w:val="00374495"/>
    <w:rsid w:val="0037457F"/>
    <w:rsid w:val="003745E6"/>
    <w:rsid w:val="00374688"/>
    <w:rsid w:val="0037478B"/>
    <w:rsid w:val="00374891"/>
    <w:rsid w:val="0037498D"/>
    <w:rsid w:val="00374A36"/>
    <w:rsid w:val="00374AE4"/>
    <w:rsid w:val="00374B46"/>
    <w:rsid w:val="00374BF0"/>
    <w:rsid w:val="00374DB8"/>
    <w:rsid w:val="00374DDA"/>
    <w:rsid w:val="00374E38"/>
    <w:rsid w:val="00374E39"/>
    <w:rsid w:val="00374E9B"/>
    <w:rsid w:val="00374EE2"/>
    <w:rsid w:val="00375039"/>
    <w:rsid w:val="00375128"/>
    <w:rsid w:val="0037527A"/>
    <w:rsid w:val="0037536D"/>
    <w:rsid w:val="00375451"/>
    <w:rsid w:val="00375688"/>
    <w:rsid w:val="003756A9"/>
    <w:rsid w:val="003756D7"/>
    <w:rsid w:val="0037572B"/>
    <w:rsid w:val="003757B4"/>
    <w:rsid w:val="003757D3"/>
    <w:rsid w:val="003757E3"/>
    <w:rsid w:val="003758BD"/>
    <w:rsid w:val="003759CA"/>
    <w:rsid w:val="003759DD"/>
    <w:rsid w:val="00375A2B"/>
    <w:rsid w:val="00375BF9"/>
    <w:rsid w:val="00375C18"/>
    <w:rsid w:val="00375C2B"/>
    <w:rsid w:val="00375CFC"/>
    <w:rsid w:val="00375D5E"/>
    <w:rsid w:val="00375D84"/>
    <w:rsid w:val="00375E26"/>
    <w:rsid w:val="00375E87"/>
    <w:rsid w:val="00375EF5"/>
    <w:rsid w:val="00375EF9"/>
    <w:rsid w:val="00375F3A"/>
    <w:rsid w:val="003760AF"/>
    <w:rsid w:val="003760DB"/>
    <w:rsid w:val="00376270"/>
    <w:rsid w:val="0037627D"/>
    <w:rsid w:val="00376312"/>
    <w:rsid w:val="003766E4"/>
    <w:rsid w:val="00376747"/>
    <w:rsid w:val="00376766"/>
    <w:rsid w:val="00376812"/>
    <w:rsid w:val="0037682A"/>
    <w:rsid w:val="003768DF"/>
    <w:rsid w:val="00376988"/>
    <w:rsid w:val="003769BA"/>
    <w:rsid w:val="00376A4F"/>
    <w:rsid w:val="00376A9C"/>
    <w:rsid w:val="00376C0F"/>
    <w:rsid w:val="00376C3E"/>
    <w:rsid w:val="00376CE0"/>
    <w:rsid w:val="00376D56"/>
    <w:rsid w:val="00376EAD"/>
    <w:rsid w:val="00376F8F"/>
    <w:rsid w:val="00376FB3"/>
    <w:rsid w:val="003770AF"/>
    <w:rsid w:val="003770F3"/>
    <w:rsid w:val="00377170"/>
    <w:rsid w:val="0037724B"/>
    <w:rsid w:val="00377261"/>
    <w:rsid w:val="003773B1"/>
    <w:rsid w:val="003773D7"/>
    <w:rsid w:val="0037743C"/>
    <w:rsid w:val="003774DD"/>
    <w:rsid w:val="003774FE"/>
    <w:rsid w:val="0037751E"/>
    <w:rsid w:val="00377664"/>
    <w:rsid w:val="003776CF"/>
    <w:rsid w:val="00377794"/>
    <w:rsid w:val="00377846"/>
    <w:rsid w:val="003778A9"/>
    <w:rsid w:val="00377A84"/>
    <w:rsid w:val="00377BFD"/>
    <w:rsid w:val="00377C12"/>
    <w:rsid w:val="00377CEB"/>
    <w:rsid w:val="00377D4D"/>
    <w:rsid w:val="00377E33"/>
    <w:rsid w:val="00377E72"/>
    <w:rsid w:val="00377F4A"/>
    <w:rsid w:val="00380082"/>
    <w:rsid w:val="003800D3"/>
    <w:rsid w:val="00380195"/>
    <w:rsid w:val="003801A9"/>
    <w:rsid w:val="003801C4"/>
    <w:rsid w:val="00380286"/>
    <w:rsid w:val="003802BD"/>
    <w:rsid w:val="00380375"/>
    <w:rsid w:val="003806C7"/>
    <w:rsid w:val="00380756"/>
    <w:rsid w:val="003807B0"/>
    <w:rsid w:val="00380863"/>
    <w:rsid w:val="00380962"/>
    <w:rsid w:val="00380966"/>
    <w:rsid w:val="0038096B"/>
    <w:rsid w:val="003809CF"/>
    <w:rsid w:val="00380B76"/>
    <w:rsid w:val="00380E34"/>
    <w:rsid w:val="00380EC5"/>
    <w:rsid w:val="00380FB4"/>
    <w:rsid w:val="00380FD5"/>
    <w:rsid w:val="00381103"/>
    <w:rsid w:val="003811A2"/>
    <w:rsid w:val="003811F4"/>
    <w:rsid w:val="0038130D"/>
    <w:rsid w:val="00381409"/>
    <w:rsid w:val="003814A5"/>
    <w:rsid w:val="00381563"/>
    <w:rsid w:val="0038163A"/>
    <w:rsid w:val="00381671"/>
    <w:rsid w:val="0038179B"/>
    <w:rsid w:val="003818BF"/>
    <w:rsid w:val="00381902"/>
    <w:rsid w:val="0038199C"/>
    <w:rsid w:val="00381A48"/>
    <w:rsid w:val="00381A5E"/>
    <w:rsid w:val="00381AF2"/>
    <w:rsid w:val="00381BAE"/>
    <w:rsid w:val="00381C70"/>
    <w:rsid w:val="00381D15"/>
    <w:rsid w:val="00382143"/>
    <w:rsid w:val="003821D6"/>
    <w:rsid w:val="003821FB"/>
    <w:rsid w:val="0038226B"/>
    <w:rsid w:val="003822D4"/>
    <w:rsid w:val="003823D4"/>
    <w:rsid w:val="00382418"/>
    <w:rsid w:val="00382482"/>
    <w:rsid w:val="003825D8"/>
    <w:rsid w:val="003825F6"/>
    <w:rsid w:val="00382650"/>
    <w:rsid w:val="00382665"/>
    <w:rsid w:val="00382711"/>
    <w:rsid w:val="003827F8"/>
    <w:rsid w:val="0038283C"/>
    <w:rsid w:val="003828A5"/>
    <w:rsid w:val="0038291E"/>
    <w:rsid w:val="00382935"/>
    <w:rsid w:val="00382B4D"/>
    <w:rsid w:val="00382BF3"/>
    <w:rsid w:val="00382E58"/>
    <w:rsid w:val="00382E93"/>
    <w:rsid w:val="00382FD9"/>
    <w:rsid w:val="0038306C"/>
    <w:rsid w:val="003830B1"/>
    <w:rsid w:val="003830F0"/>
    <w:rsid w:val="00383132"/>
    <w:rsid w:val="00383170"/>
    <w:rsid w:val="0038317A"/>
    <w:rsid w:val="003833C2"/>
    <w:rsid w:val="0038346A"/>
    <w:rsid w:val="003834CA"/>
    <w:rsid w:val="00383566"/>
    <w:rsid w:val="003835C7"/>
    <w:rsid w:val="00383604"/>
    <w:rsid w:val="0038364E"/>
    <w:rsid w:val="003836C4"/>
    <w:rsid w:val="003837C6"/>
    <w:rsid w:val="0038393B"/>
    <w:rsid w:val="00383A56"/>
    <w:rsid w:val="00383A96"/>
    <w:rsid w:val="00383AC2"/>
    <w:rsid w:val="00383BAE"/>
    <w:rsid w:val="00383BC2"/>
    <w:rsid w:val="00383C61"/>
    <w:rsid w:val="00383C92"/>
    <w:rsid w:val="00383F1F"/>
    <w:rsid w:val="00384048"/>
    <w:rsid w:val="003840D3"/>
    <w:rsid w:val="00384269"/>
    <w:rsid w:val="003843E3"/>
    <w:rsid w:val="00384504"/>
    <w:rsid w:val="0038453E"/>
    <w:rsid w:val="00384547"/>
    <w:rsid w:val="003845BF"/>
    <w:rsid w:val="00384651"/>
    <w:rsid w:val="003848AA"/>
    <w:rsid w:val="003848F8"/>
    <w:rsid w:val="00384B39"/>
    <w:rsid w:val="00384B7E"/>
    <w:rsid w:val="00384B91"/>
    <w:rsid w:val="00384D4F"/>
    <w:rsid w:val="00384E4C"/>
    <w:rsid w:val="00384EB4"/>
    <w:rsid w:val="00384EFC"/>
    <w:rsid w:val="00384F28"/>
    <w:rsid w:val="00385006"/>
    <w:rsid w:val="0038516E"/>
    <w:rsid w:val="0038519E"/>
    <w:rsid w:val="003851A7"/>
    <w:rsid w:val="00385204"/>
    <w:rsid w:val="00385257"/>
    <w:rsid w:val="00385260"/>
    <w:rsid w:val="00385264"/>
    <w:rsid w:val="0038534D"/>
    <w:rsid w:val="0038541D"/>
    <w:rsid w:val="003854A1"/>
    <w:rsid w:val="003854A3"/>
    <w:rsid w:val="00385509"/>
    <w:rsid w:val="003855A8"/>
    <w:rsid w:val="00385612"/>
    <w:rsid w:val="00385622"/>
    <w:rsid w:val="003856EF"/>
    <w:rsid w:val="00385755"/>
    <w:rsid w:val="0038576A"/>
    <w:rsid w:val="00385869"/>
    <w:rsid w:val="00385961"/>
    <w:rsid w:val="003859AA"/>
    <w:rsid w:val="003859C7"/>
    <w:rsid w:val="003859F0"/>
    <w:rsid w:val="00385ACE"/>
    <w:rsid w:val="00385B6F"/>
    <w:rsid w:val="00385C1A"/>
    <w:rsid w:val="00385C38"/>
    <w:rsid w:val="00385D72"/>
    <w:rsid w:val="00385DA2"/>
    <w:rsid w:val="00385F8C"/>
    <w:rsid w:val="0038601D"/>
    <w:rsid w:val="0038606C"/>
    <w:rsid w:val="00386116"/>
    <w:rsid w:val="00386127"/>
    <w:rsid w:val="003862B0"/>
    <w:rsid w:val="003863FA"/>
    <w:rsid w:val="0038644F"/>
    <w:rsid w:val="0038646C"/>
    <w:rsid w:val="00386483"/>
    <w:rsid w:val="003864AF"/>
    <w:rsid w:val="003865A0"/>
    <w:rsid w:val="003865CB"/>
    <w:rsid w:val="00386735"/>
    <w:rsid w:val="0038678D"/>
    <w:rsid w:val="003867CF"/>
    <w:rsid w:val="00386813"/>
    <w:rsid w:val="00386938"/>
    <w:rsid w:val="00386B35"/>
    <w:rsid w:val="00386BE4"/>
    <w:rsid w:val="00386C2A"/>
    <w:rsid w:val="00386C3E"/>
    <w:rsid w:val="00386CBA"/>
    <w:rsid w:val="00386CCA"/>
    <w:rsid w:val="00386CEC"/>
    <w:rsid w:val="00386D39"/>
    <w:rsid w:val="00386DC7"/>
    <w:rsid w:val="00386DD5"/>
    <w:rsid w:val="00386E14"/>
    <w:rsid w:val="00386E6B"/>
    <w:rsid w:val="00386EC9"/>
    <w:rsid w:val="00386F03"/>
    <w:rsid w:val="0038701E"/>
    <w:rsid w:val="00387051"/>
    <w:rsid w:val="00387060"/>
    <w:rsid w:val="00387065"/>
    <w:rsid w:val="00387088"/>
    <w:rsid w:val="003870A8"/>
    <w:rsid w:val="003871CA"/>
    <w:rsid w:val="00387282"/>
    <w:rsid w:val="00387414"/>
    <w:rsid w:val="00387557"/>
    <w:rsid w:val="0038771C"/>
    <w:rsid w:val="0038774E"/>
    <w:rsid w:val="003877EE"/>
    <w:rsid w:val="0038784F"/>
    <w:rsid w:val="00387919"/>
    <w:rsid w:val="0038798F"/>
    <w:rsid w:val="003879A9"/>
    <w:rsid w:val="00387B78"/>
    <w:rsid w:val="00387C06"/>
    <w:rsid w:val="00387C39"/>
    <w:rsid w:val="00387C44"/>
    <w:rsid w:val="00387E3D"/>
    <w:rsid w:val="00387E47"/>
    <w:rsid w:val="00387F65"/>
    <w:rsid w:val="00387FDA"/>
    <w:rsid w:val="00387FE3"/>
    <w:rsid w:val="00390110"/>
    <w:rsid w:val="00390131"/>
    <w:rsid w:val="003901D4"/>
    <w:rsid w:val="00390435"/>
    <w:rsid w:val="0039052C"/>
    <w:rsid w:val="00390548"/>
    <w:rsid w:val="003906A4"/>
    <w:rsid w:val="003906EB"/>
    <w:rsid w:val="00390849"/>
    <w:rsid w:val="003908B9"/>
    <w:rsid w:val="003908E6"/>
    <w:rsid w:val="003908E9"/>
    <w:rsid w:val="0039091E"/>
    <w:rsid w:val="0039096F"/>
    <w:rsid w:val="003909CC"/>
    <w:rsid w:val="00390A06"/>
    <w:rsid w:val="00390A26"/>
    <w:rsid w:val="00390A5B"/>
    <w:rsid w:val="00390B5B"/>
    <w:rsid w:val="00390C58"/>
    <w:rsid w:val="00390C8D"/>
    <w:rsid w:val="00390CE2"/>
    <w:rsid w:val="00390F80"/>
    <w:rsid w:val="00390FB4"/>
    <w:rsid w:val="00390FDA"/>
    <w:rsid w:val="0039113E"/>
    <w:rsid w:val="003912EA"/>
    <w:rsid w:val="00391389"/>
    <w:rsid w:val="0039138F"/>
    <w:rsid w:val="003913D7"/>
    <w:rsid w:val="00391401"/>
    <w:rsid w:val="00391519"/>
    <w:rsid w:val="003915A8"/>
    <w:rsid w:val="0039162C"/>
    <w:rsid w:val="003916DF"/>
    <w:rsid w:val="00391850"/>
    <w:rsid w:val="003919C0"/>
    <w:rsid w:val="00391A51"/>
    <w:rsid w:val="00391A89"/>
    <w:rsid w:val="00391AF8"/>
    <w:rsid w:val="00391BD0"/>
    <w:rsid w:val="00391C60"/>
    <w:rsid w:val="00391C97"/>
    <w:rsid w:val="00391E57"/>
    <w:rsid w:val="00391FF1"/>
    <w:rsid w:val="00392013"/>
    <w:rsid w:val="0039201B"/>
    <w:rsid w:val="00392054"/>
    <w:rsid w:val="00392139"/>
    <w:rsid w:val="00392164"/>
    <w:rsid w:val="00392194"/>
    <w:rsid w:val="003921A2"/>
    <w:rsid w:val="003921BD"/>
    <w:rsid w:val="003921F7"/>
    <w:rsid w:val="0039222F"/>
    <w:rsid w:val="0039227E"/>
    <w:rsid w:val="003922CB"/>
    <w:rsid w:val="00392449"/>
    <w:rsid w:val="00392478"/>
    <w:rsid w:val="00392479"/>
    <w:rsid w:val="00392526"/>
    <w:rsid w:val="003925C3"/>
    <w:rsid w:val="00392606"/>
    <w:rsid w:val="00392611"/>
    <w:rsid w:val="003926A4"/>
    <w:rsid w:val="00392775"/>
    <w:rsid w:val="003928B0"/>
    <w:rsid w:val="00392B06"/>
    <w:rsid w:val="00392B47"/>
    <w:rsid w:val="00392C30"/>
    <w:rsid w:val="00392D57"/>
    <w:rsid w:val="00392DAC"/>
    <w:rsid w:val="00392DFB"/>
    <w:rsid w:val="00392EAE"/>
    <w:rsid w:val="00392FEA"/>
    <w:rsid w:val="00393099"/>
    <w:rsid w:val="003930B3"/>
    <w:rsid w:val="003930D7"/>
    <w:rsid w:val="003930D8"/>
    <w:rsid w:val="00393168"/>
    <w:rsid w:val="0039354D"/>
    <w:rsid w:val="0039359F"/>
    <w:rsid w:val="003936AA"/>
    <w:rsid w:val="00393805"/>
    <w:rsid w:val="00393816"/>
    <w:rsid w:val="0039391A"/>
    <w:rsid w:val="003939A3"/>
    <w:rsid w:val="003939D1"/>
    <w:rsid w:val="003939FA"/>
    <w:rsid w:val="00393A46"/>
    <w:rsid w:val="00393C8D"/>
    <w:rsid w:val="00393C9C"/>
    <w:rsid w:val="00393D08"/>
    <w:rsid w:val="00393DF1"/>
    <w:rsid w:val="00393EA7"/>
    <w:rsid w:val="00393ED8"/>
    <w:rsid w:val="00393F5C"/>
    <w:rsid w:val="00393FA1"/>
    <w:rsid w:val="00393FFD"/>
    <w:rsid w:val="0039401B"/>
    <w:rsid w:val="0039403C"/>
    <w:rsid w:val="00394076"/>
    <w:rsid w:val="00394108"/>
    <w:rsid w:val="00394136"/>
    <w:rsid w:val="00394161"/>
    <w:rsid w:val="0039418E"/>
    <w:rsid w:val="0039430E"/>
    <w:rsid w:val="00394332"/>
    <w:rsid w:val="003943B2"/>
    <w:rsid w:val="003943EE"/>
    <w:rsid w:val="00394423"/>
    <w:rsid w:val="0039449C"/>
    <w:rsid w:val="003944F7"/>
    <w:rsid w:val="003945C9"/>
    <w:rsid w:val="003946D5"/>
    <w:rsid w:val="00394813"/>
    <w:rsid w:val="00394878"/>
    <w:rsid w:val="003948C8"/>
    <w:rsid w:val="003949AD"/>
    <w:rsid w:val="00394B2D"/>
    <w:rsid w:val="00394C4C"/>
    <w:rsid w:val="00394CFD"/>
    <w:rsid w:val="00394D16"/>
    <w:rsid w:val="00394D51"/>
    <w:rsid w:val="00394E24"/>
    <w:rsid w:val="00394F0F"/>
    <w:rsid w:val="0039504B"/>
    <w:rsid w:val="00395099"/>
    <w:rsid w:val="003952F8"/>
    <w:rsid w:val="00395523"/>
    <w:rsid w:val="0039554A"/>
    <w:rsid w:val="00395550"/>
    <w:rsid w:val="003955BE"/>
    <w:rsid w:val="0039561A"/>
    <w:rsid w:val="0039577F"/>
    <w:rsid w:val="003958E1"/>
    <w:rsid w:val="00395917"/>
    <w:rsid w:val="0039593E"/>
    <w:rsid w:val="00395A16"/>
    <w:rsid w:val="00395A1E"/>
    <w:rsid w:val="00395A57"/>
    <w:rsid w:val="00395AA6"/>
    <w:rsid w:val="00395F1B"/>
    <w:rsid w:val="003960AE"/>
    <w:rsid w:val="003960D5"/>
    <w:rsid w:val="003961D2"/>
    <w:rsid w:val="00396274"/>
    <w:rsid w:val="003962B3"/>
    <w:rsid w:val="00396329"/>
    <w:rsid w:val="0039649F"/>
    <w:rsid w:val="003964BF"/>
    <w:rsid w:val="0039652B"/>
    <w:rsid w:val="003965F2"/>
    <w:rsid w:val="003966BB"/>
    <w:rsid w:val="00396781"/>
    <w:rsid w:val="00396782"/>
    <w:rsid w:val="0039689A"/>
    <w:rsid w:val="00396914"/>
    <w:rsid w:val="00396958"/>
    <w:rsid w:val="00396A56"/>
    <w:rsid w:val="00396AD9"/>
    <w:rsid w:val="00396BA1"/>
    <w:rsid w:val="00396D39"/>
    <w:rsid w:val="00396E2B"/>
    <w:rsid w:val="00396E37"/>
    <w:rsid w:val="00396EE6"/>
    <w:rsid w:val="00396EFF"/>
    <w:rsid w:val="00396F61"/>
    <w:rsid w:val="003970FD"/>
    <w:rsid w:val="003971AF"/>
    <w:rsid w:val="003971E0"/>
    <w:rsid w:val="003973AB"/>
    <w:rsid w:val="00397409"/>
    <w:rsid w:val="003974DA"/>
    <w:rsid w:val="00397585"/>
    <w:rsid w:val="00397620"/>
    <w:rsid w:val="003976F1"/>
    <w:rsid w:val="003977B3"/>
    <w:rsid w:val="00397887"/>
    <w:rsid w:val="003978FE"/>
    <w:rsid w:val="00397900"/>
    <w:rsid w:val="00397999"/>
    <w:rsid w:val="00397A0E"/>
    <w:rsid w:val="00397A86"/>
    <w:rsid w:val="00397CF4"/>
    <w:rsid w:val="00397D73"/>
    <w:rsid w:val="00397D97"/>
    <w:rsid w:val="00397E0E"/>
    <w:rsid w:val="00397F67"/>
    <w:rsid w:val="00397FE9"/>
    <w:rsid w:val="003A004D"/>
    <w:rsid w:val="003A00D7"/>
    <w:rsid w:val="003A01D3"/>
    <w:rsid w:val="003A047A"/>
    <w:rsid w:val="003A0482"/>
    <w:rsid w:val="003A0602"/>
    <w:rsid w:val="003A06B9"/>
    <w:rsid w:val="003A078D"/>
    <w:rsid w:val="003A083B"/>
    <w:rsid w:val="003A0858"/>
    <w:rsid w:val="003A0893"/>
    <w:rsid w:val="003A08A6"/>
    <w:rsid w:val="003A0904"/>
    <w:rsid w:val="003A094D"/>
    <w:rsid w:val="003A0B6C"/>
    <w:rsid w:val="003A0C24"/>
    <w:rsid w:val="003A0F81"/>
    <w:rsid w:val="003A10ED"/>
    <w:rsid w:val="003A1160"/>
    <w:rsid w:val="003A1195"/>
    <w:rsid w:val="003A11EB"/>
    <w:rsid w:val="003A128B"/>
    <w:rsid w:val="003A128E"/>
    <w:rsid w:val="003A14BB"/>
    <w:rsid w:val="003A154A"/>
    <w:rsid w:val="003A157A"/>
    <w:rsid w:val="003A15A1"/>
    <w:rsid w:val="003A16DE"/>
    <w:rsid w:val="003A16E4"/>
    <w:rsid w:val="003A1718"/>
    <w:rsid w:val="003A19F2"/>
    <w:rsid w:val="003A1A66"/>
    <w:rsid w:val="003A1AF6"/>
    <w:rsid w:val="003A1B32"/>
    <w:rsid w:val="003A1BFB"/>
    <w:rsid w:val="003A1CA4"/>
    <w:rsid w:val="003A1CB3"/>
    <w:rsid w:val="003A1D72"/>
    <w:rsid w:val="003A1D78"/>
    <w:rsid w:val="003A1DD1"/>
    <w:rsid w:val="003A1DF8"/>
    <w:rsid w:val="003A1DFE"/>
    <w:rsid w:val="003A1E6F"/>
    <w:rsid w:val="003A1F04"/>
    <w:rsid w:val="003A1F64"/>
    <w:rsid w:val="003A2010"/>
    <w:rsid w:val="003A217D"/>
    <w:rsid w:val="003A21D1"/>
    <w:rsid w:val="003A21D5"/>
    <w:rsid w:val="003A21D7"/>
    <w:rsid w:val="003A21E0"/>
    <w:rsid w:val="003A21FC"/>
    <w:rsid w:val="003A229E"/>
    <w:rsid w:val="003A229F"/>
    <w:rsid w:val="003A234A"/>
    <w:rsid w:val="003A2365"/>
    <w:rsid w:val="003A2473"/>
    <w:rsid w:val="003A247A"/>
    <w:rsid w:val="003A2522"/>
    <w:rsid w:val="003A25FB"/>
    <w:rsid w:val="003A2682"/>
    <w:rsid w:val="003A275B"/>
    <w:rsid w:val="003A276A"/>
    <w:rsid w:val="003A2854"/>
    <w:rsid w:val="003A2882"/>
    <w:rsid w:val="003A289B"/>
    <w:rsid w:val="003A291E"/>
    <w:rsid w:val="003A2944"/>
    <w:rsid w:val="003A2B30"/>
    <w:rsid w:val="003A2CCE"/>
    <w:rsid w:val="003A2CF2"/>
    <w:rsid w:val="003A2E1A"/>
    <w:rsid w:val="003A2F46"/>
    <w:rsid w:val="003A2F9F"/>
    <w:rsid w:val="003A2FB5"/>
    <w:rsid w:val="003A2FC9"/>
    <w:rsid w:val="003A2FF3"/>
    <w:rsid w:val="003A30E2"/>
    <w:rsid w:val="003A311C"/>
    <w:rsid w:val="003A3238"/>
    <w:rsid w:val="003A3349"/>
    <w:rsid w:val="003A335A"/>
    <w:rsid w:val="003A3491"/>
    <w:rsid w:val="003A355C"/>
    <w:rsid w:val="003A3608"/>
    <w:rsid w:val="003A362E"/>
    <w:rsid w:val="003A3690"/>
    <w:rsid w:val="003A36EE"/>
    <w:rsid w:val="003A39B2"/>
    <w:rsid w:val="003A3AD9"/>
    <w:rsid w:val="003A3B49"/>
    <w:rsid w:val="003A3BA3"/>
    <w:rsid w:val="003A3BFE"/>
    <w:rsid w:val="003A3CF8"/>
    <w:rsid w:val="003A3EAF"/>
    <w:rsid w:val="003A3EEF"/>
    <w:rsid w:val="003A409E"/>
    <w:rsid w:val="003A40B2"/>
    <w:rsid w:val="003A4140"/>
    <w:rsid w:val="003A4308"/>
    <w:rsid w:val="003A433C"/>
    <w:rsid w:val="003A435F"/>
    <w:rsid w:val="003A43A4"/>
    <w:rsid w:val="003A43C0"/>
    <w:rsid w:val="003A441E"/>
    <w:rsid w:val="003A4495"/>
    <w:rsid w:val="003A4593"/>
    <w:rsid w:val="003A45A2"/>
    <w:rsid w:val="003A471E"/>
    <w:rsid w:val="003A47EE"/>
    <w:rsid w:val="003A4859"/>
    <w:rsid w:val="003A48D1"/>
    <w:rsid w:val="003A4979"/>
    <w:rsid w:val="003A49C7"/>
    <w:rsid w:val="003A4A16"/>
    <w:rsid w:val="003A4ABC"/>
    <w:rsid w:val="003A4C0F"/>
    <w:rsid w:val="003A4D5C"/>
    <w:rsid w:val="003A4DFE"/>
    <w:rsid w:val="003A4EAB"/>
    <w:rsid w:val="003A4EE1"/>
    <w:rsid w:val="003A4EE4"/>
    <w:rsid w:val="003A4F23"/>
    <w:rsid w:val="003A4F9C"/>
    <w:rsid w:val="003A4FC8"/>
    <w:rsid w:val="003A5104"/>
    <w:rsid w:val="003A5467"/>
    <w:rsid w:val="003A5471"/>
    <w:rsid w:val="003A5474"/>
    <w:rsid w:val="003A551F"/>
    <w:rsid w:val="003A5558"/>
    <w:rsid w:val="003A560A"/>
    <w:rsid w:val="003A56FB"/>
    <w:rsid w:val="003A5774"/>
    <w:rsid w:val="003A5A92"/>
    <w:rsid w:val="003A5B30"/>
    <w:rsid w:val="003A5B6A"/>
    <w:rsid w:val="003A5B89"/>
    <w:rsid w:val="003A5BB6"/>
    <w:rsid w:val="003A5C2F"/>
    <w:rsid w:val="003A5D0C"/>
    <w:rsid w:val="003A5DD3"/>
    <w:rsid w:val="003A5E4F"/>
    <w:rsid w:val="003A5E8E"/>
    <w:rsid w:val="003A60AD"/>
    <w:rsid w:val="003A60E7"/>
    <w:rsid w:val="003A6125"/>
    <w:rsid w:val="003A619D"/>
    <w:rsid w:val="003A61CA"/>
    <w:rsid w:val="003A623F"/>
    <w:rsid w:val="003A634D"/>
    <w:rsid w:val="003A644B"/>
    <w:rsid w:val="003A65BC"/>
    <w:rsid w:val="003A65EF"/>
    <w:rsid w:val="003A6638"/>
    <w:rsid w:val="003A66B0"/>
    <w:rsid w:val="003A6701"/>
    <w:rsid w:val="003A67EA"/>
    <w:rsid w:val="003A68FB"/>
    <w:rsid w:val="003A69DC"/>
    <w:rsid w:val="003A69ED"/>
    <w:rsid w:val="003A6A20"/>
    <w:rsid w:val="003A6A92"/>
    <w:rsid w:val="003A6B17"/>
    <w:rsid w:val="003A6B21"/>
    <w:rsid w:val="003A6C65"/>
    <w:rsid w:val="003A6EA0"/>
    <w:rsid w:val="003A6EBF"/>
    <w:rsid w:val="003A6EEF"/>
    <w:rsid w:val="003A700F"/>
    <w:rsid w:val="003A70D0"/>
    <w:rsid w:val="003A70FA"/>
    <w:rsid w:val="003A710A"/>
    <w:rsid w:val="003A7159"/>
    <w:rsid w:val="003A7163"/>
    <w:rsid w:val="003A727B"/>
    <w:rsid w:val="003A73F9"/>
    <w:rsid w:val="003A7425"/>
    <w:rsid w:val="003A751B"/>
    <w:rsid w:val="003A755B"/>
    <w:rsid w:val="003A7592"/>
    <w:rsid w:val="003A766C"/>
    <w:rsid w:val="003A7759"/>
    <w:rsid w:val="003A7894"/>
    <w:rsid w:val="003A78F2"/>
    <w:rsid w:val="003A7922"/>
    <w:rsid w:val="003A7953"/>
    <w:rsid w:val="003A7986"/>
    <w:rsid w:val="003A79DC"/>
    <w:rsid w:val="003A79E3"/>
    <w:rsid w:val="003A7A30"/>
    <w:rsid w:val="003A7A3C"/>
    <w:rsid w:val="003A7B17"/>
    <w:rsid w:val="003A7CD9"/>
    <w:rsid w:val="003A7CF6"/>
    <w:rsid w:val="003A7F83"/>
    <w:rsid w:val="003A7FD6"/>
    <w:rsid w:val="003B0029"/>
    <w:rsid w:val="003B009F"/>
    <w:rsid w:val="003B0125"/>
    <w:rsid w:val="003B014B"/>
    <w:rsid w:val="003B0388"/>
    <w:rsid w:val="003B0435"/>
    <w:rsid w:val="003B048A"/>
    <w:rsid w:val="003B04A3"/>
    <w:rsid w:val="003B04B4"/>
    <w:rsid w:val="003B04D1"/>
    <w:rsid w:val="003B0536"/>
    <w:rsid w:val="003B062F"/>
    <w:rsid w:val="003B064F"/>
    <w:rsid w:val="003B06F1"/>
    <w:rsid w:val="003B07DC"/>
    <w:rsid w:val="003B0918"/>
    <w:rsid w:val="003B0AE6"/>
    <w:rsid w:val="003B0B8F"/>
    <w:rsid w:val="003B0D0B"/>
    <w:rsid w:val="003B0DC0"/>
    <w:rsid w:val="003B0E15"/>
    <w:rsid w:val="003B0F3C"/>
    <w:rsid w:val="003B100E"/>
    <w:rsid w:val="003B1111"/>
    <w:rsid w:val="003B1197"/>
    <w:rsid w:val="003B11B9"/>
    <w:rsid w:val="003B1277"/>
    <w:rsid w:val="003B13FC"/>
    <w:rsid w:val="003B1401"/>
    <w:rsid w:val="003B14C2"/>
    <w:rsid w:val="003B1660"/>
    <w:rsid w:val="003B1752"/>
    <w:rsid w:val="003B17D8"/>
    <w:rsid w:val="003B185D"/>
    <w:rsid w:val="003B1879"/>
    <w:rsid w:val="003B19B6"/>
    <w:rsid w:val="003B1B4D"/>
    <w:rsid w:val="003B1B6E"/>
    <w:rsid w:val="003B1C28"/>
    <w:rsid w:val="003B1D4A"/>
    <w:rsid w:val="003B1D54"/>
    <w:rsid w:val="003B1E0C"/>
    <w:rsid w:val="003B1E7C"/>
    <w:rsid w:val="003B1F4D"/>
    <w:rsid w:val="003B1FAC"/>
    <w:rsid w:val="003B2240"/>
    <w:rsid w:val="003B22A6"/>
    <w:rsid w:val="003B2317"/>
    <w:rsid w:val="003B2383"/>
    <w:rsid w:val="003B23C2"/>
    <w:rsid w:val="003B2495"/>
    <w:rsid w:val="003B24D6"/>
    <w:rsid w:val="003B2517"/>
    <w:rsid w:val="003B258D"/>
    <w:rsid w:val="003B2607"/>
    <w:rsid w:val="003B26FA"/>
    <w:rsid w:val="003B27E0"/>
    <w:rsid w:val="003B283B"/>
    <w:rsid w:val="003B2872"/>
    <w:rsid w:val="003B28FE"/>
    <w:rsid w:val="003B292C"/>
    <w:rsid w:val="003B2AB8"/>
    <w:rsid w:val="003B2BC8"/>
    <w:rsid w:val="003B2C37"/>
    <w:rsid w:val="003B2C4A"/>
    <w:rsid w:val="003B2D34"/>
    <w:rsid w:val="003B2E94"/>
    <w:rsid w:val="003B2FFD"/>
    <w:rsid w:val="003B3001"/>
    <w:rsid w:val="003B3045"/>
    <w:rsid w:val="003B30E1"/>
    <w:rsid w:val="003B313B"/>
    <w:rsid w:val="003B314D"/>
    <w:rsid w:val="003B318C"/>
    <w:rsid w:val="003B3214"/>
    <w:rsid w:val="003B32BD"/>
    <w:rsid w:val="003B332A"/>
    <w:rsid w:val="003B3464"/>
    <w:rsid w:val="003B34BC"/>
    <w:rsid w:val="003B353B"/>
    <w:rsid w:val="003B35C1"/>
    <w:rsid w:val="003B3620"/>
    <w:rsid w:val="003B3671"/>
    <w:rsid w:val="003B377B"/>
    <w:rsid w:val="003B389B"/>
    <w:rsid w:val="003B3913"/>
    <w:rsid w:val="003B3AF2"/>
    <w:rsid w:val="003B3C83"/>
    <w:rsid w:val="003B3CCB"/>
    <w:rsid w:val="003B3CFE"/>
    <w:rsid w:val="003B3E58"/>
    <w:rsid w:val="003B3F0A"/>
    <w:rsid w:val="003B3F17"/>
    <w:rsid w:val="003B3F38"/>
    <w:rsid w:val="003B3FFA"/>
    <w:rsid w:val="003B4102"/>
    <w:rsid w:val="003B416C"/>
    <w:rsid w:val="003B416E"/>
    <w:rsid w:val="003B41AE"/>
    <w:rsid w:val="003B4221"/>
    <w:rsid w:val="003B43B7"/>
    <w:rsid w:val="003B43C3"/>
    <w:rsid w:val="003B4435"/>
    <w:rsid w:val="003B47C9"/>
    <w:rsid w:val="003B48F5"/>
    <w:rsid w:val="003B4958"/>
    <w:rsid w:val="003B4A16"/>
    <w:rsid w:val="003B4A58"/>
    <w:rsid w:val="003B4AE6"/>
    <w:rsid w:val="003B4B6B"/>
    <w:rsid w:val="003B4BE9"/>
    <w:rsid w:val="003B4CBB"/>
    <w:rsid w:val="003B4D4C"/>
    <w:rsid w:val="003B4D5A"/>
    <w:rsid w:val="003B4D87"/>
    <w:rsid w:val="003B4E5D"/>
    <w:rsid w:val="003B4FA5"/>
    <w:rsid w:val="003B5064"/>
    <w:rsid w:val="003B506E"/>
    <w:rsid w:val="003B507E"/>
    <w:rsid w:val="003B50CB"/>
    <w:rsid w:val="003B521C"/>
    <w:rsid w:val="003B5605"/>
    <w:rsid w:val="003B56CF"/>
    <w:rsid w:val="003B593A"/>
    <w:rsid w:val="003B5996"/>
    <w:rsid w:val="003B5A38"/>
    <w:rsid w:val="003B5A8E"/>
    <w:rsid w:val="003B5AA3"/>
    <w:rsid w:val="003B5B0F"/>
    <w:rsid w:val="003B5B36"/>
    <w:rsid w:val="003B5DD4"/>
    <w:rsid w:val="003B5E86"/>
    <w:rsid w:val="003B5ED5"/>
    <w:rsid w:val="003B5F1C"/>
    <w:rsid w:val="003B5FE4"/>
    <w:rsid w:val="003B60C1"/>
    <w:rsid w:val="003B618C"/>
    <w:rsid w:val="003B619C"/>
    <w:rsid w:val="003B61AE"/>
    <w:rsid w:val="003B6229"/>
    <w:rsid w:val="003B6233"/>
    <w:rsid w:val="003B6299"/>
    <w:rsid w:val="003B62A1"/>
    <w:rsid w:val="003B6340"/>
    <w:rsid w:val="003B6612"/>
    <w:rsid w:val="003B6655"/>
    <w:rsid w:val="003B6792"/>
    <w:rsid w:val="003B6890"/>
    <w:rsid w:val="003B6AD1"/>
    <w:rsid w:val="003B6AD3"/>
    <w:rsid w:val="003B6B35"/>
    <w:rsid w:val="003B6C47"/>
    <w:rsid w:val="003B6C66"/>
    <w:rsid w:val="003B6CF0"/>
    <w:rsid w:val="003B6D5F"/>
    <w:rsid w:val="003B6D75"/>
    <w:rsid w:val="003B6DBE"/>
    <w:rsid w:val="003B6DE1"/>
    <w:rsid w:val="003B6E1D"/>
    <w:rsid w:val="003B6EC9"/>
    <w:rsid w:val="003B6F64"/>
    <w:rsid w:val="003B6FF5"/>
    <w:rsid w:val="003B7028"/>
    <w:rsid w:val="003B703A"/>
    <w:rsid w:val="003B714E"/>
    <w:rsid w:val="003B7181"/>
    <w:rsid w:val="003B71EB"/>
    <w:rsid w:val="003B724E"/>
    <w:rsid w:val="003B72F3"/>
    <w:rsid w:val="003B73B3"/>
    <w:rsid w:val="003B7418"/>
    <w:rsid w:val="003B7530"/>
    <w:rsid w:val="003B757D"/>
    <w:rsid w:val="003B77E2"/>
    <w:rsid w:val="003B784E"/>
    <w:rsid w:val="003B79F6"/>
    <w:rsid w:val="003B7A02"/>
    <w:rsid w:val="003B7AD6"/>
    <w:rsid w:val="003B7AE1"/>
    <w:rsid w:val="003B7AFE"/>
    <w:rsid w:val="003B7C27"/>
    <w:rsid w:val="003B7DEC"/>
    <w:rsid w:val="003B7DF6"/>
    <w:rsid w:val="003B7EED"/>
    <w:rsid w:val="003B7FB4"/>
    <w:rsid w:val="003B7FE0"/>
    <w:rsid w:val="003C0174"/>
    <w:rsid w:val="003C0274"/>
    <w:rsid w:val="003C02A2"/>
    <w:rsid w:val="003C034D"/>
    <w:rsid w:val="003C039A"/>
    <w:rsid w:val="003C0445"/>
    <w:rsid w:val="003C063A"/>
    <w:rsid w:val="003C0691"/>
    <w:rsid w:val="003C06D0"/>
    <w:rsid w:val="003C06FA"/>
    <w:rsid w:val="003C0767"/>
    <w:rsid w:val="003C07EA"/>
    <w:rsid w:val="003C08C8"/>
    <w:rsid w:val="003C0A2C"/>
    <w:rsid w:val="003C0A31"/>
    <w:rsid w:val="003C0AEB"/>
    <w:rsid w:val="003C0B90"/>
    <w:rsid w:val="003C0C73"/>
    <w:rsid w:val="003C0C74"/>
    <w:rsid w:val="003C0CA8"/>
    <w:rsid w:val="003C0E4E"/>
    <w:rsid w:val="003C0EE2"/>
    <w:rsid w:val="003C0F1E"/>
    <w:rsid w:val="003C0F2D"/>
    <w:rsid w:val="003C0F8E"/>
    <w:rsid w:val="003C10CE"/>
    <w:rsid w:val="003C1199"/>
    <w:rsid w:val="003C1311"/>
    <w:rsid w:val="003C1373"/>
    <w:rsid w:val="003C153B"/>
    <w:rsid w:val="003C155D"/>
    <w:rsid w:val="003C15FB"/>
    <w:rsid w:val="003C15FD"/>
    <w:rsid w:val="003C16FD"/>
    <w:rsid w:val="003C172E"/>
    <w:rsid w:val="003C18CE"/>
    <w:rsid w:val="003C18F4"/>
    <w:rsid w:val="003C1904"/>
    <w:rsid w:val="003C1AC5"/>
    <w:rsid w:val="003C1AD2"/>
    <w:rsid w:val="003C1BE2"/>
    <w:rsid w:val="003C1C15"/>
    <w:rsid w:val="003C1D3F"/>
    <w:rsid w:val="003C1DD5"/>
    <w:rsid w:val="003C1EC0"/>
    <w:rsid w:val="003C206F"/>
    <w:rsid w:val="003C2169"/>
    <w:rsid w:val="003C21A1"/>
    <w:rsid w:val="003C2282"/>
    <w:rsid w:val="003C22AC"/>
    <w:rsid w:val="003C22BB"/>
    <w:rsid w:val="003C2354"/>
    <w:rsid w:val="003C23BF"/>
    <w:rsid w:val="003C242D"/>
    <w:rsid w:val="003C24DE"/>
    <w:rsid w:val="003C25F9"/>
    <w:rsid w:val="003C2635"/>
    <w:rsid w:val="003C2636"/>
    <w:rsid w:val="003C2733"/>
    <w:rsid w:val="003C2790"/>
    <w:rsid w:val="003C279B"/>
    <w:rsid w:val="003C2892"/>
    <w:rsid w:val="003C28E2"/>
    <w:rsid w:val="003C2A0E"/>
    <w:rsid w:val="003C2B21"/>
    <w:rsid w:val="003C2CBF"/>
    <w:rsid w:val="003C2E20"/>
    <w:rsid w:val="003C2EC9"/>
    <w:rsid w:val="003C2F4F"/>
    <w:rsid w:val="003C315F"/>
    <w:rsid w:val="003C31C6"/>
    <w:rsid w:val="003C3262"/>
    <w:rsid w:val="003C326E"/>
    <w:rsid w:val="003C329F"/>
    <w:rsid w:val="003C32E4"/>
    <w:rsid w:val="003C3326"/>
    <w:rsid w:val="003C338A"/>
    <w:rsid w:val="003C339F"/>
    <w:rsid w:val="003C345B"/>
    <w:rsid w:val="003C34DF"/>
    <w:rsid w:val="003C35FD"/>
    <w:rsid w:val="003C38C8"/>
    <w:rsid w:val="003C397C"/>
    <w:rsid w:val="003C3982"/>
    <w:rsid w:val="003C3AAC"/>
    <w:rsid w:val="003C3B2E"/>
    <w:rsid w:val="003C3B7A"/>
    <w:rsid w:val="003C3C18"/>
    <w:rsid w:val="003C3C50"/>
    <w:rsid w:val="003C3CBD"/>
    <w:rsid w:val="003C3D90"/>
    <w:rsid w:val="003C3E0C"/>
    <w:rsid w:val="003C3E3B"/>
    <w:rsid w:val="003C3EF9"/>
    <w:rsid w:val="003C3F19"/>
    <w:rsid w:val="003C3F3A"/>
    <w:rsid w:val="003C407D"/>
    <w:rsid w:val="003C40C4"/>
    <w:rsid w:val="003C4114"/>
    <w:rsid w:val="003C4256"/>
    <w:rsid w:val="003C4393"/>
    <w:rsid w:val="003C44EC"/>
    <w:rsid w:val="003C453C"/>
    <w:rsid w:val="003C457F"/>
    <w:rsid w:val="003C4674"/>
    <w:rsid w:val="003C46EC"/>
    <w:rsid w:val="003C48A2"/>
    <w:rsid w:val="003C493A"/>
    <w:rsid w:val="003C4A13"/>
    <w:rsid w:val="003C4ADC"/>
    <w:rsid w:val="003C4BD4"/>
    <w:rsid w:val="003C4C51"/>
    <w:rsid w:val="003C4CA0"/>
    <w:rsid w:val="003C4D55"/>
    <w:rsid w:val="003C4D60"/>
    <w:rsid w:val="003C4D61"/>
    <w:rsid w:val="003C4E4B"/>
    <w:rsid w:val="003C4F1F"/>
    <w:rsid w:val="003C4F85"/>
    <w:rsid w:val="003C4FB4"/>
    <w:rsid w:val="003C5061"/>
    <w:rsid w:val="003C508F"/>
    <w:rsid w:val="003C51A9"/>
    <w:rsid w:val="003C532A"/>
    <w:rsid w:val="003C53F8"/>
    <w:rsid w:val="003C5506"/>
    <w:rsid w:val="003C55BB"/>
    <w:rsid w:val="003C55CA"/>
    <w:rsid w:val="003C55E9"/>
    <w:rsid w:val="003C55EB"/>
    <w:rsid w:val="003C5717"/>
    <w:rsid w:val="003C581D"/>
    <w:rsid w:val="003C58EC"/>
    <w:rsid w:val="003C58F6"/>
    <w:rsid w:val="003C599C"/>
    <w:rsid w:val="003C59E5"/>
    <w:rsid w:val="003C5A20"/>
    <w:rsid w:val="003C5A9A"/>
    <w:rsid w:val="003C5B5A"/>
    <w:rsid w:val="003C5BB4"/>
    <w:rsid w:val="003C5C1A"/>
    <w:rsid w:val="003C5C49"/>
    <w:rsid w:val="003C5C4F"/>
    <w:rsid w:val="003C5C99"/>
    <w:rsid w:val="003C5CFC"/>
    <w:rsid w:val="003C5E08"/>
    <w:rsid w:val="003C5E0C"/>
    <w:rsid w:val="003C5FC4"/>
    <w:rsid w:val="003C60E0"/>
    <w:rsid w:val="003C622A"/>
    <w:rsid w:val="003C6480"/>
    <w:rsid w:val="003C64B5"/>
    <w:rsid w:val="003C64F8"/>
    <w:rsid w:val="003C65C8"/>
    <w:rsid w:val="003C66E1"/>
    <w:rsid w:val="003C67B5"/>
    <w:rsid w:val="003C68BE"/>
    <w:rsid w:val="003C68FC"/>
    <w:rsid w:val="003C69BF"/>
    <w:rsid w:val="003C69C9"/>
    <w:rsid w:val="003C6AE6"/>
    <w:rsid w:val="003C6B07"/>
    <w:rsid w:val="003C6B14"/>
    <w:rsid w:val="003C6C26"/>
    <w:rsid w:val="003C6C2A"/>
    <w:rsid w:val="003C6C34"/>
    <w:rsid w:val="003C6C52"/>
    <w:rsid w:val="003C6CF9"/>
    <w:rsid w:val="003C6D27"/>
    <w:rsid w:val="003C6DD4"/>
    <w:rsid w:val="003C6E22"/>
    <w:rsid w:val="003C6E3E"/>
    <w:rsid w:val="003C6E65"/>
    <w:rsid w:val="003C719F"/>
    <w:rsid w:val="003C732B"/>
    <w:rsid w:val="003C737C"/>
    <w:rsid w:val="003C7483"/>
    <w:rsid w:val="003C7514"/>
    <w:rsid w:val="003C76AF"/>
    <w:rsid w:val="003C7799"/>
    <w:rsid w:val="003C77C3"/>
    <w:rsid w:val="003C77C9"/>
    <w:rsid w:val="003C781D"/>
    <w:rsid w:val="003C781E"/>
    <w:rsid w:val="003C787E"/>
    <w:rsid w:val="003C789F"/>
    <w:rsid w:val="003C78F0"/>
    <w:rsid w:val="003C791F"/>
    <w:rsid w:val="003C7A57"/>
    <w:rsid w:val="003C7B8E"/>
    <w:rsid w:val="003C7CBC"/>
    <w:rsid w:val="003C7D69"/>
    <w:rsid w:val="003C7DDD"/>
    <w:rsid w:val="003C7E0E"/>
    <w:rsid w:val="003C7E2B"/>
    <w:rsid w:val="003C7E3C"/>
    <w:rsid w:val="003C7EA8"/>
    <w:rsid w:val="003C7EAD"/>
    <w:rsid w:val="003D008A"/>
    <w:rsid w:val="003D0132"/>
    <w:rsid w:val="003D0160"/>
    <w:rsid w:val="003D0196"/>
    <w:rsid w:val="003D0240"/>
    <w:rsid w:val="003D028B"/>
    <w:rsid w:val="003D02B5"/>
    <w:rsid w:val="003D04AC"/>
    <w:rsid w:val="003D056A"/>
    <w:rsid w:val="003D05E2"/>
    <w:rsid w:val="003D0718"/>
    <w:rsid w:val="003D07AB"/>
    <w:rsid w:val="003D0838"/>
    <w:rsid w:val="003D0905"/>
    <w:rsid w:val="003D0974"/>
    <w:rsid w:val="003D0981"/>
    <w:rsid w:val="003D09E2"/>
    <w:rsid w:val="003D0C21"/>
    <w:rsid w:val="003D0C24"/>
    <w:rsid w:val="003D0C31"/>
    <w:rsid w:val="003D0C48"/>
    <w:rsid w:val="003D0CC4"/>
    <w:rsid w:val="003D0EE7"/>
    <w:rsid w:val="003D0EFD"/>
    <w:rsid w:val="003D0F2D"/>
    <w:rsid w:val="003D0F9C"/>
    <w:rsid w:val="003D103E"/>
    <w:rsid w:val="003D1047"/>
    <w:rsid w:val="003D1109"/>
    <w:rsid w:val="003D11CC"/>
    <w:rsid w:val="003D1220"/>
    <w:rsid w:val="003D1328"/>
    <w:rsid w:val="003D143D"/>
    <w:rsid w:val="003D15AC"/>
    <w:rsid w:val="003D15CE"/>
    <w:rsid w:val="003D1623"/>
    <w:rsid w:val="003D1698"/>
    <w:rsid w:val="003D16FC"/>
    <w:rsid w:val="003D1961"/>
    <w:rsid w:val="003D1A94"/>
    <w:rsid w:val="003D1ACA"/>
    <w:rsid w:val="003D1CAE"/>
    <w:rsid w:val="003D1F17"/>
    <w:rsid w:val="003D2136"/>
    <w:rsid w:val="003D261D"/>
    <w:rsid w:val="003D26EF"/>
    <w:rsid w:val="003D2785"/>
    <w:rsid w:val="003D2814"/>
    <w:rsid w:val="003D28EE"/>
    <w:rsid w:val="003D2902"/>
    <w:rsid w:val="003D2AFB"/>
    <w:rsid w:val="003D2B69"/>
    <w:rsid w:val="003D2B83"/>
    <w:rsid w:val="003D2B86"/>
    <w:rsid w:val="003D2CEF"/>
    <w:rsid w:val="003D2DBC"/>
    <w:rsid w:val="003D33A0"/>
    <w:rsid w:val="003D34EF"/>
    <w:rsid w:val="003D36BE"/>
    <w:rsid w:val="003D390A"/>
    <w:rsid w:val="003D39B0"/>
    <w:rsid w:val="003D39B9"/>
    <w:rsid w:val="003D3B02"/>
    <w:rsid w:val="003D3C44"/>
    <w:rsid w:val="003D3CB7"/>
    <w:rsid w:val="003D3E4B"/>
    <w:rsid w:val="003D3F6C"/>
    <w:rsid w:val="003D3FB1"/>
    <w:rsid w:val="003D40F4"/>
    <w:rsid w:val="003D4191"/>
    <w:rsid w:val="003D42B4"/>
    <w:rsid w:val="003D4323"/>
    <w:rsid w:val="003D4506"/>
    <w:rsid w:val="003D4552"/>
    <w:rsid w:val="003D456B"/>
    <w:rsid w:val="003D459E"/>
    <w:rsid w:val="003D4690"/>
    <w:rsid w:val="003D4787"/>
    <w:rsid w:val="003D47B8"/>
    <w:rsid w:val="003D485C"/>
    <w:rsid w:val="003D4995"/>
    <w:rsid w:val="003D49B2"/>
    <w:rsid w:val="003D49DF"/>
    <w:rsid w:val="003D4AB3"/>
    <w:rsid w:val="003D4B58"/>
    <w:rsid w:val="003D4B66"/>
    <w:rsid w:val="003D4BEC"/>
    <w:rsid w:val="003D4C2F"/>
    <w:rsid w:val="003D4D2B"/>
    <w:rsid w:val="003D4E76"/>
    <w:rsid w:val="003D4F28"/>
    <w:rsid w:val="003D4F29"/>
    <w:rsid w:val="003D502D"/>
    <w:rsid w:val="003D514C"/>
    <w:rsid w:val="003D5187"/>
    <w:rsid w:val="003D5191"/>
    <w:rsid w:val="003D5205"/>
    <w:rsid w:val="003D5266"/>
    <w:rsid w:val="003D52E0"/>
    <w:rsid w:val="003D52F1"/>
    <w:rsid w:val="003D533B"/>
    <w:rsid w:val="003D5355"/>
    <w:rsid w:val="003D54C4"/>
    <w:rsid w:val="003D5512"/>
    <w:rsid w:val="003D563D"/>
    <w:rsid w:val="003D569F"/>
    <w:rsid w:val="003D56D5"/>
    <w:rsid w:val="003D571B"/>
    <w:rsid w:val="003D5736"/>
    <w:rsid w:val="003D58A8"/>
    <w:rsid w:val="003D596D"/>
    <w:rsid w:val="003D599D"/>
    <w:rsid w:val="003D5A9F"/>
    <w:rsid w:val="003D5B38"/>
    <w:rsid w:val="003D5BC7"/>
    <w:rsid w:val="003D5EC5"/>
    <w:rsid w:val="003D5FC3"/>
    <w:rsid w:val="003D609F"/>
    <w:rsid w:val="003D6243"/>
    <w:rsid w:val="003D635A"/>
    <w:rsid w:val="003D6390"/>
    <w:rsid w:val="003D63C4"/>
    <w:rsid w:val="003D63CB"/>
    <w:rsid w:val="003D64D2"/>
    <w:rsid w:val="003D651F"/>
    <w:rsid w:val="003D6697"/>
    <w:rsid w:val="003D66C1"/>
    <w:rsid w:val="003D66ED"/>
    <w:rsid w:val="003D66F2"/>
    <w:rsid w:val="003D679B"/>
    <w:rsid w:val="003D688D"/>
    <w:rsid w:val="003D68E3"/>
    <w:rsid w:val="003D6CEB"/>
    <w:rsid w:val="003D6CF2"/>
    <w:rsid w:val="003D6D0D"/>
    <w:rsid w:val="003D6D7B"/>
    <w:rsid w:val="003D6F1B"/>
    <w:rsid w:val="003D6F23"/>
    <w:rsid w:val="003D7019"/>
    <w:rsid w:val="003D707F"/>
    <w:rsid w:val="003D70B4"/>
    <w:rsid w:val="003D7210"/>
    <w:rsid w:val="003D73AA"/>
    <w:rsid w:val="003D74BB"/>
    <w:rsid w:val="003D7510"/>
    <w:rsid w:val="003D76D6"/>
    <w:rsid w:val="003D7757"/>
    <w:rsid w:val="003D778E"/>
    <w:rsid w:val="003D77A2"/>
    <w:rsid w:val="003D78A2"/>
    <w:rsid w:val="003D7987"/>
    <w:rsid w:val="003D79F9"/>
    <w:rsid w:val="003D7A1F"/>
    <w:rsid w:val="003D7A49"/>
    <w:rsid w:val="003D7B64"/>
    <w:rsid w:val="003D7CD4"/>
    <w:rsid w:val="003D7D01"/>
    <w:rsid w:val="003D7D4E"/>
    <w:rsid w:val="003D7D9C"/>
    <w:rsid w:val="003D7E53"/>
    <w:rsid w:val="003D7F35"/>
    <w:rsid w:val="003E0264"/>
    <w:rsid w:val="003E02D7"/>
    <w:rsid w:val="003E050C"/>
    <w:rsid w:val="003E056D"/>
    <w:rsid w:val="003E06B3"/>
    <w:rsid w:val="003E0963"/>
    <w:rsid w:val="003E09B4"/>
    <w:rsid w:val="003E0B24"/>
    <w:rsid w:val="003E0BCA"/>
    <w:rsid w:val="003E0C17"/>
    <w:rsid w:val="003E0D72"/>
    <w:rsid w:val="003E0E49"/>
    <w:rsid w:val="003E0F1A"/>
    <w:rsid w:val="003E0F1D"/>
    <w:rsid w:val="003E0F5B"/>
    <w:rsid w:val="003E10D5"/>
    <w:rsid w:val="003E1130"/>
    <w:rsid w:val="003E1301"/>
    <w:rsid w:val="003E13B3"/>
    <w:rsid w:val="003E13D1"/>
    <w:rsid w:val="003E145A"/>
    <w:rsid w:val="003E175E"/>
    <w:rsid w:val="003E1830"/>
    <w:rsid w:val="003E1856"/>
    <w:rsid w:val="003E1A57"/>
    <w:rsid w:val="003E1B04"/>
    <w:rsid w:val="003E1CC6"/>
    <w:rsid w:val="003E1EAD"/>
    <w:rsid w:val="003E1EEB"/>
    <w:rsid w:val="003E20A0"/>
    <w:rsid w:val="003E2173"/>
    <w:rsid w:val="003E21E7"/>
    <w:rsid w:val="003E2429"/>
    <w:rsid w:val="003E24A5"/>
    <w:rsid w:val="003E2506"/>
    <w:rsid w:val="003E25AF"/>
    <w:rsid w:val="003E262E"/>
    <w:rsid w:val="003E2705"/>
    <w:rsid w:val="003E2712"/>
    <w:rsid w:val="003E2717"/>
    <w:rsid w:val="003E27AA"/>
    <w:rsid w:val="003E2828"/>
    <w:rsid w:val="003E284C"/>
    <w:rsid w:val="003E2952"/>
    <w:rsid w:val="003E2A06"/>
    <w:rsid w:val="003E2A53"/>
    <w:rsid w:val="003E2D63"/>
    <w:rsid w:val="003E2DA3"/>
    <w:rsid w:val="003E2EE1"/>
    <w:rsid w:val="003E2FDE"/>
    <w:rsid w:val="003E3089"/>
    <w:rsid w:val="003E30CC"/>
    <w:rsid w:val="003E3148"/>
    <w:rsid w:val="003E318C"/>
    <w:rsid w:val="003E31AF"/>
    <w:rsid w:val="003E320A"/>
    <w:rsid w:val="003E321E"/>
    <w:rsid w:val="003E32BD"/>
    <w:rsid w:val="003E3459"/>
    <w:rsid w:val="003E345A"/>
    <w:rsid w:val="003E34B8"/>
    <w:rsid w:val="003E350E"/>
    <w:rsid w:val="003E3593"/>
    <w:rsid w:val="003E359E"/>
    <w:rsid w:val="003E3600"/>
    <w:rsid w:val="003E3613"/>
    <w:rsid w:val="003E3698"/>
    <w:rsid w:val="003E3707"/>
    <w:rsid w:val="003E37CD"/>
    <w:rsid w:val="003E3865"/>
    <w:rsid w:val="003E38A8"/>
    <w:rsid w:val="003E390F"/>
    <w:rsid w:val="003E3936"/>
    <w:rsid w:val="003E3991"/>
    <w:rsid w:val="003E3B4E"/>
    <w:rsid w:val="003E3B5A"/>
    <w:rsid w:val="003E3B93"/>
    <w:rsid w:val="003E3C7C"/>
    <w:rsid w:val="003E3CC7"/>
    <w:rsid w:val="003E3CD8"/>
    <w:rsid w:val="003E3D6A"/>
    <w:rsid w:val="003E3D6E"/>
    <w:rsid w:val="003E3EC3"/>
    <w:rsid w:val="003E3ED9"/>
    <w:rsid w:val="003E41CE"/>
    <w:rsid w:val="003E41E1"/>
    <w:rsid w:val="003E432B"/>
    <w:rsid w:val="003E4391"/>
    <w:rsid w:val="003E441E"/>
    <w:rsid w:val="003E466D"/>
    <w:rsid w:val="003E47B6"/>
    <w:rsid w:val="003E48E5"/>
    <w:rsid w:val="003E4A18"/>
    <w:rsid w:val="003E4A61"/>
    <w:rsid w:val="003E4AD9"/>
    <w:rsid w:val="003E4BFB"/>
    <w:rsid w:val="003E4D55"/>
    <w:rsid w:val="003E4E05"/>
    <w:rsid w:val="003E4ED2"/>
    <w:rsid w:val="003E4F41"/>
    <w:rsid w:val="003E5006"/>
    <w:rsid w:val="003E50F0"/>
    <w:rsid w:val="003E5189"/>
    <w:rsid w:val="003E5221"/>
    <w:rsid w:val="003E52E3"/>
    <w:rsid w:val="003E539E"/>
    <w:rsid w:val="003E544D"/>
    <w:rsid w:val="003E5453"/>
    <w:rsid w:val="003E55AA"/>
    <w:rsid w:val="003E55B6"/>
    <w:rsid w:val="003E55D2"/>
    <w:rsid w:val="003E55F9"/>
    <w:rsid w:val="003E565C"/>
    <w:rsid w:val="003E56B2"/>
    <w:rsid w:val="003E574A"/>
    <w:rsid w:val="003E58D3"/>
    <w:rsid w:val="003E5AB8"/>
    <w:rsid w:val="003E5AF5"/>
    <w:rsid w:val="003E5BA4"/>
    <w:rsid w:val="003E5C35"/>
    <w:rsid w:val="003E5CDF"/>
    <w:rsid w:val="003E5D17"/>
    <w:rsid w:val="003E5D9E"/>
    <w:rsid w:val="003E5DDF"/>
    <w:rsid w:val="003E5DF2"/>
    <w:rsid w:val="003E5EAF"/>
    <w:rsid w:val="003E5EE7"/>
    <w:rsid w:val="003E5F58"/>
    <w:rsid w:val="003E6082"/>
    <w:rsid w:val="003E60EC"/>
    <w:rsid w:val="003E61A0"/>
    <w:rsid w:val="003E63AD"/>
    <w:rsid w:val="003E63CC"/>
    <w:rsid w:val="003E649C"/>
    <w:rsid w:val="003E64A6"/>
    <w:rsid w:val="003E6596"/>
    <w:rsid w:val="003E66C7"/>
    <w:rsid w:val="003E67A9"/>
    <w:rsid w:val="003E688B"/>
    <w:rsid w:val="003E689A"/>
    <w:rsid w:val="003E690C"/>
    <w:rsid w:val="003E69A9"/>
    <w:rsid w:val="003E6C32"/>
    <w:rsid w:val="003E6C8A"/>
    <w:rsid w:val="003E6CDD"/>
    <w:rsid w:val="003E6E41"/>
    <w:rsid w:val="003E6EAB"/>
    <w:rsid w:val="003E6F8F"/>
    <w:rsid w:val="003E6FA5"/>
    <w:rsid w:val="003E6FA8"/>
    <w:rsid w:val="003E7084"/>
    <w:rsid w:val="003E7140"/>
    <w:rsid w:val="003E7320"/>
    <w:rsid w:val="003E7355"/>
    <w:rsid w:val="003E74EE"/>
    <w:rsid w:val="003E757B"/>
    <w:rsid w:val="003E761C"/>
    <w:rsid w:val="003E762E"/>
    <w:rsid w:val="003E7644"/>
    <w:rsid w:val="003E76B8"/>
    <w:rsid w:val="003E7B6B"/>
    <w:rsid w:val="003E7CFE"/>
    <w:rsid w:val="003E7D29"/>
    <w:rsid w:val="003E7DB2"/>
    <w:rsid w:val="003E7EE6"/>
    <w:rsid w:val="003E7F98"/>
    <w:rsid w:val="003F0259"/>
    <w:rsid w:val="003F0278"/>
    <w:rsid w:val="003F02A3"/>
    <w:rsid w:val="003F02A8"/>
    <w:rsid w:val="003F0324"/>
    <w:rsid w:val="003F0597"/>
    <w:rsid w:val="003F06AD"/>
    <w:rsid w:val="003F078C"/>
    <w:rsid w:val="003F079A"/>
    <w:rsid w:val="003F0835"/>
    <w:rsid w:val="003F085C"/>
    <w:rsid w:val="003F0870"/>
    <w:rsid w:val="003F0911"/>
    <w:rsid w:val="003F0946"/>
    <w:rsid w:val="003F0A37"/>
    <w:rsid w:val="003F0AEC"/>
    <w:rsid w:val="003F0B53"/>
    <w:rsid w:val="003F0B96"/>
    <w:rsid w:val="003F0B9F"/>
    <w:rsid w:val="003F0D6D"/>
    <w:rsid w:val="003F0DE2"/>
    <w:rsid w:val="003F0E11"/>
    <w:rsid w:val="003F0F4B"/>
    <w:rsid w:val="003F0FC3"/>
    <w:rsid w:val="003F0FD2"/>
    <w:rsid w:val="003F10B4"/>
    <w:rsid w:val="003F113E"/>
    <w:rsid w:val="003F117C"/>
    <w:rsid w:val="003F11D4"/>
    <w:rsid w:val="003F122E"/>
    <w:rsid w:val="003F12AF"/>
    <w:rsid w:val="003F12B8"/>
    <w:rsid w:val="003F12C6"/>
    <w:rsid w:val="003F135A"/>
    <w:rsid w:val="003F1559"/>
    <w:rsid w:val="003F1570"/>
    <w:rsid w:val="003F1688"/>
    <w:rsid w:val="003F16BA"/>
    <w:rsid w:val="003F172A"/>
    <w:rsid w:val="003F17D0"/>
    <w:rsid w:val="003F1819"/>
    <w:rsid w:val="003F1827"/>
    <w:rsid w:val="003F187F"/>
    <w:rsid w:val="003F1906"/>
    <w:rsid w:val="003F192D"/>
    <w:rsid w:val="003F19A1"/>
    <w:rsid w:val="003F1C26"/>
    <w:rsid w:val="003F1C34"/>
    <w:rsid w:val="003F1C67"/>
    <w:rsid w:val="003F1E43"/>
    <w:rsid w:val="003F1EB6"/>
    <w:rsid w:val="003F1F47"/>
    <w:rsid w:val="003F1FCD"/>
    <w:rsid w:val="003F20E5"/>
    <w:rsid w:val="003F236E"/>
    <w:rsid w:val="003F2397"/>
    <w:rsid w:val="003F24AA"/>
    <w:rsid w:val="003F25AC"/>
    <w:rsid w:val="003F25B8"/>
    <w:rsid w:val="003F2602"/>
    <w:rsid w:val="003F26BE"/>
    <w:rsid w:val="003F26C0"/>
    <w:rsid w:val="003F2764"/>
    <w:rsid w:val="003F27BE"/>
    <w:rsid w:val="003F27F4"/>
    <w:rsid w:val="003F2865"/>
    <w:rsid w:val="003F28E0"/>
    <w:rsid w:val="003F2920"/>
    <w:rsid w:val="003F2A51"/>
    <w:rsid w:val="003F2C86"/>
    <w:rsid w:val="003F2F7C"/>
    <w:rsid w:val="003F30C0"/>
    <w:rsid w:val="003F3120"/>
    <w:rsid w:val="003F3125"/>
    <w:rsid w:val="003F3321"/>
    <w:rsid w:val="003F3592"/>
    <w:rsid w:val="003F35F9"/>
    <w:rsid w:val="003F3679"/>
    <w:rsid w:val="003F36FB"/>
    <w:rsid w:val="003F370D"/>
    <w:rsid w:val="003F37B9"/>
    <w:rsid w:val="003F3826"/>
    <w:rsid w:val="003F3953"/>
    <w:rsid w:val="003F3A58"/>
    <w:rsid w:val="003F3B0E"/>
    <w:rsid w:val="003F3B1D"/>
    <w:rsid w:val="003F3B46"/>
    <w:rsid w:val="003F3C39"/>
    <w:rsid w:val="003F3C45"/>
    <w:rsid w:val="003F3C78"/>
    <w:rsid w:val="003F3CD6"/>
    <w:rsid w:val="003F3D20"/>
    <w:rsid w:val="003F3D35"/>
    <w:rsid w:val="003F3E07"/>
    <w:rsid w:val="003F3E78"/>
    <w:rsid w:val="003F3ED2"/>
    <w:rsid w:val="003F3FC6"/>
    <w:rsid w:val="003F3FD8"/>
    <w:rsid w:val="003F421C"/>
    <w:rsid w:val="003F428C"/>
    <w:rsid w:val="003F433A"/>
    <w:rsid w:val="003F4384"/>
    <w:rsid w:val="003F4401"/>
    <w:rsid w:val="003F44A1"/>
    <w:rsid w:val="003F4557"/>
    <w:rsid w:val="003F45D8"/>
    <w:rsid w:val="003F4656"/>
    <w:rsid w:val="003F46C0"/>
    <w:rsid w:val="003F46CB"/>
    <w:rsid w:val="003F471D"/>
    <w:rsid w:val="003F48D8"/>
    <w:rsid w:val="003F4967"/>
    <w:rsid w:val="003F4971"/>
    <w:rsid w:val="003F4A21"/>
    <w:rsid w:val="003F4AFB"/>
    <w:rsid w:val="003F4B20"/>
    <w:rsid w:val="003F4BD1"/>
    <w:rsid w:val="003F4C89"/>
    <w:rsid w:val="003F4CA4"/>
    <w:rsid w:val="003F4E0B"/>
    <w:rsid w:val="003F4E35"/>
    <w:rsid w:val="003F4FC5"/>
    <w:rsid w:val="003F50D7"/>
    <w:rsid w:val="003F52B9"/>
    <w:rsid w:val="003F5357"/>
    <w:rsid w:val="003F5386"/>
    <w:rsid w:val="003F5549"/>
    <w:rsid w:val="003F5554"/>
    <w:rsid w:val="003F555A"/>
    <w:rsid w:val="003F5560"/>
    <w:rsid w:val="003F55FD"/>
    <w:rsid w:val="003F561E"/>
    <w:rsid w:val="003F56C2"/>
    <w:rsid w:val="003F58FE"/>
    <w:rsid w:val="003F5A16"/>
    <w:rsid w:val="003F5A23"/>
    <w:rsid w:val="003F5A2D"/>
    <w:rsid w:val="003F5A7D"/>
    <w:rsid w:val="003F5B23"/>
    <w:rsid w:val="003F5C10"/>
    <w:rsid w:val="003F5C5D"/>
    <w:rsid w:val="003F5C80"/>
    <w:rsid w:val="003F5D02"/>
    <w:rsid w:val="003F5D0C"/>
    <w:rsid w:val="003F5D29"/>
    <w:rsid w:val="003F5D77"/>
    <w:rsid w:val="003F5E32"/>
    <w:rsid w:val="003F5EF0"/>
    <w:rsid w:val="003F5F58"/>
    <w:rsid w:val="003F5F7A"/>
    <w:rsid w:val="003F5FE4"/>
    <w:rsid w:val="003F6026"/>
    <w:rsid w:val="003F608C"/>
    <w:rsid w:val="003F60F1"/>
    <w:rsid w:val="003F60FD"/>
    <w:rsid w:val="003F616E"/>
    <w:rsid w:val="003F6297"/>
    <w:rsid w:val="003F636D"/>
    <w:rsid w:val="003F6470"/>
    <w:rsid w:val="003F64C3"/>
    <w:rsid w:val="003F652B"/>
    <w:rsid w:val="003F65A6"/>
    <w:rsid w:val="003F6885"/>
    <w:rsid w:val="003F6957"/>
    <w:rsid w:val="003F69D1"/>
    <w:rsid w:val="003F69E8"/>
    <w:rsid w:val="003F6CEC"/>
    <w:rsid w:val="003F6D76"/>
    <w:rsid w:val="003F6DE4"/>
    <w:rsid w:val="003F6E15"/>
    <w:rsid w:val="003F6E53"/>
    <w:rsid w:val="003F6EFB"/>
    <w:rsid w:val="003F6FF1"/>
    <w:rsid w:val="003F7016"/>
    <w:rsid w:val="003F708D"/>
    <w:rsid w:val="003F70D2"/>
    <w:rsid w:val="003F7150"/>
    <w:rsid w:val="003F71CE"/>
    <w:rsid w:val="003F71EA"/>
    <w:rsid w:val="003F7206"/>
    <w:rsid w:val="003F727B"/>
    <w:rsid w:val="003F7383"/>
    <w:rsid w:val="003F76B5"/>
    <w:rsid w:val="003F76B9"/>
    <w:rsid w:val="003F76E0"/>
    <w:rsid w:val="003F7739"/>
    <w:rsid w:val="003F7814"/>
    <w:rsid w:val="003F79FA"/>
    <w:rsid w:val="003F7A12"/>
    <w:rsid w:val="003F7A63"/>
    <w:rsid w:val="003F7B2B"/>
    <w:rsid w:val="003F7B5A"/>
    <w:rsid w:val="003F7CA3"/>
    <w:rsid w:val="003F7D3D"/>
    <w:rsid w:val="003F7E13"/>
    <w:rsid w:val="003F7E24"/>
    <w:rsid w:val="003F7F86"/>
    <w:rsid w:val="0040012E"/>
    <w:rsid w:val="00400138"/>
    <w:rsid w:val="00400163"/>
    <w:rsid w:val="004001A4"/>
    <w:rsid w:val="004001FA"/>
    <w:rsid w:val="00400291"/>
    <w:rsid w:val="0040031D"/>
    <w:rsid w:val="0040048B"/>
    <w:rsid w:val="004004D1"/>
    <w:rsid w:val="004004DE"/>
    <w:rsid w:val="00400512"/>
    <w:rsid w:val="004005C5"/>
    <w:rsid w:val="0040060B"/>
    <w:rsid w:val="00400638"/>
    <w:rsid w:val="00400702"/>
    <w:rsid w:val="0040083F"/>
    <w:rsid w:val="00400931"/>
    <w:rsid w:val="00400AC4"/>
    <w:rsid w:val="00400CCF"/>
    <w:rsid w:val="00400D14"/>
    <w:rsid w:val="00400DF0"/>
    <w:rsid w:val="00400E4D"/>
    <w:rsid w:val="00400E67"/>
    <w:rsid w:val="00400E6E"/>
    <w:rsid w:val="00400FC8"/>
    <w:rsid w:val="00400FF1"/>
    <w:rsid w:val="0040104D"/>
    <w:rsid w:val="004010EB"/>
    <w:rsid w:val="004012DB"/>
    <w:rsid w:val="00401383"/>
    <w:rsid w:val="0040154C"/>
    <w:rsid w:val="00401557"/>
    <w:rsid w:val="0040168A"/>
    <w:rsid w:val="004016FD"/>
    <w:rsid w:val="00401712"/>
    <w:rsid w:val="00401815"/>
    <w:rsid w:val="0040186D"/>
    <w:rsid w:val="00401906"/>
    <w:rsid w:val="00401970"/>
    <w:rsid w:val="00401A41"/>
    <w:rsid w:val="00401AF0"/>
    <w:rsid w:val="00401B0A"/>
    <w:rsid w:val="00401D11"/>
    <w:rsid w:val="00401ED2"/>
    <w:rsid w:val="00401FC5"/>
    <w:rsid w:val="0040226C"/>
    <w:rsid w:val="0040241E"/>
    <w:rsid w:val="0040243B"/>
    <w:rsid w:val="004024BF"/>
    <w:rsid w:val="004025B4"/>
    <w:rsid w:val="00402647"/>
    <w:rsid w:val="0040276B"/>
    <w:rsid w:val="004027C6"/>
    <w:rsid w:val="0040292E"/>
    <w:rsid w:val="0040295D"/>
    <w:rsid w:val="004029DF"/>
    <w:rsid w:val="00402ADA"/>
    <w:rsid w:val="00402B2B"/>
    <w:rsid w:val="00402B6C"/>
    <w:rsid w:val="00402C20"/>
    <w:rsid w:val="00402C65"/>
    <w:rsid w:val="00402DFA"/>
    <w:rsid w:val="00402E11"/>
    <w:rsid w:val="00402EF3"/>
    <w:rsid w:val="00402F72"/>
    <w:rsid w:val="00402FB1"/>
    <w:rsid w:val="00402FF8"/>
    <w:rsid w:val="00403028"/>
    <w:rsid w:val="00403086"/>
    <w:rsid w:val="0040328A"/>
    <w:rsid w:val="004033C8"/>
    <w:rsid w:val="004034C1"/>
    <w:rsid w:val="004034EF"/>
    <w:rsid w:val="004034F9"/>
    <w:rsid w:val="0040359A"/>
    <w:rsid w:val="0040375F"/>
    <w:rsid w:val="004037AC"/>
    <w:rsid w:val="004037E8"/>
    <w:rsid w:val="004039DD"/>
    <w:rsid w:val="00403A34"/>
    <w:rsid w:val="00403B31"/>
    <w:rsid w:val="00403D37"/>
    <w:rsid w:val="00403D63"/>
    <w:rsid w:val="00403F0F"/>
    <w:rsid w:val="00404039"/>
    <w:rsid w:val="004040E7"/>
    <w:rsid w:val="00404252"/>
    <w:rsid w:val="00404317"/>
    <w:rsid w:val="00404380"/>
    <w:rsid w:val="0040447C"/>
    <w:rsid w:val="00404598"/>
    <w:rsid w:val="0040460B"/>
    <w:rsid w:val="00404618"/>
    <w:rsid w:val="0040464D"/>
    <w:rsid w:val="004046B5"/>
    <w:rsid w:val="004046E8"/>
    <w:rsid w:val="004047BD"/>
    <w:rsid w:val="00404904"/>
    <w:rsid w:val="00404A8A"/>
    <w:rsid w:val="00404AB5"/>
    <w:rsid w:val="00404AB8"/>
    <w:rsid w:val="00404B9B"/>
    <w:rsid w:val="00404BA3"/>
    <w:rsid w:val="00404C0C"/>
    <w:rsid w:val="00404C3F"/>
    <w:rsid w:val="00404CC2"/>
    <w:rsid w:val="00404DB5"/>
    <w:rsid w:val="00404E3B"/>
    <w:rsid w:val="00404F18"/>
    <w:rsid w:val="00404F34"/>
    <w:rsid w:val="00404F57"/>
    <w:rsid w:val="00404FEE"/>
    <w:rsid w:val="00405089"/>
    <w:rsid w:val="00405198"/>
    <w:rsid w:val="00405229"/>
    <w:rsid w:val="004053BC"/>
    <w:rsid w:val="0040542B"/>
    <w:rsid w:val="0040550B"/>
    <w:rsid w:val="00405511"/>
    <w:rsid w:val="00405581"/>
    <w:rsid w:val="00405732"/>
    <w:rsid w:val="004057FF"/>
    <w:rsid w:val="00405869"/>
    <w:rsid w:val="00405A95"/>
    <w:rsid w:val="00405B0A"/>
    <w:rsid w:val="00405BB3"/>
    <w:rsid w:val="00405E35"/>
    <w:rsid w:val="00405E38"/>
    <w:rsid w:val="00405E52"/>
    <w:rsid w:val="00405E5C"/>
    <w:rsid w:val="00405ED1"/>
    <w:rsid w:val="00405F2B"/>
    <w:rsid w:val="00405FBC"/>
    <w:rsid w:val="00406031"/>
    <w:rsid w:val="004061A8"/>
    <w:rsid w:val="004061D8"/>
    <w:rsid w:val="0040625B"/>
    <w:rsid w:val="00406280"/>
    <w:rsid w:val="004063B1"/>
    <w:rsid w:val="004063C6"/>
    <w:rsid w:val="00406438"/>
    <w:rsid w:val="00406597"/>
    <w:rsid w:val="00406610"/>
    <w:rsid w:val="004067A3"/>
    <w:rsid w:val="00406BB2"/>
    <w:rsid w:val="00406D46"/>
    <w:rsid w:val="00406DEE"/>
    <w:rsid w:val="00406F4D"/>
    <w:rsid w:val="00407120"/>
    <w:rsid w:val="00407304"/>
    <w:rsid w:val="0040734B"/>
    <w:rsid w:val="00407439"/>
    <w:rsid w:val="004074C1"/>
    <w:rsid w:val="00407525"/>
    <w:rsid w:val="004075E7"/>
    <w:rsid w:val="00407687"/>
    <w:rsid w:val="00407776"/>
    <w:rsid w:val="0040784D"/>
    <w:rsid w:val="0040793B"/>
    <w:rsid w:val="00407AA1"/>
    <w:rsid w:val="00407AE3"/>
    <w:rsid w:val="00407B00"/>
    <w:rsid w:val="00407C33"/>
    <w:rsid w:val="00407C53"/>
    <w:rsid w:val="00407D4D"/>
    <w:rsid w:val="00407DE1"/>
    <w:rsid w:val="00407EF9"/>
    <w:rsid w:val="00407FE7"/>
    <w:rsid w:val="00410158"/>
    <w:rsid w:val="0041026D"/>
    <w:rsid w:val="00410360"/>
    <w:rsid w:val="0041041E"/>
    <w:rsid w:val="00410494"/>
    <w:rsid w:val="00410571"/>
    <w:rsid w:val="004105AB"/>
    <w:rsid w:val="00410651"/>
    <w:rsid w:val="0041074D"/>
    <w:rsid w:val="00410871"/>
    <w:rsid w:val="004108B0"/>
    <w:rsid w:val="00410909"/>
    <w:rsid w:val="004109DE"/>
    <w:rsid w:val="00410A14"/>
    <w:rsid w:val="00410A35"/>
    <w:rsid w:val="00410A53"/>
    <w:rsid w:val="00410A55"/>
    <w:rsid w:val="00410AA9"/>
    <w:rsid w:val="00410C15"/>
    <w:rsid w:val="00410C71"/>
    <w:rsid w:val="00410E51"/>
    <w:rsid w:val="00410E82"/>
    <w:rsid w:val="00410E84"/>
    <w:rsid w:val="00410EB7"/>
    <w:rsid w:val="00410F31"/>
    <w:rsid w:val="00410FA6"/>
    <w:rsid w:val="00411131"/>
    <w:rsid w:val="004111BB"/>
    <w:rsid w:val="00411235"/>
    <w:rsid w:val="0041127B"/>
    <w:rsid w:val="0041130D"/>
    <w:rsid w:val="004114F3"/>
    <w:rsid w:val="0041179B"/>
    <w:rsid w:val="00411800"/>
    <w:rsid w:val="00411818"/>
    <w:rsid w:val="00411B74"/>
    <w:rsid w:val="00411BD6"/>
    <w:rsid w:val="00411EAA"/>
    <w:rsid w:val="00412088"/>
    <w:rsid w:val="0041209E"/>
    <w:rsid w:val="00412143"/>
    <w:rsid w:val="004121C4"/>
    <w:rsid w:val="00412262"/>
    <w:rsid w:val="00412386"/>
    <w:rsid w:val="004123B5"/>
    <w:rsid w:val="004123CD"/>
    <w:rsid w:val="004123F9"/>
    <w:rsid w:val="0041247C"/>
    <w:rsid w:val="0041254B"/>
    <w:rsid w:val="004125DA"/>
    <w:rsid w:val="00412649"/>
    <w:rsid w:val="00412694"/>
    <w:rsid w:val="004126AE"/>
    <w:rsid w:val="0041280B"/>
    <w:rsid w:val="00412925"/>
    <w:rsid w:val="0041293C"/>
    <w:rsid w:val="00412A1F"/>
    <w:rsid w:val="00412A91"/>
    <w:rsid w:val="00412C0E"/>
    <w:rsid w:val="00412CDC"/>
    <w:rsid w:val="00412D20"/>
    <w:rsid w:val="00412DA5"/>
    <w:rsid w:val="00412E82"/>
    <w:rsid w:val="00412EC2"/>
    <w:rsid w:val="00412F24"/>
    <w:rsid w:val="00412F47"/>
    <w:rsid w:val="00412F5B"/>
    <w:rsid w:val="00412FD8"/>
    <w:rsid w:val="00413050"/>
    <w:rsid w:val="004131E4"/>
    <w:rsid w:val="00413218"/>
    <w:rsid w:val="00413286"/>
    <w:rsid w:val="004132E2"/>
    <w:rsid w:val="004132EA"/>
    <w:rsid w:val="004134A2"/>
    <w:rsid w:val="00413558"/>
    <w:rsid w:val="004135F3"/>
    <w:rsid w:val="004135F5"/>
    <w:rsid w:val="004136C7"/>
    <w:rsid w:val="004138E7"/>
    <w:rsid w:val="004139BF"/>
    <w:rsid w:val="004139F5"/>
    <w:rsid w:val="00413A1C"/>
    <w:rsid w:val="00413CDD"/>
    <w:rsid w:val="00413D44"/>
    <w:rsid w:val="00413E5F"/>
    <w:rsid w:val="00413F79"/>
    <w:rsid w:val="00413FB0"/>
    <w:rsid w:val="00413FE8"/>
    <w:rsid w:val="00413FF6"/>
    <w:rsid w:val="0041408A"/>
    <w:rsid w:val="00414121"/>
    <w:rsid w:val="0041413B"/>
    <w:rsid w:val="00414187"/>
    <w:rsid w:val="00414197"/>
    <w:rsid w:val="004141D0"/>
    <w:rsid w:val="004142EF"/>
    <w:rsid w:val="0041430D"/>
    <w:rsid w:val="00414374"/>
    <w:rsid w:val="004143D9"/>
    <w:rsid w:val="00414485"/>
    <w:rsid w:val="00414678"/>
    <w:rsid w:val="0041471A"/>
    <w:rsid w:val="0041479B"/>
    <w:rsid w:val="00414880"/>
    <w:rsid w:val="00414882"/>
    <w:rsid w:val="004148C0"/>
    <w:rsid w:val="004149BD"/>
    <w:rsid w:val="00414BF8"/>
    <w:rsid w:val="00414C67"/>
    <w:rsid w:val="00414F25"/>
    <w:rsid w:val="0041504B"/>
    <w:rsid w:val="004150D8"/>
    <w:rsid w:val="004151DD"/>
    <w:rsid w:val="00415303"/>
    <w:rsid w:val="00415408"/>
    <w:rsid w:val="00415488"/>
    <w:rsid w:val="004155EB"/>
    <w:rsid w:val="0041560F"/>
    <w:rsid w:val="00415633"/>
    <w:rsid w:val="00415679"/>
    <w:rsid w:val="00415692"/>
    <w:rsid w:val="00415775"/>
    <w:rsid w:val="004157B4"/>
    <w:rsid w:val="00415804"/>
    <w:rsid w:val="004158C3"/>
    <w:rsid w:val="004158F7"/>
    <w:rsid w:val="00415AD1"/>
    <w:rsid w:val="00415B1E"/>
    <w:rsid w:val="00415B69"/>
    <w:rsid w:val="00415BE1"/>
    <w:rsid w:val="00415C60"/>
    <w:rsid w:val="00415C63"/>
    <w:rsid w:val="00415CCC"/>
    <w:rsid w:val="00415D26"/>
    <w:rsid w:val="00415D4F"/>
    <w:rsid w:val="00415E08"/>
    <w:rsid w:val="00415E6D"/>
    <w:rsid w:val="00415E97"/>
    <w:rsid w:val="00415EA2"/>
    <w:rsid w:val="00415F12"/>
    <w:rsid w:val="004160AE"/>
    <w:rsid w:val="00416155"/>
    <w:rsid w:val="00416168"/>
    <w:rsid w:val="004161BC"/>
    <w:rsid w:val="00416213"/>
    <w:rsid w:val="004162D0"/>
    <w:rsid w:val="004162EB"/>
    <w:rsid w:val="004163C6"/>
    <w:rsid w:val="004164A1"/>
    <w:rsid w:val="004166AC"/>
    <w:rsid w:val="00416A58"/>
    <w:rsid w:val="00416AE5"/>
    <w:rsid w:val="00416BAA"/>
    <w:rsid w:val="00416C55"/>
    <w:rsid w:val="00416C7A"/>
    <w:rsid w:val="004170B8"/>
    <w:rsid w:val="00417113"/>
    <w:rsid w:val="0041733C"/>
    <w:rsid w:val="004173AB"/>
    <w:rsid w:val="0041740A"/>
    <w:rsid w:val="0041754A"/>
    <w:rsid w:val="004175FF"/>
    <w:rsid w:val="004176C3"/>
    <w:rsid w:val="004176E9"/>
    <w:rsid w:val="004177F0"/>
    <w:rsid w:val="0041794F"/>
    <w:rsid w:val="004179A1"/>
    <w:rsid w:val="004179AD"/>
    <w:rsid w:val="00417A5B"/>
    <w:rsid w:val="00417B96"/>
    <w:rsid w:val="00417B98"/>
    <w:rsid w:val="00417C39"/>
    <w:rsid w:val="00417CF3"/>
    <w:rsid w:val="00417D46"/>
    <w:rsid w:val="00417D4A"/>
    <w:rsid w:val="00417DC9"/>
    <w:rsid w:val="00417EDD"/>
    <w:rsid w:val="004200B7"/>
    <w:rsid w:val="00420141"/>
    <w:rsid w:val="00420257"/>
    <w:rsid w:val="004202C4"/>
    <w:rsid w:val="0042032B"/>
    <w:rsid w:val="0042034D"/>
    <w:rsid w:val="00420492"/>
    <w:rsid w:val="004204A9"/>
    <w:rsid w:val="004205D6"/>
    <w:rsid w:val="00420796"/>
    <w:rsid w:val="004207F8"/>
    <w:rsid w:val="0042080B"/>
    <w:rsid w:val="0042082C"/>
    <w:rsid w:val="004209EB"/>
    <w:rsid w:val="00420ABC"/>
    <w:rsid w:val="00420AC0"/>
    <w:rsid w:val="00420AF4"/>
    <w:rsid w:val="00420B37"/>
    <w:rsid w:val="00420CC6"/>
    <w:rsid w:val="00420DA1"/>
    <w:rsid w:val="00420E23"/>
    <w:rsid w:val="00420E49"/>
    <w:rsid w:val="00420EF7"/>
    <w:rsid w:val="00420F73"/>
    <w:rsid w:val="00420F75"/>
    <w:rsid w:val="00420F82"/>
    <w:rsid w:val="00420FB9"/>
    <w:rsid w:val="004211FC"/>
    <w:rsid w:val="00421203"/>
    <w:rsid w:val="00421216"/>
    <w:rsid w:val="00421231"/>
    <w:rsid w:val="0042124E"/>
    <w:rsid w:val="0042129F"/>
    <w:rsid w:val="004212BD"/>
    <w:rsid w:val="0042137B"/>
    <w:rsid w:val="004213C6"/>
    <w:rsid w:val="00421409"/>
    <w:rsid w:val="0042152E"/>
    <w:rsid w:val="004215DD"/>
    <w:rsid w:val="00421772"/>
    <w:rsid w:val="004217EE"/>
    <w:rsid w:val="0042180A"/>
    <w:rsid w:val="00421914"/>
    <w:rsid w:val="004219BF"/>
    <w:rsid w:val="004219C1"/>
    <w:rsid w:val="00421A34"/>
    <w:rsid w:val="00421A3B"/>
    <w:rsid w:val="00421A68"/>
    <w:rsid w:val="00421A95"/>
    <w:rsid w:val="00421ADD"/>
    <w:rsid w:val="00421AED"/>
    <w:rsid w:val="00421B27"/>
    <w:rsid w:val="00421BB5"/>
    <w:rsid w:val="00421CB0"/>
    <w:rsid w:val="00421CCB"/>
    <w:rsid w:val="00421D12"/>
    <w:rsid w:val="00421D75"/>
    <w:rsid w:val="00421DB0"/>
    <w:rsid w:val="00421EDD"/>
    <w:rsid w:val="004221C1"/>
    <w:rsid w:val="004221D3"/>
    <w:rsid w:val="00422436"/>
    <w:rsid w:val="0042244B"/>
    <w:rsid w:val="0042249F"/>
    <w:rsid w:val="00422572"/>
    <w:rsid w:val="004225A7"/>
    <w:rsid w:val="00422622"/>
    <w:rsid w:val="00422730"/>
    <w:rsid w:val="00422763"/>
    <w:rsid w:val="0042277C"/>
    <w:rsid w:val="0042283F"/>
    <w:rsid w:val="00422984"/>
    <w:rsid w:val="00422A5D"/>
    <w:rsid w:val="00422BF4"/>
    <w:rsid w:val="00422C2F"/>
    <w:rsid w:val="00422D26"/>
    <w:rsid w:val="004230F0"/>
    <w:rsid w:val="00423122"/>
    <w:rsid w:val="00423127"/>
    <w:rsid w:val="0042322F"/>
    <w:rsid w:val="0042332C"/>
    <w:rsid w:val="00423337"/>
    <w:rsid w:val="00423440"/>
    <w:rsid w:val="00423476"/>
    <w:rsid w:val="0042349E"/>
    <w:rsid w:val="00423581"/>
    <w:rsid w:val="00423695"/>
    <w:rsid w:val="00423867"/>
    <w:rsid w:val="00423B24"/>
    <w:rsid w:val="00423B6C"/>
    <w:rsid w:val="00423CA0"/>
    <w:rsid w:val="00423CFA"/>
    <w:rsid w:val="00423D37"/>
    <w:rsid w:val="00423D42"/>
    <w:rsid w:val="00423E62"/>
    <w:rsid w:val="00423E67"/>
    <w:rsid w:val="00423EBD"/>
    <w:rsid w:val="00423FA1"/>
    <w:rsid w:val="00423FA7"/>
    <w:rsid w:val="004240FC"/>
    <w:rsid w:val="0042415B"/>
    <w:rsid w:val="004241CF"/>
    <w:rsid w:val="004242A4"/>
    <w:rsid w:val="004242CF"/>
    <w:rsid w:val="004242E4"/>
    <w:rsid w:val="0042430F"/>
    <w:rsid w:val="0042436B"/>
    <w:rsid w:val="00424370"/>
    <w:rsid w:val="00424371"/>
    <w:rsid w:val="0042439A"/>
    <w:rsid w:val="004243D5"/>
    <w:rsid w:val="00424522"/>
    <w:rsid w:val="004245B7"/>
    <w:rsid w:val="004245DB"/>
    <w:rsid w:val="004246AD"/>
    <w:rsid w:val="0042481C"/>
    <w:rsid w:val="00424825"/>
    <w:rsid w:val="004248B2"/>
    <w:rsid w:val="00424A5F"/>
    <w:rsid w:val="00424B37"/>
    <w:rsid w:val="00424B4D"/>
    <w:rsid w:val="00424C3A"/>
    <w:rsid w:val="00424C58"/>
    <w:rsid w:val="00424CC2"/>
    <w:rsid w:val="00424D2C"/>
    <w:rsid w:val="00424DCA"/>
    <w:rsid w:val="00424F98"/>
    <w:rsid w:val="00424FA9"/>
    <w:rsid w:val="00424FF4"/>
    <w:rsid w:val="0042500E"/>
    <w:rsid w:val="0042518A"/>
    <w:rsid w:val="004251F9"/>
    <w:rsid w:val="004252AF"/>
    <w:rsid w:val="00425376"/>
    <w:rsid w:val="0042550B"/>
    <w:rsid w:val="0042554C"/>
    <w:rsid w:val="00425620"/>
    <w:rsid w:val="004256C7"/>
    <w:rsid w:val="004256CB"/>
    <w:rsid w:val="004257F4"/>
    <w:rsid w:val="004257F5"/>
    <w:rsid w:val="004258C1"/>
    <w:rsid w:val="00425CE9"/>
    <w:rsid w:val="00425E69"/>
    <w:rsid w:val="00425EF0"/>
    <w:rsid w:val="00425F2C"/>
    <w:rsid w:val="00425F9C"/>
    <w:rsid w:val="0042607B"/>
    <w:rsid w:val="004260AA"/>
    <w:rsid w:val="004262FE"/>
    <w:rsid w:val="004264AB"/>
    <w:rsid w:val="00426508"/>
    <w:rsid w:val="00426569"/>
    <w:rsid w:val="004266F5"/>
    <w:rsid w:val="00426708"/>
    <w:rsid w:val="004267F5"/>
    <w:rsid w:val="004269A3"/>
    <w:rsid w:val="00426A2D"/>
    <w:rsid w:val="00426A95"/>
    <w:rsid w:val="00426BA3"/>
    <w:rsid w:val="00426BCC"/>
    <w:rsid w:val="00426E30"/>
    <w:rsid w:val="00426E40"/>
    <w:rsid w:val="00426E57"/>
    <w:rsid w:val="00427077"/>
    <w:rsid w:val="004271AB"/>
    <w:rsid w:val="004271CF"/>
    <w:rsid w:val="00427265"/>
    <w:rsid w:val="00427278"/>
    <w:rsid w:val="004272EA"/>
    <w:rsid w:val="004273B5"/>
    <w:rsid w:val="004273B7"/>
    <w:rsid w:val="004274F9"/>
    <w:rsid w:val="004275C5"/>
    <w:rsid w:val="00427613"/>
    <w:rsid w:val="00427665"/>
    <w:rsid w:val="0042768D"/>
    <w:rsid w:val="004277A1"/>
    <w:rsid w:val="00427810"/>
    <w:rsid w:val="00427886"/>
    <w:rsid w:val="0042792C"/>
    <w:rsid w:val="00427966"/>
    <w:rsid w:val="004279E2"/>
    <w:rsid w:val="00427C5A"/>
    <w:rsid w:val="00427D21"/>
    <w:rsid w:val="00427DA7"/>
    <w:rsid w:val="00427DB8"/>
    <w:rsid w:val="00427DE4"/>
    <w:rsid w:val="00427E42"/>
    <w:rsid w:val="00427ED8"/>
    <w:rsid w:val="00427F91"/>
    <w:rsid w:val="00427FF3"/>
    <w:rsid w:val="00430002"/>
    <w:rsid w:val="0043008D"/>
    <w:rsid w:val="00430127"/>
    <w:rsid w:val="004301C7"/>
    <w:rsid w:val="00430363"/>
    <w:rsid w:val="004303B1"/>
    <w:rsid w:val="004303CA"/>
    <w:rsid w:val="0043051A"/>
    <w:rsid w:val="004306E9"/>
    <w:rsid w:val="0043077B"/>
    <w:rsid w:val="00430794"/>
    <w:rsid w:val="0043083D"/>
    <w:rsid w:val="00430897"/>
    <w:rsid w:val="004308EF"/>
    <w:rsid w:val="00430964"/>
    <w:rsid w:val="00430993"/>
    <w:rsid w:val="00430A7B"/>
    <w:rsid w:val="00430BD1"/>
    <w:rsid w:val="00430BFF"/>
    <w:rsid w:val="00430C53"/>
    <w:rsid w:val="00430C6C"/>
    <w:rsid w:val="00430D78"/>
    <w:rsid w:val="00430F70"/>
    <w:rsid w:val="00430F76"/>
    <w:rsid w:val="00430F7E"/>
    <w:rsid w:val="00431238"/>
    <w:rsid w:val="004314FA"/>
    <w:rsid w:val="00431549"/>
    <w:rsid w:val="00431568"/>
    <w:rsid w:val="004315A7"/>
    <w:rsid w:val="00431632"/>
    <w:rsid w:val="00431654"/>
    <w:rsid w:val="00431820"/>
    <w:rsid w:val="00431894"/>
    <w:rsid w:val="00431966"/>
    <w:rsid w:val="00431A7B"/>
    <w:rsid w:val="00431B0F"/>
    <w:rsid w:val="00431B36"/>
    <w:rsid w:val="00431BCD"/>
    <w:rsid w:val="00431BD3"/>
    <w:rsid w:val="00431BEC"/>
    <w:rsid w:val="00431D0C"/>
    <w:rsid w:val="00431D74"/>
    <w:rsid w:val="00431DCF"/>
    <w:rsid w:val="00431E62"/>
    <w:rsid w:val="00431F8F"/>
    <w:rsid w:val="0043204E"/>
    <w:rsid w:val="00432051"/>
    <w:rsid w:val="004320C1"/>
    <w:rsid w:val="0043214E"/>
    <w:rsid w:val="004321C8"/>
    <w:rsid w:val="0043221A"/>
    <w:rsid w:val="004322D1"/>
    <w:rsid w:val="00432323"/>
    <w:rsid w:val="004323E2"/>
    <w:rsid w:val="004323FD"/>
    <w:rsid w:val="004324AB"/>
    <w:rsid w:val="00432550"/>
    <w:rsid w:val="0043269A"/>
    <w:rsid w:val="004327CE"/>
    <w:rsid w:val="004327F6"/>
    <w:rsid w:val="00432935"/>
    <w:rsid w:val="00432B7E"/>
    <w:rsid w:val="00432B9A"/>
    <w:rsid w:val="00432C94"/>
    <w:rsid w:val="00432CB0"/>
    <w:rsid w:val="00432CD6"/>
    <w:rsid w:val="00432FF8"/>
    <w:rsid w:val="00433065"/>
    <w:rsid w:val="00433090"/>
    <w:rsid w:val="00433123"/>
    <w:rsid w:val="00433130"/>
    <w:rsid w:val="00433521"/>
    <w:rsid w:val="00433534"/>
    <w:rsid w:val="00433625"/>
    <w:rsid w:val="004336BE"/>
    <w:rsid w:val="0043373F"/>
    <w:rsid w:val="00433776"/>
    <w:rsid w:val="0043380C"/>
    <w:rsid w:val="0043383F"/>
    <w:rsid w:val="004339DC"/>
    <w:rsid w:val="00433A4B"/>
    <w:rsid w:val="00433C76"/>
    <w:rsid w:val="00433D38"/>
    <w:rsid w:val="00433DF2"/>
    <w:rsid w:val="00433F05"/>
    <w:rsid w:val="00433F20"/>
    <w:rsid w:val="00433F45"/>
    <w:rsid w:val="00433F8D"/>
    <w:rsid w:val="00433FEC"/>
    <w:rsid w:val="00434082"/>
    <w:rsid w:val="00434195"/>
    <w:rsid w:val="004341DA"/>
    <w:rsid w:val="004341FE"/>
    <w:rsid w:val="0043420C"/>
    <w:rsid w:val="004342A4"/>
    <w:rsid w:val="004343B9"/>
    <w:rsid w:val="004344B7"/>
    <w:rsid w:val="004344E4"/>
    <w:rsid w:val="004344E9"/>
    <w:rsid w:val="004344F5"/>
    <w:rsid w:val="004345C8"/>
    <w:rsid w:val="00434653"/>
    <w:rsid w:val="0043469F"/>
    <w:rsid w:val="004346E8"/>
    <w:rsid w:val="00434799"/>
    <w:rsid w:val="0043480A"/>
    <w:rsid w:val="00434914"/>
    <w:rsid w:val="00434921"/>
    <w:rsid w:val="00434986"/>
    <w:rsid w:val="00434AB9"/>
    <w:rsid w:val="00434BA6"/>
    <w:rsid w:val="00434C18"/>
    <w:rsid w:val="00434D6D"/>
    <w:rsid w:val="00434EF6"/>
    <w:rsid w:val="00434EF8"/>
    <w:rsid w:val="00434F62"/>
    <w:rsid w:val="004351A5"/>
    <w:rsid w:val="0043526C"/>
    <w:rsid w:val="004352C7"/>
    <w:rsid w:val="004354F8"/>
    <w:rsid w:val="00435573"/>
    <w:rsid w:val="00435623"/>
    <w:rsid w:val="004356F7"/>
    <w:rsid w:val="0043574D"/>
    <w:rsid w:val="004357C7"/>
    <w:rsid w:val="004358E7"/>
    <w:rsid w:val="00435966"/>
    <w:rsid w:val="00435993"/>
    <w:rsid w:val="004359A7"/>
    <w:rsid w:val="004359C8"/>
    <w:rsid w:val="00435AD0"/>
    <w:rsid w:val="00435B32"/>
    <w:rsid w:val="00435C60"/>
    <w:rsid w:val="00435CD9"/>
    <w:rsid w:val="00435DD5"/>
    <w:rsid w:val="00435E92"/>
    <w:rsid w:val="00435EC2"/>
    <w:rsid w:val="00435F0F"/>
    <w:rsid w:val="00435F1D"/>
    <w:rsid w:val="004360C2"/>
    <w:rsid w:val="00436139"/>
    <w:rsid w:val="00436185"/>
    <w:rsid w:val="004361A5"/>
    <w:rsid w:val="00436220"/>
    <w:rsid w:val="00436315"/>
    <w:rsid w:val="00436340"/>
    <w:rsid w:val="004363A1"/>
    <w:rsid w:val="0043656A"/>
    <w:rsid w:val="00436589"/>
    <w:rsid w:val="004365D4"/>
    <w:rsid w:val="0043679A"/>
    <w:rsid w:val="004367EE"/>
    <w:rsid w:val="0043698D"/>
    <w:rsid w:val="004369A8"/>
    <w:rsid w:val="00436A5A"/>
    <w:rsid w:val="00436D5E"/>
    <w:rsid w:val="00436D74"/>
    <w:rsid w:val="00436E18"/>
    <w:rsid w:val="00436F7F"/>
    <w:rsid w:val="00436FC1"/>
    <w:rsid w:val="004372A5"/>
    <w:rsid w:val="0043741F"/>
    <w:rsid w:val="0043742E"/>
    <w:rsid w:val="004374DD"/>
    <w:rsid w:val="004374E4"/>
    <w:rsid w:val="0043756F"/>
    <w:rsid w:val="00437622"/>
    <w:rsid w:val="004376B9"/>
    <w:rsid w:val="00437822"/>
    <w:rsid w:val="0043783B"/>
    <w:rsid w:val="0043785D"/>
    <w:rsid w:val="00437877"/>
    <w:rsid w:val="00437AC1"/>
    <w:rsid w:val="00437AD0"/>
    <w:rsid w:val="00437C6B"/>
    <w:rsid w:val="00437CA3"/>
    <w:rsid w:val="00437E32"/>
    <w:rsid w:val="00437E85"/>
    <w:rsid w:val="00437F1F"/>
    <w:rsid w:val="00437F4C"/>
    <w:rsid w:val="00437FD2"/>
    <w:rsid w:val="004402F9"/>
    <w:rsid w:val="0044041F"/>
    <w:rsid w:val="00440573"/>
    <w:rsid w:val="004405D7"/>
    <w:rsid w:val="004405E3"/>
    <w:rsid w:val="0044068A"/>
    <w:rsid w:val="004406B7"/>
    <w:rsid w:val="00440853"/>
    <w:rsid w:val="0044091A"/>
    <w:rsid w:val="004409A6"/>
    <w:rsid w:val="004409B7"/>
    <w:rsid w:val="00440A8D"/>
    <w:rsid w:val="00440B71"/>
    <w:rsid w:val="00440B9C"/>
    <w:rsid w:val="00440BC5"/>
    <w:rsid w:val="00440D31"/>
    <w:rsid w:val="00440D51"/>
    <w:rsid w:val="00440DD7"/>
    <w:rsid w:val="0044128A"/>
    <w:rsid w:val="00441312"/>
    <w:rsid w:val="00441332"/>
    <w:rsid w:val="00441344"/>
    <w:rsid w:val="00441392"/>
    <w:rsid w:val="00441438"/>
    <w:rsid w:val="004415D5"/>
    <w:rsid w:val="00441609"/>
    <w:rsid w:val="00441638"/>
    <w:rsid w:val="004416D8"/>
    <w:rsid w:val="00441952"/>
    <w:rsid w:val="00441954"/>
    <w:rsid w:val="0044199E"/>
    <w:rsid w:val="004419D1"/>
    <w:rsid w:val="00441A02"/>
    <w:rsid w:val="00441A07"/>
    <w:rsid w:val="00441AA4"/>
    <w:rsid w:val="00441B03"/>
    <w:rsid w:val="00441D48"/>
    <w:rsid w:val="00441D66"/>
    <w:rsid w:val="00441E16"/>
    <w:rsid w:val="00441E26"/>
    <w:rsid w:val="00441ED0"/>
    <w:rsid w:val="004420C9"/>
    <w:rsid w:val="004421D2"/>
    <w:rsid w:val="00442243"/>
    <w:rsid w:val="00442248"/>
    <w:rsid w:val="004422AA"/>
    <w:rsid w:val="004423A5"/>
    <w:rsid w:val="0044250F"/>
    <w:rsid w:val="00442635"/>
    <w:rsid w:val="004426A2"/>
    <w:rsid w:val="0044275E"/>
    <w:rsid w:val="0044277D"/>
    <w:rsid w:val="004427BD"/>
    <w:rsid w:val="00442801"/>
    <w:rsid w:val="00442843"/>
    <w:rsid w:val="0044289A"/>
    <w:rsid w:val="00442907"/>
    <w:rsid w:val="00442A79"/>
    <w:rsid w:val="00442B15"/>
    <w:rsid w:val="00442C9C"/>
    <w:rsid w:val="00442CA2"/>
    <w:rsid w:val="00442D65"/>
    <w:rsid w:val="00442D8F"/>
    <w:rsid w:val="00442DCD"/>
    <w:rsid w:val="00442E43"/>
    <w:rsid w:val="00442F97"/>
    <w:rsid w:val="0044305F"/>
    <w:rsid w:val="004430A4"/>
    <w:rsid w:val="00443539"/>
    <w:rsid w:val="00443544"/>
    <w:rsid w:val="004435AD"/>
    <w:rsid w:val="004435C0"/>
    <w:rsid w:val="00443618"/>
    <w:rsid w:val="00443666"/>
    <w:rsid w:val="0044377F"/>
    <w:rsid w:val="004439C7"/>
    <w:rsid w:val="00443A23"/>
    <w:rsid w:val="00443A7D"/>
    <w:rsid w:val="00444054"/>
    <w:rsid w:val="00444196"/>
    <w:rsid w:val="00444295"/>
    <w:rsid w:val="004442DA"/>
    <w:rsid w:val="0044432B"/>
    <w:rsid w:val="00444359"/>
    <w:rsid w:val="0044438C"/>
    <w:rsid w:val="00444410"/>
    <w:rsid w:val="00444459"/>
    <w:rsid w:val="004444CA"/>
    <w:rsid w:val="0044471F"/>
    <w:rsid w:val="0044486E"/>
    <w:rsid w:val="004448B4"/>
    <w:rsid w:val="0044492D"/>
    <w:rsid w:val="004449F8"/>
    <w:rsid w:val="00444B66"/>
    <w:rsid w:val="00444C03"/>
    <w:rsid w:val="00444C40"/>
    <w:rsid w:val="00444D51"/>
    <w:rsid w:val="00444D79"/>
    <w:rsid w:val="00444DD6"/>
    <w:rsid w:val="00444DEF"/>
    <w:rsid w:val="00444ED9"/>
    <w:rsid w:val="00444EE0"/>
    <w:rsid w:val="00444F39"/>
    <w:rsid w:val="004450C6"/>
    <w:rsid w:val="0044512E"/>
    <w:rsid w:val="004452F6"/>
    <w:rsid w:val="0044558C"/>
    <w:rsid w:val="0044561D"/>
    <w:rsid w:val="0044563B"/>
    <w:rsid w:val="00445644"/>
    <w:rsid w:val="004457C2"/>
    <w:rsid w:val="004457E6"/>
    <w:rsid w:val="00445822"/>
    <w:rsid w:val="00445888"/>
    <w:rsid w:val="004458BC"/>
    <w:rsid w:val="004459A4"/>
    <w:rsid w:val="00445A5C"/>
    <w:rsid w:val="00445BB6"/>
    <w:rsid w:val="00445C6B"/>
    <w:rsid w:val="00445CEE"/>
    <w:rsid w:val="00445CF9"/>
    <w:rsid w:val="00445DAE"/>
    <w:rsid w:val="00445EF5"/>
    <w:rsid w:val="00445FA4"/>
    <w:rsid w:val="0044611C"/>
    <w:rsid w:val="00446167"/>
    <w:rsid w:val="004462D9"/>
    <w:rsid w:val="0044635B"/>
    <w:rsid w:val="004464E2"/>
    <w:rsid w:val="00446608"/>
    <w:rsid w:val="00446706"/>
    <w:rsid w:val="00446734"/>
    <w:rsid w:val="00446885"/>
    <w:rsid w:val="004469B2"/>
    <w:rsid w:val="00446A0F"/>
    <w:rsid w:val="00446ACD"/>
    <w:rsid w:val="00446B63"/>
    <w:rsid w:val="00446B8A"/>
    <w:rsid w:val="00446C3A"/>
    <w:rsid w:val="00446D1A"/>
    <w:rsid w:val="00446D60"/>
    <w:rsid w:val="00446E13"/>
    <w:rsid w:val="00446E7B"/>
    <w:rsid w:val="00447164"/>
    <w:rsid w:val="00447165"/>
    <w:rsid w:val="0044732C"/>
    <w:rsid w:val="00447338"/>
    <w:rsid w:val="0044733D"/>
    <w:rsid w:val="0044750A"/>
    <w:rsid w:val="004476A1"/>
    <w:rsid w:val="004476FD"/>
    <w:rsid w:val="0044776A"/>
    <w:rsid w:val="00447802"/>
    <w:rsid w:val="00447824"/>
    <w:rsid w:val="004478E7"/>
    <w:rsid w:val="0044797C"/>
    <w:rsid w:val="004479A3"/>
    <w:rsid w:val="004479CE"/>
    <w:rsid w:val="00447A64"/>
    <w:rsid w:val="00447AD3"/>
    <w:rsid w:val="00447AEB"/>
    <w:rsid w:val="00447BA5"/>
    <w:rsid w:val="00447C4D"/>
    <w:rsid w:val="00447C71"/>
    <w:rsid w:val="00447DA4"/>
    <w:rsid w:val="00447DDA"/>
    <w:rsid w:val="00447DE6"/>
    <w:rsid w:val="00447E06"/>
    <w:rsid w:val="00447E31"/>
    <w:rsid w:val="00447E75"/>
    <w:rsid w:val="00450193"/>
    <w:rsid w:val="004501CA"/>
    <w:rsid w:val="0045023C"/>
    <w:rsid w:val="00450298"/>
    <w:rsid w:val="004502D7"/>
    <w:rsid w:val="0045055C"/>
    <w:rsid w:val="0045055F"/>
    <w:rsid w:val="0045057F"/>
    <w:rsid w:val="00450594"/>
    <w:rsid w:val="004505BE"/>
    <w:rsid w:val="004505D7"/>
    <w:rsid w:val="00450737"/>
    <w:rsid w:val="00450738"/>
    <w:rsid w:val="0045078F"/>
    <w:rsid w:val="004507C4"/>
    <w:rsid w:val="0045093B"/>
    <w:rsid w:val="00450A0A"/>
    <w:rsid w:val="00450A4F"/>
    <w:rsid w:val="00450AF6"/>
    <w:rsid w:val="00450B29"/>
    <w:rsid w:val="00450B48"/>
    <w:rsid w:val="00450C25"/>
    <w:rsid w:val="00450C2C"/>
    <w:rsid w:val="00450C94"/>
    <w:rsid w:val="00450D0B"/>
    <w:rsid w:val="00450D28"/>
    <w:rsid w:val="00450D77"/>
    <w:rsid w:val="00450E15"/>
    <w:rsid w:val="00450E44"/>
    <w:rsid w:val="00450F22"/>
    <w:rsid w:val="00450FAE"/>
    <w:rsid w:val="00451089"/>
    <w:rsid w:val="00451328"/>
    <w:rsid w:val="0045134D"/>
    <w:rsid w:val="00451425"/>
    <w:rsid w:val="0045150A"/>
    <w:rsid w:val="0045163D"/>
    <w:rsid w:val="0045168B"/>
    <w:rsid w:val="0045169F"/>
    <w:rsid w:val="004516BC"/>
    <w:rsid w:val="00451733"/>
    <w:rsid w:val="00451795"/>
    <w:rsid w:val="00451864"/>
    <w:rsid w:val="0045194E"/>
    <w:rsid w:val="0045199F"/>
    <w:rsid w:val="00451B84"/>
    <w:rsid w:val="00451BDB"/>
    <w:rsid w:val="00451D02"/>
    <w:rsid w:val="00451DDB"/>
    <w:rsid w:val="00451E18"/>
    <w:rsid w:val="00451E5A"/>
    <w:rsid w:val="00451E89"/>
    <w:rsid w:val="00451EEB"/>
    <w:rsid w:val="00451FAC"/>
    <w:rsid w:val="004520B2"/>
    <w:rsid w:val="00452199"/>
    <w:rsid w:val="004522F8"/>
    <w:rsid w:val="004524D7"/>
    <w:rsid w:val="0045254D"/>
    <w:rsid w:val="00452575"/>
    <w:rsid w:val="004526D7"/>
    <w:rsid w:val="00452723"/>
    <w:rsid w:val="0045278A"/>
    <w:rsid w:val="00452A95"/>
    <w:rsid w:val="00452B6E"/>
    <w:rsid w:val="00452CBF"/>
    <w:rsid w:val="00452CC0"/>
    <w:rsid w:val="00452D97"/>
    <w:rsid w:val="00452E37"/>
    <w:rsid w:val="00452EF0"/>
    <w:rsid w:val="00452FF2"/>
    <w:rsid w:val="00453148"/>
    <w:rsid w:val="0045327A"/>
    <w:rsid w:val="004533F9"/>
    <w:rsid w:val="00453501"/>
    <w:rsid w:val="00453665"/>
    <w:rsid w:val="0045374F"/>
    <w:rsid w:val="004537FB"/>
    <w:rsid w:val="004538BE"/>
    <w:rsid w:val="00453925"/>
    <w:rsid w:val="00453BCA"/>
    <w:rsid w:val="00453BED"/>
    <w:rsid w:val="00453C97"/>
    <w:rsid w:val="00453CD1"/>
    <w:rsid w:val="00453CD9"/>
    <w:rsid w:val="00453DC5"/>
    <w:rsid w:val="00453E8B"/>
    <w:rsid w:val="00453F60"/>
    <w:rsid w:val="00453FA0"/>
    <w:rsid w:val="00453FCA"/>
    <w:rsid w:val="00453FE6"/>
    <w:rsid w:val="004540D0"/>
    <w:rsid w:val="00454232"/>
    <w:rsid w:val="0045427A"/>
    <w:rsid w:val="0045428E"/>
    <w:rsid w:val="004543D0"/>
    <w:rsid w:val="0045447D"/>
    <w:rsid w:val="00454641"/>
    <w:rsid w:val="0045468F"/>
    <w:rsid w:val="00454739"/>
    <w:rsid w:val="00454752"/>
    <w:rsid w:val="004547BD"/>
    <w:rsid w:val="004547F7"/>
    <w:rsid w:val="00454849"/>
    <w:rsid w:val="00454871"/>
    <w:rsid w:val="00454A2D"/>
    <w:rsid w:val="00454B09"/>
    <w:rsid w:val="00454B0B"/>
    <w:rsid w:val="00454B61"/>
    <w:rsid w:val="00454C16"/>
    <w:rsid w:val="00454C2A"/>
    <w:rsid w:val="00454C90"/>
    <w:rsid w:val="00454CCF"/>
    <w:rsid w:val="00454D00"/>
    <w:rsid w:val="00454D01"/>
    <w:rsid w:val="00454DA9"/>
    <w:rsid w:val="00454DC0"/>
    <w:rsid w:val="00454F8A"/>
    <w:rsid w:val="00454FAB"/>
    <w:rsid w:val="00454FEF"/>
    <w:rsid w:val="004550C3"/>
    <w:rsid w:val="004551DE"/>
    <w:rsid w:val="00455223"/>
    <w:rsid w:val="0045530F"/>
    <w:rsid w:val="00455317"/>
    <w:rsid w:val="0045568C"/>
    <w:rsid w:val="004557A4"/>
    <w:rsid w:val="004557CB"/>
    <w:rsid w:val="00455825"/>
    <w:rsid w:val="0045588C"/>
    <w:rsid w:val="004559B9"/>
    <w:rsid w:val="004559E7"/>
    <w:rsid w:val="00455A2C"/>
    <w:rsid w:val="00455A40"/>
    <w:rsid w:val="00455BFC"/>
    <w:rsid w:val="00455C0E"/>
    <w:rsid w:val="00455C14"/>
    <w:rsid w:val="00455D63"/>
    <w:rsid w:val="00455DE4"/>
    <w:rsid w:val="00455EEE"/>
    <w:rsid w:val="00455F0C"/>
    <w:rsid w:val="00455FC5"/>
    <w:rsid w:val="00455FEC"/>
    <w:rsid w:val="004560E0"/>
    <w:rsid w:val="004560EB"/>
    <w:rsid w:val="004560FA"/>
    <w:rsid w:val="00456154"/>
    <w:rsid w:val="0045619C"/>
    <w:rsid w:val="004561A7"/>
    <w:rsid w:val="004561EE"/>
    <w:rsid w:val="0045628B"/>
    <w:rsid w:val="00456350"/>
    <w:rsid w:val="0045657E"/>
    <w:rsid w:val="00456656"/>
    <w:rsid w:val="0045666B"/>
    <w:rsid w:val="0045674D"/>
    <w:rsid w:val="0045679C"/>
    <w:rsid w:val="004567AC"/>
    <w:rsid w:val="004567D0"/>
    <w:rsid w:val="00456809"/>
    <w:rsid w:val="00456841"/>
    <w:rsid w:val="0045686D"/>
    <w:rsid w:val="004568A4"/>
    <w:rsid w:val="0045697D"/>
    <w:rsid w:val="00456A04"/>
    <w:rsid w:val="00456A0A"/>
    <w:rsid w:val="00456A3D"/>
    <w:rsid w:val="00456A71"/>
    <w:rsid w:val="00456A74"/>
    <w:rsid w:val="00456A79"/>
    <w:rsid w:val="00456B5C"/>
    <w:rsid w:val="00456D1D"/>
    <w:rsid w:val="00456D40"/>
    <w:rsid w:val="00456D64"/>
    <w:rsid w:val="00456ED4"/>
    <w:rsid w:val="00456F31"/>
    <w:rsid w:val="00456F8E"/>
    <w:rsid w:val="00456FA2"/>
    <w:rsid w:val="00456FC9"/>
    <w:rsid w:val="00456FED"/>
    <w:rsid w:val="00457154"/>
    <w:rsid w:val="0045720A"/>
    <w:rsid w:val="00457245"/>
    <w:rsid w:val="0045729E"/>
    <w:rsid w:val="00457375"/>
    <w:rsid w:val="004573D8"/>
    <w:rsid w:val="0045743C"/>
    <w:rsid w:val="00457446"/>
    <w:rsid w:val="0045744B"/>
    <w:rsid w:val="004574B3"/>
    <w:rsid w:val="004575CE"/>
    <w:rsid w:val="0045763B"/>
    <w:rsid w:val="00457847"/>
    <w:rsid w:val="0045785D"/>
    <w:rsid w:val="00457866"/>
    <w:rsid w:val="0045795A"/>
    <w:rsid w:val="00457A5C"/>
    <w:rsid w:val="00457AB1"/>
    <w:rsid w:val="00457ACC"/>
    <w:rsid w:val="00457AF9"/>
    <w:rsid w:val="00457BAD"/>
    <w:rsid w:val="00457C06"/>
    <w:rsid w:val="00457C4F"/>
    <w:rsid w:val="00457C72"/>
    <w:rsid w:val="00457CC1"/>
    <w:rsid w:val="00457D07"/>
    <w:rsid w:val="00457DF0"/>
    <w:rsid w:val="00457DFD"/>
    <w:rsid w:val="00457EB0"/>
    <w:rsid w:val="00457ED0"/>
    <w:rsid w:val="00457F77"/>
    <w:rsid w:val="004601E7"/>
    <w:rsid w:val="00460277"/>
    <w:rsid w:val="0046042A"/>
    <w:rsid w:val="00460493"/>
    <w:rsid w:val="00460631"/>
    <w:rsid w:val="00460867"/>
    <w:rsid w:val="00460935"/>
    <w:rsid w:val="004609BE"/>
    <w:rsid w:val="00460B0A"/>
    <w:rsid w:val="00460B68"/>
    <w:rsid w:val="00460D3A"/>
    <w:rsid w:val="00461191"/>
    <w:rsid w:val="0046119E"/>
    <w:rsid w:val="004612B9"/>
    <w:rsid w:val="0046130E"/>
    <w:rsid w:val="00461330"/>
    <w:rsid w:val="0046135D"/>
    <w:rsid w:val="00461473"/>
    <w:rsid w:val="0046173E"/>
    <w:rsid w:val="00461748"/>
    <w:rsid w:val="004618F4"/>
    <w:rsid w:val="004619F2"/>
    <w:rsid w:val="00461A5C"/>
    <w:rsid w:val="00461AAC"/>
    <w:rsid w:val="00461BA7"/>
    <w:rsid w:val="00461C66"/>
    <w:rsid w:val="00461E81"/>
    <w:rsid w:val="00461F2A"/>
    <w:rsid w:val="00462009"/>
    <w:rsid w:val="0046210E"/>
    <w:rsid w:val="0046215C"/>
    <w:rsid w:val="0046219F"/>
    <w:rsid w:val="00462222"/>
    <w:rsid w:val="00462224"/>
    <w:rsid w:val="00462489"/>
    <w:rsid w:val="004624DC"/>
    <w:rsid w:val="00462520"/>
    <w:rsid w:val="00462537"/>
    <w:rsid w:val="004625D3"/>
    <w:rsid w:val="004626B7"/>
    <w:rsid w:val="0046282E"/>
    <w:rsid w:val="004628C8"/>
    <w:rsid w:val="004628EC"/>
    <w:rsid w:val="0046298D"/>
    <w:rsid w:val="004629EB"/>
    <w:rsid w:val="00462A90"/>
    <w:rsid w:val="00462B44"/>
    <w:rsid w:val="00462B6C"/>
    <w:rsid w:val="00462B6F"/>
    <w:rsid w:val="00462C10"/>
    <w:rsid w:val="00462C30"/>
    <w:rsid w:val="00462D2E"/>
    <w:rsid w:val="00462D49"/>
    <w:rsid w:val="00462DB6"/>
    <w:rsid w:val="00462E14"/>
    <w:rsid w:val="00462E8B"/>
    <w:rsid w:val="00462EB8"/>
    <w:rsid w:val="00462F07"/>
    <w:rsid w:val="00462FCF"/>
    <w:rsid w:val="0046314B"/>
    <w:rsid w:val="004631CE"/>
    <w:rsid w:val="004631F8"/>
    <w:rsid w:val="00463235"/>
    <w:rsid w:val="004632F8"/>
    <w:rsid w:val="00463352"/>
    <w:rsid w:val="00463441"/>
    <w:rsid w:val="00463493"/>
    <w:rsid w:val="00463538"/>
    <w:rsid w:val="0046357F"/>
    <w:rsid w:val="004636FC"/>
    <w:rsid w:val="00463809"/>
    <w:rsid w:val="00463837"/>
    <w:rsid w:val="0046395C"/>
    <w:rsid w:val="00463A91"/>
    <w:rsid w:val="00463AC1"/>
    <w:rsid w:val="00463D0E"/>
    <w:rsid w:val="00463D1C"/>
    <w:rsid w:val="00463D58"/>
    <w:rsid w:val="00463DA9"/>
    <w:rsid w:val="00463DDD"/>
    <w:rsid w:val="00463ED4"/>
    <w:rsid w:val="00463F52"/>
    <w:rsid w:val="00463FB9"/>
    <w:rsid w:val="00463FC7"/>
    <w:rsid w:val="00464236"/>
    <w:rsid w:val="0046455D"/>
    <w:rsid w:val="00464609"/>
    <w:rsid w:val="0046473A"/>
    <w:rsid w:val="00464832"/>
    <w:rsid w:val="00464901"/>
    <w:rsid w:val="00464A15"/>
    <w:rsid w:val="00464A94"/>
    <w:rsid w:val="00464B7A"/>
    <w:rsid w:val="00464BB8"/>
    <w:rsid w:val="00464CCE"/>
    <w:rsid w:val="00464D49"/>
    <w:rsid w:val="00464D5C"/>
    <w:rsid w:val="00464E7A"/>
    <w:rsid w:val="00464EC1"/>
    <w:rsid w:val="0046500C"/>
    <w:rsid w:val="004650E3"/>
    <w:rsid w:val="004651D7"/>
    <w:rsid w:val="00465301"/>
    <w:rsid w:val="0046560F"/>
    <w:rsid w:val="0046563E"/>
    <w:rsid w:val="004656EE"/>
    <w:rsid w:val="00465772"/>
    <w:rsid w:val="004657CF"/>
    <w:rsid w:val="004658B6"/>
    <w:rsid w:val="00465906"/>
    <w:rsid w:val="004659D8"/>
    <w:rsid w:val="00465C49"/>
    <w:rsid w:val="00465CBE"/>
    <w:rsid w:val="00465D27"/>
    <w:rsid w:val="004660FE"/>
    <w:rsid w:val="004661CB"/>
    <w:rsid w:val="0046656F"/>
    <w:rsid w:val="00466599"/>
    <w:rsid w:val="00466783"/>
    <w:rsid w:val="00466785"/>
    <w:rsid w:val="004667C6"/>
    <w:rsid w:val="004667D2"/>
    <w:rsid w:val="0046682F"/>
    <w:rsid w:val="00466860"/>
    <w:rsid w:val="0046691C"/>
    <w:rsid w:val="0046692E"/>
    <w:rsid w:val="00466B53"/>
    <w:rsid w:val="00466BA5"/>
    <w:rsid w:val="00466C6D"/>
    <w:rsid w:val="00466E01"/>
    <w:rsid w:val="00466E95"/>
    <w:rsid w:val="00466F13"/>
    <w:rsid w:val="00467081"/>
    <w:rsid w:val="004670AE"/>
    <w:rsid w:val="004670E1"/>
    <w:rsid w:val="004671DF"/>
    <w:rsid w:val="0046729B"/>
    <w:rsid w:val="00467370"/>
    <w:rsid w:val="00467373"/>
    <w:rsid w:val="00467392"/>
    <w:rsid w:val="004674F3"/>
    <w:rsid w:val="0046751D"/>
    <w:rsid w:val="00467572"/>
    <w:rsid w:val="004675E0"/>
    <w:rsid w:val="004676E6"/>
    <w:rsid w:val="004677DA"/>
    <w:rsid w:val="004678F5"/>
    <w:rsid w:val="00467913"/>
    <w:rsid w:val="00467A3B"/>
    <w:rsid w:val="00467AC1"/>
    <w:rsid w:val="00467B66"/>
    <w:rsid w:val="00467B9B"/>
    <w:rsid w:val="00467BA3"/>
    <w:rsid w:val="00467BB6"/>
    <w:rsid w:val="00467C4C"/>
    <w:rsid w:val="00467DF5"/>
    <w:rsid w:val="00467F9D"/>
    <w:rsid w:val="0047009F"/>
    <w:rsid w:val="004700A2"/>
    <w:rsid w:val="00470100"/>
    <w:rsid w:val="0047015D"/>
    <w:rsid w:val="00470311"/>
    <w:rsid w:val="004703B3"/>
    <w:rsid w:val="00470537"/>
    <w:rsid w:val="0047055E"/>
    <w:rsid w:val="004706B7"/>
    <w:rsid w:val="004706C3"/>
    <w:rsid w:val="004708B9"/>
    <w:rsid w:val="004709AC"/>
    <w:rsid w:val="00470B69"/>
    <w:rsid w:val="00470C62"/>
    <w:rsid w:val="00470CEB"/>
    <w:rsid w:val="00470D02"/>
    <w:rsid w:val="00470D03"/>
    <w:rsid w:val="00470DE5"/>
    <w:rsid w:val="00470E51"/>
    <w:rsid w:val="00470E56"/>
    <w:rsid w:val="00470F14"/>
    <w:rsid w:val="00470F9C"/>
    <w:rsid w:val="004710AA"/>
    <w:rsid w:val="0047122F"/>
    <w:rsid w:val="00471336"/>
    <w:rsid w:val="00471494"/>
    <w:rsid w:val="004714B8"/>
    <w:rsid w:val="0047154F"/>
    <w:rsid w:val="004716BF"/>
    <w:rsid w:val="00471790"/>
    <w:rsid w:val="004717BD"/>
    <w:rsid w:val="00471A15"/>
    <w:rsid w:val="00471A47"/>
    <w:rsid w:val="00471BB5"/>
    <w:rsid w:val="00471C5F"/>
    <w:rsid w:val="00471E47"/>
    <w:rsid w:val="00471E7A"/>
    <w:rsid w:val="00471E8C"/>
    <w:rsid w:val="00472073"/>
    <w:rsid w:val="0047220A"/>
    <w:rsid w:val="0047232C"/>
    <w:rsid w:val="0047234A"/>
    <w:rsid w:val="00472400"/>
    <w:rsid w:val="0047244B"/>
    <w:rsid w:val="0047249F"/>
    <w:rsid w:val="004724A7"/>
    <w:rsid w:val="004725CB"/>
    <w:rsid w:val="0047263B"/>
    <w:rsid w:val="00472681"/>
    <w:rsid w:val="00472695"/>
    <w:rsid w:val="004726B0"/>
    <w:rsid w:val="004726BE"/>
    <w:rsid w:val="0047290B"/>
    <w:rsid w:val="00472A31"/>
    <w:rsid w:val="00472A48"/>
    <w:rsid w:val="00472AC5"/>
    <w:rsid w:val="00472C6B"/>
    <w:rsid w:val="00472CA2"/>
    <w:rsid w:val="00472CAC"/>
    <w:rsid w:val="00472DC9"/>
    <w:rsid w:val="00472E70"/>
    <w:rsid w:val="004730D4"/>
    <w:rsid w:val="004730E3"/>
    <w:rsid w:val="004730E5"/>
    <w:rsid w:val="00473166"/>
    <w:rsid w:val="00473213"/>
    <w:rsid w:val="004732C7"/>
    <w:rsid w:val="0047345E"/>
    <w:rsid w:val="00473594"/>
    <w:rsid w:val="0047363E"/>
    <w:rsid w:val="004736B6"/>
    <w:rsid w:val="0047377F"/>
    <w:rsid w:val="004737FB"/>
    <w:rsid w:val="0047393F"/>
    <w:rsid w:val="0047394E"/>
    <w:rsid w:val="00473D77"/>
    <w:rsid w:val="00473DA1"/>
    <w:rsid w:val="00473E8C"/>
    <w:rsid w:val="0047414F"/>
    <w:rsid w:val="00474298"/>
    <w:rsid w:val="00474359"/>
    <w:rsid w:val="004745C1"/>
    <w:rsid w:val="00474628"/>
    <w:rsid w:val="00474655"/>
    <w:rsid w:val="00474676"/>
    <w:rsid w:val="004747CA"/>
    <w:rsid w:val="00474835"/>
    <w:rsid w:val="0047488D"/>
    <w:rsid w:val="004748CC"/>
    <w:rsid w:val="00474995"/>
    <w:rsid w:val="00474D91"/>
    <w:rsid w:val="00474E41"/>
    <w:rsid w:val="00474F16"/>
    <w:rsid w:val="00475029"/>
    <w:rsid w:val="004751A0"/>
    <w:rsid w:val="004751B8"/>
    <w:rsid w:val="0047535A"/>
    <w:rsid w:val="004755FA"/>
    <w:rsid w:val="0047562F"/>
    <w:rsid w:val="00475658"/>
    <w:rsid w:val="00475993"/>
    <w:rsid w:val="004759D5"/>
    <w:rsid w:val="00475AEB"/>
    <w:rsid w:val="00475B08"/>
    <w:rsid w:val="00475BF9"/>
    <w:rsid w:val="00475C08"/>
    <w:rsid w:val="00475C3D"/>
    <w:rsid w:val="00475F43"/>
    <w:rsid w:val="00475F64"/>
    <w:rsid w:val="00476015"/>
    <w:rsid w:val="00476089"/>
    <w:rsid w:val="004760B9"/>
    <w:rsid w:val="004762BE"/>
    <w:rsid w:val="0047632B"/>
    <w:rsid w:val="00476452"/>
    <w:rsid w:val="004764CC"/>
    <w:rsid w:val="0047655F"/>
    <w:rsid w:val="00476606"/>
    <w:rsid w:val="004766D0"/>
    <w:rsid w:val="004767D6"/>
    <w:rsid w:val="00476ADD"/>
    <w:rsid w:val="00476AFC"/>
    <w:rsid w:val="00476B35"/>
    <w:rsid w:val="00476C16"/>
    <w:rsid w:val="00476CBA"/>
    <w:rsid w:val="00476D44"/>
    <w:rsid w:val="00476EDB"/>
    <w:rsid w:val="00477127"/>
    <w:rsid w:val="004772BD"/>
    <w:rsid w:val="0047743B"/>
    <w:rsid w:val="0047748C"/>
    <w:rsid w:val="004775E3"/>
    <w:rsid w:val="004778BA"/>
    <w:rsid w:val="00477950"/>
    <w:rsid w:val="004779A6"/>
    <w:rsid w:val="00477B4E"/>
    <w:rsid w:val="00477C30"/>
    <w:rsid w:val="00477D10"/>
    <w:rsid w:val="00477E51"/>
    <w:rsid w:val="00477E91"/>
    <w:rsid w:val="00480003"/>
    <w:rsid w:val="00480077"/>
    <w:rsid w:val="004800FB"/>
    <w:rsid w:val="004801E2"/>
    <w:rsid w:val="004801F8"/>
    <w:rsid w:val="004802B1"/>
    <w:rsid w:val="00480405"/>
    <w:rsid w:val="00480418"/>
    <w:rsid w:val="00480420"/>
    <w:rsid w:val="00480465"/>
    <w:rsid w:val="0048047C"/>
    <w:rsid w:val="00480510"/>
    <w:rsid w:val="00480542"/>
    <w:rsid w:val="004805D6"/>
    <w:rsid w:val="0048092E"/>
    <w:rsid w:val="00480C39"/>
    <w:rsid w:val="00480C53"/>
    <w:rsid w:val="00480D55"/>
    <w:rsid w:val="00480DD8"/>
    <w:rsid w:val="00480E10"/>
    <w:rsid w:val="00480E41"/>
    <w:rsid w:val="00480EA5"/>
    <w:rsid w:val="00480EE0"/>
    <w:rsid w:val="00481039"/>
    <w:rsid w:val="00481159"/>
    <w:rsid w:val="004811FC"/>
    <w:rsid w:val="00481281"/>
    <w:rsid w:val="00481299"/>
    <w:rsid w:val="004812A5"/>
    <w:rsid w:val="004813DC"/>
    <w:rsid w:val="004813F9"/>
    <w:rsid w:val="0048141D"/>
    <w:rsid w:val="0048144C"/>
    <w:rsid w:val="0048148B"/>
    <w:rsid w:val="004814F7"/>
    <w:rsid w:val="00481684"/>
    <w:rsid w:val="0048168E"/>
    <w:rsid w:val="00481752"/>
    <w:rsid w:val="004818B5"/>
    <w:rsid w:val="00481B42"/>
    <w:rsid w:val="00481B56"/>
    <w:rsid w:val="00481B79"/>
    <w:rsid w:val="00481B97"/>
    <w:rsid w:val="00481BD7"/>
    <w:rsid w:val="00481D6E"/>
    <w:rsid w:val="00481D9D"/>
    <w:rsid w:val="00481E2D"/>
    <w:rsid w:val="00481E6B"/>
    <w:rsid w:val="00481FD9"/>
    <w:rsid w:val="0048200F"/>
    <w:rsid w:val="0048207F"/>
    <w:rsid w:val="00482132"/>
    <w:rsid w:val="00482168"/>
    <w:rsid w:val="00482172"/>
    <w:rsid w:val="0048218A"/>
    <w:rsid w:val="0048220B"/>
    <w:rsid w:val="00482247"/>
    <w:rsid w:val="0048229B"/>
    <w:rsid w:val="0048237D"/>
    <w:rsid w:val="00482633"/>
    <w:rsid w:val="0048267E"/>
    <w:rsid w:val="00482966"/>
    <w:rsid w:val="00482A8B"/>
    <w:rsid w:val="00482ABD"/>
    <w:rsid w:val="00482BBB"/>
    <w:rsid w:val="00482C86"/>
    <w:rsid w:val="00482D03"/>
    <w:rsid w:val="0048301B"/>
    <w:rsid w:val="0048301C"/>
    <w:rsid w:val="00483024"/>
    <w:rsid w:val="0048305F"/>
    <w:rsid w:val="00483084"/>
    <w:rsid w:val="004831AA"/>
    <w:rsid w:val="004831C5"/>
    <w:rsid w:val="004832B2"/>
    <w:rsid w:val="0048332C"/>
    <w:rsid w:val="0048332D"/>
    <w:rsid w:val="0048336C"/>
    <w:rsid w:val="004833F4"/>
    <w:rsid w:val="00483416"/>
    <w:rsid w:val="00483482"/>
    <w:rsid w:val="00483512"/>
    <w:rsid w:val="00483597"/>
    <w:rsid w:val="0048367B"/>
    <w:rsid w:val="004836C8"/>
    <w:rsid w:val="004836DC"/>
    <w:rsid w:val="004837E6"/>
    <w:rsid w:val="004837F0"/>
    <w:rsid w:val="0048380F"/>
    <w:rsid w:val="0048387A"/>
    <w:rsid w:val="004839E5"/>
    <w:rsid w:val="004839FF"/>
    <w:rsid w:val="00483A3F"/>
    <w:rsid w:val="00483B59"/>
    <w:rsid w:val="00483B94"/>
    <w:rsid w:val="00483C1D"/>
    <w:rsid w:val="00483EA5"/>
    <w:rsid w:val="00483EE7"/>
    <w:rsid w:val="00483F92"/>
    <w:rsid w:val="00484197"/>
    <w:rsid w:val="004841AE"/>
    <w:rsid w:val="004842B0"/>
    <w:rsid w:val="004842B1"/>
    <w:rsid w:val="0048431C"/>
    <w:rsid w:val="0048436C"/>
    <w:rsid w:val="0048438B"/>
    <w:rsid w:val="004843F2"/>
    <w:rsid w:val="004843FB"/>
    <w:rsid w:val="00484480"/>
    <w:rsid w:val="0048465F"/>
    <w:rsid w:val="004846AC"/>
    <w:rsid w:val="004846D4"/>
    <w:rsid w:val="00484791"/>
    <w:rsid w:val="004847D6"/>
    <w:rsid w:val="00484A46"/>
    <w:rsid w:val="00484B76"/>
    <w:rsid w:val="00484BDB"/>
    <w:rsid w:val="00484CBA"/>
    <w:rsid w:val="00484CE4"/>
    <w:rsid w:val="00484D02"/>
    <w:rsid w:val="00484D6D"/>
    <w:rsid w:val="00484D96"/>
    <w:rsid w:val="00484DE0"/>
    <w:rsid w:val="00484F13"/>
    <w:rsid w:val="00484F7A"/>
    <w:rsid w:val="00484FB8"/>
    <w:rsid w:val="00484FCC"/>
    <w:rsid w:val="0048502E"/>
    <w:rsid w:val="0048506F"/>
    <w:rsid w:val="00485076"/>
    <w:rsid w:val="00485094"/>
    <w:rsid w:val="004850E0"/>
    <w:rsid w:val="004852D1"/>
    <w:rsid w:val="004852DA"/>
    <w:rsid w:val="00485391"/>
    <w:rsid w:val="0048547A"/>
    <w:rsid w:val="0048549B"/>
    <w:rsid w:val="0048550A"/>
    <w:rsid w:val="00485616"/>
    <w:rsid w:val="004856CF"/>
    <w:rsid w:val="004857A2"/>
    <w:rsid w:val="004858DA"/>
    <w:rsid w:val="004859A9"/>
    <w:rsid w:val="00485A5C"/>
    <w:rsid w:val="00485BB7"/>
    <w:rsid w:val="00485BF3"/>
    <w:rsid w:val="00485C38"/>
    <w:rsid w:val="00485C39"/>
    <w:rsid w:val="00485CDA"/>
    <w:rsid w:val="00485D15"/>
    <w:rsid w:val="00485DB6"/>
    <w:rsid w:val="00485DCC"/>
    <w:rsid w:val="00485DCF"/>
    <w:rsid w:val="00485EB9"/>
    <w:rsid w:val="00485F14"/>
    <w:rsid w:val="00485F3B"/>
    <w:rsid w:val="00485F96"/>
    <w:rsid w:val="00485FB4"/>
    <w:rsid w:val="00486046"/>
    <w:rsid w:val="00486138"/>
    <w:rsid w:val="00486331"/>
    <w:rsid w:val="00486580"/>
    <w:rsid w:val="004865B2"/>
    <w:rsid w:val="0048661A"/>
    <w:rsid w:val="0048662B"/>
    <w:rsid w:val="0048668F"/>
    <w:rsid w:val="004866AF"/>
    <w:rsid w:val="00486723"/>
    <w:rsid w:val="0048673B"/>
    <w:rsid w:val="00486754"/>
    <w:rsid w:val="004868DB"/>
    <w:rsid w:val="004868F0"/>
    <w:rsid w:val="00486969"/>
    <w:rsid w:val="00486992"/>
    <w:rsid w:val="00486A8E"/>
    <w:rsid w:val="00486AA5"/>
    <w:rsid w:val="00486C8C"/>
    <w:rsid w:val="00486C8E"/>
    <w:rsid w:val="00486D83"/>
    <w:rsid w:val="00486E01"/>
    <w:rsid w:val="00487077"/>
    <w:rsid w:val="00487243"/>
    <w:rsid w:val="0048732F"/>
    <w:rsid w:val="004873BC"/>
    <w:rsid w:val="00487439"/>
    <w:rsid w:val="004874F2"/>
    <w:rsid w:val="00487848"/>
    <w:rsid w:val="00487933"/>
    <w:rsid w:val="004879B8"/>
    <w:rsid w:val="004879CE"/>
    <w:rsid w:val="00487A7F"/>
    <w:rsid w:val="00487CE4"/>
    <w:rsid w:val="00487D5E"/>
    <w:rsid w:val="00487DC8"/>
    <w:rsid w:val="00487ECD"/>
    <w:rsid w:val="00487FE2"/>
    <w:rsid w:val="00490063"/>
    <w:rsid w:val="004902E6"/>
    <w:rsid w:val="0049038B"/>
    <w:rsid w:val="004904A3"/>
    <w:rsid w:val="00490545"/>
    <w:rsid w:val="00490567"/>
    <w:rsid w:val="004906E5"/>
    <w:rsid w:val="004908D2"/>
    <w:rsid w:val="00490902"/>
    <w:rsid w:val="004909A3"/>
    <w:rsid w:val="00490A13"/>
    <w:rsid w:val="00490B17"/>
    <w:rsid w:val="00490B71"/>
    <w:rsid w:val="00490D68"/>
    <w:rsid w:val="00490EBB"/>
    <w:rsid w:val="0049104B"/>
    <w:rsid w:val="004910B1"/>
    <w:rsid w:val="00491220"/>
    <w:rsid w:val="00491276"/>
    <w:rsid w:val="004912A1"/>
    <w:rsid w:val="004913B1"/>
    <w:rsid w:val="004914DB"/>
    <w:rsid w:val="00491629"/>
    <w:rsid w:val="0049166A"/>
    <w:rsid w:val="00491693"/>
    <w:rsid w:val="0049178E"/>
    <w:rsid w:val="00491915"/>
    <w:rsid w:val="00491951"/>
    <w:rsid w:val="0049195D"/>
    <w:rsid w:val="00491AD5"/>
    <w:rsid w:val="00491B4B"/>
    <w:rsid w:val="00491BBD"/>
    <w:rsid w:val="00491C22"/>
    <w:rsid w:val="00491D9A"/>
    <w:rsid w:val="00491E0F"/>
    <w:rsid w:val="00491E9B"/>
    <w:rsid w:val="00491EA7"/>
    <w:rsid w:val="00491F34"/>
    <w:rsid w:val="0049200D"/>
    <w:rsid w:val="00492134"/>
    <w:rsid w:val="00492158"/>
    <w:rsid w:val="00492387"/>
    <w:rsid w:val="004924CC"/>
    <w:rsid w:val="004926FD"/>
    <w:rsid w:val="004927A2"/>
    <w:rsid w:val="00492929"/>
    <w:rsid w:val="00492977"/>
    <w:rsid w:val="004929CC"/>
    <w:rsid w:val="00492C2C"/>
    <w:rsid w:val="00492D2C"/>
    <w:rsid w:val="00492D37"/>
    <w:rsid w:val="00492E6E"/>
    <w:rsid w:val="00492EC5"/>
    <w:rsid w:val="0049302E"/>
    <w:rsid w:val="0049305C"/>
    <w:rsid w:val="0049308B"/>
    <w:rsid w:val="00493170"/>
    <w:rsid w:val="00493189"/>
    <w:rsid w:val="004931B0"/>
    <w:rsid w:val="004931CE"/>
    <w:rsid w:val="00493337"/>
    <w:rsid w:val="00493389"/>
    <w:rsid w:val="004934A2"/>
    <w:rsid w:val="004935FE"/>
    <w:rsid w:val="00493635"/>
    <w:rsid w:val="00493637"/>
    <w:rsid w:val="00493645"/>
    <w:rsid w:val="004936A8"/>
    <w:rsid w:val="004937C0"/>
    <w:rsid w:val="004937D6"/>
    <w:rsid w:val="004937F3"/>
    <w:rsid w:val="00493AD2"/>
    <w:rsid w:val="00493C54"/>
    <w:rsid w:val="00493C60"/>
    <w:rsid w:val="00493D94"/>
    <w:rsid w:val="004941BE"/>
    <w:rsid w:val="0049433C"/>
    <w:rsid w:val="004943AE"/>
    <w:rsid w:val="004943BF"/>
    <w:rsid w:val="004944D1"/>
    <w:rsid w:val="004944E7"/>
    <w:rsid w:val="00494564"/>
    <w:rsid w:val="004945C9"/>
    <w:rsid w:val="004945CD"/>
    <w:rsid w:val="004945D0"/>
    <w:rsid w:val="00494713"/>
    <w:rsid w:val="00494726"/>
    <w:rsid w:val="0049473B"/>
    <w:rsid w:val="0049477C"/>
    <w:rsid w:val="004947BC"/>
    <w:rsid w:val="004948CA"/>
    <w:rsid w:val="00494922"/>
    <w:rsid w:val="004949A4"/>
    <w:rsid w:val="00494A15"/>
    <w:rsid w:val="00494A67"/>
    <w:rsid w:val="00494BCE"/>
    <w:rsid w:val="00494BF8"/>
    <w:rsid w:val="00494C82"/>
    <w:rsid w:val="00494D90"/>
    <w:rsid w:val="00494F96"/>
    <w:rsid w:val="00495042"/>
    <w:rsid w:val="004952BA"/>
    <w:rsid w:val="004952D7"/>
    <w:rsid w:val="004952E3"/>
    <w:rsid w:val="00495309"/>
    <w:rsid w:val="0049535C"/>
    <w:rsid w:val="004953A7"/>
    <w:rsid w:val="004953D2"/>
    <w:rsid w:val="00495591"/>
    <w:rsid w:val="004956B0"/>
    <w:rsid w:val="00495710"/>
    <w:rsid w:val="00495717"/>
    <w:rsid w:val="00495865"/>
    <w:rsid w:val="004958A4"/>
    <w:rsid w:val="00495976"/>
    <w:rsid w:val="00495AB6"/>
    <w:rsid w:val="00495B73"/>
    <w:rsid w:val="00495CB6"/>
    <w:rsid w:val="00495CF6"/>
    <w:rsid w:val="00495D03"/>
    <w:rsid w:val="00495D43"/>
    <w:rsid w:val="00495D48"/>
    <w:rsid w:val="00495D53"/>
    <w:rsid w:val="00495E42"/>
    <w:rsid w:val="00495E9D"/>
    <w:rsid w:val="00495ECB"/>
    <w:rsid w:val="0049612F"/>
    <w:rsid w:val="004962B7"/>
    <w:rsid w:val="0049631D"/>
    <w:rsid w:val="00496353"/>
    <w:rsid w:val="004963E8"/>
    <w:rsid w:val="004963F0"/>
    <w:rsid w:val="004965A9"/>
    <w:rsid w:val="004965F6"/>
    <w:rsid w:val="004965F8"/>
    <w:rsid w:val="00496649"/>
    <w:rsid w:val="0049668A"/>
    <w:rsid w:val="0049669B"/>
    <w:rsid w:val="004966D6"/>
    <w:rsid w:val="004967A0"/>
    <w:rsid w:val="004967A9"/>
    <w:rsid w:val="00496821"/>
    <w:rsid w:val="00496915"/>
    <w:rsid w:val="00496951"/>
    <w:rsid w:val="00496A1A"/>
    <w:rsid w:val="00496AA5"/>
    <w:rsid w:val="00496B0B"/>
    <w:rsid w:val="00496B2F"/>
    <w:rsid w:val="00496BFD"/>
    <w:rsid w:val="00496C0D"/>
    <w:rsid w:val="00496C33"/>
    <w:rsid w:val="00496CCD"/>
    <w:rsid w:val="00496E3D"/>
    <w:rsid w:val="00496E7E"/>
    <w:rsid w:val="00496EB5"/>
    <w:rsid w:val="00496ED8"/>
    <w:rsid w:val="0049707F"/>
    <w:rsid w:val="004970C3"/>
    <w:rsid w:val="004971C7"/>
    <w:rsid w:val="004971FF"/>
    <w:rsid w:val="00497272"/>
    <w:rsid w:val="004973D7"/>
    <w:rsid w:val="0049743A"/>
    <w:rsid w:val="004974AE"/>
    <w:rsid w:val="0049750C"/>
    <w:rsid w:val="0049766B"/>
    <w:rsid w:val="004977DA"/>
    <w:rsid w:val="00497849"/>
    <w:rsid w:val="004978BC"/>
    <w:rsid w:val="004978E1"/>
    <w:rsid w:val="00497C48"/>
    <w:rsid w:val="00497CC7"/>
    <w:rsid w:val="00497D03"/>
    <w:rsid w:val="00497D05"/>
    <w:rsid w:val="00497D21"/>
    <w:rsid w:val="00497DC0"/>
    <w:rsid w:val="00497DDA"/>
    <w:rsid w:val="00497DEC"/>
    <w:rsid w:val="00497E0D"/>
    <w:rsid w:val="00497FDA"/>
    <w:rsid w:val="004A000E"/>
    <w:rsid w:val="004A0045"/>
    <w:rsid w:val="004A00FF"/>
    <w:rsid w:val="004A0128"/>
    <w:rsid w:val="004A012F"/>
    <w:rsid w:val="004A0248"/>
    <w:rsid w:val="004A02D6"/>
    <w:rsid w:val="004A0514"/>
    <w:rsid w:val="004A05C0"/>
    <w:rsid w:val="004A061A"/>
    <w:rsid w:val="004A07D5"/>
    <w:rsid w:val="004A08A1"/>
    <w:rsid w:val="004A08E7"/>
    <w:rsid w:val="004A08F0"/>
    <w:rsid w:val="004A0A08"/>
    <w:rsid w:val="004A0A13"/>
    <w:rsid w:val="004A0AB0"/>
    <w:rsid w:val="004A0BC2"/>
    <w:rsid w:val="004A0C6B"/>
    <w:rsid w:val="004A0FE5"/>
    <w:rsid w:val="004A100E"/>
    <w:rsid w:val="004A1141"/>
    <w:rsid w:val="004A11ED"/>
    <w:rsid w:val="004A1245"/>
    <w:rsid w:val="004A12C4"/>
    <w:rsid w:val="004A1307"/>
    <w:rsid w:val="004A1835"/>
    <w:rsid w:val="004A1882"/>
    <w:rsid w:val="004A189D"/>
    <w:rsid w:val="004A18E3"/>
    <w:rsid w:val="004A192C"/>
    <w:rsid w:val="004A19B8"/>
    <w:rsid w:val="004A1AD6"/>
    <w:rsid w:val="004A1B1E"/>
    <w:rsid w:val="004A1C1D"/>
    <w:rsid w:val="004A1CB2"/>
    <w:rsid w:val="004A1DE9"/>
    <w:rsid w:val="004A1EA3"/>
    <w:rsid w:val="004A1F3A"/>
    <w:rsid w:val="004A1FAB"/>
    <w:rsid w:val="004A20F6"/>
    <w:rsid w:val="004A2100"/>
    <w:rsid w:val="004A24A0"/>
    <w:rsid w:val="004A24B8"/>
    <w:rsid w:val="004A2517"/>
    <w:rsid w:val="004A2553"/>
    <w:rsid w:val="004A2583"/>
    <w:rsid w:val="004A2593"/>
    <w:rsid w:val="004A2605"/>
    <w:rsid w:val="004A262E"/>
    <w:rsid w:val="004A269D"/>
    <w:rsid w:val="004A26B2"/>
    <w:rsid w:val="004A26FE"/>
    <w:rsid w:val="004A27DB"/>
    <w:rsid w:val="004A2834"/>
    <w:rsid w:val="004A2871"/>
    <w:rsid w:val="004A28A4"/>
    <w:rsid w:val="004A28B0"/>
    <w:rsid w:val="004A28E6"/>
    <w:rsid w:val="004A28E8"/>
    <w:rsid w:val="004A2939"/>
    <w:rsid w:val="004A2A73"/>
    <w:rsid w:val="004A2C00"/>
    <w:rsid w:val="004A2C79"/>
    <w:rsid w:val="004A2CE3"/>
    <w:rsid w:val="004A2D69"/>
    <w:rsid w:val="004A2DE2"/>
    <w:rsid w:val="004A2E06"/>
    <w:rsid w:val="004A2EFA"/>
    <w:rsid w:val="004A2F6F"/>
    <w:rsid w:val="004A2F93"/>
    <w:rsid w:val="004A3027"/>
    <w:rsid w:val="004A308E"/>
    <w:rsid w:val="004A3148"/>
    <w:rsid w:val="004A3192"/>
    <w:rsid w:val="004A3205"/>
    <w:rsid w:val="004A3277"/>
    <w:rsid w:val="004A3287"/>
    <w:rsid w:val="004A335D"/>
    <w:rsid w:val="004A3395"/>
    <w:rsid w:val="004A33E9"/>
    <w:rsid w:val="004A33EC"/>
    <w:rsid w:val="004A345B"/>
    <w:rsid w:val="004A346D"/>
    <w:rsid w:val="004A3494"/>
    <w:rsid w:val="004A3514"/>
    <w:rsid w:val="004A35EB"/>
    <w:rsid w:val="004A3631"/>
    <w:rsid w:val="004A3643"/>
    <w:rsid w:val="004A37C7"/>
    <w:rsid w:val="004A3817"/>
    <w:rsid w:val="004A38B4"/>
    <w:rsid w:val="004A394D"/>
    <w:rsid w:val="004A3993"/>
    <w:rsid w:val="004A3A89"/>
    <w:rsid w:val="004A3BFF"/>
    <w:rsid w:val="004A3C86"/>
    <w:rsid w:val="004A3D5B"/>
    <w:rsid w:val="004A3FB8"/>
    <w:rsid w:val="004A3FF1"/>
    <w:rsid w:val="004A4037"/>
    <w:rsid w:val="004A421F"/>
    <w:rsid w:val="004A4253"/>
    <w:rsid w:val="004A431C"/>
    <w:rsid w:val="004A4338"/>
    <w:rsid w:val="004A4394"/>
    <w:rsid w:val="004A43F2"/>
    <w:rsid w:val="004A4458"/>
    <w:rsid w:val="004A4534"/>
    <w:rsid w:val="004A4556"/>
    <w:rsid w:val="004A455D"/>
    <w:rsid w:val="004A4653"/>
    <w:rsid w:val="004A47A6"/>
    <w:rsid w:val="004A4888"/>
    <w:rsid w:val="004A49AF"/>
    <w:rsid w:val="004A4A1B"/>
    <w:rsid w:val="004A4AD3"/>
    <w:rsid w:val="004A4C03"/>
    <w:rsid w:val="004A4C74"/>
    <w:rsid w:val="004A4CAB"/>
    <w:rsid w:val="004A4CCC"/>
    <w:rsid w:val="004A4E0A"/>
    <w:rsid w:val="004A4E5F"/>
    <w:rsid w:val="004A4F83"/>
    <w:rsid w:val="004A4FD4"/>
    <w:rsid w:val="004A518E"/>
    <w:rsid w:val="004A51D4"/>
    <w:rsid w:val="004A51E2"/>
    <w:rsid w:val="004A5209"/>
    <w:rsid w:val="004A520E"/>
    <w:rsid w:val="004A531D"/>
    <w:rsid w:val="004A53A9"/>
    <w:rsid w:val="004A5403"/>
    <w:rsid w:val="004A540B"/>
    <w:rsid w:val="004A5443"/>
    <w:rsid w:val="004A5450"/>
    <w:rsid w:val="004A54CE"/>
    <w:rsid w:val="004A54D4"/>
    <w:rsid w:val="004A5545"/>
    <w:rsid w:val="004A5868"/>
    <w:rsid w:val="004A5879"/>
    <w:rsid w:val="004A5880"/>
    <w:rsid w:val="004A5882"/>
    <w:rsid w:val="004A595C"/>
    <w:rsid w:val="004A5998"/>
    <w:rsid w:val="004A5A46"/>
    <w:rsid w:val="004A5AB4"/>
    <w:rsid w:val="004A5B02"/>
    <w:rsid w:val="004A5BAB"/>
    <w:rsid w:val="004A5BFC"/>
    <w:rsid w:val="004A5C1B"/>
    <w:rsid w:val="004A5EF9"/>
    <w:rsid w:val="004A5F88"/>
    <w:rsid w:val="004A616B"/>
    <w:rsid w:val="004A617C"/>
    <w:rsid w:val="004A6229"/>
    <w:rsid w:val="004A628F"/>
    <w:rsid w:val="004A6292"/>
    <w:rsid w:val="004A63A5"/>
    <w:rsid w:val="004A64BC"/>
    <w:rsid w:val="004A6535"/>
    <w:rsid w:val="004A65EE"/>
    <w:rsid w:val="004A6600"/>
    <w:rsid w:val="004A6642"/>
    <w:rsid w:val="004A66A4"/>
    <w:rsid w:val="004A66D4"/>
    <w:rsid w:val="004A688A"/>
    <w:rsid w:val="004A6966"/>
    <w:rsid w:val="004A6A40"/>
    <w:rsid w:val="004A6A80"/>
    <w:rsid w:val="004A6AC0"/>
    <w:rsid w:val="004A6ADD"/>
    <w:rsid w:val="004A6CA9"/>
    <w:rsid w:val="004A6D0C"/>
    <w:rsid w:val="004A6D26"/>
    <w:rsid w:val="004A6E4D"/>
    <w:rsid w:val="004A6E7A"/>
    <w:rsid w:val="004A6EA7"/>
    <w:rsid w:val="004A6F22"/>
    <w:rsid w:val="004A6FC4"/>
    <w:rsid w:val="004A70AA"/>
    <w:rsid w:val="004A7221"/>
    <w:rsid w:val="004A7253"/>
    <w:rsid w:val="004A7352"/>
    <w:rsid w:val="004A73A2"/>
    <w:rsid w:val="004A7433"/>
    <w:rsid w:val="004A7479"/>
    <w:rsid w:val="004A7485"/>
    <w:rsid w:val="004A748D"/>
    <w:rsid w:val="004A7506"/>
    <w:rsid w:val="004A7561"/>
    <w:rsid w:val="004A756C"/>
    <w:rsid w:val="004A7605"/>
    <w:rsid w:val="004A7748"/>
    <w:rsid w:val="004A7C9D"/>
    <w:rsid w:val="004A7E2A"/>
    <w:rsid w:val="004B000C"/>
    <w:rsid w:val="004B00BF"/>
    <w:rsid w:val="004B01EA"/>
    <w:rsid w:val="004B021B"/>
    <w:rsid w:val="004B023F"/>
    <w:rsid w:val="004B0291"/>
    <w:rsid w:val="004B02C7"/>
    <w:rsid w:val="004B02E4"/>
    <w:rsid w:val="004B0308"/>
    <w:rsid w:val="004B04E8"/>
    <w:rsid w:val="004B053D"/>
    <w:rsid w:val="004B060C"/>
    <w:rsid w:val="004B062A"/>
    <w:rsid w:val="004B0680"/>
    <w:rsid w:val="004B06C3"/>
    <w:rsid w:val="004B072F"/>
    <w:rsid w:val="004B08D0"/>
    <w:rsid w:val="004B08D4"/>
    <w:rsid w:val="004B0942"/>
    <w:rsid w:val="004B09A2"/>
    <w:rsid w:val="004B09BC"/>
    <w:rsid w:val="004B0AB8"/>
    <w:rsid w:val="004B0B11"/>
    <w:rsid w:val="004B0B80"/>
    <w:rsid w:val="004B0B9B"/>
    <w:rsid w:val="004B0BC4"/>
    <w:rsid w:val="004B0CDA"/>
    <w:rsid w:val="004B0D28"/>
    <w:rsid w:val="004B0F0E"/>
    <w:rsid w:val="004B0F1D"/>
    <w:rsid w:val="004B10AD"/>
    <w:rsid w:val="004B11FB"/>
    <w:rsid w:val="004B1219"/>
    <w:rsid w:val="004B135F"/>
    <w:rsid w:val="004B1455"/>
    <w:rsid w:val="004B149C"/>
    <w:rsid w:val="004B14D2"/>
    <w:rsid w:val="004B1584"/>
    <w:rsid w:val="004B15C5"/>
    <w:rsid w:val="004B1720"/>
    <w:rsid w:val="004B1761"/>
    <w:rsid w:val="004B180B"/>
    <w:rsid w:val="004B18A7"/>
    <w:rsid w:val="004B18AD"/>
    <w:rsid w:val="004B18B5"/>
    <w:rsid w:val="004B18CB"/>
    <w:rsid w:val="004B1958"/>
    <w:rsid w:val="004B1994"/>
    <w:rsid w:val="004B1A47"/>
    <w:rsid w:val="004B1A6B"/>
    <w:rsid w:val="004B1B11"/>
    <w:rsid w:val="004B1BC3"/>
    <w:rsid w:val="004B1C16"/>
    <w:rsid w:val="004B1C99"/>
    <w:rsid w:val="004B1D90"/>
    <w:rsid w:val="004B1EA6"/>
    <w:rsid w:val="004B1F7D"/>
    <w:rsid w:val="004B1FE1"/>
    <w:rsid w:val="004B2067"/>
    <w:rsid w:val="004B2098"/>
    <w:rsid w:val="004B210F"/>
    <w:rsid w:val="004B2170"/>
    <w:rsid w:val="004B225D"/>
    <w:rsid w:val="004B225F"/>
    <w:rsid w:val="004B228B"/>
    <w:rsid w:val="004B232A"/>
    <w:rsid w:val="004B2335"/>
    <w:rsid w:val="004B2358"/>
    <w:rsid w:val="004B247D"/>
    <w:rsid w:val="004B2488"/>
    <w:rsid w:val="004B24A4"/>
    <w:rsid w:val="004B2509"/>
    <w:rsid w:val="004B2515"/>
    <w:rsid w:val="004B2627"/>
    <w:rsid w:val="004B26EC"/>
    <w:rsid w:val="004B2723"/>
    <w:rsid w:val="004B27A6"/>
    <w:rsid w:val="004B27DC"/>
    <w:rsid w:val="004B29AD"/>
    <w:rsid w:val="004B29B9"/>
    <w:rsid w:val="004B2B1E"/>
    <w:rsid w:val="004B2C27"/>
    <w:rsid w:val="004B2D24"/>
    <w:rsid w:val="004B2DC2"/>
    <w:rsid w:val="004B2E49"/>
    <w:rsid w:val="004B2E7C"/>
    <w:rsid w:val="004B2EED"/>
    <w:rsid w:val="004B2F9F"/>
    <w:rsid w:val="004B3026"/>
    <w:rsid w:val="004B30B4"/>
    <w:rsid w:val="004B30D8"/>
    <w:rsid w:val="004B318C"/>
    <w:rsid w:val="004B31C8"/>
    <w:rsid w:val="004B3268"/>
    <w:rsid w:val="004B3311"/>
    <w:rsid w:val="004B3408"/>
    <w:rsid w:val="004B342B"/>
    <w:rsid w:val="004B3556"/>
    <w:rsid w:val="004B3715"/>
    <w:rsid w:val="004B3731"/>
    <w:rsid w:val="004B37A8"/>
    <w:rsid w:val="004B37AB"/>
    <w:rsid w:val="004B37D3"/>
    <w:rsid w:val="004B3809"/>
    <w:rsid w:val="004B3AC5"/>
    <w:rsid w:val="004B3ACB"/>
    <w:rsid w:val="004B3B6D"/>
    <w:rsid w:val="004B3C47"/>
    <w:rsid w:val="004B3D76"/>
    <w:rsid w:val="004B3E09"/>
    <w:rsid w:val="004B3E88"/>
    <w:rsid w:val="004B3EC7"/>
    <w:rsid w:val="004B3EF6"/>
    <w:rsid w:val="004B3FE7"/>
    <w:rsid w:val="004B4090"/>
    <w:rsid w:val="004B4150"/>
    <w:rsid w:val="004B4178"/>
    <w:rsid w:val="004B418B"/>
    <w:rsid w:val="004B4491"/>
    <w:rsid w:val="004B452F"/>
    <w:rsid w:val="004B459B"/>
    <w:rsid w:val="004B45D5"/>
    <w:rsid w:val="004B45F5"/>
    <w:rsid w:val="004B463B"/>
    <w:rsid w:val="004B4649"/>
    <w:rsid w:val="004B464F"/>
    <w:rsid w:val="004B480B"/>
    <w:rsid w:val="004B482D"/>
    <w:rsid w:val="004B490F"/>
    <w:rsid w:val="004B493D"/>
    <w:rsid w:val="004B4941"/>
    <w:rsid w:val="004B4966"/>
    <w:rsid w:val="004B4979"/>
    <w:rsid w:val="004B4981"/>
    <w:rsid w:val="004B4A79"/>
    <w:rsid w:val="004B4A9D"/>
    <w:rsid w:val="004B4AF9"/>
    <w:rsid w:val="004B4B1A"/>
    <w:rsid w:val="004B4B50"/>
    <w:rsid w:val="004B4BB4"/>
    <w:rsid w:val="004B4C86"/>
    <w:rsid w:val="004B4CCB"/>
    <w:rsid w:val="004B4D05"/>
    <w:rsid w:val="004B4D1B"/>
    <w:rsid w:val="004B4D54"/>
    <w:rsid w:val="004B4E1E"/>
    <w:rsid w:val="004B4E6D"/>
    <w:rsid w:val="004B507B"/>
    <w:rsid w:val="004B50E6"/>
    <w:rsid w:val="004B517D"/>
    <w:rsid w:val="004B5242"/>
    <w:rsid w:val="004B5462"/>
    <w:rsid w:val="004B5648"/>
    <w:rsid w:val="004B5911"/>
    <w:rsid w:val="004B59BC"/>
    <w:rsid w:val="004B5A31"/>
    <w:rsid w:val="004B5AD2"/>
    <w:rsid w:val="004B5B4B"/>
    <w:rsid w:val="004B5B94"/>
    <w:rsid w:val="004B5BBA"/>
    <w:rsid w:val="004B5C09"/>
    <w:rsid w:val="004B5C97"/>
    <w:rsid w:val="004B5D53"/>
    <w:rsid w:val="004B5D5E"/>
    <w:rsid w:val="004B5D84"/>
    <w:rsid w:val="004B5DF7"/>
    <w:rsid w:val="004B5E6D"/>
    <w:rsid w:val="004B5E73"/>
    <w:rsid w:val="004B5F7A"/>
    <w:rsid w:val="004B608B"/>
    <w:rsid w:val="004B60A9"/>
    <w:rsid w:val="004B60E2"/>
    <w:rsid w:val="004B61C7"/>
    <w:rsid w:val="004B62FE"/>
    <w:rsid w:val="004B633B"/>
    <w:rsid w:val="004B633D"/>
    <w:rsid w:val="004B660C"/>
    <w:rsid w:val="004B662E"/>
    <w:rsid w:val="004B6672"/>
    <w:rsid w:val="004B6680"/>
    <w:rsid w:val="004B66E3"/>
    <w:rsid w:val="004B66F7"/>
    <w:rsid w:val="004B675E"/>
    <w:rsid w:val="004B67AB"/>
    <w:rsid w:val="004B687C"/>
    <w:rsid w:val="004B68B2"/>
    <w:rsid w:val="004B68E2"/>
    <w:rsid w:val="004B692B"/>
    <w:rsid w:val="004B692F"/>
    <w:rsid w:val="004B6A10"/>
    <w:rsid w:val="004B6AD1"/>
    <w:rsid w:val="004B6AEE"/>
    <w:rsid w:val="004B6AF2"/>
    <w:rsid w:val="004B6B0C"/>
    <w:rsid w:val="004B6B13"/>
    <w:rsid w:val="004B6BDF"/>
    <w:rsid w:val="004B6C57"/>
    <w:rsid w:val="004B6D03"/>
    <w:rsid w:val="004B6D38"/>
    <w:rsid w:val="004B6D51"/>
    <w:rsid w:val="004B6D84"/>
    <w:rsid w:val="004B6DE3"/>
    <w:rsid w:val="004B6EB0"/>
    <w:rsid w:val="004B6FB8"/>
    <w:rsid w:val="004B7025"/>
    <w:rsid w:val="004B7316"/>
    <w:rsid w:val="004B7366"/>
    <w:rsid w:val="004B73CF"/>
    <w:rsid w:val="004B73FD"/>
    <w:rsid w:val="004B741C"/>
    <w:rsid w:val="004B74BE"/>
    <w:rsid w:val="004B753B"/>
    <w:rsid w:val="004B75D5"/>
    <w:rsid w:val="004B7649"/>
    <w:rsid w:val="004B778A"/>
    <w:rsid w:val="004B7799"/>
    <w:rsid w:val="004B77BA"/>
    <w:rsid w:val="004B786C"/>
    <w:rsid w:val="004B7966"/>
    <w:rsid w:val="004B7969"/>
    <w:rsid w:val="004B7986"/>
    <w:rsid w:val="004B79D3"/>
    <w:rsid w:val="004B79F0"/>
    <w:rsid w:val="004B7A05"/>
    <w:rsid w:val="004B7B61"/>
    <w:rsid w:val="004B7C8A"/>
    <w:rsid w:val="004B7CBF"/>
    <w:rsid w:val="004B7CC7"/>
    <w:rsid w:val="004B7D3B"/>
    <w:rsid w:val="004B7E25"/>
    <w:rsid w:val="004B7E36"/>
    <w:rsid w:val="004B7F63"/>
    <w:rsid w:val="004C007E"/>
    <w:rsid w:val="004C0081"/>
    <w:rsid w:val="004C0099"/>
    <w:rsid w:val="004C00EB"/>
    <w:rsid w:val="004C0126"/>
    <w:rsid w:val="004C01C1"/>
    <w:rsid w:val="004C02D9"/>
    <w:rsid w:val="004C0333"/>
    <w:rsid w:val="004C0473"/>
    <w:rsid w:val="004C047B"/>
    <w:rsid w:val="004C049B"/>
    <w:rsid w:val="004C04AA"/>
    <w:rsid w:val="004C0579"/>
    <w:rsid w:val="004C0580"/>
    <w:rsid w:val="004C061E"/>
    <w:rsid w:val="004C06F0"/>
    <w:rsid w:val="004C06F6"/>
    <w:rsid w:val="004C0717"/>
    <w:rsid w:val="004C0836"/>
    <w:rsid w:val="004C094B"/>
    <w:rsid w:val="004C09EB"/>
    <w:rsid w:val="004C09FB"/>
    <w:rsid w:val="004C0AC6"/>
    <w:rsid w:val="004C0B36"/>
    <w:rsid w:val="004C0C04"/>
    <w:rsid w:val="004C0C16"/>
    <w:rsid w:val="004C0C2E"/>
    <w:rsid w:val="004C0C93"/>
    <w:rsid w:val="004C0DF4"/>
    <w:rsid w:val="004C0E19"/>
    <w:rsid w:val="004C0EC1"/>
    <w:rsid w:val="004C0F6A"/>
    <w:rsid w:val="004C1094"/>
    <w:rsid w:val="004C10F6"/>
    <w:rsid w:val="004C12BA"/>
    <w:rsid w:val="004C135F"/>
    <w:rsid w:val="004C1382"/>
    <w:rsid w:val="004C138D"/>
    <w:rsid w:val="004C13C8"/>
    <w:rsid w:val="004C145B"/>
    <w:rsid w:val="004C1733"/>
    <w:rsid w:val="004C1761"/>
    <w:rsid w:val="004C1821"/>
    <w:rsid w:val="004C183D"/>
    <w:rsid w:val="004C1BAD"/>
    <w:rsid w:val="004C1BBE"/>
    <w:rsid w:val="004C1C0A"/>
    <w:rsid w:val="004C1C1A"/>
    <w:rsid w:val="004C1C24"/>
    <w:rsid w:val="004C1C61"/>
    <w:rsid w:val="004C1CCA"/>
    <w:rsid w:val="004C1D41"/>
    <w:rsid w:val="004C1DF0"/>
    <w:rsid w:val="004C1F53"/>
    <w:rsid w:val="004C1F79"/>
    <w:rsid w:val="004C2148"/>
    <w:rsid w:val="004C21AA"/>
    <w:rsid w:val="004C21AB"/>
    <w:rsid w:val="004C236E"/>
    <w:rsid w:val="004C24CD"/>
    <w:rsid w:val="004C254C"/>
    <w:rsid w:val="004C2578"/>
    <w:rsid w:val="004C2771"/>
    <w:rsid w:val="004C279F"/>
    <w:rsid w:val="004C2814"/>
    <w:rsid w:val="004C2829"/>
    <w:rsid w:val="004C2929"/>
    <w:rsid w:val="004C298E"/>
    <w:rsid w:val="004C2B87"/>
    <w:rsid w:val="004C2CA7"/>
    <w:rsid w:val="004C2D22"/>
    <w:rsid w:val="004C2D2B"/>
    <w:rsid w:val="004C2F89"/>
    <w:rsid w:val="004C2FCF"/>
    <w:rsid w:val="004C3013"/>
    <w:rsid w:val="004C30D2"/>
    <w:rsid w:val="004C3293"/>
    <w:rsid w:val="004C32B7"/>
    <w:rsid w:val="004C34E8"/>
    <w:rsid w:val="004C34F1"/>
    <w:rsid w:val="004C35A9"/>
    <w:rsid w:val="004C35B8"/>
    <w:rsid w:val="004C362B"/>
    <w:rsid w:val="004C367F"/>
    <w:rsid w:val="004C3749"/>
    <w:rsid w:val="004C377A"/>
    <w:rsid w:val="004C3893"/>
    <w:rsid w:val="004C3932"/>
    <w:rsid w:val="004C39E3"/>
    <w:rsid w:val="004C39E9"/>
    <w:rsid w:val="004C3A41"/>
    <w:rsid w:val="004C3E4B"/>
    <w:rsid w:val="004C3F60"/>
    <w:rsid w:val="004C3FF1"/>
    <w:rsid w:val="004C4010"/>
    <w:rsid w:val="004C40FC"/>
    <w:rsid w:val="004C4130"/>
    <w:rsid w:val="004C41AD"/>
    <w:rsid w:val="004C41AE"/>
    <w:rsid w:val="004C41BD"/>
    <w:rsid w:val="004C421D"/>
    <w:rsid w:val="004C44EF"/>
    <w:rsid w:val="004C4541"/>
    <w:rsid w:val="004C4566"/>
    <w:rsid w:val="004C4576"/>
    <w:rsid w:val="004C45EB"/>
    <w:rsid w:val="004C45F3"/>
    <w:rsid w:val="004C46CC"/>
    <w:rsid w:val="004C475F"/>
    <w:rsid w:val="004C4929"/>
    <w:rsid w:val="004C499C"/>
    <w:rsid w:val="004C49D7"/>
    <w:rsid w:val="004C4B3D"/>
    <w:rsid w:val="004C4B5F"/>
    <w:rsid w:val="004C4C1E"/>
    <w:rsid w:val="004C4D10"/>
    <w:rsid w:val="004C4D3F"/>
    <w:rsid w:val="004C4DF3"/>
    <w:rsid w:val="004C4ECB"/>
    <w:rsid w:val="004C4EF9"/>
    <w:rsid w:val="004C52F2"/>
    <w:rsid w:val="004C537B"/>
    <w:rsid w:val="004C55E2"/>
    <w:rsid w:val="004C5637"/>
    <w:rsid w:val="004C5756"/>
    <w:rsid w:val="004C57C1"/>
    <w:rsid w:val="004C57E3"/>
    <w:rsid w:val="004C5821"/>
    <w:rsid w:val="004C5AD6"/>
    <w:rsid w:val="004C5AF7"/>
    <w:rsid w:val="004C5BBA"/>
    <w:rsid w:val="004C5C1E"/>
    <w:rsid w:val="004C5CFF"/>
    <w:rsid w:val="004C5DD2"/>
    <w:rsid w:val="004C5F87"/>
    <w:rsid w:val="004C6184"/>
    <w:rsid w:val="004C6196"/>
    <w:rsid w:val="004C6217"/>
    <w:rsid w:val="004C628C"/>
    <w:rsid w:val="004C63AD"/>
    <w:rsid w:val="004C63F5"/>
    <w:rsid w:val="004C63FF"/>
    <w:rsid w:val="004C6412"/>
    <w:rsid w:val="004C64C2"/>
    <w:rsid w:val="004C65DF"/>
    <w:rsid w:val="004C681B"/>
    <w:rsid w:val="004C68A1"/>
    <w:rsid w:val="004C68E4"/>
    <w:rsid w:val="004C6972"/>
    <w:rsid w:val="004C698D"/>
    <w:rsid w:val="004C6ADB"/>
    <w:rsid w:val="004C6C15"/>
    <w:rsid w:val="004C6C7C"/>
    <w:rsid w:val="004C6C88"/>
    <w:rsid w:val="004C6C90"/>
    <w:rsid w:val="004C6CFE"/>
    <w:rsid w:val="004C6D42"/>
    <w:rsid w:val="004C6D43"/>
    <w:rsid w:val="004C6D4D"/>
    <w:rsid w:val="004C6D4E"/>
    <w:rsid w:val="004C6D9A"/>
    <w:rsid w:val="004C6DBA"/>
    <w:rsid w:val="004C6DF6"/>
    <w:rsid w:val="004C6EB3"/>
    <w:rsid w:val="004C6FD5"/>
    <w:rsid w:val="004C7014"/>
    <w:rsid w:val="004C7082"/>
    <w:rsid w:val="004C70E3"/>
    <w:rsid w:val="004C70F3"/>
    <w:rsid w:val="004C7150"/>
    <w:rsid w:val="004C7258"/>
    <w:rsid w:val="004C72EC"/>
    <w:rsid w:val="004C730F"/>
    <w:rsid w:val="004C733A"/>
    <w:rsid w:val="004C7397"/>
    <w:rsid w:val="004C74FB"/>
    <w:rsid w:val="004C755C"/>
    <w:rsid w:val="004C7738"/>
    <w:rsid w:val="004C7821"/>
    <w:rsid w:val="004C7834"/>
    <w:rsid w:val="004C7AEF"/>
    <w:rsid w:val="004C7B78"/>
    <w:rsid w:val="004C7B8D"/>
    <w:rsid w:val="004C7C8F"/>
    <w:rsid w:val="004C7CC1"/>
    <w:rsid w:val="004C7EF4"/>
    <w:rsid w:val="004C7FC1"/>
    <w:rsid w:val="004D0064"/>
    <w:rsid w:val="004D01FC"/>
    <w:rsid w:val="004D027E"/>
    <w:rsid w:val="004D047A"/>
    <w:rsid w:val="004D04AE"/>
    <w:rsid w:val="004D04F8"/>
    <w:rsid w:val="004D05B0"/>
    <w:rsid w:val="004D0828"/>
    <w:rsid w:val="004D0886"/>
    <w:rsid w:val="004D0971"/>
    <w:rsid w:val="004D0987"/>
    <w:rsid w:val="004D09B6"/>
    <w:rsid w:val="004D0A57"/>
    <w:rsid w:val="004D0AB6"/>
    <w:rsid w:val="004D0CD5"/>
    <w:rsid w:val="004D0DEB"/>
    <w:rsid w:val="004D0E20"/>
    <w:rsid w:val="004D0F2A"/>
    <w:rsid w:val="004D0F6F"/>
    <w:rsid w:val="004D103E"/>
    <w:rsid w:val="004D1145"/>
    <w:rsid w:val="004D1289"/>
    <w:rsid w:val="004D13A1"/>
    <w:rsid w:val="004D14CE"/>
    <w:rsid w:val="004D14DC"/>
    <w:rsid w:val="004D15F6"/>
    <w:rsid w:val="004D174D"/>
    <w:rsid w:val="004D1750"/>
    <w:rsid w:val="004D17A3"/>
    <w:rsid w:val="004D17AB"/>
    <w:rsid w:val="004D1813"/>
    <w:rsid w:val="004D181D"/>
    <w:rsid w:val="004D1971"/>
    <w:rsid w:val="004D1A11"/>
    <w:rsid w:val="004D1AF9"/>
    <w:rsid w:val="004D1B6C"/>
    <w:rsid w:val="004D1BE0"/>
    <w:rsid w:val="004D1CBF"/>
    <w:rsid w:val="004D1D04"/>
    <w:rsid w:val="004D1DC4"/>
    <w:rsid w:val="004D1DE7"/>
    <w:rsid w:val="004D1DED"/>
    <w:rsid w:val="004D1DFF"/>
    <w:rsid w:val="004D1E82"/>
    <w:rsid w:val="004D1F95"/>
    <w:rsid w:val="004D20BF"/>
    <w:rsid w:val="004D2189"/>
    <w:rsid w:val="004D21A1"/>
    <w:rsid w:val="004D21CF"/>
    <w:rsid w:val="004D21E6"/>
    <w:rsid w:val="004D23E2"/>
    <w:rsid w:val="004D2450"/>
    <w:rsid w:val="004D24C2"/>
    <w:rsid w:val="004D24FC"/>
    <w:rsid w:val="004D25E2"/>
    <w:rsid w:val="004D261F"/>
    <w:rsid w:val="004D289D"/>
    <w:rsid w:val="004D2A0A"/>
    <w:rsid w:val="004D2E0D"/>
    <w:rsid w:val="004D2E4F"/>
    <w:rsid w:val="004D2F6F"/>
    <w:rsid w:val="004D2F98"/>
    <w:rsid w:val="004D30C3"/>
    <w:rsid w:val="004D315A"/>
    <w:rsid w:val="004D31E6"/>
    <w:rsid w:val="004D328C"/>
    <w:rsid w:val="004D3307"/>
    <w:rsid w:val="004D3332"/>
    <w:rsid w:val="004D3492"/>
    <w:rsid w:val="004D34CA"/>
    <w:rsid w:val="004D34CD"/>
    <w:rsid w:val="004D3552"/>
    <w:rsid w:val="004D3572"/>
    <w:rsid w:val="004D35F5"/>
    <w:rsid w:val="004D376D"/>
    <w:rsid w:val="004D3779"/>
    <w:rsid w:val="004D3880"/>
    <w:rsid w:val="004D38BA"/>
    <w:rsid w:val="004D392E"/>
    <w:rsid w:val="004D3980"/>
    <w:rsid w:val="004D39CB"/>
    <w:rsid w:val="004D3AF9"/>
    <w:rsid w:val="004D3C69"/>
    <w:rsid w:val="004D3D10"/>
    <w:rsid w:val="004D3D36"/>
    <w:rsid w:val="004D3F07"/>
    <w:rsid w:val="004D3F13"/>
    <w:rsid w:val="004D4061"/>
    <w:rsid w:val="004D40EC"/>
    <w:rsid w:val="004D40F8"/>
    <w:rsid w:val="004D428C"/>
    <w:rsid w:val="004D42E9"/>
    <w:rsid w:val="004D4424"/>
    <w:rsid w:val="004D4494"/>
    <w:rsid w:val="004D4497"/>
    <w:rsid w:val="004D4666"/>
    <w:rsid w:val="004D46D6"/>
    <w:rsid w:val="004D4836"/>
    <w:rsid w:val="004D48C7"/>
    <w:rsid w:val="004D48F8"/>
    <w:rsid w:val="004D4942"/>
    <w:rsid w:val="004D4B67"/>
    <w:rsid w:val="004D4CCA"/>
    <w:rsid w:val="004D4D64"/>
    <w:rsid w:val="004D4E33"/>
    <w:rsid w:val="004D4FEB"/>
    <w:rsid w:val="004D5028"/>
    <w:rsid w:val="004D5098"/>
    <w:rsid w:val="004D50B1"/>
    <w:rsid w:val="004D5193"/>
    <w:rsid w:val="004D52C4"/>
    <w:rsid w:val="004D5352"/>
    <w:rsid w:val="004D53B7"/>
    <w:rsid w:val="004D54DB"/>
    <w:rsid w:val="004D568D"/>
    <w:rsid w:val="004D5828"/>
    <w:rsid w:val="004D591E"/>
    <w:rsid w:val="004D5A32"/>
    <w:rsid w:val="004D5AF1"/>
    <w:rsid w:val="004D5B40"/>
    <w:rsid w:val="004D5B6F"/>
    <w:rsid w:val="004D5DCC"/>
    <w:rsid w:val="004D5F86"/>
    <w:rsid w:val="004D5FA1"/>
    <w:rsid w:val="004D6008"/>
    <w:rsid w:val="004D6054"/>
    <w:rsid w:val="004D606A"/>
    <w:rsid w:val="004D61E8"/>
    <w:rsid w:val="004D61F5"/>
    <w:rsid w:val="004D6307"/>
    <w:rsid w:val="004D6350"/>
    <w:rsid w:val="004D6427"/>
    <w:rsid w:val="004D6517"/>
    <w:rsid w:val="004D65BB"/>
    <w:rsid w:val="004D65F8"/>
    <w:rsid w:val="004D6647"/>
    <w:rsid w:val="004D66A7"/>
    <w:rsid w:val="004D66E2"/>
    <w:rsid w:val="004D67DD"/>
    <w:rsid w:val="004D691F"/>
    <w:rsid w:val="004D699C"/>
    <w:rsid w:val="004D6AA5"/>
    <w:rsid w:val="004D6AEF"/>
    <w:rsid w:val="004D6B63"/>
    <w:rsid w:val="004D6BDE"/>
    <w:rsid w:val="004D6C77"/>
    <w:rsid w:val="004D6C7D"/>
    <w:rsid w:val="004D6C87"/>
    <w:rsid w:val="004D6D0D"/>
    <w:rsid w:val="004D6E3A"/>
    <w:rsid w:val="004D6E9A"/>
    <w:rsid w:val="004D703D"/>
    <w:rsid w:val="004D705F"/>
    <w:rsid w:val="004D7068"/>
    <w:rsid w:val="004D70A0"/>
    <w:rsid w:val="004D71AC"/>
    <w:rsid w:val="004D744C"/>
    <w:rsid w:val="004D7506"/>
    <w:rsid w:val="004D7517"/>
    <w:rsid w:val="004D7584"/>
    <w:rsid w:val="004D766F"/>
    <w:rsid w:val="004D76A6"/>
    <w:rsid w:val="004D76E1"/>
    <w:rsid w:val="004D7720"/>
    <w:rsid w:val="004D78A9"/>
    <w:rsid w:val="004D7A63"/>
    <w:rsid w:val="004D7ADE"/>
    <w:rsid w:val="004D7B95"/>
    <w:rsid w:val="004D7CA5"/>
    <w:rsid w:val="004D7CBB"/>
    <w:rsid w:val="004D7D1A"/>
    <w:rsid w:val="004D7EC3"/>
    <w:rsid w:val="004D7F86"/>
    <w:rsid w:val="004E0027"/>
    <w:rsid w:val="004E0190"/>
    <w:rsid w:val="004E028E"/>
    <w:rsid w:val="004E02DC"/>
    <w:rsid w:val="004E0306"/>
    <w:rsid w:val="004E035F"/>
    <w:rsid w:val="004E039A"/>
    <w:rsid w:val="004E0486"/>
    <w:rsid w:val="004E0535"/>
    <w:rsid w:val="004E05D8"/>
    <w:rsid w:val="004E05EB"/>
    <w:rsid w:val="004E0612"/>
    <w:rsid w:val="004E0627"/>
    <w:rsid w:val="004E0715"/>
    <w:rsid w:val="004E0827"/>
    <w:rsid w:val="004E0AAB"/>
    <w:rsid w:val="004E0AC2"/>
    <w:rsid w:val="004E0B7B"/>
    <w:rsid w:val="004E0BD2"/>
    <w:rsid w:val="004E0C71"/>
    <w:rsid w:val="004E0CFE"/>
    <w:rsid w:val="004E0D4C"/>
    <w:rsid w:val="004E0E23"/>
    <w:rsid w:val="004E0E9E"/>
    <w:rsid w:val="004E0F57"/>
    <w:rsid w:val="004E1025"/>
    <w:rsid w:val="004E10BC"/>
    <w:rsid w:val="004E1115"/>
    <w:rsid w:val="004E111B"/>
    <w:rsid w:val="004E11A8"/>
    <w:rsid w:val="004E13F2"/>
    <w:rsid w:val="004E165F"/>
    <w:rsid w:val="004E170E"/>
    <w:rsid w:val="004E1772"/>
    <w:rsid w:val="004E1787"/>
    <w:rsid w:val="004E18BE"/>
    <w:rsid w:val="004E193A"/>
    <w:rsid w:val="004E193D"/>
    <w:rsid w:val="004E1B61"/>
    <w:rsid w:val="004E1B71"/>
    <w:rsid w:val="004E1C88"/>
    <w:rsid w:val="004E1CBC"/>
    <w:rsid w:val="004E1D18"/>
    <w:rsid w:val="004E1D3D"/>
    <w:rsid w:val="004E1D9C"/>
    <w:rsid w:val="004E1E47"/>
    <w:rsid w:val="004E1E6A"/>
    <w:rsid w:val="004E1F93"/>
    <w:rsid w:val="004E1FDC"/>
    <w:rsid w:val="004E20F2"/>
    <w:rsid w:val="004E213B"/>
    <w:rsid w:val="004E2232"/>
    <w:rsid w:val="004E2235"/>
    <w:rsid w:val="004E24DF"/>
    <w:rsid w:val="004E274B"/>
    <w:rsid w:val="004E2765"/>
    <w:rsid w:val="004E2872"/>
    <w:rsid w:val="004E2908"/>
    <w:rsid w:val="004E2915"/>
    <w:rsid w:val="004E2B7F"/>
    <w:rsid w:val="004E2BE2"/>
    <w:rsid w:val="004E2C37"/>
    <w:rsid w:val="004E2CB6"/>
    <w:rsid w:val="004E2D05"/>
    <w:rsid w:val="004E2DA9"/>
    <w:rsid w:val="004E2E5D"/>
    <w:rsid w:val="004E2EAE"/>
    <w:rsid w:val="004E2F2B"/>
    <w:rsid w:val="004E30D7"/>
    <w:rsid w:val="004E3145"/>
    <w:rsid w:val="004E31D4"/>
    <w:rsid w:val="004E323F"/>
    <w:rsid w:val="004E3287"/>
    <w:rsid w:val="004E32A4"/>
    <w:rsid w:val="004E3304"/>
    <w:rsid w:val="004E352B"/>
    <w:rsid w:val="004E35D0"/>
    <w:rsid w:val="004E3602"/>
    <w:rsid w:val="004E3781"/>
    <w:rsid w:val="004E37CF"/>
    <w:rsid w:val="004E37FB"/>
    <w:rsid w:val="004E3845"/>
    <w:rsid w:val="004E3858"/>
    <w:rsid w:val="004E3ABC"/>
    <w:rsid w:val="004E3B21"/>
    <w:rsid w:val="004E3B5D"/>
    <w:rsid w:val="004E3BC5"/>
    <w:rsid w:val="004E3C35"/>
    <w:rsid w:val="004E3C70"/>
    <w:rsid w:val="004E3DDD"/>
    <w:rsid w:val="004E4077"/>
    <w:rsid w:val="004E415F"/>
    <w:rsid w:val="004E44C6"/>
    <w:rsid w:val="004E4668"/>
    <w:rsid w:val="004E46E4"/>
    <w:rsid w:val="004E46E5"/>
    <w:rsid w:val="004E46FA"/>
    <w:rsid w:val="004E4799"/>
    <w:rsid w:val="004E47D6"/>
    <w:rsid w:val="004E47E8"/>
    <w:rsid w:val="004E48ED"/>
    <w:rsid w:val="004E4A44"/>
    <w:rsid w:val="004E4ADC"/>
    <w:rsid w:val="004E4B5E"/>
    <w:rsid w:val="004E4B91"/>
    <w:rsid w:val="004E4C0D"/>
    <w:rsid w:val="004E4CC6"/>
    <w:rsid w:val="004E4D06"/>
    <w:rsid w:val="004E4D91"/>
    <w:rsid w:val="004E4DC2"/>
    <w:rsid w:val="004E4E53"/>
    <w:rsid w:val="004E4E7A"/>
    <w:rsid w:val="004E4EEB"/>
    <w:rsid w:val="004E4F11"/>
    <w:rsid w:val="004E4F4E"/>
    <w:rsid w:val="004E5001"/>
    <w:rsid w:val="004E50A3"/>
    <w:rsid w:val="004E512A"/>
    <w:rsid w:val="004E5293"/>
    <w:rsid w:val="004E5476"/>
    <w:rsid w:val="004E54F5"/>
    <w:rsid w:val="004E5546"/>
    <w:rsid w:val="004E5578"/>
    <w:rsid w:val="004E561E"/>
    <w:rsid w:val="004E56E9"/>
    <w:rsid w:val="004E572F"/>
    <w:rsid w:val="004E576D"/>
    <w:rsid w:val="004E57A7"/>
    <w:rsid w:val="004E5935"/>
    <w:rsid w:val="004E5A00"/>
    <w:rsid w:val="004E5A53"/>
    <w:rsid w:val="004E5AB2"/>
    <w:rsid w:val="004E5C7A"/>
    <w:rsid w:val="004E5DBC"/>
    <w:rsid w:val="004E5F43"/>
    <w:rsid w:val="004E5F7D"/>
    <w:rsid w:val="004E60A3"/>
    <w:rsid w:val="004E6176"/>
    <w:rsid w:val="004E61BB"/>
    <w:rsid w:val="004E61D6"/>
    <w:rsid w:val="004E6241"/>
    <w:rsid w:val="004E62A4"/>
    <w:rsid w:val="004E63EE"/>
    <w:rsid w:val="004E645A"/>
    <w:rsid w:val="004E64B3"/>
    <w:rsid w:val="004E64EB"/>
    <w:rsid w:val="004E6528"/>
    <w:rsid w:val="004E65BA"/>
    <w:rsid w:val="004E6655"/>
    <w:rsid w:val="004E6696"/>
    <w:rsid w:val="004E66CB"/>
    <w:rsid w:val="004E6711"/>
    <w:rsid w:val="004E675E"/>
    <w:rsid w:val="004E67D7"/>
    <w:rsid w:val="004E6838"/>
    <w:rsid w:val="004E688F"/>
    <w:rsid w:val="004E68C2"/>
    <w:rsid w:val="004E69FF"/>
    <w:rsid w:val="004E6AFF"/>
    <w:rsid w:val="004E6B5E"/>
    <w:rsid w:val="004E6B90"/>
    <w:rsid w:val="004E6C16"/>
    <w:rsid w:val="004E6C91"/>
    <w:rsid w:val="004E6CDD"/>
    <w:rsid w:val="004E71E4"/>
    <w:rsid w:val="004E745C"/>
    <w:rsid w:val="004E7519"/>
    <w:rsid w:val="004E756A"/>
    <w:rsid w:val="004E76AB"/>
    <w:rsid w:val="004E76CF"/>
    <w:rsid w:val="004E7721"/>
    <w:rsid w:val="004E7831"/>
    <w:rsid w:val="004E7922"/>
    <w:rsid w:val="004E799C"/>
    <w:rsid w:val="004E7A2C"/>
    <w:rsid w:val="004E7A7C"/>
    <w:rsid w:val="004E7AA5"/>
    <w:rsid w:val="004E7AE3"/>
    <w:rsid w:val="004E7BC8"/>
    <w:rsid w:val="004E7C45"/>
    <w:rsid w:val="004E7CD9"/>
    <w:rsid w:val="004E7D22"/>
    <w:rsid w:val="004E7DBB"/>
    <w:rsid w:val="004E7EBB"/>
    <w:rsid w:val="004E7F66"/>
    <w:rsid w:val="004F0147"/>
    <w:rsid w:val="004F014B"/>
    <w:rsid w:val="004F01F3"/>
    <w:rsid w:val="004F0253"/>
    <w:rsid w:val="004F025C"/>
    <w:rsid w:val="004F0319"/>
    <w:rsid w:val="004F0358"/>
    <w:rsid w:val="004F03BB"/>
    <w:rsid w:val="004F04A1"/>
    <w:rsid w:val="004F05E2"/>
    <w:rsid w:val="004F0628"/>
    <w:rsid w:val="004F0640"/>
    <w:rsid w:val="004F0657"/>
    <w:rsid w:val="004F06E6"/>
    <w:rsid w:val="004F0759"/>
    <w:rsid w:val="004F07C5"/>
    <w:rsid w:val="004F0870"/>
    <w:rsid w:val="004F08B4"/>
    <w:rsid w:val="004F0991"/>
    <w:rsid w:val="004F099B"/>
    <w:rsid w:val="004F09F1"/>
    <w:rsid w:val="004F0A03"/>
    <w:rsid w:val="004F0A87"/>
    <w:rsid w:val="004F0AE0"/>
    <w:rsid w:val="004F0B93"/>
    <w:rsid w:val="004F0CA2"/>
    <w:rsid w:val="004F0CCB"/>
    <w:rsid w:val="004F10D5"/>
    <w:rsid w:val="004F1167"/>
    <w:rsid w:val="004F13C8"/>
    <w:rsid w:val="004F164E"/>
    <w:rsid w:val="004F182F"/>
    <w:rsid w:val="004F186B"/>
    <w:rsid w:val="004F1870"/>
    <w:rsid w:val="004F18E3"/>
    <w:rsid w:val="004F1AB4"/>
    <w:rsid w:val="004F1D3A"/>
    <w:rsid w:val="004F1D40"/>
    <w:rsid w:val="004F1DA8"/>
    <w:rsid w:val="004F1E5F"/>
    <w:rsid w:val="004F1F0A"/>
    <w:rsid w:val="004F1FAD"/>
    <w:rsid w:val="004F20DD"/>
    <w:rsid w:val="004F2108"/>
    <w:rsid w:val="004F2130"/>
    <w:rsid w:val="004F21B4"/>
    <w:rsid w:val="004F234C"/>
    <w:rsid w:val="004F235A"/>
    <w:rsid w:val="004F23F4"/>
    <w:rsid w:val="004F2403"/>
    <w:rsid w:val="004F249F"/>
    <w:rsid w:val="004F24A0"/>
    <w:rsid w:val="004F24F2"/>
    <w:rsid w:val="004F24F8"/>
    <w:rsid w:val="004F254C"/>
    <w:rsid w:val="004F2592"/>
    <w:rsid w:val="004F2684"/>
    <w:rsid w:val="004F269D"/>
    <w:rsid w:val="004F27C8"/>
    <w:rsid w:val="004F28D0"/>
    <w:rsid w:val="004F2976"/>
    <w:rsid w:val="004F2ABD"/>
    <w:rsid w:val="004F2B0B"/>
    <w:rsid w:val="004F2CDB"/>
    <w:rsid w:val="004F2D2B"/>
    <w:rsid w:val="004F2D80"/>
    <w:rsid w:val="004F2D81"/>
    <w:rsid w:val="004F2D96"/>
    <w:rsid w:val="004F2DDE"/>
    <w:rsid w:val="004F2F30"/>
    <w:rsid w:val="004F2FAE"/>
    <w:rsid w:val="004F302E"/>
    <w:rsid w:val="004F3108"/>
    <w:rsid w:val="004F32A8"/>
    <w:rsid w:val="004F3411"/>
    <w:rsid w:val="004F3491"/>
    <w:rsid w:val="004F34DF"/>
    <w:rsid w:val="004F3562"/>
    <w:rsid w:val="004F358C"/>
    <w:rsid w:val="004F3686"/>
    <w:rsid w:val="004F37A2"/>
    <w:rsid w:val="004F37B5"/>
    <w:rsid w:val="004F37EB"/>
    <w:rsid w:val="004F382E"/>
    <w:rsid w:val="004F3B5B"/>
    <w:rsid w:val="004F3B7C"/>
    <w:rsid w:val="004F3C63"/>
    <w:rsid w:val="004F3CA3"/>
    <w:rsid w:val="004F3D1A"/>
    <w:rsid w:val="004F3D2B"/>
    <w:rsid w:val="004F3D3C"/>
    <w:rsid w:val="004F3D72"/>
    <w:rsid w:val="004F3D79"/>
    <w:rsid w:val="004F3D8F"/>
    <w:rsid w:val="004F3E45"/>
    <w:rsid w:val="004F3E55"/>
    <w:rsid w:val="004F3F12"/>
    <w:rsid w:val="004F3FC7"/>
    <w:rsid w:val="004F4081"/>
    <w:rsid w:val="004F40DA"/>
    <w:rsid w:val="004F4236"/>
    <w:rsid w:val="004F4302"/>
    <w:rsid w:val="004F4486"/>
    <w:rsid w:val="004F454C"/>
    <w:rsid w:val="004F45F0"/>
    <w:rsid w:val="004F4614"/>
    <w:rsid w:val="004F46C5"/>
    <w:rsid w:val="004F46D2"/>
    <w:rsid w:val="004F472B"/>
    <w:rsid w:val="004F4AC8"/>
    <w:rsid w:val="004F4B05"/>
    <w:rsid w:val="004F4B20"/>
    <w:rsid w:val="004F4BF2"/>
    <w:rsid w:val="004F4C7B"/>
    <w:rsid w:val="004F4C8C"/>
    <w:rsid w:val="004F4D38"/>
    <w:rsid w:val="004F4D8F"/>
    <w:rsid w:val="004F4DA2"/>
    <w:rsid w:val="004F4DAF"/>
    <w:rsid w:val="004F4DF3"/>
    <w:rsid w:val="004F4DFB"/>
    <w:rsid w:val="004F4F1E"/>
    <w:rsid w:val="004F4F44"/>
    <w:rsid w:val="004F4F62"/>
    <w:rsid w:val="004F4F7E"/>
    <w:rsid w:val="004F5052"/>
    <w:rsid w:val="004F5277"/>
    <w:rsid w:val="004F5495"/>
    <w:rsid w:val="004F5547"/>
    <w:rsid w:val="004F5791"/>
    <w:rsid w:val="004F57DD"/>
    <w:rsid w:val="004F5805"/>
    <w:rsid w:val="004F584B"/>
    <w:rsid w:val="004F5868"/>
    <w:rsid w:val="004F586A"/>
    <w:rsid w:val="004F5AB4"/>
    <w:rsid w:val="004F5B16"/>
    <w:rsid w:val="004F5B55"/>
    <w:rsid w:val="004F5C13"/>
    <w:rsid w:val="004F5C77"/>
    <w:rsid w:val="004F5CA6"/>
    <w:rsid w:val="004F5D5A"/>
    <w:rsid w:val="004F5D78"/>
    <w:rsid w:val="004F5EBD"/>
    <w:rsid w:val="004F5F41"/>
    <w:rsid w:val="004F5FF2"/>
    <w:rsid w:val="004F605C"/>
    <w:rsid w:val="004F609B"/>
    <w:rsid w:val="004F6102"/>
    <w:rsid w:val="004F6194"/>
    <w:rsid w:val="004F62F4"/>
    <w:rsid w:val="004F64AC"/>
    <w:rsid w:val="004F6503"/>
    <w:rsid w:val="004F6601"/>
    <w:rsid w:val="004F668B"/>
    <w:rsid w:val="004F67A9"/>
    <w:rsid w:val="004F67E2"/>
    <w:rsid w:val="004F67E5"/>
    <w:rsid w:val="004F6836"/>
    <w:rsid w:val="004F68CC"/>
    <w:rsid w:val="004F68E4"/>
    <w:rsid w:val="004F6A88"/>
    <w:rsid w:val="004F6AAE"/>
    <w:rsid w:val="004F6AB2"/>
    <w:rsid w:val="004F6B5B"/>
    <w:rsid w:val="004F6B67"/>
    <w:rsid w:val="004F6BC3"/>
    <w:rsid w:val="004F6BC8"/>
    <w:rsid w:val="004F6CCD"/>
    <w:rsid w:val="004F6E16"/>
    <w:rsid w:val="004F6E4F"/>
    <w:rsid w:val="004F6E79"/>
    <w:rsid w:val="004F6E83"/>
    <w:rsid w:val="004F6EB1"/>
    <w:rsid w:val="004F6ED0"/>
    <w:rsid w:val="004F6ED8"/>
    <w:rsid w:val="004F6F5B"/>
    <w:rsid w:val="004F6FA7"/>
    <w:rsid w:val="004F6FB7"/>
    <w:rsid w:val="004F6FFD"/>
    <w:rsid w:val="004F7018"/>
    <w:rsid w:val="004F7042"/>
    <w:rsid w:val="004F7047"/>
    <w:rsid w:val="004F705F"/>
    <w:rsid w:val="004F7093"/>
    <w:rsid w:val="004F7244"/>
    <w:rsid w:val="004F7442"/>
    <w:rsid w:val="004F7491"/>
    <w:rsid w:val="004F74E6"/>
    <w:rsid w:val="004F75F9"/>
    <w:rsid w:val="004F76D2"/>
    <w:rsid w:val="004F773C"/>
    <w:rsid w:val="004F77C9"/>
    <w:rsid w:val="004F784E"/>
    <w:rsid w:val="004F785B"/>
    <w:rsid w:val="004F7912"/>
    <w:rsid w:val="004F7917"/>
    <w:rsid w:val="004F7997"/>
    <w:rsid w:val="004F7A8D"/>
    <w:rsid w:val="004F7AF2"/>
    <w:rsid w:val="004F7B94"/>
    <w:rsid w:val="004F7BDD"/>
    <w:rsid w:val="004F7C2A"/>
    <w:rsid w:val="004F7C52"/>
    <w:rsid w:val="004F7C5F"/>
    <w:rsid w:val="004F7D24"/>
    <w:rsid w:val="004F7DAB"/>
    <w:rsid w:val="004F7F73"/>
    <w:rsid w:val="00500003"/>
    <w:rsid w:val="0050000B"/>
    <w:rsid w:val="0050009A"/>
    <w:rsid w:val="0050018F"/>
    <w:rsid w:val="005002BB"/>
    <w:rsid w:val="005003E8"/>
    <w:rsid w:val="00500424"/>
    <w:rsid w:val="00500499"/>
    <w:rsid w:val="00500526"/>
    <w:rsid w:val="0050060F"/>
    <w:rsid w:val="00500642"/>
    <w:rsid w:val="0050082D"/>
    <w:rsid w:val="00500937"/>
    <w:rsid w:val="0050097D"/>
    <w:rsid w:val="005009BE"/>
    <w:rsid w:val="00500B62"/>
    <w:rsid w:val="00500B90"/>
    <w:rsid w:val="00500C49"/>
    <w:rsid w:val="00500D51"/>
    <w:rsid w:val="00500D75"/>
    <w:rsid w:val="00500DAD"/>
    <w:rsid w:val="00500E30"/>
    <w:rsid w:val="00500ED9"/>
    <w:rsid w:val="00500F93"/>
    <w:rsid w:val="0050102A"/>
    <w:rsid w:val="00501100"/>
    <w:rsid w:val="005011D2"/>
    <w:rsid w:val="00501371"/>
    <w:rsid w:val="0050138D"/>
    <w:rsid w:val="0050155B"/>
    <w:rsid w:val="0050158D"/>
    <w:rsid w:val="0050159B"/>
    <w:rsid w:val="005015AD"/>
    <w:rsid w:val="00501708"/>
    <w:rsid w:val="00501CD1"/>
    <w:rsid w:val="00501EC3"/>
    <w:rsid w:val="00501F10"/>
    <w:rsid w:val="005021E0"/>
    <w:rsid w:val="0050231E"/>
    <w:rsid w:val="005023BF"/>
    <w:rsid w:val="00502418"/>
    <w:rsid w:val="00502504"/>
    <w:rsid w:val="00502561"/>
    <w:rsid w:val="0050261A"/>
    <w:rsid w:val="0050267C"/>
    <w:rsid w:val="005027F7"/>
    <w:rsid w:val="00502828"/>
    <w:rsid w:val="005028A7"/>
    <w:rsid w:val="005028F5"/>
    <w:rsid w:val="00502926"/>
    <w:rsid w:val="00502945"/>
    <w:rsid w:val="005029CC"/>
    <w:rsid w:val="00502A94"/>
    <w:rsid w:val="00502C64"/>
    <w:rsid w:val="00502D73"/>
    <w:rsid w:val="00502D7B"/>
    <w:rsid w:val="00502D8A"/>
    <w:rsid w:val="00502D99"/>
    <w:rsid w:val="00502DB4"/>
    <w:rsid w:val="00502DFA"/>
    <w:rsid w:val="00502E15"/>
    <w:rsid w:val="00502E7A"/>
    <w:rsid w:val="00502FF4"/>
    <w:rsid w:val="0050318B"/>
    <w:rsid w:val="005031D8"/>
    <w:rsid w:val="0050323F"/>
    <w:rsid w:val="0050325C"/>
    <w:rsid w:val="005032E9"/>
    <w:rsid w:val="00503353"/>
    <w:rsid w:val="00503358"/>
    <w:rsid w:val="005033A6"/>
    <w:rsid w:val="005033AF"/>
    <w:rsid w:val="0050349A"/>
    <w:rsid w:val="00503561"/>
    <w:rsid w:val="005035EB"/>
    <w:rsid w:val="00503677"/>
    <w:rsid w:val="0050373D"/>
    <w:rsid w:val="00503A1D"/>
    <w:rsid w:val="00503AB3"/>
    <w:rsid w:val="00503AD6"/>
    <w:rsid w:val="00503B43"/>
    <w:rsid w:val="00503B98"/>
    <w:rsid w:val="00503CB4"/>
    <w:rsid w:val="00503CD9"/>
    <w:rsid w:val="00503DAE"/>
    <w:rsid w:val="00503F6E"/>
    <w:rsid w:val="00503FE6"/>
    <w:rsid w:val="00504115"/>
    <w:rsid w:val="00504147"/>
    <w:rsid w:val="005042EA"/>
    <w:rsid w:val="005045F4"/>
    <w:rsid w:val="0050483D"/>
    <w:rsid w:val="0050483F"/>
    <w:rsid w:val="005048C6"/>
    <w:rsid w:val="00504997"/>
    <w:rsid w:val="00504998"/>
    <w:rsid w:val="0050499A"/>
    <w:rsid w:val="00504A58"/>
    <w:rsid w:val="00504A5F"/>
    <w:rsid w:val="00504AE1"/>
    <w:rsid w:val="00504AEA"/>
    <w:rsid w:val="00504DF3"/>
    <w:rsid w:val="00504E17"/>
    <w:rsid w:val="00504E90"/>
    <w:rsid w:val="00504EDA"/>
    <w:rsid w:val="00504EDE"/>
    <w:rsid w:val="00504F4F"/>
    <w:rsid w:val="00504F7F"/>
    <w:rsid w:val="00504FDD"/>
    <w:rsid w:val="0050502B"/>
    <w:rsid w:val="00505108"/>
    <w:rsid w:val="00505130"/>
    <w:rsid w:val="0050528E"/>
    <w:rsid w:val="00505340"/>
    <w:rsid w:val="00505410"/>
    <w:rsid w:val="0050548E"/>
    <w:rsid w:val="005054F2"/>
    <w:rsid w:val="005055A1"/>
    <w:rsid w:val="005055B2"/>
    <w:rsid w:val="00505620"/>
    <w:rsid w:val="00505710"/>
    <w:rsid w:val="0050579E"/>
    <w:rsid w:val="0050583D"/>
    <w:rsid w:val="00505A90"/>
    <w:rsid w:val="00505A9B"/>
    <w:rsid w:val="00505B57"/>
    <w:rsid w:val="00505B65"/>
    <w:rsid w:val="00505BE3"/>
    <w:rsid w:val="00505CD0"/>
    <w:rsid w:val="00505D10"/>
    <w:rsid w:val="00505DD9"/>
    <w:rsid w:val="00505DE5"/>
    <w:rsid w:val="00505EF5"/>
    <w:rsid w:val="00505FC4"/>
    <w:rsid w:val="00505FFD"/>
    <w:rsid w:val="005061ED"/>
    <w:rsid w:val="00506212"/>
    <w:rsid w:val="005062EE"/>
    <w:rsid w:val="005062FC"/>
    <w:rsid w:val="0050653C"/>
    <w:rsid w:val="00506585"/>
    <w:rsid w:val="00506604"/>
    <w:rsid w:val="00506671"/>
    <w:rsid w:val="005066BF"/>
    <w:rsid w:val="0050678F"/>
    <w:rsid w:val="0050688D"/>
    <w:rsid w:val="00506E3C"/>
    <w:rsid w:val="00506F1A"/>
    <w:rsid w:val="00507074"/>
    <w:rsid w:val="0050714F"/>
    <w:rsid w:val="00507185"/>
    <w:rsid w:val="0050719E"/>
    <w:rsid w:val="00507387"/>
    <w:rsid w:val="00507433"/>
    <w:rsid w:val="00507579"/>
    <w:rsid w:val="00507603"/>
    <w:rsid w:val="0050771E"/>
    <w:rsid w:val="00507826"/>
    <w:rsid w:val="0050787F"/>
    <w:rsid w:val="005078D3"/>
    <w:rsid w:val="00507992"/>
    <w:rsid w:val="00507AB2"/>
    <w:rsid w:val="00507BA0"/>
    <w:rsid w:val="00507E94"/>
    <w:rsid w:val="00507ED0"/>
    <w:rsid w:val="00507FBC"/>
    <w:rsid w:val="00507FFA"/>
    <w:rsid w:val="00510038"/>
    <w:rsid w:val="0051019A"/>
    <w:rsid w:val="00510258"/>
    <w:rsid w:val="00510329"/>
    <w:rsid w:val="005103AD"/>
    <w:rsid w:val="00510638"/>
    <w:rsid w:val="00510693"/>
    <w:rsid w:val="005106AD"/>
    <w:rsid w:val="005106BC"/>
    <w:rsid w:val="0051076B"/>
    <w:rsid w:val="00510809"/>
    <w:rsid w:val="00510839"/>
    <w:rsid w:val="00510891"/>
    <w:rsid w:val="00510AEB"/>
    <w:rsid w:val="00510B17"/>
    <w:rsid w:val="00510B45"/>
    <w:rsid w:val="00510BFA"/>
    <w:rsid w:val="00510C65"/>
    <w:rsid w:val="00510CC1"/>
    <w:rsid w:val="00510CF0"/>
    <w:rsid w:val="00510CF1"/>
    <w:rsid w:val="00510DC4"/>
    <w:rsid w:val="00510DD2"/>
    <w:rsid w:val="00510E28"/>
    <w:rsid w:val="00510E50"/>
    <w:rsid w:val="00510FAA"/>
    <w:rsid w:val="0051101F"/>
    <w:rsid w:val="005110AD"/>
    <w:rsid w:val="00511112"/>
    <w:rsid w:val="005111FA"/>
    <w:rsid w:val="00511241"/>
    <w:rsid w:val="00511310"/>
    <w:rsid w:val="005113AC"/>
    <w:rsid w:val="005113AD"/>
    <w:rsid w:val="005113BA"/>
    <w:rsid w:val="005113FF"/>
    <w:rsid w:val="0051141D"/>
    <w:rsid w:val="0051146E"/>
    <w:rsid w:val="005114DF"/>
    <w:rsid w:val="0051150C"/>
    <w:rsid w:val="00511568"/>
    <w:rsid w:val="0051164F"/>
    <w:rsid w:val="00511675"/>
    <w:rsid w:val="0051169B"/>
    <w:rsid w:val="005116F3"/>
    <w:rsid w:val="00511719"/>
    <w:rsid w:val="005117FF"/>
    <w:rsid w:val="00511840"/>
    <w:rsid w:val="00511969"/>
    <w:rsid w:val="00511A5B"/>
    <w:rsid w:val="00511B6C"/>
    <w:rsid w:val="00511BCF"/>
    <w:rsid w:val="00511D39"/>
    <w:rsid w:val="00511D6D"/>
    <w:rsid w:val="00511D83"/>
    <w:rsid w:val="00511E18"/>
    <w:rsid w:val="00511EE2"/>
    <w:rsid w:val="00511F39"/>
    <w:rsid w:val="00511F3D"/>
    <w:rsid w:val="00511F81"/>
    <w:rsid w:val="00511FF0"/>
    <w:rsid w:val="00512045"/>
    <w:rsid w:val="00512119"/>
    <w:rsid w:val="00512165"/>
    <w:rsid w:val="00512198"/>
    <w:rsid w:val="00512481"/>
    <w:rsid w:val="005124B1"/>
    <w:rsid w:val="005124B2"/>
    <w:rsid w:val="005125EA"/>
    <w:rsid w:val="0051263C"/>
    <w:rsid w:val="00512698"/>
    <w:rsid w:val="005126B1"/>
    <w:rsid w:val="005126E3"/>
    <w:rsid w:val="00512711"/>
    <w:rsid w:val="00512745"/>
    <w:rsid w:val="005127CF"/>
    <w:rsid w:val="005127D5"/>
    <w:rsid w:val="0051281D"/>
    <w:rsid w:val="005128F2"/>
    <w:rsid w:val="005128F8"/>
    <w:rsid w:val="00512A3B"/>
    <w:rsid w:val="00512B96"/>
    <w:rsid w:val="00512C08"/>
    <w:rsid w:val="00512C62"/>
    <w:rsid w:val="00512CBD"/>
    <w:rsid w:val="00512E7A"/>
    <w:rsid w:val="00512EFC"/>
    <w:rsid w:val="00512F56"/>
    <w:rsid w:val="0051300E"/>
    <w:rsid w:val="00513050"/>
    <w:rsid w:val="005130D3"/>
    <w:rsid w:val="0051310D"/>
    <w:rsid w:val="0051315E"/>
    <w:rsid w:val="005132D3"/>
    <w:rsid w:val="005132FA"/>
    <w:rsid w:val="0051341C"/>
    <w:rsid w:val="005134DE"/>
    <w:rsid w:val="0051351C"/>
    <w:rsid w:val="0051354A"/>
    <w:rsid w:val="005135E9"/>
    <w:rsid w:val="00513607"/>
    <w:rsid w:val="00513629"/>
    <w:rsid w:val="0051362E"/>
    <w:rsid w:val="00513686"/>
    <w:rsid w:val="005138C6"/>
    <w:rsid w:val="005138D3"/>
    <w:rsid w:val="005138ED"/>
    <w:rsid w:val="00513936"/>
    <w:rsid w:val="0051395E"/>
    <w:rsid w:val="00513989"/>
    <w:rsid w:val="0051398C"/>
    <w:rsid w:val="00513993"/>
    <w:rsid w:val="005139BB"/>
    <w:rsid w:val="00513A10"/>
    <w:rsid w:val="00513A9E"/>
    <w:rsid w:val="00513A9F"/>
    <w:rsid w:val="00513B87"/>
    <w:rsid w:val="00513BCB"/>
    <w:rsid w:val="00513C2D"/>
    <w:rsid w:val="00513D54"/>
    <w:rsid w:val="00513DE9"/>
    <w:rsid w:val="00513F96"/>
    <w:rsid w:val="00514073"/>
    <w:rsid w:val="00514133"/>
    <w:rsid w:val="005141C1"/>
    <w:rsid w:val="00514277"/>
    <w:rsid w:val="00514303"/>
    <w:rsid w:val="005144F2"/>
    <w:rsid w:val="00514549"/>
    <w:rsid w:val="005145B2"/>
    <w:rsid w:val="005145F2"/>
    <w:rsid w:val="00514625"/>
    <w:rsid w:val="005148A9"/>
    <w:rsid w:val="005149F2"/>
    <w:rsid w:val="00514AF9"/>
    <w:rsid w:val="00514B02"/>
    <w:rsid w:val="00514B0C"/>
    <w:rsid w:val="00514BC7"/>
    <w:rsid w:val="00514C44"/>
    <w:rsid w:val="00514C6C"/>
    <w:rsid w:val="00514D4C"/>
    <w:rsid w:val="00514D69"/>
    <w:rsid w:val="00514E3D"/>
    <w:rsid w:val="00514EA9"/>
    <w:rsid w:val="00514EBD"/>
    <w:rsid w:val="00514F16"/>
    <w:rsid w:val="00514FC8"/>
    <w:rsid w:val="00515123"/>
    <w:rsid w:val="00515196"/>
    <w:rsid w:val="005151F9"/>
    <w:rsid w:val="0051536A"/>
    <w:rsid w:val="0051539C"/>
    <w:rsid w:val="00515432"/>
    <w:rsid w:val="00515652"/>
    <w:rsid w:val="00515657"/>
    <w:rsid w:val="005156CF"/>
    <w:rsid w:val="0051571A"/>
    <w:rsid w:val="00515736"/>
    <w:rsid w:val="0051577F"/>
    <w:rsid w:val="005157EC"/>
    <w:rsid w:val="00515863"/>
    <w:rsid w:val="005158AE"/>
    <w:rsid w:val="0051598A"/>
    <w:rsid w:val="00515A97"/>
    <w:rsid w:val="00515A9E"/>
    <w:rsid w:val="00515AA1"/>
    <w:rsid w:val="00515B77"/>
    <w:rsid w:val="00515B88"/>
    <w:rsid w:val="00515BBF"/>
    <w:rsid w:val="00515C3A"/>
    <w:rsid w:val="00515C9C"/>
    <w:rsid w:val="00515CAC"/>
    <w:rsid w:val="00515CBB"/>
    <w:rsid w:val="00515D3D"/>
    <w:rsid w:val="00515E17"/>
    <w:rsid w:val="00515F62"/>
    <w:rsid w:val="00515FCB"/>
    <w:rsid w:val="00515FF0"/>
    <w:rsid w:val="00516045"/>
    <w:rsid w:val="0051615A"/>
    <w:rsid w:val="0051625F"/>
    <w:rsid w:val="00516265"/>
    <w:rsid w:val="00516403"/>
    <w:rsid w:val="00516410"/>
    <w:rsid w:val="00516556"/>
    <w:rsid w:val="005165B3"/>
    <w:rsid w:val="00516692"/>
    <w:rsid w:val="00516699"/>
    <w:rsid w:val="005166BC"/>
    <w:rsid w:val="00516790"/>
    <w:rsid w:val="00516854"/>
    <w:rsid w:val="0051686B"/>
    <w:rsid w:val="00516898"/>
    <w:rsid w:val="00516900"/>
    <w:rsid w:val="00516A98"/>
    <w:rsid w:val="00516C95"/>
    <w:rsid w:val="00516D18"/>
    <w:rsid w:val="00516D26"/>
    <w:rsid w:val="00516D50"/>
    <w:rsid w:val="00516FE0"/>
    <w:rsid w:val="005170E1"/>
    <w:rsid w:val="00517169"/>
    <w:rsid w:val="00517178"/>
    <w:rsid w:val="00517219"/>
    <w:rsid w:val="005172DD"/>
    <w:rsid w:val="00517311"/>
    <w:rsid w:val="00517324"/>
    <w:rsid w:val="0051740B"/>
    <w:rsid w:val="00517443"/>
    <w:rsid w:val="00517484"/>
    <w:rsid w:val="00517580"/>
    <w:rsid w:val="005175AA"/>
    <w:rsid w:val="005176A5"/>
    <w:rsid w:val="00517713"/>
    <w:rsid w:val="00517742"/>
    <w:rsid w:val="0051787F"/>
    <w:rsid w:val="00517930"/>
    <w:rsid w:val="005179B1"/>
    <w:rsid w:val="00517A77"/>
    <w:rsid w:val="00517C51"/>
    <w:rsid w:val="00517D19"/>
    <w:rsid w:val="00517D21"/>
    <w:rsid w:val="00517D92"/>
    <w:rsid w:val="00517DAC"/>
    <w:rsid w:val="00517E48"/>
    <w:rsid w:val="00517E5E"/>
    <w:rsid w:val="00517EBE"/>
    <w:rsid w:val="00517EDD"/>
    <w:rsid w:val="00517F14"/>
    <w:rsid w:val="00517F1F"/>
    <w:rsid w:val="00517F2F"/>
    <w:rsid w:val="00520117"/>
    <w:rsid w:val="0052012C"/>
    <w:rsid w:val="00520140"/>
    <w:rsid w:val="00520172"/>
    <w:rsid w:val="005201C4"/>
    <w:rsid w:val="005201DE"/>
    <w:rsid w:val="00520301"/>
    <w:rsid w:val="00520357"/>
    <w:rsid w:val="0052038C"/>
    <w:rsid w:val="005203ED"/>
    <w:rsid w:val="0052044B"/>
    <w:rsid w:val="005204E2"/>
    <w:rsid w:val="00520653"/>
    <w:rsid w:val="00520986"/>
    <w:rsid w:val="0052098C"/>
    <w:rsid w:val="00520A38"/>
    <w:rsid w:val="00520AA7"/>
    <w:rsid w:val="00520B0B"/>
    <w:rsid w:val="00520C9F"/>
    <w:rsid w:val="00520E55"/>
    <w:rsid w:val="00520EB9"/>
    <w:rsid w:val="00520EC4"/>
    <w:rsid w:val="00520EDF"/>
    <w:rsid w:val="00520F46"/>
    <w:rsid w:val="00520FA3"/>
    <w:rsid w:val="0052115A"/>
    <w:rsid w:val="0052115F"/>
    <w:rsid w:val="005212E3"/>
    <w:rsid w:val="00521345"/>
    <w:rsid w:val="00521369"/>
    <w:rsid w:val="005213CB"/>
    <w:rsid w:val="0052142F"/>
    <w:rsid w:val="00521476"/>
    <w:rsid w:val="005214BD"/>
    <w:rsid w:val="005214F3"/>
    <w:rsid w:val="0052157E"/>
    <w:rsid w:val="005215D1"/>
    <w:rsid w:val="005215E2"/>
    <w:rsid w:val="005215ED"/>
    <w:rsid w:val="005216BC"/>
    <w:rsid w:val="00521735"/>
    <w:rsid w:val="005217A5"/>
    <w:rsid w:val="005218E0"/>
    <w:rsid w:val="00521A14"/>
    <w:rsid w:val="00521A7E"/>
    <w:rsid w:val="00521D36"/>
    <w:rsid w:val="00521E70"/>
    <w:rsid w:val="00521FA8"/>
    <w:rsid w:val="0052203B"/>
    <w:rsid w:val="005220A2"/>
    <w:rsid w:val="005220F8"/>
    <w:rsid w:val="0052218D"/>
    <w:rsid w:val="0052246E"/>
    <w:rsid w:val="0052272B"/>
    <w:rsid w:val="0052276A"/>
    <w:rsid w:val="005227AD"/>
    <w:rsid w:val="005228AE"/>
    <w:rsid w:val="005229D0"/>
    <w:rsid w:val="00522ACF"/>
    <w:rsid w:val="00522BBC"/>
    <w:rsid w:val="00522BD1"/>
    <w:rsid w:val="00522C4E"/>
    <w:rsid w:val="00522D9F"/>
    <w:rsid w:val="00522E34"/>
    <w:rsid w:val="0052318B"/>
    <w:rsid w:val="0052319F"/>
    <w:rsid w:val="005231C0"/>
    <w:rsid w:val="005231DA"/>
    <w:rsid w:val="005231DE"/>
    <w:rsid w:val="00523203"/>
    <w:rsid w:val="0052322E"/>
    <w:rsid w:val="00523273"/>
    <w:rsid w:val="00523279"/>
    <w:rsid w:val="005234C3"/>
    <w:rsid w:val="0052350A"/>
    <w:rsid w:val="00523516"/>
    <w:rsid w:val="005235D2"/>
    <w:rsid w:val="00523612"/>
    <w:rsid w:val="00523701"/>
    <w:rsid w:val="00523709"/>
    <w:rsid w:val="005237DD"/>
    <w:rsid w:val="00523A82"/>
    <w:rsid w:val="00523ACE"/>
    <w:rsid w:val="00523B8F"/>
    <w:rsid w:val="00523CD9"/>
    <w:rsid w:val="00523D06"/>
    <w:rsid w:val="00523D8A"/>
    <w:rsid w:val="00523F4D"/>
    <w:rsid w:val="0052409E"/>
    <w:rsid w:val="005240DC"/>
    <w:rsid w:val="00524114"/>
    <w:rsid w:val="005241C9"/>
    <w:rsid w:val="005241D3"/>
    <w:rsid w:val="00524209"/>
    <w:rsid w:val="00524221"/>
    <w:rsid w:val="0052424C"/>
    <w:rsid w:val="0052433F"/>
    <w:rsid w:val="0052442B"/>
    <w:rsid w:val="00524537"/>
    <w:rsid w:val="00524682"/>
    <w:rsid w:val="0052469D"/>
    <w:rsid w:val="005246A7"/>
    <w:rsid w:val="005247B4"/>
    <w:rsid w:val="005247BE"/>
    <w:rsid w:val="00524828"/>
    <w:rsid w:val="0052490C"/>
    <w:rsid w:val="005249F7"/>
    <w:rsid w:val="00524B81"/>
    <w:rsid w:val="00524CC7"/>
    <w:rsid w:val="00524D7F"/>
    <w:rsid w:val="00524DBC"/>
    <w:rsid w:val="00524EEB"/>
    <w:rsid w:val="00525120"/>
    <w:rsid w:val="005252AB"/>
    <w:rsid w:val="005252B0"/>
    <w:rsid w:val="0052530E"/>
    <w:rsid w:val="005253F3"/>
    <w:rsid w:val="005254EF"/>
    <w:rsid w:val="005255C4"/>
    <w:rsid w:val="005255DB"/>
    <w:rsid w:val="00525602"/>
    <w:rsid w:val="00525651"/>
    <w:rsid w:val="005256A0"/>
    <w:rsid w:val="005256EA"/>
    <w:rsid w:val="00525712"/>
    <w:rsid w:val="00525890"/>
    <w:rsid w:val="00525A43"/>
    <w:rsid w:val="00525C18"/>
    <w:rsid w:val="00525C50"/>
    <w:rsid w:val="00525F88"/>
    <w:rsid w:val="00525FD3"/>
    <w:rsid w:val="00525FE0"/>
    <w:rsid w:val="005260A9"/>
    <w:rsid w:val="005260FA"/>
    <w:rsid w:val="00526191"/>
    <w:rsid w:val="00526229"/>
    <w:rsid w:val="0052626D"/>
    <w:rsid w:val="005262D0"/>
    <w:rsid w:val="005265C1"/>
    <w:rsid w:val="005265D7"/>
    <w:rsid w:val="00526687"/>
    <w:rsid w:val="005266F4"/>
    <w:rsid w:val="00526751"/>
    <w:rsid w:val="005267DB"/>
    <w:rsid w:val="00526822"/>
    <w:rsid w:val="00526828"/>
    <w:rsid w:val="00526889"/>
    <w:rsid w:val="0052691C"/>
    <w:rsid w:val="00526A9B"/>
    <w:rsid w:val="00526AC4"/>
    <w:rsid w:val="00526BF2"/>
    <w:rsid w:val="00526C7F"/>
    <w:rsid w:val="00526C87"/>
    <w:rsid w:val="00526C96"/>
    <w:rsid w:val="00526D12"/>
    <w:rsid w:val="00526E24"/>
    <w:rsid w:val="00526E6F"/>
    <w:rsid w:val="00526E84"/>
    <w:rsid w:val="00526FF4"/>
    <w:rsid w:val="0052701A"/>
    <w:rsid w:val="00527185"/>
    <w:rsid w:val="00527263"/>
    <w:rsid w:val="00527274"/>
    <w:rsid w:val="00527292"/>
    <w:rsid w:val="005272B5"/>
    <w:rsid w:val="0052738C"/>
    <w:rsid w:val="00527452"/>
    <w:rsid w:val="0052753E"/>
    <w:rsid w:val="0052759F"/>
    <w:rsid w:val="005275DA"/>
    <w:rsid w:val="005275EE"/>
    <w:rsid w:val="00527690"/>
    <w:rsid w:val="005276B7"/>
    <w:rsid w:val="005276F3"/>
    <w:rsid w:val="005276F9"/>
    <w:rsid w:val="005277DE"/>
    <w:rsid w:val="0052793E"/>
    <w:rsid w:val="00527ABE"/>
    <w:rsid w:val="00527C12"/>
    <w:rsid w:val="00527CD1"/>
    <w:rsid w:val="00527F06"/>
    <w:rsid w:val="005300AC"/>
    <w:rsid w:val="0053013E"/>
    <w:rsid w:val="00530186"/>
    <w:rsid w:val="005301D9"/>
    <w:rsid w:val="00530311"/>
    <w:rsid w:val="005303E2"/>
    <w:rsid w:val="005303FC"/>
    <w:rsid w:val="00530442"/>
    <w:rsid w:val="005304AC"/>
    <w:rsid w:val="00530673"/>
    <w:rsid w:val="0053074B"/>
    <w:rsid w:val="00530806"/>
    <w:rsid w:val="0053080B"/>
    <w:rsid w:val="005308EF"/>
    <w:rsid w:val="0053092E"/>
    <w:rsid w:val="0053098E"/>
    <w:rsid w:val="00530A4D"/>
    <w:rsid w:val="00530ACA"/>
    <w:rsid w:val="00530AF6"/>
    <w:rsid w:val="00530B74"/>
    <w:rsid w:val="00530C09"/>
    <w:rsid w:val="00530C2F"/>
    <w:rsid w:val="00530D54"/>
    <w:rsid w:val="00530DAD"/>
    <w:rsid w:val="00530E37"/>
    <w:rsid w:val="00530ECA"/>
    <w:rsid w:val="00530F8B"/>
    <w:rsid w:val="00530FC8"/>
    <w:rsid w:val="00531001"/>
    <w:rsid w:val="00531039"/>
    <w:rsid w:val="00531482"/>
    <w:rsid w:val="005314B6"/>
    <w:rsid w:val="005314B8"/>
    <w:rsid w:val="005314BA"/>
    <w:rsid w:val="005314CB"/>
    <w:rsid w:val="0053150B"/>
    <w:rsid w:val="00531568"/>
    <w:rsid w:val="005316A7"/>
    <w:rsid w:val="005316AA"/>
    <w:rsid w:val="005316B8"/>
    <w:rsid w:val="00531775"/>
    <w:rsid w:val="0053193C"/>
    <w:rsid w:val="00531A78"/>
    <w:rsid w:val="00531AB3"/>
    <w:rsid w:val="00531B91"/>
    <w:rsid w:val="00531BDF"/>
    <w:rsid w:val="00531C19"/>
    <w:rsid w:val="00531DDC"/>
    <w:rsid w:val="00531F3A"/>
    <w:rsid w:val="0053213C"/>
    <w:rsid w:val="005321B8"/>
    <w:rsid w:val="005321C3"/>
    <w:rsid w:val="005321E6"/>
    <w:rsid w:val="00532214"/>
    <w:rsid w:val="00532288"/>
    <w:rsid w:val="005322B6"/>
    <w:rsid w:val="005322CB"/>
    <w:rsid w:val="005322E8"/>
    <w:rsid w:val="00532375"/>
    <w:rsid w:val="0053237A"/>
    <w:rsid w:val="005323EE"/>
    <w:rsid w:val="00532662"/>
    <w:rsid w:val="00532669"/>
    <w:rsid w:val="00532686"/>
    <w:rsid w:val="005327ED"/>
    <w:rsid w:val="0053285D"/>
    <w:rsid w:val="00532869"/>
    <w:rsid w:val="0053288C"/>
    <w:rsid w:val="005329C2"/>
    <w:rsid w:val="00532AD4"/>
    <w:rsid w:val="00532B1D"/>
    <w:rsid w:val="00532B2E"/>
    <w:rsid w:val="00532B88"/>
    <w:rsid w:val="00532CA6"/>
    <w:rsid w:val="00532D0F"/>
    <w:rsid w:val="00532E2B"/>
    <w:rsid w:val="00532EAF"/>
    <w:rsid w:val="00532F6F"/>
    <w:rsid w:val="0053324D"/>
    <w:rsid w:val="00533266"/>
    <w:rsid w:val="00533490"/>
    <w:rsid w:val="005334C2"/>
    <w:rsid w:val="005335C6"/>
    <w:rsid w:val="0053362F"/>
    <w:rsid w:val="005336CA"/>
    <w:rsid w:val="005337BA"/>
    <w:rsid w:val="005337D8"/>
    <w:rsid w:val="0053387B"/>
    <w:rsid w:val="00533991"/>
    <w:rsid w:val="00533B86"/>
    <w:rsid w:val="00533C32"/>
    <w:rsid w:val="00533F1E"/>
    <w:rsid w:val="00533F91"/>
    <w:rsid w:val="00534055"/>
    <w:rsid w:val="0053415F"/>
    <w:rsid w:val="00534173"/>
    <w:rsid w:val="00534194"/>
    <w:rsid w:val="005341E9"/>
    <w:rsid w:val="0053424D"/>
    <w:rsid w:val="005342B5"/>
    <w:rsid w:val="005343C5"/>
    <w:rsid w:val="00534429"/>
    <w:rsid w:val="0053442A"/>
    <w:rsid w:val="005344CA"/>
    <w:rsid w:val="005345BD"/>
    <w:rsid w:val="0053464C"/>
    <w:rsid w:val="00534678"/>
    <w:rsid w:val="0053469A"/>
    <w:rsid w:val="005346C2"/>
    <w:rsid w:val="0053481D"/>
    <w:rsid w:val="0053496D"/>
    <w:rsid w:val="00534989"/>
    <w:rsid w:val="00534A60"/>
    <w:rsid w:val="00534B47"/>
    <w:rsid w:val="00534BD4"/>
    <w:rsid w:val="00534D29"/>
    <w:rsid w:val="00534EE4"/>
    <w:rsid w:val="00534F22"/>
    <w:rsid w:val="00534F78"/>
    <w:rsid w:val="00534FD5"/>
    <w:rsid w:val="0053507A"/>
    <w:rsid w:val="005351EF"/>
    <w:rsid w:val="005351FB"/>
    <w:rsid w:val="0053520E"/>
    <w:rsid w:val="00535278"/>
    <w:rsid w:val="00535364"/>
    <w:rsid w:val="00535486"/>
    <w:rsid w:val="0053570A"/>
    <w:rsid w:val="005357B6"/>
    <w:rsid w:val="00535886"/>
    <w:rsid w:val="00535A17"/>
    <w:rsid w:val="00535A53"/>
    <w:rsid w:val="00535C47"/>
    <w:rsid w:val="00535D65"/>
    <w:rsid w:val="00535E58"/>
    <w:rsid w:val="00535F1A"/>
    <w:rsid w:val="00535F72"/>
    <w:rsid w:val="00536041"/>
    <w:rsid w:val="00536122"/>
    <w:rsid w:val="00536242"/>
    <w:rsid w:val="0053635D"/>
    <w:rsid w:val="0053646B"/>
    <w:rsid w:val="00536619"/>
    <w:rsid w:val="0053664C"/>
    <w:rsid w:val="005366F4"/>
    <w:rsid w:val="00536850"/>
    <w:rsid w:val="00536AD2"/>
    <w:rsid w:val="00536BB7"/>
    <w:rsid w:val="00536C2D"/>
    <w:rsid w:val="00536C9F"/>
    <w:rsid w:val="00536D04"/>
    <w:rsid w:val="00536D69"/>
    <w:rsid w:val="00536D6B"/>
    <w:rsid w:val="00536DBB"/>
    <w:rsid w:val="00536DD4"/>
    <w:rsid w:val="00536FAC"/>
    <w:rsid w:val="005371B5"/>
    <w:rsid w:val="0053731D"/>
    <w:rsid w:val="005373C5"/>
    <w:rsid w:val="0053743C"/>
    <w:rsid w:val="0053760A"/>
    <w:rsid w:val="0053763E"/>
    <w:rsid w:val="00537775"/>
    <w:rsid w:val="005377C5"/>
    <w:rsid w:val="00537900"/>
    <w:rsid w:val="00537950"/>
    <w:rsid w:val="005379E5"/>
    <w:rsid w:val="00537C08"/>
    <w:rsid w:val="00537CBC"/>
    <w:rsid w:val="00537D43"/>
    <w:rsid w:val="00537D98"/>
    <w:rsid w:val="00537DAC"/>
    <w:rsid w:val="00537DBA"/>
    <w:rsid w:val="005400EF"/>
    <w:rsid w:val="005401A5"/>
    <w:rsid w:val="005403B7"/>
    <w:rsid w:val="005404ED"/>
    <w:rsid w:val="00540645"/>
    <w:rsid w:val="00540646"/>
    <w:rsid w:val="00540708"/>
    <w:rsid w:val="00540751"/>
    <w:rsid w:val="0054081A"/>
    <w:rsid w:val="005408A2"/>
    <w:rsid w:val="00540952"/>
    <w:rsid w:val="00540A04"/>
    <w:rsid w:val="00540AD1"/>
    <w:rsid w:val="00540AF2"/>
    <w:rsid w:val="00540BE5"/>
    <w:rsid w:val="00540C2F"/>
    <w:rsid w:val="00540C43"/>
    <w:rsid w:val="00540C4D"/>
    <w:rsid w:val="00540C8A"/>
    <w:rsid w:val="00540DA0"/>
    <w:rsid w:val="00540E68"/>
    <w:rsid w:val="00540EA6"/>
    <w:rsid w:val="00540FCF"/>
    <w:rsid w:val="0054103B"/>
    <w:rsid w:val="00541070"/>
    <w:rsid w:val="00541091"/>
    <w:rsid w:val="0054123B"/>
    <w:rsid w:val="005412A2"/>
    <w:rsid w:val="005412E3"/>
    <w:rsid w:val="00541306"/>
    <w:rsid w:val="00541415"/>
    <w:rsid w:val="00541480"/>
    <w:rsid w:val="0054149F"/>
    <w:rsid w:val="005414A1"/>
    <w:rsid w:val="005414EA"/>
    <w:rsid w:val="005415A8"/>
    <w:rsid w:val="005415D9"/>
    <w:rsid w:val="00541678"/>
    <w:rsid w:val="00541682"/>
    <w:rsid w:val="00541738"/>
    <w:rsid w:val="00541790"/>
    <w:rsid w:val="00541851"/>
    <w:rsid w:val="005418CE"/>
    <w:rsid w:val="005418DD"/>
    <w:rsid w:val="005419BC"/>
    <w:rsid w:val="00541AB0"/>
    <w:rsid w:val="00541C22"/>
    <w:rsid w:val="00541C94"/>
    <w:rsid w:val="00541D8C"/>
    <w:rsid w:val="00541ED7"/>
    <w:rsid w:val="00541F4B"/>
    <w:rsid w:val="00541F56"/>
    <w:rsid w:val="00541F73"/>
    <w:rsid w:val="00542079"/>
    <w:rsid w:val="005421B4"/>
    <w:rsid w:val="0054222E"/>
    <w:rsid w:val="005423B1"/>
    <w:rsid w:val="00542486"/>
    <w:rsid w:val="005424DB"/>
    <w:rsid w:val="005425C2"/>
    <w:rsid w:val="0054261C"/>
    <w:rsid w:val="0054262C"/>
    <w:rsid w:val="00542654"/>
    <w:rsid w:val="00542779"/>
    <w:rsid w:val="0054278B"/>
    <w:rsid w:val="00542904"/>
    <w:rsid w:val="0054291E"/>
    <w:rsid w:val="00542986"/>
    <w:rsid w:val="0054299D"/>
    <w:rsid w:val="00542A37"/>
    <w:rsid w:val="00542A45"/>
    <w:rsid w:val="00542A90"/>
    <w:rsid w:val="00542B2A"/>
    <w:rsid w:val="00542B57"/>
    <w:rsid w:val="00542BD7"/>
    <w:rsid w:val="00542C53"/>
    <w:rsid w:val="00542DBC"/>
    <w:rsid w:val="00542DD6"/>
    <w:rsid w:val="00542E2C"/>
    <w:rsid w:val="00542F7D"/>
    <w:rsid w:val="00543042"/>
    <w:rsid w:val="00543049"/>
    <w:rsid w:val="0054307A"/>
    <w:rsid w:val="005430AD"/>
    <w:rsid w:val="00543110"/>
    <w:rsid w:val="00543138"/>
    <w:rsid w:val="00543210"/>
    <w:rsid w:val="0054327E"/>
    <w:rsid w:val="00543479"/>
    <w:rsid w:val="005434A3"/>
    <w:rsid w:val="005437D7"/>
    <w:rsid w:val="0054390D"/>
    <w:rsid w:val="005439D9"/>
    <w:rsid w:val="00543A14"/>
    <w:rsid w:val="00543A56"/>
    <w:rsid w:val="00543A68"/>
    <w:rsid w:val="00543A87"/>
    <w:rsid w:val="00543B6E"/>
    <w:rsid w:val="00543C79"/>
    <w:rsid w:val="00543CC7"/>
    <w:rsid w:val="00543D0F"/>
    <w:rsid w:val="00543EBF"/>
    <w:rsid w:val="00543F42"/>
    <w:rsid w:val="005440BC"/>
    <w:rsid w:val="005440D4"/>
    <w:rsid w:val="005440F5"/>
    <w:rsid w:val="005440FA"/>
    <w:rsid w:val="00544100"/>
    <w:rsid w:val="00544148"/>
    <w:rsid w:val="005442F6"/>
    <w:rsid w:val="005443AE"/>
    <w:rsid w:val="0054457D"/>
    <w:rsid w:val="005445BE"/>
    <w:rsid w:val="005446E0"/>
    <w:rsid w:val="005447F1"/>
    <w:rsid w:val="005448B2"/>
    <w:rsid w:val="0054492A"/>
    <w:rsid w:val="00544944"/>
    <w:rsid w:val="005449F9"/>
    <w:rsid w:val="00544A6B"/>
    <w:rsid w:val="00544BD5"/>
    <w:rsid w:val="00544BDE"/>
    <w:rsid w:val="00544C1B"/>
    <w:rsid w:val="00544D5D"/>
    <w:rsid w:val="00544D81"/>
    <w:rsid w:val="00544EBF"/>
    <w:rsid w:val="005450C1"/>
    <w:rsid w:val="00545195"/>
    <w:rsid w:val="005451F0"/>
    <w:rsid w:val="005453BE"/>
    <w:rsid w:val="005453CA"/>
    <w:rsid w:val="005454B6"/>
    <w:rsid w:val="005454F7"/>
    <w:rsid w:val="005456BD"/>
    <w:rsid w:val="00545761"/>
    <w:rsid w:val="00545790"/>
    <w:rsid w:val="00545895"/>
    <w:rsid w:val="00545918"/>
    <w:rsid w:val="00545965"/>
    <w:rsid w:val="00545B24"/>
    <w:rsid w:val="00545BAD"/>
    <w:rsid w:val="00545C79"/>
    <w:rsid w:val="00545DC9"/>
    <w:rsid w:val="00545EA0"/>
    <w:rsid w:val="00545EFA"/>
    <w:rsid w:val="00545F82"/>
    <w:rsid w:val="005460E0"/>
    <w:rsid w:val="00546140"/>
    <w:rsid w:val="005461F9"/>
    <w:rsid w:val="00546226"/>
    <w:rsid w:val="005462C9"/>
    <w:rsid w:val="005462E7"/>
    <w:rsid w:val="005462F7"/>
    <w:rsid w:val="00546533"/>
    <w:rsid w:val="0054661F"/>
    <w:rsid w:val="0054664E"/>
    <w:rsid w:val="0054669E"/>
    <w:rsid w:val="00546738"/>
    <w:rsid w:val="0054688E"/>
    <w:rsid w:val="005469F7"/>
    <w:rsid w:val="00546AE3"/>
    <w:rsid w:val="00546BD5"/>
    <w:rsid w:val="00546BF7"/>
    <w:rsid w:val="00546C4A"/>
    <w:rsid w:val="00546D2C"/>
    <w:rsid w:val="00546E02"/>
    <w:rsid w:val="00546E87"/>
    <w:rsid w:val="00546EBA"/>
    <w:rsid w:val="00547093"/>
    <w:rsid w:val="005470F3"/>
    <w:rsid w:val="005472F8"/>
    <w:rsid w:val="005473A5"/>
    <w:rsid w:val="005473B7"/>
    <w:rsid w:val="00547404"/>
    <w:rsid w:val="00547523"/>
    <w:rsid w:val="0054754E"/>
    <w:rsid w:val="0054758A"/>
    <w:rsid w:val="00547674"/>
    <w:rsid w:val="0054767B"/>
    <w:rsid w:val="00547691"/>
    <w:rsid w:val="005476E6"/>
    <w:rsid w:val="005478C8"/>
    <w:rsid w:val="005478E4"/>
    <w:rsid w:val="00547938"/>
    <w:rsid w:val="0054793F"/>
    <w:rsid w:val="005479D7"/>
    <w:rsid w:val="00547A34"/>
    <w:rsid w:val="00547AC4"/>
    <w:rsid w:val="00547C0B"/>
    <w:rsid w:val="00547CBF"/>
    <w:rsid w:val="00547CC7"/>
    <w:rsid w:val="00547D44"/>
    <w:rsid w:val="00547E03"/>
    <w:rsid w:val="00547F40"/>
    <w:rsid w:val="00547F9C"/>
    <w:rsid w:val="00547F9E"/>
    <w:rsid w:val="00550254"/>
    <w:rsid w:val="0055030A"/>
    <w:rsid w:val="00550368"/>
    <w:rsid w:val="005503CC"/>
    <w:rsid w:val="00550472"/>
    <w:rsid w:val="005504C6"/>
    <w:rsid w:val="0055053A"/>
    <w:rsid w:val="00550629"/>
    <w:rsid w:val="00550762"/>
    <w:rsid w:val="0055076A"/>
    <w:rsid w:val="00550776"/>
    <w:rsid w:val="00550A78"/>
    <w:rsid w:val="00550A7C"/>
    <w:rsid w:val="00550AE7"/>
    <w:rsid w:val="00550B58"/>
    <w:rsid w:val="00550C8D"/>
    <w:rsid w:val="00550E2A"/>
    <w:rsid w:val="00550E31"/>
    <w:rsid w:val="00550E50"/>
    <w:rsid w:val="0055104B"/>
    <w:rsid w:val="005510F3"/>
    <w:rsid w:val="00551138"/>
    <w:rsid w:val="005511E2"/>
    <w:rsid w:val="00551292"/>
    <w:rsid w:val="0055136E"/>
    <w:rsid w:val="00551513"/>
    <w:rsid w:val="0055182D"/>
    <w:rsid w:val="00551881"/>
    <w:rsid w:val="00551A39"/>
    <w:rsid w:val="00551B0D"/>
    <w:rsid w:val="00551B2A"/>
    <w:rsid w:val="00551B9C"/>
    <w:rsid w:val="00551CAB"/>
    <w:rsid w:val="00551DA6"/>
    <w:rsid w:val="005523CB"/>
    <w:rsid w:val="0055264F"/>
    <w:rsid w:val="005526A7"/>
    <w:rsid w:val="0055278C"/>
    <w:rsid w:val="005528D5"/>
    <w:rsid w:val="00552907"/>
    <w:rsid w:val="00552ADC"/>
    <w:rsid w:val="00552BA1"/>
    <w:rsid w:val="00552D22"/>
    <w:rsid w:val="00552D35"/>
    <w:rsid w:val="00552D6E"/>
    <w:rsid w:val="00552E18"/>
    <w:rsid w:val="00552E55"/>
    <w:rsid w:val="00552E5B"/>
    <w:rsid w:val="00552E95"/>
    <w:rsid w:val="00552F8C"/>
    <w:rsid w:val="00553186"/>
    <w:rsid w:val="0055326F"/>
    <w:rsid w:val="00553356"/>
    <w:rsid w:val="005533F7"/>
    <w:rsid w:val="00553465"/>
    <w:rsid w:val="0055346B"/>
    <w:rsid w:val="00553548"/>
    <w:rsid w:val="005535A9"/>
    <w:rsid w:val="005535C2"/>
    <w:rsid w:val="00553645"/>
    <w:rsid w:val="005536B8"/>
    <w:rsid w:val="005537CD"/>
    <w:rsid w:val="005537DE"/>
    <w:rsid w:val="00553917"/>
    <w:rsid w:val="00553938"/>
    <w:rsid w:val="005539F3"/>
    <w:rsid w:val="00553A95"/>
    <w:rsid w:val="00553B24"/>
    <w:rsid w:val="00553C56"/>
    <w:rsid w:val="00553C64"/>
    <w:rsid w:val="00553DBC"/>
    <w:rsid w:val="00554084"/>
    <w:rsid w:val="005540D8"/>
    <w:rsid w:val="005540E4"/>
    <w:rsid w:val="00554109"/>
    <w:rsid w:val="00554172"/>
    <w:rsid w:val="0055429B"/>
    <w:rsid w:val="00554332"/>
    <w:rsid w:val="00554334"/>
    <w:rsid w:val="00554340"/>
    <w:rsid w:val="005543A7"/>
    <w:rsid w:val="005545DB"/>
    <w:rsid w:val="005546C3"/>
    <w:rsid w:val="005546E7"/>
    <w:rsid w:val="0055476E"/>
    <w:rsid w:val="00554830"/>
    <w:rsid w:val="00554898"/>
    <w:rsid w:val="005549CC"/>
    <w:rsid w:val="00554B17"/>
    <w:rsid w:val="00554C1B"/>
    <w:rsid w:val="00554C8F"/>
    <w:rsid w:val="00554D04"/>
    <w:rsid w:val="00554D3C"/>
    <w:rsid w:val="00554DE9"/>
    <w:rsid w:val="00554E27"/>
    <w:rsid w:val="00554E5B"/>
    <w:rsid w:val="00554FBF"/>
    <w:rsid w:val="00554FCE"/>
    <w:rsid w:val="00554FDB"/>
    <w:rsid w:val="005550FE"/>
    <w:rsid w:val="00555250"/>
    <w:rsid w:val="005552BC"/>
    <w:rsid w:val="005552D6"/>
    <w:rsid w:val="00555443"/>
    <w:rsid w:val="00555470"/>
    <w:rsid w:val="005555E3"/>
    <w:rsid w:val="00555648"/>
    <w:rsid w:val="0055566D"/>
    <w:rsid w:val="005557E4"/>
    <w:rsid w:val="005557F5"/>
    <w:rsid w:val="005559A3"/>
    <w:rsid w:val="005559BA"/>
    <w:rsid w:val="005559C4"/>
    <w:rsid w:val="00555A78"/>
    <w:rsid w:val="00555B10"/>
    <w:rsid w:val="00555DD9"/>
    <w:rsid w:val="00555E8D"/>
    <w:rsid w:val="00555F5B"/>
    <w:rsid w:val="00555FA8"/>
    <w:rsid w:val="0055614D"/>
    <w:rsid w:val="00556155"/>
    <w:rsid w:val="005561F1"/>
    <w:rsid w:val="0055634A"/>
    <w:rsid w:val="00556393"/>
    <w:rsid w:val="00556467"/>
    <w:rsid w:val="005564CD"/>
    <w:rsid w:val="005565E4"/>
    <w:rsid w:val="00556647"/>
    <w:rsid w:val="00556691"/>
    <w:rsid w:val="0055671C"/>
    <w:rsid w:val="00556773"/>
    <w:rsid w:val="00556891"/>
    <w:rsid w:val="005568C9"/>
    <w:rsid w:val="0055692A"/>
    <w:rsid w:val="00556935"/>
    <w:rsid w:val="005569D2"/>
    <w:rsid w:val="00556A10"/>
    <w:rsid w:val="00556A23"/>
    <w:rsid w:val="00556BA3"/>
    <w:rsid w:val="00556BE8"/>
    <w:rsid w:val="00556BFF"/>
    <w:rsid w:val="00556CB4"/>
    <w:rsid w:val="00556E30"/>
    <w:rsid w:val="00556F73"/>
    <w:rsid w:val="005570C0"/>
    <w:rsid w:val="00557118"/>
    <w:rsid w:val="0055718D"/>
    <w:rsid w:val="00557265"/>
    <w:rsid w:val="005572B8"/>
    <w:rsid w:val="0055740F"/>
    <w:rsid w:val="005574A3"/>
    <w:rsid w:val="00557511"/>
    <w:rsid w:val="0055753A"/>
    <w:rsid w:val="00557568"/>
    <w:rsid w:val="00557669"/>
    <w:rsid w:val="005576C6"/>
    <w:rsid w:val="0055775B"/>
    <w:rsid w:val="0055799D"/>
    <w:rsid w:val="00557AC4"/>
    <w:rsid w:val="00557AEE"/>
    <w:rsid w:val="00557BA7"/>
    <w:rsid w:val="00557BD2"/>
    <w:rsid w:val="00557C29"/>
    <w:rsid w:val="00557C3C"/>
    <w:rsid w:val="00557C58"/>
    <w:rsid w:val="00557CDA"/>
    <w:rsid w:val="00557D6E"/>
    <w:rsid w:val="00557DA3"/>
    <w:rsid w:val="00557DAC"/>
    <w:rsid w:val="00557DDD"/>
    <w:rsid w:val="00557DF1"/>
    <w:rsid w:val="00557EA4"/>
    <w:rsid w:val="00557F54"/>
    <w:rsid w:val="00557FC7"/>
    <w:rsid w:val="00560087"/>
    <w:rsid w:val="0056008E"/>
    <w:rsid w:val="005600C2"/>
    <w:rsid w:val="005601D9"/>
    <w:rsid w:val="005604AE"/>
    <w:rsid w:val="0056061C"/>
    <w:rsid w:val="0056064F"/>
    <w:rsid w:val="00560694"/>
    <w:rsid w:val="00560760"/>
    <w:rsid w:val="00560873"/>
    <w:rsid w:val="00560945"/>
    <w:rsid w:val="005609B0"/>
    <w:rsid w:val="00560B5E"/>
    <w:rsid w:val="00560BE2"/>
    <w:rsid w:val="00560BEB"/>
    <w:rsid w:val="00560D3A"/>
    <w:rsid w:val="00560EC9"/>
    <w:rsid w:val="00560ECA"/>
    <w:rsid w:val="00560FAE"/>
    <w:rsid w:val="005610C3"/>
    <w:rsid w:val="005610D8"/>
    <w:rsid w:val="00561223"/>
    <w:rsid w:val="0056123D"/>
    <w:rsid w:val="0056135E"/>
    <w:rsid w:val="00561369"/>
    <w:rsid w:val="00561372"/>
    <w:rsid w:val="0056141E"/>
    <w:rsid w:val="005614D7"/>
    <w:rsid w:val="005614DE"/>
    <w:rsid w:val="00561510"/>
    <w:rsid w:val="00561568"/>
    <w:rsid w:val="0056161D"/>
    <w:rsid w:val="0056169A"/>
    <w:rsid w:val="005617B6"/>
    <w:rsid w:val="00561866"/>
    <w:rsid w:val="005618E3"/>
    <w:rsid w:val="00561946"/>
    <w:rsid w:val="00561953"/>
    <w:rsid w:val="00561964"/>
    <w:rsid w:val="0056197E"/>
    <w:rsid w:val="00561A78"/>
    <w:rsid w:val="00561B2B"/>
    <w:rsid w:val="00561BB8"/>
    <w:rsid w:val="00561D38"/>
    <w:rsid w:val="00561E38"/>
    <w:rsid w:val="00561E6F"/>
    <w:rsid w:val="00561EC5"/>
    <w:rsid w:val="00561FC7"/>
    <w:rsid w:val="00562073"/>
    <w:rsid w:val="00562397"/>
    <w:rsid w:val="00562495"/>
    <w:rsid w:val="00562498"/>
    <w:rsid w:val="00562561"/>
    <w:rsid w:val="00562571"/>
    <w:rsid w:val="00562588"/>
    <w:rsid w:val="005625E0"/>
    <w:rsid w:val="0056267F"/>
    <w:rsid w:val="005626D0"/>
    <w:rsid w:val="00562769"/>
    <w:rsid w:val="00562A02"/>
    <w:rsid w:val="00562AE3"/>
    <w:rsid w:val="00562B42"/>
    <w:rsid w:val="00562B47"/>
    <w:rsid w:val="00562C15"/>
    <w:rsid w:val="00562CE7"/>
    <w:rsid w:val="00562DA3"/>
    <w:rsid w:val="00562DA4"/>
    <w:rsid w:val="00562DF4"/>
    <w:rsid w:val="00562EFD"/>
    <w:rsid w:val="00562F0C"/>
    <w:rsid w:val="00562F74"/>
    <w:rsid w:val="005630D8"/>
    <w:rsid w:val="00563149"/>
    <w:rsid w:val="00563193"/>
    <w:rsid w:val="005631C2"/>
    <w:rsid w:val="0056325E"/>
    <w:rsid w:val="005632FD"/>
    <w:rsid w:val="0056333F"/>
    <w:rsid w:val="0056356B"/>
    <w:rsid w:val="0056371D"/>
    <w:rsid w:val="00563728"/>
    <w:rsid w:val="005637D7"/>
    <w:rsid w:val="0056385C"/>
    <w:rsid w:val="005638A0"/>
    <w:rsid w:val="00563AB9"/>
    <w:rsid w:val="00563BB6"/>
    <w:rsid w:val="00563BBE"/>
    <w:rsid w:val="00563C43"/>
    <w:rsid w:val="00563E06"/>
    <w:rsid w:val="00563FC9"/>
    <w:rsid w:val="00563FCC"/>
    <w:rsid w:val="0056411E"/>
    <w:rsid w:val="0056452C"/>
    <w:rsid w:val="005646B6"/>
    <w:rsid w:val="005647E0"/>
    <w:rsid w:val="0056488D"/>
    <w:rsid w:val="0056497B"/>
    <w:rsid w:val="00564C5F"/>
    <w:rsid w:val="00564CD4"/>
    <w:rsid w:val="00564CE4"/>
    <w:rsid w:val="00564D1B"/>
    <w:rsid w:val="00564D61"/>
    <w:rsid w:val="00564DFC"/>
    <w:rsid w:val="00564E08"/>
    <w:rsid w:val="00564EBF"/>
    <w:rsid w:val="00564F37"/>
    <w:rsid w:val="00564FE9"/>
    <w:rsid w:val="00565037"/>
    <w:rsid w:val="005650D7"/>
    <w:rsid w:val="005651AE"/>
    <w:rsid w:val="00565378"/>
    <w:rsid w:val="00565430"/>
    <w:rsid w:val="0056554F"/>
    <w:rsid w:val="00565582"/>
    <w:rsid w:val="0056564E"/>
    <w:rsid w:val="00565682"/>
    <w:rsid w:val="005656DE"/>
    <w:rsid w:val="005656F2"/>
    <w:rsid w:val="0056574F"/>
    <w:rsid w:val="0056584E"/>
    <w:rsid w:val="00565B13"/>
    <w:rsid w:val="00565B41"/>
    <w:rsid w:val="00565B93"/>
    <w:rsid w:val="00565C74"/>
    <w:rsid w:val="00565CE8"/>
    <w:rsid w:val="00565D61"/>
    <w:rsid w:val="00565DB4"/>
    <w:rsid w:val="00565E51"/>
    <w:rsid w:val="005661F2"/>
    <w:rsid w:val="005662FB"/>
    <w:rsid w:val="00566361"/>
    <w:rsid w:val="005663A5"/>
    <w:rsid w:val="005663DA"/>
    <w:rsid w:val="00566463"/>
    <w:rsid w:val="00566527"/>
    <w:rsid w:val="00566577"/>
    <w:rsid w:val="005665DF"/>
    <w:rsid w:val="005668E1"/>
    <w:rsid w:val="0056699B"/>
    <w:rsid w:val="00566D83"/>
    <w:rsid w:val="00566E2C"/>
    <w:rsid w:val="00566EE5"/>
    <w:rsid w:val="00567008"/>
    <w:rsid w:val="005670A6"/>
    <w:rsid w:val="005670C9"/>
    <w:rsid w:val="00567297"/>
    <w:rsid w:val="005672DC"/>
    <w:rsid w:val="0056739E"/>
    <w:rsid w:val="005673F3"/>
    <w:rsid w:val="00567454"/>
    <w:rsid w:val="00567504"/>
    <w:rsid w:val="00567683"/>
    <w:rsid w:val="005676F6"/>
    <w:rsid w:val="0056775E"/>
    <w:rsid w:val="00567772"/>
    <w:rsid w:val="005677F1"/>
    <w:rsid w:val="00567825"/>
    <w:rsid w:val="0056797B"/>
    <w:rsid w:val="005679D2"/>
    <w:rsid w:val="00567C16"/>
    <w:rsid w:val="00567C75"/>
    <w:rsid w:val="00567C85"/>
    <w:rsid w:val="00567DE2"/>
    <w:rsid w:val="00567DF5"/>
    <w:rsid w:val="00567E04"/>
    <w:rsid w:val="00567EA3"/>
    <w:rsid w:val="00567EFA"/>
    <w:rsid w:val="00567F4E"/>
    <w:rsid w:val="00567F78"/>
    <w:rsid w:val="00570007"/>
    <w:rsid w:val="00570093"/>
    <w:rsid w:val="00570133"/>
    <w:rsid w:val="00570184"/>
    <w:rsid w:val="0057019E"/>
    <w:rsid w:val="005701EC"/>
    <w:rsid w:val="00570373"/>
    <w:rsid w:val="005706F8"/>
    <w:rsid w:val="00570701"/>
    <w:rsid w:val="005707CF"/>
    <w:rsid w:val="005708D0"/>
    <w:rsid w:val="00570921"/>
    <w:rsid w:val="0057098B"/>
    <w:rsid w:val="005709C2"/>
    <w:rsid w:val="00570A32"/>
    <w:rsid w:val="00570BB8"/>
    <w:rsid w:val="00570C98"/>
    <w:rsid w:val="00570CDC"/>
    <w:rsid w:val="00570DCB"/>
    <w:rsid w:val="00570E02"/>
    <w:rsid w:val="00570ECE"/>
    <w:rsid w:val="00570F21"/>
    <w:rsid w:val="00571024"/>
    <w:rsid w:val="005710F2"/>
    <w:rsid w:val="00571115"/>
    <w:rsid w:val="005711C9"/>
    <w:rsid w:val="005711FF"/>
    <w:rsid w:val="005712F5"/>
    <w:rsid w:val="0057131B"/>
    <w:rsid w:val="005713BF"/>
    <w:rsid w:val="005714C2"/>
    <w:rsid w:val="005714FF"/>
    <w:rsid w:val="0057155F"/>
    <w:rsid w:val="0057164E"/>
    <w:rsid w:val="0057169B"/>
    <w:rsid w:val="005716FF"/>
    <w:rsid w:val="0057173E"/>
    <w:rsid w:val="00571789"/>
    <w:rsid w:val="005718AD"/>
    <w:rsid w:val="005718BB"/>
    <w:rsid w:val="005718D1"/>
    <w:rsid w:val="0057191C"/>
    <w:rsid w:val="005719C3"/>
    <w:rsid w:val="00571B9B"/>
    <w:rsid w:val="00571CF1"/>
    <w:rsid w:val="00571D39"/>
    <w:rsid w:val="00571F9E"/>
    <w:rsid w:val="00572116"/>
    <w:rsid w:val="005721FC"/>
    <w:rsid w:val="005722F1"/>
    <w:rsid w:val="005722FC"/>
    <w:rsid w:val="005723E2"/>
    <w:rsid w:val="0057242A"/>
    <w:rsid w:val="005724FB"/>
    <w:rsid w:val="0057260B"/>
    <w:rsid w:val="005726BD"/>
    <w:rsid w:val="0057273F"/>
    <w:rsid w:val="0057288E"/>
    <w:rsid w:val="00572992"/>
    <w:rsid w:val="005729F4"/>
    <w:rsid w:val="00572B26"/>
    <w:rsid w:val="00572DB6"/>
    <w:rsid w:val="00572E06"/>
    <w:rsid w:val="00572E1A"/>
    <w:rsid w:val="00572E95"/>
    <w:rsid w:val="00572EB8"/>
    <w:rsid w:val="00572F49"/>
    <w:rsid w:val="00573026"/>
    <w:rsid w:val="0057308C"/>
    <w:rsid w:val="005730DA"/>
    <w:rsid w:val="005730DB"/>
    <w:rsid w:val="00573104"/>
    <w:rsid w:val="00573208"/>
    <w:rsid w:val="00573354"/>
    <w:rsid w:val="005733F3"/>
    <w:rsid w:val="0057345A"/>
    <w:rsid w:val="005736FA"/>
    <w:rsid w:val="00573844"/>
    <w:rsid w:val="005738A5"/>
    <w:rsid w:val="0057392C"/>
    <w:rsid w:val="0057399B"/>
    <w:rsid w:val="005739C5"/>
    <w:rsid w:val="00573B84"/>
    <w:rsid w:val="00573BE2"/>
    <w:rsid w:val="00573C3D"/>
    <w:rsid w:val="00573C5A"/>
    <w:rsid w:val="00573D2C"/>
    <w:rsid w:val="00573D85"/>
    <w:rsid w:val="00573E23"/>
    <w:rsid w:val="0057402D"/>
    <w:rsid w:val="00574098"/>
    <w:rsid w:val="0057413F"/>
    <w:rsid w:val="0057415B"/>
    <w:rsid w:val="0057419D"/>
    <w:rsid w:val="005742DD"/>
    <w:rsid w:val="00574384"/>
    <w:rsid w:val="0057447F"/>
    <w:rsid w:val="005744CE"/>
    <w:rsid w:val="005744DF"/>
    <w:rsid w:val="005745A0"/>
    <w:rsid w:val="0057487E"/>
    <w:rsid w:val="005748E9"/>
    <w:rsid w:val="00574901"/>
    <w:rsid w:val="0057490F"/>
    <w:rsid w:val="00574918"/>
    <w:rsid w:val="00574966"/>
    <w:rsid w:val="005749F6"/>
    <w:rsid w:val="00574A45"/>
    <w:rsid w:val="00574B34"/>
    <w:rsid w:val="00574B93"/>
    <w:rsid w:val="00574C85"/>
    <w:rsid w:val="00574D68"/>
    <w:rsid w:val="00574D8B"/>
    <w:rsid w:val="00574DDD"/>
    <w:rsid w:val="00574DF8"/>
    <w:rsid w:val="00574EFB"/>
    <w:rsid w:val="00575172"/>
    <w:rsid w:val="0057517E"/>
    <w:rsid w:val="00575232"/>
    <w:rsid w:val="005753A0"/>
    <w:rsid w:val="00575495"/>
    <w:rsid w:val="00575567"/>
    <w:rsid w:val="00575650"/>
    <w:rsid w:val="00575702"/>
    <w:rsid w:val="00575718"/>
    <w:rsid w:val="00575749"/>
    <w:rsid w:val="005758B2"/>
    <w:rsid w:val="005759A6"/>
    <w:rsid w:val="00575ACE"/>
    <w:rsid w:val="00575AD7"/>
    <w:rsid w:val="00575B6B"/>
    <w:rsid w:val="00575CA0"/>
    <w:rsid w:val="00575CDF"/>
    <w:rsid w:val="00575CE5"/>
    <w:rsid w:val="00575D62"/>
    <w:rsid w:val="00575F01"/>
    <w:rsid w:val="00575FF4"/>
    <w:rsid w:val="00576026"/>
    <w:rsid w:val="0057607E"/>
    <w:rsid w:val="00576115"/>
    <w:rsid w:val="00576202"/>
    <w:rsid w:val="00576660"/>
    <w:rsid w:val="00576673"/>
    <w:rsid w:val="005766ED"/>
    <w:rsid w:val="005767FA"/>
    <w:rsid w:val="00576857"/>
    <w:rsid w:val="005768CA"/>
    <w:rsid w:val="00576909"/>
    <w:rsid w:val="00576B9F"/>
    <w:rsid w:val="00576BB5"/>
    <w:rsid w:val="00576D46"/>
    <w:rsid w:val="00576D8E"/>
    <w:rsid w:val="00576EB4"/>
    <w:rsid w:val="00576F07"/>
    <w:rsid w:val="00576F93"/>
    <w:rsid w:val="005770F2"/>
    <w:rsid w:val="00577188"/>
    <w:rsid w:val="0057722C"/>
    <w:rsid w:val="005772B9"/>
    <w:rsid w:val="005772CB"/>
    <w:rsid w:val="005772D6"/>
    <w:rsid w:val="00577393"/>
    <w:rsid w:val="00577477"/>
    <w:rsid w:val="005774D9"/>
    <w:rsid w:val="0057750D"/>
    <w:rsid w:val="00577758"/>
    <w:rsid w:val="005777E2"/>
    <w:rsid w:val="005778A4"/>
    <w:rsid w:val="00577BCE"/>
    <w:rsid w:val="00577EB4"/>
    <w:rsid w:val="00577F48"/>
    <w:rsid w:val="005800AA"/>
    <w:rsid w:val="0058026F"/>
    <w:rsid w:val="00580390"/>
    <w:rsid w:val="00580504"/>
    <w:rsid w:val="00580655"/>
    <w:rsid w:val="00580682"/>
    <w:rsid w:val="005806CD"/>
    <w:rsid w:val="00580758"/>
    <w:rsid w:val="0058080A"/>
    <w:rsid w:val="005809A0"/>
    <w:rsid w:val="005809BF"/>
    <w:rsid w:val="005809D1"/>
    <w:rsid w:val="005809E6"/>
    <w:rsid w:val="00580A17"/>
    <w:rsid w:val="00580A82"/>
    <w:rsid w:val="00580A94"/>
    <w:rsid w:val="00580B49"/>
    <w:rsid w:val="00580BCA"/>
    <w:rsid w:val="00580C2A"/>
    <w:rsid w:val="00580C35"/>
    <w:rsid w:val="00580C87"/>
    <w:rsid w:val="00580CB8"/>
    <w:rsid w:val="00580F24"/>
    <w:rsid w:val="00580F35"/>
    <w:rsid w:val="00580F67"/>
    <w:rsid w:val="00581050"/>
    <w:rsid w:val="0058125B"/>
    <w:rsid w:val="00581289"/>
    <w:rsid w:val="0058128F"/>
    <w:rsid w:val="005812BD"/>
    <w:rsid w:val="00581308"/>
    <w:rsid w:val="0058133D"/>
    <w:rsid w:val="00581429"/>
    <w:rsid w:val="0058148D"/>
    <w:rsid w:val="005815AF"/>
    <w:rsid w:val="00581624"/>
    <w:rsid w:val="005817EB"/>
    <w:rsid w:val="00581819"/>
    <w:rsid w:val="005818BA"/>
    <w:rsid w:val="00581989"/>
    <w:rsid w:val="00581A9A"/>
    <w:rsid w:val="00581ACB"/>
    <w:rsid w:val="00581AE5"/>
    <w:rsid w:val="00581BE4"/>
    <w:rsid w:val="00581D5E"/>
    <w:rsid w:val="00581DA1"/>
    <w:rsid w:val="00581DBA"/>
    <w:rsid w:val="00582180"/>
    <w:rsid w:val="005822DD"/>
    <w:rsid w:val="0058231A"/>
    <w:rsid w:val="0058236C"/>
    <w:rsid w:val="0058249D"/>
    <w:rsid w:val="0058255E"/>
    <w:rsid w:val="00582565"/>
    <w:rsid w:val="00582622"/>
    <w:rsid w:val="00582766"/>
    <w:rsid w:val="0058282B"/>
    <w:rsid w:val="005828B0"/>
    <w:rsid w:val="00582923"/>
    <w:rsid w:val="005829E9"/>
    <w:rsid w:val="00582A26"/>
    <w:rsid w:val="00582AFA"/>
    <w:rsid w:val="00582D26"/>
    <w:rsid w:val="00582D48"/>
    <w:rsid w:val="00582E99"/>
    <w:rsid w:val="0058301C"/>
    <w:rsid w:val="00583086"/>
    <w:rsid w:val="00583151"/>
    <w:rsid w:val="005831BD"/>
    <w:rsid w:val="005835DE"/>
    <w:rsid w:val="00583750"/>
    <w:rsid w:val="005838CA"/>
    <w:rsid w:val="005838DC"/>
    <w:rsid w:val="005838F4"/>
    <w:rsid w:val="005838FF"/>
    <w:rsid w:val="0058398E"/>
    <w:rsid w:val="005839A8"/>
    <w:rsid w:val="00583BA7"/>
    <w:rsid w:val="00583C0F"/>
    <w:rsid w:val="00583DDF"/>
    <w:rsid w:val="00583E99"/>
    <w:rsid w:val="00583EF1"/>
    <w:rsid w:val="00583F7A"/>
    <w:rsid w:val="00583FC7"/>
    <w:rsid w:val="0058403E"/>
    <w:rsid w:val="005841AD"/>
    <w:rsid w:val="005841C9"/>
    <w:rsid w:val="005841EC"/>
    <w:rsid w:val="00584225"/>
    <w:rsid w:val="0058427A"/>
    <w:rsid w:val="005843FF"/>
    <w:rsid w:val="00584646"/>
    <w:rsid w:val="005846CE"/>
    <w:rsid w:val="00584780"/>
    <w:rsid w:val="0058479A"/>
    <w:rsid w:val="005847AC"/>
    <w:rsid w:val="00584920"/>
    <w:rsid w:val="00584932"/>
    <w:rsid w:val="005849C5"/>
    <w:rsid w:val="00584A2A"/>
    <w:rsid w:val="00584A85"/>
    <w:rsid w:val="00584AA7"/>
    <w:rsid w:val="00584ACC"/>
    <w:rsid w:val="00584ACD"/>
    <w:rsid w:val="00584AF4"/>
    <w:rsid w:val="00584B8B"/>
    <w:rsid w:val="00584B96"/>
    <w:rsid w:val="00584C6E"/>
    <w:rsid w:val="00584D2B"/>
    <w:rsid w:val="00584D40"/>
    <w:rsid w:val="00584D6E"/>
    <w:rsid w:val="00584DBA"/>
    <w:rsid w:val="00584DD5"/>
    <w:rsid w:val="00584E77"/>
    <w:rsid w:val="00584E93"/>
    <w:rsid w:val="00584ED0"/>
    <w:rsid w:val="00584F17"/>
    <w:rsid w:val="00584F1C"/>
    <w:rsid w:val="00584F42"/>
    <w:rsid w:val="00584FBC"/>
    <w:rsid w:val="005850D7"/>
    <w:rsid w:val="00585112"/>
    <w:rsid w:val="0058535E"/>
    <w:rsid w:val="0058535F"/>
    <w:rsid w:val="005853FC"/>
    <w:rsid w:val="005854C9"/>
    <w:rsid w:val="00585649"/>
    <w:rsid w:val="0058565C"/>
    <w:rsid w:val="005856A8"/>
    <w:rsid w:val="00585843"/>
    <w:rsid w:val="00585929"/>
    <w:rsid w:val="00585930"/>
    <w:rsid w:val="00585973"/>
    <w:rsid w:val="00585995"/>
    <w:rsid w:val="005859BE"/>
    <w:rsid w:val="00585A6E"/>
    <w:rsid w:val="00585B72"/>
    <w:rsid w:val="00585BAF"/>
    <w:rsid w:val="00585BF7"/>
    <w:rsid w:val="00585C08"/>
    <w:rsid w:val="00585C5D"/>
    <w:rsid w:val="00585CEE"/>
    <w:rsid w:val="00585D05"/>
    <w:rsid w:val="00585F80"/>
    <w:rsid w:val="0058603E"/>
    <w:rsid w:val="005860CB"/>
    <w:rsid w:val="005860D6"/>
    <w:rsid w:val="005861C4"/>
    <w:rsid w:val="00586240"/>
    <w:rsid w:val="005862AF"/>
    <w:rsid w:val="0058631F"/>
    <w:rsid w:val="005863F3"/>
    <w:rsid w:val="005864BB"/>
    <w:rsid w:val="005865E6"/>
    <w:rsid w:val="00586652"/>
    <w:rsid w:val="005866D4"/>
    <w:rsid w:val="0058674A"/>
    <w:rsid w:val="0058678C"/>
    <w:rsid w:val="005868D3"/>
    <w:rsid w:val="00586988"/>
    <w:rsid w:val="005869C8"/>
    <w:rsid w:val="00586A14"/>
    <w:rsid w:val="00586B97"/>
    <w:rsid w:val="00586EB1"/>
    <w:rsid w:val="00586ECB"/>
    <w:rsid w:val="00586EFE"/>
    <w:rsid w:val="00586FCD"/>
    <w:rsid w:val="00587020"/>
    <w:rsid w:val="005871D6"/>
    <w:rsid w:val="00587336"/>
    <w:rsid w:val="00587505"/>
    <w:rsid w:val="00587559"/>
    <w:rsid w:val="00587575"/>
    <w:rsid w:val="005875A9"/>
    <w:rsid w:val="00587601"/>
    <w:rsid w:val="005876AB"/>
    <w:rsid w:val="005878CD"/>
    <w:rsid w:val="0058795A"/>
    <w:rsid w:val="0058798E"/>
    <w:rsid w:val="005879E7"/>
    <w:rsid w:val="00587D71"/>
    <w:rsid w:val="00587D97"/>
    <w:rsid w:val="00587E26"/>
    <w:rsid w:val="00587ED1"/>
    <w:rsid w:val="00587F2B"/>
    <w:rsid w:val="00587FDB"/>
    <w:rsid w:val="00590060"/>
    <w:rsid w:val="0059007D"/>
    <w:rsid w:val="005900C4"/>
    <w:rsid w:val="00590187"/>
    <w:rsid w:val="005902AE"/>
    <w:rsid w:val="005903CE"/>
    <w:rsid w:val="00590478"/>
    <w:rsid w:val="005905CE"/>
    <w:rsid w:val="00590619"/>
    <w:rsid w:val="00590660"/>
    <w:rsid w:val="0059074F"/>
    <w:rsid w:val="00590772"/>
    <w:rsid w:val="00590803"/>
    <w:rsid w:val="005908C1"/>
    <w:rsid w:val="005908D5"/>
    <w:rsid w:val="005908F8"/>
    <w:rsid w:val="005909B1"/>
    <w:rsid w:val="00590A47"/>
    <w:rsid w:val="00590B3B"/>
    <w:rsid w:val="00590B3E"/>
    <w:rsid w:val="00590CC2"/>
    <w:rsid w:val="00590CD3"/>
    <w:rsid w:val="00590CFE"/>
    <w:rsid w:val="00590D09"/>
    <w:rsid w:val="00590D96"/>
    <w:rsid w:val="00590F02"/>
    <w:rsid w:val="00590F07"/>
    <w:rsid w:val="00590F6E"/>
    <w:rsid w:val="00590FBE"/>
    <w:rsid w:val="0059107E"/>
    <w:rsid w:val="00591098"/>
    <w:rsid w:val="005910EC"/>
    <w:rsid w:val="00591133"/>
    <w:rsid w:val="005911D3"/>
    <w:rsid w:val="00591395"/>
    <w:rsid w:val="0059148E"/>
    <w:rsid w:val="005914D9"/>
    <w:rsid w:val="005915FC"/>
    <w:rsid w:val="0059164D"/>
    <w:rsid w:val="00591658"/>
    <w:rsid w:val="005916A5"/>
    <w:rsid w:val="005917CB"/>
    <w:rsid w:val="00591881"/>
    <w:rsid w:val="0059192A"/>
    <w:rsid w:val="00591A0E"/>
    <w:rsid w:val="00591ACE"/>
    <w:rsid w:val="00591B33"/>
    <w:rsid w:val="00591BAB"/>
    <w:rsid w:val="00591C2F"/>
    <w:rsid w:val="00591D27"/>
    <w:rsid w:val="00591D2B"/>
    <w:rsid w:val="00591E0D"/>
    <w:rsid w:val="00591E26"/>
    <w:rsid w:val="005920C2"/>
    <w:rsid w:val="0059210D"/>
    <w:rsid w:val="00592165"/>
    <w:rsid w:val="0059225B"/>
    <w:rsid w:val="00592265"/>
    <w:rsid w:val="00592297"/>
    <w:rsid w:val="00592315"/>
    <w:rsid w:val="00592335"/>
    <w:rsid w:val="005923C3"/>
    <w:rsid w:val="00592430"/>
    <w:rsid w:val="0059247D"/>
    <w:rsid w:val="005925C2"/>
    <w:rsid w:val="0059268A"/>
    <w:rsid w:val="00592795"/>
    <w:rsid w:val="0059279E"/>
    <w:rsid w:val="005927BB"/>
    <w:rsid w:val="00592829"/>
    <w:rsid w:val="005928C1"/>
    <w:rsid w:val="005928F4"/>
    <w:rsid w:val="0059291D"/>
    <w:rsid w:val="00592943"/>
    <w:rsid w:val="00592A6F"/>
    <w:rsid w:val="00592A97"/>
    <w:rsid w:val="00592AC0"/>
    <w:rsid w:val="00592AE5"/>
    <w:rsid w:val="00592B71"/>
    <w:rsid w:val="00592BCF"/>
    <w:rsid w:val="00592BD7"/>
    <w:rsid w:val="00592C08"/>
    <w:rsid w:val="00592C29"/>
    <w:rsid w:val="00592C77"/>
    <w:rsid w:val="00592CEB"/>
    <w:rsid w:val="00592E16"/>
    <w:rsid w:val="00592EE2"/>
    <w:rsid w:val="00592EE3"/>
    <w:rsid w:val="005930A1"/>
    <w:rsid w:val="005930F1"/>
    <w:rsid w:val="005931E9"/>
    <w:rsid w:val="005932A9"/>
    <w:rsid w:val="005932AE"/>
    <w:rsid w:val="005932E1"/>
    <w:rsid w:val="00593328"/>
    <w:rsid w:val="005933A8"/>
    <w:rsid w:val="0059347E"/>
    <w:rsid w:val="005934BC"/>
    <w:rsid w:val="00593582"/>
    <w:rsid w:val="00593664"/>
    <w:rsid w:val="0059379E"/>
    <w:rsid w:val="0059380A"/>
    <w:rsid w:val="0059380E"/>
    <w:rsid w:val="0059383B"/>
    <w:rsid w:val="00593A8B"/>
    <w:rsid w:val="00593AC0"/>
    <w:rsid w:val="00593B29"/>
    <w:rsid w:val="00593B2D"/>
    <w:rsid w:val="00593C8D"/>
    <w:rsid w:val="00593D2B"/>
    <w:rsid w:val="00593E31"/>
    <w:rsid w:val="00593E8F"/>
    <w:rsid w:val="00593E91"/>
    <w:rsid w:val="00593EBB"/>
    <w:rsid w:val="00594045"/>
    <w:rsid w:val="0059404D"/>
    <w:rsid w:val="00594075"/>
    <w:rsid w:val="0059410E"/>
    <w:rsid w:val="00594167"/>
    <w:rsid w:val="00594186"/>
    <w:rsid w:val="0059420C"/>
    <w:rsid w:val="005943D0"/>
    <w:rsid w:val="005943DE"/>
    <w:rsid w:val="005944C3"/>
    <w:rsid w:val="00594551"/>
    <w:rsid w:val="00594643"/>
    <w:rsid w:val="0059466E"/>
    <w:rsid w:val="005946A9"/>
    <w:rsid w:val="005948D4"/>
    <w:rsid w:val="005949BD"/>
    <w:rsid w:val="00594A1F"/>
    <w:rsid w:val="00594B22"/>
    <w:rsid w:val="00594CEB"/>
    <w:rsid w:val="00594D50"/>
    <w:rsid w:val="00594E85"/>
    <w:rsid w:val="00595053"/>
    <w:rsid w:val="0059509F"/>
    <w:rsid w:val="00595156"/>
    <w:rsid w:val="005951FE"/>
    <w:rsid w:val="00595252"/>
    <w:rsid w:val="0059537F"/>
    <w:rsid w:val="005954BB"/>
    <w:rsid w:val="005955A2"/>
    <w:rsid w:val="005955BD"/>
    <w:rsid w:val="00595626"/>
    <w:rsid w:val="0059575A"/>
    <w:rsid w:val="005957DD"/>
    <w:rsid w:val="00595997"/>
    <w:rsid w:val="005959D0"/>
    <w:rsid w:val="00595AEE"/>
    <w:rsid w:val="00595B30"/>
    <w:rsid w:val="00595B40"/>
    <w:rsid w:val="00595B74"/>
    <w:rsid w:val="00595C34"/>
    <w:rsid w:val="00595CBE"/>
    <w:rsid w:val="00595E44"/>
    <w:rsid w:val="00595EB8"/>
    <w:rsid w:val="00595EBE"/>
    <w:rsid w:val="00595ED6"/>
    <w:rsid w:val="005962E7"/>
    <w:rsid w:val="005963CC"/>
    <w:rsid w:val="0059645F"/>
    <w:rsid w:val="005964B5"/>
    <w:rsid w:val="00596546"/>
    <w:rsid w:val="0059654C"/>
    <w:rsid w:val="00596606"/>
    <w:rsid w:val="005968F1"/>
    <w:rsid w:val="00596A2E"/>
    <w:rsid w:val="00596B9D"/>
    <w:rsid w:val="00596BA9"/>
    <w:rsid w:val="00596BF2"/>
    <w:rsid w:val="00596C28"/>
    <w:rsid w:val="00596C39"/>
    <w:rsid w:val="00596CD2"/>
    <w:rsid w:val="00596D5B"/>
    <w:rsid w:val="00596E81"/>
    <w:rsid w:val="00596F32"/>
    <w:rsid w:val="00597193"/>
    <w:rsid w:val="005971B7"/>
    <w:rsid w:val="005971D1"/>
    <w:rsid w:val="005972C7"/>
    <w:rsid w:val="00597368"/>
    <w:rsid w:val="0059746E"/>
    <w:rsid w:val="005974B9"/>
    <w:rsid w:val="005974FF"/>
    <w:rsid w:val="00597503"/>
    <w:rsid w:val="00597628"/>
    <w:rsid w:val="0059768E"/>
    <w:rsid w:val="005976CB"/>
    <w:rsid w:val="00597752"/>
    <w:rsid w:val="0059778D"/>
    <w:rsid w:val="0059789D"/>
    <w:rsid w:val="005978B6"/>
    <w:rsid w:val="005978FA"/>
    <w:rsid w:val="00597B21"/>
    <w:rsid w:val="00597B26"/>
    <w:rsid w:val="00597B9F"/>
    <w:rsid w:val="00597BC6"/>
    <w:rsid w:val="00597BDB"/>
    <w:rsid w:val="00597CFA"/>
    <w:rsid w:val="00597DAA"/>
    <w:rsid w:val="00597E31"/>
    <w:rsid w:val="00597F02"/>
    <w:rsid w:val="00597F7D"/>
    <w:rsid w:val="00597F81"/>
    <w:rsid w:val="00597F9C"/>
    <w:rsid w:val="005A00D4"/>
    <w:rsid w:val="005A00E0"/>
    <w:rsid w:val="005A0105"/>
    <w:rsid w:val="005A03C0"/>
    <w:rsid w:val="005A042A"/>
    <w:rsid w:val="005A0539"/>
    <w:rsid w:val="005A0614"/>
    <w:rsid w:val="005A06BD"/>
    <w:rsid w:val="005A07C8"/>
    <w:rsid w:val="005A07D6"/>
    <w:rsid w:val="005A099F"/>
    <w:rsid w:val="005A09BE"/>
    <w:rsid w:val="005A0A4A"/>
    <w:rsid w:val="005A0A64"/>
    <w:rsid w:val="005A0AB0"/>
    <w:rsid w:val="005A0B56"/>
    <w:rsid w:val="005A0B5C"/>
    <w:rsid w:val="005A0CC8"/>
    <w:rsid w:val="005A0DE3"/>
    <w:rsid w:val="005A1004"/>
    <w:rsid w:val="005A109F"/>
    <w:rsid w:val="005A1195"/>
    <w:rsid w:val="005A11E6"/>
    <w:rsid w:val="005A1240"/>
    <w:rsid w:val="005A1432"/>
    <w:rsid w:val="005A146A"/>
    <w:rsid w:val="005A15DF"/>
    <w:rsid w:val="005A1689"/>
    <w:rsid w:val="005A16B7"/>
    <w:rsid w:val="005A1730"/>
    <w:rsid w:val="005A1737"/>
    <w:rsid w:val="005A1785"/>
    <w:rsid w:val="005A1928"/>
    <w:rsid w:val="005A19D4"/>
    <w:rsid w:val="005A1AB7"/>
    <w:rsid w:val="005A1ADC"/>
    <w:rsid w:val="005A1B68"/>
    <w:rsid w:val="005A1BDA"/>
    <w:rsid w:val="005A1C8B"/>
    <w:rsid w:val="005A1D31"/>
    <w:rsid w:val="005A1DD0"/>
    <w:rsid w:val="005A1DFF"/>
    <w:rsid w:val="005A1E38"/>
    <w:rsid w:val="005A1EA1"/>
    <w:rsid w:val="005A1EB3"/>
    <w:rsid w:val="005A1ECE"/>
    <w:rsid w:val="005A1EDD"/>
    <w:rsid w:val="005A1F61"/>
    <w:rsid w:val="005A209C"/>
    <w:rsid w:val="005A232F"/>
    <w:rsid w:val="005A2449"/>
    <w:rsid w:val="005A24A7"/>
    <w:rsid w:val="005A2582"/>
    <w:rsid w:val="005A26D9"/>
    <w:rsid w:val="005A2724"/>
    <w:rsid w:val="005A27A8"/>
    <w:rsid w:val="005A282A"/>
    <w:rsid w:val="005A282E"/>
    <w:rsid w:val="005A287F"/>
    <w:rsid w:val="005A2899"/>
    <w:rsid w:val="005A29BD"/>
    <w:rsid w:val="005A2B88"/>
    <w:rsid w:val="005A2BD6"/>
    <w:rsid w:val="005A2C47"/>
    <w:rsid w:val="005A2C8C"/>
    <w:rsid w:val="005A2D22"/>
    <w:rsid w:val="005A2D54"/>
    <w:rsid w:val="005A2DB7"/>
    <w:rsid w:val="005A2DD9"/>
    <w:rsid w:val="005A2EFD"/>
    <w:rsid w:val="005A2F3D"/>
    <w:rsid w:val="005A2F50"/>
    <w:rsid w:val="005A3042"/>
    <w:rsid w:val="005A3099"/>
    <w:rsid w:val="005A3197"/>
    <w:rsid w:val="005A3358"/>
    <w:rsid w:val="005A338D"/>
    <w:rsid w:val="005A362A"/>
    <w:rsid w:val="005A36D6"/>
    <w:rsid w:val="005A37CA"/>
    <w:rsid w:val="005A3857"/>
    <w:rsid w:val="005A3877"/>
    <w:rsid w:val="005A38CE"/>
    <w:rsid w:val="005A39B6"/>
    <w:rsid w:val="005A39BD"/>
    <w:rsid w:val="005A39E0"/>
    <w:rsid w:val="005A3A76"/>
    <w:rsid w:val="005A3B12"/>
    <w:rsid w:val="005A3B28"/>
    <w:rsid w:val="005A3B77"/>
    <w:rsid w:val="005A3BB4"/>
    <w:rsid w:val="005A3BCD"/>
    <w:rsid w:val="005A3CB9"/>
    <w:rsid w:val="005A3D2C"/>
    <w:rsid w:val="005A3DF4"/>
    <w:rsid w:val="005A3E37"/>
    <w:rsid w:val="005A3E90"/>
    <w:rsid w:val="005A3F5A"/>
    <w:rsid w:val="005A4063"/>
    <w:rsid w:val="005A412D"/>
    <w:rsid w:val="005A426E"/>
    <w:rsid w:val="005A4270"/>
    <w:rsid w:val="005A4293"/>
    <w:rsid w:val="005A4394"/>
    <w:rsid w:val="005A43E9"/>
    <w:rsid w:val="005A4502"/>
    <w:rsid w:val="005A4540"/>
    <w:rsid w:val="005A4561"/>
    <w:rsid w:val="005A45EE"/>
    <w:rsid w:val="005A4745"/>
    <w:rsid w:val="005A474A"/>
    <w:rsid w:val="005A475E"/>
    <w:rsid w:val="005A4844"/>
    <w:rsid w:val="005A486E"/>
    <w:rsid w:val="005A4897"/>
    <w:rsid w:val="005A4B70"/>
    <w:rsid w:val="005A4BF6"/>
    <w:rsid w:val="005A4C30"/>
    <w:rsid w:val="005A4DA3"/>
    <w:rsid w:val="005A4DB0"/>
    <w:rsid w:val="005A4DFD"/>
    <w:rsid w:val="005A4E0E"/>
    <w:rsid w:val="005A4E2A"/>
    <w:rsid w:val="005A4E76"/>
    <w:rsid w:val="005A4F0B"/>
    <w:rsid w:val="005A4F7D"/>
    <w:rsid w:val="005A4FBC"/>
    <w:rsid w:val="005A4FE7"/>
    <w:rsid w:val="005A5048"/>
    <w:rsid w:val="005A506A"/>
    <w:rsid w:val="005A50F3"/>
    <w:rsid w:val="005A511D"/>
    <w:rsid w:val="005A5227"/>
    <w:rsid w:val="005A5292"/>
    <w:rsid w:val="005A531A"/>
    <w:rsid w:val="005A545C"/>
    <w:rsid w:val="005A55EC"/>
    <w:rsid w:val="005A5762"/>
    <w:rsid w:val="005A579F"/>
    <w:rsid w:val="005A586F"/>
    <w:rsid w:val="005A589E"/>
    <w:rsid w:val="005A5985"/>
    <w:rsid w:val="005A5ABB"/>
    <w:rsid w:val="005A5BB3"/>
    <w:rsid w:val="005A5D79"/>
    <w:rsid w:val="005A5D91"/>
    <w:rsid w:val="005A5E64"/>
    <w:rsid w:val="005A5F4A"/>
    <w:rsid w:val="005A5F5A"/>
    <w:rsid w:val="005A6022"/>
    <w:rsid w:val="005A6048"/>
    <w:rsid w:val="005A60F4"/>
    <w:rsid w:val="005A6192"/>
    <w:rsid w:val="005A6270"/>
    <w:rsid w:val="005A6381"/>
    <w:rsid w:val="005A63CC"/>
    <w:rsid w:val="005A6459"/>
    <w:rsid w:val="005A660C"/>
    <w:rsid w:val="005A6617"/>
    <w:rsid w:val="005A67C3"/>
    <w:rsid w:val="005A680C"/>
    <w:rsid w:val="005A68AC"/>
    <w:rsid w:val="005A68FA"/>
    <w:rsid w:val="005A692F"/>
    <w:rsid w:val="005A6A1A"/>
    <w:rsid w:val="005A6B4C"/>
    <w:rsid w:val="005A6B92"/>
    <w:rsid w:val="005A6C99"/>
    <w:rsid w:val="005A6CC1"/>
    <w:rsid w:val="005A6CE3"/>
    <w:rsid w:val="005A6D57"/>
    <w:rsid w:val="005A6E30"/>
    <w:rsid w:val="005A70B2"/>
    <w:rsid w:val="005A70FA"/>
    <w:rsid w:val="005A7128"/>
    <w:rsid w:val="005A722D"/>
    <w:rsid w:val="005A72E1"/>
    <w:rsid w:val="005A7423"/>
    <w:rsid w:val="005A747C"/>
    <w:rsid w:val="005A7497"/>
    <w:rsid w:val="005A75F4"/>
    <w:rsid w:val="005A76CA"/>
    <w:rsid w:val="005A7748"/>
    <w:rsid w:val="005A7771"/>
    <w:rsid w:val="005A77FD"/>
    <w:rsid w:val="005A7832"/>
    <w:rsid w:val="005A786C"/>
    <w:rsid w:val="005A7938"/>
    <w:rsid w:val="005A79E8"/>
    <w:rsid w:val="005A7B49"/>
    <w:rsid w:val="005A7DAA"/>
    <w:rsid w:val="005A7E6B"/>
    <w:rsid w:val="005A7EFD"/>
    <w:rsid w:val="005A7F61"/>
    <w:rsid w:val="005B007E"/>
    <w:rsid w:val="005B0127"/>
    <w:rsid w:val="005B01F1"/>
    <w:rsid w:val="005B022A"/>
    <w:rsid w:val="005B03CD"/>
    <w:rsid w:val="005B0416"/>
    <w:rsid w:val="005B0479"/>
    <w:rsid w:val="005B04DB"/>
    <w:rsid w:val="005B04FB"/>
    <w:rsid w:val="005B053A"/>
    <w:rsid w:val="005B053C"/>
    <w:rsid w:val="005B05B7"/>
    <w:rsid w:val="005B05DB"/>
    <w:rsid w:val="005B063E"/>
    <w:rsid w:val="005B0656"/>
    <w:rsid w:val="005B068E"/>
    <w:rsid w:val="005B07D2"/>
    <w:rsid w:val="005B09A8"/>
    <w:rsid w:val="005B0A49"/>
    <w:rsid w:val="005B0A4A"/>
    <w:rsid w:val="005B0A9B"/>
    <w:rsid w:val="005B0B7C"/>
    <w:rsid w:val="005B0C1D"/>
    <w:rsid w:val="005B0C37"/>
    <w:rsid w:val="005B0D07"/>
    <w:rsid w:val="005B0D6F"/>
    <w:rsid w:val="005B0D8F"/>
    <w:rsid w:val="005B0DF1"/>
    <w:rsid w:val="005B0FCB"/>
    <w:rsid w:val="005B0FEE"/>
    <w:rsid w:val="005B106C"/>
    <w:rsid w:val="005B1112"/>
    <w:rsid w:val="005B1157"/>
    <w:rsid w:val="005B1162"/>
    <w:rsid w:val="005B11FF"/>
    <w:rsid w:val="005B1233"/>
    <w:rsid w:val="005B1342"/>
    <w:rsid w:val="005B13B7"/>
    <w:rsid w:val="005B13DA"/>
    <w:rsid w:val="005B1486"/>
    <w:rsid w:val="005B14D0"/>
    <w:rsid w:val="005B1657"/>
    <w:rsid w:val="005B16E9"/>
    <w:rsid w:val="005B196F"/>
    <w:rsid w:val="005B19C0"/>
    <w:rsid w:val="005B1B14"/>
    <w:rsid w:val="005B1B27"/>
    <w:rsid w:val="005B1D21"/>
    <w:rsid w:val="005B1E43"/>
    <w:rsid w:val="005B1F11"/>
    <w:rsid w:val="005B2137"/>
    <w:rsid w:val="005B2202"/>
    <w:rsid w:val="005B2245"/>
    <w:rsid w:val="005B229F"/>
    <w:rsid w:val="005B22B6"/>
    <w:rsid w:val="005B2331"/>
    <w:rsid w:val="005B23D4"/>
    <w:rsid w:val="005B23DD"/>
    <w:rsid w:val="005B2400"/>
    <w:rsid w:val="005B243D"/>
    <w:rsid w:val="005B2476"/>
    <w:rsid w:val="005B24F1"/>
    <w:rsid w:val="005B281E"/>
    <w:rsid w:val="005B2914"/>
    <w:rsid w:val="005B2957"/>
    <w:rsid w:val="005B2A55"/>
    <w:rsid w:val="005B2A8B"/>
    <w:rsid w:val="005B2BB1"/>
    <w:rsid w:val="005B2BED"/>
    <w:rsid w:val="005B2C0D"/>
    <w:rsid w:val="005B2CF0"/>
    <w:rsid w:val="005B2D02"/>
    <w:rsid w:val="005B2D8A"/>
    <w:rsid w:val="005B2DA5"/>
    <w:rsid w:val="005B2DDB"/>
    <w:rsid w:val="005B2E36"/>
    <w:rsid w:val="005B2E93"/>
    <w:rsid w:val="005B2E9F"/>
    <w:rsid w:val="005B2EC6"/>
    <w:rsid w:val="005B3094"/>
    <w:rsid w:val="005B31ED"/>
    <w:rsid w:val="005B331B"/>
    <w:rsid w:val="005B352B"/>
    <w:rsid w:val="005B3794"/>
    <w:rsid w:val="005B3865"/>
    <w:rsid w:val="005B389C"/>
    <w:rsid w:val="005B3930"/>
    <w:rsid w:val="005B3C3A"/>
    <w:rsid w:val="005B3C88"/>
    <w:rsid w:val="005B3D23"/>
    <w:rsid w:val="005B3DA4"/>
    <w:rsid w:val="005B408A"/>
    <w:rsid w:val="005B40B4"/>
    <w:rsid w:val="005B40F0"/>
    <w:rsid w:val="005B4109"/>
    <w:rsid w:val="005B4178"/>
    <w:rsid w:val="005B41D4"/>
    <w:rsid w:val="005B420C"/>
    <w:rsid w:val="005B42F5"/>
    <w:rsid w:val="005B43EB"/>
    <w:rsid w:val="005B43F3"/>
    <w:rsid w:val="005B444A"/>
    <w:rsid w:val="005B4465"/>
    <w:rsid w:val="005B4615"/>
    <w:rsid w:val="005B4693"/>
    <w:rsid w:val="005B46E5"/>
    <w:rsid w:val="005B47B4"/>
    <w:rsid w:val="005B47F7"/>
    <w:rsid w:val="005B492D"/>
    <w:rsid w:val="005B4936"/>
    <w:rsid w:val="005B4AFD"/>
    <w:rsid w:val="005B4BD6"/>
    <w:rsid w:val="005B4CE0"/>
    <w:rsid w:val="005B4D07"/>
    <w:rsid w:val="005B4D32"/>
    <w:rsid w:val="005B4D44"/>
    <w:rsid w:val="005B4D7A"/>
    <w:rsid w:val="005B4EA6"/>
    <w:rsid w:val="005B5180"/>
    <w:rsid w:val="005B5377"/>
    <w:rsid w:val="005B53B4"/>
    <w:rsid w:val="005B5462"/>
    <w:rsid w:val="005B55F8"/>
    <w:rsid w:val="005B573B"/>
    <w:rsid w:val="005B579A"/>
    <w:rsid w:val="005B580A"/>
    <w:rsid w:val="005B583F"/>
    <w:rsid w:val="005B58DF"/>
    <w:rsid w:val="005B590A"/>
    <w:rsid w:val="005B5958"/>
    <w:rsid w:val="005B596E"/>
    <w:rsid w:val="005B59AD"/>
    <w:rsid w:val="005B5B79"/>
    <w:rsid w:val="005B5B7F"/>
    <w:rsid w:val="005B5E5E"/>
    <w:rsid w:val="005B5F25"/>
    <w:rsid w:val="005B5F6B"/>
    <w:rsid w:val="005B6075"/>
    <w:rsid w:val="005B6098"/>
    <w:rsid w:val="005B60C0"/>
    <w:rsid w:val="005B621E"/>
    <w:rsid w:val="005B6226"/>
    <w:rsid w:val="005B62CE"/>
    <w:rsid w:val="005B635E"/>
    <w:rsid w:val="005B63EF"/>
    <w:rsid w:val="005B64B2"/>
    <w:rsid w:val="005B6516"/>
    <w:rsid w:val="005B651C"/>
    <w:rsid w:val="005B6545"/>
    <w:rsid w:val="005B65D2"/>
    <w:rsid w:val="005B6682"/>
    <w:rsid w:val="005B6727"/>
    <w:rsid w:val="005B6766"/>
    <w:rsid w:val="005B6937"/>
    <w:rsid w:val="005B6978"/>
    <w:rsid w:val="005B69E8"/>
    <w:rsid w:val="005B6A5D"/>
    <w:rsid w:val="005B6AC4"/>
    <w:rsid w:val="005B6B28"/>
    <w:rsid w:val="005B6B5F"/>
    <w:rsid w:val="005B6C18"/>
    <w:rsid w:val="005B6C8E"/>
    <w:rsid w:val="005B6F75"/>
    <w:rsid w:val="005B6FC2"/>
    <w:rsid w:val="005B7047"/>
    <w:rsid w:val="005B71A8"/>
    <w:rsid w:val="005B7255"/>
    <w:rsid w:val="005B7320"/>
    <w:rsid w:val="005B742A"/>
    <w:rsid w:val="005B7447"/>
    <w:rsid w:val="005B745C"/>
    <w:rsid w:val="005B74C7"/>
    <w:rsid w:val="005B780A"/>
    <w:rsid w:val="005B78C0"/>
    <w:rsid w:val="005B7916"/>
    <w:rsid w:val="005B79C7"/>
    <w:rsid w:val="005B7A5B"/>
    <w:rsid w:val="005B7B04"/>
    <w:rsid w:val="005B7BEB"/>
    <w:rsid w:val="005B7CC5"/>
    <w:rsid w:val="005B7DAE"/>
    <w:rsid w:val="005B7E12"/>
    <w:rsid w:val="005B7E69"/>
    <w:rsid w:val="005B7F20"/>
    <w:rsid w:val="005B7F5D"/>
    <w:rsid w:val="005C002A"/>
    <w:rsid w:val="005C0079"/>
    <w:rsid w:val="005C00EE"/>
    <w:rsid w:val="005C011B"/>
    <w:rsid w:val="005C01DA"/>
    <w:rsid w:val="005C0257"/>
    <w:rsid w:val="005C025B"/>
    <w:rsid w:val="005C0291"/>
    <w:rsid w:val="005C0488"/>
    <w:rsid w:val="005C04E6"/>
    <w:rsid w:val="005C06A0"/>
    <w:rsid w:val="005C06C0"/>
    <w:rsid w:val="005C0728"/>
    <w:rsid w:val="005C0741"/>
    <w:rsid w:val="005C0758"/>
    <w:rsid w:val="005C07ED"/>
    <w:rsid w:val="005C087F"/>
    <w:rsid w:val="005C08A1"/>
    <w:rsid w:val="005C08B6"/>
    <w:rsid w:val="005C0983"/>
    <w:rsid w:val="005C0A8E"/>
    <w:rsid w:val="005C0BD6"/>
    <w:rsid w:val="005C0E0A"/>
    <w:rsid w:val="005C0E93"/>
    <w:rsid w:val="005C0FA3"/>
    <w:rsid w:val="005C104B"/>
    <w:rsid w:val="005C1114"/>
    <w:rsid w:val="005C129D"/>
    <w:rsid w:val="005C1499"/>
    <w:rsid w:val="005C156A"/>
    <w:rsid w:val="005C15EA"/>
    <w:rsid w:val="005C1757"/>
    <w:rsid w:val="005C176A"/>
    <w:rsid w:val="005C18EA"/>
    <w:rsid w:val="005C1A23"/>
    <w:rsid w:val="005C1A79"/>
    <w:rsid w:val="005C1BD6"/>
    <w:rsid w:val="005C1C1E"/>
    <w:rsid w:val="005C1D79"/>
    <w:rsid w:val="005C1F27"/>
    <w:rsid w:val="005C1FC8"/>
    <w:rsid w:val="005C1FD3"/>
    <w:rsid w:val="005C2231"/>
    <w:rsid w:val="005C223E"/>
    <w:rsid w:val="005C22C4"/>
    <w:rsid w:val="005C237B"/>
    <w:rsid w:val="005C23E2"/>
    <w:rsid w:val="005C258C"/>
    <w:rsid w:val="005C2666"/>
    <w:rsid w:val="005C26B1"/>
    <w:rsid w:val="005C2702"/>
    <w:rsid w:val="005C2785"/>
    <w:rsid w:val="005C27D6"/>
    <w:rsid w:val="005C2800"/>
    <w:rsid w:val="005C28B5"/>
    <w:rsid w:val="005C2A83"/>
    <w:rsid w:val="005C2B23"/>
    <w:rsid w:val="005C2B35"/>
    <w:rsid w:val="005C2B6B"/>
    <w:rsid w:val="005C2BBC"/>
    <w:rsid w:val="005C2C43"/>
    <w:rsid w:val="005C2C7F"/>
    <w:rsid w:val="005C2C9B"/>
    <w:rsid w:val="005C2CCE"/>
    <w:rsid w:val="005C2DC6"/>
    <w:rsid w:val="005C2EB0"/>
    <w:rsid w:val="005C2F04"/>
    <w:rsid w:val="005C2F8B"/>
    <w:rsid w:val="005C3006"/>
    <w:rsid w:val="005C3058"/>
    <w:rsid w:val="005C306E"/>
    <w:rsid w:val="005C310B"/>
    <w:rsid w:val="005C312F"/>
    <w:rsid w:val="005C3182"/>
    <w:rsid w:val="005C31C8"/>
    <w:rsid w:val="005C31F1"/>
    <w:rsid w:val="005C32F6"/>
    <w:rsid w:val="005C3328"/>
    <w:rsid w:val="005C33DC"/>
    <w:rsid w:val="005C3438"/>
    <w:rsid w:val="005C34B3"/>
    <w:rsid w:val="005C35CB"/>
    <w:rsid w:val="005C367C"/>
    <w:rsid w:val="005C36A8"/>
    <w:rsid w:val="005C36E8"/>
    <w:rsid w:val="005C3792"/>
    <w:rsid w:val="005C37FC"/>
    <w:rsid w:val="005C380D"/>
    <w:rsid w:val="005C39E7"/>
    <w:rsid w:val="005C39F0"/>
    <w:rsid w:val="005C3A05"/>
    <w:rsid w:val="005C3A86"/>
    <w:rsid w:val="005C3AB0"/>
    <w:rsid w:val="005C3C78"/>
    <w:rsid w:val="005C3D6E"/>
    <w:rsid w:val="005C3D8C"/>
    <w:rsid w:val="005C3E07"/>
    <w:rsid w:val="005C3E4C"/>
    <w:rsid w:val="005C3E8E"/>
    <w:rsid w:val="005C3ECE"/>
    <w:rsid w:val="005C3F1D"/>
    <w:rsid w:val="005C3F9B"/>
    <w:rsid w:val="005C3FD0"/>
    <w:rsid w:val="005C3FD8"/>
    <w:rsid w:val="005C40A7"/>
    <w:rsid w:val="005C40CE"/>
    <w:rsid w:val="005C4318"/>
    <w:rsid w:val="005C43E8"/>
    <w:rsid w:val="005C4548"/>
    <w:rsid w:val="005C457F"/>
    <w:rsid w:val="005C45CB"/>
    <w:rsid w:val="005C4719"/>
    <w:rsid w:val="005C476F"/>
    <w:rsid w:val="005C487F"/>
    <w:rsid w:val="005C48D0"/>
    <w:rsid w:val="005C49CD"/>
    <w:rsid w:val="005C4A62"/>
    <w:rsid w:val="005C4A6D"/>
    <w:rsid w:val="005C4AF5"/>
    <w:rsid w:val="005C4F77"/>
    <w:rsid w:val="005C5034"/>
    <w:rsid w:val="005C5071"/>
    <w:rsid w:val="005C5241"/>
    <w:rsid w:val="005C52B2"/>
    <w:rsid w:val="005C530C"/>
    <w:rsid w:val="005C54D2"/>
    <w:rsid w:val="005C5749"/>
    <w:rsid w:val="005C576E"/>
    <w:rsid w:val="005C5773"/>
    <w:rsid w:val="005C5776"/>
    <w:rsid w:val="005C57A7"/>
    <w:rsid w:val="005C5A47"/>
    <w:rsid w:val="005C5BBD"/>
    <w:rsid w:val="005C5D99"/>
    <w:rsid w:val="005C5F46"/>
    <w:rsid w:val="005C5F52"/>
    <w:rsid w:val="005C5F5E"/>
    <w:rsid w:val="005C5F68"/>
    <w:rsid w:val="005C6010"/>
    <w:rsid w:val="005C60D5"/>
    <w:rsid w:val="005C614F"/>
    <w:rsid w:val="005C61C7"/>
    <w:rsid w:val="005C6268"/>
    <w:rsid w:val="005C6276"/>
    <w:rsid w:val="005C62F1"/>
    <w:rsid w:val="005C6353"/>
    <w:rsid w:val="005C640A"/>
    <w:rsid w:val="005C6434"/>
    <w:rsid w:val="005C646C"/>
    <w:rsid w:val="005C64C0"/>
    <w:rsid w:val="005C651A"/>
    <w:rsid w:val="005C653E"/>
    <w:rsid w:val="005C6573"/>
    <w:rsid w:val="005C6621"/>
    <w:rsid w:val="005C6631"/>
    <w:rsid w:val="005C6686"/>
    <w:rsid w:val="005C66E1"/>
    <w:rsid w:val="005C670C"/>
    <w:rsid w:val="005C6751"/>
    <w:rsid w:val="005C68BE"/>
    <w:rsid w:val="005C68F0"/>
    <w:rsid w:val="005C69A7"/>
    <w:rsid w:val="005C6BE7"/>
    <w:rsid w:val="005C6C3A"/>
    <w:rsid w:val="005C6C6D"/>
    <w:rsid w:val="005C6CB6"/>
    <w:rsid w:val="005C6D57"/>
    <w:rsid w:val="005C6E9A"/>
    <w:rsid w:val="005C6F03"/>
    <w:rsid w:val="005C702A"/>
    <w:rsid w:val="005C70E7"/>
    <w:rsid w:val="005C7150"/>
    <w:rsid w:val="005C717E"/>
    <w:rsid w:val="005C723A"/>
    <w:rsid w:val="005C7265"/>
    <w:rsid w:val="005C72F2"/>
    <w:rsid w:val="005C7348"/>
    <w:rsid w:val="005C741A"/>
    <w:rsid w:val="005C7584"/>
    <w:rsid w:val="005C7738"/>
    <w:rsid w:val="005C77D8"/>
    <w:rsid w:val="005C7A10"/>
    <w:rsid w:val="005C7C6C"/>
    <w:rsid w:val="005C7C8B"/>
    <w:rsid w:val="005C7D6F"/>
    <w:rsid w:val="005C7E29"/>
    <w:rsid w:val="005C7E91"/>
    <w:rsid w:val="005C7FB7"/>
    <w:rsid w:val="005D007D"/>
    <w:rsid w:val="005D00BD"/>
    <w:rsid w:val="005D00CD"/>
    <w:rsid w:val="005D018E"/>
    <w:rsid w:val="005D0274"/>
    <w:rsid w:val="005D0299"/>
    <w:rsid w:val="005D0315"/>
    <w:rsid w:val="005D0368"/>
    <w:rsid w:val="005D036C"/>
    <w:rsid w:val="005D03E2"/>
    <w:rsid w:val="005D03FA"/>
    <w:rsid w:val="005D04CE"/>
    <w:rsid w:val="005D0560"/>
    <w:rsid w:val="005D084D"/>
    <w:rsid w:val="005D087B"/>
    <w:rsid w:val="005D09E4"/>
    <w:rsid w:val="005D0A34"/>
    <w:rsid w:val="005D0A71"/>
    <w:rsid w:val="005D0A82"/>
    <w:rsid w:val="005D0ACF"/>
    <w:rsid w:val="005D0AE7"/>
    <w:rsid w:val="005D0D13"/>
    <w:rsid w:val="005D0D3B"/>
    <w:rsid w:val="005D0FCC"/>
    <w:rsid w:val="005D10BA"/>
    <w:rsid w:val="005D1151"/>
    <w:rsid w:val="005D11C6"/>
    <w:rsid w:val="005D124A"/>
    <w:rsid w:val="005D1290"/>
    <w:rsid w:val="005D1348"/>
    <w:rsid w:val="005D14C4"/>
    <w:rsid w:val="005D1690"/>
    <w:rsid w:val="005D1793"/>
    <w:rsid w:val="005D185E"/>
    <w:rsid w:val="005D18B7"/>
    <w:rsid w:val="005D1ACA"/>
    <w:rsid w:val="005D1B51"/>
    <w:rsid w:val="005D1C8A"/>
    <w:rsid w:val="005D1D5E"/>
    <w:rsid w:val="005D1D8E"/>
    <w:rsid w:val="005D1DD6"/>
    <w:rsid w:val="005D1E8D"/>
    <w:rsid w:val="005D1FD5"/>
    <w:rsid w:val="005D2024"/>
    <w:rsid w:val="005D20BE"/>
    <w:rsid w:val="005D20EA"/>
    <w:rsid w:val="005D21A2"/>
    <w:rsid w:val="005D2398"/>
    <w:rsid w:val="005D23B2"/>
    <w:rsid w:val="005D2467"/>
    <w:rsid w:val="005D254E"/>
    <w:rsid w:val="005D2557"/>
    <w:rsid w:val="005D25E5"/>
    <w:rsid w:val="005D261A"/>
    <w:rsid w:val="005D26F3"/>
    <w:rsid w:val="005D27B8"/>
    <w:rsid w:val="005D2837"/>
    <w:rsid w:val="005D298E"/>
    <w:rsid w:val="005D29C3"/>
    <w:rsid w:val="005D2A7F"/>
    <w:rsid w:val="005D2C04"/>
    <w:rsid w:val="005D2C6F"/>
    <w:rsid w:val="005D2CB9"/>
    <w:rsid w:val="005D2F27"/>
    <w:rsid w:val="005D319B"/>
    <w:rsid w:val="005D31D4"/>
    <w:rsid w:val="005D322D"/>
    <w:rsid w:val="005D3240"/>
    <w:rsid w:val="005D3249"/>
    <w:rsid w:val="005D3288"/>
    <w:rsid w:val="005D333F"/>
    <w:rsid w:val="005D3352"/>
    <w:rsid w:val="005D33CD"/>
    <w:rsid w:val="005D357D"/>
    <w:rsid w:val="005D35BE"/>
    <w:rsid w:val="005D3651"/>
    <w:rsid w:val="005D3702"/>
    <w:rsid w:val="005D375D"/>
    <w:rsid w:val="005D383A"/>
    <w:rsid w:val="005D38FA"/>
    <w:rsid w:val="005D3929"/>
    <w:rsid w:val="005D395D"/>
    <w:rsid w:val="005D3962"/>
    <w:rsid w:val="005D399D"/>
    <w:rsid w:val="005D3A92"/>
    <w:rsid w:val="005D3B3E"/>
    <w:rsid w:val="005D3B51"/>
    <w:rsid w:val="005D3BDB"/>
    <w:rsid w:val="005D3BE7"/>
    <w:rsid w:val="005D3C2A"/>
    <w:rsid w:val="005D3E54"/>
    <w:rsid w:val="005D405E"/>
    <w:rsid w:val="005D4089"/>
    <w:rsid w:val="005D4157"/>
    <w:rsid w:val="005D4165"/>
    <w:rsid w:val="005D4173"/>
    <w:rsid w:val="005D41BA"/>
    <w:rsid w:val="005D4328"/>
    <w:rsid w:val="005D473B"/>
    <w:rsid w:val="005D4757"/>
    <w:rsid w:val="005D4C0E"/>
    <w:rsid w:val="005D4CF0"/>
    <w:rsid w:val="005D4D04"/>
    <w:rsid w:val="005D4DC4"/>
    <w:rsid w:val="005D4E58"/>
    <w:rsid w:val="005D4F2F"/>
    <w:rsid w:val="005D4F4E"/>
    <w:rsid w:val="005D4FDC"/>
    <w:rsid w:val="005D5179"/>
    <w:rsid w:val="005D51A0"/>
    <w:rsid w:val="005D5231"/>
    <w:rsid w:val="005D5290"/>
    <w:rsid w:val="005D52D5"/>
    <w:rsid w:val="005D5346"/>
    <w:rsid w:val="005D53F6"/>
    <w:rsid w:val="005D55A1"/>
    <w:rsid w:val="005D5624"/>
    <w:rsid w:val="005D568C"/>
    <w:rsid w:val="005D56A1"/>
    <w:rsid w:val="005D56EF"/>
    <w:rsid w:val="005D577C"/>
    <w:rsid w:val="005D5854"/>
    <w:rsid w:val="005D5AAD"/>
    <w:rsid w:val="005D5B3B"/>
    <w:rsid w:val="005D5B47"/>
    <w:rsid w:val="005D5BFD"/>
    <w:rsid w:val="005D5D80"/>
    <w:rsid w:val="005D5E9B"/>
    <w:rsid w:val="005D6098"/>
    <w:rsid w:val="005D61BD"/>
    <w:rsid w:val="005D61EA"/>
    <w:rsid w:val="005D6278"/>
    <w:rsid w:val="005D62F3"/>
    <w:rsid w:val="005D638A"/>
    <w:rsid w:val="005D63A1"/>
    <w:rsid w:val="005D658F"/>
    <w:rsid w:val="005D65CF"/>
    <w:rsid w:val="005D6635"/>
    <w:rsid w:val="005D6643"/>
    <w:rsid w:val="005D6647"/>
    <w:rsid w:val="005D6692"/>
    <w:rsid w:val="005D67EF"/>
    <w:rsid w:val="005D6853"/>
    <w:rsid w:val="005D687A"/>
    <w:rsid w:val="005D6905"/>
    <w:rsid w:val="005D6A2D"/>
    <w:rsid w:val="005D6A86"/>
    <w:rsid w:val="005D6BF3"/>
    <w:rsid w:val="005D6C1F"/>
    <w:rsid w:val="005D6C8C"/>
    <w:rsid w:val="005D6D60"/>
    <w:rsid w:val="005D6DBA"/>
    <w:rsid w:val="005D6F09"/>
    <w:rsid w:val="005D6FC3"/>
    <w:rsid w:val="005D7161"/>
    <w:rsid w:val="005D71E5"/>
    <w:rsid w:val="005D725A"/>
    <w:rsid w:val="005D72A8"/>
    <w:rsid w:val="005D7418"/>
    <w:rsid w:val="005D7429"/>
    <w:rsid w:val="005D7523"/>
    <w:rsid w:val="005D766A"/>
    <w:rsid w:val="005D76FD"/>
    <w:rsid w:val="005D7722"/>
    <w:rsid w:val="005D77F8"/>
    <w:rsid w:val="005D792A"/>
    <w:rsid w:val="005D79FD"/>
    <w:rsid w:val="005D7A98"/>
    <w:rsid w:val="005D7AB5"/>
    <w:rsid w:val="005D7B43"/>
    <w:rsid w:val="005D7C66"/>
    <w:rsid w:val="005D7DC8"/>
    <w:rsid w:val="005D7E9F"/>
    <w:rsid w:val="005D7F58"/>
    <w:rsid w:val="005E0074"/>
    <w:rsid w:val="005E0082"/>
    <w:rsid w:val="005E00CA"/>
    <w:rsid w:val="005E0208"/>
    <w:rsid w:val="005E0215"/>
    <w:rsid w:val="005E0445"/>
    <w:rsid w:val="005E04CB"/>
    <w:rsid w:val="005E04DB"/>
    <w:rsid w:val="005E06FF"/>
    <w:rsid w:val="005E07DF"/>
    <w:rsid w:val="005E0865"/>
    <w:rsid w:val="005E089B"/>
    <w:rsid w:val="005E0944"/>
    <w:rsid w:val="005E0A15"/>
    <w:rsid w:val="005E0CE1"/>
    <w:rsid w:val="005E0E72"/>
    <w:rsid w:val="005E0EA5"/>
    <w:rsid w:val="005E0EF1"/>
    <w:rsid w:val="005E0FA0"/>
    <w:rsid w:val="005E0FCD"/>
    <w:rsid w:val="005E106D"/>
    <w:rsid w:val="005E10FB"/>
    <w:rsid w:val="005E1162"/>
    <w:rsid w:val="005E12D3"/>
    <w:rsid w:val="005E1350"/>
    <w:rsid w:val="005E1411"/>
    <w:rsid w:val="005E1498"/>
    <w:rsid w:val="005E14E6"/>
    <w:rsid w:val="005E155F"/>
    <w:rsid w:val="005E1564"/>
    <w:rsid w:val="005E1587"/>
    <w:rsid w:val="005E1599"/>
    <w:rsid w:val="005E1600"/>
    <w:rsid w:val="005E166A"/>
    <w:rsid w:val="005E16C9"/>
    <w:rsid w:val="005E17E2"/>
    <w:rsid w:val="005E18E5"/>
    <w:rsid w:val="005E1905"/>
    <w:rsid w:val="005E1919"/>
    <w:rsid w:val="005E1951"/>
    <w:rsid w:val="005E1A4B"/>
    <w:rsid w:val="005E1B83"/>
    <w:rsid w:val="005E1C18"/>
    <w:rsid w:val="005E1C1A"/>
    <w:rsid w:val="005E1C40"/>
    <w:rsid w:val="005E1C6A"/>
    <w:rsid w:val="005E1D00"/>
    <w:rsid w:val="005E1DCD"/>
    <w:rsid w:val="005E1DD2"/>
    <w:rsid w:val="005E2084"/>
    <w:rsid w:val="005E221E"/>
    <w:rsid w:val="005E2346"/>
    <w:rsid w:val="005E24C4"/>
    <w:rsid w:val="005E24DC"/>
    <w:rsid w:val="005E26BB"/>
    <w:rsid w:val="005E2919"/>
    <w:rsid w:val="005E2926"/>
    <w:rsid w:val="005E296A"/>
    <w:rsid w:val="005E29AA"/>
    <w:rsid w:val="005E2BE8"/>
    <w:rsid w:val="005E2C80"/>
    <w:rsid w:val="005E2ECA"/>
    <w:rsid w:val="005E2EF8"/>
    <w:rsid w:val="005E2F48"/>
    <w:rsid w:val="005E2F6D"/>
    <w:rsid w:val="005E3103"/>
    <w:rsid w:val="005E3126"/>
    <w:rsid w:val="005E31B4"/>
    <w:rsid w:val="005E3217"/>
    <w:rsid w:val="005E321E"/>
    <w:rsid w:val="005E3289"/>
    <w:rsid w:val="005E332E"/>
    <w:rsid w:val="005E333D"/>
    <w:rsid w:val="005E3377"/>
    <w:rsid w:val="005E338E"/>
    <w:rsid w:val="005E33B0"/>
    <w:rsid w:val="005E34E4"/>
    <w:rsid w:val="005E3775"/>
    <w:rsid w:val="005E3780"/>
    <w:rsid w:val="005E3870"/>
    <w:rsid w:val="005E39D5"/>
    <w:rsid w:val="005E3A36"/>
    <w:rsid w:val="005E3B36"/>
    <w:rsid w:val="005E3B7A"/>
    <w:rsid w:val="005E3C2D"/>
    <w:rsid w:val="005E3CEB"/>
    <w:rsid w:val="005E3CFF"/>
    <w:rsid w:val="005E3D5F"/>
    <w:rsid w:val="005E3D67"/>
    <w:rsid w:val="005E3F7C"/>
    <w:rsid w:val="005E4151"/>
    <w:rsid w:val="005E4358"/>
    <w:rsid w:val="005E4375"/>
    <w:rsid w:val="005E43A1"/>
    <w:rsid w:val="005E4487"/>
    <w:rsid w:val="005E45AF"/>
    <w:rsid w:val="005E45F6"/>
    <w:rsid w:val="005E4640"/>
    <w:rsid w:val="005E46E0"/>
    <w:rsid w:val="005E4733"/>
    <w:rsid w:val="005E4739"/>
    <w:rsid w:val="005E49A4"/>
    <w:rsid w:val="005E4A2F"/>
    <w:rsid w:val="005E4A41"/>
    <w:rsid w:val="005E4B2F"/>
    <w:rsid w:val="005E4BE0"/>
    <w:rsid w:val="005E4C82"/>
    <w:rsid w:val="005E4CD1"/>
    <w:rsid w:val="005E4D64"/>
    <w:rsid w:val="005E4DF4"/>
    <w:rsid w:val="005E4DFA"/>
    <w:rsid w:val="005E4E0A"/>
    <w:rsid w:val="005E4E15"/>
    <w:rsid w:val="005E4E20"/>
    <w:rsid w:val="005E4E4C"/>
    <w:rsid w:val="005E4E99"/>
    <w:rsid w:val="005E4FC8"/>
    <w:rsid w:val="005E509C"/>
    <w:rsid w:val="005E50AF"/>
    <w:rsid w:val="005E50D9"/>
    <w:rsid w:val="005E5292"/>
    <w:rsid w:val="005E5296"/>
    <w:rsid w:val="005E5419"/>
    <w:rsid w:val="005E5472"/>
    <w:rsid w:val="005E5518"/>
    <w:rsid w:val="005E5590"/>
    <w:rsid w:val="005E58A7"/>
    <w:rsid w:val="005E59E0"/>
    <w:rsid w:val="005E5A01"/>
    <w:rsid w:val="005E5A3C"/>
    <w:rsid w:val="005E5A8F"/>
    <w:rsid w:val="005E5B56"/>
    <w:rsid w:val="005E5C6C"/>
    <w:rsid w:val="005E5CD2"/>
    <w:rsid w:val="005E5D6E"/>
    <w:rsid w:val="005E5D71"/>
    <w:rsid w:val="005E5E11"/>
    <w:rsid w:val="005E6090"/>
    <w:rsid w:val="005E6213"/>
    <w:rsid w:val="005E6265"/>
    <w:rsid w:val="005E626D"/>
    <w:rsid w:val="005E6294"/>
    <w:rsid w:val="005E62E3"/>
    <w:rsid w:val="005E632C"/>
    <w:rsid w:val="005E6344"/>
    <w:rsid w:val="005E63EC"/>
    <w:rsid w:val="005E64ED"/>
    <w:rsid w:val="005E64FC"/>
    <w:rsid w:val="005E65EB"/>
    <w:rsid w:val="005E6624"/>
    <w:rsid w:val="005E6626"/>
    <w:rsid w:val="005E664F"/>
    <w:rsid w:val="005E6675"/>
    <w:rsid w:val="005E6697"/>
    <w:rsid w:val="005E676D"/>
    <w:rsid w:val="005E6804"/>
    <w:rsid w:val="005E6898"/>
    <w:rsid w:val="005E68A0"/>
    <w:rsid w:val="005E68FA"/>
    <w:rsid w:val="005E6925"/>
    <w:rsid w:val="005E6A8D"/>
    <w:rsid w:val="005E6AB5"/>
    <w:rsid w:val="005E6AC8"/>
    <w:rsid w:val="005E6B28"/>
    <w:rsid w:val="005E6C43"/>
    <w:rsid w:val="005E6C66"/>
    <w:rsid w:val="005E6C74"/>
    <w:rsid w:val="005E6C8E"/>
    <w:rsid w:val="005E6D13"/>
    <w:rsid w:val="005E6E8B"/>
    <w:rsid w:val="005E6E97"/>
    <w:rsid w:val="005E6F98"/>
    <w:rsid w:val="005E6FF1"/>
    <w:rsid w:val="005E7057"/>
    <w:rsid w:val="005E71A7"/>
    <w:rsid w:val="005E7252"/>
    <w:rsid w:val="005E7271"/>
    <w:rsid w:val="005E727E"/>
    <w:rsid w:val="005E72E2"/>
    <w:rsid w:val="005E7434"/>
    <w:rsid w:val="005E7485"/>
    <w:rsid w:val="005E753A"/>
    <w:rsid w:val="005E75F6"/>
    <w:rsid w:val="005E7630"/>
    <w:rsid w:val="005E76A5"/>
    <w:rsid w:val="005E77AD"/>
    <w:rsid w:val="005E77E6"/>
    <w:rsid w:val="005E7874"/>
    <w:rsid w:val="005E7911"/>
    <w:rsid w:val="005E79C4"/>
    <w:rsid w:val="005E7ACF"/>
    <w:rsid w:val="005E7C8E"/>
    <w:rsid w:val="005E7D82"/>
    <w:rsid w:val="005E7DF6"/>
    <w:rsid w:val="005E7EA7"/>
    <w:rsid w:val="005E7F40"/>
    <w:rsid w:val="005E7FFE"/>
    <w:rsid w:val="005F0095"/>
    <w:rsid w:val="005F01E5"/>
    <w:rsid w:val="005F0221"/>
    <w:rsid w:val="005F0248"/>
    <w:rsid w:val="005F02F2"/>
    <w:rsid w:val="005F0344"/>
    <w:rsid w:val="005F0465"/>
    <w:rsid w:val="005F04F9"/>
    <w:rsid w:val="005F05D3"/>
    <w:rsid w:val="005F06EE"/>
    <w:rsid w:val="005F0818"/>
    <w:rsid w:val="005F09FA"/>
    <w:rsid w:val="005F0A97"/>
    <w:rsid w:val="005F0E4A"/>
    <w:rsid w:val="005F0F87"/>
    <w:rsid w:val="005F0FAD"/>
    <w:rsid w:val="005F1181"/>
    <w:rsid w:val="005F133E"/>
    <w:rsid w:val="005F138E"/>
    <w:rsid w:val="005F1480"/>
    <w:rsid w:val="005F15EC"/>
    <w:rsid w:val="005F16A3"/>
    <w:rsid w:val="005F16F1"/>
    <w:rsid w:val="005F1803"/>
    <w:rsid w:val="005F1867"/>
    <w:rsid w:val="005F1879"/>
    <w:rsid w:val="005F18AE"/>
    <w:rsid w:val="005F197E"/>
    <w:rsid w:val="005F1A5E"/>
    <w:rsid w:val="005F1C34"/>
    <w:rsid w:val="005F1C6C"/>
    <w:rsid w:val="005F1D58"/>
    <w:rsid w:val="005F1D7F"/>
    <w:rsid w:val="005F1E31"/>
    <w:rsid w:val="005F1E84"/>
    <w:rsid w:val="005F1ED0"/>
    <w:rsid w:val="005F1F21"/>
    <w:rsid w:val="005F2026"/>
    <w:rsid w:val="005F207F"/>
    <w:rsid w:val="005F20BA"/>
    <w:rsid w:val="005F2125"/>
    <w:rsid w:val="005F2201"/>
    <w:rsid w:val="005F2244"/>
    <w:rsid w:val="005F233B"/>
    <w:rsid w:val="005F2413"/>
    <w:rsid w:val="005F248A"/>
    <w:rsid w:val="005F251D"/>
    <w:rsid w:val="005F2530"/>
    <w:rsid w:val="005F2586"/>
    <w:rsid w:val="005F266B"/>
    <w:rsid w:val="005F273E"/>
    <w:rsid w:val="005F285B"/>
    <w:rsid w:val="005F28F4"/>
    <w:rsid w:val="005F2923"/>
    <w:rsid w:val="005F2932"/>
    <w:rsid w:val="005F2983"/>
    <w:rsid w:val="005F298B"/>
    <w:rsid w:val="005F2A84"/>
    <w:rsid w:val="005F2ACB"/>
    <w:rsid w:val="005F2B29"/>
    <w:rsid w:val="005F2B99"/>
    <w:rsid w:val="005F2CF8"/>
    <w:rsid w:val="005F2DE3"/>
    <w:rsid w:val="005F2EDD"/>
    <w:rsid w:val="005F2F1C"/>
    <w:rsid w:val="005F2FD9"/>
    <w:rsid w:val="005F30FF"/>
    <w:rsid w:val="005F325C"/>
    <w:rsid w:val="005F33D5"/>
    <w:rsid w:val="005F343A"/>
    <w:rsid w:val="005F3518"/>
    <w:rsid w:val="005F3532"/>
    <w:rsid w:val="005F3600"/>
    <w:rsid w:val="005F36F4"/>
    <w:rsid w:val="005F379D"/>
    <w:rsid w:val="005F3919"/>
    <w:rsid w:val="005F399F"/>
    <w:rsid w:val="005F3CEF"/>
    <w:rsid w:val="005F3FBC"/>
    <w:rsid w:val="005F4351"/>
    <w:rsid w:val="005F4392"/>
    <w:rsid w:val="005F43D0"/>
    <w:rsid w:val="005F4445"/>
    <w:rsid w:val="005F447F"/>
    <w:rsid w:val="005F451B"/>
    <w:rsid w:val="005F456B"/>
    <w:rsid w:val="005F468F"/>
    <w:rsid w:val="005F46F6"/>
    <w:rsid w:val="005F4721"/>
    <w:rsid w:val="005F475A"/>
    <w:rsid w:val="005F48C6"/>
    <w:rsid w:val="005F49A3"/>
    <w:rsid w:val="005F4A72"/>
    <w:rsid w:val="005F4BF9"/>
    <w:rsid w:val="005F4CB2"/>
    <w:rsid w:val="005F4D42"/>
    <w:rsid w:val="005F4E71"/>
    <w:rsid w:val="005F4F9D"/>
    <w:rsid w:val="005F5098"/>
    <w:rsid w:val="005F50B7"/>
    <w:rsid w:val="005F5162"/>
    <w:rsid w:val="005F5215"/>
    <w:rsid w:val="005F521E"/>
    <w:rsid w:val="005F527A"/>
    <w:rsid w:val="005F52F8"/>
    <w:rsid w:val="005F5393"/>
    <w:rsid w:val="005F53AB"/>
    <w:rsid w:val="005F544F"/>
    <w:rsid w:val="005F5552"/>
    <w:rsid w:val="005F5573"/>
    <w:rsid w:val="005F557B"/>
    <w:rsid w:val="005F55BF"/>
    <w:rsid w:val="005F570C"/>
    <w:rsid w:val="005F5777"/>
    <w:rsid w:val="005F594B"/>
    <w:rsid w:val="005F5968"/>
    <w:rsid w:val="005F59FD"/>
    <w:rsid w:val="005F5A11"/>
    <w:rsid w:val="005F5A2B"/>
    <w:rsid w:val="005F5A2D"/>
    <w:rsid w:val="005F5ACA"/>
    <w:rsid w:val="005F5B92"/>
    <w:rsid w:val="005F5CBF"/>
    <w:rsid w:val="005F5D03"/>
    <w:rsid w:val="005F5ED4"/>
    <w:rsid w:val="005F5F22"/>
    <w:rsid w:val="005F603A"/>
    <w:rsid w:val="005F613A"/>
    <w:rsid w:val="005F61DD"/>
    <w:rsid w:val="005F6212"/>
    <w:rsid w:val="005F6239"/>
    <w:rsid w:val="005F62A7"/>
    <w:rsid w:val="005F631B"/>
    <w:rsid w:val="005F6538"/>
    <w:rsid w:val="005F671D"/>
    <w:rsid w:val="005F677B"/>
    <w:rsid w:val="005F6807"/>
    <w:rsid w:val="005F6836"/>
    <w:rsid w:val="005F6988"/>
    <w:rsid w:val="005F698F"/>
    <w:rsid w:val="005F6B19"/>
    <w:rsid w:val="005F6B62"/>
    <w:rsid w:val="005F6C50"/>
    <w:rsid w:val="005F6C5B"/>
    <w:rsid w:val="005F6C93"/>
    <w:rsid w:val="005F6CD9"/>
    <w:rsid w:val="005F6D04"/>
    <w:rsid w:val="005F6D4B"/>
    <w:rsid w:val="005F6DF9"/>
    <w:rsid w:val="005F6E09"/>
    <w:rsid w:val="005F6E4F"/>
    <w:rsid w:val="005F7134"/>
    <w:rsid w:val="005F728D"/>
    <w:rsid w:val="005F72FF"/>
    <w:rsid w:val="005F73E6"/>
    <w:rsid w:val="005F761B"/>
    <w:rsid w:val="005F7683"/>
    <w:rsid w:val="005F76AD"/>
    <w:rsid w:val="005F778E"/>
    <w:rsid w:val="005F77E2"/>
    <w:rsid w:val="005F780A"/>
    <w:rsid w:val="005F7892"/>
    <w:rsid w:val="005F7AD1"/>
    <w:rsid w:val="005F7B99"/>
    <w:rsid w:val="005F7CA4"/>
    <w:rsid w:val="00600084"/>
    <w:rsid w:val="006001DF"/>
    <w:rsid w:val="006002C1"/>
    <w:rsid w:val="0060035D"/>
    <w:rsid w:val="006003FC"/>
    <w:rsid w:val="00600415"/>
    <w:rsid w:val="006004AD"/>
    <w:rsid w:val="0060080C"/>
    <w:rsid w:val="00600ABC"/>
    <w:rsid w:val="00600D8B"/>
    <w:rsid w:val="00600E91"/>
    <w:rsid w:val="00600FA0"/>
    <w:rsid w:val="00600FAB"/>
    <w:rsid w:val="00600FD5"/>
    <w:rsid w:val="00600FE0"/>
    <w:rsid w:val="00601019"/>
    <w:rsid w:val="00601046"/>
    <w:rsid w:val="00601074"/>
    <w:rsid w:val="00601076"/>
    <w:rsid w:val="0060113C"/>
    <w:rsid w:val="006011A4"/>
    <w:rsid w:val="006011D2"/>
    <w:rsid w:val="00601212"/>
    <w:rsid w:val="00601282"/>
    <w:rsid w:val="00601409"/>
    <w:rsid w:val="0060146B"/>
    <w:rsid w:val="0060151E"/>
    <w:rsid w:val="006015FF"/>
    <w:rsid w:val="0060168A"/>
    <w:rsid w:val="00601695"/>
    <w:rsid w:val="006017AF"/>
    <w:rsid w:val="00601848"/>
    <w:rsid w:val="0060194D"/>
    <w:rsid w:val="006019B3"/>
    <w:rsid w:val="00601A77"/>
    <w:rsid w:val="00601AAB"/>
    <w:rsid w:val="00601AED"/>
    <w:rsid w:val="00601C55"/>
    <w:rsid w:val="00601CD9"/>
    <w:rsid w:val="00601CE2"/>
    <w:rsid w:val="00601D3E"/>
    <w:rsid w:val="00601E00"/>
    <w:rsid w:val="00601E39"/>
    <w:rsid w:val="00601EC5"/>
    <w:rsid w:val="00601F3B"/>
    <w:rsid w:val="00601F49"/>
    <w:rsid w:val="00601F74"/>
    <w:rsid w:val="00601FAA"/>
    <w:rsid w:val="00602053"/>
    <w:rsid w:val="006020DF"/>
    <w:rsid w:val="00602201"/>
    <w:rsid w:val="00602282"/>
    <w:rsid w:val="006022A1"/>
    <w:rsid w:val="00602378"/>
    <w:rsid w:val="006023D6"/>
    <w:rsid w:val="0060243F"/>
    <w:rsid w:val="00602537"/>
    <w:rsid w:val="00602566"/>
    <w:rsid w:val="00602737"/>
    <w:rsid w:val="00602745"/>
    <w:rsid w:val="00602803"/>
    <w:rsid w:val="00602833"/>
    <w:rsid w:val="006028D2"/>
    <w:rsid w:val="0060293A"/>
    <w:rsid w:val="00602A4C"/>
    <w:rsid w:val="00602BB4"/>
    <w:rsid w:val="00602CC6"/>
    <w:rsid w:val="00602DA6"/>
    <w:rsid w:val="00602EEC"/>
    <w:rsid w:val="00602EF2"/>
    <w:rsid w:val="006030AA"/>
    <w:rsid w:val="006031D2"/>
    <w:rsid w:val="0060322E"/>
    <w:rsid w:val="00603251"/>
    <w:rsid w:val="00603373"/>
    <w:rsid w:val="006034F7"/>
    <w:rsid w:val="0060368B"/>
    <w:rsid w:val="00603749"/>
    <w:rsid w:val="00603825"/>
    <w:rsid w:val="00603841"/>
    <w:rsid w:val="00603882"/>
    <w:rsid w:val="006039B6"/>
    <w:rsid w:val="006039C5"/>
    <w:rsid w:val="00603A23"/>
    <w:rsid w:val="00603A64"/>
    <w:rsid w:val="00603AA2"/>
    <w:rsid w:val="00603B82"/>
    <w:rsid w:val="00603CAA"/>
    <w:rsid w:val="00603CB7"/>
    <w:rsid w:val="00603DDD"/>
    <w:rsid w:val="00603E13"/>
    <w:rsid w:val="00603E3B"/>
    <w:rsid w:val="00603EF1"/>
    <w:rsid w:val="00603F9C"/>
    <w:rsid w:val="0060412B"/>
    <w:rsid w:val="0060420B"/>
    <w:rsid w:val="00604304"/>
    <w:rsid w:val="00604353"/>
    <w:rsid w:val="00604413"/>
    <w:rsid w:val="0060446B"/>
    <w:rsid w:val="0060449E"/>
    <w:rsid w:val="006044D2"/>
    <w:rsid w:val="0060450F"/>
    <w:rsid w:val="006045E5"/>
    <w:rsid w:val="006046AE"/>
    <w:rsid w:val="006046F1"/>
    <w:rsid w:val="0060470C"/>
    <w:rsid w:val="00604806"/>
    <w:rsid w:val="006048EF"/>
    <w:rsid w:val="00604A70"/>
    <w:rsid w:val="00604BD4"/>
    <w:rsid w:val="00604D4B"/>
    <w:rsid w:val="00604F35"/>
    <w:rsid w:val="00605028"/>
    <w:rsid w:val="0060507E"/>
    <w:rsid w:val="00605261"/>
    <w:rsid w:val="00605273"/>
    <w:rsid w:val="00605284"/>
    <w:rsid w:val="0060528C"/>
    <w:rsid w:val="006052DA"/>
    <w:rsid w:val="00605316"/>
    <w:rsid w:val="006055F5"/>
    <w:rsid w:val="0060565B"/>
    <w:rsid w:val="00605677"/>
    <w:rsid w:val="0060568E"/>
    <w:rsid w:val="00605761"/>
    <w:rsid w:val="006057C1"/>
    <w:rsid w:val="00605883"/>
    <w:rsid w:val="00605891"/>
    <w:rsid w:val="006058FF"/>
    <w:rsid w:val="0060594B"/>
    <w:rsid w:val="00605A58"/>
    <w:rsid w:val="00605B03"/>
    <w:rsid w:val="00605B50"/>
    <w:rsid w:val="00605BEA"/>
    <w:rsid w:val="00605C1F"/>
    <w:rsid w:val="00605C81"/>
    <w:rsid w:val="00605E05"/>
    <w:rsid w:val="00605FA8"/>
    <w:rsid w:val="00606004"/>
    <w:rsid w:val="00606024"/>
    <w:rsid w:val="00606086"/>
    <w:rsid w:val="00606092"/>
    <w:rsid w:val="006060C9"/>
    <w:rsid w:val="006061CA"/>
    <w:rsid w:val="00606295"/>
    <w:rsid w:val="0060635A"/>
    <w:rsid w:val="00606409"/>
    <w:rsid w:val="00606501"/>
    <w:rsid w:val="0060659F"/>
    <w:rsid w:val="00606617"/>
    <w:rsid w:val="00606837"/>
    <w:rsid w:val="00606961"/>
    <w:rsid w:val="0060697A"/>
    <w:rsid w:val="00606989"/>
    <w:rsid w:val="006069F8"/>
    <w:rsid w:val="00606C20"/>
    <w:rsid w:val="00606CAD"/>
    <w:rsid w:val="00606D8E"/>
    <w:rsid w:val="00606F9B"/>
    <w:rsid w:val="0060703C"/>
    <w:rsid w:val="00607046"/>
    <w:rsid w:val="006070EC"/>
    <w:rsid w:val="00607103"/>
    <w:rsid w:val="0060710F"/>
    <w:rsid w:val="0060713C"/>
    <w:rsid w:val="00607186"/>
    <w:rsid w:val="006071DF"/>
    <w:rsid w:val="0060720B"/>
    <w:rsid w:val="0060732B"/>
    <w:rsid w:val="00607466"/>
    <w:rsid w:val="0060746D"/>
    <w:rsid w:val="006075FA"/>
    <w:rsid w:val="006076D0"/>
    <w:rsid w:val="006076E6"/>
    <w:rsid w:val="00607A9C"/>
    <w:rsid w:val="00607AD4"/>
    <w:rsid w:val="00607B88"/>
    <w:rsid w:val="00607C0D"/>
    <w:rsid w:val="00607C6A"/>
    <w:rsid w:val="00607C7E"/>
    <w:rsid w:val="00607CFD"/>
    <w:rsid w:val="00607D13"/>
    <w:rsid w:val="00607EDB"/>
    <w:rsid w:val="00607F08"/>
    <w:rsid w:val="00607F47"/>
    <w:rsid w:val="00607F6E"/>
    <w:rsid w:val="00607FA6"/>
    <w:rsid w:val="00607FC8"/>
    <w:rsid w:val="00607FCF"/>
    <w:rsid w:val="0061009C"/>
    <w:rsid w:val="0061016E"/>
    <w:rsid w:val="0061027F"/>
    <w:rsid w:val="0061029F"/>
    <w:rsid w:val="006102B6"/>
    <w:rsid w:val="006102F7"/>
    <w:rsid w:val="006103E9"/>
    <w:rsid w:val="006105C2"/>
    <w:rsid w:val="00610648"/>
    <w:rsid w:val="00610727"/>
    <w:rsid w:val="00610971"/>
    <w:rsid w:val="006109F5"/>
    <w:rsid w:val="00610AB2"/>
    <w:rsid w:val="00610BB9"/>
    <w:rsid w:val="00610C3B"/>
    <w:rsid w:val="00610DCD"/>
    <w:rsid w:val="00610F02"/>
    <w:rsid w:val="0061109F"/>
    <w:rsid w:val="00611153"/>
    <w:rsid w:val="00611274"/>
    <w:rsid w:val="006112AB"/>
    <w:rsid w:val="006112BA"/>
    <w:rsid w:val="006112BD"/>
    <w:rsid w:val="0061133F"/>
    <w:rsid w:val="00611388"/>
    <w:rsid w:val="006113AD"/>
    <w:rsid w:val="006117CF"/>
    <w:rsid w:val="006119A2"/>
    <w:rsid w:val="006119F0"/>
    <w:rsid w:val="00611A11"/>
    <w:rsid w:val="00611AF1"/>
    <w:rsid w:val="00611CB4"/>
    <w:rsid w:val="00611CD2"/>
    <w:rsid w:val="00611DC7"/>
    <w:rsid w:val="00611DCA"/>
    <w:rsid w:val="00611E3A"/>
    <w:rsid w:val="00611F80"/>
    <w:rsid w:val="00611FEC"/>
    <w:rsid w:val="0061205C"/>
    <w:rsid w:val="006121E4"/>
    <w:rsid w:val="00612235"/>
    <w:rsid w:val="00612317"/>
    <w:rsid w:val="006127C9"/>
    <w:rsid w:val="006127F4"/>
    <w:rsid w:val="00612835"/>
    <w:rsid w:val="006128DE"/>
    <w:rsid w:val="00612935"/>
    <w:rsid w:val="00612981"/>
    <w:rsid w:val="006129EA"/>
    <w:rsid w:val="00612A03"/>
    <w:rsid w:val="00612A2B"/>
    <w:rsid w:val="00612A5B"/>
    <w:rsid w:val="00612A6B"/>
    <w:rsid w:val="00612B16"/>
    <w:rsid w:val="00612B18"/>
    <w:rsid w:val="00612B33"/>
    <w:rsid w:val="00612C85"/>
    <w:rsid w:val="00612CCE"/>
    <w:rsid w:val="00612D3D"/>
    <w:rsid w:val="0061300C"/>
    <w:rsid w:val="00613014"/>
    <w:rsid w:val="0061307C"/>
    <w:rsid w:val="006130BA"/>
    <w:rsid w:val="006130C4"/>
    <w:rsid w:val="00613238"/>
    <w:rsid w:val="00613279"/>
    <w:rsid w:val="006132A2"/>
    <w:rsid w:val="00613336"/>
    <w:rsid w:val="006133D4"/>
    <w:rsid w:val="006134A4"/>
    <w:rsid w:val="0061357F"/>
    <w:rsid w:val="00613894"/>
    <w:rsid w:val="00613965"/>
    <w:rsid w:val="00613B05"/>
    <w:rsid w:val="00613B8B"/>
    <w:rsid w:val="00613CF8"/>
    <w:rsid w:val="00613D40"/>
    <w:rsid w:val="00613D85"/>
    <w:rsid w:val="00613E68"/>
    <w:rsid w:val="00613EB9"/>
    <w:rsid w:val="00613F17"/>
    <w:rsid w:val="0061407E"/>
    <w:rsid w:val="006141D6"/>
    <w:rsid w:val="006144AF"/>
    <w:rsid w:val="006144CE"/>
    <w:rsid w:val="00614522"/>
    <w:rsid w:val="00614572"/>
    <w:rsid w:val="006146C5"/>
    <w:rsid w:val="00614801"/>
    <w:rsid w:val="0061481B"/>
    <w:rsid w:val="00614868"/>
    <w:rsid w:val="00614A79"/>
    <w:rsid w:val="00614A81"/>
    <w:rsid w:val="00614A8D"/>
    <w:rsid w:val="00614B99"/>
    <w:rsid w:val="00614BDD"/>
    <w:rsid w:val="00614C14"/>
    <w:rsid w:val="00614CC5"/>
    <w:rsid w:val="00614D72"/>
    <w:rsid w:val="00614F06"/>
    <w:rsid w:val="00614F55"/>
    <w:rsid w:val="00614F8F"/>
    <w:rsid w:val="00615041"/>
    <w:rsid w:val="0061512E"/>
    <w:rsid w:val="0061516E"/>
    <w:rsid w:val="006152B7"/>
    <w:rsid w:val="006152E5"/>
    <w:rsid w:val="0061545E"/>
    <w:rsid w:val="006154BC"/>
    <w:rsid w:val="006156D9"/>
    <w:rsid w:val="00615799"/>
    <w:rsid w:val="0061588B"/>
    <w:rsid w:val="006158B7"/>
    <w:rsid w:val="006159F1"/>
    <w:rsid w:val="00615A84"/>
    <w:rsid w:val="00615AA0"/>
    <w:rsid w:val="00615B0B"/>
    <w:rsid w:val="00615B80"/>
    <w:rsid w:val="00615D17"/>
    <w:rsid w:val="00615D36"/>
    <w:rsid w:val="00615EB9"/>
    <w:rsid w:val="00615EDB"/>
    <w:rsid w:val="00616045"/>
    <w:rsid w:val="006161E0"/>
    <w:rsid w:val="00616236"/>
    <w:rsid w:val="006162B7"/>
    <w:rsid w:val="0061634F"/>
    <w:rsid w:val="00616554"/>
    <w:rsid w:val="00616576"/>
    <w:rsid w:val="0061666A"/>
    <w:rsid w:val="00616731"/>
    <w:rsid w:val="006167D8"/>
    <w:rsid w:val="0061684E"/>
    <w:rsid w:val="00616893"/>
    <w:rsid w:val="00616949"/>
    <w:rsid w:val="006169DB"/>
    <w:rsid w:val="00616BA0"/>
    <w:rsid w:val="00616BCF"/>
    <w:rsid w:val="00616C1D"/>
    <w:rsid w:val="00616C58"/>
    <w:rsid w:val="00616C98"/>
    <w:rsid w:val="00616D76"/>
    <w:rsid w:val="00616DD1"/>
    <w:rsid w:val="00616DFA"/>
    <w:rsid w:val="00616E2C"/>
    <w:rsid w:val="00616EDE"/>
    <w:rsid w:val="00616EFE"/>
    <w:rsid w:val="00616F19"/>
    <w:rsid w:val="00616F7F"/>
    <w:rsid w:val="006170B1"/>
    <w:rsid w:val="0061720C"/>
    <w:rsid w:val="00617251"/>
    <w:rsid w:val="006173E7"/>
    <w:rsid w:val="00617407"/>
    <w:rsid w:val="006174D0"/>
    <w:rsid w:val="0061754B"/>
    <w:rsid w:val="0061757C"/>
    <w:rsid w:val="00617663"/>
    <w:rsid w:val="006176A5"/>
    <w:rsid w:val="0061772E"/>
    <w:rsid w:val="0061785F"/>
    <w:rsid w:val="0061787B"/>
    <w:rsid w:val="00617900"/>
    <w:rsid w:val="00617B30"/>
    <w:rsid w:val="00617BD0"/>
    <w:rsid w:val="00617BFF"/>
    <w:rsid w:val="00617E21"/>
    <w:rsid w:val="00617E7E"/>
    <w:rsid w:val="00617FB6"/>
    <w:rsid w:val="00620068"/>
    <w:rsid w:val="0062006C"/>
    <w:rsid w:val="0062007B"/>
    <w:rsid w:val="00620106"/>
    <w:rsid w:val="0062016A"/>
    <w:rsid w:val="006202D5"/>
    <w:rsid w:val="00620449"/>
    <w:rsid w:val="006204AD"/>
    <w:rsid w:val="006204F3"/>
    <w:rsid w:val="00620798"/>
    <w:rsid w:val="006209C7"/>
    <w:rsid w:val="00620A71"/>
    <w:rsid w:val="00620AF7"/>
    <w:rsid w:val="00620B55"/>
    <w:rsid w:val="00620B7F"/>
    <w:rsid w:val="00620C6E"/>
    <w:rsid w:val="00620D78"/>
    <w:rsid w:val="00620DFF"/>
    <w:rsid w:val="00620E55"/>
    <w:rsid w:val="00620F36"/>
    <w:rsid w:val="00620F96"/>
    <w:rsid w:val="00621044"/>
    <w:rsid w:val="00621070"/>
    <w:rsid w:val="0062109E"/>
    <w:rsid w:val="006210BD"/>
    <w:rsid w:val="0062110D"/>
    <w:rsid w:val="0062111E"/>
    <w:rsid w:val="0062115C"/>
    <w:rsid w:val="006211F8"/>
    <w:rsid w:val="00621205"/>
    <w:rsid w:val="00621216"/>
    <w:rsid w:val="006212E9"/>
    <w:rsid w:val="006213A3"/>
    <w:rsid w:val="00621461"/>
    <w:rsid w:val="00621524"/>
    <w:rsid w:val="006215C9"/>
    <w:rsid w:val="006215EA"/>
    <w:rsid w:val="006216AC"/>
    <w:rsid w:val="0062173D"/>
    <w:rsid w:val="006217F3"/>
    <w:rsid w:val="00621862"/>
    <w:rsid w:val="00621886"/>
    <w:rsid w:val="00621AFB"/>
    <w:rsid w:val="00621B60"/>
    <w:rsid w:val="00621C12"/>
    <w:rsid w:val="00621DA1"/>
    <w:rsid w:val="00621DBE"/>
    <w:rsid w:val="00621F3D"/>
    <w:rsid w:val="00621FD5"/>
    <w:rsid w:val="00622091"/>
    <w:rsid w:val="006220FC"/>
    <w:rsid w:val="0062210E"/>
    <w:rsid w:val="006221CD"/>
    <w:rsid w:val="006221CF"/>
    <w:rsid w:val="00622259"/>
    <w:rsid w:val="006222F2"/>
    <w:rsid w:val="00622383"/>
    <w:rsid w:val="0062243A"/>
    <w:rsid w:val="00622584"/>
    <w:rsid w:val="006225BC"/>
    <w:rsid w:val="006226D8"/>
    <w:rsid w:val="00622734"/>
    <w:rsid w:val="006227C9"/>
    <w:rsid w:val="00622837"/>
    <w:rsid w:val="00622873"/>
    <w:rsid w:val="006228A0"/>
    <w:rsid w:val="0062299E"/>
    <w:rsid w:val="00622AB0"/>
    <w:rsid w:val="00622BB4"/>
    <w:rsid w:val="00622CA1"/>
    <w:rsid w:val="00622CBF"/>
    <w:rsid w:val="00623038"/>
    <w:rsid w:val="0062303B"/>
    <w:rsid w:val="006230CB"/>
    <w:rsid w:val="006232D7"/>
    <w:rsid w:val="00623412"/>
    <w:rsid w:val="0062346F"/>
    <w:rsid w:val="00623617"/>
    <w:rsid w:val="006236EE"/>
    <w:rsid w:val="00623765"/>
    <w:rsid w:val="00623950"/>
    <w:rsid w:val="006239BD"/>
    <w:rsid w:val="00623A1C"/>
    <w:rsid w:val="00623AD1"/>
    <w:rsid w:val="00623AD4"/>
    <w:rsid w:val="00623B06"/>
    <w:rsid w:val="00623C52"/>
    <w:rsid w:val="00623C76"/>
    <w:rsid w:val="00623CF5"/>
    <w:rsid w:val="00623E6F"/>
    <w:rsid w:val="00623E96"/>
    <w:rsid w:val="00623FBC"/>
    <w:rsid w:val="00624029"/>
    <w:rsid w:val="00624106"/>
    <w:rsid w:val="00624122"/>
    <w:rsid w:val="00624168"/>
    <w:rsid w:val="00624242"/>
    <w:rsid w:val="00624289"/>
    <w:rsid w:val="00624322"/>
    <w:rsid w:val="00624429"/>
    <w:rsid w:val="00624496"/>
    <w:rsid w:val="0062450D"/>
    <w:rsid w:val="00624535"/>
    <w:rsid w:val="0062460B"/>
    <w:rsid w:val="0062466D"/>
    <w:rsid w:val="00624689"/>
    <w:rsid w:val="0062479D"/>
    <w:rsid w:val="006247D9"/>
    <w:rsid w:val="006247EA"/>
    <w:rsid w:val="00624824"/>
    <w:rsid w:val="00624837"/>
    <w:rsid w:val="00624935"/>
    <w:rsid w:val="006249A3"/>
    <w:rsid w:val="00624B67"/>
    <w:rsid w:val="00624D25"/>
    <w:rsid w:val="00624E71"/>
    <w:rsid w:val="00624EA5"/>
    <w:rsid w:val="00624F87"/>
    <w:rsid w:val="00624FBB"/>
    <w:rsid w:val="0062507B"/>
    <w:rsid w:val="006250D6"/>
    <w:rsid w:val="006251CF"/>
    <w:rsid w:val="006252FE"/>
    <w:rsid w:val="00625359"/>
    <w:rsid w:val="00625423"/>
    <w:rsid w:val="006254B9"/>
    <w:rsid w:val="0062551A"/>
    <w:rsid w:val="0062563E"/>
    <w:rsid w:val="00625653"/>
    <w:rsid w:val="006256D7"/>
    <w:rsid w:val="00625701"/>
    <w:rsid w:val="00625745"/>
    <w:rsid w:val="00625959"/>
    <w:rsid w:val="00625A50"/>
    <w:rsid w:val="00625B5B"/>
    <w:rsid w:val="00625B67"/>
    <w:rsid w:val="00625B71"/>
    <w:rsid w:val="00625C94"/>
    <w:rsid w:val="00625DA6"/>
    <w:rsid w:val="00625DC9"/>
    <w:rsid w:val="00625E68"/>
    <w:rsid w:val="00625F11"/>
    <w:rsid w:val="00625FBA"/>
    <w:rsid w:val="00626071"/>
    <w:rsid w:val="00626151"/>
    <w:rsid w:val="0062619B"/>
    <w:rsid w:val="00626207"/>
    <w:rsid w:val="0062622B"/>
    <w:rsid w:val="006262EF"/>
    <w:rsid w:val="006263F5"/>
    <w:rsid w:val="00626402"/>
    <w:rsid w:val="00626582"/>
    <w:rsid w:val="00626590"/>
    <w:rsid w:val="006265CB"/>
    <w:rsid w:val="006265E5"/>
    <w:rsid w:val="006265F1"/>
    <w:rsid w:val="00626651"/>
    <w:rsid w:val="006266A7"/>
    <w:rsid w:val="00626758"/>
    <w:rsid w:val="00626835"/>
    <w:rsid w:val="006268EA"/>
    <w:rsid w:val="00626948"/>
    <w:rsid w:val="006269AD"/>
    <w:rsid w:val="006269E1"/>
    <w:rsid w:val="00626A55"/>
    <w:rsid w:val="00626AA6"/>
    <w:rsid w:val="00626AED"/>
    <w:rsid w:val="00626B02"/>
    <w:rsid w:val="00626B99"/>
    <w:rsid w:val="00626CA1"/>
    <w:rsid w:val="00626CD9"/>
    <w:rsid w:val="00626CE4"/>
    <w:rsid w:val="00626D51"/>
    <w:rsid w:val="00626DFA"/>
    <w:rsid w:val="00626E9E"/>
    <w:rsid w:val="00626F34"/>
    <w:rsid w:val="00627041"/>
    <w:rsid w:val="0062704F"/>
    <w:rsid w:val="0062709A"/>
    <w:rsid w:val="006270D1"/>
    <w:rsid w:val="0062712E"/>
    <w:rsid w:val="00627306"/>
    <w:rsid w:val="006273C2"/>
    <w:rsid w:val="006274CA"/>
    <w:rsid w:val="00627691"/>
    <w:rsid w:val="006277A3"/>
    <w:rsid w:val="0062789F"/>
    <w:rsid w:val="00627A59"/>
    <w:rsid w:val="00627AA1"/>
    <w:rsid w:val="00627C62"/>
    <w:rsid w:val="00627C7A"/>
    <w:rsid w:val="00627D94"/>
    <w:rsid w:val="00627E68"/>
    <w:rsid w:val="00630002"/>
    <w:rsid w:val="00630098"/>
    <w:rsid w:val="006300BC"/>
    <w:rsid w:val="00630117"/>
    <w:rsid w:val="00630366"/>
    <w:rsid w:val="0063041E"/>
    <w:rsid w:val="006304B0"/>
    <w:rsid w:val="00630517"/>
    <w:rsid w:val="0063057E"/>
    <w:rsid w:val="006305AC"/>
    <w:rsid w:val="006305BC"/>
    <w:rsid w:val="0063062C"/>
    <w:rsid w:val="0063067B"/>
    <w:rsid w:val="0063070D"/>
    <w:rsid w:val="00630929"/>
    <w:rsid w:val="00630B07"/>
    <w:rsid w:val="00630C5A"/>
    <w:rsid w:val="00630D4B"/>
    <w:rsid w:val="00630E31"/>
    <w:rsid w:val="00630F4B"/>
    <w:rsid w:val="00630F53"/>
    <w:rsid w:val="00630FC4"/>
    <w:rsid w:val="00630FF6"/>
    <w:rsid w:val="006310BF"/>
    <w:rsid w:val="006311A5"/>
    <w:rsid w:val="006311B5"/>
    <w:rsid w:val="006312CA"/>
    <w:rsid w:val="006313B0"/>
    <w:rsid w:val="006314E5"/>
    <w:rsid w:val="00631528"/>
    <w:rsid w:val="006316D4"/>
    <w:rsid w:val="0063171C"/>
    <w:rsid w:val="006317E2"/>
    <w:rsid w:val="00631B06"/>
    <w:rsid w:val="00631B31"/>
    <w:rsid w:val="00631B68"/>
    <w:rsid w:val="00631B78"/>
    <w:rsid w:val="00631BDA"/>
    <w:rsid w:val="00631BFA"/>
    <w:rsid w:val="00631CF5"/>
    <w:rsid w:val="00631D2C"/>
    <w:rsid w:val="00631D98"/>
    <w:rsid w:val="00631EAE"/>
    <w:rsid w:val="00631EBC"/>
    <w:rsid w:val="00631FCC"/>
    <w:rsid w:val="00632116"/>
    <w:rsid w:val="00632178"/>
    <w:rsid w:val="00632300"/>
    <w:rsid w:val="0063236E"/>
    <w:rsid w:val="0063237F"/>
    <w:rsid w:val="006323C3"/>
    <w:rsid w:val="0063244C"/>
    <w:rsid w:val="0063248C"/>
    <w:rsid w:val="006324B4"/>
    <w:rsid w:val="00632755"/>
    <w:rsid w:val="00632B7E"/>
    <w:rsid w:val="00632C56"/>
    <w:rsid w:val="00632CA9"/>
    <w:rsid w:val="00632F4B"/>
    <w:rsid w:val="00632FFA"/>
    <w:rsid w:val="00633047"/>
    <w:rsid w:val="0063304A"/>
    <w:rsid w:val="0063304B"/>
    <w:rsid w:val="006330BA"/>
    <w:rsid w:val="00633166"/>
    <w:rsid w:val="006331DA"/>
    <w:rsid w:val="006331DE"/>
    <w:rsid w:val="006332CE"/>
    <w:rsid w:val="006334C6"/>
    <w:rsid w:val="0063350A"/>
    <w:rsid w:val="00633529"/>
    <w:rsid w:val="006335BA"/>
    <w:rsid w:val="00633735"/>
    <w:rsid w:val="006337B0"/>
    <w:rsid w:val="00633854"/>
    <w:rsid w:val="006338E6"/>
    <w:rsid w:val="00633908"/>
    <w:rsid w:val="00633C05"/>
    <w:rsid w:val="00633C31"/>
    <w:rsid w:val="00633CBE"/>
    <w:rsid w:val="00633CBF"/>
    <w:rsid w:val="00633DC9"/>
    <w:rsid w:val="00633E5C"/>
    <w:rsid w:val="00633E99"/>
    <w:rsid w:val="00634019"/>
    <w:rsid w:val="0063404B"/>
    <w:rsid w:val="00634054"/>
    <w:rsid w:val="0063406A"/>
    <w:rsid w:val="0063407E"/>
    <w:rsid w:val="0063414E"/>
    <w:rsid w:val="00634155"/>
    <w:rsid w:val="00634331"/>
    <w:rsid w:val="0063439D"/>
    <w:rsid w:val="00634412"/>
    <w:rsid w:val="00634468"/>
    <w:rsid w:val="006344FB"/>
    <w:rsid w:val="0063468B"/>
    <w:rsid w:val="00634748"/>
    <w:rsid w:val="00634812"/>
    <w:rsid w:val="006348A4"/>
    <w:rsid w:val="00634913"/>
    <w:rsid w:val="006349E9"/>
    <w:rsid w:val="00634A7F"/>
    <w:rsid w:val="00634AD7"/>
    <w:rsid w:val="00634AEF"/>
    <w:rsid w:val="00634CA8"/>
    <w:rsid w:val="00634CE7"/>
    <w:rsid w:val="00634CEB"/>
    <w:rsid w:val="00634DA6"/>
    <w:rsid w:val="00634EB2"/>
    <w:rsid w:val="0063509C"/>
    <w:rsid w:val="006353E2"/>
    <w:rsid w:val="0063547A"/>
    <w:rsid w:val="0063551F"/>
    <w:rsid w:val="006355DE"/>
    <w:rsid w:val="006357AE"/>
    <w:rsid w:val="0063591E"/>
    <w:rsid w:val="00635928"/>
    <w:rsid w:val="006359A4"/>
    <w:rsid w:val="00635A34"/>
    <w:rsid w:val="00635A3F"/>
    <w:rsid w:val="00635ADE"/>
    <w:rsid w:val="00635B59"/>
    <w:rsid w:val="00635CD1"/>
    <w:rsid w:val="00635D3A"/>
    <w:rsid w:val="00635D67"/>
    <w:rsid w:val="00635DDB"/>
    <w:rsid w:val="00635DF8"/>
    <w:rsid w:val="00635E5B"/>
    <w:rsid w:val="00635FEB"/>
    <w:rsid w:val="0063618F"/>
    <w:rsid w:val="00636190"/>
    <w:rsid w:val="006361D6"/>
    <w:rsid w:val="006362C2"/>
    <w:rsid w:val="00636397"/>
    <w:rsid w:val="0063642F"/>
    <w:rsid w:val="0063650F"/>
    <w:rsid w:val="00636555"/>
    <w:rsid w:val="00636568"/>
    <w:rsid w:val="00636712"/>
    <w:rsid w:val="0063673E"/>
    <w:rsid w:val="0063677B"/>
    <w:rsid w:val="006369FA"/>
    <w:rsid w:val="00636BC0"/>
    <w:rsid w:val="00636C26"/>
    <w:rsid w:val="00636D15"/>
    <w:rsid w:val="00636D17"/>
    <w:rsid w:val="00636DA7"/>
    <w:rsid w:val="00636E9C"/>
    <w:rsid w:val="00636F71"/>
    <w:rsid w:val="00636F97"/>
    <w:rsid w:val="00636FC8"/>
    <w:rsid w:val="00637008"/>
    <w:rsid w:val="00637049"/>
    <w:rsid w:val="0063708E"/>
    <w:rsid w:val="0063714A"/>
    <w:rsid w:val="00637220"/>
    <w:rsid w:val="006372C5"/>
    <w:rsid w:val="006372EE"/>
    <w:rsid w:val="00637331"/>
    <w:rsid w:val="0063738D"/>
    <w:rsid w:val="0063749F"/>
    <w:rsid w:val="0063753B"/>
    <w:rsid w:val="00637604"/>
    <w:rsid w:val="0063763E"/>
    <w:rsid w:val="00637699"/>
    <w:rsid w:val="00637725"/>
    <w:rsid w:val="006377A4"/>
    <w:rsid w:val="00637852"/>
    <w:rsid w:val="00637B25"/>
    <w:rsid w:val="00637C13"/>
    <w:rsid w:val="00637C7B"/>
    <w:rsid w:val="00637E1A"/>
    <w:rsid w:val="00637E31"/>
    <w:rsid w:val="00637EDC"/>
    <w:rsid w:val="00637FAD"/>
    <w:rsid w:val="006401A5"/>
    <w:rsid w:val="0064029E"/>
    <w:rsid w:val="00640324"/>
    <w:rsid w:val="00640418"/>
    <w:rsid w:val="006404FC"/>
    <w:rsid w:val="00640560"/>
    <w:rsid w:val="006405CA"/>
    <w:rsid w:val="0064069C"/>
    <w:rsid w:val="006406F3"/>
    <w:rsid w:val="00640725"/>
    <w:rsid w:val="00640771"/>
    <w:rsid w:val="0064077E"/>
    <w:rsid w:val="006407E6"/>
    <w:rsid w:val="00640815"/>
    <w:rsid w:val="00640899"/>
    <w:rsid w:val="00640946"/>
    <w:rsid w:val="0064095B"/>
    <w:rsid w:val="00640A04"/>
    <w:rsid w:val="00640A17"/>
    <w:rsid w:val="00640B39"/>
    <w:rsid w:val="00640BB8"/>
    <w:rsid w:val="00640C77"/>
    <w:rsid w:val="00640CE0"/>
    <w:rsid w:val="00640D52"/>
    <w:rsid w:val="00640E5C"/>
    <w:rsid w:val="00640F10"/>
    <w:rsid w:val="00640FDE"/>
    <w:rsid w:val="0064101B"/>
    <w:rsid w:val="00641096"/>
    <w:rsid w:val="00641115"/>
    <w:rsid w:val="0064112F"/>
    <w:rsid w:val="006412D8"/>
    <w:rsid w:val="00641311"/>
    <w:rsid w:val="00641327"/>
    <w:rsid w:val="00641343"/>
    <w:rsid w:val="00641370"/>
    <w:rsid w:val="00641373"/>
    <w:rsid w:val="0064140E"/>
    <w:rsid w:val="00641410"/>
    <w:rsid w:val="00641442"/>
    <w:rsid w:val="006414D7"/>
    <w:rsid w:val="0064154E"/>
    <w:rsid w:val="00641709"/>
    <w:rsid w:val="00641716"/>
    <w:rsid w:val="00641753"/>
    <w:rsid w:val="00641807"/>
    <w:rsid w:val="006418AC"/>
    <w:rsid w:val="006418AD"/>
    <w:rsid w:val="006418D2"/>
    <w:rsid w:val="0064191A"/>
    <w:rsid w:val="0064197C"/>
    <w:rsid w:val="006419A1"/>
    <w:rsid w:val="00641A3D"/>
    <w:rsid w:val="00641A47"/>
    <w:rsid w:val="00641AC2"/>
    <w:rsid w:val="00641B0E"/>
    <w:rsid w:val="00641B9E"/>
    <w:rsid w:val="00641BAD"/>
    <w:rsid w:val="00641CBD"/>
    <w:rsid w:val="00641CFA"/>
    <w:rsid w:val="00641D95"/>
    <w:rsid w:val="00641D96"/>
    <w:rsid w:val="00641DFC"/>
    <w:rsid w:val="00641F26"/>
    <w:rsid w:val="00641F48"/>
    <w:rsid w:val="00641F6E"/>
    <w:rsid w:val="00641F93"/>
    <w:rsid w:val="0064201A"/>
    <w:rsid w:val="00642112"/>
    <w:rsid w:val="006421EC"/>
    <w:rsid w:val="00642221"/>
    <w:rsid w:val="0064226A"/>
    <w:rsid w:val="0064233F"/>
    <w:rsid w:val="0064245D"/>
    <w:rsid w:val="0064245E"/>
    <w:rsid w:val="00642597"/>
    <w:rsid w:val="006425E9"/>
    <w:rsid w:val="00642677"/>
    <w:rsid w:val="006426B8"/>
    <w:rsid w:val="00642873"/>
    <w:rsid w:val="00642996"/>
    <w:rsid w:val="00642A46"/>
    <w:rsid w:val="00642AC6"/>
    <w:rsid w:val="00642AE7"/>
    <w:rsid w:val="00642BCE"/>
    <w:rsid w:val="00642BE9"/>
    <w:rsid w:val="00642C15"/>
    <w:rsid w:val="00642CBB"/>
    <w:rsid w:val="00642E85"/>
    <w:rsid w:val="00642F27"/>
    <w:rsid w:val="00642F3C"/>
    <w:rsid w:val="00642F9D"/>
    <w:rsid w:val="00643028"/>
    <w:rsid w:val="0064307A"/>
    <w:rsid w:val="006431E4"/>
    <w:rsid w:val="00643213"/>
    <w:rsid w:val="0064326D"/>
    <w:rsid w:val="006432B2"/>
    <w:rsid w:val="00643306"/>
    <w:rsid w:val="0064336F"/>
    <w:rsid w:val="006435A5"/>
    <w:rsid w:val="00643912"/>
    <w:rsid w:val="0064395A"/>
    <w:rsid w:val="006439A6"/>
    <w:rsid w:val="00643A6A"/>
    <w:rsid w:val="00643AB0"/>
    <w:rsid w:val="00643ABF"/>
    <w:rsid w:val="00643AC9"/>
    <w:rsid w:val="00643B5A"/>
    <w:rsid w:val="00643CD2"/>
    <w:rsid w:val="00643EE7"/>
    <w:rsid w:val="00644192"/>
    <w:rsid w:val="0064430E"/>
    <w:rsid w:val="0064432A"/>
    <w:rsid w:val="0064433C"/>
    <w:rsid w:val="0064436B"/>
    <w:rsid w:val="0064438B"/>
    <w:rsid w:val="006443B1"/>
    <w:rsid w:val="00644412"/>
    <w:rsid w:val="006444C4"/>
    <w:rsid w:val="006444C7"/>
    <w:rsid w:val="0064459E"/>
    <w:rsid w:val="0064479B"/>
    <w:rsid w:val="006447D7"/>
    <w:rsid w:val="006448C8"/>
    <w:rsid w:val="0064490B"/>
    <w:rsid w:val="00644973"/>
    <w:rsid w:val="006449B7"/>
    <w:rsid w:val="00644A0A"/>
    <w:rsid w:val="00644A8F"/>
    <w:rsid w:val="00644ACB"/>
    <w:rsid w:val="00644AE5"/>
    <w:rsid w:val="00644BE3"/>
    <w:rsid w:val="00644C4B"/>
    <w:rsid w:val="00644DA4"/>
    <w:rsid w:val="00644DFD"/>
    <w:rsid w:val="00644E97"/>
    <w:rsid w:val="00644ED3"/>
    <w:rsid w:val="00644F05"/>
    <w:rsid w:val="00644F2C"/>
    <w:rsid w:val="00645199"/>
    <w:rsid w:val="00645281"/>
    <w:rsid w:val="006453BD"/>
    <w:rsid w:val="006453DE"/>
    <w:rsid w:val="00645550"/>
    <w:rsid w:val="0064574D"/>
    <w:rsid w:val="006457A1"/>
    <w:rsid w:val="00645872"/>
    <w:rsid w:val="006459FF"/>
    <w:rsid w:val="00645A62"/>
    <w:rsid w:val="00645ACA"/>
    <w:rsid w:val="00645C0E"/>
    <w:rsid w:val="00645C5A"/>
    <w:rsid w:val="00645CA6"/>
    <w:rsid w:val="00645DB9"/>
    <w:rsid w:val="00645F9E"/>
    <w:rsid w:val="00646075"/>
    <w:rsid w:val="00646134"/>
    <w:rsid w:val="00646291"/>
    <w:rsid w:val="006463F7"/>
    <w:rsid w:val="006464E2"/>
    <w:rsid w:val="0064654D"/>
    <w:rsid w:val="006465A2"/>
    <w:rsid w:val="006466D8"/>
    <w:rsid w:val="006468E1"/>
    <w:rsid w:val="00646999"/>
    <w:rsid w:val="006469FC"/>
    <w:rsid w:val="00646A55"/>
    <w:rsid w:val="00646A6B"/>
    <w:rsid w:val="00646CBF"/>
    <w:rsid w:val="00646CCB"/>
    <w:rsid w:val="00646D1E"/>
    <w:rsid w:val="00646D75"/>
    <w:rsid w:val="00646DF1"/>
    <w:rsid w:val="00646E02"/>
    <w:rsid w:val="00646E35"/>
    <w:rsid w:val="00646E36"/>
    <w:rsid w:val="00646FD5"/>
    <w:rsid w:val="00647006"/>
    <w:rsid w:val="00647022"/>
    <w:rsid w:val="00647154"/>
    <w:rsid w:val="0064722A"/>
    <w:rsid w:val="00647277"/>
    <w:rsid w:val="00647289"/>
    <w:rsid w:val="0064733A"/>
    <w:rsid w:val="0064748F"/>
    <w:rsid w:val="00647502"/>
    <w:rsid w:val="00647518"/>
    <w:rsid w:val="00647554"/>
    <w:rsid w:val="00647561"/>
    <w:rsid w:val="006475DE"/>
    <w:rsid w:val="0064761B"/>
    <w:rsid w:val="006476C0"/>
    <w:rsid w:val="0064770D"/>
    <w:rsid w:val="00647711"/>
    <w:rsid w:val="006477C9"/>
    <w:rsid w:val="006479AE"/>
    <w:rsid w:val="006479B4"/>
    <w:rsid w:val="00647A73"/>
    <w:rsid w:val="00647AC9"/>
    <w:rsid w:val="00647AFA"/>
    <w:rsid w:val="00647B99"/>
    <w:rsid w:val="00647C56"/>
    <w:rsid w:val="00647CF8"/>
    <w:rsid w:val="00647D12"/>
    <w:rsid w:val="00647DAA"/>
    <w:rsid w:val="00647E22"/>
    <w:rsid w:val="00647E6B"/>
    <w:rsid w:val="00647F7D"/>
    <w:rsid w:val="00650015"/>
    <w:rsid w:val="00650060"/>
    <w:rsid w:val="00650174"/>
    <w:rsid w:val="0065033C"/>
    <w:rsid w:val="00650654"/>
    <w:rsid w:val="006506C5"/>
    <w:rsid w:val="0065079D"/>
    <w:rsid w:val="006507EE"/>
    <w:rsid w:val="006508E6"/>
    <w:rsid w:val="006508EA"/>
    <w:rsid w:val="0065093C"/>
    <w:rsid w:val="00650A02"/>
    <w:rsid w:val="00650A93"/>
    <w:rsid w:val="00650B0D"/>
    <w:rsid w:val="00650BEB"/>
    <w:rsid w:val="00650BF6"/>
    <w:rsid w:val="00650D9C"/>
    <w:rsid w:val="00650DF3"/>
    <w:rsid w:val="00650E5D"/>
    <w:rsid w:val="00650F66"/>
    <w:rsid w:val="00650F67"/>
    <w:rsid w:val="00650FBD"/>
    <w:rsid w:val="00651277"/>
    <w:rsid w:val="006512CC"/>
    <w:rsid w:val="00651334"/>
    <w:rsid w:val="0065139B"/>
    <w:rsid w:val="006513E8"/>
    <w:rsid w:val="006513FF"/>
    <w:rsid w:val="00651447"/>
    <w:rsid w:val="0065144C"/>
    <w:rsid w:val="006515B7"/>
    <w:rsid w:val="006517FE"/>
    <w:rsid w:val="0065189D"/>
    <w:rsid w:val="0065192C"/>
    <w:rsid w:val="00651967"/>
    <w:rsid w:val="00651D2B"/>
    <w:rsid w:val="00651D51"/>
    <w:rsid w:val="00651D63"/>
    <w:rsid w:val="00651E07"/>
    <w:rsid w:val="00651E1B"/>
    <w:rsid w:val="00651F71"/>
    <w:rsid w:val="00652009"/>
    <w:rsid w:val="0065209F"/>
    <w:rsid w:val="006520C3"/>
    <w:rsid w:val="00652152"/>
    <w:rsid w:val="0065216F"/>
    <w:rsid w:val="006521B7"/>
    <w:rsid w:val="00652204"/>
    <w:rsid w:val="006522A7"/>
    <w:rsid w:val="006523C8"/>
    <w:rsid w:val="006525AB"/>
    <w:rsid w:val="006525D2"/>
    <w:rsid w:val="006525E1"/>
    <w:rsid w:val="00652614"/>
    <w:rsid w:val="006526A2"/>
    <w:rsid w:val="00652766"/>
    <w:rsid w:val="006527DE"/>
    <w:rsid w:val="00652901"/>
    <w:rsid w:val="006529C7"/>
    <w:rsid w:val="00652A7C"/>
    <w:rsid w:val="00652BCB"/>
    <w:rsid w:val="00652C1B"/>
    <w:rsid w:val="00652C87"/>
    <w:rsid w:val="00652E47"/>
    <w:rsid w:val="00652E50"/>
    <w:rsid w:val="00652ED9"/>
    <w:rsid w:val="00652FD5"/>
    <w:rsid w:val="006530E3"/>
    <w:rsid w:val="006531ED"/>
    <w:rsid w:val="0065324A"/>
    <w:rsid w:val="006532C2"/>
    <w:rsid w:val="00653306"/>
    <w:rsid w:val="00653334"/>
    <w:rsid w:val="00653408"/>
    <w:rsid w:val="00653448"/>
    <w:rsid w:val="0065350E"/>
    <w:rsid w:val="006535C6"/>
    <w:rsid w:val="0065360B"/>
    <w:rsid w:val="00653638"/>
    <w:rsid w:val="0065363D"/>
    <w:rsid w:val="0065366F"/>
    <w:rsid w:val="00653850"/>
    <w:rsid w:val="00653906"/>
    <w:rsid w:val="00653A0C"/>
    <w:rsid w:val="00653A18"/>
    <w:rsid w:val="00653A82"/>
    <w:rsid w:val="00653B41"/>
    <w:rsid w:val="00653B7E"/>
    <w:rsid w:val="00653B81"/>
    <w:rsid w:val="00653C29"/>
    <w:rsid w:val="00653C82"/>
    <w:rsid w:val="00653CAB"/>
    <w:rsid w:val="00653D73"/>
    <w:rsid w:val="00653DCE"/>
    <w:rsid w:val="0065402C"/>
    <w:rsid w:val="00654096"/>
    <w:rsid w:val="006540A0"/>
    <w:rsid w:val="0065422C"/>
    <w:rsid w:val="0065430D"/>
    <w:rsid w:val="006544CB"/>
    <w:rsid w:val="006545A9"/>
    <w:rsid w:val="00654622"/>
    <w:rsid w:val="00654657"/>
    <w:rsid w:val="0065466B"/>
    <w:rsid w:val="0065478A"/>
    <w:rsid w:val="006547BF"/>
    <w:rsid w:val="00654879"/>
    <w:rsid w:val="00654931"/>
    <w:rsid w:val="00654BD2"/>
    <w:rsid w:val="00654C27"/>
    <w:rsid w:val="00654E26"/>
    <w:rsid w:val="00654E2E"/>
    <w:rsid w:val="00654E7A"/>
    <w:rsid w:val="00654F9A"/>
    <w:rsid w:val="006551A4"/>
    <w:rsid w:val="006551C0"/>
    <w:rsid w:val="00655274"/>
    <w:rsid w:val="00655327"/>
    <w:rsid w:val="006553F8"/>
    <w:rsid w:val="00655423"/>
    <w:rsid w:val="006554F8"/>
    <w:rsid w:val="00655506"/>
    <w:rsid w:val="006555CA"/>
    <w:rsid w:val="00655630"/>
    <w:rsid w:val="00655711"/>
    <w:rsid w:val="006557DF"/>
    <w:rsid w:val="006557FF"/>
    <w:rsid w:val="0065599F"/>
    <w:rsid w:val="00655B25"/>
    <w:rsid w:val="00655B4A"/>
    <w:rsid w:val="00655B71"/>
    <w:rsid w:val="00655BDA"/>
    <w:rsid w:val="00655D8E"/>
    <w:rsid w:val="00655DCD"/>
    <w:rsid w:val="00655E39"/>
    <w:rsid w:val="00655E82"/>
    <w:rsid w:val="00655F00"/>
    <w:rsid w:val="00655FAA"/>
    <w:rsid w:val="00656031"/>
    <w:rsid w:val="00656152"/>
    <w:rsid w:val="00656187"/>
    <w:rsid w:val="0065628B"/>
    <w:rsid w:val="006562A1"/>
    <w:rsid w:val="006564A4"/>
    <w:rsid w:val="006565AC"/>
    <w:rsid w:val="0065660E"/>
    <w:rsid w:val="00656622"/>
    <w:rsid w:val="00656649"/>
    <w:rsid w:val="0065678A"/>
    <w:rsid w:val="0065688C"/>
    <w:rsid w:val="0065691D"/>
    <w:rsid w:val="00656975"/>
    <w:rsid w:val="00656987"/>
    <w:rsid w:val="00656A15"/>
    <w:rsid w:val="00656AC9"/>
    <w:rsid w:val="00656B5A"/>
    <w:rsid w:val="00656B61"/>
    <w:rsid w:val="00656B9A"/>
    <w:rsid w:val="00656BC8"/>
    <w:rsid w:val="00656C6E"/>
    <w:rsid w:val="00656CF2"/>
    <w:rsid w:val="00656ECB"/>
    <w:rsid w:val="00656F17"/>
    <w:rsid w:val="00656F7E"/>
    <w:rsid w:val="006570AB"/>
    <w:rsid w:val="00657123"/>
    <w:rsid w:val="00657198"/>
    <w:rsid w:val="006571C9"/>
    <w:rsid w:val="0065724E"/>
    <w:rsid w:val="0065746B"/>
    <w:rsid w:val="006574E9"/>
    <w:rsid w:val="0065760C"/>
    <w:rsid w:val="006578AE"/>
    <w:rsid w:val="00657998"/>
    <w:rsid w:val="00657AFC"/>
    <w:rsid w:val="00657C8C"/>
    <w:rsid w:val="00657CAB"/>
    <w:rsid w:val="00657DA9"/>
    <w:rsid w:val="00657F03"/>
    <w:rsid w:val="00657FA8"/>
    <w:rsid w:val="00657FAF"/>
    <w:rsid w:val="00657FBA"/>
    <w:rsid w:val="006600A8"/>
    <w:rsid w:val="0066011D"/>
    <w:rsid w:val="0066030F"/>
    <w:rsid w:val="006603AB"/>
    <w:rsid w:val="006604BD"/>
    <w:rsid w:val="00660555"/>
    <w:rsid w:val="00660632"/>
    <w:rsid w:val="006606BB"/>
    <w:rsid w:val="0066070B"/>
    <w:rsid w:val="00660805"/>
    <w:rsid w:val="0066088A"/>
    <w:rsid w:val="006608AF"/>
    <w:rsid w:val="006608C0"/>
    <w:rsid w:val="006608D9"/>
    <w:rsid w:val="00660906"/>
    <w:rsid w:val="00660942"/>
    <w:rsid w:val="00660979"/>
    <w:rsid w:val="00660989"/>
    <w:rsid w:val="00660B1D"/>
    <w:rsid w:val="00660B8A"/>
    <w:rsid w:val="00660BB5"/>
    <w:rsid w:val="00660BF2"/>
    <w:rsid w:val="00660D40"/>
    <w:rsid w:val="00660DC3"/>
    <w:rsid w:val="00660E03"/>
    <w:rsid w:val="00660E20"/>
    <w:rsid w:val="00660E30"/>
    <w:rsid w:val="00660EC0"/>
    <w:rsid w:val="00661008"/>
    <w:rsid w:val="0066109E"/>
    <w:rsid w:val="006610A6"/>
    <w:rsid w:val="00661155"/>
    <w:rsid w:val="00661171"/>
    <w:rsid w:val="00661192"/>
    <w:rsid w:val="0066120A"/>
    <w:rsid w:val="00661255"/>
    <w:rsid w:val="0066133A"/>
    <w:rsid w:val="00661365"/>
    <w:rsid w:val="006613C8"/>
    <w:rsid w:val="006613DA"/>
    <w:rsid w:val="006615AE"/>
    <w:rsid w:val="00661668"/>
    <w:rsid w:val="006619F9"/>
    <w:rsid w:val="006619FD"/>
    <w:rsid w:val="00661AD0"/>
    <w:rsid w:val="00661B32"/>
    <w:rsid w:val="00661BC9"/>
    <w:rsid w:val="00661BD2"/>
    <w:rsid w:val="00661CEF"/>
    <w:rsid w:val="00661D12"/>
    <w:rsid w:val="00661F2E"/>
    <w:rsid w:val="00661FCA"/>
    <w:rsid w:val="00662008"/>
    <w:rsid w:val="00662124"/>
    <w:rsid w:val="00662136"/>
    <w:rsid w:val="006621B4"/>
    <w:rsid w:val="0066227D"/>
    <w:rsid w:val="00662280"/>
    <w:rsid w:val="00662293"/>
    <w:rsid w:val="006622FE"/>
    <w:rsid w:val="00662388"/>
    <w:rsid w:val="006624A2"/>
    <w:rsid w:val="006624F1"/>
    <w:rsid w:val="006625D5"/>
    <w:rsid w:val="00662685"/>
    <w:rsid w:val="0066269A"/>
    <w:rsid w:val="006626E4"/>
    <w:rsid w:val="00662742"/>
    <w:rsid w:val="00662768"/>
    <w:rsid w:val="006627E8"/>
    <w:rsid w:val="006627FB"/>
    <w:rsid w:val="006628E0"/>
    <w:rsid w:val="00662A7D"/>
    <w:rsid w:val="00662B00"/>
    <w:rsid w:val="00662BBD"/>
    <w:rsid w:val="00662BDA"/>
    <w:rsid w:val="00662D7C"/>
    <w:rsid w:val="00662DDE"/>
    <w:rsid w:val="00662E2D"/>
    <w:rsid w:val="00662EFE"/>
    <w:rsid w:val="00662F64"/>
    <w:rsid w:val="00662FD9"/>
    <w:rsid w:val="00663094"/>
    <w:rsid w:val="006631A6"/>
    <w:rsid w:val="006632B3"/>
    <w:rsid w:val="0066344A"/>
    <w:rsid w:val="0066351E"/>
    <w:rsid w:val="00663532"/>
    <w:rsid w:val="006635D1"/>
    <w:rsid w:val="0066361B"/>
    <w:rsid w:val="00663656"/>
    <w:rsid w:val="006636A0"/>
    <w:rsid w:val="006636BE"/>
    <w:rsid w:val="006636EB"/>
    <w:rsid w:val="0066378C"/>
    <w:rsid w:val="006637A1"/>
    <w:rsid w:val="006638D9"/>
    <w:rsid w:val="006639AC"/>
    <w:rsid w:val="006639BB"/>
    <w:rsid w:val="00663A14"/>
    <w:rsid w:val="00663AD8"/>
    <w:rsid w:val="00663C1B"/>
    <w:rsid w:val="00663DD2"/>
    <w:rsid w:val="00663F51"/>
    <w:rsid w:val="00663F92"/>
    <w:rsid w:val="00663FFF"/>
    <w:rsid w:val="00664019"/>
    <w:rsid w:val="006640E2"/>
    <w:rsid w:val="006641A3"/>
    <w:rsid w:val="0066436A"/>
    <w:rsid w:val="006643AF"/>
    <w:rsid w:val="0066445C"/>
    <w:rsid w:val="006644B1"/>
    <w:rsid w:val="00664595"/>
    <w:rsid w:val="006646D0"/>
    <w:rsid w:val="00664744"/>
    <w:rsid w:val="006648B5"/>
    <w:rsid w:val="0066498F"/>
    <w:rsid w:val="006649B9"/>
    <w:rsid w:val="00664AD8"/>
    <w:rsid w:val="00664B47"/>
    <w:rsid w:val="00664BBB"/>
    <w:rsid w:val="00664BC4"/>
    <w:rsid w:val="00664C1E"/>
    <w:rsid w:val="00664C5D"/>
    <w:rsid w:val="00664D72"/>
    <w:rsid w:val="00664E2C"/>
    <w:rsid w:val="00664EB6"/>
    <w:rsid w:val="00664ECA"/>
    <w:rsid w:val="00664FE5"/>
    <w:rsid w:val="00665056"/>
    <w:rsid w:val="00665160"/>
    <w:rsid w:val="00665165"/>
    <w:rsid w:val="0066524D"/>
    <w:rsid w:val="006652CC"/>
    <w:rsid w:val="006652F2"/>
    <w:rsid w:val="006652FE"/>
    <w:rsid w:val="0066534A"/>
    <w:rsid w:val="0066540C"/>
    <w:rsid w:val="0066542C"/>
    <w:rsid w:val="00665587"/>
    <w:rsid w:val="006655A1"/>
    <w:rsid w:val="006655B0"/>
    <w:rsid w:val="006655C6"/>
    <w:rsid w:val="006655FD"/>
    <w:rsid w:val="006656AF"/>
    <w:rsid w:val="0066571A"/>
    <w:rsid w:val="006657B7"/>
    <w:rsid w:val="006657BA"/>
    <w:rsid w:val="00665866"/>
    <w:rsid w:val="006658A2"/>
    <w:rsid w:val="006659E5"/>
    <w:rsid w:val="00665B3C"/>
    <w:rsid w:val="00665B81"/>
    <w:rsid w:val="00665CCA"/>
    <w:rsid w:val="00665D2E"/>
    <w:rsid w:val="00665D41"/>
    <w:rsid w:val="00665D99"/>
    <w:rsid w:val="00665DCA"/>
    <w:rsid w:val="00665DD4"/>
    <w:rsid w:val="00665E12"/>
    <w:rsid w:val="00665E1B"/>
    <w:rsid w:val="00665EC6"/>
    <w:rsid w:val="00665F1A"/>
    <w:rsid w:val="00666047"/>
    <w:rsid w:val="0066628F"/>
    <w:rsid w:val="00666396"/>
    <w:rsid w:val="00666460"/>
    <w:rsid w:val="0066648E"/>
    <w:rsid w:val="0066649D"/>
    <w:rsid w:val="00666596"/>
    <w:rsid w:val="006665D5"/>
    <w:rsid w:val="0066661F"/>
    <w:rsid w:val="00666643"/>
    <w:rsid w:val="00666666"/>
    <w:rsid w:val="00666748"/>
    <w:rsid w:val="00666784"/>
    <w:rsid w:val="00666791"/>
    <w:rsid w:val="006667CC"/>
    <w:rsid w:val="006667E6"/>
    <w:rsid w:val="00666933"/>
    <w:rsid w:val="00666A4C"/>
    <w:rsid w:val="00666A5B"/>
    <w:rsid w:val="00666AEB"/>
    <w:rsid w:val="00666B1F"/>
    <w:rsid w:val="00666B29"/>
    <w:rsid w:val="00666B6B"/>
    <w:rsid w:val="00666BB4"/>
    <w:rsid w:val="00666BDB"/>
    <w:rsid w:val="00666BDF"/>
    <w:rsid w:val="00666D1C"/>
    <w:rsid w:val="00666DEE"/>
    <w:rsid w:val="00666E0B"/>
    <w:rsid w:val="00666E44"/>
    <w:rsid w:val="00666E73"/>
    <w:rsid w:val="00666F05"/>
    <w:rsid w:val="00666F73"/>
    <w:rsid w:val="0066702A"/>
    <w:rsid w:val="0066702D"/>
    <w:rsid w:val="00667127"/>
    <w:rsid w:val="00667128"/>
    <w:rsid w:val="00667225"/>
    <w:rsid w:val="00667261"/>
    <w:rsid w:val="0066728B"/>
    <w:rsid w:val="006672C4"/>
    <w:rsid w:val="0066730E"/>
    <w:rsid w:val="00667373"/>
    <w:rsid w:val="00667410"/>
    <w:rsid w:val="0066747D"/>
    <w:rsid w:val="0066749A"/>
    <w:rsid w:val="006674E0"/>
    <w:rsid w:val="00667520"/>
    <w:rsid w:val="0066758C"/>
    <w:rsid w:val="006675D7"/>
    <w:rsid w:val="006677BC"/>
    <w:rsid w:val="00667A43"/>
    <w:rsid w:val="00667B82"/>
    <w:rsid w:val="00667BBA"/>
    <w:rsid w:val="00667D81"/>
    <w:rsid w:val="00667E08"/>
    <w:rsid w:val="00667FAE"/>
    <w:rsid w:val="00667FCF"/>
    <w:rsid w:val="006700DF"/>
    <w:rsid w:val="006700F2"/>
    <w:rsid w:val="00670317"/>
    <w:rsid w:val="0067034C"/>
    <w:rsid w:val="00670399"/>
    <w:rsid w:val="006703FE"/>
    <w:rsid w:val="0067040D"/>
    <w:rsid w:val="00670460"/>
    <w:rsid w:val="0067064E"/>
    <w:rsid w:val="0067069B"/>
    <w:rsid w:val="006706BB"/>
    <w:rsid w:val="006707C8"/>
    <w:rsid w:val="00670820"/>
    <w:rsid w:val="00670839"/>
    <w:rsid w:val="00670869"/>
    <w:rsid w:val="0067092D"/>
    <w:rsid w:val="00670950"/>
    <w:rsid w:val="006709D3"/>
    <w:rsid w:val="00670A8B"/>
    <w:rsid w:val="00670AC8"/>
    <w:rsid w:val="00670B90"/>
    <w:rsid w:val="00670BE0"/>
    <w:rsid w:val="00670CED"/>
    <w:rsid w:val="00670D3B"/>
    <w:rsid w:val="00670E0D"/>
    <w:rsid w:val="00670E5B"/>
    <w:rsid w:val="00670EDD"/>
    <w:rsid w:val="00670F41"/>
    <w:rsid w:val="00671004"/>
    <w:rsid w:val="00671090"/>
    <w:rsid w:val="006710DF"/>
    <w:rsid w:val="0067114A"/>
    <w:rsid w:val="00671285"/>
    <w:rsid w:val="006712E4"/>
    <w:rsid w:val="00671383"/>
    <w:rsid w:val="006714FC"/>
    <w:rsid w:val="00671553"/>
    <w:rsid w:val="006716B8"/>
    <w:rsid w:val="006717D4"/>
    <w:rsid w:val="006717EC"/>
    <w:rsid w:val="0067189A"/>
    <w:rsid w:val="0067190E"/>
    <w:rsid w:val="006719F1"/>
    <w:rsid w:val="00671D45"/>
    <w:rsid w:val="00671DDC"/>
    <w:rsid w:val="00671E78"/>
    <w:rsid w:val="00671E8F"/>
    <w:rsid w:val="00671EEC"/>
    <w:rsid w:val="00672292"/>
    <w:rsid w:val="006722DD"/>
    <w:rsid w:val="00672401"/>
    <w:rsid w:val="00672449"/>
    <w:rsid w:val="00672704"/>
    <w:rsid w:val="006727DD"/>
    <w:rsid w:val="00672820"/>
    <w:rsid w:val="00672875"/>
    <w:rsid w:val="00672987"/>
    <w:rsid w:val="006729AC"/>
    <w:rsid w:val="00672A73"/>
    <w:rsid w:val="00672AB2"/>
    <w:rsid w:val="00672B0C"/>
    <w:rsid w:val="00672BBF"/>
    <w:rsid w:val="00672C65"/>
    <w:rsid w:val="00672CB7"/>
    <w:rsid w:val="00672D65"/>
    <w:rsid w:val="00672D73"/>
    <w:rsid w:val="00672E11"/>
    <w:rsid w:val="00672EC4"/>
    <w:rsid w:val="00672F69"/>
    <w:rsid w:val="00673019"/>
    <w:rsid w:val="00673072"/>
    <w:rsid w:val="00673122"/>
    <w:rsid w:val="006731FC"/>
    <w:rsid w:val="00673418"/>
    <w:rsid w:val="00673424"/>
    <w:rsid w:val="00673450"/>
    <w:rsid w:val="0067349F"/>
    <w:rsid w:val="006734BB"/>
    <w:rsid w:val="00673558"/>
    <w:rsid w:val="00673576"/>
    <w:rsid w:val="00673764"/>
    <w:rsid w:val="006737BD"/>
    <w:rsid w:val="006737E1"/>
    <w:rsid w:val="00673A43"/>
    <w:rsid w:val="00673AAE"/>
    <w:rsid w:val="00673CAD"/>
    <w:rsid w:val="00673D00"/>
    <w:rsid w:val="00673DA1"/>
    <w:rsid w:val="00673E2A"/>
    <w:rsid w:val="00673E89"/>
    <w:rsid w:val="00673FB4"/>
    <w:rsid w:val="0067407D"/>
    <w:rsid w:val="00674162"/>
    <w:rsid w:val="00674246"/>
    <w:rsid w:val="00674298"/>
    <w:rsid w:val="00674313"/>
    <w:rsid w:val="00674544"/>
    <w:rsid w:val="006745CF"/>
    <w:rsid w:val="00674633"/>
    <w:rsid w:val="006746CC"/>
    <w:rsid w:val="006746EF"/>
    <w:rsid w:val="006746F1"/>
    <w:rsid w:val="006746F9"/>
    <w:rsid w:val="00674742"/>
    <w:rsid w:val="006747AF"/>
    <w:rsid w:val="0067494B"/>
    <w:rsid w:val="00674977"/>
    <w:rsid w:val="00674994"/>
    <w:rsid w:val="00674B0D"/>
    <w:rsid w:val="00674B25"/>
    <w:rsid w:val="00674B28"/>
    <w:rsid w:val="00674CB4"/>
    <w:rsid w:val="00674D0E"/>
    <w:rsid w:val="00674D20"/>
    <w:rsid w:val="00674D7F"/>
    <w:rsid w:val="00674E22"/>
    <w:rsid w:val="00674EB4"/>
    <w:rsid w:val="00674F0D"/>
    <w:rsid w:val="00674F3B"/>
    <w:rsid w:val="00675041"/>
    <w:rsid w:val="006750E2"/>
    <w:rsid w:val="006750E7"/>
    <w:rsid w:val="0067541D"/>
    <w:rsid w:val="0067556D"/>
    <w:rsid w:val="00675660"/>
    <w:rsid w:val="006757B1"/>
    <w:rsid w:val="00675845"/>
    <w:rsid w:val="0067584D"/>
    <w:rsid w:val="0067598B"/>
    <w:rsid w:val="00675A53"/>
    <w:rsid w:val="00675AE3"/>
    <w:rsid w:val="00675B00"/>
    <w:rsid w:val="00675B19"/>
    <w:rsid w:val="00675B5E"/>
    <w:rsid w:val="00675BBE"/>
    <w:rsid w:val="00675BD8"/>
    <w:rsid w:val="00675BDC"/>
    <w:rsid w:val="00675C1F"/>
    <w:rsid w:val="00675CF5"/>
    <w:rsid w:val="00675EB6"/>
    <w:rsid w:val="0067606D"/>
    <w:rsid w:val="00676096"/>
    <w:rsid w:val="006761FD"/>
    <w:rsid w:val="0067625D"/>
    <w:rsid w:val="0067626A"/>
    <w:rsid w:val="0067639D"/>
    <w:rsid w:val="00676466"/>
    <w:rsid w:val="0067648F"/>
    <w:rsid w:val="00676563"/>
    <w:rsid w:val="00676586"/>
    <w:rsid w:val="006769C2"/>
    <w:rsid w:val="00676AD8"/>
    <w:rsid w:val="00676B44"/>
    <w:rsid w:val="00676B78"/>
    <w:rsid w:val="00676BB2"/>
    <w:rsid w:val="00676CF7"/>
    <w:rsid w:val="00676D2F"/>
    <w:rsid w:val="00676D78"/>
    <w:rsid w:val="00676D9F"/>
    <w:rsid w:val="00676E9F"/>
    <w:rsid w:val="00676EA9"/>
    <w:rsid w:val="00676F08"/>
    <w:rsid w:val="00676F96"/>
    <w:rsid w:val="006770E1"/>
    <w:rsid w:val="00677351"/>
    <w:rsid w:val="00677377"/>
    <w:rsid w:val="0067750E"/>
    <w:rsid w:val="00677581"/>
    <w:rsid w:val="00677641"/>
    <w:rsid w:val="00677778"/>
    <w:rsid w:val="006778BF"/>
    <w:rsid w:val="00677913"/>
    <w:rsid w:val="006779B9"/>
    <w:rsid w:val="006779F8"/>
    <w:rsid w:val="00677BAF"/>
    <w:rsid w:val="00677BF4"/>
    <w:rsid w:val="00677E13"/>
    <w:rsid w:val="00677ED4"/>
    <w:rsid w:val="00677EE8"/>
    <w:rsid w:val="00677FC7"/>
    <w:rsid w:val="00677FD5"/>
    <w:rsid w:val="0068004D"/>
    <w:rsid w:val="006800EA"/>
    <w:rsid w:val="00680105"/>
    <w:rsid w:val="006801EF"/>
    <w:rsid w:val="00680266"/>
    <w:rsid w:val="006803E9"/>
    <w:rsid w:val="0068044F"/>
    <w:rsid w:val="00680477"/>
    <w:rsid w:val="006804B4"/>
    <w:rsid w:val="00680522"/>
    <w:rsid w:val="00680612"/>
    <w:rsid w:val="0068066B"/>
    <w:rsid w:val="006806A3"/>
    <w:rsid w:val="0068079E"/>
    <w:rsid w:val="006807A9"/>
    <w:rsid w:val="006808D9"/>
    <w:rsid w:val="006808DE"/>
    <w:rsid w:val="00680AB9"/>
    <w:rsid w:val="00680C87"/>
    <w:rsid w:val="00680D52"/>
    <w:rsid w:val="00680D95"/>
    <w:rsid w:val="00680DE7"/>
    <w:rsid w:val="00680E6A"/>
    <w:rsid w:val="00680ED6"/>
    <w:rsid w:val="00680F49"/>
    <w:rsid w:val="006810C9"/>
    <w:rsid w:val="006810F7"/>
    <w:rsid w:val="00681178"/>
    <w:rsid w:val="0068123C"/>
    <w:rsid w:val="0068126F"/>
    <w:rsid w:val="006815A7"/>
    <w:rsid w:val="00681608"/>
    <w:rsid w:val="0068167B"/>
    <w:rsid w:val="0068182B"/>
    <w:rsid w:val="0068183E"/>
    <w:rsid w:val="00681987"/>
    <w:rsid w:val="00681B3D"/>
    <w:rsid w:val="00681B78"/>
    <w:rsid w:val="00681D12"/>
    <w:rsid w:val="00681DA4"/>
    <w:rsid w:val="00681F6A"/>
    <w:rsid w:val="00681FB3"/>
    <w:rsid w:val="0068202B"/>
    <w:rsid w:val="00682071"/>
    <w:rsid w:val="0068207E"/>
    <w:rsid w:val="006820C0"/>
    <w:rsid w:val="00682268"/>
    <w:rsid w:val="0068226E"/>
    <w:rsid w:val="006823BA"/>
    <w:rsid w:val="006823E2"/>
    <w:rsid w:val="00682417"/>
    <w:rsid w:val="0068241D"/>
    <w:rsid w:val="00682605"/>
    <w:rsid w:val="00682614"/>
    <w:rsid w:val="00682631"/>
    <w:rsid w:val="00682743"/>
    <w:rsid w:val="006827BC"/>
    <w:rsid w:val="006827D4"/>
    <w:rsid w:val="006827EA"/>
    <w:rsid w:val="00682903"/>
    <w:rsid w:val="00682B0D"/>
    <w:rsid w:val="00682C75"/>
    <w:rsid w:val="00682CE1"/>
    <w:rsid w:val="00682DCA"/>
    <w:rsid w:val="00682E7F"/>
    <w:rsid w:val="00682EF9"/>
    <w:rsid w:val="00682F11"/>
    <w:rsid w:val="0068309D"/>
    <w:rsid w:val="00683208"/>
    <w:rsid w:val="0068325A"/>
    <w:rsid w:val="006832D5"/>
    <w:rsid w:val="006832EA"/>
    <w:rsid w:val="00683301"/>
    <w:rsid w:val="00683399"/>
    <w:rsid w:val="0068350F"/>
    <w:rsid w:val="006836F5"/>
    <w:rsid w:val="00683773"/>
    <w:rsid w:val="006837A8"/>
    <w:rsid w:val="006837DC"/>
    <w:rsid w:val="00683971"/>
    <w:rsid w:val="00683A04"/>
    <w:rsid w:val="00683A23"/>
    <w:rsid w:val="00683A44"/>
    <w:rsid w:val="00683A63"/>
    <w:rsid w:val="00683A9D"/>
    <w:rsid w:val="00683BAF"/>
    <w:rsid w:val="00683CB0"/>
    <w:rsid w:val="00683D3A"/>
    <w:rsid w:val="00683D46"/>
    <w:rsid w:val="00683DB2"/>
    <w:rsid w:val="00683E50"/>
    <w:rsid w:val="00683E86"/>
    <w:rsid w:val="00684022"/>
    <w:rsid w:val="00684025"/>
    <w:rsid w:val="00684029"/>
    <w:rsid w:val="0068405D"/>
    <w:rsid w:val="00684079"/>
    <w:rsid w:val="00684084"/>
    <w:rsid w:val="0068420C"/>
    <w:rsid w:val="0068431E"/>
    <w:rsid w:val="006843CE"/>
    <w:rsid w:val="00684442"/>
    <w:rsid w:val="006844A8"/>
    <w:rsid w:val="006844FC"/>
    <w:rsid w:val="00684576"/>
    <w:rsid w:val="00684672"/>
    <w:rsid w:val="00684778"/>
    <w:rsid w:val="006847D1"/>
    <w:rsid w:val="00684835"/>
    <w:rsid w:val="006848BB"/>
    <w:rsid w:val="00684929"/>
    <w:rsid w:val="00684957"/>
    <w:rsid w:val="00684968"/>
    <w:rsid w:val="006849AB"/>
    <w:rsid w:val="006849DB"/>
    <w:rsid w:val="00684B05"/>
    <w:rsid w:val="00684BA7"/>
    <w:rsid w:val="00684BE6"/>
    <w:rsid w:val="00684D29"/>
    <w:rsid w:val="00684E2A"/>
    <w:rsid w:val="00684F7B"/>
    <w:rsid w:val="00684FE0"/>
    <w:rsid w:val="00685012"/>
    <w:rsid w:val="00685146"/>
    <w:rsid w:val="00685149"/>
    <w:rsid w:val="006851C9"/>
    <w:rsid w:val="00685219"/>
    <w:rsid w:val="006854C8"/>
    <w:rsid w:val="006854DC"/>
    <w:rsid w:val="006855FD"/>
    <w:rsid w:val="00685627"/>
    <w:rsid w:val="0068574A"/>
    <w:rsid w:val="0068577B"/>
    <w:rsid w:val="00685793"/>
    <w:rsid w:val="006857A4"/>
    <w:rsid w:val="0068583E"/>
    <w:rsid w:val="00685943"/>
    <w:rsid w:val="0068595E"/>
    <w:rsid w:val="006859CF"/>
    <w:rsid w:val="006859F6"/>
    <w:rsid w:val="006859F8"/>
    <w:rsid w:val="00685A05"/>
    <w:rsid w:val="00685A1B"/>
    <w:rsid w:val="00685A24"/>
    <w:rsid w:val="00685C54"/>
    <w:rsid w:val="00685D22"/>
    <w:rsid w:val="00685D71"/>
    <w:rsid w:val="00685E46"/>
    <w:rsid w:val="00685E68"/>
    <w:rsid w:val="00685EFD"/>
    <w:rsid w:val="00685F10"/>
    <w:rsid w:val="00685F30"/>
    <w:rsid w:val="00685FE9"/>
    <w:rsid w:val="00686074"/>
    <w:rsid w:val="0068612D"/>
    <w:rsid w:val="006861AA"/>
    <w:rsid w:val="00686244"/>
    <w:rsid w:val="00686299"/>
    <w:rsid w:val="00686322"/>
    <w:rsid w:val="0068639E"/>
    <w:rsid w:val="006863B6"/>
    <w:rsid w:val="006863C2"/>
    <w:rsid w:val="00686411"/>
    <w:rsid w:val="00686429"/>
    <w:rsid w:val="00686589"/>
    <w:rsid w:val="00686598"/>
    <w:rsid w:val="00686609"/>
    <w:rsid w:val="0068665B"/>
    <w:rsid w:val="0068667D"/>
    <w:rsid w:val="00686823"/>
    <w:rsid w:val="00686825"/>
    <w:rsid w:val="0068688E"/>
    <w:rsid w:val="00686891"/>
    <w:rsid w:val="00686A37"/>
    <w:rsid w:val="00686B95"/>
    <w:rsid w:val="00686C71"/>
    <w:rsid w:val="00686CDF"/>
    <w:rsid w:val="00686E44"/>
    <w:rsid w:val="00686E6D"/>
    <w:rsid w:val="00686F08"/>
    <w:rsid w:val="00686F2D"/>
    <w:rsid w:val="00687039"/>
    <w:rsid w:val="006870BF"/>
    <w:rsid w:val="00687196"/>
    <w:rsid w:val="006871EB"/>
    <w:rsid w:val="0068722B"/>
    <w:rsid w:val="0068726B"/>
    <w:rsid w:val="0068727A"/>
    <w:rsid w:val="0068745D"/>
    <w:rsid w:val="006874C0"/>
    <w:rsid w:val="006876EC"/>
    <w:rsid w:val="006876EE"/>
    <w:rsid w:val="00687759"/>
    <w:rsid w:val="00687A3F"/>
    <w:rsid w:val="00687B24"/>
    <w:rsid w:val="00687CF9"/>
    <w:rsid w:val="00687D51"/>
    <w:rsid w:val="00687ED7"/>
    <w:rsid w:val="00687F91"/>
    <w:rsid w:val="006900A9"/>
    <w:rsid w:val="00690531"/>
    <w:rsid w:val="00690538"/>
    <w:rsid w:val="00690578"/>
    <w:rsid w:val="00690628"/>
    <w:rsid w:val="00690761"/>
    <w:rsid w:val="00690777"/>
    <w:rsid w:val="0069088D"/>
    <w:rsid w:val="006909AC"/>
    <w:rsid w:val="006909D6"/>
    <w:rsid w:val="00690A6B"/>
    <w:rsid w:val="00690AF3"/>
    <w:rsid w:val="00690C80"/>
    <w:rsid w:val="00690D67"/>
    <w:rsid w:val="00690DA1"/>
    <w:rsid w:val="00690DF0"/>
    <w:rsid w:val="0069106D"/>
    <w:rsid w:val="006912C0"/>
    <w:rsid w:val="006912E1"/>
    <w:rsid w:val="006913F4"/>
    <w:rsid w:val="00691411"/>
    <w:rsid w:val="006914AA"/>
    <w:rsid w:val="006914C5"/>
    <w:rsid w:val="00691549"/>
    <w:rsid w:val="00691558"/>
    <w:rsid w:val="00691672"/>
    <w:rsid w:val="006916BE"/>
    <w:rsid w:val="006916C0"/>
    <w:rsid w:val="00691834"/>
    <w:rsid w:val="00691961"/>
    <w:rsid w:val="006919BF"/>
    <w:rsid w:val="00691A72"/>
    <w:rsid w:val="00691AB8"/>
    <w:rsid w:val="00691AD0"/>
    <w:rsid w:val="00691C2C"/>
    <w:rsid w:val="00691E84"/>
    <w:rsid w:val="00691F4A"/>
    <w:rsid w:val="00691FFD"/>
    <w:rsid w:val="00692049"/>
    <w:rsid w:val="0069209C"/>
    <w:rsid w:val="006920E6"/>
    <w:rsid w:val="006921B7"/>
    <w:rsid w:val="006922A0"/>
    <w:rsid w:val="00692323"/>
    <w:rsid w:val="00692339"/>
    <w:rsid w:val="006923B2"/>
    <w:rsid w:val="006923DD"/>
    <w:rsid w:val="0069259D"/>
    <w:rsid w:val="00692639"/>
    <w:rsid w:val="0069269D"/>
    <w:rsid w:val="0069293E"/>
    <w:rsid w:val="00692A95"/>
    <w:rsid w:val="00692AB8"/>
    <w:rsid w:val="00692ABA"/>
    <w:rsid w:val="00692B67"/>
    <w:rsid w:val="00692C30"/>
    <w:rsid w:val="00692C80"/>
    <w:rsid w:val="00692E7A"/>
    <w:rsid w:val="00692E7C"/>
    <w:rsid w:val="00692EE3"/>
    <w:rsid w:val="00692F5C"/>
    <w:rsid w:val="00693014"/>
    <w:rsid w:val="00693076"/>
    <w:rsid w:val="00693213"/>
    <w:rsid w:val="00693214"/>
    <w:rsid w:val="00693373"/>
    <w:rsid w:val="00693470"/>
    <w:rsid w:val="0069352C"/>
    <w:rsid w:val="006935B3"/>
    <w:rsid w:val="00693681"/>
    <w:rsid w:val="006936E4"/>
    <w:rsid w:val="00693750"/>
    <w:rsid w:val="0069376E"/>
    <w:rsid w:val="006937CF"/>
    <w:rsid w:val="0069384A"/>
    <w:rsid w:val="00693861"/>
    <w:rsid w:val="00693966"/>
    <w:rsid w:val="00693AC6"/>
    <w:rsid w:val="00693B88"/>
    <w:rsid w:val="00693C13"/>
    <w:rsid w:val="00693CA2"/>
    <w:rsid w:val="00693CD1"/>
    <w:rsid w:val="00693CD6"/>
    <w:rsid w:val="00693D81"/>
    <w:rsid w:val="00693D8C"/>
    <w:rsid w:val="00693F57"/>
    <w:rsid w:val="00693FA4"/>
    <w:rsid w:val="006940E2"/>
    <w:rsid w:val="00694174"/>
    <w:rsid w:val="00694236"/>
    <w:rsid w:val="006942DF"/>
    <w:rsid w:val="006943AD"/>
    <w:rsid w:val="006943AE"/>
    <w:rsid w:val="00694464"/>
    <w:rsid w:val="00694503"/>
    <w:rsid w:val="006945F5"/>
    <w:rsid w:val="006946B9"/>
    <w:rsid w:val="006948FC"/>
    <w:rsid w:val="006949B5"/>
    <w:rsid w:val="00694AFE"/>
    <w:rsid w:val="00694CD5"/>
    <w:rsid w:val="00694E61"/>
    <w:rsid w:val="00694E81"/>
    <w:rsid w:val="0069505B"/>
    <w:rsid w:val="00695077"/>
    <w:rsid w:val="00695093"/>
    <w:rsid w:val="0069509F"/>
    <w:rsid w:val="006950B2"/>
    <w:rsid w:val="0069519E"/>
    <w:rsid w:val="006954F9"/>
    <w:rsid w:val="0069553C"/>
    <w:rsid w:val="006955C1"/>
    <w:rsid w:val="00695600"/>
    <w:rsid w:val="00695659"/>
    <w:rsid w:val="00695959"/>
    <w:rsid w:val="00695987"/>
    <w:rsid w:val="006959A7"/>
    <w:rsid w:val="006959FF"/>
    <w:rsid w:val="00695A54"/>
    <w:rsid w:val="00695B5B"/>
    <w:rsid w:val="00695BDD"/>
    <w:rsid w:val="00695C3E"/>
    <w:rsid w:val="00695C4D"/>
    <w:rsid w:val="00695C92"/>
    <w:rsid w:val="00695D88"/>
    <w:rsid w:val="00695E79"/>
    <w:rsid w:val="00695EC3"/>
    <w:rsid w:val="00695F0F"/>
    <w:rsid w:val="00696027"/>
    <w:rsid w:val="00696202"/>
    <w:rsid w:val="00696235"/>
    <w:rsid w:val="006962CC"/>
    <w:rsid w:val="00696505"/>
    <w:rsid w:val="00696512"/>
    <w:rsid w:val="00696574"/>
    <w:rsid w:val="006965C7"/>
    <w:rsid w:val="0069661A"/>
    <w:rsid w:val="0069669A"/>
    <w:rsid w:val="0069670F"/>
    <w:rsid w:val="006967BC"/>
    <w:rsid w:val="006967FE"/>
    <w:rsid w:val="00696819"/>
    <w:rsid w:val="00696878"/>
    <w:rsid w:val="006968AA"/>
    <w:rsid w:val="0069690F"/>
    <w:rsid w:val="00696953"/>
    <w:rsid w:val="00696A67"/>
    <w:rsid w:val="00696AA2"/>
    <w:rsid w:val="00696AE1"/>
    <w:rsid w:val="00696B30"/>
    <w:rsid w:val="00696B5A"/>
    <w:rsid w:val="00696B6F"/>
    <w:rsid w:val="00696C80"/>
    <w:rsid w:val="00696CCF"/>
    <w:rsid w:val="00696DA9"/>
    <w:rsid w:val="00696E0B"/>
    <w:rsid w:val="00696E48"/>
    <w:rsid w:val="00696EAB"/>
    <w:rsid w:val="00696F64"/>
    <w:rsid w:val="00696FD8"/>
    <w:rsid w:val="00697333"/>
    <w:rsid w:val="006973A2"/>
    <w:rsid w:val="006973AA"/>
    <w:rsid w:val="006973B7"/>
    <w:rsid w:val="00697447"/>
    <w:rsid w:val="0069748C"/>
    <w:rsid w:val="006974A6"/>
    <w:rsid w:val="006976BF"/>
    <w:rsid w:val="006977D6"/>
    <w:rsid w:val="006979A0"/>
    <w:rsid w:val="00697A11"/>
    <w:rsid w:val="00697A29"/>
    <w:rsid w:val="00697A5E"/>
    <w:rsid w:val="00697ACB"/>
    <w:rsid w:val="00697B7E"/>
    <w:rsid w:val="00697BF7"/>
    <w:rsid w:val="00697C22"/>
    <w:rsid w:val="00697CC2"/>
    <w:rsid w:val="00697D47"/>
    <w:rsid w:val="00697DF0"/>
    <w:rsid w:val="00697F76"/>
    <w:rsid w:val="00697FA2"/>
    <w:rsid w:val="006A0006"/>
    <w:rsid w:val="006A003C"/>
    <w:rsid w:val="006A0057"/>
    <w:rsid w:val="006A023D"/>
    <w:rsid w:val="006A0295"/>
    <w:rsid w:val="006A02D4"/>
    <w:rsid w:val="006A02DA"/>
    <w:rsid w:val="006A0368"/>
    <w:rsid w:val="006A03D8"/>
    <w:rsid w:val="006A043F"/>
    <w:rsid w:val="006A0525"/>
    <w:rsid w:val="006A05E0"/>
    <w:rsid w:val="006A0669"/>
    <w:rsid w:val="006A066D"/>
    <w:rsid w:val="006A068B"/>
    <w:rsid w:val="006A07FE"/>
    <w:rsid w:val="006A08B3"/>
    <w:rsid w:val="006A0906"/>
    <w:rsid w:val="006A099C"/>
    <w:rsid w:val="006A0A4C"/>
    <w:rsid w:val="006A0B58"/>
    <w:rsid w:val="006A0C16"/>
    <w:rsid w:val="006A0C6D"/>
    <w:rsid w:val="006A0CB3"/>
    <w:rsid w:val="006A0CE4"/>
    <w:rsid w:val="006A0D9A"/>
    <w:rsid w:val="006A0F72"/>
    <w:rsid w:val="006A109B"/>
    <w:rsid w:val="006A1159"/>
    <w:rsid w:val="006A1347"/>
    <w:rsid w:val="006A1485"/>
    <w:rsid w:val="006A1578"/>
    <w:rsid w:val="006A1622"/>
    <w:rsid w:val="006A168E"/>
    <w:rsid w:val="006A16AF"/>
    <w:rsid w:val="006A16DD"/>
    <w:rsid w:val="006A1848"/>
    <w:rsid w:val="006A18A2"/>
    <w:rsid w:val="006A19EE"/>
    <w:rsid w:val="006A1C63"/>
    <w:rsid w:val="006A1C7A"/>
    <w:rsid w:val="006A1C9E"/>
    <w:rsid w:val="006A1D2A"/>
    <w:rsid w:val="006A1D49"/>
    <w:rsid w:val="006A1D7F"/>
    <w:rsid w:val="006A1DA4"/>
    <w:rsid w:val="006A1E4A"/>
    <w:rsid w:val="006A1ECC"/>
    <w:rsid w:val="006A1F0E"/>
    <w:rsid w:val="006A211A"/>
    <w:rsid w:val="006A226D"/>
    <w:rsid w:val="006A22EC"/>
    <w:rsid w:val="006A22F9"/>
    <w:rsid w:val="006A2382"/>
    <w:rsid w:val="006A23F9"/>
    <w:rsid w:val="006A250E"/>
    <w:rsid w:val="006A25C4"/>
    <w:rsid w:val="006A2886"/>
    <w:rsid w:val="006A29D7"/>
    <w:rsid w:val="006A2B19"/>
    <w:rsid w:val="006A2B6A"/>
    <w:rsid w:val="006A2BC1"/>
    <w:rsid w:val="006A2CB0"/>
    <w:rsid w:val="006A2DAF"/>
    <w:rsid w:val="006A2E09"/>
    <w:rsid w:val="006A2EA1"/>
    <w:rsid w:val="006A2FB9"/>
    <w:rsid w:val="006A30A3"/>
    <w:rsid w:val="006A318D"/>
    <w:rsid w:val="006A31E1"/>
    <w:rsid w:val="006A3256"/>
    <w:rsid w:val="006A325A"/>
    <w:rsid w:val="006A327A"/>
    <w:rsid w:val="006A32AB"/>
    <w:rsid w:val="006A3337"/>
    <w:rsid w:val="006A3347"/>
    <w:rsid w:val="006A33E4"/>
    <w:rsid w:val="006A3482"/>
    <w:rsid w:val="006A3526"/>
    <w:rsid w:val="006A357E"/>
    <w:rsid w:val="006A3865"/>
    <w:rsid w:val="006A38DD"/>
    <w:rsid w:val="006A38F6"/>
    <w:rsid w:val="006A3927"/>
    <w:rsid w:val="006A3986"/>
    <w:rsid w:val="006A3A93"/>
    <w:rsid w:val="006A3AC7"/>
    <w:rsid w:val="006A3BBF"/>
    <w:rsid w:val="006A3D11"/>
    <w:rsid w:val="006A3DB1"/>
    <w:rsid w:val="006A3E8B"/>
    <w:rsid w:val="006A3EDF"/>
    <w:rsid w:val="006A3EE9"/>
    <w:rsid w:val="006A3EEA"/>
    <w:rsid w:val="006A409E"/>
    <w:rsid w:val="006A4291"/>
    <w:rsid w:val="006A4394"/>
    <w:rsid w:val="006A43AA"/>
    <w:rsid w:val="006A43BC"/>
    <w:rsid w:val="006A43CB"/>
    <w:rsid w:val="006A447D"/>
    <w:rsid w:val="006A44AB"/>
    <w:rsid w:val="006A46D5"/>
    <w:rsid w:val="006A47D3"/>
    <w:rsid w:val="006A47DB"/>
    <w:rsid w:val="006A48FF"/>
    <w:rsid w:val="006A496A"/>
    <w:rsid w:val="006A499F"/>
    <w:rsid w:val="006A4AD4"/>
    <w:rsid w:val="006A4B49"/>
    <w:rsid w:val="006A4BA6"/>
    <w:rsid w:val="006A4CCD"/>
    <w:rsid w:val="006A4DE0"/>
    <w:rsid w:val="006A4E48"/>
    <w:rsid w:val="006A4E7D"/>
    <w:rsid w:val="006A4E9C"/>
    <w:rsid w:val="006A4F61"/>
    <w:rsid w:val="006A4FEA"/>
    <w:rsid w:val="006A50CD"/>
    <w:rsid w:val="006A5148"/>
    <w:rsid w:val="006A5192"/>
    <w:rsid w:val="006A5232"/>
    <w:rsid w:val="006A5239"/>
    <w:rsid w:val="006A528C"/>
    <w:rsid w:val="006A52E9"/>
    <w:rsid w:val="006A530A"/>
    <w:rsid w:val="006A534B"/>
    <w:rsid w:val="006A539F"/>
    <w:rsid w:val="006A53DD"/>
    <w:rsid w:val="006A54AD"/>
    <w:rsid w:val="006A54C7"/>
    <w:rsid w:val="006A54CC"/>
    <w:rsid w:val="006A5528"/>
    <w:rsid w:val="006A55A5"/>
    <w:rsid w:val="006A5803"/>
    <w:rsid w:val="006A58F5"/>
    <w:rsid w:val="006A5907"/>
    <w:rsid w:val="006A5A4F"/>
    <w:rsid w:val="006A5AB0"/>
    <w:rsid w:val="006A5E0B"/>
    <w:rsid w:val="006A5EAE"/>
    <w:rsid w:val="006A5ED4"/>
    <w:rsid w:val="006A5F41"/>
    <w:rsid w:val="006A6096"/>
    <w:rsid w:val="006A6097"/>
    <w:rsid w:val="006A6275"/>
    <w:rsid w:val="006A6388"/>
    <w:rsid w:val="006A63A4"/>
    <w:rsid w:val="006A63A5"/>
    <w:rsid w:val="006A641C"/>
    <w:rsid w:val="006A6448"/>
    <w:rsid w:val="006A6481"/>
    <w:rsid w:val="006A6485"/>
    <w:rsid w:val="006A6624"/>
    <w:rsid w:val="006A6686"/>
    <w:rsid w:val="006A66AE"/>
    <w:rsid w:val="006A6728"/>
    <w:rsid w:val="006A674D"/>
    <w:rsid w:val="006A67A0"/>
    <w:rsid w:val="006A6860"/>
    <w:rsid w:val="006A6892"/>
    <w:rsid w:val="006A693F"/>
    <w:rsid w:val="006A69BA"/>
    <w:rsid w:val="006A69EE"/>
    <w:rsid w:val="006A6A8D"/>
    <w:rsid w:val="006A6B1D"/>
    <w:rsid w:val="006A6C97"/>
    <w:rsid w:val="006A6DA8"/>
    <w:rsid w:val="006A6EE9"/>
    <w:rsid w:val="006A6F86"/>
    <w:rsid w:val="006A6FA5"/>
    <w:rsid w:val="006A6FB9"/>
    <w:rsid w:val="006A709D"/>
    <w:rsid w:val="006A7195"/>
    <w:rsid w:val="006A71EC"/>
    <w:rsid w:val="006A7277"/>
    <w:rsid w:val="006A7286"/>
    <w:rsid w:val="006A7296"/>
    <w:rsid w:val="006A7364"/>
    <w:rsid w:val="006A739E"/>
    <w:rsid w:val="006A746E"/>
    <w:rsid w:val="006A7489"/>
    <w:rsid w:val="006A74AF"/>
    <w:rsid w:val="006A74D4"/>
    <w:rsid w:val="006A7543"/>
    <w:rsid w:val="006A75E4"/>
    <w:rsid w:val="006A7837"/>
    <w:rsid w:val="006A7910"/>
    <w:rsid w:val="006A79A0"/>
    <w:rsid w:val="006A79CB"/>
    <w:rsid w:val="006A7A2B"/>
    <w:rsid w:val="006A7B3B"/>
    <w:rsid w:val="006A7C5A"/>
    <w:rsid w:val="006A7FBF"/>
    <w:rsid w:val="006B002E"/>
    <w:rsid w:val="006B015A"/>
    <w:rsid w:val="006B01C3"/>
    <w:rsid w:val="006B0231"/>
    <w:rsid w:val="006B0293"/>
    <w:rsid w:val="006B02B1"/>
    <w:rsid w:val="006B0300"/>
    <w:rsid w:val="006B0351"/>
    <w:rsid w:val="006B0353"/>
    <w:rsid w:val="006B0372"/>
    <w:rsid w:val="006B039F"/>
    <w:rsid w:val="006B045D"/>
    <w:rsid w:val="006B0567"/>
    <w:rsid w:val="006B06A0"/>
    <w:rsid w:val="006B0925"/>
    <w:rsid w:val="006B0949"/>
    <w:rsid w:val="006B09E8"/>
    <w:rsid w:val="006B0A43"/>
    <w:rsid w:val="006B0AEE"/>
    <w:rsid w:val="006B0B77"/>
    <w:rsid w:val="006B0B9C"/>
    <w:rsid w:val="006B0BD4"/>
    <w:rsid w:val="006B0C1B"/>
    <w:rsid w:val="006B0C38"/>
    <w:rsid w:val="006B0CA0"/>
    <w:rsid w:val="006B0E38"/>
    <w:rsid w:val="006B0FC4"/>
    <w:rsid w:val="006B0FF7"/>
    <w:rsid w:val="006B1191"/>
    <w:rsid w:val="006B1228"/>
    <w:rsid w:val="006B1322"/>
    <w:rsid w:val="006B145F"/>
    <w:rsid w:val="006B146A"/>
    <w:rsid w:val="006B15D5"/>
    <w:rsid w:val="006B1624"/>
    <w:rsid w:val="006B165A"/>
    <w:rsid w:val="006B1662"/>
    <w:rsid w:val="006B16FA"/>
    <w:rsid w:val="006B1712"/>
    <w:rsid w:val="006B19E9"/>
    <w:rsid w:val="006B1A93"/>
    <w:rsid w:val="006B1ACE"/>
    <w:rsid w:val="006B1AD0"/>
    <w:rsid w:val="006B1BD3"/>
    <w:rsid w:val="006B1CDC"/>
    <w:rsid w:val="006B1D51"/>
    <w:rsid w:val="006B1D5C"/>
    <w:rsid w:val="006B1E45"/>
    <w:rsid w:val="006B1E98"/>
    <w:rsid w:val="006B1EBA"/>
    <w:rsid w:val="006B1EC1"/>
    <w:rsid w:val="006B1F27"/>
    <w:rsid w:val="006B1FB7"/>
    <w:rsid w:val="006B1FCF"/>
    <w:rsid w:val="006B203B"/>
    <w:rsid w:val="006B21BF"/>
    <w:rsid w:val="006B225C"/>
    <w:rsid w:val="006B225D"/>
    <w:rsid w:val="006B23D9"/>
    <w:rsid w:val="006B24AB"/>
    <w:rsid w:val="006B24E3"/>
    <w:rsid w:val="006B2551"/>
    <w:rsid w:val="006B25B3"/>
    <w:rsid w:val="006B25B9"/>
    <w:rsid w:val="006B2656"/>
    <w:rsid w:val="006B26DA"/>
    <w:rsid w:val="006B272D"/>
    <w:rsid w:val="006B27A7"/>
    <w:rsid w:val="006B27F0"/>
    <w:rsid w:val="006B2820"/>
    <w:rsid w:val="006B2896"/>
    <w:rsid w:val="006B28F1"/>
    <w:rsid w:val="006B2904"/>
    <w:rsid w:val="006B2A4A"/>
    <w:rsid w:val="006B2A68"/>
    <w:rsid w:val="006B2A74"/>
    <w:rsid w:val="006B2B4F"/>
    <w:rsid w:val="006B2B61"/>
    <w:rsid w:val="006B2C02"/>
    <w:rsid w:val="006B2C62"/>
    <w:rsid w:val="006B2D11"/>
    <w:rsid w:val="006B2DC3"/>
    <w:rsid w:val="006B2E5F"/>
    <w:rsid w:val="006B2E61"/>
    <w:rsid w:val="006B2FAD"/>
    <w:rsid w:val="006B302E"/>
    <w:rsid w:val="006B30B8"/>
    <w:rsid w:val="006B31B7"/>
    <w:rsid w:val="006B329E"/>
    <w:rsid w:val="006B32C7"/>
    <w:rsid w:val="006B32F8"/>
    <w:rsid w:val="006B3339"/>
    <w:rsid w:val="006B33DC"/>
    <w:rsid w:val="006B33F3"/>
    <w:rsid w:val="006B3428"/>
    <w:rsid w:val="006B344D"/>
    <w:rsid w:val="006B35A4"/>
    <w:rsid w:val="006B3827"/>
    <w:rsid w:val="006B3949"/>
    <w:rsid w:val="006B39DF"/>
    <w:rsid w:val="006B3A66"/>
    <w:rsid w:val="006B3A8B"/>
    <w:rsid w:val="006B3B68"/>
    <w:rsid w:val="006B3C54"/>
    <w:rsid w:val="006B3C89"/>
    <w:rsid w:val="006B3CA4"/>
    <w:rsid w:val="006B3FEF"/>
    <w:rsid w:val="006B44C2"/>
    <w:rsid w:val="006B4664"/>
    <w:rsid w:val="006B468B"/>
    <w:rsid w:val="006B46FA"/>
    <w:rsid w:val="006B478B"/>
    <w:rsid w:val="006B4879"/>
    <w:rsid w:val="006B4929"/>
    <w:rsid w:val="006B4951"/>
    <w:rsid w:val="006B4A4D"/>
    <w:rsid w:val="006B4AC5"/>
    <w:rsid w:val="006B4BAB"/>
    <w:rsid w:val="006B4C2D"/>
    <w:rsid w:val="006B4C99"/>
    <w:rsid w:val="006B4DDB"/>
    <w:rsid w:val="006B4E68"/>
    <w:rsid w:val="006B4EBE"/>
    <w:rsid w:val="006B5000"/>
    <w:rsid w:val="006B50BB"/>
    <w:rsid w:val="006B50DF"/>
    <w:rsid w:val="006B5127"/>
    <w:rsid w:val="006B513E"/>
    <w:rsid w:val="006B5172"/>
    <w:rsid w:val="006B5267"/>
    <w:rsid w:val="006B527B"/>
    <w:rsid w:val="006B52B7"/>
    <w:rsid w:val="006B53A8"/>
    <w:rsid w:val="006B54F3"/>
    <w:rsid w:val="006B5524"/>
    <w:rsid w:val="006B558B"/>
    <w:rsid w:val="006B55D3"/>
    <w:rsid w:val="006B5724"/>
    <w:rsid w:val="006B57A3"/>
    <w:rsid w:val="006B57AC"/>
    <w:rsid w:val="006B58D0"/>
    <w:rsid w:val="006B5A9D"/>
    <w:rsid w:val="006B5AC1"/>
    <w:rsid w:val="006B5D3A"/>
    <w:rsid w:val="006B5D76"/>
    <w:rsid w:val="006B5DB8"/>
    <w:rsid w:val="006B5DE4"/>
    <w:rsid w:val="006B5F06"/>
    <w:rsid w:val="006B5F31"/>
    <w:rsid w:val="006B5F59"/>
    <w:rsid w:val="006B6238"/>
    <w:rsid w:val="006B62DC"/>
    <w:rsid w:val="006B6784"/>
    <w:rsid w:val="006B6810"/>
    <w:rsid w:val="006B682F"/>
    <w:rsid w:val="006B68D4"/>
    <w:rsid w:val="006B695C"/>
    <w:rsid w:val="006B6A0C"/>
    <w:rsid w:val="006B6B26"/>
    <w:rsid w:val="006B6B58"/>
    <w:rsid w:val="006B6BB3"/>
    <w:rsid w:val="006B6C39"/>
    <w:rsid w:val="006B6C6E"/>
    <w:rsid w:val="006B6E72"/>
    <w:rsid w:val="006B6EFE"/>
    <w:rsid w:val="006B6F21"/>
    <w:rsid w:val="006B6F8B"/>
    <w:rsid w:val="006B6FE8"/>
    <w:rsid w:val="006B714E"/>
    <w:rsid w:val="006B72EF"/>
    <w:rsid w:val="006B7346"/>
    <w:rsid w:val="006B760A"/>
    <w:rsid w:val="006B76DA"/>
    <w:rsid w:val="006B776D"/>
    <w:rsid w:val="006B7842"/>
    <w:rsid w:val="006B791C"/>
    <w:rsid w:val="006B7938"/>
    <w:rsid w:val="006B7A2B"/>
    <w:rsid w:val="006B7C08"/>
    <w:rsid w:val="006B7C5C"/>
    <w:rsid w:val="006B7EA0"/>
    <w:rsid w:val="006B7F55"/>
    <w:rsid w:val="006B7F63"/>
    <w:rsid w:val="006C00CF"/>
    <w:rsid w:val="006C013F"/>
    <w:rsid w:val="006C0157"/>
    <w:rsid w:val="006C01A1"/>
    <w:rsid w:val="006C0277"/>
    <w:rsid w:val="006C03C2"/>
    <w:rsid w:val="006C04DE"/>
    <w:rsid w:val="006C0657"/>
    <w:rsid w:val="006C06A9"/>
    <w:rsid w:val="006C075F"/>
    <w:rsid w:val="006C0823"/>
    <w:rsid w:val="006C08DC"/>
    <w:rsid w:val="006C0906"/>
    <w:rsid w:val="006C09F9"/>
    <w:rsid w:val="006C0A04"/>
    <w:rsid w:val="006C0A18"/>
    <w:rsid w:val="006C0B23"/>
    <w:rsid w:val="006C0CAF"/>
    <w:rsid w:val="006C0DFB"/>
    <w:rsid w:val="006C0E1A"/>
    <w:rsid w:val="006C0E80"/>
    <w:rsid w:val="006C0F7B"/>
    <w:rsid w:val="006C0FED"/>
    <w:rsid w:val="006C1004"/>
    <w:rsid w:val="006C104C"/>
    <w:rsid w:val="006C125C"/>
    <w:rsid w:val="006C1316"/>
    <w:rsid w:val="006C1430"/>
    <w:rsid w:val="006C1494"/>
    <w:rsid w:val="006C14BD"/>
    <w:rsid w:val="006C1637"/>
    <w:rsid w:val="006C1726"/>
    <w:rsid w:val="006C174D"/>
    <w:rsid w:val="006C17FE"/>
    <w:rsid w:val="006C1858"/>
    <w:rsid w:val="006C1890"/>
    <w:rsid w:val="006C1AED"/>
    <w:rsid w:val="006C1BC8"/>
    <w:rsid w:val="006C1CDA"/>
    <w:rsid w:val="006C1D43"/>
    <w:rsid w:val="006C1EB9"/>
    <w:rsid w:val="006C1EE4"/>
    <w:rsid w:val="006C1F85"/>
    <w:rsid w:val="006C206A"/>
    <w:rsid w:val="006C207B"/>
    <w:rsid w:val="006C20BC"/>
    <w:rsid w:val="006C20C9"/>
    <w:rsid w:val="006C2117"/>
    <w:rsid w:val="006C225E"/>
    <w:rsid w:val="006C22AA"/>
    <w:rsid w:val="006C238F"/>
    <w:rsid w:val="006C249F"/>
    <w:rsid w:val="006C2544"/>
    <w:rsid w:val="006C267C"/>
    <w:rsid w:val="006C2741"/>
    <w:rsid w:val="006C2777"/>
    <w:rsid w:val="006C290D"/>
    <w:rsid w:val="006C2978"/>
    <w:rsid w:val="006C299B"/>
    <w:rsid w:val="006C29B5"/>
    <w:rsid w:val="006C2A37"/>
    <w:rsid w:val="006C2C05"/>
    <w:rsid w:val="006C2CA0"/>
    <w:rsid w:val="006C2EA5"/>
    <w:rsid w:val="006C2F34"/>
    <w:rsid w:val="006C2F43"/>
    <w:rsid w:val="006C2FC6"/>
    <w:rsid w:val="006C3008"/>
    <w:rsid w:val="006C3019"/>
    <w:rsid w:val="006C305D"/>
    <w:rsid w:val="006C30D6"/>
    <w:rsid w:val="006C327A"/>
    <w:rsid w:val="006C3345"/>
    <w:rsid w:val="006C33C0"/>
    <w:rsid w:val="006C34F9"/>
    <w:rsid w:val="006C3568"/>
    <w:rsid w:val="006C3587"/>
    <w:rsid w:val="006C35F9"/>
    <w:rsid w:val="006C3636"/>
    <w:rsid w:val="006C3718"/>
    <w:rsid w:val="006C3759"/>
    <w:rsid w:val="006C3813"/>
    <w:rsid w:val="006C38A0"/>
    <w:rsid w:val="006C38F1"/>
    <w:rsid w:val="006C38FD"/>
    <w:rsid w:val="006C393E"/>
    <w:rsid w:val="006C394A"/>
    <w:rsid w:val="006C394D"/>
    <w:rsid w:val="006C3A12"/>
    <w:rsid w:val="006C3A1B"/>
    <w:rsid w:val="006C3A60"/>
    <w:rsid w:val="006C3AD8"/>
    <w:rsid w:val="006C3B1B"/>
    <w:rsid w:val="006C3BB7"/>
    <w:rsid w:val="006C3BF2"/>
    <w:rsid w:val="006C3C80"/>
    <w:rsid w:val="006C3CCF"/>
    <w:rsid w:val="006C3CF2"/>
    <w:rsid w:val="006C3E60"/>
    <w:rsid w:val="006C3E86"/>
    <w:rsid w:val="006C3F2C"/>
    <w:rsid w:val="006C4072"/>
    <w:rsid w:val="006C415E"/>
    <w:rsid w:val="006C42BA"/>
    <w:rsid w:val="006C4373"/>
    <w:rsid w:val="006C4463"/>
    <w:rsid w:val="006C4490"/>
    <w:rsid w:val="006C4593"/>
    <w:rsid w:val="006C45CE"/>
    <w:rsid w:val="006C478E"/>
    <w:rsid w:val="006C4798"/>
    <w:rsid w:val="006C47E0"/>
    <w:rsid w:val="006C4913"/>
    <w:rsid w:val="006C4986"/>
    <w:rsid w:val="006C49C7"/>
    <w:rsid w:val="006C4A47"/>
    <w:rsid w:val="006C4BDA"/>
    <w:rsid w:val="006C4C7B"/>
    <w:rsid w:val="006C4C8E"/>
    <w:rsid w:val="006C4E65"/>
    <w:rsid w:val="006C4F06"/>
    <w:rsid w:val="006C4F15"/>
    <w:rsid w:val="006C4F21"/>
    <w:rsid w:val="006C4F29"/>
    <w:rsid w:val="006C4F64"/>
    <w:rsid w:val="006C4F7B"/>
    <w:rsid w:val="006C50AB"/>
    <w:rsid w:val="006C50F3"/>
    <w:rsid w:val="006C510D"/>
    <w:rsid w:val="006C511A"/>
    <w:rsid w:val="006C5263"/>
    <w:rsid w:val="006C5398"/>
    <w:rsid w:val="006C55D4"/>
    <w:rsid w:val="006C5798"/>
    <w:rsid w:val="006C59E2"/>
    <w:rsid w:val="006C5A5E"/>
    <w:rsid w:val="006C5ABB"/>
    <w:rsid w:val="006C5AFC"/>
    <w:rsid w:val="006C5BA5"/>
    <w:rsid w:val="006C5C3F"/>
    <w:rsid w:val="006C5DCE"/>
    <w:rsid w:val="006C5F3E"/>
    <w:rsid w:val="006C5FDA"/>
    <w:rsid w:val="006C604D"/>
    <w:rsid w:val="006C6077"/>
    <w:rsid w:val="006C6185"/>
    <w:rsid w:val="006C62C2"/>
    <w:rsid w:val="006C65A9"/>
    <w:rsid w:val="006C6739"/>
    <w:rsid w:val="006C68FC"/>
    <w:rsid w:val="006C6B63"/>
    <w:rsid w:val="006C6B9C"/>
    <w:rsid w:val="006C6C68"/>
    <w:rsid w:val="006C6E70"/>
    <w:rsid w:val="006C6F5C"/>
    <w:rsid w:val="006C6FEE"/>
    <w:rsid w:val="006C704C"/>
    <w:rsid w:val="006C7153"/>
    <w:rsid w:val="006C72E2"/>
    <w:rsid w:val="006C72EE"/>
    <w:rsid w:val="006C74EC"/>
    <w:rsid w:val="006C76A4"/>
    <w:rsid w:val="006C784C"/>
    <w:rsid w:val="006C78AB"/>
    <w:rsid w:val="006C7934"/>
    <w:rsid w:val="006C7B15"/>
    <w:rsid w:val="006C7C75"/>
    <w:rsid w:val="006C7E32"/>
    <w:rsid w:val="006C7E5D"/>
    <w:rsid w:val="006C7E78"/>
    <w:rsid w:val="006C7FA8"/>
    <w:rsid w:val="006D009A"/>
    <w:rsid w:val="006D021C"/>
    <w:rsid w:val="006D02AA"/>
    <w:rsid w:val="006D02C0"/>
    <w:rsid w:val="006D0493"/>
    <w:rsid w:val="006D0512"/>
    <w:rsid w:val="006D0898"/>
    <w:rsid w:val="006D0977"/>
    <w:rsid w:val="006D0B7A"/>
    <w:rsid w:val="006D0C18"/>
    <w:rsid w:val="006D0C72"/>
    <w:rsid w:val="006D0DC5"/>
    <w:rsid w:val="006D0DF1"/>
    <w:rsid w:val="006D1122"/>
    <w:rsid w:val="006D11A9"/>
    <w:rsid w:val="006D11B7"/>
    <w:rsid w:val="006D129F"/>
    <w:rsid w:val="006D12EE"/>
    <w:rsid w:val="006D130F"/>
    <w:rsid w:val="006D1358"/>
    <w:rsid w:val="006D16AD"/>
    <w:rsid w:val="006D16CC"/>
    <w:rsid w:val="006D16DE"/>
    <w:rsid w:val="006D19A9"/>
    <w:rsid w:val="006D1A77"/>
    <w:rsid w:val="006D1C1B"/>
    <w:rsid w:val="006D1CFE"/>
    <w:rsid w:val="006D1D0F"/>
    <w:rsid w:val="006D1FA1"/>
    <w:rsid w:val="006D2087"/>
    <w:rsid w:val="006D2123"/>
    <w:rsid w:val="006D2185"/>
    <w:rsid w:val="006D2271"/>
    <w:rsid w:val="006D2289"/>
    <w:rsid w:val="006D2292"/>
    <w:rsid w:val="006D22F2"/>
    <w:rsid w:val="006D22FF"/>
    <w:rsid w:val="006D23E1"/>
    <w:rsid w:val="006D2463"/>
    <w:rsid w:val="006D24BD"/>
    <w:rsid w:val="006D25AE"/>
    <w:rsid w:val="006D2667"/>
    <w:rsid w:val="006D26CA"/>
    <w:rsid w:val="006D28DF"/>
    <w:rsid w:val="006D2933"/>
    <w:rsid w:val="006D2955"/>
    <w:rsid w:val="006D29BE"/>
    <w:rsid w:val="006D2A10"/>
    <w:rsid w:val="006D2A65"/>
    <w:rsid w:val="006D2ACC"/>
    <w:rsid w:val="006D2B07"/>
    <w:rsid w:val="006D2BE3"/>
    <w:rsid w:val="006D2BFE"/>
    <w:rsid w:val="006D2C2A"/>
    <w:rsid w:val="006D2C68"/>
    <w:rsid w:val="006D2F50"/>
    <w:rsid w:val="006D2F57"/>
    <w:rsid w:val="006D2FD0"/>
    <w:rsid w:val="006D2FED"/>
    <w:rsid w:val="006D305B"/>
    <w:rsid w:val="006D306C"/>
    <w:rsid w:val="006D315C"/>
    <w:rsid w:val="006D319A"/>
    <w:rsid w:val="006D31F0"/>
    <w:rsid w:val="006D332A"/>
    <w:rsid w:val="006D3331"/>
    <w:rsid w:val="006D33EE"/>
    <w:rsid w:val="006D3406"/>
    <w:rsid w:val="006D362A"/>
    <w:rsid w:val="006D3661"/>
    <w:rsid w:val="006D36E5"/>
    <w:rsid w:val="006D3748"/>
    <w:rsid w:val="006D37EB"/>
    <w:rsid w:val="006D384F"/>
    <w:rsid w:val="006D3861"/>
    <w:rsid w:val="006D3A8C"/>
    <w:rsid w:val="006D3F00"/>
    <w:rsid w:val="006D4095"/>
    <w:rsid w:val="006D40D3"/>
    <w:rsid w:val="006D419F"/>
    <w:rsid w:val="006D420D"/>
    <w:rsid w:val="006D4343"/>
    <w:rsid w:val="006D441E"/>
    <w:rsid w:val="006D45B1"/>
    <w:rsid w:val="006D462C"/>
    <w:rsid w:val="006D46E4"/>
    <w:rsid w:val="006D46FB"/>
    <w:rsid w:val="006D4729"/>
    <w:rsid w:val="006D472C"/>
    <w:rsid w:val="006D4766"/>
    <w:rsid w:val="006D47A0"/>
    <w:rsid w:val="006D48B2"/>
    <w:rsid w:val="006D4939"/>
    <w:rsid w:val="006D498B"/>
    <w:rsid w:val="006D49C0"/>
    <w:rsid w:val="006D49CC"/>
    <w:rsid w:val="006D49DE"/>
    <w:rsid w:val="006D4A26"/>
    <w:rsid w:val="006D4A9F"/>
    <w:rsid w:val="006D4AC8"/>
    <w:rsid w:val="006D4B4F"/>
    <w:rsid w:val="006D4C2B"/>
    <w:rsid w:val="006D4C61"/>
    <w:rsid w:val="006D4D47"/>
    <w:rsid w:val="006D4E54"/>
    <w:rsid w:val="006D4E8C"/>
    <w:rsid w:val="006D4F30"/>
    <w:rsid w:val="006D4F52"/>
    <w:rsid w:val="006D4F78"/>
    <w:rsid w:val="006D4FD2"/>
    <w:rsid w:val="006D510E"/>
    <w:rsid w:val="006D5120"/>
    <w:rsid w:val="006D518E"/>
    <w:rsid w:val="006D51AB"/>
    <w:rsid w:val="006D51C2"/>
    <w:rsid w:val="006D5271"/>
    <w:rsid w:val="006D52DB"/>
    <w:rsid w:val="006D53F8"/>
    <w:rsid w:val="006D5628"/>
    <w:rsid w:val="006D57FC"/>
    <w:rsid w:val="006D5827"/>
    <w:rsid w:val="006D5869"/>
    <w:rsid w:val="006D592A"/>
    <w:rsid w:val="006D5AE7"/>
    <w:rsid w:val="006D5AEF"/>
    <w:rsid w:val="006D5C44"/>
    <w:rsid w:val="006D5D61"/>
    <w:rsid w:val="006D5E34"/>
    <w:rsid w:val="006D5F74"/>
    <w:rsid w:val="006D6030"/>
    <w:rsid w:val="006D6132"/>
    <w:rsid w:val="006D6165"/>
    <w:rsid w:val="006D61E5"/>
    <w:rsid w:val="006D6246"/>
    <w:rsid w:val="006D62C0"/>
    <w:rsid w:val="006D6319"/>
    <w:rsid w:val="006D634E"/>
    <w:rsid w:val="006D6364"/>
    <w:rsid w:val="006D64C6"/>
    <w:rsid w:val="006D65CF"/>
    <w:rsid w:val="006D6637"/>
    <w:rsid w:val="006D6642"/>
    <w:rsid w:val="006D6699"/>
    <w:rsid w:val="006D69C0"/>
    <w:rsid w:val="006D69C4"/>
    <w:rsid w:val="006D6A1E"/>
    <w:rsid w:val="006D6A2E"/>
    <w:rsid w:val="006D6A64"/>
    <w:rsid w:val="006D6B28"/>
    <w:rsid w:val="006D6DD0"/>
    <w:rsid w:val="006D705F"/>
    <w:rsid w:val="006D70F4"/>
    <w:rsid w:val="006D711D"/>
    <w:rsid w:val="006D7141"/>
    <w:rsid w:val="006D721A"/>
    <w:rsid w:val="006D722B"/>
    <w:rsid w:val="006D7345"/>
    <w:rsid w:val="006D73BD"/>
    <w:rsid w:val="006D73DC"/>
    <w:rsid w:val="006D740B"/>
    <w:rsid w:val="006D7452"/>
    <w:rsid w:val="006D74DD"/>
    <w:rsid w:val="006D74E5"/>
    <w:rsid w:val="006D74F9"/>
    <w:rsid w:val="006D7544"/>
    <w:rsid w:val="006D75B6"/>
    <w:rsid w:val="006D75E4"/>
    <w:rsid w:val="006D7850"/>
    <w:rsid w:val="006D786E"/>
    <w:rsid w:val="006D7901"/>
    <w:rsid w:val="006D792C"/>
    <w:rsid w:val="006D7A6C"/>
    <w:rsid w:val="006D7C60"/>
    <w:rsid w:val="006D7D0C"/>
    <w:rsid w:val="006D7D14"/>
    <w:rsid w:val="006D7D6E"/>
    <w:rsid w:val="006D7DD3"/>
    <w:rsid w:val="006D7FD8"/>
    <w:rsid w:val="006E0098"/>
    <w:rsid w:val="006E0123"/>
    <w:rsid w:val="006E013D"/>
    <w:rsid w:val="006E02E6"/>
    <w:rsid w:val="006E0365"/>
    <w:rsid w:val="006E03A3"/>
    <w:rsid w:val="006E04EB"/>
    <w:rsid w:val="006E057E"/>
    <w:rsid w:val="006E068F"/>
    <w:rsid w:val="006E0793"/>
    <w:rsid w:val="006E0805"/>
    <w:rsid w:val="006E086F"/>
    <w:rsid w:val="006E0994"/>
    <w:rsid w:val="006E09F7"/>
    <w:rsid w:val="006E0A7B"/>
    <w:rsid w:val="006E0B0E"/>
    <w:rsid w:val="006E0BB9"/>
    <w:rsid w:val="006E0D3E"/>
    <w:rsid w:val="006E0DC5"/>
    <w:rsid w:val="006E0E1A"/>
    <w:rsid w:val="006E0E21"/>
    <w:rsid w:val="006E0E2C"/>
    <w:rsid w:val="006E0EAC"/>
    <w:rsid w:val="006E10CF"/>
    <w:rsid w:val="006E116C"/>
    <w:rsid w:val="006E1190"/>
    <w:rsid w:val="006E120C"/>
    <w:rsid w:val="006E12F5"/>
    <w:rsid w:val="006E1333"/>
    <w:rsid w:val="006E136C"/>
    <w:rsid w:val="006E13BD"/>
    <w:rsid w:val="006E14BE"/>
    <w:rsid w:val="006E167E"/>
    <w:rsid w:val="006E1692"/>
    <w:rsid w:val="006E173C"/>
    <w:rsid w:val="006E17FA"/>
    <w:rsid w:val="006E181A"/>
    <w:rsid w:val="006E1825"/>
    <w:rsid w:val="006E1906"/>
    <w:rsid w:val="006E1C12"/>
    <w:rsid w:val="006E1CBA"/>
    <w:rsid w:val="006E1E78"/>
    <w:rsid w:val="006E1F20"/>
    <w:rsid w:val="006E1F4C"/>
    <w:rsid w:val="006E2023"/>
    <w:rsid w:val="006E2074"/>
    <w:rsid w:val="006E2079"/>
    <w:rsid w:val="006E2191"/>
    <w:rsid w:val="006E22FB"/>
    <w:rsid w:val="006E2368"/>
    <w:rsid w:val="006E2380"/>
    <w:rsid w:val="006E2393"/>
    <w:rsid w:val="006E2411"/>
    <w:rsid w:val="006E24C6"/>
    <w:rsid w:val="006E254C"/>
    <w:rsid w:val="006E2561"/>
    <w:rsid w:val="006E25C4"/>
    <w:rsid w:val="006E264B"/>
    <w:rsid w:val="006E269B"/>
    <w:rsid w:val="006E27A4"/>
    <w:rsid w:val="006E280D"/>
    <w:rsid w:val="006E287C"/>
    <w:rsid w:val="006E28E4"/>
    <w:rsid w:val="006E2A14"/>
    <w:rsid w:val="006E2A4E"/>
    <w:rsid w:val="006E2B0D"/>
    <w:rsid w:val="006E2B86"/>
    <w:rsid w:val="006E2B87"/>
    <w:rsid w:val="006E2DB9"/>
    <w:rsid w:val="006E2E2C"/>
    <w:rsid w:val="006E2E5E"/>
    <w:rsid w:val="006E2E85"/>
    <w:rsid w:val="006E2F85"/>
    <w:rsid w:val="006E2FA5"/>
    <w:rsid w:val="006E3041"/>
    <w:rsid w:val="006E3189"/>
    <w:rsid w:val="006E34ED"/>
    <w:rsid w:val="006E35AF"/>
    <w:rsid w:val="006E35E9"/>
    <w:rsid w:val="006E363A"/>
    <w:rsid w:val="006E36CD"/>
    <w:rsid w:val="006E36DC"/>
    <w:rsid w:val="006E377A"/>
    <w:rsid w:val="006E37F6"/>
    <w:rsid w:val="006E38C2"/>
    <w:rsid w:val="006E391B"/>
    <w:rsid w:val="006E3A77"/>
    <w:rsid w:val="006E3C75"/>
    <w:rsid w:val="006E3EF7"/>
    <w:rsid w:val="006E3EFF"/>
    <w:rsid w:val="006E3FEA"/>
    <w:rsid w:val="006E4105"/>
    <w:rsid w:val="006E4120"/>
    <w:rsid w:val="006E41B8"/>
    <w:rsid w:val="006E424D"/>
    <w:rsid w:val="006E4282"/>
    <w:rsid w:val="006E440A"/>
    <w:rsid w:val="006E440E"/>
    <w:rsid w:val="006E4515"/>
    <w:rsid w:val="006E466A"/>
    <w:rsid w:val="006E484E"/>
    <w:rsid w:val="006E4897"/>
    <w:rsid w:val="006E48A6"/>
    <w:rsid w:val="006E4917"/>
    <w:rsid w:val="006E494B"/>
    <w:rsid w:val="006E497D"/>
    <w:rsid w:val="006E4A0C"/>
    <w:rsid w:val="006E4A1C"/>
    <w:rsid w:val="006E4A57"/>
    <w:rsid w:val="006E4AEF"/>
    <w:rsid w:val="006E4B61"/>
    <w:rsid w:val="006E4C69"/>
    <w:rsid w:val="006E4FA1"/>
    <w:rsid w:val="006E500C"/>
    <w:rsid w:val="006E5111"/>
    <w:rsid w:val="006E5122"/>
    <w:rsid w:val="006E5149"/>
    <w:rsid w:val="006E51B7"/>
    <w:rsid w:val="006E51B8"/>
    <w:rsid w:val="006E5201"/>
    <w:rsid w:val="006E5223"/>
    <w:rsid w:val="006E52D0"/>
    <w:rsid w:val="006E52FF"/>
    <w:rsid w:val="006E53A3"/>
    <w:rsid w:val="006E53F4"/>
    <w:rsid w:val="006E549E"/>
    <w:rsid w:val="006E55A3"/>
    <w:rsid w:val="006E5793"/>
    <w:rsid w:val="006E5AF6"/>
    <w:rsid w:val="006E5B1E"/>
    <w:rsid w:val="006E5B5E"/>
    <w:rsid w:val="006E5B90"/>
    <w:rsid w:val="006E5B92"/>
    <w:rsid w:val="006E5C2B"/>
    <w:rsid w:val="006E5D9B"/>
    <w:rsid w:val="006E5E98"/>
    <w:rsid w:val="006E5EF6"/>
    <w:rsid w:val="006E5FA6"/>
    <w:rsid w:val="006E604C"/>
    <w:rsid w:val="006E608C"/>
    <w:rsid w:val="006E627D"/>
    <w:rsid w:val="006E62D2"/>
    <w:rsid w:val="006E6315"/>
    <w:rsid w:val="006E631C"/>
    <w:rsid w:val="006E636A"/>
    <w:rsid w:val="006E6513"/>
    <w:rsid w:val="006E667D"/>
    <w:rsid w:val="006E6694"/>
    <w:rsid w:val="006E6789"/>
    <w:rsid w:val="006E67BC"/>
    <w:rsid w:val="006E68CB"/>
    <w:rsid w:val="006E68DA"/>
    <w:rsid w:val="006E68E4"/>
    <w:rsid w:val="006E68FF"/>
    <w:rsid w:val="006E6A49"/>
    <w:rsid w:val="006E6A7D"/>
    <w:rsid w:val="006E6ABF"/>
    <w:rsid w:val="006E6BAB"/>
    <w:rsid w:val="006E6C2F"/>
    <w:rsid w:val="006E6C36"/>
    <w:rsid w:val="006E6D27"/>
    <w:rsid w:val="006E6D78"/>
    <w:rsid w:val="006E6DF9"/>
    <w:rsid w:val="006E6E69"/>
    <w:rsid w:val="006E6FFE"/>
    <w:rsid w:val="006E702A"/>
    <w:rsid w:val="006E7081"/>
    <w:rsid w:val="006E7141"/>
    <w:rsid w:val="006E71E3"/>
    <w:rsid w:val="006E72B0"/>
    <w:rsid w:val="006E73BE"/>
    <w:rsid w:val="006E74F1"/>
    <w:rsid w:val="006E7671"/>
    <w:rsid w:val="006E76E3"/>
    <w:rsid w:val="006E788C"/>
    <w:rsid w:val="006E788D"/>
    <w:rsid w:val="006E78BF"/>
    <w:rsid w:val="006E79D3"/>
    <w:rsid w:val="006E7A9B"/>
    <w:rsid w:val="006E7CF5"/>
    <w:rsid w:val="006E7D16"/>
    <w:rsid w:val="006E7D49"/>
    <w:rsid w:val="006E7DFE"/>
    <w:rsid w:val="006E7F36"/>
    <w:rsid w:val="006F0009"/>
    <w:rsid w:val="006F0027"/>
    <w:rsid w:val="006F009F"/>
    <w:rsid w:val="006F0133"/>
    <w:rsid w:val="006F014F"/>
    <w:rsid w:val="006F031F"/>
    <w:rsid w:val="006F0329"/>
    <w:rsid w:val="006F0350"/>
    <w:rsid w:val="006F0427"/>
    <w:rsid w:val="006F048C"/>
    <w:rsid w:val="006F04BE"/>
    <w:rsid w:val="006F04C4"/>
    <w:rsid w:val="006F07E2"/>
    <w:rsid w:val="006F08DF"/>
    <w:rsid w:val="006F09D5"/>
    <w:rsid w:val="006F0A0E"/>
    <w:rsid w:val="006F0A6E"/>
    <w:rsid w:val="006F0B59"/>
    <w:rsid w:val="006F0C7A"/>
    <w:rsid w:val="006F0E2C"/>
    <w:rsid w:val="006F0E7C"/>
    <w:rsid w:val="006F0ED1"/>
    <w:rsid w:val="006F0F9D"/>
    <w:rsid w:val="006F0FF9"/>
    <w:rsid w:val="006F1011"/>
    <w:rsid w:val="006F115B"/>
    <w:rsid w:val="006F11A8"/>
    <w:rsid w:val="006F129A"/>
    <w:rsid w:val="006F129F"/>
    <w:rsid w:val="006F13FA"/>
    <w:rsid w:val="006F15F1"/>
    <w:rsid w:val="006F1656"/>
    <w:rsid w:val="006F17AE"/>
    <w:rsid w:val="006F1965"/>
    <w:rsid w:val="006F19E6"/>
    <w:rsid w:val="006F1A51"/>
    <w:rsid w:val="006F1ABE"/>
    <w:rsid w:val="006F1B3A"/>
    <w:rsid w:val="006F1CDD"/>
    <w:rsid w:val="006F1DFB"/>
    <w:rsid w:val="006F1EB9"/>
    <w:rsid w:val="006F21F2"/>
    <w:rsid w:val="006F226A"/>
    <w:rsid w:val="006F2278"/>
    <w:rsid w:val="006F22DA"/>
    <w:rsid w:val="006F23DD"/>
    <w:rsid w:val="006F2469"/>
    <w:rsid w:val="006F2633"/>
    <w:rsid w:val="006F28E7"/>
    <w:rsid w:val="006F28F0"/>
    <w:rsid w:val="006F2A90"/>
    <w:rsid w:val="006F2AE4"/>
    <w:rsid w:val="006F2AFE"/>
    <w:rsid w:val="006F2B2A"/>
    <w:rsid w:val="006F2B39"/>
    <w:rsid w:val="006F2B4B"/>
    <w:rsid w:val="006F2BB9"/>
    <w:rsid w:val="006F2BE0"/>
    <w:rsid w:val="006F2C3E"/>
    <w:rsid w:val="006F2D31"/>
    <w:rsid w:val="006F2E1E"/>
    <w:rsid w:val="006F2E3A"/>
    <w:rsid w:val="006F2EFD"/>
    <w:rsid w:val="006F2F95"/>
    <w:rsid w:val="006F2F9F"/>
    <w:rsid w:val="006F30BD"/>
    <w:rsid w:val="006F30CD"/>
    <w:rsid w:val="006F315F"/>
    <w:rsid w:val="006F3160"/>
    <w:rsid w:val="006F31AC"/>
    <w:rsid w:val="006F31C0"/>
    <w:rsid w:val="006F31C3"/>
    <w:rsid w:val="006F31F1"/>
    <w:rsid w:val="006F3252"/>
    <w:rsid w:val="006F330C"/>
    <w:rsid w:val="006F33E6"/>
    <w:rsid w:val="006F3471"/>
    <w:rsid w:val="006F35A1"/>
    <w:rsid w:val="006F35E8"/>
    <w:rsid w:val="006F365A"/>
    <w:rsid w:val="006F36D9"/>
    <w:rsid w:val="006F3838"/>
    <w:rsid w:val="006F388D"/>
    <w:rsid w:val="006F38DD"/>
    <w:rsid w:val="006F396A"/>
    <w:rsid w:val="006F39BF"/>
    <w:rsid w:val="006F3A6E"/>
    <w:rsid w:val="006F3AF9"/>
    <w:rsid w:val="006F3B10"/>
    <w:rsid w:val="006F3B7A"/>
    <w:rsid w:val="006F3BAA"/>
    <w:rsid w:val="006F3C25"/>
    <w:rsid w:val="006F3C6E"/>
    <w:rsid w:val="006F3D44"/>
    <w:rsid w:val="006F3DF2"/>
    <w:rsid w:val="006F3E20"/>
    <w:rsid w:val="006F3F2D"/>
    <w:rsid w:val="006F3F75"/>
    <w:rsid w:val="006F3FC8"/>
    <w:rsid w:val="006F40BB"/>
    <w:rsid w:val="006F410C"/>
    <w:rsid w:val="006F4196"/>
    <w:rsid w:val="006F42FC"/>
    <w:rsid w:val="006F4419"/>
    <w:rsid w:val="006F4629"/>
    <w:rsid w:val="006F466B"/>
    <w:rsid w:val="006F4685"/>
    <w:rsid w:val="006F4738"/>
    <w:rsid w:val="006F478F"/>
    <w:rsid w:val="006F4820"/>
    <w:rsid w:val="006F494E"/>
    <w:rsid w:val="006F49D1"/>
    <w:rsid w:val="006F4A28"/>
    <w:rsid w:val="006F4A6A"/>
    <w:rsid w:val="006F4AD9"/>
    <w:rsid w:val="006F4AF0"/>
    <w:rsid w:val="006F4C25"/>
    <w:rsid w:val="006F4C27"/>
    <w:rsid w:val="006F4D14"/>
    <w:rsid w:val="006F4D6B"/>
    <w:rsid w:val="006F4D9F"/>
    <w:rsid w:val="006F4EA9"/>
    <w:rsid w:val="006F4F31"/>
    <w:rsid w:val="006F4F32"/>
    <w:rsid w:val="006F4FC8"/>
    <w:rsid w:val="006F50B7"/>
    <w:rsid w:val="006F511C"/>
    <w:rsid w:val="006F51E2"/>
    <w:rsid w:val="006F52A9"/>
    <w:rsid w:val="006F52D2"/>
    <w:rsid w:val="006F5319"/>
    <w:rsid w:val="006F532A"/>
    <w:rsid w:val="006F534F"/>
    <w:rsid w:val="006F5451"/>
    <w:rsid w:val="006F5492"/>
    <w:rsid w:val="006F5664"/>
    <w:rsid w:val="006F5670"/>
    <w:rsid w:val="006F567E"/>
    <w:rsid w:val="006F5808"/>
    <w:rsid w:val="006F595B"/>
    <w:rsid w:val="006F5970"/>
    <w:rsid w:val="006F599C"/>
    <w:rsid w:val="006F5C0F"/>
    <w:rsid w:val="006F5C89"/>
    <w:rsid w:val="006F5E45"/>
    <w:rsid w:val="006F5F8B"/>
    <w:rsid w:val="006F6027"/>
    <w:rsid w:val="006F607A"/>
    <w:rsid w:val="006F6145"/>
    <w:rsid w:val="006F620B"/>
    <w:rsid w:val="006F6271"/>
    <w:rsid w:val="006F62C9"/>
    <w:rsid w:val="006F64D3"/>
    <w:rsid w:val="006F65C9"/>
    <w:rsid w:val="006F6647"/>
    <w:rsid w:val="006F665A"/>
    <w:rsid w:val="006F66BA"/>
    <w:rsid w:val="006F6700"/>
    <w:rsid w:val="006F6821"/>
    <w:rsid w:val="006F6A5A"/>
    <w:rsid w:val="006F6BF6"/>
    <w:rsid w:val="006F6BFF"/>
    <w:rsid w:val="006F6C5E"/>
    <w:rsid w:val="006F6C8B"/>
    <w:rsid w:val="006F6D3F"/>
    <w:rsid w:val="006F6E5D"/>
    <w:rsid w:val="006F6EC5"/>
    <w:rsid w:val="006F6F1F"/>
    <w:rsid w:val="006F6F42"/>
    <w:rsid w:val="006F6F94"/>
    <w:rsid w:val="006F70C3"/>
    <w:rsid w:val="006F7244"/>
    <w:rsid w:val="006F72FC"/>
    <w:rsid w:val="006F7341"/>
    <w:rsid w:val="006F73B7"/>
    <w:rsid w:val="006F748A"/>
    <w:rsid w:val="006F75B3"/>
    <w:rsid w:val="006F75E0"/>
    <w:rsid w:val="006F75F7"/>
    <w:rsid w:val="006F7649"/>
    <w:rsid w:val="006F7695"/>
    <w:rsid w:val="006F7A0D"/>
    <w:rsid w:val="006F7A4A"/>
    <w:rsid w:val="006F7ADA"/>
    <w:rsid w:val="006F7BE2"/>
    <w:rsid w:val="006F7CF0"/>
    <w:rsid w:val="006F7D92"/>
    <w:rsid w:val="006F7DD9"/>
    <w:rsid w:val="006F7DE9"/>
    <w:rsid w:val="006F7E10"/>
    <w:rsid w:val="006F7F8D"/>
    <w:rsid w:val="006F7F9A"/>
    <w:rsid w:val="00700092"/>
    <w:rsid w:val="007001A5"/>
    <w:rsid w:val="007001BD"/>
    <w:rsid w:val="007001FF"/>
    <w:rsid w:val="007002D3"/>
    <w:rsid w:val="00700479"/>
    <w:rsid w:val="007004FB"/>
    <w:rsid w:val="0070057C"/>
    <w:rsid w:val="00700632"/>
    <w:rsid w:val="00700706"/>
    <w:rsid w:val="007007CC"/>
    <w:rsid w:val="00700B11"/>
    <w:rsid w:val="00700BA6"/>
    <w:rsid w:val="00700C64"/>
    <w:rsid w:val="00700CD2"/>
    <w:rsid w:val="00700D9C"/>
    <w:rsid w:val="00700E00"/>
    <w:rsid w:val="00700E30"/>
    <w:rsid w:val="00700F7D"/>
    <w:rsid w:val="007010C4"/>
    <w:rsid w:val="00701188"/>
    <w:rsid w:val="0070123B"/>
    <w:rsid w:val="007013A2"/>
    <w:rsid w:val="007013B3"/>
    <w:rsid w:val="007013D4"/>
    <w:rsid w:val="007013DC"/>
    <w:rsid w:val="0070144D"/>
    <w:rsid w:val="0070154A"/>
    <w:rsid w:val="007015A6"/>
    <w:rsid w:val="0070164A"/>
    <w:rsid w:val="007016E7"/>
    <w:rsid w:val="007017FF"/>
    <w:rsid w:val="007018D8"/>
    <w:rsid w:val="007019A6"/>
    <w:rsid w:val="007019B3"/>
    <w:rsid w:val="00701B2C"/>
    <w:rsid w:val="00701C43"/>
    <w:rsid w:val="00701D43"/>
    <w:rsid w:val="00701DC0"/>
    <w:rsid w:val="00701EC6"/>
    <w:rsid w:val="00701F6C"/>
    <w:rsid w:val="00701F8F"/>
    <w:rsid w:val="00701FA0"/>
    <w:rsid w:val="00702071"/>
    <w:rsid w:val="0070213E"/>
    <w:rsid w:val="00702150"/>
    <w:rsid w:val="00702169"/>
    <w:rsid w:val="0070227E"/>
    <w:rsid w:val="007022D1"/>
    <w:rsid w:val="007023A6"/>
    <w:rsid w:val="00702587"/>
    <w:rsid w:val="0070277C"/>
    <w:rsid w:val="007027BB"/>
    <w:rsid w:val="00702881"/>
    <w:rsid w:val="0070288F"/>
    <w:rsid w:val="007028A5"/>
    <w:rsid w:val="00702926"/>
    <w:rsid w:val="0070298E"/>
    <w:rsid w:val="00702ACA"/>
    <w:rsid w:val="00702B53"/>
    <w:rsid w:val="00702D3B"/>
    <w:rsid w:val="00702DF4"/>
    <w:rsid w:val="00702E40"/>
    <w:rsid w:val="00702F3E"/>
    <w:rsid w:val="00702FC6"/>
    <w:rsid w:val="00703008"/>
    <w:rsid w:val="00703099"/>
    <w:rsid w:val="0070319D"/>
    <w:rsid w:val="007031F9"/>
    <w:rsid w:val="00703228"/>
    <w:rsid w:val="00703269"/>
    <w:rsid w:val="00703305"/>
    <w:rsid w:val="00703307"/>
    <w:rsid w:val="00703322"/>
    <w:rsid w:val="007034F1"/>
    <w:rsid w:val="00703635"/>
    <w:rsid w:val="00703654"/>
    <w:rsid w:val="007036E7"/>
    <w:rsid w:val="00703766"/>
    <w:rsid w:val="00703863"/>
    <w:rsid w:val="007039AB"/>
    <w:rsid w:val="00703A04"/>
    <w:rsid w:val="00703A3C"/>
    <w:rsid w:val="00703A5E"/>
    <w:rsid w:val="00703AA3"/>
    <w:rsid w:val="00703BF4"/>
    <w:rsid w:val="00703C62"/>
    <w:rsid w:val="00703D7B"/>
    <w:rsid w:val="00703D97"/>
    <w:rsid w:val="00703F55"/>
    <w:rsid w:val="00703F7E"/>
    <w:rsid w:val="00704248"/>
    <w:rsid w:val="0070442A"/>
    <w:rsid w:val="00704441"/>
    <w:rsid w:val="00704450"/>
    <w:rsid w:val="00704468"/>
    <w:rsid w:val="00704475"/>
    <w:rsid w:val="007044D5"/>
    <w:rsid w:val="007044ED"/>
    <w:rsid w:val="007044F1"/>
    <w:rsid w:val="007044F2"/>
    <w:rsid w:val="0070456F"/>
    <w:rsid w:val="0070468D"/>
    <w:rsid w:val="007046C2"/>
    <w:rsid w:val="007046C3"/>
    <w:rsid w:val="007046C7"/>
    <w:rsid w:val="007046F0"/>
    <w:rsid w:val="00704718"/>
    <w:rsid w:val="007047DF"/>
    <w:rsid w:val="00704821"/>
    <w:rsid w:val="00704876"/>
    <w:rsid w:val="007049A0"/>
    <w:rsid w:val="00704A4A"/>
    <w:rsid w:val="00704C04"/>
    <w:rsid w:val="00704C61"/>
    <w:rsid w:val="00704F0D"/>
    <w:rsid w:val="00704F9E"/>
    <w:rsid w:val="00705003"/>
    <w:rsid w:val="00705031"/>
    <w:rsid w:val="007050A9"/>
    <w:rsid w:val="007050D9"/>
    <w:rsid w:val="00705133"/>
    <w:rsid w:val="00705170"/>
    <w:rsid w:val="00705175"/>
    <w:rsid w:val="007051FC"/>
    <w:rsid w:val="0070527E"/>
    <w:rsid w:val="007052D9"/>
    <w:rsid w:val="007052DA"/>
    <w:rsid w:val="007053D9"/>
    <w:rsid w:val="007054A5"/>
    <w:rsid w:val="007057AF"/>
    <w:rsid w:val="007057BF"/>
    <w:rsid w:val="007058EB"/>
    <w:rsid w:val="0070593D"/>
    <w:rsid w:val="007059A9"/>
    <w:rsid w:val="00705A46"/>
    <w:rsid w:val="00705A4B"/>
    <w:rsid w:val="00705C30"/>
    <w:rsid w:val="00705C74"/>
    <w:rsid w:val="00705C8B"/>
    <w:rsid w:val="00705CB7"/>
    <w:rsid w:val="00705D65"/>
    <w:rsid w:val="00705D68"/>
    <w:rsid w:val="00705DD3"/>
    <w:rsid w:val="00705DD6"/>
    <w:rsid w:val="00705E56"/>
    <w:rsid w:val="00705E78"/>
    <w:rsid w:val="00705EBD"/>
    <w:rsid w:val="00705EDC"/>
    <w:rsid w:val="00705EEA"/>
    <w:rsid w:val="00705F77"/>
    <w:rsid w:val="00705F89"/>
    <w:rsid w:val="00706176"/>
    <w:rsid w:val="00706261"/>
    <w:rsid w:val="0070649E"/>
    <w:rsid w:val="007065E5"/>
    <w:rsid w:val="007066AC"/>
    <w:rsid w:val="0070680D"/>
    <w:rsid w:val="007069A8"/>
    <w:rsid w:val="00706B0A"/>
    <w:rsid w:val="00706B3A"/>
    <w:rsid w:val="00706BAC"/>
    <w:rsid w:val="00706CCF"/>
    <w:rsid w:val="00706DAA"/>
    <w:rsid w:val="007071B6"/>
    <w:rsid w:val="00707451"/>
    <w:rsid w:val="00707738"/>
    <w:rsid w:val="00707810"/>
    <w:rsid w:val="00707811"/>
    <w:rsid w:val="00707866"/>
    <w:rsid w:val="0070789A"/>
    <w:rsid w:val="0070792C"/>
    <w:rsid w:val="00707967"/>
    <w:rsid w:val="00707C8A"/>
    <w:rsid w:val="00707D16"/>
    <w:rsid w:val="00707DC3"/>
    <w:rsid w:val="00707E9F"/>
    <w:rsid w:val="00707F53"/>
    <w:rsid w:val="0071028F"/>
    <w:rsid w:val="007102EB"/>
    <w:rsid w:val="007102EC"/>
    <w:rsid w:val="00710400"/>
    <w:rsid w:val="007105D2"/>
    <w:rsid w:val="00710638"/>
    <w:rsid w:val="00710689"/>
    <w:rsid w:val="00710728"/>
    <w:rsid w:val="00710758"/>
    <w:rsid w:val="0071081A"/>
    <w:rsid w:val="007108E4"/>
    <w:rsid w:val="00710A7E"/>
    <w:rsid w:val="00710A9B"/>
    <w:rsid w:val="00710B75"/>
    <w:rsid w:val="00710B8D"/>
    <w:rsid w:val="00710BDE"/>
    <w:rsid w:val="00710D54"/>
    <w:rsid w:val="00710D60"/>
    <w:rsid w:val="00710EDF"/>
    <w:rsid w:val="00710F88"/>
    <w:rsid w:val="00710FDE"/>
    <w:rsid w:val="0071106A"/>
    <w:rsid w:val="007110A5"/>
    <w:rsid w:val="0071114E"/>
    <w:rsid w:val="00711343"/>
    <w:rsid w:val="00711460"/>
    <w:rsid w:val="007114F2"/>
    <w:rsid w:val="00711705"/>
    <w:rsid w:val="00711753"/>
    <w:rsid w:val="00711807"/>
    <w:rsid w:val="00711845"/>
    <w:rsid w:val="00711914"/>
    <w:rsid w:val="00711AD5"/>
    <w:rsid w:val="00711C00"/>
    <w:rsid w:val="00711CA0"/>
    <w:rsid w:val="00711CC6"/>
    <w:rsid w:val="00711CCC"/>
    <w:rsid w:val="00711FFB"/>
    <w:rsid w:val="00712036"/>
    <w:rsid w:val="00712079"/>
    <w:rsid w:val="007120B9"/>
    <w:rsid w:val="007120DC"/>
    <w:rsid w:val="00712124"/>
    <w:rsid w:val="00712172"/>
    <w:rsid w:val="007121A2"/>
    <w:rsid w:val="007121CD"/>
    <w:rsid w:val="0071220B"/>
    <w:rsid w:val="00712290"/>
    <w:rsid w:val="0071229C"/>
    <w:rsid w:val="007123A3"/>
    <w:rsid w:val="00712456"/>
    <w:rsid w:val="0071249C"/>
    <w:rsid w:val="007124E3"/>
    <w:rsid w:val="00712564"/>
    <w:rsid w:val="007125B9"/>
    <w:rsid w:val="00712611"/>
    <w:rsid w:val="007127AE"/>
    <w:rsid w:val="007127F5"/>
    <w:rsid w:val="00712804"/>
    <w:rsid w:val="00712857"/>
    <w:rsid w:val="00712878"/>
    <w:rsid w:val="007128E8"/>
    <w:rsid w:val="0071294A"/>
    <w:rsid w:val="00712B00"/>
    <w:rsid w:val="00712B6E"/>
    <w:rsid w:val="00712B9B"/>
    <w:rsid w:val="00712BB7"/>
    <w:rsid w:val="00712BC2"/>
    <w:rsid w:val="00712BCA"/>
    <w:rsid w:val="00712C30"/>
    <w:rsid w:val="00712CCF"/>
    <w:rsid w:val="00712EE4"/>
    <w:rsid w:val="00712EED"/>
    <w:rsid w:val="00712F18"/>
    <w:rsid w:val="00712F86"/>
    <w:rsid w:val="007130BC"/>
    <w:rsid w:val="007130C6"/>
    <w:rsid w:val="00713242"/>
    <w:rsid w:val="00713269"/>
    <w:rsid w:val="007132E4"/>
    <w:rsid w:val="00713374"/>
    <w:rsid w:val="00713385"/>
    <w:rsid w:val="00713447"/>
    <w:rsid w:val="007134AE"/>
    <w:rsid w:val="007135B8"/>
    <w:rsid w:val="00713898"/>
    <w:rsid w:val="007138A1"/>
    <w:rsid w:val="00713A7C"/>
    <w:rsid w:val="00713A88"/>
    <w:rsid w:val="00713C57"/>
    <w:rsid w:val="00713E02"/>
    <w:rsid w:val="00713E88"/>
    <w:rsid w:val="00713EDC"/>
    <w:rsid w:val="00713F6F"/>
    <w:rsid w:val="00714106"/>
    <w:rsid w:val="0071416C"/>
    <w:rsid w:val="007141FE"/>
    <w:rsid w:val="0071427B"/>
    <w:rsid w:val="00714338"/>
    <w:rsid w:val="007143AF"/>
    <w:rsid w:val="007143F1"/>
    <w:rsid w:val="0071455F"/>
    <w:rsid w:val="007147DC"/>
    <w:rsid w:val="00714837"/>
    <w:rsid w:val="00714849"/>
    <w:rsid w:val="007148DC"/>
    <w:rsid w:val="00714950"/>
    <w:rsid w:val="00714AE8"/>
    <w:rsid w:val="00714AFF"/>
    <w:rsid w:val="00714B26"/>
    <w:rsid w:val="00714BB3"/>
    <w:rsid w:val="00714C9A"/>
    <w:rsid w:val="00714D24"/>
    <w:rsid w:val="00714D3D"/>
    <w:rsid w:val="00714DCF"/>
    <w:rsid w:val="00714DE1"/>
    <w:rsid w:val="00714E8E"/>
    <w:rsid w:val="00714F79"/>
    <w:rsid w:val="00714FF2"/>
    <w:rsid w:val="00715033"/>
    <w:rsid w:val="00715051"/>
    <w:rsid w:val="00715092"/>
    <w:rsid w:val="00715098"/>
    <w:rsid w:val="007150C2"/>
    <w:rsid w:val="00715108"/>
    <w:rsid w:val="00715147"/>
    <w:rsid w:val="00715166"/>
    <w:rsid w:val="007151AA"/>
    <w:rsid w:val="007154C4"/>
    <w:rsid w:val="007154D6"/>
    <w:rsid w:val="0071558A"/>
    <w:rsid w:val="007155DF"/>
    <w:rsid w:val="007157C1"/>
    <w:rsid w:val="0071583C"/>
    <w:rsid w:val="0071596B"/>
    <w:rsid w:val="00715972"/>
    <w:rsid w:val="00715A4C"/>
    <w:rsid w:val="00715AB1"/>
    <w:rsid w:val="00715B28"/>
    <w:rsid w:val="00715B9D"/>
    <w:rsid w:val="00715BBF"/>
    <w:rsid w:val="00715C57"/>
    <w:rsid w:val="00715CA6"/>
    <w:rsid w:val="00715CCB"/>
    <w:rsid w:val="00715D18"/>
    <w:rsid w:val="00715D22"/>
    <w:rsid w:val="00715F3E"/>
    <w:rsid w:val="00715F4D"/>
    <w:rsid w:val="00715FB9"/>
    <w:rsid w:val="0071607B"/>
    <w:rsid w:val="00716083"/>
    <w:rsid w:val="007160AE"/>
    <w:rsid w:val="007160C6"/>
    <w:rsid w:val="007160E3"/>
    <w:rsid w:val="007160ED"/>
    <w:rsid w:val="00716196"/>
    <w:rsid w:val="007161A0"/>
    <w:rsid w:val="0071632A"/>
    <w:rsid w:val="00716361"/>
    <w:rsid w:val="00716479"/>
    <w:rsid w:val="007164DA"/>
    <w:rsid w:val="00716536"/>
    <w:rsid w:val="0071657A"/>
    <w:rsid w:val="007165AC"/>
    <w:rsid w:val="00716612"/>
    <w:rsid w:val="00716672"/>
    <w:rsid w:val="007166A7"/>
    <w:rsid w:val="007166B4"/>
    <w:rsid w:val="007166C0"/>
    <w:rsid w:val="00716757"/>
    <w:rsid w:val="00716811"/>
    <w:rsid w:val="007169CF"/>
    <w:rsid w:val="00716A2D"/>
    <w:rsid w:val="00716A7B"/>
    <w:rsid w:val="00716AAA"/>
    <w:rsid w:val="00716AFB"/>
    <w:rsid w:val="00716B46"/>
    <w:rsid w:val="00716B7B"/>
    <w:rsid w:val="00716C06"/>
    <w:rsid w:val="00716CD8"/>
    <w:rsid w:val="00716D3C"/>
    <w:rsid w:val="00716E55"/>
    <w:rsid w:val="00717002"/>
    <w:rsid w:val="00717473"/>
    <w:rsid w:val="00717530"/>
    <w:rsid w:val="00717539"/>
    <w:rsid w:val="0071763D"/>
    <w:rsid w:val="0071764B"/>
    <w:rsid w:val="00717729"/>
    <w:rsid w:val="0071779C"/>
    <w:rsid w:val="007177A1"/>
    <w:rsid w:val="00717850"/>
    <w:rsid w:val="0071787B"/>
    <w:rsid w:val="007178A2"/>
    <w:rsid w:val="007178BA"/>
    <w:rsid w:val="007178C5"/>
    <w:rsid w:val="00717914"/>
    <w:rsid w:val="00717921"/>
    <w:rsid w:val="0071796A"/>
    <w:rsid w:val="00717A38"/>
    <w:rsid w:val="00717A6E"/>
    <w:rsid w:val="00717AB3"/>
    <w:rsid w:val="00717B88"/>
    <w:rsid w:val="00717D23"/>
    <w:rsid w:val="00717F2D"/>
    <w:rsid w:val="00720105"/>
    <w:rsid w:val="007201E0"/>
    <w:rsid w:val="007202B2"/>
    <w:rsid w:val="007202B9"/>
    <w:rsid w:val="007202BC"/>
    <w:rsid w:val="0072036A"/>
    <w:rsid w:val="00720508"/>
    <w:rsid w:val="007206F1"/>
    <w:rsid w:val="00720768"/>
    <w:rsid w:val="007207D4"/>
    <w:rsid w:val="0072087E"/>
    <w:rsid w:val="00720908"/>
    <w:rsid w:val="007209A4"/>
    <w:rsid w:val="00720BE1"/>
    <w:rsid w:val="00720C3D"/>
    <w:rsid w:val="00720C56"/>
    <w:rsid w:val="00720C94"/>
    <w:rsid w:val="0072102D"/>
    <w:rsid w:val="007211B4"/>
    <w:rsid w:val="00721245"/>
    <w:rsid w:val="0072125A"/>
    <w:rsid w:val="00721286"/>
    <w:rsid w:val="00721319"/>
    <w:rsid w:val="00721332"/>
    <w:rsid w:val="00721370"/>
    <w:rsid w:val="007213CA"/>
    <w:rsid w:val="0072140C"/>
    <w:rsid w:val="0072140E"/>
    <w:rsid w:val="00721483"/>
    <w:rsid w:val="0072152B"/>
    <w:rsid w:val="00721572"/>
    <w:rsid w:val="007215C3"/>
    <w:rsid w:val="007216A8"/>
    <w:rsid w:val="00721713"/>
    <w:rsid w:val="00721807"/>
    <w:rsid w:val="0072188F"/>
    <w:rsid w:val="007219C9"/>
    <w:rsid w:val="00721AEA"/>
    <w:rsid w:val="00721AF8"/>
    <w:rsid w:val="00721BAE"/>
    <w:rsid w:val="00721BF0"/>
    <w:rsid w:val="00721C30"/>
    <w:rsid w:val="00721CE4"/>
    <w:rsid w:val="00721DBE"/>
    <w:rsid w:val="00721DBF"/>
    <w:rsid w:val="00721E35"/>
    <w:rsid w:val="00721E74"/>
    <w:rsid w:val="00721EAD"/>
    <w:rsid w:val="00721F6A"/>
    <w:rsid w:val="0072206C"/>
    <w:rsid w:val="00722177"/>
    <w:rsid w:val="007221F7"/>
    <w:rsid w:val="00722256"/>
    <w:rsid w:val="007222CA"/>
    <w:rsid w:val="00722371"/>
    <w:rsid w:val="00722441"/>
    <w:rsid w:val="00722B35"/>
    <w:rsid w:val="00722C1D"/>
    <w:rsid w:val="00722CAB"/>
    <w:rsid w:val="00722CF0"/>
    <w:rsid w:val="00722D67"/>
    <w:rsid w:val="00722DBF"/>
    <w:rsid w:val="00722EE8"/>
    <w:rsid w:val="00722FD6"/>
    <w:rsid w:val="007230D1"/>
    <w:rsid w:val="007230E9"/>
    <w:rsid w:val="00723109"/>
    <w:rsid w:val="007231DE"/>
    <w:rsid w:val="00723210"/>
    <w:rsid w:val="0072323C"/>
    <w:rsid w:val="00723276"/>
    <w:rsid w:val="00723352"/>
    <w:rsid w:val="0072337D"/>
    <w:rsid w:val="007233B1"/>
    <w:rsid w:val="0072340E"/>
    <w:rsid w:val="00723440"/>
    <w:rsid w:val="0072356A"/>
    <w:rsid w:val="0072358C"/>
    <w:rsid w:val="007235DC"/>
    <w:rsid w:val="00723652"/>
    <w:rsid w:val="0072366A"/>
    <w:rsid w:val="007236D4"/>
    <w:rsid w:val="00723748"/>
    <w:rsid w:val="00723801"/>
    <w:rsid w:val="007239D1"/>
    <w:rsid w:val="00723A6D"/>
    <w:rsid w:val="00723B8C"/>
    <w:rsid w:val="00723B97"/>
    <w:rsid w:val="00723BAA"/>
    <w:rsid w:val="00723C17"/>
    <w:rsid w:val="00723CEF"/>
    <w:rsid w:val="00723D7F"/>
    <w:rsid w:val="00723E71"/>
    <w:rsid w:val="00723ED9"/>
    <w:rsid w:val="0072405F"/>
    <w:rsid w:val="00724075"/>
    <w:rsid w:val="007240C0"/>
    <w:rsid w:val="00724263"/>
    <w:rsid w:val="0072430B"/>
    <w:rsid w:val="007244A5"/>
    <w:rsid w:val="00724623"/>
    <w:rsid w:val="007246E0"/>
    <w:rsid w:val="0072472D"/>
    <w:rsid w:val="0072478B"/>
    <w:rsid w:val="00724800"/>
    <w:rsid w:val="00724802"/>
    <w:rsid w:val="007248DD"/>
    <w:rsid w:val="007248F5"/>
    <w:rsid w:val="00724AE4"/>
    <w:rsid w:val="00724B38"/>
    <w:rsid w:val="00724B4E"/>
    <w:rsid w:val="00724B67"/>
    <w:rsid w:val="00724CF6"/>
    <w:rsid w:val="00724D9C"/>
    <w:rsid w:val="00724E3B"/>
    <w:rsid w:val="00724EAC"/>
    <w:rsid w:val="00724F7B"/>
    <w:rsid w:val="00724FAA"/>
    <w:rsid w:val="00724FD3"/>
    <w:rsid w:val="00725053"/>
    <w:rsid w:val="00725058"/>
    <w:rsid w:val="007250A8"/>
    <w:rsid w:val="00725169"/>
    <w:rsid w:val="007251D0"/>
    <w:rsid w:val="0072521F"/>
    <w:rsid w:val="007252A4"/>
    <w:rsid w:val="00725374"/>
    <w:rsid w:val="00725624"/>
    <w:rsid w:val="00725640"/>
    <w:rsid w:val="00725737"/>
    <w:rsid w:val="00725751"/>
    <w:rsid w:val="007257D4"/>
    <w:rsid w:val="007257F8"/>
    <w:rsid w:val="0072586C"/>
    <w:rsid w:val="00725951"/>
    <w:rsid w:val="00725A13"/>
    <w:rsid w:val="00725A39"/>
    <w:rsid w:val="00725A66"/>
    <w:rsid w:val="00725B76"/>
    <w:rsid w:val="00725BC5"/>
    <w:rsid w:val="00725C91"/>
    <w:rsid w:val="00725E21"/>
    <w:rsid w:val="00725E98"/>
    <w:rsid w:val="00725FBD"/>
    <w:rsid w:val="00725FBE"/>
    <w:rsid w:val="0072604A"/>
    <w:rsid w:val="00726093"/>
    <w:rsid w:val="0072613A"/>
    <w:rsid w:val="0072614A"/>
    <w:rsid w:val="00726200"/>
    <w:rsid w:val="007262E8"/>
    <w:rsid w:val="0072634F"/>
    <w:rsid w:val="00726370"/>
    <w:rsid w:val="0072639C"/>
    <w:rsid w:val="0072646A"/>
    <w:rsid w:val="007264D7"/>
    <w:rsid w:val="007264F8"/>
    <w:rsid w:val="0072651F"/>
    <w:rsid w:val="007265E1"/>
    <w:rsid w:val="00726650"/>
    <w:rsid w:val="00726680"/>
    <w:rsid w:val="007266EC"/>
    <w:rsid w:val="007267E5"/>
    <w:rsid w:val="00726967"/>
    <w:rsid w:val="00726993"/>
    <w:rsid w:val="00726AA5"/>
    <w:rsid w:val="00726BCE"/>
    <w:rsid w:val="00726D5E"/>
    <w:rsid w:val="00726D75"/>
    <w:rsid w:val="00727068"/>
    <w:rsid w:val="0072730A"/>
    <w:rsid w:val="007274CB"/>
    <w:rsid w:val="007274DE"/>
    <w:rsid w:val="00727509"/>
    <w:rsid w:val="00727629"/>
    <w:rsid w:val="007276D3"/>
    <w:rsid w:val="00727714"/>
    <w:rsid w:val="00727740"/>
    <w:rsid w:val="00727816"/>
    <w:rsid w:val="0072782C"/>
    <w:rsid w:val="0072789B"/>
    <w:rsid w:val="0072789E"/>
    <w:rsid w:val="00727976"/>
    <w:rsid w:val="00727A9D"/>
    <w:rsid w:val="00727B14"/>
    <w:rsid w:val="00727C30"/>
    <w:rsid w:val="00727CC3"/>
    <w:rsid w:val="00727CFC"/>
    <w:rsid w:val="00727E45"/>
    <w:rsid w:val="00727F2A"/>
    <w:rsid w:val="007301DD"/>
    <w:rsid w:val="007301F6"/>
    <w:rsid w:val="0073020B"/>
    <w:rsid w:val="00730435"/>
    <w:rsid w:val="007304A4"/>
    <w:rsid w:val="007304EB"/>
    <w:rsid w:val="007304F7"/>
    <w:rsid w:val="00730507"/>
    <w:rsid w:val="0073051B"/>
    <w:rsid w:val="00730566"/>
    <w:rsid w:val="0073056B"/>
    <w:rsid w:val="0073075B"/>
    <w:rsid w:val="007307BF"/>
    <w:rsid w:val="0073085C"/>
    <w:rsid w:val="00730944"/>
    <w:rsid w:val="00730961"/>
    <w:rsid w:val="00730965"/>
    <w:rsid w:val="0073098A"/>
    <w:rsid w:val="007309DE"/>
    <w:rsid w:val="00730AC8"/>
    <w:rsid w:val="00730B75"/>
    <w:rsid w:val="00730BBF"/>
    <w:rsid w:val="00730C5A"/>
    <w:rsid w:val="00730CA4"/>
    <w:rsid w:val="00730CC3"/>
    <w:rsid w:val="00730DF7"/>
    <w:rsid w:val="00730E0B"/>
    <w:rsid w:val="00730E57"/>
    <w:rsid w:val="00730E70"/>
    <w:rsid w:val="00730F14"/>
    <w:rsid w:val="00731023"/>
    <w:rsid w:val="0073102B"/>
    <w:rsid w:val="00731051"/>
    <w:rsid w:val="00731253"/>
    <w:rsid w:val="007312EE"/>
    <w:rsid w:val="0073131E"/>
    <w:rsid w:val="007313F1"/>
    <w:rsid w:val="0073143B"/>
    <w:rsid w:val="0073146F"/>
    <w:rsid w:val="007314B2"/>
    <w:rsid w:val="007314C2"/>
    <w:rsid w:val="007314ED"/>
    <w:rsid w:val="00731665"/>
    <w:rsid w:val="007316B0"/>
    <w:rsid w:val="00731762"/>
    <w:rsid w:val="007317D4"/>
    <w:rsid w:val="0073183C"/>
    <w:rsid w:val="007318B3"/>
    <w:rsid w:val="00731918"/>
    <w:rsid w:val="00731A39"/>
    <w:rsid w:val="00731A6B"/>
    <w:rsid w:val="00731B1B"/>
    <w:rsid w:val="00731BD8"/>
    <w:rsid w:val="00731C74"/>
    <w:rsid w:val="00731CBC"/>
    <w:rsid w:val="00731E4C"/>
    <w:rsid w:val="00731E92"/>
    <w:rsid w:val="00731F28"/>
    <w:rsid w:val="007320E3"/>
    <w:rsid w:val="00732125"/>
    <w:rsid w:val="00732208"/>
    <w:rsid w:val="007322C5"/>
    <w:rsid w:val="007322C6"/>
    <w:rsid w:val="007322DA"/>
    <w:rsid w:val="0073254F"/>
    <w:rsid w:val="00732553"/>
    <w:rsid w:val="007325D3"/>
    <w:rsid w:val="007326A7"/>
    <w:rsid w:val="007329C0"/>
    <w:rsid w:val="007329CD"/>
    <w:rsid w:val="007329F7"/>
    <w:rsid w:val="00732A94"/>
    <w:rsid w:val="00732AC1"/>
    <w:rsid w:val="00732C18"/>
    <w:rsid w:val="00732C20"/>
    <w:rsid w:val="00732C80"/>
    <w:rsid w:val="00732CF4"/>
    <w:rsid w:val="00732D78"/>
    <w:rsid w:val="00732E35"/>
    <w:rsid w:val="00732E57"/>
    <w:rsid w:val="00732E76"/>
    <w:rsid w:val="00732EBE"/>
    <w:rsid w:val="00733073"/>
    <w:rsid w:val="00733082"/>
    <w:rsid w:val="0073310D"/>
    <w:rsid w:val="007331A6"/>
    <w:rsid w:val="0073321D"/>
    <w:rsid w:val="00733220"/>
    <w:rsid w:val="00733288"/>
    <w:rsid w:val="007332CF"/>
    <w:rsid w:val="00733440"/>
    <w:rsid w:val="0073370C"/>
    <w:rsid w:val="007337A9"/>
    <w:rsid w:val="007337F0"/>
    <w:rsid w:val="0073383A"/>
    <w:rsid w:val="00733B35"/>
    <w:rsid w:val="00733C43"/>
    <w:rsid w:val="00733C71"/>
    <w:rsid w:val="00733C9D"/>
    <w:rsid w:val="00733D15"/>
    <w:rsid w:val="00733D93"/>
    <w:rsid w:val="00733FAB"/>
    <w:rsid w:val="0073402F"/>
    <w:rsid w:val="00734071"/>
    <w:rsid w:val="007340D4"/>
    <w:rsid w:val="007340DA"/>
    <w:rsid w:val="007341CC"/>
    <w:rsid w:val="00734271"/>
    <w:rsid w:val="007342F7"/>
    <w:rsid w:val="0073432F"/>
    <w:rsid w:val="0073434F"/>
    <w:rsid w:val="007343CC"/>
    <w:rsid w:val="00734424"/>
    <w:rsid w:val="00734490"/>
    <w:rsid w:val="007345A5"/>
    <w:rsid w:val="007347AD"/>
    <w:rsid w:val="00734930"/>
    <w:rsid w:val="0073499E"/>
    <w:rsid w:val="00734A1D"/>
    <w:rsid w:val="00734D4C"/>
    <w:rsid w:val="00734E07"/>
    <w:rsid w:val="00734E58"/>
    <w:rsid w:val="00734FC4"/>
    <w:rsid w:val="00735340"/>
    <w:rsid w:val="00735341"/>
    <w:rsid w:val="007353E3"/>
    <w:rsid w:val="00735416"/>
    <w:rsid w:val="0073543B"/>
    <w:rsid w:val="0073547B"/>
    <w:rsid w:val="0073554A"/>
    <w:rsid w:val="00735554"/>
    <w:rsid w:val="0073557E"/>
    <w:rsid w:val="00735597"/>
    <w:rsid w:val="007356A9"/>
    <w:rsid w:val="007356AC"/>
    <w:rsid w:val="007357CF"/>
    <w:rsid w:val="0073584F"/>
    <w:rsid w:val="00735852"/>
    <w:rsid w:val="00735A14"/>
    <w:rsid w:val="00735BA3"/>
    <w:rsid w:val="00735DA7"/>
    <w:rsid w:val="00735DFB"/>
    <w:rsid w:val="00735E5A"/>
    <w:rsid w:val="00735E6C"/>
    <w:rsid w:val="00735ECB"/>
    <w:rsid w:val="00736061"/>
    <w:rsid w:val="00736269"/>
    <w:rsid w:val="0073637D"/>
    <w:rsid w:val="00736490"/>
    <w:rsid w:val="00736582"/>
    <w:rsid w:val="007365F0"/>
    <w:rsid w:val="007365F3"/>
    <w:rsid w:val="00736613"/>
    <w:rsid w:val="00736628"/>
    <w:rsid w:val="007366BD"/>
    <w:rsid w:val="00736716"/>
    <w:rsid w:val="0073671E"/>
    <w:rsid w:val="0073677C"/>
    <w:rsid w:val="007367E8"/>
    <w:rsid w:val="00736882"/>
    <w:rsid w:val="0073693D"/>
    <w:rsid w:val="0073695B"/>
    <w:rsid w:val="007369E4"/>
    <w:rsid w:val="00736A22"/>
    <w:rsid w:val="00736B24"/>
    <w:rsid w:val="00736BA9"/>
    <w:rsid w:val="00736C3D"/>
    <w:rsid w:val="00736C95"/>
    <w:rsid w:val="00736CF3"/>
    <w:rsid w:val="00736D59"/>
    <w:rsid w:val="00736DBC"/>
    <w:rsid w:val="00736E53"/>
    <w:rsid w:val="00736EAD"/>
    <w:rsid w:val="00736EDC"/>
    <w:rsid w:val="00736F9F"/>
    <w:rsid w:val="00737043"/>
    <w:rsid w:val="00737092"/>
    <w:rsid w:val="0073713C"/>
    <w:rsid w:val="0073717D"/>
    <w:rsid w:val="0073728A"/>
    <w:rsid w:val="007372C2"/>
    <w:rsid w:val="007372CE"/>
    <w:rsid w:val="00737350"/>
    <w:rsid w:val="007374DD"/>
    <w:rsid w:val="00737560"/>
    <w:rsid w:val="00737680"/>
    <w:rsid w:val="007376A5"/>
    <w:rsid w:val="007376F1"/>
    <w:rsid w:val="00737927"/>
    <w:rsid w:val="007379B6"/>
    <w:rsid w:val="00737AB4"/>
    <w:rsid w:val="00737AC6"/>
    <w:rsid w:val="00737BAB"/>
    <w:rsid w:val="00737BEA"/>
    <w:rsid w:val="00737C09"/>
    <w:rsid w:val="00737C0A"/>
    <w:rsid w:val="00737C18"/>
    <w:rsid w:val="00737CA7"/>
    <w:rsid w:val="00737CDA"/>
    <w:rsid w:val="00737DAE"/>
    <w:rsid w:val="00737ED3"/>
    <w:rsid w:val="00737FC3"/>
    <w:rsid w:val="0074003B"/>
    <w:rsid w:val="00740074"/>
    <w:rsid w:val="00740113"/>
    <w:rsid w:val="00740150"/>
    <w:rsid w:val="00740159"/>
    <w:rsid w:val="00740197"/>
    <w:rsid w:val="0074029F"/>
    <w:rsid w:val="007402C4"/>
    <w:rsid w:val="00740397"/>
    <w:rsid w:val="007403C5"/>
    <w:rsid w:val="00740423"/>
    <w:rsid w:val="007405C5"/>
    <w:rsid w:val="007406FD"/>
    <w:rsid w:val="007407DF"/>
    <w:rsid w:val="00740829"/>
    <w:rsid w:val="00740858"/>
    <w:rsid w:val="00740907"/>
    <w:rsid w:val="007409F9"/>
    <w:rsid w:val="00740A41"/>
    <w:rsid w:val="00740A9A"/>
    <w:rsid w:val="00740AD8"/>
    <w:rsid w:val="00740B52"/>
    <w:rsid w:val="00740B88"/>
    <w:rsid w:val="00740C0A"/>
    <w:rsid w:val="00740C41"/>
    <w:rsid w:val="00740C96"/>
    <w:rsid w:val="00740CDB"/>
    <w:rsid w:val="00740CEC"/>
    <w:rsid w:val="00740DA5"/>
    <w:rsid w:val="00740DF2"/>
    <w:rsid w:val="00740E22"/>
    <w:rsid w:val="00740EA2"/>
    <w:rsid w:val="00740EDD"/>
    <w:rsid w:val="00740F3B"/>
    <w:rsid w:val="0074104B"/>
    <w:rsid w:val="00741054"/>
    <w:rsid w:val="0074107F"/>
    <w:rsid w:val="007413AA"/>
    <w:rsid w:val="007414B0"/>
    <w:rsid w:val="007414DF"/>
    <w:rsid w:val="00741548"/>
    <w:rsid w:val="007415C6"/>
    <w:rsid w:val="007416C9"/>
    <w:rsid w:val="0074177A"/>
    <w:rsid w:val="00741790"/>
    <w:rsid w:val="00741827"/>
    <w:rsid w:val="0074182A"/>
    <w:rsid w:val="0074185D"/>
    <w:rsid w:val="0074189A"/>
    <w:rsid w:val="007418CC"/>
    <w:rsid w:val="00741A16"/>
    <w:rsid w:val="00741ADF"/>
    <w:rsid w:val="00741B49"/>
    <w:rsid w:val="00741B4C"/>
    <w:rsid w:val="00741BE1"/>
    <w:rsid w:val="00741C6F"/>
    <w:rsid w:val="00741E24"/>
    <w:rsid w:val="00741E42"/>
    <w:rsid w:val="00741F6F"/>
    <w:rsid w:val="00742132"/>
    <w:rsid w:val="00742190"/>
    <w:rsid w:val="0074222F"/>
    <w:rsid w:val="00742258"/>
    <w:rsid w:val="0074231A"/>
    <w:rsid w:val="00742389"/>
    <w:rsid w:val="007423C7"/>
    <w:rsid w:val="007423CA"/>
    <w:rsid w:val="00742449"/>
    <w:rsid w:val="007424D2"/>
    <w:rsid w:val="007424FB"/>
    <w:rsid w:val="0074262E"/>
    <w:rsid w:val="00742637"/>
    <w:rsid w:val="00742675"/>
    <w:rsid w:val="0074271F"/>
    <w:rsid w:val="00742795"/>
    <w:rsid w:val="00742850"/>
    <w:rsid w:val="00742909"/>
    <w:rsid w:val="007429F7"/>
    <w:rsid w:val="00742B73"/>
    <w:rsid w:val="00742B7F"/>
    <w:rsid w:val="00742DB7"/>
    <w:rsid w:val="00742F5E"/>
    <w:rsid w:val="00742F7F"/>
    <w:rsid w:val="0074302F"/>
    <w:rsid w:val="0074314F"/>
    <w:rsid w:val="00743157"/>
    <w:rsid w:val="007431AC"/>
    <w:rsid w:val="0074326F"/>
    <w:rsid w:val="007433D8"/>
    <w:rsid w:val="007433E9"/>
    <w:rsid w:val="007434C0"/>
    <w:rsid w:val="007437DD"/>
    <w:rsid w:val="00743819"/>
    <w:rsid w:val="00743924"/>
    <w:rsid w:val="00743A22"/>
    <w:rsid w:val="00743ACD"/>
    <w:rsid w:val="00743B90"/>
    <w:rsid w:val="00743DD7"/>
    <w:rsid w:val="00743ED7"/>
    <w:rsid w:val="00743EFD"/>
    <w:rsid w:val="00743F28"/>
    <w:rsid w:val="00743F38"/>
    <w:rsid w:val="0074401D"/>
    <w:rsid w:val="00744072"/>
    <w:rsid w:val="007440BF"/>
    <w:rsid w:val="007440D5"/>
    <w:rsid w:val="0074411F"/>
    <w:rsid w:val="0074414C"/>
    <w:rsid w:val="00744180"/>
    <w:rsid w:val="00744221"/>
    <w:rsid w:val="0074429B"/>
    <w:rsid w:val="007442E0"/>
    <w:rsid w:val="00744333"/>
    <w:rsid w:val="00744366"/>
    <w:rsid w:val="00744377"/>
    <w:rsid w:val="00744435"/>
    <w:rsid w:val="007444D7"/>
    <w:rsid w:val="00744552"/>
    <w:rsid w:val="00744563"/>
    <w:rsid w:val="007445A3"/>
    <w:rsid w:val="007445DA"/>
    <w:rsid w:val="00744713"/>
    <w:rsid w:val="00744853"/>
    <w:rsid w:val="00744896"/>
    <w:rsid w:val="007449C0"/>
    <w:rsid w:val="007449E5"/>
    <w:rsid w:val="00744A73"/>
    <w:rsid w:val="00744ADD"/>
    <w:rsid w:val="00744BCD"/>
    <w:rsid w:val="00744C03"/>
    <w:rsid w:val="00744D25"/>
    <w:rsid w:val="00744D4A"/>
    <w:rsid w:val="00744E41"/>
    <w:rsid w:val="00744F29"/>
    <w:rsid w:val="00745000"/>
    <w:rsid w:val="00745104"/>
    <w:rsid w:val="00745125"/>
    <w:rsid w:val="0074517E"/>
    <w:rsid w:val="00745186"/>
    <w:rsid w:val="00745195"/>
    <w:rsid w:val="007451C2"/>
    <w:rsid w:val="007452CF"/>
    <w:rsid w:val="0074530F"/>
    <w:rsid w:val="0074533C"/>
    <w:rsid w:val="00745514"/>
    <w:rsid w:val="00745550"/>
    <w:rsid w:val="007456CF"/>
    <w:rsid w:val="007456E8"/>
    <w:rsid w:val="00745740"/>
    <w:rsid w:val="0074578F"/>
    <w:rsid w:val="0074586F"/>
    <w:rsid w:val="007458DA"/>
    <w:rsid w:val="007459EA"/>
    <w:rsid w:val="00745A1F"/>
    <w:rsid w:val="00745A3A"/>
    <w:rsid w:val="00745B6A"/>
    <w:rsid w:val="00745C27"/>
    <w:rsid w:val="00745D05"/>
    <w:rsid w:val="00745D66"/>
    <w:rsid w:val="00745D92"/>
    <w:rsid w:val="00745D93"/>
    <w:rsid w:val="00745E3C"/>
    <w:rsid w:val="00745EC6"/>
    <w:rsid w:val="00745EF4"/>
    <w:rsid w:val="007460D9"/>
    <w:rsid w:val="007460E4"/>
    <w:rsid w:val="007461EE"/>
    <w:rsid w:val="00746262"/>
    <w:rsid w:val="007463F9"/>
    <w:rsid w:val="0074650D"/>
    <w:rsid w:val="007465C2"/>
    <w:rsid w:val="007465C5"/>
    <w:rsid w:val="007465DB"/>
    <w:rsid w:val="0074666E"/>
    <w:rsid w:val="007466AE"/>
    <w:rsid w:val="007466CB"/>
    <w:rsid w:val="00746702"/>
    <w:rsid w:val="0074686F"/>
    <w:rsid w:val="00746889"/>
    <w:rsid w:val="007468B4"/>
    <w:rsid w:val="007468B7"/>
    <w:rsid w:val="007468DB"/>
    <w:rsid w:val="00746918"/>
    <w:rsid w:val="00746ADB"/>
    <w:rsid w:val="00746AE5"/>
    <w:rsid w:val="00746B16"/>
    <w:rsid w:val="00746D55"/>
    <w:rsid w:val="00746DBC"/>
    <w:rsid w:val="00746F52"/>
    <w:rsid w:val="0074705A"/>
    <w:rsid w:val="0074709A"/>
    <w:rsid w:val="007470B3"/>
    <w:rsid w:val="0074726E"/>
    <w:rsid w:val="00747374"/>
    <w:rsid w:val="007476D4"/>
    <w:rsid w:val="007477E7"/>
    <w:rsid w:val="0074785C"/>
    <w:rsid w:val="00747938"/>
    <w:rsid w:val="00747941"/>
    <w:rsid w:val="00747991"/>
    <w:rsid w:val="007479F1"/>
    <w:rsid w:val="00747A1C"/>
    <w:rsid w:val="00747A44"/>
    <w:rsid w:val="00747A99"/>
    <w:rsid w:val="00747AC5"/>
    <w:rsid w:val="00747B4F"/>
    <w:rsid w:val="00747C04"/>
    <w:rsid w:val="00747CDF"/>
    <w:rsid w:val="00747CE5"/>
    <w:rsid w:val="00747CE7"/>
    <w:rsid w:val="00747D06"/>
    <w:rsid w:val="00747E3F"/>
    <w:rsid w:val="00747E43"/>
    <w:rsid w:val="00747EBF"/>
    <w:rsid w:val="00747F18"/>
    <w:rsid w:val="00747FC9"/>
    <w:rsid w:val="00750072"/>
    <w:rsid w:val="00750145"/>
    <w:rsid w:val="007501ED"/>
    <w:rsid w:val="0075026C"/>
    <w:rsid w:val="0075028A"/>
    <w:rsid w:val="00750341"/>
    <w:rsid w:val="007503BF"/>
    <w:rsid w:val="00750471"/>
    <w:rsid w:val="007504A6"/>
    <w:rsid w:val="007505A1"/>
    <w:rsid w:val="007505A2"/>
    <w:rsid w:val="007505E0"/>
    <w:rsid w:val="007505F9"/>
    <w:rsid w:val="007506B4"/>
    <w:rsid w:val="0075076A"/>
    <w:rsid w:val="00750799"/>
    <w:rsid w:val="007507B6"/>
    <w:rsid w:val="0075081B"/>
    <w:rsid w:val="00750854"/>
    <w:rsid w:val="007508C2"/>
    <w:rsid w:val="00750931"/>
    <w:rsid w:val="00750951"/>
    <w:rsid w:val="0075097D"/>
    <w:rsid w:val="00750AE4"/>
    <w:rsid w:val="00750B46"/>
    <w:rsid w:val="00750B5C"/>
    <w:rsid w:val="00750C8B"/>
    <w:rsid w:val="00751013"/>
    <w:rsid w:val="00751058"/>
    <w:rsid w:val="00751106"/>
    <w:rsid w:val="007511B3"/>
    <w:rsid w:val="00751228"/>
    <w:rsid w:val="007513DC"/>
    <w:rsid w:val="00751425"/>
    <w:rsid w:val="00751617"/>
    <w:rsid w:val="007516B5"/>
    <w:rsid w:val="007518E4"/>
    <w:rsid w:val="0075196C"/>
    <w:rsid w:val="007519A9"/>
    <w:rsid w:val="007519EF"/>
    <w:rsid w:val="00751B6F"/>
    <w:rsid w:val="00751BC2"/>
    <w:rsid w:val="00751BCA"/>
    <w:rsid w:val="00751C3B"/>
    <w:rsid w:val="00751CEA"/>
    <w:rsid w:val="00751D95"/>
    <w:rsid w:val="00751E24"/>
    <w:rsid w:val="00751E60"/>
    <w:rsid w:val="00751E63"/>
    <w:rsid w:val="00751F33"/>
    <w:rsid w:val="00752043"/>
    <w:rsid w:val="00752152"/>
    <w:rsid w:val="007522D6"/>
    <w:rsid w:val="007522DA"/>
    <w:rsid w:val="0075235F"/>
    <w:rsid w:val="007523A1"/>
    <w:rsid w:val="007523CA"/>
    <w:rsid w:val="007523D5"/>
    <w:rsid w:val="007523D7"/>
    <w:rsid w:val="0075242E"/>
    <w:rsid w:val="007524FC"/>
    <w:rsid w:val="0075252E"/>
    <w:rsid w:val="007525F3"/>
    <w:rsid w:val="0075260D"/>
    <w:rsid w:val="0075262D"/>
    <w:rsid w:val="0075268D"/>
    <w:rsid w:val="007526B1"/>
    <w:rsid w:val="007526BD"/>
    <w:rsid w:val="00752720"/>
    <w:rsid w:val="00752856"/>
    <w:rsid w:val="00752865"/>
    <w:rsid w:val="007528B7"/>
    <w:rsid w:val="007528EB"/>
    <w:rsid w:val="00752988"/>
    <w:rsid w:val="007529FB"/>
    <w:rsid w:val="00752A9C"/>
    <w:rsid w:val="00752B6C"/>
    <w:rsid w:val="00752C47"/>
    <w:rsid w:val="00752C62"/>
    <w:rsid w:val="00752D03"/>
    <w:rsid w:val="00752D84"/>
    <w:rsid w:val="00752E38"/>
    <w:rsid w:val="00752F22"/>
    <w:rsid w:val="00752FC6"/>
    <w:rsid w:val="007531C3"/>
    <w:rsid w:val="00753250"/>
    <w:rsid w:val="00753260"/>
    <w:rsid w:val="00753302"/>
    <w:rsid w:val="00753343"/>
    <w:rsid w:val="007533EF"/>
    <w:rsid w:val="00753519"/>
    <w:rsid w:val="0075353C"/>
    <w:rsid w:val="00753585"/>
    <w:rsid w:val="00753590"/>
    <w:rsid w:val="0075359C"/>
    <w:rsid w:val="007535B0"/>
    <w:rsid w:val="007535BA"/>
    <w:rsid w:val="00753767"/>
    <w:rsid w:val="007537B0"/>
    <w:rsid w:val="007537DB"/>
    <w:rsid w:val="007537F3"/>
    <w:rsid w:val="007538D4"/>
    <w:rsid w:val="00753988"/>
    <w:rsid w:val="007539F1"/>
    <w:rsid w:val="00753C5E"/>
    <w:rsid w:val="00753C68"/>
    <w:rsid w:val="00753D23"/>
    <w:rsid w:val="00753F18"/>
    <w:rsid w:val="00753FB0"/>
    <w:rsid w:val="00754004"/>
    <w:rsid w:val="00754039"/>
    <w:rsid w:val="0075412D"/>
    <w:rsid w:val="007541BD"/>
    <w:rsid w:val="007542E3"/>
    <w:rsid w:val="007542FD"/>
    <w:rsid w:val="00754368"/>
    <w:rsid w:val="00754389"/>
    <w:rsid w:val="00754411"/>
    <w:rsid w:val="007544C8"/>
    <w:rsid w:val="007545A4"/>
    <w:rsid w:val="0075470B"/>
    <w:rsid w:val="00754871"/>
    <w:rsid w:val="0075487B"/>
    <w:rsid w:val="007548EB"/>
    <w:rsid w:val="007549DF"/>
    <w:rsid w:val="00754A29"/>
    <w:rsid w:val="00754A9F"/>
    <w:rsid w:val="00754E46"/>
    <w:rsid w:val="00754FFD"/>
    <w:rsid w:val="00755004"/>
    <w:rsid w:val="0075511C"/>
    <w:rsid w:val="00755283"/>
    <w:rsid w:val="00755355"/>
    <w:rsid w:val="00755577"/>
    <w:rsid w:val="007555A8"/>
    <w:rsid w:val="00755644"/>
    <w:rsid w:val="007556B2"/>
    <w:rsid w:val="00755712"/>
    <w:rsid w:val="0075576F"/>
    <w:rsid w:val="00755842"/>
    <w:rsid w:val="00755875"/>
    <w:rsid w:val="007558F5"/>
    <w:rsid w:val="00755A07"/>
    <w:rsid w:val="00755A66"/>
    <w:rsid w:val="00755AB3"/>
    <w:rsid w:val="00755B29"/>
    <w:rsid w:val="00755CCF"/>
    <w:rsid w:val="00755D49"/>
    <w:rsid w:val="00755F40"/>
    <w:rsid w:val="00755F5C"/>
    <w:rsid w:val="00755F62"/>
    <w:rsid w:val="00755FA9"/>
    <w:rsid w:val="00756006"/>
    <w:rsid w:val="00756050"/>
    <w:rsid w:val="007562B6"/>
    <w:rsid w:val="007562EC"/>
    <w:rsid w:val="00756329"/>
    <w:rsid w:val="007564BA"/>
    <w:rsid w:val="007564CB"/>
    <w:rsid w:val="0075677D"/>
    <w:rsid w:val="0075678B"/>
    <w:rsid w:val="007567AE"/>
    <w:rsid w:val="007568D1"/>
    <w:rsid w:val="00756923"/>
    <w:rsid w:val="0075694C"/>
    <w:rsid w:val="0075695D"/>
    <w:rsid w:val="00756B60"/>
    <w:rsid w:val="00756BE1"/>
    <w:rsid w:val="00756C43"/>
    <w:rsid w:val="00756C5D"/>
    <w:rsid w:val="00756D74"/>
    <w:rsid w:val="00756E62"/>
    <w:rsid w:val="00756F67"/>
    <w:rsid w:val="00756F8F"/>
    <w:rsid w:val="007570AD"/>
    <w:rsid w:val="007571A2"/>
    <w:rsid w:val="00757290"/>
    <w:rsid w:val="00757434"/>
    <w:rsid w:val="0075755B"/>
    <w:rsid w:val="007575C5"/>
    <w:rsid w:val="0075772C"/>
    <w:rsid w:val="007577C6"/>
    <w:rsid w:val="0075783B"/>
    <w:rsid w:val="00757841"/>
    <w:rsid w:val="00757883"/>
    <w:rsid w:val="00757906"/>
    <w:rsid w:val="0075796C"/>
    <w:rsid w:val="007579F9"/>
    <w:rsid w:val="00757A19"/>
    <w:rsid w:val="00757A92"/>
    <w:rsid w:val="00757B0E"/>
    <w:rsid w:val="00757B45"/>
    <w:rsid w:val="00757BC6"/>
    <w:rsid w:val="00757BE6"/>
    <w:rsid w:val="00757BFE"/>
    <w:rsid w:val="00757C09"/>
    <w:rsid w:val="00757C78"/>
    <w:rsid w:val="00757CAA"/>
    <w:rsid w:val="00757EBB"/>
    <w:rsid w:val="00757EE2"/>
    <w:rsid w:val="00757FA3"/>
    <w:rsid w:val="0076003A"/>
    <w:rsid w:val="00760075"/>
    <w:rsid w:val="0076007D"/>
    <w:rsid w:val="007600AA"/>
    <w:rsid w:val="007600ED"/>
    <w:rsid w:val="00760104"/>
    <w:rsid w:val="007601CE"/>
    <w:rsid w:val="007602E6"/>
    <w:rsid w:val="00760333"/>
    <w:rsid w:val="007603E2"/>
    <w:rsid w:val="0076043C"/>
    <w:rsid w:val="00760447"/>
    <w:rsid w:val="00760561"/>
    <w:rsid w:val="007605BB"/>
    <w:rsid w:val="00760666"/>
    <w:rsid w:val="00760747"/>
    <w:rsid w:val="007608A0"/>
    <w:rsid w:val="00760933"/>
    <w:rsid w:val="00760959"/>
    <w:rsid w:val="00760A4B"/>
    <w:rsid w:val="00760D46"/>
    <w:rsid w:val="00760FAA"/>
    <w:rsid w:val="00760FBC"/>
    <w:rsid w:val="0076109A"/>
    <w:rsid w:val="007610FD"/>
    <w:rsid w:val="0076133C"/>
    <w:rsid w:val="007613A8"/>
    <w:rsid w:val="0076155D"/>
    <w:rsid w:val="00761949"/>
    <w:rsid w:val="00761A17"/>
    <w:rsid w:val="00761AA9"/>
    <w:rsid w:val="00761C4B"/>
    <w:rsid w:val="00761C71"/>
    <w:rsid w:val="00761CC5"/>
    <w:rsid w:val="00761D20"/>
    <w:rsid w:val="00761D7D"/>
    <w:rsid w:val="00761DCC"/>
    <w:rsid w:val="00761FFD"/>
    <w:rsid w:val="00762406"/>
    <w:rsid w:val="0076240C"/>
    <w:rsid w:val="0076247F"/>
    <w:rsid w:val="0076265B"/>
    <w:rsid w:val="007626D7"/>
    <w:rsid w:val="00762742"/>
    <w:rsid w:val="007627A3"/>
    <w:rsid w:val="0076288A"/>
    <w:rsid w:val="00762930"/>
    <w:rsid w:val="007629C4"/>
    <w:rsid w:val="00762A66"/>
    <w:rsid w:val="00762B48"/>
    <w:rsid w:val="00762B52"/>
    <w:rsid w:val="00762E0E"/>
    <w:rsid w:val="00762E77"/>
    <w:rsid w:val="00763008"/>
    <w:rsid w:val="0076301C"/>
    <w:rsid w:val="00763036"/>
    <w:rsid w:val="00763117"/>
    <w:rsid w:val="0076348C"/>
    <w:rsid w:val="007635E5"/>
    <w:rsid w:val="00763669"/>
    <w:rsid w:val="0076368B"/>
    <w:rsid w:val="00763709"/>
    <w:rsid w:val="0076377B"/>
    <w:rsid w:val="0076377C"/>
    <w:rsid w:val="0076379E"/>
    <w:rsid w:val="007637D9"/>
    <w:rsid w:val="00763854"/>
    <w:rsid w:val="007638BC"/>
    <w:rsid w:val="0076391C"/>
    <w:rsid w:val="0076395A"/>
    <w:rsid w:val="0076395E"/>
    <w:rsid w:val="00763B01"/>
    <w:rsid w:val="00763CDB"/>
    <w:rsid w:val="00763CEF"/>
    <w:rsid w:val="00763E7C"/>
    <w:rsid w:val="00763E84"/>
    <w:rsid w:val="00763EB7"/>
    <w:rsid w:val="00763EC9"/>
    <w:rsid w:val="00763F3F"/>
    <w:rsid w:val="00763F5E"/>
    <w:rsid w:val="00763FB8"/>
    <w:rsid w:val="0076407E"/>
    <w:rsid w:val="0076423A"/>
    <w:rsid w:val="007642A4"/>
    <w:rsid w:val="00764323"/>
    <w:rsid w:val="0076451C"/>
    <w:rsid w:val="007645A9"/>
    <w:rsid w:val="0076490E"/>
    <w:rsid w:val="007649B6"/>
    <w:rsid w:val="007649C0"/>
    <w:rsid w:val="00764B30"/>
    <w:rsid w:val="00764B96"/>
    <w:rsid w:val="00764BA5"/>
    <w:rsid w:val="00764CAB"/>
    <w:rsid w:val="00764E02"/>
    <w:rsid w:val="00764EC4"/>
    <w:rsid w:val="00764ED8"/>
    <w:rsid w:val="00764EDD"/>
    <w:rsid w:val="00764F85"/>
    <w:rsid w:val="00765254"/>
    <w:rsid w:val="00765284"/>
    <w:rsid w:val="007652B0"/>
    <w:rsid w:val="00765410"/>
    <w:rsid w:val="007654A6"/>
    <w:rsid w:val="007654E8"/>
    <w:rsid w:val="0076552D"/>
    <w:rsid w:val="0076563D"/>
    <w:rsid w:val="007656D0"/>
    <w:rsid w:val="00765860"/>
    <w:rsid w:val="0076588B"/>
    <w:rsid w:val="00765919"/>
    <w:rsid w:val="007659CB"/>
    <w:rsid w:val="007659EC"/>
    <w:rsid w:val="00765A06"/>
    <w:rsid w:val="00765AF0"/>
    <w:rsid w:val="00765B63"/>
    <w:rsid w:val="00765C3B"/>
    <w:rsid w:val="00765C3C"/>
    <w:rsid w:val="00765DEC"/>
    <w:rsid w:val="00765E86"/>
    <w:rsid w:val="00765EB9"/>
    <w:rsid w:val="00765FC3"/>
    <w:rsid w:val="00765FD3"/>
    <w:rsid w:val="00765FF8"/>
    <w:rsid w:val="00766150"/>
    <w:rsid w:val="0076619D"/>
    <w:rsid w:val="007661A8"/>
    <w:rsid w:val="007661C4"/>
    <w:rsid w:val="00766342"/>
    <w:rsid w:val="007663B2"/>
    <w:rsid w:val="00766413"/>
    <w:rsid w:val="0076646B"/>
    <w:rsid w:val="007664F3"/>
    <w:rsid w:val="0076660A"/>
    <w:rsid w:val="00766632"/>
    <w:rsid w:val="007666A6"/>
    <w:rsid w:val="007667BD"/>
    <w:rsid w:val="00766AEC"/>
    <w:rsid w:val="00766D48"/>
    <w:rsid w:val="00766D90"/>
    <w:rsid w:val="00766DE9"/>
    <w:rsid w:val="00766E08"/>
    <w:rsid w:val="00766E83"/>
    <w:rsid w:val="00766F75"/>
    <w:rsid w:val="00767054"/>
    <w:rsid w:val="00767078"/>
    <w:rsid w:val="007670AF"/>
    <w:rsid w:val="007670FC"/>
    <w:rsid w:val="007671CD"/>
    <w:rsid w:val="007671F7"/>
    <w:rsid w:val="0076725D"/>
    <w:rsid w:val="007672BA"/>
    <w:rsid w:val="0076730C"/>
    <w:rsid w:val="00767311"/>
    <w:rsid w:val="00767320"/>
    <w:rsid w:val="0076751B"/>
    <w:rsid w:val="00767551"/>
    <w:rsid w:val="00767560"/>
    <w:rsid w:val="00767596"/>
    <w:rsid w:val="0076761A"/>
    <w:rsid w:val="007677B3"/>
    <w:rsid w:val="0076796A"/>
    <w:rsid w:val="007679E4"/>
    <w:rsid w:val="00767B28"/>
    <w:rsid w:val="00767C31"/>
    <w:rsid w:val="00767C3B"/>
    <w:rsid w:val="00767CF2"/>
    <w:rsid w:val="00767D1B"/>
    <w:rsid w:val="00767D2C"/>
    <w:rsid w:val="00767D94"/>
    <w:rsid w:val="00767F03"/>
    <w:rsid w:val="00767F2F"/>
    <w:rsid w:val="00767FC8"/>
    <w:rsid w:val="00767FD0"/>
    <w:rsid w:val="007700D6"/>
    <w:rsid w:val="007701D5"/>
    <w:rsid w:val="0077027D"/>
    <w:rsid w:val="00770288"/>
    <w:rsid w:val="007702FB"/>
    <w:rsid w:val="0077032D"/>
    <w:rsid w:val="007703F4"/>
    <w:rsid w:val="00770474"/>
    <w:rsid w:val="007704D2"/>
    <w:rsid w:val="007704DD"/>
    <w:rsid w:val="007704F2"/>
    <w:rsid w:val="00770622"/>
    <w:rsid w:val="007706D1"/>
    <w:rsid w:val="007706EE"/>
    <w:rsid w:val="00770717"/>
    <w:rsid w:val="007708EE"/>
    <w:rsid w:val="00770951"/>
    <w:rsid w:val="0077099E"/>
    <w:rsid w:val="00770A01"/>
    <w:rsid w:val="00770A4B"/>
    <w:rsid w:val="00770A98"/>
    <w:rsid w:val="00770B73"/>
    <w:rsid w:val="00770E46"/>
    <w:rsid w:val="00770ED6"/>
    <w:rsid w:val="00770F29"/>
    <w:rsid w:val="0077104C"/>
    <w:rsid w:val="007710F0"/>
    <w:rsid w:val="007711B6"/>
    <w:rsid w:val="0077127B"/>
    <w:rsid w:val="007712A4"/>
    <w:rsid w:val="0077130C"/>
    <w:rsid w:val="0077138D"/>
    <w:rsid w:val="007713E8"/>
    <w:rsid w:val="007715EE"/>
    <w:rsid w:val="00771783"/>
    <w:rsid w:val="007718A7"/>
    <w:rsid w:val="00771998"/>
    <w:rsid w:val="007719CB"/>
    <w:rsid w:val="00771B2B"/>
    <w:rsid w:val="00771B2F"/>
    <w:rsid w:val="00771CDA"/>
    <w:rsid w:val="00771D46"/>
    <w:rsid w:val="00771D92"/>
    <w:rsid w:val="00771D9E"/>
    <w:rsid w:val="007720A2"/>
    <w:rsid w:val="007720D9"/>
    <w:rsid w:val="007721F9"/>
    <w:rsid w:val="00772276"/>
    <w:rsid w:val="007722AB"/>
    <w:rsid w:val="0077249F"/>
    <w:rsid w:val="007724B2"/>
    <w:rsid w:val="0077253C"/>
    <w:rsid w:val="00772580"/>
    <w:rsid w:val="007726CF"/>
    <w:rsid w:val="00772757"/>
    <w:rsid w:val="00772800"/>
    <w:rsid w:val="00772817"/>
    <w:rsid w:val="0077281E"/>
    <w:rsid w:val="0077291D"/>
    <w:rsid w:val="00772983"/>
    <w:rsid w:val="00772BE1"/>
    <w:rsid w:val="00772C34"/>
    <w:rsid w:val="00772D06"/>
    <w:rsid w:val="00772F01"/>
    <w:rsid w:val="00772F56"/>
    <w:rsid w:val="00772FDD"/>
    <w:rsid w:val="00773058"/>
    <w:rsid w:val="0077307E"/>
    <w:rsid w:val="00773149"/>
    <w:rsid w:val="007733EF"/>
    <w:rsid w:val="00773440"/>
    <w:rsid w:val="0077353C"/>
    <w:rsid w:val="00773635"/>
    <w:rsid w:val="00773660"/>
    <w:rsid w:val="007736E1"/>
    <w:rsid w:val="0077371F"/>
    <w:rsid w:val="007738CA"/>
    <w:rsid w:val="007738E8"/>
    <w:rsid w:val="00773A31"/>
    <w:rsid w:val="00773BAF"/>
    <w:rsid w:val="00773CB7"/>
    <w:rsid w:val="00773D2E"/>
    <w:rsid w:val="00773D6F"/>
    <w:rsid w:val="00773D70"/>
    <w:rsid w:val="00773D9A"/>
    <w:rsid w:val="00773DFF"/>
    <w:rsid w:val="00773E87"/>
    <w:rsid w:val="00773F92"/>
    <w:rsid w:val="00774078"/>
    <w:rsid w:val="0077409C"/>
    <w:rsid w:val="007740EC"/>
    <w:rsid w:val="00774132"/>
    <w:rsid w:val="00774243"/>
    <w:rsid w:val="0077427D"/>
    <w:rsid w:val="007742D9"/>
    <w:rsid w:val="0077430E"/>
    <w:rsid w:val="007743DC"/>
    <w:rsid w:val="007743F5"/>
    <w:rsid w:val="0077448F"/>
    <w:rsid w:val="00774577"/>
    <w:rsid w:val="00774649"/>
    <w:rsid w:val="00774661"/>
    <w:rsid w:val="007746D9"/>
    <w:rsid w:val="0077472E"/>
    <w:rsid w:val="00774A38"/>
    <w:rsid w:val="00774AD9"/>
    <w:rsid w:val="00774B1F"/>
    <w:rsid w:val="00774B78"/>
    <w:rsid w:val="00774D06"/>
    <w:rsid w:val="00774D39"/>
    <w:rsid w:val="007750AC"/>
    <w:rsid w:val="007751F1"/>
    <w:rsid w:val="0077523F"/>
    <w:rsid w:val="0077539A"/>
    <w:rsid w:val="00775438"/>
    <w:rsid w:val="00775524"/>
    <w:rsid w:val="00775708"/>
    <w:rsid w:val="00775811"/>
    <w:rsid w:val="007758AD"/>
    <w:rsid w:val="00775953"/>
    <w:rsid w:val="00775A4E"/>
    <w:rsid w:val="00775B2D"/>
    <w:rsid w:val="00775C78"/>
    <w:rsid w:val="00775C7A"/>
    <w:rsid w:val="00775CBE"/>
    <w:rsid w:val="00775CE0"/>
    <w:rsid w:val="00775D9C"/>
    <w:rsid w:val="00775EA9"/>
    <w:rsid w:val="00775EEE"/>
    <w:rsid w:val="0077602E"/>
    <w:rsid w:val="00776251"/>
    <w:rsid w:val="007766C0"/>
    <w:rsid w:val="007766C6"/>
    <w:rsid w:val="00776722"/>
    <w:rsid w:val="00776725"/>
    <w:rsid w:val="0077694F"/>
    <w:rsid w:val="007769BD"/>
    <w:rsid w:val="00776A38"/>
    <w:rsid w:val="00776A56"/>
    <w:rsid w:val="00776A64"/>
    <w:rsid w:val="00776AF6"/>
    <w:rsid w:val="00776C59"/>
    <w:rsid w:val="00776C9A"/>
    <w:rsid w:val="00776CBE"/>
    <w:rsid w:val="00776D4E"/>
    <w:rsid w:val="00776D6B"/>
    <w:rsid w:val="00776E97"/>
    <w:rsid w:val="00776F6B"/>
    <w:rsid w:val="0077718C"/>
    <w:rsid w:val="007771A6"/>
    <w:rsid w:val="007771CA"/>
    <w:rsid w:val="007771F9"/>
    <w:rsid w:val="007772CA"/>
    <w:rsid w:val="00777378"/>
    <w:rsid w:val="0077742E"/>
    <w:rsid w:val="0077758C"/>
    <w:rsid w:val="007775D9"/>
    <w:rsid w:val="00777627"/>
    <w:rsid w:val="00777658"/>
    <w:rsid w:val="007778CE"/>
    <w:rsid w:val="007778FA"/>
    <w:rsid w:val="00777962"/>
    <w:rsid w:val="00777A25"/>
    <w:rsid w:val="00777A43"/>
    <w:rsid w:val="00777A4B"/>
    <w:rsid w:val="00777AB8"/>
    <w:rsid w:val="00777AF5"/>
    <w:rsid w:val="00777B7F"/>
    <w:rsid w:val="00777C95"/>
    <w:rsid w:val="00777DE9"/>
    <w:rsid w:val="00777E4F"/>
    <w:rsid w:val="00777E9A"/>
    <w:rsid w:val="0078001C"/>
    <w:rsid w:val="00780057"/>
    <w:rsid w:val="007801E1"/>
    <w:rsid w:val="00780283"/>
    <w:rsid w:val="007802E3"/>
    <w:rsid w:val="0078035C"/>
    <w:rsid w:val="0078040B"/>
    <w:rsid w:val="007804BF"/>
    <w:rsid w:val="00780532"/>
    <w:rsid w:val="0078063F"/>
    <w:rsid w:val="007806E0"/>
    <w:rsid w:val="00780731"/>
    <w:rsid w:val="007807FA"/>
    <w:rsid w:val="007809A4"/>
    <w:rsid w:val="00780A01"/>
    <w:rsid w:val="00780A7B"/>
    <w:rsid w:val="00780C81"/>
    <w:rsid w:val="00780CEC"/>
    <w:rsid w:val="00780D34"/>
    <w:rsid w:val="00780E1F"/>
    <w:rsid w:val="00780E87"/>
    <w:rsid w:val="00780F00"/>
    <w:rsid w:val="00780F84"/>
    <w:rsid w:val="00780FE0"/>
    <w:rsid w:val="00780FE2"/>
    <w:rsid w:val="00781216"/>
    <w:rsid w:val="007812CC"/>
    <w:rsid w:val="007812DB"/>
    <w:rsid w:val="00781440"/>
    <w:rsid w:val="007814AA"/>
    <w:rsid w:val="00781688"/>
    <w:rsid w:val="0078197E"/>
    <w:rsid w:val="00781AB6"/>
    <w:rsid w:val="00781B0A"/>
    <w:rsid w:val="00781B48"/>
    <w:rsid w:val="00781CC1"/>
    <w:rsid w:val="00781E6F"/>
    <w:rsid w:val="00781E8A"/>
    <w:rsid w:val="00781EFC"/>
    <w:rsid w:val="00781F71"/>
    <w:rsid w:val="007820FC"/>
    <w:rsid w:val="0078216F"/>
    <w:rsid w:val="00782230"/>
    <w:rsid w:val="00782324"/>
    <w:rsid w:val="00782362"/>
    <w:rsid w:val="00782413"/>
    <w:rsid w:val="007824A4"/>
    <w:rsid w:val="00782542"/>
    <w:rsid w:val="0078255C"/>
    <w:rsid w:val="00782611"/>
    <w:rsid w:val="007826DA"/>
    <w:rsid w:val="00782704"/>
    <w:rsid w:val="00782718"/>
    <w:rsid w:val="0078278B"/>
    <w:rsid w:val="007828C6"/>
    <w:rsid w:val="007828FC"/>
    <w:rsid w:val="00782AB6"/>
    <w:rsid w:val="00782B01"/>
    <w:rsid w:val="00782B81"/>
    <w:rsid w:val="00782B86"/>
    <w:rsid w:val="00782BF5"/>
    <w:rsid w:val="00782DC5"/>
    <w:rsid w:val="00782EB4"/>
    <w:rsid w:val="00782EFB"/>
    <w:rsid w:val="00782FC6"/>
    <w:rsid w:val="00783214"/>
    <w:rsid w:val="007832BC"/>
    <w:rsid w:val="007832C0"/>
    <w:rsid w:val="007833B3"/>
    <w:rsid w:val="007833D1"/>
    <w:rsid w:val="007833EF"/>
    <w:rsid w:val="00783411"/>
    <w:rsid w:val="00783499"/>
    <w:rsid w:val="00783590"/>
    <w:rsid w:val="00783622"/>
    <w:rsid w:val="007836A7"/>
    <w:rsid w:val="0078385A"/>
    <w:rsid w:val="0078386C"/>
    <w:rsid w:val="00783898"/>
    <w:rsid w:val="007839C1"/>
    <w:rsid w:val="00783A1E"/>
    <w:rsid w:val="00783A9E"/>
    <w:rsid w:val="00783B85"/>
    <w:rsid w:val="00783BC6"/>
    <w:rsid w:val="00783C9F"/>
    <w:rsid w:val="00783CFA"/>
    <w:rsid w:val="00783D74"/>
    <w:rsid w:val="00783E03"/>
    <w:rsid w:val="00783E7C"/>
    <w:rsid w:val="00783ED1"/>
    <w:rsid w:val="00783EF4"/>
    <w:rsid w:val="00783EF6"/>
    <w:rsid w:val="00783F97"/>
    <w:rsid w:val="00783FEB"/>
    <w:rsid w:val="00784042"/>
    <w:rsid w:val="007840C0"/>
    <w:rsid w:val="007840FB"/>
    <w:rsid w:val="007841DD"/>
    <w:rsid w:val="00784375"/>
    <w:rsid w:val="00784525"/>
    <w:rsid w:val="00784770"/>
    <w:rsid w:val="007847E5"/>
    <w:rsid w:val="0078481C"/>
    <w:rsid w:val="007848D7"/>
    <w:rsid w:val="007849CF"/>
    <w:rsid w:val="007849D8"/>
    <w:rsid w:val="00784A7A"/>
    <w:rsid w:val="00784AF9"/>
    <w:rsid w:val="00784D3C"/>
    <w:rsid w:val="00784D45"/>
    <w:rsid w:val="00784EEB"/>
    <w:rsid w:val="00784FA5"/>
    <w:rsid w:val="0078506F"/>
    <w:rsid w:val="007850AE"/>
    <w:rsid w:val="007850BB"/>
    <w:rsid w:val="007850FE"/>
    <w:rsid w:val="00785125"/>
    <w:rsid w:val="007851A7"/>
    <w:rsid w:val="0078520E"/>
    <w:rsid w:val="00785213"/>
    <w:rsid w:val="0078523F"/>
    <w:rsid w:val="00785307"/>
    <w:rsid w:val="0078535F"/>
    <w:rsid w:val="007853ED"/>
    <w:rsid w:val="0078546F"/>
    <w:rsid w:val="00785488"/>
    <w:rsid w:val="00785497"/>
    <w:rsid w:val="007854C2"/>
    <w:rsid w:val="007855FE"/>
    <w:rsid w:val="007856E3"/>
    <w:rsid w:val="00785816"/>
    <w:rsid w:val="007858EC"/>
    <w:rsid w:val="00785B52"/>
    <w:rsid w:val="00785B83"/>
    <w:rsid w:val="00785C6D"/>
    <w:rsid w:val="00785E0E"/>
    <w:rsid w:val="00785E43"/>
    <w:rsid w:val="00785F3C"/>
    <w:rsid w:val="00785FA1"/>
    <w:rsid w:val="00785FBE"/>
    <w:rsid w:val="00785FD4"/>
    <w:rsid w:val="00786016"/>
    <w:rsid w:val="00786101"/>
    <w:rsid w:val="0078621E"/>
    <w:rsid w:val="007862A6"/>
    <w:rsid w:val="00786394"/>
    <w:rsid w:val="00786415"/>
    <w:rsid w:val="0078668A"/>
    <w:rsid w:val="0078671C"/>
    <w:rsid w:val="007868A0"/>
    <w:rsid w:val="00786A9F"/>
    <w:rsid w:val="00786B6A"/>
    <w:rsid w:val="00786BC7"/>
    <w:rsid w:val="00786BD2"/>
    <w:rsid w:val="00786C3F"/>
    <w:rsid w:val="00786D00"/>
    <w:rsid w:val="00786DCE"/>
    <w:rsid w:val="00786E0E"/>
    <w:rsid w:val="00786E11"/>
    <w:rsid w:val="00786F2E"/>
    <w:rsid w:val="00787085"/>
    <w:rsid w:val="00787095"/>
    <w:rsid w:val="00787214"/>
    <w:rsid w:val="00787233"/>
    <w:rsid w:val="007872EA"/>
    <w:rsid w:val="0078737D"/>
    <w:rsid w:val="007873FE"/>
    <w:rsid w:val="00787444"/>
    <w:rsid w:val="0078753D"/>
    <w:rsid w:val="007875F0"/>
    <w:rsid w:val="0078764F"/>
    <w:rsid w:val="00787663"/>
    <w:rsid w:val="0078770C"/>
    <w:rsid w:val="00787784"/>
    <w:rsid w:val="007878A5"/>
    <w:rsid w:val="0078791C"/>
    <w:rsid w:val="007879ED"/>
    <w:rsid w:val="00787B9D"/>
    <w:rsid w:val="00787D10"/>
    <w:rsid w:val="00787D55"/>
    <w:rsid w:val="00787DB9"/>
    <w:rsid w:val="00787FD6"/>
    <w:rsid w:val="007900EA"/>
    <w:rsid w:val="00790109"/>
    <w:rsid w:val="00790127"/>
    <w:rsid w:val="00790198"/>
    <w:rsid w:val="00790327"/>
    <w:rsid w:val="007903A6"/>
    <w:rsid w:val="00790439"/>
    <w:rsid w:val="0079046C"/>
    <w:rsid w:val="007904F5"/>
    <w:rsid w:val="00790585"/>
    <w:rsid w:val="0079059A"/>
    <w:rsid w:val="007905FC"/>
    <w:rsid w:val="00790992"/>
    <w:rsid w:val="00790AB7"/>
    <w:rsid w:val="00790C3F"/>
    <w:rsid w:val="00790D2C"/>
    <w:rsid w:val="007910DC"/>
    <w:rsid w:val="007910F1"/>
    <w:rsid w:val="00791102"/>
    <w:rsid w:val="007913D9"/>
    <w:rsid w:val="00791422"/>
    <w:rsid w:val="00791432"/>
    <w:rsid w:val="007914A2"/>
    <w:rsid w:val="00791635"/>
    <w:rsid w:val="007916EB"/>
    <w:rsid w:val="00791711"/>
    <w:rsid w:val="0079171B"/>
    <w:rsid w:val="00791746"/>
    <w:rsid w:val="007917C4"/>
    <w:rsid w:val="007917C9"/>
    <w:rsid w:val="0079181D"/>
    <w:rsid w:val="00791897"/>
    <w:rsid w:val="007919A9"/>
    <w:rsid w:val="007919ED"/>
    <w:rsid w:val="00791A0A"/>
    <w:rsid w:val="00791B80"/>
    <w:rsid w:val="00791CA1"/>
    <w:rsid w:val="00791CD1"/>
    <w:rsid w:val="00791D66"/>
    <w:rsid w:val="00791D89"/>
    <w:rsid w:val="00791DFB"/>
    <w:rsid w:val="00791F74"/>
    <w:rsid w:val="00791FCE"/>
    <w:rsid w:val="00792020"/>
    <w:rsid w:val="00792121"/>
    <w:rsid w:val="007921EE"/>
    <w:rsid w:val="0079222C"/>
    <w:rsid w:val="007922C0"/>
    <w:rsid w:val="007923FE"/>
    <w:rsid w:val="0079241C"/>
    <w:rsid w:val="00792476"/>
    <w:rsid w:val="007926A7"/>
    <w:rsid w:val="007926BD"/>
    <w:rsid w:val="0079272F"/>
    <w:rsid w:val="0079278D"/>
    <w:rsid w:val="007928D2"/>
    <w:rsid w:val="0079293B"/>
    <w:rsid w:val="007929E2"/>
    <w:rsid w:val="00792B31"/>
    <w:rsid w:val="00792B54"/>
    <w:rsid w:val="00792C12"/>
    <w:rsid w:val="00792C24"/>
    <w:rsid w:val="00792C35"/>
    <w:rsid w:val="00792C3A"/>
    <w:rsid w:val="00792CDC"/>
    <w:rsid w:val="00792DCF"/>
    <w:rsid w:val="00792F3C"/>
    <w:rsid w:val="00792F95"/>
    <w:rsid w:val="00793002"/>
    <w:rsid w:val="007930BC"/>
    <w:rsid w:val="007932AC"/>
    <w:rsid w:val="00793356"/>
    <w:rsid w:val="00793415"/>
    <w:rsid w:val="00793488"/>
    <w:rsid w:val="00793856"/>
    <w:rsid w:val="00793B0D"/>
    <w:rsid w:val="00793B4E"/>
    <w:rsid w:val="00793C61"/>
    <w:rsid w:val="00793CD7"/>
    <w:rsid w:val="00793D11"/>
    <w:rsid w:val="00793D67"/>
    <w:rsid w:val="00793D79"/>
    <w:rsid w:val="00793DD6"/>
    <w:rsid w:val="00793DE5"/>
    <w:rsid w:val="00793E09"/>
    <w:rsid w:val="00793E91"/>
    <w:rsid w:val="00793EE2"/>
    <w:rsid w:val="00793FE4"/>
    <w:rsid w:val="0079413B"/>
    <w:rsid w:val="00794175"/>
    <w:rsid w:val="007941C2"/>
    <w:rsid w:val="00794287"/>
    <w:rsid w:val="007943FB"/>
    <w:rsid w:val="007945B1"/>
    <w:rsid w:val="00794619"/>
    <w:rsid w:val="007946B7"/>
    <w:rsid w:val="00794795"/>
    <w:rsid w:val="007947E7"/>
    <w:rsid w:val="007947FE"/>
    <w:rsid w:val="007948D4"/>
    <w:rsid w:val="00794AFE"/>
    <w:rsid w:val="00794BCB"/>
    <w:rsid w:val="00794D37"/>
    <w:rsid w:val="00794DF2"/>
    <w:rsid w:val="00794F0D"/>
    <w:rsid w:val="00794F1F"/>
    <w:rsid w:val="00794F74"/>
    <w:rsid w:val="00795155"/>
    <w:rsid w:val="007951C1"/>
    <w:rsid w:val="00795211"/>
    <w:rsid w:val="007952CC"/>
    <w:rsid w:val="00795474"/>
    <w:rsid w:val="00795550"/>
    <w:rsid w:val="00795687"/>
    <w:rsid w:val="007956EF"/>
    <w:rsid w:val="00795775"/>
    <w:rsid w:val="00795880"/>
    <w:rsid w:val="00795884"/>
    <w:rsid w:val="0079599A"/>
    <w:rsid w:val="00795A3B"/>
    <w:rsid w:val="00795A4E"/>
    <w:rsid w:val="00795A82"/>
    <w:rsid w:val="00795A88"/>
    <w:rsid w:val="00795B1D"/>
    <w:rsid w:val="00795BA8"/>
    <w:rsid w:val="00795C61"/>
    <w:rsid w:val="00795C7A"/>
    <w:rsid w:val="00795CFD"/>
    <w:rsid w:val="00795D61"/>
    <w:rsid w:val="00795D98"/>
    <w:rsid w:val="00795F52"/>
    <w:rsid w:val="00795F63"/>
    <w:rsid w:val="00795FE7"/>
    <w:rsid w:val="0079600C"/>
    <w:rsid w:val="0079611D"/>
    <w:rsid w:val="007962D6"/>
    <w:rsid w:val="007962DD"/>
    <w:rsid w:val="00796312"/>
    <w:rsid w:val="00796346"/>
    <w:rsid w:val="007963EA"/>
    <w:rsid w:val="00796586"/>
    <w:rsid w:val="00796862"/>
    <w:rsid w:val="007968E2"/>
    <w:rsid w:val="007968ED"/>
    <w:rsid w:val="007969B9"/>
    <w:rsid w:val="00796AD3"/>
    <w:rsid w:val="00796AFC"/>
    <w:rsid w:val="00796B9A"/>
    <w:rsid w:val="00796CA1"/>
    <w:rsid w:val="00796DA7"/>
    <w:rsid w:val="00796DF9"/>
    <w:rsid w:val="00796DFD"/>
    <w:rsid w:val="00796E1F"/>
    <w:rsid w:val="00797090"/>
    <w:rsid w:val="007970CE"/>
    <w:rsid w:val="007970D9"/>
    <w:rsid w:val="00797104"/>
    <w:rsid w:val="00797204"/>
    <w:rsid w:val="007972BC"/>
    <w:rsid w:val="007974F4"/>
    <w:rsid w:val="007975F7"/>
    <w:rsid w:val="007976E2"/>
    <w:rsid w:val="007977CD"/>
    <w:rsid w:val="0079784F"/>
    <w:rsid w:val="007978CE"/>
    <w:rsid w:val="00797946"/>
    <w:rsid w:val="00797B1A"/>
    <w:rsid w:val="00797BC5"/>
    <w:rsid w:val="00797CB4"/>
    <w:rsid w:val="00797D17"/>
    <w:rsid w:val="00797D39"/>
    <w:rsid w:val="00797D66"/>
    <w:rsid w:val="00797D83"/>
    <w:rsid w:val="00797FB4"/>
    <w:rsid w:val="007A00B6"/>
    <w:rsid w:val="007A00BB"/>
    <w:rsid w:val="007A00BC"/>
    <w:rsid w:val="007A00CF"/>
    <w:rsid w:val="007A0121"/>
    <w:rsid w:val="007A024D"/>
    <w:rsid w:val="007A0279"/>
    <w:rsid w:val="007A02B9"/>
    <w:rsid w:val="007A0376"/>
    <w:rsid w:val="007A0531"/>
    <w:rsid w:val="007A0568"/>
    <w:rsid w:val="007A059B"/>
    <w:rsid w:val="007A0673"/>
    <w:rsid w:val="007A0750"/>
    <w:rsid w:val="007A086C"/>
    <w:rsid w:val="007A0892"/>
    <w:rsid w:val="007A08A4"/>
    <w:rsid w:val="007A0A5D"/>
    <w:rsid w:val="007A0A83"/>
    <w:rsid w:val="007A0B92"/>
    <w:rsid w:val="007A0BAF"/>
    <w:rsid w:val="007A0C5B"/>
    <w:rsid w:val="007A0D26"/>
    <w:rsid w:val="007A0E3C"/>
    <w:rsid w:val="007A0E84"/>
    <w:rsid w:val="007A0FA2"/>
    <w:rsid w:val="007A0FB0"/>
    <w:rsid w:val="007A10A0"/>
    <w:rsid w:val="007A10F0"/>
    <w:rsid w:val="007A11D4"/>
    <w:rsid w:val="007A11EA"/>
    <w:rsid w:val="007A127B"/>
    <w:rsid w:val="007A127D"/>
    <w:rsid w:val="007A13B6"/>
    <w:rsid w:val="007A13DD"/>
    <w:rsid w:val="007A15CE"/>
    <w:rsid w:val="007A167B"/>
    <w:rsid w:val="007A17C8"/>
    <w:rsid w:val="007A17D1"/>
    <w:rsid w:val="007A190F"/>
    <w:rsid w:val="007A1912"/>
    <w:rsid w:val="007A192E"/>
    <w:rsid w:val="007A1A34"/>
    <w:rsid w:val="007A1A66"/>
    <w:rsid w:val="007A1B11"/>
    <w:rsid w:val="007A1B40"/>
    <w:rsid w:val="007A1C23"/>
    <w:rsid w:val="007A1C88"/>
    <w:rsid w:val="007A1CBC"/>
    <w:rsid w:val="007A1E15"/>
    <w:rsid w:val="007A1E48"/>
    <w:rsid w:val="007A1EE0"/>
    <w:rsid w:val="007A1F06"/>
    <w:rsid w:val="007A1FEF"/>
    <w:rsid w:val="007A2091"/>
    <w:rsid w:val="007A2101"/>
    <w:rsid w:val="007A21E5"/>
    <w:rsid w:val="007A2322"/>
    <w:rsid w:val="007A2402"/>
    <w:rsid w:val="007A240C"/>
    <w:rsid w:val="007A2494"/>
    <w:rsid w:val="007A2501"/>
    <w:rsid w:val="007A256F"/>
    <w:rsid w:val="007A2690"/>
    <w:rsid w:val="007A26F9"/>
    <w:rsid w:val="007A29AB"/>
    <w:rsid w:val="007A2A34"/>
    <w:rsid w:val="007A2AE4"/>
    <w:rsid w:val="007A2BF6"/>
    <w:rsid w:val="007A2D40"/>
    <w:rsid w:val="007A2D8D"/>
    <w:rsid w:val="007A2E3E"/>
    <w:rsid w:val="007A2E8F"/>
    <w:rsid w:val="007A2F78"/>
    <w:rsid w:val="007A3199"/>
    <w:rsid w:val="007A32AE"/>
    <w:rsid w:val="007A32DA"/>
    <w:rsid w:val="007A3430"/>
    <w:rsid w:val="007A35F5"/>
    <w:rsid w:val="007A36BC"/>
    <w:rsid w:val="007A37F6"/>
    <w:rsid w:val="007A384E"/>
    <w:rsid w:val="007A38AF"/>
    <w:rsid w:val="007A398F"/>
    <w:rsid w:val="007A3A60"/>
    <w:rsid w:val="007A3B19"/>
    <w:rsid w:val="007A3B63"/>
    <w:rsid w:val="007A3BE9"/>
    <w:rsid w:val="007A3C05"/>
    <w:rsid w:val="007A3CC1"/>
    <w:rsid w:val="007A3D2D"/>
    <w:rsid w:val="007A3DD0"/>
    <w:rsid w:val="007A3ED9"/>
    <w:rsid w:val="007A3F2F"/>
    <w:rsid w:val="007A3FBB"/>
    <w:rsid w:val="007A3FEE"/>
    <w:rsid w:val="007A402D"/>
    <w:rsid w:val="007A4142"/>
    <w:rsid w:val="007A4370"/>
    <w:rsid w:val="007A43EB"/>
    <w:rsid w:val="007A44E3"/>
    <w:rsid w:val="007A4509"/>
    <w:rsid w:val="007A457B"/>
    <w:rsid w:val="007A4635"/>
    <w:rsid w:val="007A46AD"/>
    <w:rsid w:val="007A472C"/>
    <w:rsid w:val="007A4761"/>
    <w:rsid w:val="007A47B8"/>
    <w:rsid w:val="007A47D6"/>
    <w:rsid w:val="007A48B1"/>
    <w:rsid w:val="007A4933"/>
    <w:rsid w:val="007A49F2"/>
    <w:rsid w:val="007A4ADA"/>
    <w:rsid w:val="007A4B17"/>
    <w:rsid w:val="007A4D50"/>
    <w:rsid w:val="007A4D8D"/>
    <w:rsid w:val="007A4F98"/>
    <w:rsid w:val="007A4F9F"/>
    <w:rsid w:val="007A4FC9"/>
    <w:rsid w:val="007A512F"/>
    <w:rsid w:val="007A5466"/>
    <w:rsid w:val="007A549B"/>
    <w:rsid w:val="007A54A9"/>
    <w:rsid w:val="007A567B"/>
    <w:rsid w:val="007A56B1"/>
    <w:rsid w:val="007A573A"/>
    <w:rsid w:val="007A573F"/>
    <w:rsid w:val="007A5771"/>
    <w:rsid w:val="007A5792"/>
    <w:rsid w:val="007A579C"/>
    <w:rsid w:val="007A5994"/>
    <w:rsid w:val="007A59D1"/>
    <w:rsid w:val="007A5A85"/>
    <w:rsid w:val="007A5AA9"/>
    <w:rsid w:val="007A5AC9"/>
    <w:rsid w:val="007A5AD3"/>
    <w:rsid w:val="007A5BA3"/>
    <w:rsid w:val="007A5BAF"/>
    <w:rsid w:val="007A5C7F"/>
    <w:rsid w:val="007A5CC0"/>
    <w:rsid w:val="007A5DE6"/>
    <w:rsid w:val="007A5F00"/>
    <w:rsid w:val="007A5F7D"/>
    <w:rsid w:val="007A5F9B"/>
    <w:rsid w:val="007A5FD4"/>
    <w:rsid w:val="007A6058"/>
    <w:rsid w:val="007A617B"/>
    <w:rsid w:val="007A61EA"/>
    <w:rsid w:val="007A62A6"/>
    <w:rsid w:val="007A62B1"/>
    <w:rsid w:val="007A650F"/>
    <w:rsid w:val="007A6530"/>
    <w:rsid w:val="007A65D9"/>
    <w:rsid w:val="007A66AB"/>
    <w:rsid w:val="007A6712"/>
    <w:rsid w:val="007A68DD"/>
    <w:rsid w:val="007A690A"/>
    <w:rsid w:val="007A6965"/>
    <w:rsid w:val="007A69A3"/>
    <w:rsid w:val="007A6A5A"/>
    <w:rsid w:val="007A6B2F"/>
    <w:rsid w:val="007A6C1B"/>
    <w:rsid w:val="007A6C35"/>
    <w:rsid w:val="007A6C3A"/>
    <w:rsid w:val="007A6CF0"/>
    <w:rsid w:val="007A6EAA"/>
    <w:rsid w:val="007A6EF1"/>
    <w:rsid w:val="007A6F60"/>
    <w:rsid w:val="007A6FB0"/>
    <w:rsid w:val="007A7111"/>
    <w:rsid w:val="007A71E0"/>
    <w:rsid w:val="007A7239"/>
    <w:rsid w:val="007A7267"/>
    <w:rsid w:val="007A730C"/>
    <w:rsid w:val="007A7318"/>
    <w:rsid w:val="007A7407"/>
    <w:rsid w:val="007A7462"/>
    <w:rsid w:val="007A748D"/>
    <w:rsid w:val="007A74E0"/>
    <w:rsid w:val="007A7537"/>
    <w:rsid w:val="007A7545"/>
    <w:rsid w:val="007A7569"/>
    <w:rsid w:val="007A75B0"/>
    <w:rsid w:val="007A7686"/>
    <w:rsid w:val="007A77CD"/>
    <w:rsid w:val="007A781F"/>
    <w:rsid w:val="007A7820"/>
    <w:rsid w:val="007A78B7"/>
    <w:rsid w:val="007A7957"/>
    <w:rsid w:val="007A7B45"/>
    <w:rsid w:val="007A7C8B"/>
    <w:rsid w:val="007A7D5D"/>
    <w:rsid w:val="007A7DC6"/>
    <w:rsid w:val="007A7E97"/>
    <w:rsid w:val="007A7F03"/>
    <w:rsid w:val="007A7F14"/>
    <w:rsid w:val="007A7F22"/>
    <w:rsid w:val="007A7F62"/>
    <w:rsid w:val="007A7F6C"/>
    <w:rsid w:val="007A7FD0"/>
    <w:rsid w:val="007A7FEA"/>
    <w:rsid w:val="007B0053"/>
    <w:rsid w:val="007B007A"/>
    <w:rsid w:val="007B00F3"/>
    <w:rsid w:val="007B0130"/>
    <w:rsid w:val="007B0323"/>
    <w:rsid w:val="007B049C"/>
    <w:rsid w:val="007B0513"/>
    <w:rsid w:val="007B05A2"/>
    <w:rsid w:val="007B05A7"/>
    <w:rsid w:val="007B0853"/>
    <w:rsid w:val="007B0977"/>
    <w:rsid w:val="007B0978"/>
    <w:rsid w:val="007B0A87"/>
    <w:rsid w:val="007B0ADF"/>
    <w:rsid w:val="007B0B30"/>
    <w:rsid w:val="007B0B50"/>
    <w:rsid w:val="007B0C79"/>
    <w:rsid w:val="007B0E4A"/>
    <w:rsid w:val="007B0E69"/>
    <w:rsid w:val="007B0F15"/>
    <w:rsid w:val="007B107C"/>
    <w:rsid w:val="007B1218"/>
    <w:rsid w:val="007B1343"/>
    <w:rsid w:val="007B1508"/>
    <w:rsid w:val="007B152C"/>
    <w:rsid w:val="007B156D"/>
    <w:rsid w:val="007B1590"/>
    <w:rsid w:val="007B15BB"/>
    <w:rsid w:val="007B15E3"/>
    <w:rsid w:val="007B1688"/>
    <w:rsid w:val="007B16B9"/>
    <w:rsid w:val="007B16D1"/>
    <w:rsid w:val="007B178E"/>
    <w:rsid w:val="007B17B6"/>
    <w:rsid w:val="007B1804"/>
    <w:rsid w:val="007B18A6"/>
    <w:rsid w:val="007B1941"/>
    <w:rsid w:val="007B194B"/>
    <w:rsid w:val="007B19E5"/>
    <w:rsid w:val="007B1A0D"/>
    <w:rsid w:val="007B1AED"/>
    <w:rsid w:val="007B1D7B"/>
    <w:rsid w:val="007B1DC2"/>
    <w:rsid w:val="007B2031"/>
    <w:rsid w:val="007B2047"/>
    <w:rsid w:val="007B20AE"/>
    <w:rsid w:val="007B2255"/>
    <w:rsid w:val="007B22D1"/>
    <w:rsid w:val="007B230F"/>
    <w:rsid w:val="007B2402"/>
    <w:rsid w:val="007B25AC"/>
    <w:rsid w:val="007B26BC"/>
    <w:rsid w:val="007B2BD2"/>
    <w:rsid w:val="007B2C39"/>
    <w:rsid w:val="007B2C7B"/>
    <w:rsid w:val="007B2C8A"/>
    <w:rsid w:val="007B2CC3"/>
    <w:rsid w:val="007B2CDA"/>
    <w:rsid w:val="007B2E31"/>
    <w:rsid w:val="007B2F21"/>
    <w:rsid w:val="007B325A"/>
    <w:rsid w:val="007B3270"/>
    <w:rsid w:val="007B327C"/>
    <w:rsid w:val="007B35C7"/>
    <w:rsid w:val="007B35E0"/>
    <w:rsid w:val="007B369C"/>
    <w:rsid w:val="007B36D3"/>
    <w:rsid w:val="007B3794"/>
    <w:rsid w:val="007B394D"/>
    <w:rsid w:val="007B3B5F"/>
    <w:rsid w:val="007B3D52"/>
    <w:rsid w:val="007B3F10"/>
    <w:rsid w:val="007B3F23"/>
    <w:rsid w:val="007B403F"/>
    <w:rsid w:val="007B40F2"/>
    <w:rsid w:val="007B424E"/>
    <w:rsid w:val="007B444E"/>
    <w:rsid w:val="007B45BE"/>
    <w:rsid w:val="007B46C5"/>
    <w:rsid w:val="007B4877"/>
    <w:rsid w:val="007B4B1C"/>
    <w:rsid w:val="007B4C04"/>
    <w:rsid w:val="007B4C93"/>
    <w:rsid w:val="007B4CAB"/>
    <w:rsid w:val="007B4E31"/>
    <w:rsid w:val="007B4E34"/>
    <w:rsid w:val="007B4E7C"/>
    <w:rsid w:val="007B5009"/>
    <w:rsid w:val="007B520C"/>
    <w:rsid w:val="007B523C"/>
    <w:rsid w:val="007B5595"/>
    <w:rsid w:val="007B55AF"/>
    <w:rsid w:val="007B5613"/>
    <w:rsid w:val="007B562C"/>
    <w:rsid w:val="007B56B1"/>
    <w:rsid w:val="007B56BB"/>
    <w:rsid w:val="007B5866"/>
    <w:rsid w:val="007B5887"/>
    <w:rsid w:val="007B5A70"/>
    <w:rsid w:val="007B5B51"/>
    <w:rsid w:val="007B5BB8"/>
    <w:rsid w:val="007B5BBD"/>
    <w:rsid w:val="007B5CE2"/>
    <w:rsid w:val="007B5D6E"/>
    <w:rsid w:val="007B5E3F"/>
    <w:rsid w:val="007B5F0F"/>
    <w:rsid w:val="007B5F37"/>
    <w:rsid w:val="007B5FBF"/>
    <w:rsid w:val="007B62B8"/>
    <w:rsid w:val="007B63B4"/>
    <w:rsid w:val="007B6422"/>
    <w:rsid w:val="007B6449"/>
    <w:rsid w:val="007B65EB"/>
    <w:rsid w:val="007B65F5"/>
    <w:rsid w:val="007B66B1"/>
    <w:rsid w:val="007B6797"/>
    <w:rsid w:val="007B68D2"/>
    <w:rsid w:val="007B68D8"/>
    <w:rsid w:val="007B6A35"/>
    <w:rsid w:val="007B6A3D"/>
    <w:rsid w:val="007B6A87"/>
    <w:rsid w:val="007B6A95"/>
    <w:rsid w:val="007B6B77"/>
    <w:rsid w:val="007B6C67"/>
    <w:rsid w:val="007B6CEE"/>
    <w:rsid w:val="007B6E5F"/>
    <w:rsid w:val="007B6EF0"/>
    <w:rsid w:val="007B6F2F"/>
    <w:rsid w:val="007B720E"/>
    <w:rsid w:val="007B72A7"/>
    <w:rsid w:val="007B738F"/>
    <w:rsid w:val="007B73B9"/>
    <w:rsid w:val="007B7602"/>
    <w:rsid w:val="007B7623"/>
    <w:rsid w:val="007B76D3"/>
    <w:rsid w:val="007B77BA"/>
    <w:rsid w:val="007B78D6"/>
    <w:rsid w:val="007B7A16"/>
    <w:rsid w:val="007B7A51"/>
    <w:rsid w:val="007B7A72"/>
    <w:rsid w:val="007B7B16"/>
    <w:rsid w:val="007B7B5F"/>
    <w:rsid w:val="007B7D2F"/>
    <w:rsid w:val="007B7ECE"/>
    <w:rsid w:val="007C0017"/>
    <w:rsid w:val="007C0118"/>
    <w:rsid w:val="007C01A2"/>
    <w:rsid w:val="007C0279"/>
    <w:rsid w:val="007C042B"/>
    <w:rsid w:val="007C0440"/>
    <w:rsid w:val="007C0677"/>
    <w:rsid w:val="007C06C8"/>
    <w:rsid w:val="007C076E"/>
    <w:rsid w:val="007C0785"/>
    <w:rsid w:val="007C0849"/>
    <w:rsid w:val="007C0978"/>
    <w:rsid w:val="007C09DD"/>
    <w:rsid w:val="007C0A5C"/>
    <w:rsid w:val="007C0A93"/>
    <w:rsid w:val="007C0A95"/>
    <w:rsid w:val="007C0AC0"/>
    <w:rsid w:val="007C0B04"/>
    <w:rsid w:val="007C0B5D"/>
    <w:rsid w:val="007C0BB0"/>
    <w:rsid w:val="007C0BBC"/>
    <w:rsid w:val="007C0C49"/>
    <w:rsid w:val="007C0D1C"/>
    <w:rsid w:val="007C0D3D"/>
    <w:rsid w:val="007C0D56"/>
    <w:rsid w:val="007C0DFE"/>
    <w:rsid w:val="007C0EDB"/>
    <w:rsid w:val="007C0FA0"/>
    <w:rsid w:val="007C100D"/>
    <w:rsid w:val="007C101A"/>
    <w:rsid w:val="007C124C"/>
    <w:rsid w:val="007C132B"/>
    <w:rsid w:val="007C1362"/>
    <w:rsid w:val="007C137A"/>
    <w:rsid w:val="007C1478"/>
    <w:rsid w:val="007C154C"/>
    <w:rsid w:val="007C1599"/>
    <w:rsid w:val="007C15DB"/>
    <w:rsid w:val="007C1633"/>
    <w:rsid w:val="007C168E"/>
    <w:rsid w:val="007C16A5"/>
    <w:rsid w:val="007C16DB"/>
    <w:rsid w:val="007C17D5"/>
    <w:rsid w:val="007C1823"/>
    <w:rsid w:val="007C1AE1"/>
    <w:rsid w:val="007C1B11"/>
    <w:rsid w:val="007C1C80"/>
    <w:rsid w:val="007C1DA2"/>
    <w:rsid w:val="007C1DDC"/>
    <w:rsid w:val="007C1E22"/>
    <w:rsid w:val="007C1E23"/>
    <w:rsid w:val="007C2003"/>
    <w:rsid w:val="007C211F"/>
    <w:rsid w:val="007C213D"/>
    <w:rsid w:val="007C21C8"/>
    <w:rsid w:val="007C21DF"/>
    <w:rsid w:val="007C21FA"/>
    <w:rsid w:val="007C2228"/>
    <w:rsid w:val="007C2305"/>
    <w:rsid w:val="007C237D"/>
    <w:rsid w:val="007C23A0"/>
    <w:rsid w:val="007C2476"/>
    <w:rsid w:val="007C2543"/>
    <w:rsid w:val="007C260E"/>
    <w:rsid w:val="007C2623"/>
    <w:rsid w:val="007C2641"/>
    <w:rsid w:val="007C2678"/>
    <w:rsid w:val="007C267A"/>
    <w:rsid w:val="007C27A6"/>
    <w:rsid w:val="007C28CD"/>
    <w:rsid w:val="007C28D0"/>
    <w:rsid w:val="007C2A80"/>
    <w:rsid w:val="007C2A90"/>
    <w:rsid w:val="007C2CE8"/>
    <w:rsid w:val="007C2E36"/>
    <w:rsid w:val="007C2EFD"/>
    <w:rsid w:val="007C2F4A"/>
    <w:rsid w:val="007C3018"/>
    <w:rsid w:val="007C3037"/>
    <w:rsid w:val="007C3070"/>
    <w:rsid w:val="007C30C3"/>
    <w:rsid w:val="007C30E0"/>
    <w:rsid w:val="007C316E"/>
    <w:rsid w:val="007C32EF"/>
    <w:rsid w:val="007C32F5"/>
    <w:rsid w:val="007C33A9"/>
    <w:rsid w:val="007C33CE"/>
    <w:rsid w:val="007C342E"/>
    <w:rsid w:val="007C3517"/>
    <w:rsid w:val="007C36B5"/>
    <w:rsid w:val="007C376D"/>
    <w:rsid w:val="007C3862"/>
    <w:rsid w:val="007C388E"/>
    <w:rsid w:val="007C392D"/>
    <w:rsid w:val="007C3BED"/>
    <w:rsid w:val="007C3EAA"/>
    <w:rsid w:val="007C3F9E"/>
    <w:rsid w:val="007C3FB2"/>
    <w:rsid w:val="007C3FD5"/>
    <w:rsid w:val="007C406C"/>
    <w:rsid w:val="007C408F"/>
    <w:rsid w:val="007C40D2"/>
    <w:rsid w:val="007C41AC"/>
    <w:rsid w:val="007C4388"/>
    <w:rsid w:val="007C44CA"/>
    <w:rsid w:val="007C4501"/>
    <w:rsid w:val="007C4629"/>
    <w:rsid w:val="007C4658"/>
    <w:rsid w:val="007C46A8"/>
    <w:rsid w:val="007C46E2"/>
    <w:rsid w:val="007C4743"/>
    <w:rsid w:val="007C47E0"/>
    <w:rsid w:val="007C49D0"/>
    <w:rsid w:val="007C4A5D"/>
    <w:rsid w:val="007C4A8D"/>
    <w:rsid w:val="007C4AF8"/>
    <w:rsid w:val="007C4BC3"/>
    <w:rsid w:val="007C4C0B"/>
    <w:rsid w:val="007C4C1B"/>
    <w:rsid w:val="007C4CB4"/>
    <w:rsid w:val="007C4D22"/>
    <w:rsid w:val="007C4E82"/>
    <w:rsid w:val="007C4EC9"/>
    <w:rsid w:val="007C4F46"/>
    <w:rsid w:val="007C4F52"/>
    <w:rsid w:val="007C5041"/>
    <w:rsid w:val="007C521C"/>
    <w:rsid w:val="007C5290"/>
    <w:rsid w:val="007C5395"/>
    <w:rsid w:val="007C5460"/>
    <w:rsid w:val="007C548C"/>
    <w:rsid w:val="007C5539"/>
    <w:rsid w:val="007C553E"/>
    <w:rsid w:val="007C5559"/>
    <w:rsid w:val="007C5590"/>
    <w:rsid w:val="007C55B8"/>
    <w:rsid w:val="007C55DD"/>
    <w:rsid w:val="007C561E"/>
    <w:rsid w:val="007C5744"/>
    <w:rsid w:val="007C57A8"/>
    <w:rsid w:val="007C57C4"/>
    <w:rsid w:val="007C57D5"/>
    <w:rsid w:val="007C5822"/>
    <w:rsid w:val="007C5881"/>
    <w:rsid w:val="007C594A"/>
    <w:rsid w:val="007C59C3"/>
    <w:rsid w:val="007C59D1"/>
    <w:rsid w:val="007C5A0D"/>
    <w:rsid w:val="007C5A41"/>
    <w:rsid w:val="007C5BFD"/>
    <w:rsid w:val="007C5D37"/>
    <w:rsid w:val="007C5D71"/>
    <w:rsid w:val="007C5EC7"/>
    <w:rsid w:val="007C600A"/>
    <w:rsid w:val="007C60FC"/>
    <w:rsid w:val="007C6311"/>
    <w:rsid w:val="007C6397"/>
    <w:rsid w:val="007C6585"/>
    <w:rsid w:val="007C6589"/>
    <w:rsid w:val="007C6720"/>
    <w:rsid w:val="007C6758"/>
    <w:rsid w:val="007C6893"/>
    <w:rsid w:val="007C69F3"/>
    <w:rsid w:val="007C6AB0"/>
    <w:rsid w:val="007C6AED"/>
    <w:rsid w:val="007C6BD1"/>
    <w:rsid w:val="007C6C0D"/>
    <w:rsid w:val="007C6CD6"/>
    <w:rsid w:val="007C6D66"/>
    <w:rsid w:val="007C6DD5"/>
    <w:rsid w:val="007C6E95"/>
    <w:rsid w:val="007C6FB1"/>
    <w:rsid w:val="007C7043"/>
    <w:rsid w:val="007C7072"/>
    <w:rsid w:val="007C710E"/>
    <w:rsid w:val="007C712A"/>
    <w:rsid w:val="007C71FB"/>
    <w:rsid w:val="007C7203"/>
    <w:rsid w:val="007C73D5"/>
    <w:rsid w:val="007C75E1"/>
    <w:rsid w:val="007C781E"/>
    <w:rsid w:val="007C78D3"/>
    <w:rsid w:val="007C7900"/>
    <w:rsid w:val="007C7A9A"/>
    <w:rsid w:val="007C7AF2"/>
    <w:rsid w:val="007C7C38"/>
    <w:rsid w:val="007D004B"/>
    <w:rsid w:val="007D0102"/>
    <w:rsid w:val="007D015F"/>
    <w:rsid w:val="007D0212"/>
    <w:rsid w:val="007D0257"/>
    <w:rsid w:val="007D0292"/>
    <w:rsid w:val="007D0335"/>
    <w:rsid w:val="007D053E"/>
    <w:rsid w:val="007D0549"/>
    <w:rsid w:val="007D0819"/>
    <w:rsid w:val="007D0867"/>
    <w:rsid w:val="007D0A14"/>
    <w:rsid w:val="007D0AFD"/>
    <w:rsid w:val="007D0B58"/>
    <w:rsid w:val="007D0C7B"/>
    <w:rsid w:val="007D0C8D"/>
    <w:rsid w:val="007D0CAA"/>
    <w:rsid w:val="007D0D88"/>
    <w:rsid w:val="007D0DBE"/>
    <w:rsid w:val="007D0E6F"/>
    <w:rsid w:val="007D0FAA"/>
    <w:rsid w:val="007D1180"/>
    <w:rsid w:val="007D135F"/>
    <w:rsid w:val="007D13BF"/>
    <w:rsid w:val="007D148C"/>
    <w:rsid w:val="007D14B9"/>
    <w:rsid w:val="007D1622"/>
    <w:rsid w:val="007D163B"/>
    <w:rsid w:val="007D16F3"/>
    <w:rsid w:val="007D1735"/>
    <w:rsid w:val="007D1797"/>
    <w:rsid w:val="007D17B8"/>
    <w:rsid w:val="007D1825"/>
    <w:rsid w:val="007D1919"/>
    <w:rsid w:val="007D194A"/>
    <w:rsid w:val="007D198A"/>
    <w:rsid w:val="007D19C1"/>
    <w:rsid w:val="007D1A8A"/>
    <w:rsid w:val="007D1C6D"/>
    <w:rsid w:val="007D1CBE"/>
    <w:rsid w:val="007D1CBF"/>
    <w:rsid w:val="007D1DF6"/>
    <w:rsid w:val="007D1E16"/>
    <w:rsid w:val="007D1E50"/>
    <w:rsid w:val="007D1E8A"/>
    <w:rsid w:val="007D1FFB"/>
    <w:rsid w:val="007D20AF"/>
    <w:rsid w:val="007D213C"/>
    <w:rsid w:val="007D2169"/>
    <w:rsid w:val="007D222F"/>
    <w:rsid w:val="007D2393"/>
    <w:rsid w:val="007D2513"/>
    <w:rsid w:val="007D2573"/>
    <w:rsid w:val="007D25E1"/>
    <w:rsid w:val="007D26A5"/>
    <w:rsid w:val="007D2704"/>
    <w:rsid w:val="007D2799"/>
    <w:rsid w:val="007D27B0"/>
    <w:rsid w:val="007D27EF"/>
    <w:rsid w:val="007D2835"/>
    <w:rsid w:val="007D2C4F"/>
    <w:rsid w:val="007D2C5D"/>
    <w:rsid w:val="007D2D77"/>
    <w:rsid w:val="007D2F5B"/>
    <w:rsid w:val="007D2FDA"/>
    <w:rsid w:val="007D304B"/>
    <w:rsid w:val="007D3289"/>
    <w:rsid w:val="007D32DA"/>
    <w:rsid w:val="007D3339"/>
    <w:rsid w:val="007D33AC"/>
    <w:rsid w:val="007D3466"/>
    <w:rsid w:val="007D3517"/>
    <w:rsid w:val="007D356C"/>
    <w:rsid w:val="007D35B5"/>
    <w:rsid w:val="007D3683"/>
    <w:rsid w:val="007D36E9"/>
    <w:rsid w:val="007D3883"/>
    <w:rsid w:val="007D38D4"/>
    <w:rsid w:val="007D3956"/>
    <w:rsid w:val="007D396A"/>
    <w:rsid w:val="007D3A28"/>
    <w:rsid w:val="007D3A51"/>
    <w:rsid w:val="007D3A69"/>
    <w:rsid w:val="007D3AF5"/>
    <w:rsid w:val="007D3BC2"/>
    <w:rsid w:val="007D3CAD"/>
    <w:rsid w:val="007D4158"/>
    <w:rsid w:val="007D4159"/>
    <w:rsid w:val="007D41EE"/>
    <w:rsid w:val="007D41FB"/>
    <w:rsid w:val="007D4209"/>
    <w:rsid w:val="007D42AD"/>
    <w:rsid w:val="007D42E4"/>
    <w:rsid w:val="007D42FB"/>
    <w:rsid w:val="007D4498"/>
    <w:rsid w:val="007D4550"/>
    <w:rsid w:val="007D455B"/>
    <w:rsid w:val="007D4561"/>
    <w:rsid w:val="007D45CE"/>
    <w:rsid w:val="007D4693"/>
    <w:rsid w:val="007D47B6"/>
    <w:rsid w:val="007D4808"/>
    <w:rsid w:val="007D4831"/>
    <w:rsid w:val="007D483E"/>
    <w:rsid w:val="007D48A9"/>
    <w:rsid w:val="007D4991"/>
    <w:rsid w:val="007D4A9C"/>
    <w:rsid w:val="007D4AA7"/>
    <w:rsid w:val="007D4B91"/>
    <w:rsid w:val="007D4C73"/>
    <w:rsid w:val="007D4D30"/>
    <w:rsid w:val="007D4DAA"/>
    <w:rsid w:val="007D4DAB"/>
    <w:rsid w:val="007D4E04"/>
    <w:rsid w:val="007D4E23"/>
    <w:rsid w:val="007D4F03"/>
    <w:rsid w:val="007D5067"/>
    <w:rsid w:val="007D5082"/>
    <w:rsid w:val="007D5268"/>
    <w:rsid w:val="007D5281"/>
    <w:rsid w:val="007D52D3"/>
    <w:rsid w:val="007D5392"/>
    <w:rsid w:val="007D53B6"/>
    <w:rsid w:val="007D5414"/>
    <w:rsid w:val="007D54A5"/>
    <w:rsid w:val="007D5552"/>
    <w:rsid w:val="007D557B"/>
    <w:rsid w:val="007D55AD"/>
    <w:rsid w:val="007D55FA"/>
    <w:rsid w:val="007D5628"/>
    <w:rsid w:val="007D5688"/>
    <w:rsid w:val="007D57A6"/>
    <w:rsid w:val="007D57DC"/>
    <w:rsid w:val="007D57FD"/>
    <w:rsid w:val="007D58A6"/>
    <w:rsid w:val="007D58E3"/>
    <w:rsid w:val="007D5908"/>
    <w:rsid w:val="007D5953"/>
    <w:rsid w:val="007D5AB3"/>
    <w:rsid w:val="007D5B19"/>
    <w:rsid w:val="007D5C31"/>
    <w:rsid w:val="007D5C6C"/>
    <w:rsid w:val="007D5D84"/>
    <w:rsid w:val="007D5F59"/>
    <w:rsid w:val="007D5FB5"/>
    <w:rsid w:val="007D5FBF"/>
    <w:rsid w:val="007D6025"/>
    <w:rsid w:val="007D60D8"/>
    <w:rsid w:val="007D613C"/>
    <w:rsid w:val="007D6145"/>
    <w:rsid w:val="007D61F5"/>
    <w:rsid w:val="007D636C"/>
    <w:rsid w:val="007D63D3"/>
    <w:rsid w:val="007D63FC"/>
    <w:rsid w:val="007D6417"/>
    <w:rsid w:val="007D6480"/>
    <w:rsid w:val="007D650C"/>
    <w:rsid w:val="007D6527"/>
    <w:rsid w:val="007D652A"/>
    <w:rsid w:val="007D6633"/>
    <w:rsid w:val="007D665A"/>
    <w:rsid w:val="007D685C"/>
    <w:rsid w:val="007D6959"/>
    <w:rsid w:val="007D6A00"/>
    <w:rsid w:val="007D6A34"/>
    <w:rsid w:val="007D6A3C"/>
    <w:rsid w:val="007D6A4E"/>
    <w:rsid w:val="007D6AF0"/>
    <w:rsid w:val="007D6B47"/>
    <w:rsid w:val="007D6D72"/>
    <w:rsid w:val="007D6E91"/>
    <w:rsid w:val="007D6F21"/>
    <w:rsid w:val="007D7020"/>
    <w:rsid w:val="007D7061"/>
    <w:rsid w:val="007D7098"/>
    <w:rsid w:val="007D72E5"/>
    <w:rsid w:val="007D73CF"/>
    <w:rsid w:val="007D73DA"/>
    <w:rsid w:val="007D74D1"/>
    <w:rsid w:val="007D7508"/>
    <w:rsid w:val="007D7631"/>
    <w:rsid w:val="007D7759"/>
    <w:rsid w:val="007D7782"/>
    <w:rsid w:val="007D798C"/>
    <w:rsid w:val="007D7A8C"/>
    <w:rsid w:val="007D7AB3"/>
    <w:rsid w:val="007D7D44"/>
    <w:rsid w:val="007D7DC0"/>
    <w:rsid w:val="007E004C"/>
    <w:rsid w:val="007E0085"/>
    <w:rsid w:val="007E0086"/>
    <w:rsid w:val="007E0098"/>
    <w:rsid w:val="007E00F7"/>
    <w:rsid w:val="007E0100"/>
    <w:rsid w:val="007E0153"/>
    <w:rsid w:val="007E040D"/>
    <w:rsid w:val="007E0567"/>
    <w:rsid w:val="007E0609"/>
    <w:rsid w:val="007E0665"/>
    <w:rsid w:val="007E06D0"/>
    <w:rsid w:val="007E07C6"/>
    <w:rsid w:val="007E07DA"/>
    <w:rsid w:val="007E07FE"/>
    <w:rsid w:val="007E09A2"/>
    <w:rsid w:val="007E0A14"/>
    <w:rsid w:val="007E0CE0"/>
    <w:rsid w:val="007E0DF7"/>
    <w:rsid w:val="007E1095"/>
    <w:rsid w:val="007E1186"/>
    <w:rsid w:val="007E11F2"/>
    <w:rsid w:val="007E11F5"/>
    <w:rsid w:val="007E163C"/>
    <w:rsid w:val="007E1660"/>
    <w:rsid w:val="007E169C"/>
    <w:rsid w:val="007E16F1"/>
    <w:rsid w:val="007E16F6"/>
    <w:rsid w:val="007E1703"/>
    <w:rsid w:val="007E1742"/>
    <w:rsid w:val="007E1850"/>
    <w:rsid w:val="007E19B1"/>
    <w:rsid w:val="007E1ABD"/>
    <w:rsid w:val="007E1B23"/>
    <w:rsid w:val="007E1BF1"/>
    <w:rsid w:val="007E1C38"/>
    <w:rsid w:val="007E1C50"/>
    <w:rsid w:val="007E1DB1"/>
    <w:rsid w:val="007E1FAB"/>
    <w:rsid w:val="007E1FEE"/>
    <w:rsid w:val="007E2005"/>
    <w:rsid w:val="007E2042"/>
    <w:rsid w:val="007E20D9"/>
    <w:rsid w:val="007E21AC"/>
    <w:rsid w:val="007E2200"/>
    <w:rsid w:val="007E22BD"/>
    <w:rsid w:val="007E2300"/>
    <w:rsid w:val="007E233C"/>
    <w:rsid w:val="007E234D"/>
    <w:rsid w:val="007E2387"/>
    <w:rsid w:val="007E2403"/>
    <w:rsid w:val="007E278F"/>
    <w:rsid w:val="007E2796"/>
    <w:rsid w:val="007E281B"/>
    <w:rsid w:val="007E2923"/>
    <w:rsid w:val="007E29A1"/>
    <w:rsid w:val="007E2AA6"/>
    <w:rsid w:val="007E2BAE"/>
    <w:rsid w:val="007E2DB4"/>
    <w:rsid w:val="007E2E28"/>
    <w:rsid w:val="007E2E74"/>
    <w:rsid w:val="007E30E6"/>
    <w:rsid w:val="007E311E"/>
    <w:rsid w:val="007E3153"/>
    <w:rsid w:val="007E320B"/>
    <w:rsid w:val="007E35EA"/>
    <w:rsid w:val="007E373C"/>
    <w:rsid w:val="007E3749"/>
    <w:rsid w:val="007E384F"/>
    <w:rsid w:val="007E3A24"/>
    <w:rsid w:val="007E3B90"/>
    <w:rsid w:val="007E3BE2"/>
    <w:rsid w:val="007E3C28"/>
    <w:rsid w:val="007E3C76"/>
    <w:rsid w:val="007E3D01"/>
    <w:rsid w:val="007E3DB6"/>
    <w:rsid w:val="007E3F73"/>
    <w:rsid w:val="007E4019"/>
    <w:rsid w:val="007E4035"/>
    <w:rsid w:val="007E429E"/>
    <w:rsid w:val="007E42B9"/>
    <w:rsid w:val="007E42BD"/>
    <w:rsid w:val="007E4498"/>
    <w:rsid w:val="007E44F3"/>
    <w:rsid w:val="007E461B"/>
    <w:rsid w:val="007E46AB"/>
    <w:rsid w:val="007E4700"/>
    <w:rsid w:val="007E47C7"/>
    <w:rsid w:val="007E480B"/>
    <w:rsid w:val="007E486D"/>
    <w:rsid w:val="007E49FF"/>
    <w:rsid w:val="007E4A1D"/>
    <w:rsid w:val="007E4B6C"/>
    <w:rsid w:val="007E4BC5"/>
    <w:rsid w:val="007E4C6E"/>
    <w:rsid w:val="007E4CA8"/>
    <w:rsid w:val="007E4E1A"/>
    <w:rsid w:val="007E4E38"/>
    <w:rsid w:val="007E4FBF"/>
    <w:rsid w:val="007E506A"/>
    <w:rsid w:val="007E50F6"/>
    <w:rsid w:val="007E5114"/>
    <w:rsid w:val="007E518F"/>
    <w:rsid w:val="007E5240"/>
    <w:rsid w:val="007E5296"/>
    <w:rsid w:val="007E5332"/>
    <w:rsid w:val="007E53E9"/>
    <w:rsid w:val="007E5423"/>
    <w:rsid w:val="007E5540"/>
    <w:rsid w:val="007E583A"/>
    <w:rsid w:val="007E5A3B"/>
    <w:rsid w:val="007E5AE9"/>
    <w:rsid w:val="007E5BD4"/>
    <w:rsid w:val="007E5C17"/>
    <w:rsid w:val="007E5C22"/>
    <w:rsid w:val="007E5D41"/>
    <w:rsid w:val="007E5E5B"/>
    <w:rsid w:val="007E5E5D"/>
    <w:rsid w:val="007E5EC6"/>
    <w:rsid w:val="007E5F5A"/>
    <w:rsid w:val="007E605D"/>
    <w:rsid w:val="007E61A4"/>
    <w:rsid w:val="007E6463"/>
    <w:rsid w:val="007E65D5"/>
    <w:rsid w:val="007E66FA"/>
    <w:rsid w:val="007E673D"/>
    <w:rsid w:val="007E68CE"/>
    <w:rsid w:val="007E68D8"/>
    <w:rsid w:val="007E6B2D"/>
    <w:rsid w:val="007E6CC5"/>
    <w:rsid w:val="007E6D0A"/>
    <w:rsid w:val="007E6D35"/>
    <w:rsid w:val="007E6DA6"/>
    <w:rsid w:val="007E6DE7"/>
    <w:rsid w:val="007E6EC1"/>
    <w:rsid w:val="007E7010"/>
    <w:rsid w:val="007E70A2"/>
    <w:rsid w:val="007E72C0"/>
    <w:rsid w:val="007E7336"/>
    <w:rsid w:val="007E738C"/>
    <w:rsid w:val="007E73C1"/>
    <w:rsid w:val="007E7405"/>
    <w:rsid w:val="007E741E"/>
    <w:rsid w:val="007E7593"/>
    <w:rsid w:val="007E77ED"/>
    <w:rsid w:val="007E78B7"/>
    <w:rsid w:val="007E78BA"/>
    <w:rsid w:val="007E790B"/>
    <w:rsid w:val="007E7947"/>
    <w:rsid w:val="007E7A7B"/>
    <w:rsid w:val="007E7AEE"/>
    <w:rsid w:val="007E7C8A"/>
    <w:rsid w:val="007E7CC6"/>
    <w:rsid w:val="007E7DDA"/>
    <w:rsid w:val="007E7E1A"/>
    <w:rsid w:val="007E7EBA"/>
    <w:rsid w:val="007E7F86"/>
    <w:rsid w:val="007E7F8F"/>
    <w:rsid w:val="007E7F9F"/>
    <w:rsid w:val="007E7FEA"/>
    <w:rsid w:val="007F0050"/>
    <w:rsid w:val="007F0114"/>
    <w:rsid w:val="007F015C"/>
    <w:rsid w:val="007F0161"/>
    <w:rsid w:val="007F01ED"/>
    <w:rsid w:val="007F0205"/>
    <w:rsid w:val="007F026B"/>
    <w:rsid w:val="007F031E"/>
    <w:rsid w:val="007F0454"/>
    <w:rsid w:val="007F059C"/>
    <w:rsid w:val="007F061E"/>
    <w:rsid w:val="007F062A"/>
    <w:rsid w:val="007F065B"/>
    <w:rsid w:val="007F0733"/>
    <w:rsid w:val="007F08D3"/>
    <w:rsid w:val="007F0B1B"/>
    <w:rsid w:val="007F0BE3"/>
    <w:rsid w:val="007F0C32"/>
    <w:rsid w:val="007F0C65"/>
    <w:rsid w:val="007F0C6C"/>
    <w:rsid w:val="007F0D72"/>
    <w:rsid w:val="007F0F38"/>
    <w:rsid w:val="007F0F7B"/>
    <w:rsid w:val="007F0FC8"/>
    <w:rsid w:val="007F102C"/>
    <w:rsid w:val="007F10B2"/>
    <w:rsid w:val="007F10D0"/>
    <w:rsid w:val="007F1224"/>
    <w:rsid w:val="007F131B"/>
    <w:rsid w:val="007F1361"/>
    <w:rsid w:val="007F1414"/>
    <w:rsid w:val="007F14DD"/>
    <w:rsid w:val="007F15C9"/>
    <w:rsid w:val="007F16DB"/>
    <w:rsid w:val="007F17D1"/>
    <w:rsid w:val="007F18C5"/>
    <w:rsid w:val="007F1A0A"/>
    <w:rsid w:val="007F1A57"/>
    <w:rsid w:val="007F1B55"/>
    <w:rsid w:val="007F1BEB"/>
    <w:rsid w:val="007F1C69"/>
    <w:rsid w:val="007F1CAD"/>
    <w:rsid w:val="007F1D00"/>
    <w:rsid w:val="007F1E96"/>
    <w:rsid w:val="007F1EBC"/>
    <w:rsid w:val="007F1F41"/>
    <w:rsid w:val="007F1F64"/>
    <w:rsid w:val="007F2071"/>
    <w:rsid w:val="007F20BD"/>
    <w:rsid w:val="007F20C0"/>
    <w:rsid w:val="007F2180"/>
    <w:rsid w:val="007F2188"/>
    <w:rsid w:val="007F21BF"/>
    <w:rsid w:val="007F21E6"/>
    <w:rsid w:val="007F2214"/>
    <w:rsid w:val="007F2269"/>
    <w:rsid w:val="007F236B"/>
    <w:rsid w:val="007F23FD"/>
    <w:rsid w:val="007F2498"/>
    <w:rsid w:val="007F24F4"/>
    <w:rsid w:val="007F2516"/>
    <w:rsid w:val="007F259D"/>
    <w:rsid w:val="007F25A3"/>
    <w:rsid w:val="007F25AD"/>
    <w:rsid w:val="007F26D1"/>
    <w:rsid w:val="007F275E"/>
    <w:rsid w:val="007F2764"/>
    <w:rsid w:val="007F2972"/>
    <w:rsid w:val="007F29BE"/>
    <w:rsid w:val="007F2AD2"/>
    <w:rsid w:val="007F2DC5"/>
    <w:rsid w:val="007F2EEC"/>
    <w:rsid w:val="007F2F47"/>
    <w:rsid w:val="007F3046"/>
    <w:rsid w:val="007F3116"/>
    <w:rsid w:val="007F3137"/>
    <w:rsid w:val="007F3154"/>
    <w:rsid w:val="007F31D1"/>
    <w:rsid w:val="007F322B"/>
    <w:rsid w:val="007F3282"/>
    <w:rsid w:val="007F3316"/>
    <w:rsid w:val="007F3383"/>
    <w:rsid w:val="007F33F8"/>
    <w:rsid w:val="007F3561"/>
    <w:rsid w:val="007F381B"/>
    <w:rsid w:val="007F3837"/>
    <w:rsid w:val="007F383B"/>
    <w:rsid w:val="007F385D"/>
    <w:rsid w:val="007F392A"/>
    <w:rsid w:val="007F3AED"/>
    <w:rsid w:val="007F3AFE"/>
    <w:rsid w:val="007F3B44"/>
    <w:rsid w:val="007F3B50"/>
    <w:rsid w:val="007F3D49"/>
    <w:rsid w:val="007F3D79"/>
    <w:rsid w:val="007F3DBB"/>
    <w:rsid w:val="007F4020"/>
    <w:rsid w:val="007F40A5"/>
    <w:rsid w:val="007F4125"/>
    <w:rsid w:val="007F42BB"/>
    <w:rsid w:val="007F42F4"/>
    <w:rsid w:val="007F4330"/>
    <w:rsid w:val="007F43C7"/>
    <w:rsid w:val="007F44B7"/>
    <w:rsid w:val="007F4510"/>
    <w:rsid w:val="007F4847"/>
    <w:rsid w:val="007F4943"/>
    <w:rsid w:val="007F49C8"/>
    <w:rsid w:val="007F49D5"/>
    <w:rsid w:val="007F4A23"/>
    <w:rsid w:val="007F4B02"/>
    <w:rsid w:val="007F4B6D"/>
    <w:rsid w:val="007F4E9C"/>
    <w:rsid w:val="007F4ED0"/>
    <w:rsid w:val="007F4F77"/>
    <w:rsid w:val="007F4FF4"/>
    <w:rsid w:val="007F5068"/>
    <w:rsid w:val="007F5081"/>
    <w:rsid w:val="007F50CA"/>
    <w:rsid w:val="007F50DC"/>
    <w:rsid w:val="007F5168"/>
    <w:rsid w:val="007F51C6"/>
    <w:rsid w:val="007F5270"/>
    <w:rsid w:val="007F539E"/>
    <w:rsid w:val="007F544A"/>
    <w:rsid w:val="007F55C1"/>
    <w:rsid w:val="007F5655"/>
    <w:rsid w:val="007F5863"/>
    <w:rsid w:val="007F59DE"/>
    <w:rsid w:val="007F5A60"/>
    <w:rsid w:val="007F5A71"/>
    <w:rsid w:val="007F5A7C"/>
    <w:rsid w:val="007F5ABC"/>
    <w:rsid w:val="007F5AFB"/>
    <w:rsid w:val="007F5BC0"/>
    <w:rsid w:val="007F5C54"/>
    <w:rsid w:val="007F5D06"/>
    <w:rsid w:val="007F5D3D"/>
    <w:rsid w:val="007F5DFC"/>
    <w:rsid w:val="007F5EF0"/>
    <w:rsid w:val="007F5F36"/>
    <w:rsid w:val="007F60C2"/>
    <w:rsid w:val="007F60D2"/>
    <w:rsid w:val="007F60E0"/>
    <w:rsid w:val="007F62FE"/>
    <w:rsid w:val="007F6366"/>
    <w:rsid w:val="007F63CE"/>
    <w:rsid w:val="007F6464"/>
    <w:rsid w:val="007F66F4"/>
    <w:rsid w:val="007F67D0"/>
    <w:rsid w:val="007F6897"/>
    <w:rsid w:val="007F696D"/>
    <w:rsid w:val="007F6AF3"/>
    <w:rsid w:val="007F6B81"/>
    <w:rsid w:val="007F6C3A"/>
    <w:rsid w:val="007F6C54"/>
    <w:rsid w:val="007F6C8D"/>
    <w:rsid w:val="007F6D63"/>
    <w:rsid w:val="007F6D8A"/>
    <w:rsid w:val="007F6EAB"/>
    <w:rsid w:val="007F6F27"/>
    <w:rsid w:val="007F6FB8"/>
    <w:rsid w:val="007F70BD"/>
    <w:rsid w:val="007F71BA"/>
    <w:rsid w:val="007F7215"/>
    <w:rsid w:val="007F729B"/>
    <w:rsid w:val="007F744F"/>
    <w:rsid w:val="007F746E"/>
    <w:rsid w:val="007F7476"/>
    <w:rsid w:val="007F7544"/>
    <w:rsid w:val="007F7555"/>
    <w:rsid w:val="007F7621"/>
    <w:rsid w:val="007F77C3"/>
    <w:rsid w:val="007F78EA"/>
    <w:rsid w:val="007F7A79"/>
    <w:rsid w:val="007F7B0B"/>
    <w:rsid w:val="007F7C44"/>
    <w:rsid w:val="007F7CF7"/>
    <w:rsid w:val="007F7DC9"/>
    <w:rsid w:val="007F7F29"/>
    <w:rsid w:val="007F7F82"/>
    <w:rsid w:val="008000C6"/>
    <w:rsid w:val="008000FF"/>
    <w:rsid w:val="00800115"/>
    <w:rsid w:val="008001FF"/>
    <w:rsid w:val="00800383"/>
    <w:rsid w:val="00800460"/>
    <w:rsid w:val="00800485"/>
    <w:rsid w:val="008004A3"/>
    <w:rsid w:val="00800551"/>
    <w:rsid w:val="008005E5"/>
    <w:rsid w:val="00800618"/>
    <w:rsid w:val="0080067D"/>
    <w:rsid w:val="008006AD"/>
    <w:rsid w:val="00800799"/>
    <w:rsid w:val="008007A2"/>
    <w:rsid w:val="00800926"/>
    <w:rsid w:val="00800962"/>
    <w:rsid w:val="008009A9"/>
    <w:rsid w:val="00800A8E"/>
    <w:rsid w:val="00800B64"/>
    <w:rsid w:val="00800DA4"/>
    <w:rsid w:val="00800DEA"/>
    <w:rsid w:val="00800EF7"/>
    <w:rsid w:val="00801070"/>
    <w:rsid w:val="0080115C"/>
    <w:rsid w:val="008011AE"/>
    <w:rsid w:val="008011E9"/>
    <w:rsid w:val="00801207"/>
    <w:rsid w:val="00801218"/>
    <w:rsid w:val="0080124C"/>
    <w:rsid w:val="00801285"/>
    <w:rsid w:val="0080129A"/>
    <w:rsid w:val="0080137D"/>
    <w:rsid w:val="00801545"/>
    <w:rsid w:val="00801555"/>
    <w:rsid w:val="00801673"/>
    <w:rsid w:val="00801779"/>
    <w:rsid w:val="0080177F"/>
    <w:rsid w:val="0080188B"/>
    <w:rsid w:val="008018F3"/>
    <w:rsid w:val="0080191A"/>
    <w:rsid w:val="00801A55"/>
    <w:rsid w:val="00801ABE"/>
    <w:rsid w:val="00801C87"/>
    <w:rsid w:val="00801CBE"/>
    <w:rsid w:val="00801CEF"/>
    <w:rsid w:val="00801D05"/>
    <w:rsid w:val="00801E6D"/>
    <w:rsid w:val="00801EC1"/>
    <w:rsid w:val="00801ED4"/>
    <w:rsid w:val="00801FD8"/>
    <w:rsid w:val="00802094"/>
    <w:rsid w:val="008020A0"/>
    <w:rsid w:val="008020C0"/>
    <w:rsid w:val="008020CE"/>
    <w:rsid w:val="00802242"/>
    <w:rsid w:val="0080225F"/>
    <w:rsid w:val="008022FF"/>
    <w:rsid w:val="00802361"/>
    <w:rsid w:val="0080243A"/>
    <w:rsid w:val="00802589"/>
    <w:rsid w:val="00802765"/>
    <w:rsid w:val="0080276C"/>
    <w:rsid w:val="00802893"/>
    <w:rsid w:val="008029E7"/>
    <w:rsid w:val="008029FA"/>
    <w:rsid w:val="00802A15"/>
    <w:rsid w:val="00802AB5"/>
    <w:rsid w:val="00802B09"/>
    <w:rsid w:val="00802BB2"/>
    <w:rsid w:val="00802BCC"/>
    <w:rsid w:val="00802C6C"/>
    <w:rsid w:val="00802DFD"/>
    <w:rsid w:val="008030D3"/>
    <w:rsid w:val="008030E5"/>
    <w:rsid w:val="008031F6"/>
    <w:rsid w:val="0080324B"/>
    <w:rsid w:val="0080328D"/>
    <w:rsid w:val="00803361"/>
    <w:rsid w:val="00803366"/>
    <w:rsid w:val="008033F4"/>
    <w:rsid w:val="0080347E"/>
    <w:rsid w:val="0080352B"/>
    <w:rsid w:val="00803592"/>
    <w:rsid w:val="008035AA"/>
    <w:rsid w:val="008036ED"/>
    <w:rsid w:val="008037AA"/>
    <w:rsid w:val="008038B6"/>
    <w:rsid w:val="00803901"/>
    <w:rsid w:val="0080398D"/>
    <w:rsid w:val="00803A33"/>
    <w:rsid w:val="00803B7F"/>
    <w:rsid w:val="00803C31"/>
    <w:rsid w:val="00803D42"/>
    <w:rsid w:val="00803D94"/>
    <w:rsid w:val="00803E0A"/>
    <w:rsid w:val="00803FCE"/>
    <w:rsid w:val="008040D3"/>
    <w:rsid w:val="0080416A"/>
    <w:rsid w:val="008041CF"/>
    <w:rsid w:val="00804248"/>
    <w:rsid w:val="008045C6"/>
    <w:rsid w:val="008046BC"/>
    <w:rsid w:val="00804703"/>
    <w:rsid w:val="0080473C"/>
    <w:rsid w:val="0080475B"/>
    <w:rsid w:val="00804774"/>
    <w:rsid w:val="00804875"/>
    <w:rsid w:val="00804929"/>
    <w:rsid w:val="00804936"/>
    <w:rsid w:val="008049F4"/>
    <w:rsid w:val="00804AE4"/>
    <w:rsid w:val="00804BCF"/>
    <w:rsid w:val="00804C1C"/>
    <w:rsid w:val="00804C5D"/>
    <w:rsid w:val="00804C72"/>
    <w:rsid w:val="00804DC8"/>
    <w:rsid w:val="00804DF8"/>
    <w:rsid w:val="00804EA9"/>
    <w:rsid w:val="00804EBE"/>
    <w:rsid w:val="00804F53"/>
    <w:rsid w:val="00804F78"/>
    <w:rsid w:val="008050B0"/>
    <w:rsid w:val="008051DE"/>
    <w:rsid w:val="008053AA"/>
    <w:rsid w:val="0080544F"/>
    <w:rsid w:val="00805505"/>
    <w:rsid w:val="0080554B"/>
    <w:rsid w:val="008055BE"/>
    <w:rsid w:val="008055C8"/>
    <w:rsid w:val="00805618"/>
    <w:rsid w:val="008057A7"/>
    <w:rsid w:val="00805849"/>
    <w:rsid w:val="0080585F"/>
    <w:rsid w:val="008058EB"/>
    <w:rsid w:val="00805A7A"/>
    <w:rsid w:val="00805AA1"/>
    <w:rsid w:val="00805AA9"/>
    <w:rsid w:val="00805BD9"/>
    <w:rsid w:val="00805C2A"/>
    <w:rsid w:val="00805C64"/>
    <w:rsid w:val="00805C82"/>
    <w:rsid w:val="00805C94"/>
    <w:rsid w:val="00805C99"/>
    <w:rsid w:val="00805CF7"/>
    <w:rsid w:val="00805D3A"/>
    <w:rsid w:val="00805DE6"/>
    <w:rsid w:val="00805F8D"/>
    <w:rsid w:val="00805FAA"/>
    <w:rsid w:val="0080603F"/>
    <w:rsid w:val="0080618C"/>
    <w:rsid w:val="008061DB"/>
    <w:rsid w:val="008063BA"/>
    <w:rsid w:val="00806465"/>
    <w:rsid w:val="00806475"/>
    <w:rsid w:val="008064BD"/>
    <w:rsid w:val="008064C2"/>
    <w:rsid w:val="008064D5"/>
    <w:rsid w:val="00806506"/>
    <w:rsid w:val="00806632"/>
    <w:rsid w:val="00806655"/>
    <w:rsid w:val="008066EC"/>
    <w:rsid w:val="008067A5"/>
    <w:rsid w:val="0080686B"/>
    <w:rsid w:val="0080689B"/>
    <w:rsid w:val="008068CB"/>
    <w:rsid w:val="008068F0"/>
    <w:rsid w:val="0080692E"/>
    <w:rsid w:val="00806A0F"/>
    <w:rsid w:val="00806AAB"/>
    <w:rsid w:val="00806BCC"/>
    <w:rsid w:val="00806C31"/>
    <w:rsid w:val="00806D9E"/>
    <w:rsid w:val="00806DB4"/>
    <w:rsid w:val="00806DF0"/>
    <w:rsid w:val="00806E2C"/>
    <w:rsid w:val="00806F13"/>
    <w:rsid w:val="00806F5A"/>
    <w:rsid w:val="00806F5B"/>
    <w:rsid w:val="008071D8"/>
    <w:rsid w:val="00807211"/>
    <w:rsid w:val="008072E8"/>
    <w:rsid w:val="00807393"/>
    <w:rsid w:val="008073A7"/>
    <w:rsid w:val="0080740B"/>
    <w:rsid w:val="00807509"/>
    <w:rsid w:val="0080756C"/>
    <w:rsid w:val="008075DD"/>
    <w:rsid w:val="008076AD"/>
    <w:rsid w:val="008076B6"/>
    <w:rsid w:val="008076FC"/>
    <w:rsid w:val="00807724"/>
    <w:rsid w:val="00807979"/>
    <w:rsid w:val="008079CA"/>
    <w:rsid w:val="008079F3"/>
    <w:rsid w:val="00807A88"/>
    <w:rsid w:val="00807AB8"/>
    <w:rsid w:val="00807AC9"/>
    <w:rsid w:val="00807BDB"/>
    <w:rsid w:val="00807BE0"/>
    <w:rsid w:val="00807BFA"/>
    <w:rsid w:val="00807C9C"/>
    <w:rsid w:val="00807CCA"/>
    <w:rsid w:val="00807D07"/>
    <w:rsid w:val="00807D36"/>
    <w:rsid w:val="00807DB6"/>
    <w:rsid w:val="00807DC7"/>
    <w:rsid w:val="00807E36"/>
    <w:rsid w:val="00807E68"/>
    <w:rsid w:val="00807FC3"/>
    <w:rsid w:val="008100BE"/>
    <w:rsid w:val="00810148"/>
    <w:rsid w:val="00810231"/>
    <w:rsid w:val="0081023B"/>
    <w:rsid w:val="008103E4"/>
    <w:rsid w:val="008104B2"/>
    <w:rsid w:val="008106A3"/>
    <w:rsid w:val="008106D7"/>
    <w:rsid w:val="008107A2"/>
    <w:rsid w:val="00810830"/>
    <w:rsid w:val="00810981"/>
    <w:rsid w:val="0081098A"/>
    <w:rsid w:val="00810ABF"/>
    <w:rsid w:val="00810B06"/>
    <w:rsid w:val="00810B32"/>
    <w:rsid w:val="00810B9C"/>
    <w:rsid w:val="00810DA2"/>
    <w:rsid w:val="00810DDA"/>
    <w:rsid w:val="00810E28"/>
    <w:rsid w:val="00810E50"/>
    <w:rsid w:val="00810E53"/>
    <w:rsid w:val="008110EF"/>
    <w:rsid w:val="00811142"/>
    <w:rsid w:val="008111B1"/>
    <w:rsid w:val="00811347"/>
    <w:rsid w:val="0081149D"/>
    <w:rsid w:val="008114A3"/>
    <w:rsid w:val="00811541"/>
    <w:rsid w:val="00811568"/>
    <w:rsid w:val="00811591"/>
    <w:rsid w:val="008115A1"/>
    <w:rsid w:val="008115C3"/>
    <w:rsid w:val="008115CE"/>
    <w:rsid w:val="00811679"/>
    <w:rsid w:val="0081182E"/>
    <w:rsid w:val="00811922"/>
    <w:rsid w:val="00811A5E"/>
    <w:rsid w:val="00811B29"/>
    <w:rsid w:val="00811C4F"/>
    <w:rsid w:val="00811C8A"/>
    <w:rsid w:val="00811D2E"/>
    <w:rsid w:val="00811E64"/>
    <w:rsid w:val="00811F7C"/>
    <w:rsid w:val="00811FEF"/>
    <w:rsid w:val="0081204F"/>
    <w:rsid w:val="00812101"/>
    <w:rsid w:val="0081212E"/>
    <w:rsid w:val="00812138"/>
    <w:rsid w:val="008122ED"/>
    <w:rsid w:val="0081254F"/>
    <w:rsid w:val="008125C0"/>
    <w:rsid w:val="00812754"/>
    <w:rsid w:val="0081275D"/>
    <w:rsid w:val="0081282F"/>
    <w:rsid w:val="008128EA"/>
    <w:rsid w:val="00812918"/>
    <w:rsid w:val="00812921"/>
    <w:rsid w:val="00812A4B"/>
    <w:rsid w:val="00812A87"/>
    <w:rsid w:val="00812A91"/>
    <w:rsid w:val="00812AB5"/>
    <w:rsid w:val="00812ABE"/>
    <w:rsid w:val="00812BDF"/>
    <w:rsid w:val="00812C1B"/>
    <w:rsid w:val="00812C60"/>
    <w:rsid w:val="00812C80"/>
    <w:rsid w:val="00812C9E"/>
    <w:rsid w:val="00812CB5"/>
    <w:rsid w:val="00812D65"/>
    <w:rsid w:val="00812E14"/>
    <w:rsid w:val="00812E82"/>
    <w:rsid w:val="0081302D"/>
    <w:rsid w:val="008130BA"/>
    <w:rsid w:val="008131B1"/>
    <w:rsid w:val="0081322A"/>
    <w:rsid w:val="008132C2"/>
    <w:rsid w:val="0081336F"/>
    <w:rsid w:val="008133E0"/>
    <w:rsid w:val="0081342D"/>
    <w:rsid w:val="00813510"/>
    <w:rsid w:val="0081355F"/>
    <w:rsid w:val="008137B3"/>
    <w:rsid w:val="00813879"/>
    <w:rsid w:val="00813949"/>
    <w:rsid w:val="00813A41"/>
    <w:rsid w:val="00813B0F"/>
    <w:rsid w:val="00813B7E"/>
    <w:rsid w:val="00813BF6"/>
    <w:rsid w:val="00813C37"/>
    <w:rsid w:val="00813CC5"/>
    <w:rsid w:val="00813DF4"/>
    <w:rsid w:val="00813E02"/>
    <w:rsid w:val="00813E25"/>
    <w:rsid w:val="00813E7B"/>
    <w:rsid w:val="00813EF3"/>
    <w:rsid w:val="00813EFC"/>
    <w:rsid w:val="00813F37"/>
    <w:rsid w:val="00813F40"/>
    <w:rsid w:val="00813F4C"/>
    <w:rsid w:val="00814031"/>
    <w:rsid w:val="008141C0"/>
    <w:rsid w:val="008142C4"/>
    <w:rsid w:val="00814522"/>
    <w:rsid w:val="00814613"/>
    <w:rsid w:val="00814631"/>
    <w:rsid w:val="0081474D"/>
    <w:rsid w:val="00814989"/>
    <w:rsid w:val="00814C47"/>
    <w:rsid w:val="00814E7B"/>
    <w:rsid w:val="00815006"/>
    <w:rsid w:val="00815077"/>
    <w:rsid w:val="00815094"/>
    <w:rsid w:val="008151C2"/>
    <w:rsid w:val="008152AB"/>
    <w:rsid w:val="0081539D"/>
    <w:rsid w:val="008153E4"/>
    <w:rsid w:val="008154E9"/>
    <w:rsid w:val="00815765"/>
    <w:rsid w:val="0081580B"/>
    <w:rsid w:val="00815852"/>
    <w:rsid w:val="0081588F"/>
    <w:rsid w:val="008158C5"/>
    <w:rsid w:val="008158CA"/>
    <w:rsid w:val="008158D3"/>
    <w:rsid w:val="00815C3F"/>
    <w:rsid w:val="00815C6F"/>
    <w:rsid w:val="00815CE5"/>
    <w:rsid w:val="00815E64"/>
    <w:rsid w:val="0081605D"/>
    <w:rsid w:val="0081617D"/>
    <w:rsid w:val="00816250"/>
    <w:rsid w:val="008163AE"/>
    <w:rsid w:val="008163B1"/>
    <w:rsid w:val="00816530"/>
    <w:rsid w:val="00816570"/>
    <w:rsid w:val="008166A1"/>
    <w:rsid w:val="00816760"/>
    <w:rsid w:val="00816787"/>
    <w:rsid w:val="00816806"/>
    <w:rsid w:val="00816832"/>
    <w:rsid w:val="00816A4F"/>
    <w:rsid w:val="00816B7E"/>
    <w:rsid w:val="00816D15"/>
    <w:rsid w:val="00816E50"/>
    <w:rsid w:val="00816E5A"/>
    <w:rsid w:val="00816F2B"/>
    <w:rsid w:val="00817034"/>
    <w:rsid w:val="008170E1"/>
    <w:rsid w:val="0081717B"/>
    <w:rsid w:val="00817303"/>
    <w:rsid w:val="00817391"/>
    <w:rsid w:val="008173C2"/>
    <w:rsid w:val="0081759F"/>
    <w:rsid w:val="008175C9"/>
    <w:rsid w:val="00817846"/>
    <w:rsid w:val="008178E8"/>
    <w:rsid w:val="008179BB"/>
    <w:rsid w:val="00817A50"/>
    <w:rsid w:val="00817AD6"/>
    <w:rsid w:val="00817B2B"/>
    <w:rsid w:val="00817C63"/>
    <w:rsid w:val="00817C82"/>
    <w:rsid w:val="00817DAF"/>
    <w:rsid w:val="00817F09"/>
    <w:rsid w:val="00817F32"/>
    <w:rsid w:val="00817F66"/>
    <w:rsid w:val="00817FB9"/>
    <w:rsid w:val="00820037"/>
    <w:rsid w:val="0082011A"/>
    <w:rsid w:val="0082019B"/>
    <w:rsid w:val="00820244"/>
    <w:rsid w:val="00820257"/>
    <w:rsid w:val="00820343"/>
    <w:rsid w:val="00820438"/>
    <w:rsid w:val="00820541"/>
    <w:rsid w:val="008205CC"/>
    <w:rsid w:val="0082064D"/>
    <w:rsid w:val="008207FB"/>
    <w:rsid w:val="0082080C"/>
    <w:rsid w:val="008208F6"/>
    <w:rsid w:val="008209EB"/>
    <w:rsid w:val="00820A29"/>
    <w:rsid w:val="00820A89"/>
    <w:rsid w:val="00820B7D"/>
    <w:rsid w:val="00820CB9"/>
    <w:rsid w:val="00820E29"/>
    <w:rsid w:val="00820E34"/>
    <w:rsid w:val="00820E96"/>
    <w:rsid w:val="00820EA7"/>
    <w:rsid w:val="00820EBC"/>
    <w:rsid w:val="00820EDD"/>
    <w:rsid w:val="00820F91"/>
    <w:rsid w:val="008210A5"/>
    <w:rsid w:val="00821147"/>
    <w:rsid w:val="0082119A"/>
    <w:rsid w:val="008211AA"/>
    <w:rsid w:val="008211CB"/>
    <w:rsid w:val="008211CC"/>
    <w:rsid w:val="00821348"/>
    <w:rsid w:val="008213B5"/>
    <w:rsid w:val="0082155E"/>
    <w:rsid w:val="008215DB"/>
    <w:rsid w:val="00821611"/>
    <w:rsid w:val="0082178E"/>
    <w:rsid w:val="00821821"/>
    <w:rsid w:val="008218DB"/>
    <w:rsid w:val="00821907"/>
    <w:rsid w:val="008219F3"/>
    <w:rsid w:val="00821B0F"/>
    <w:rsid w:val="00821CB1"/>
    <w:rsid w:val="00821D75"/>
    <w:rsid w:val="00821F32"/>
    <w:rsid w:val="008222E1"/>
    <w:rsid w:val="008225AF"/>
    <w:rsid w:val="008225D4"/>
    <w:rsid w:val="00822624"/>
    <w:rsid w:val="00822672"/>
    <w:rsid w:val="00822689"/>
    <w:rsid w:val="008226F3"/>
    <w:rsid w:val="00822722"/>
    <w:rsid w:val="00822763"/>
    <w:rsid w:val="00822812"/>
    <w:rsid w:val="00822835"/>
    <w:rsid w:val="00822879"/>
    <w:rsid w:val="00822891"/>
    <w:rsid w:val="008228C4"/>
    <w:rsid w:val="00822A24"/>
    <w:rsid w:val="00822AC3"/>
    <w:rsid w:val="00822CFC"/>
    <w:rsid w:val="00822EB6"/>
    <w:rsid w:val="00823117"/>
    <w:rsid w:val="00823197"/>
    <w:rsid w:val="008231F9"/>
    <w:rsid w:val="008232F5"/>
    <w:rsid w:val="00823302"/>
    <w:rsid w:val="0082336D"/>
    <w:rsid w:val="008233AA"/>
    <w:rsid w:val="00823529"/>
    <w:rsid w:val="00823639"/>
    <w:rsid w:val="00823651"/>
    <w:rsid w:val="0082365A"/>
    <w:rsid w:val="008236E2"/>
    <w:rsid w:val="0082383B"/>
    <w:rsid w:val="0082389D"/>
    <w:rsid w:val="008238C8"/>
    <w:rsid w:val="00823946"/>
    <w:rsid w:val="008239CD"/>
    <w:rsid w:val="00823AB7"/>
    <w:rsid w:val="00823B50"/>
    <w:rsid w:val="00823C63"/>
    <w:rsid w:val="00823D8B"/>
    <w:rsid w:val="00823F64"/>
    <w:rsid w:val="00823F79"/>
    <w:rsid w:val="00823F7C"/>
    <w:rsid w:val="00824046"/>
    <w:rsid w:val="0082404B"/>
    <w:rsid w:val="00824083"/>
    <w:rsid w:val="00824129"/>
    <w:rsid w:val="00824491"/>
    <w:rsid w:val="008244FC"/>
    <w:rsid w:val="008245B1"/>
    <w:rsid w:val="0082465B"/>
    <w:rsid w:val="0082466E"/>
    <w:rsid w:val="00824684"/>
    <w:rsid w:val="00824825"/>
    <w:rsid w:val="00824843"/>
    <w:rsid w:val="00824861"/>
    <w:rsid w:val="00824897"/>
    <w:rsid w:val="008248AD"/>
    <w:rsid w:val="00824963"/>
    <w:rsid w:val="00824B27"/>
    <w:rsid w:val="00824B69"/>
    <w:rsid w:val="00824BF6"/>
    <w:rsid w:val="00824C14"/>
    <w:rsid w:val="00824C46"/>
    <w:rsid w:val="00824C75"/>
    <w:rsid w:val="00824E72"/>
    <w:rsid w:val="00824F11"/>
    <w:rsid w:val="00824FA6"/>
    <w:rsid w:val="008251DD"/>
    <w:rsid w:val="00825208"/>
    <w:rsid w:val="0082523C"/>
    <w:rsid w:val="008252C3"/>
    <w:rsid w:val="00825383"/>
    <w:rsid w:val="00825488"/>
    <w:rsid w:val="00825524"/>
    <w:rsid w:val="00825625"/>
    <w:rsid w:val="0082562E"/>
    <w:rsid w:val="00825745"/>
    <w:rsid w:val="00825761"/>
    <w:rsid w:val="00825791"/>
    <w:rsid w:val="0082588C"/>
    <w:rsid w:val="00825933"/>
    <w:rsid w:val="00825BC2"/>
    <w:rsid w:val="00825C49"/>
    <w:rsid w:val="00825C5E"/>
    <w:rsid w:val="00825CE2"/>
    <w:rsid w:val="00825D96"/>
    <w:rsid w:val="00825DDB"/>
    <w:rsid w:val="00825EAC"/>
    <w:rsid w:val="00826023"/>
    <w:rsid w:val="00826054"/>
    <w:rsid w:val="00826095"/>
    <w:rsid w:val="0082619C"/>
    <w:rsid w:val="00826299"/>
    <w:rsid w:val="0082638C"/>
    <w:rsid w:val="00826392"/>
    <w:rsid w:val="00826476"/>
    <w:rsid w:val="008264BE"/>
    <w:rsid w:val="008264ED"/>
    <w:rsid w:val="00826556"/>
    <w:rsid w:val="0082682B"/>
    <w:rsid w:val="008268AC"/>
    <w:rsid w:val="008268BC"/>
    <w:rsid w:val="0082699F"/>
    <w:rsid w:val="008269C4"/>
    <w:rsid w:val="00826ABA"/>
    <w:rsid w:val="00826CBA"/>
    <w:rsid w:val="00826CBC"/>
    <w:rsid w:val="00826D20"/>
    <w:rsid w:val="00826D7F"/>
    <w:rsid w:val="00826E0F"/>
    <w:rsid w:val="00826E7A"/>
    <w:rsid w:val="00826F57"/>
    <w:rsid w:val="00826F68"/>
    <w:rsid w:val="00826F9D"/>
    <w:rsid w:val="00827104"/>
    <w:rsid w:val="00827107"/>
    <w:rsid w:val="0082728E"/>
    <w:rsid w:val="008272CE"/>
    <w:rsid w:val="008272F0"/>
    <w:rsid w:val="00827321"/>
    <w:rsid w:val="008273F6"/>
    <w:rsid w:val="0082757F"/>
    <w:rsid w:val="008276B5"/>
    <w:rsid w:val="008276B6"/>
    <w:rsid w:val="008277EB"/>
    <w:rsid w:val="00827925"/>
    <w:rsid w:val="00827960"/>
    <w:rsid w:val="00827A7B"/>
    <w:rsid w:val="00827B1C"/>
    <w:rsid w:val="00827B69"/>
    <w:rsid w:val="00827BB4"/>
    <w:rsid w:val="00827BC5"/>
    <w:rsid w:val="00827D33"/>
    <w:rsid w:val="00827D3F"/>
    <w:rsid w:val="00827D91"/>
    <w:rsid w:val="00827DD0"/>
    <w:rsid w:val="00827DE9"/>
    <w:rsid w:val="00827EA2"/>
    <w:rsid w:val="00827EBB"/>
    <w:rsid w:val="00827EC9"/>
    <w:rsid w:val="00827F22"/>
    <w:rsid w:val="00827F77"/>
    <w:rsid w:val="00827FC4"/>
    <w:rsid w:val="008300CE"/>
    <w:rsid w:val="008300E0"/>
    <w:rsid w:val="0083019E"/>
    <w:rsid w:val="00830201"/>
    <w:rsid w:val="00830409"/>
    <w:rsid w:val="0083044F"/>
    <w:rsid w:val="0083046E"/>
    <w:rsid w:val="008304D8"/>
    <w:rsid w:val="008306A0"/>
    <w:rsid w:val="008306BD"/>
    <w:rsid w:val="008306D0"/>
    <w:rsid w:val="00830799"/>
    <w:rsid w:val="0083089C"/>
    <w:rsid w:val="00830A13"/>
    <w:rsid w:val="00830AD4"/>
    <w:rsid w:val="00830AD7"/>
    <w:rsid w:val="00830B5D"/>
    <w:rsid w:val="00830BBF"/>
    <w:rsid w:val="00830BF7"/>
    <w:rsid w:val="00830C41"/>
    <w:rsid w:val="00830E85"/>
    <w:rsid w:val="00830FF3"/>
    <w:rsid w:val="008310DA"/>
    <w:rsid w:val="00831191"/>
    <w:rsid w:val="008312A7"/>
    <w:rsid w:val="008312DE"/>
    <w:rsid w:val="00831312"/>
    <w:rsid w:val="008313FE"/>
    <w:rsid w:val="00831487"/>
    <w:rsid w:val="00831595"/>
    <w:rsid w:val="008315A5"/>
    <w:rsid w:val="008316B2"/>
    <w:rsid w:val="0083179D"/>
    <w:rsid w:val="00831814"/>
    <w:rsid w:val="008318B1"/>
    <w:rsid w:val="00831A79"/>
    <w:rsid w:val="00831B46"/>
    <w:rsid w:val="00831B6C"/>
    <w:rsid w:val="00831BC0"/>
    <w:rsid w:val="00831CA6"/>
    <w:rsid w:val="00831E38"/>
    <w:rsid w:val="00831EA9"/>
    <w:rsid w:val="00831F8E"/>
    <w:rsid w:val="0083208A"/>
    <w:rsid w:val="008320B5"/>
    <w:rsid w:val="008320C2"/>
    <w:rsid w:val="00832110"/>
    <w:rsid w:val="00832200"/>
    <w:rsid w:val="0083224B"/>
    <w:rsid w:val="00832326"/>
    <w:rsid w:val="00832353"/>
    <w:rsid w:val="00832458"/>
    <w:rsid w:val="00832614"/>
    <w:rsid w:val="0083261D"/>
    <w:rsid w:val="00832696"/>
    <w:rsid w:val="00832876"/>
    <w:rsid w:val="008328D2"/>
    <w:rsid w:val="008328FB"/>
    <w:rsid w:val="0083292C"/>
    <w:rsid w:val="00832B04"/>
    <w:rsid w:val="00832B1C"/>
    <w:rsid w:val="00832BD9"/>
    <w:rsid w:val="00832C3D"/>
    <w:rsid w:val="00832CF9"/>
    <w:rsid w:val="00832E70"/>
    <w:rsid w:val="0083301C"/>
    <w:rsid w:val="0083310F"/>
    <w:rsid w:val="00833135"/>
    <w:rsid w:val="00833441"/>
    <w:rsid w:val="00833453"/>
    <w:rsid w:val="00833484"/>
    <w:rsid w:val="0083351B"/>
    <w:rsid w:val="0083363D"/>
    <w:rsid w:val="00833661"/>
    <w:rsid w:val="008336EF"/>
    <w:rsid w:val="0083386C"/>
    <w:rsid w:val="008338C7"/>
    <w:rsid w:val="0083394E"/>
    <w:rsid w:val="0083398E"/>
    <w:rsid w:val="00833A1A"/>
    <w:rsid w:val="00833AA2"/>
    <w:rsid w:val="00833B47"/>
    <w:rsid w:val="00833C66"/>
    <w:rsid w:val="00833CA6"/>
    <w:rsid w:val="00833CEF"/>
    <w:rsid w:val="00833D65"/>
    <w:rsid w:val="00833DFF"/>
    <w:rsid w:val="00833EA9"/>
    <w:rsid w:val="00833F9E"/>
    <w:rsid w:val="00834025"/>
    <w:rsid w:val="008340F6"/>
    <w:rsid w:val="008341A8"/>
    <w:rsid w:val="008341E0"/>
    <w:rsid w:val="00834247"/>
    <w:rsid w:val="0083425B"/>
    <w:rsid w:val="0083426F"/>
    <w:rsid w:val="0083428A"/>
    <w:rsid w:val="008343A5"/>
    <w:rsid w:val="00834420"/>
    <w:rsid w:val="008344AA"/>
    <w:rsid w:val="008344B1"/>
    <w:rsid w:val="00834518"/>
    <w:rsid w:val="00834744"/>
    <w:rsid w:val="008347AB"/>
    <w:rsid w:val="008347EF"/>
    <w:rsid w:val="008348F5"/>
    <w:rsid w:val="00834B74"/>
    <w:rsid w:val="00834C01"/>
    <w:rsid w:val="00834C11"/>
    <w:rsid w:val="00834C29"/>
    <w:rsid w:val="00834CD5"/>
    <w:rsid w:val="00834D54"/>
    <w:rsid w:val="00834DF4"/>
    <w:rsid w:val="00834F3B"/>
    <w:rsid w:val="00834F85"/>
    <w:rsid w:val="008351E4"/>
    <w:rsid w:val="008351EE"/>
    <w:rsid w:val="0083524F"/>
    <w:rsid w:val="008353FF"/>
    <w:rsid w:val="008354D1"/>
    <w:rsid w:val="00835503"/>
    <w:rsid w:val="00835526"/>
    <w:rsid w:val="00835589"/>
    <w:rsid w:val="0083558A"/>
    <w:rsid w:val="008355BD"/>
    <w:rsid w:val="00835627"/>
    <w:rsid w:val="00835659"/>
    <w:rsid w:val="00835869"/>
    <w:rsid w:val="008358A8"/>
    <w:rsid w:val="00835920"/>
    <w:rsid w:val="008359CA"/>
    <w:rsid w:val="00835A9E"/>
    <w:rsid w:val="00835AC1"/>
    <w:rsid w:val="00835B59"/>
    <w:rsid w:val="00835C20"/>
    <w:rsid w:val="00835D55"/>
    <w:rsid w:val="00835D89"/>
    <w:rsid w:val="00835E91"/>
    <w:rsid w:val="00835F17"/>
    <w:rsid w:val="00835F33"/>
    <w:rsid w:val="00836092"/>
    <w:rsid w:val="008360D7"/>
    <w:rsid w:val="00836291"/>
    <w:rsid w:val="00836437"/>
    <w:rsid w:val="008364D5"/>
    <w:rsid w:val="0083652A"/>
    <w:rsid w:val="008365B8"/>
    <w:rsid w:val="00836681"/>
    <w:rsid w:val="00836755"/>
    <w:rsid w:val="008367EE"/>
    <w:rsid w:val="00836869"/>
    <w:rsid w:val="008368AC"/>
    <w:rsid w:val="00836936"/>
    <w:rsid w:val="00836AB5"/>
    <w:rsid w:val="00836B5D"/>
    <w:rsid w:val="00836BD4"/>
    <w:rsid w:val="00836D97"/>
    <w:rsid w:val="00836DA8"/>
    <w:rsid w:val="00836E07"/>
    <w:rsid w:val="00836E60"/>
    <w:rsid w:val="00836F22"/>
    <w:rsid w:val="00836FF0"/>
    <w:rsid w:val="008370BE"/>
    <w:rsid w:val="008370F9"/>
    <w:rsid w:val="0083713F"/>
    <w:rsid w:val="00837289"/>
    <w:rsid w:val="00837303"/>
    <w:rsid w:val="008373E7"/>
    <w:rsid w:val="00837429"/>
    <w:rsid w:val="008374A6"/>
    <w:rsid w:val="008374D3"/>
    <w:rsid w:val="008375D7"/>
    <w:rsid w:val="0083762D"/>
    <w:rsid w:val="008376B1"/>
    <w:rsid w:val="00837764"/>
    <w:rsid w:val="00837808"/>
    <w:rsid w:val="00837861"/>
    <w:rsid w:val="00837887"/>
    <w:rsid w:val="00837967"/>
    <w:rsid w:val="00837B1D"/>
    <w:rsid w:val="00837BF6"/>
    <w:rsid w:val="00837D17"/>
    <w:rsid w:val="00837D42"/>
    <w:rsid w:val="00837E57"/>
    <w:rsid w:val="0084004B"/>
    <w:rsid w:val="00840129"/>
    <w:rsid w:val="0084028A"/>
    <w:rsid w:val="0084033F"/>
    <w:rsid w:val="00840477"/>
    <w:rsid w:val="0084047F"/>
    <w:rsid w:val="008405EE"/>
    <w:rsid w:val="008407B1"/>
    <w:rsid w:val="008407D2"/>
    <w:rsid w:val="00840890"/>
    <w:rsid w:val="00840939"/>
    <w:rsid w:val="00840B8E"/>
    <w:rsid w:val="00840C01"/>
    <w:rsid w:val="00840C69"/>
    <w:rsid w:val="00840CED"/>
    <w:rsid w:val="00840D8C"/>
    <w:rsid w:val="00840E36"/>
    <w:rsid w:val="00840F08"/>
    <w:rsid w:val="00841093"/>
    <w:rsid w:val="008410CB"/>
    <w:rsid w:val="00841134"/>
    <w:rsid w:val="0084115D"/>
    <w:rsid w:val="008411A7"/>
    <w:rsid w:val="00841220"/>
    <w:rsid w:val="008412AC"/>
    <w:rsid w:val="00841457"/>
    <w:rsid w:val="008415C8"/>
    <w:rsid w:val="00841614"/>
    <w:rsid w:val="00841818"/>
    <w:rsid w:val="008419D6"/>
    <w:rsid w:val="008419FA"/>
    <w:rsid w:val="00841ADB"/>
    <w:rsid w:val="00841AEA"/>
    <w:rsid w:val="00841B84"/>
    <w:rsid w:val="00841B8C"/>
    <w:rsid w:val="00841BD6"/>
    <w:rsid w:val="00841CFA"/>
    <w:rsid w:val="00841E73"/>
    <w:rsid w:val="00841F48"/>
    <w:rsid w:val="00841F79"/>
    <w:rsid w:val="00842014"/>
    <w:rsid w:val="00842142"/>
    <w:rsid w:val="00842281"/>
    <w:rsid w:val="008422B4"/>
    <w:rsid w:val="00842360"/>
    <w:rsid w:val="0084237E"/>
    <w:rsid w:val="008423E2"/>
    <w:rsid w:val="00842400"/>
    <w:rsid w:val="00842422"/>
    <w:rsid w:val="0084249D"/>
    <w:rsid w:val="00842579"/>
    <w:rsid w:val="00842584"/>
    <w:rsid w:val="008425AA"/>
    <w:rsid w:val="008426BF"/>
    <w:rsid w:val="0084276E"/>
    <w:rsid w:val="0084285A"/>
    <w:rsid w:val="00842890"/>
    <w:rsid w:val="008429FE"/>
    <w:rsid w:val="00842A22"/>
    <w:rsid w:val="00842AE0"/>
    <w:rsid w:val="00842CA3"/>
    <w:rsid w:val="00842CE5"/>
    <w:rsid w:val="00842D82"/>
    <w:rsid w:val="00842E50"/>
    <w:rsid w:val="00842EC8"/>
    <w:rsid w:val="00842F6E"/>
    <w:rsid w:val="00842F86"/>
    <w:rsid w:val="0084324E"/>
    <w:rsid w:val="00843253"/>
    <w:rsid w:val="008433FA"/>
    <w:rsid w:val="0084365C"/>
    <w:rsid w:val="0084366D"/>
    <w:rsid w:val="008436B4"/>
    <w:rsid w:val="00843742"/>
    <w:rsid w:val="0084377B"/>
    <w:rsid w:val="0084380E"/>
    <w:rsid w:val="0084384A"/>
    <w:rsid w:val="008438E1"/>
    <w:rsid w:val="00843A4C"/>
    <w:rsid w:val="00843AE4"/>
    <w:rsid w:val="00843B54"/>
    <w:rsid w:val="00843E9A"/>
    <w:rsid w:val="00843F5B"/>
    <w:rsid w:val="00844132"/>
    <w:rsid w:val="00844185"/>
    <w:rsid w:val="008441DF"/>
    <w:rsid w:val="00844344"/>
    <w:rsid w:val="008443D4"/>
    <w:rsid w:val="008443DF"/>
    <w:rsid w:val="00844402"/>
    <w:rsid w:val="00844548"/>
    <w:rsid w:val="0084467D"/>
    <w:rsid w:val="00844887"/>
    <w:rsid w:val="008449D3"/>
    <w:rsid w:val="00844A15"/>
    <w:rsid w:val="00844B3F"/>
    <w:rsid w:val="00844BF5"/>
    <w:rsid w:val="00844D1E"/>
    <w:rsid w:val="00844D40"/>
    <w:rsid w:val="00844DCF"/>
    <w:rsid w:val="00844EF2"/>
    <w:rsid w:val="00844F59"/>
    <w:rsid w:val="008450B0"/>
    <w:rsid w:val="00845107"/>
    <w:rsid w:val="008451A1"/>
    <w:rsid w:val="008451CD"/>
    <w:rsid w:val="008452A1"/>
    <w:rsid w:val="008452F0"/>
    <w:rsid w:val="00845322"/>
    <w:rsid w:val="00845326"/>
    <w:rsid w:val="0084539E"/>
    <w:rsid w:val="0084540B"/>
    <w:rsid w:val="008454AA"/>
    <w:rsid w:val="008456BB"/>
    <w:rsid w:val="008456F7"/>
    <w:rsid w:val="0084577B"/>
    <w:rsid w:val="0084584B"/>
    <w:rsid w:val="008458CA"/>
    <w:rsid w:val="008458F9"/>
    <w:rsid w:val="0084592D"/>
    <w:rsid w:val="00845A03"/>
    <w:rsid w:val="00845A55"/>
    <w:rsid w:val="00845AB4"/>
    <w:rsid w:val="00845B08"/>
    <w:rsid w:val="00845B46"/>
    <w:rsid w:val="00845B89"/>
    <w:rsid w:val="00845B94"/>
    <w:rsid w:val="00845BD2"/>
    <w:rsid w:val="00845CD4"/>
    <w:rsid w:val="00845DBC"/>
    <w:rsid w:val="00845E0A"/>
    <w:rsid w:val="00846044"/>
    <w:rsid w:val="00846120"/>
    <w:rsid w:val="00846207"/>
    <w:rsid w:val="00846314"/>
    <w:rsid w:val="008464BD"/>
    <w:rsid w:val="008465E1"/>
    <w:rsid w:val="00846606"/>
    <w:rsid w:val="00846761"/>
    <w:rsid w:val="008467CA"/>
    <w:rsid w:val="00846984"/>
    <w:rsid w:val="00846997"/>
    <w:rsid w:val="00846C9F"/>
    <w:rsid w:val="00846D00"/>
    <w:rsid w:val="00846D1F"/>
    <w:rsid w:val="00846D7E"/>
    <w:rsid w:val="00846E1F"/>
    <w:rsid w:val="00846E54"/>
    <w:rsid w:val="00846E58"/>
    <w:rsid w:val="00846E89"/>
    <w:rsid w:val="00846F8F"/>
    <w:rsid w:val="00846FC1"/>
    <w:rsid w:val="0084703F"/>
    <w:rsid w:val="00847067"/>
    <w:rsid w:val="0084709F"/>
    <w:rsid w:val="008470C0"/>
    <w:rsid w:val="0084728E"/>
    <w:rsid w:val="0084731A"/>
    <w:rsid w:val="0084750B"/>
    <w:rsid w:val="0084753C"/>
    <w:rsid w:val="00847590"/>
    <w:rsid w:val="008475F5"/>
    <w:rsid w:val="008477F2"/>
    <w:rsid w:val="00847824"/>
    <w:rsid w:val="00847852"/>
    <w:rsid w:val="0084793A"/>
    <w:rsid w:val="00847B03"/>
    <w:rsid w:val="00847F48"/>
    <w:rsid w:val="00847F5E"/>
    <w:rsid w:val="00847F71"/>
    <w:rsid w:val="00847FB3"/>
    <w:rsid w:val="00850106"/>
    <w:rsid w:val="00850262"/>
    <w:rsid w:val="0085032E"/>
    <w:rsid w:val="008504A6"/>
    <w:rsid w:val="008505E0"/>
    <w:rsid w:val="008505E5"/>
    <w:rsid w:val="00850619"/>
    <w:rsid w:val="00850631"/>
    <w:rsid w:val="00850670"/>
    <w:rsid w:val="0085067E"/>
    <w:rsid w:val="008506DB"/>
    <w:rsid w:val="00850701"/>
    <w:rsid w:val="0085082F"/>
    <w:rsid w:val="00850909"/>
    <w:rsid w:val="0085093B"/>
    <w:rsid w:val="0085095E"/>
    <w:rsid w:val="00850A34"/>
    <w:rsid w:val="00850A4A"/>
    <w:rsid w:val="00850A6A"/>
    <w:rsid w:val="00850A77"/>
    <w:rsid w:val="00850B9B"/>
    <w:rsid w:val="00850C75"/>
    <w:rsid w:val="00850CE5"/>
    <w:rsid w:val="00850E10"/>
    <w:rsid w:val="00850E36"/>
    <w:rsid w:val="00850ED8"/>
    <w:rsid w:val="00850EE0"/>
    <w:rsid w:val="00850F1F"/>
    <w:rsid w:val="00850F69"/>
    <w:rsid w:val="00851043"/>
    <w:rsid w:val="0085106D"/>
    <w:rsid w:val="008511F1"/>
    <w:rsid w:val="00851221"/>
    <w:rsid w:val="008513A0"/>
    <w:rsid w:val="008513B0"/>
    <w:rsid w:val="00851429"/>
    <w:rsid w:val="00851478"/>
    <w:rsid w:val="008515EB"/>
    <w:rsid w:val="00851661"/>
    <w:rsid w:val="0085171D"/>
    <w:rsid w:val="00851774"/>
    <w:rsid w:val="00851921"/>
    <w:rsid w:val="00851968"/>
    <w:rsid w:val="00851AAD"/>
    <w:rsid w:val="00851BCF"/>
    <w:rsid w:val="00851CE9"/>
    <w:rsid w:val="00851DA7"/>
    <w:rsid w:val="00851DE6"/>
    <w:rsid w:val="00851F00"/>
    <w:rsid w:val="008520E6"/>
    <w:rsid w:val="00852151"/>
    <w:rsid w:val="008521F6"/>
    <w:rsid w:val="00852253"/>
    <w:rsid w:val="008522DE"/>
    <w:rsid w:val="0085232E"/>
    <w:rsid w:val="00852341"/>
    <w:rsid w:val="00852394"/>
    <w:rsid w:val="00852531"/>
    <w:rsid w:val="0085265C"/>
    <w:rsid w:val="008527B4"/>
    <w:rsid w:val="00852808"/>
    <w:rsid w:val="0085281E"/>
    <w:rsid w:val="0085284A"/>
    <w:rsid w:val="0085299F"/>
    <w:rsid w:val="008529A3"/>
    <w:rsid w:val="00852A0F"/>
    <w:rsid w:val="00852B8A"/>
    <w:rsid w:val="00852BD4"/>
    <w:rsid w:val="00852C0B"/>
    <w:rsid w:val="00852CA3"/>
    <w:rsid w:val="00852EFB"/>
    <w:rsid w:val="00852FB7"/>
    <w:rsid w:val="00853093"/>
    <w:rsid w:val="00853114"/>
    <w:rsid w:val="00853115"/>
    <w:rsid w:val="00853141"/>
    <w:rsid w:val="00853187"/>
    <w:rsid w:val="00853262"/>
    <w:rsid w:val="00853284"/>
    <w:rsid w:val="0085344B"/>
    <w:rsid w:val="008534C4"/>
    <w:rsid w:val="0085351E"/>
    <w:rsid w:val="0085374E"/>
    <w:rsid w:val="0085379C"/>
    <w:rsid w:val="00853823"/>
    <w:rsid w:val="00853841"/>
    <w:rsid w:val="00853881"/>
    <w:rsid w:val="0085394C"/>
    <w:rsid w:val="00853A9C"/>
    <w:rsid w:val="00853AE4"/>
    <w:rsid w:val="00853AE5"/>
    <w:rsid w:val="00853B1D"/>
    <w:rsid w:val="00853B64"/>
    <w:rsid w:val="00853BFC"/>
    <w:rsid w:val="00853C95"/>
    <w:rsid w:val="00853D15"/>
    <w:rsid w:val="00853DC7"/>
    <w:rsid w:val="00853EF0"/>
    <w:rsid w:val="00853F10"/>
    <w:rsid w:val="00854183"/>
    <w:rsid w:val="0085422A"/>
    <w:rsid w:val="0085429E"/>
    <w:rsid w:val="00854446"/>
    <w:rsid w:val="008544EC"/>
    <w:rsid w:val="00854604"/>
    <w:rsid w:val="00854614"/>
    <w:rsid w:val="00854668"/>
    <w:rsid w:val="008546D7"/>
    <w:rsid w:val="0085470A"/>
    <w:rsid w:val="008547FE"/>
    <w:rsid w:val="008548C1"/>
    <w:rsid w:val="008548D8"/>
    <w:rsid w:val="00854988"/>
    <w:rsid w:val="00854B47"/>
    <w:rsid w:val="00854B4E"/>
    <w:rsid w:val="00854C6C"/>
    <w:rsid w:val="00854C9A"/>
    <w:rsid w:val="00854CAA"/>
    <w:rsid w:val="00854CC7"/>
    <w:rsid w:val="00854DB4"/>
    <w:rsid w:val="00854E99"/>
    <w:rsid w:val="00854ECB"/>
    <w:rsid w:val="00854F00"/>
    <w:rsid w:val="00854F69"/>
    <w:rsid w:val="008550BB"/>
    <w:rsid w:val="008550C8"/>
    <w:rsid w:val="008551F8"/>
    <w:rsid w:val="00855262"/>
    <w:rsid w:val="00855308"/>
    <w:rsid w:val="00855370"/>
    <w:rsid w:val="008553DB"/>
    <w:rsid w:val="0085542D"/>
    <w:rsid w:val="00855442"/>
    <w:rsid w:val="0085546B"/>
    <w:rsid w:val="00855471"/>
    <w:rsid w:val="008554CD"/>
    <w:rsid w:val="0085577A"/>
    <w:rsid w:val="008557ED"/>
    <w:rsid w:val="0085584E"/>
    <w:rsid w:val="008558B7"/>
    <w:rsid w:val="00855975"/>
    <w:rsid w:val="00855AE0"/>
    <w:rsid w:val="00855DB1"/>
    <w:rsid w:val="00855EE1"/>
    <w:rsid w:val="00855F0B"/>
    <w:rsid w:val="00855F71"/>
    <w:rsid w:val="008561EA"/>
    <w:rsid w:val="008562D0"/>
    <w:rsid w:val="00856333"/>
    <w:rsid w:val="008563A7"/>
    <w:rsid w:val="00856548"/>
    <w:rsid w:val="0085657A"/>
    <w:rsid w:val="0085669F"/>
    <w:rsid w:val="008566BA"/>
    <w:rsid w:val="008566D4"/>
    <w:rsid w:val="008566DD"/>
    <w:rsid w:val="00856772"/>
    <w:rsid w:val="008567F9"/>
    <w:rsid w:val="00856819"/>
    <w:rsid w:val="00856839"/>
    <w:rsid w:val="0085691B"/>
    <w:rsid w:val="00856C9E"/>
    <w:rsid w:val="00856D6D"/>
    <w:rsid w:val="00856D7D"/>
    <w:rsid w:val="00856DC6"/>
    <w:rsid w:val="00856DD6"/>
    <w:rsid w:val="00856DFD"/>
    <w:rsid w:val="00856E72"/>
    <w:rsid w:val="00856F6D"/>
    <w:rsid w:val="00856FEA"/>
    <w:rsid w:val="0085708B"/>
    <w:rsid w:val="008570B4"/>
    <w:rsid w:val="008570B8"/>
    <w:rsid w:val="008570F5"/>
    <w:rsid w:val="008570F8"/>
    <w:rsid w:val="0085726F"/>
    <w:rsid w:val="0085730D"/>
    <w:rsid w:val="00857319"/>
    <w:rsid w:val="00857378"/>
    <w:rsid w:val="00857428"/>
    <w:rsid w:val="008574AD"/>
    <w:rsid w:val="008574AE"/>
    <w:rsid w:val="008575A0"/>
    <w:rsid w:val="00857686"/>
    <w:rsid w:val="0085777A"/>
    <w:rsid w:val="00857987"/>
    <w:rsid w:val="008579E1"/>
    <w:rsid w:val="00857AF4"/>
    <w:rsid w:val="00857CD5"/>
    <w:rsid w:val="00857CE5"/>
    <w:rsid w:val="00857E09"/>
    <w:rsid w:val="00857E4F"/>
    <w:rsid w:val="00857EA4"/>
    <w:rsid w:val="00860039"/>
    <w:rsid w:val="0086007B"/>
    <w:rsid w:val="008600AB"/>
    <w:rsid w:val="00860185"/>
    <w:rsid w:val="008601D6"/>
    <w:rsid w:val="00860240"/>
    <w:rsid w:val="00860328"/>
    <w:rsid w:val="008604C8"/>
    <w:rsid w:val="008604F6"/>
    <w:rsid w:val="00860596"/>
    <w:rsid w:val="008605E5"/>
    <w:rsid w:val="00860611"/>
    <w:rsid w:val="00860622"/>
    <w:rsid w:val="008606DB"/>
    <w:rsid w:val="008606DF"/>
    <w:rsid w:val="00860786"/>
    <w:rsid w:val="008607ED"/>
    <w:rsid w:val="008607F4"/>
    <w:rsid w:val="00860817"/>
    <w:rsid w:val="008608CB"/>
    <w:rsid w:val="0086094C"/>
    <w:rsid w:val="00860AAA"/>
    <w:rsid w:val="00860AAF"/>
    <w:rsid w:val="00860BCB"/>
    <w:rsid w:val="00860C40"/>
    <w:rsid w:val="00860D65"/>
    <w:rsid w:val="00860D96"/>
    <w:rsid w:val="00860DE3"/>
    <w:rsid w:val="00860E7C"/>
    <w:rsid w:val="00860F75"/>
    <w:rsid w:val="00861009"/>
    <w:rsid w:val="008610AA"/>
    <w:rsid w:val="008611AC"/>
    <w:rsid w:val="0086128C"/>
    <w:rsid w:val="008612C7"/>
    <w:rsid w:val="00861452"/>
    <w:rsid w:val="00861546"/>
    <w:rsid w:val="00861584"/>
    <w:rsid w:val="008615CA"/>
    <w:rsid w:val="008615CB"/>
    <w:rsid w:val="0086163E"/>
    <w:rsid w:val="0086165A"/>
    <w:rsid w:val="00861782"/>
    <w:rsid w:val="0086179D"/>
    <w:rsid w:val="008617E2"/>
    <w:rsid w:val="008618E5"/>
    <w:rsid w:val="00861973"/>
    <w:rsid w:val="00861A1C"/>
    <w:rsid w:val="00861A46"/>
    <w:rsid w:val="00861AF2"/>
    <w:rsid w:val="00861AFB"/>
    <w:rsid w:val="00861AFF"/>
    <w:rsid w:val="00861B5D"/>
    <w:rsid w:val="00861D60"/>
    <w:rsid w:val="00861E01"/>
    <w:rsid w:val="00861E1F"/>
    <w:rsid w:val="00861E7F"/>
    <w:rsid w:val="00861F37"/>
    <w:rsid w:val="0086200F"/>
    <w:rsid w:val="0086204A"/>
    <w:rsid w:val="00862064"/>
    <w:rsid w:val="00862088"/>
    <w:rsid w:val="0086209D"/>
    <w:rsid w:val="008622F0"/>
    <w:rsid w:val="008622FE"/>
    <w:rsid w:val="0086239A"/>
    <w:rsid w:val="00862446"/>
    <w:rsid w:val="008624A0"/>
    <w:rsid w:val="008625A9"/>
    <w:rsid w:val="00862608"/>
    <w:rsid w:val="008626EB"/>
    <w:rsid w:val="00862A0F"/>
    <w:rsid w:val="00862B6E"/>
    <w:rsid w:val="00862C85"/>
    <w:rsid w:val="00862D2F"/>
    <w:rsid w:val="00862DEB"/>
    <w:rsid w:val="00862EAE"/>
    <w:rsid w:val="00862F0F"/>
    <w:rsid w:val="00862F96"/>
    <w:rsid w:val="00863071"/>
    <w:rsid w:val="00863204"/>
    <w:rsid w:val="008632EB"/>
    <w:rsid w:val="00863313"/>
    <w:rsid w:val="0086339A"/>
    <w:rsid w:val="00863580"/>
    <w:rsid w:val="008636B2"/>
    <w:rsid w:val="008636C0"/>
    <w:rsid w:val="00863701"/>
    <w:rsid w:val="00863865"/>
    <w:rsid w:val="0086389B"/>
    <w:rsid w:val="008638FC"/>
    <w:rsid w:val="008639A0"/>
    <w:rsid w:val="008639FA"/>
    <w:rsid w:val="00863A45"/>
    <w:rsid w:val="00863AB4"/>
    <w:rsid w:val="00863B8E"/>
    <w:rsid w:val="00863B8F"/>
    <w:rsid w:val="00863B9D"/>
    <w:rsid w:val="00863BBC"/>
    <w:rsid w:val="00863BE8"/>
    <w:rsid w:val="00863E6F"/>
    <w:rsid w:val="00863F43"/>
    <w:rsid w:val="00863FD4"/>
    <w:rsid w:val="00864074"/>
    <w:rsid w:val="008641A2"/>
    <w:rsid w:val="008642F1"/>
    <w:rsid w:val="008644B5"/>
    <w:rsid w:val="008644E3"/>
    <w:rsid w:val="00864516"/>
    <w:rsid w:val="008647C9"/>
    <w:rsid w:val="008648A8"/>
    <w:rsid w:val="00864978"/>
    <w:rsid w:val="00864A2E"/>
    <w:rsid w:val="00864BE6"/>
    <w:rsid w:val="00864E07"/>
    <w:rsid w:val="00864EE5"/>
    <w:rsid w:val="00864F77"/>
    <w:rsid w:val="00865027"/>
    <w:rsid w:val="00865049"/>
    <w:rsid w:val="0086514B"/>
    <w:rsid w:val="008652ED"/>
    <w:rsid w:val="00865327"/>
    <w:rsid w:val="00865358"/>
    <w:rsid w:val="00865510"/>
    <w:rsid w:val="0086556A"/>
    <w:rsid w:val="008655C2"/>
    <w:rsid w:val="00865627"/>
    <w:rsid w:val="0086566B"/>
    <w:rsid w:val="0086574D"/>
    <w:rsid w:val="00865786"/>
    <w:rsid w:val="00865827"/>
    <w:rsid w:val="0086582D"/>
    <w:rsid w:val="008659C6"/>
    <w:rsid w:val="008659F2"/>
    <w:rsid w:val="00865A08"/>
    <w:rsid w:val="00865A6B"/>
    <w:rsid w:val="00865BA6"/>
    <w:rsid w:val="00865C35"/>
    <w:rsid w:val="00865C63"/>
    <w:rsid w:val="00865C82"/>
    <w:rsid w:val="00865F3E"/>
    <w:rsid w:val="00865F6F"/>
    <w:rsid w:val="00865F7A"/>
    <w:rsid w:val="00866106"/>
    <w:rsid w:val="00866117"/>
    <w:rsid w:val="00866166"/>
    <w:rsid w:val="008661EA"/>
    <w:rsid w:val="00866243"/>
    <w:rsid w:val="00866368"/>
    <w:rsid w:val="00866377"/>
    <w:rsid w:val="008663C2"/>
    <w:rsid w:val="008663FA"/>
    <w:rsid w:val="0086641B"/>
    <w:rsid w:val="008665C2"/>
    <w:rsid w:val="008665E0"/>
    <w:rsid w:val="0086664C"/>
    <w:rsid w:val="008666B5"/>
    <w:rsid w:val="0086676E"/>
    <w:rsid w:val="00866770"/>
    <w:rsid w:val="00866794"/>
    <w:rsid w:val="008667C5"/>
    <w:rsid w:val="0086695B"/>
    <w:rsid w:val="00866994"/>
    <w:rsid w:val="00866C87"/>
    <w:rsid w:val="00866DAB"/>
    <w:rsid w:val="00866DCD"/>
    <w:rsid w:val="00866DF7"/>
    <w:rsid w:val="00866E5B"/>
    <w:rsid w:val="00866E66"/>
    <w:rsid w:val="00866F82"/>
    <w:rsid w:val="0086700B"/>
    <w:rsid w:val="008670DC"/>
    <w:rsid w:val="0086714A"/>
    <w:rsid w:val="00867169"/>
    <w:rsid w:val="00867194"/>
    <w:rsid w:val="0086731E"/>
    <w:rsid w:val="00867324"/>
    <w:rsid w:val="0086737E"/>
    <w:rsid w:val="008673E8"/>
    <w:rsid w:val="008674ED"/>
    <w:rsid w:val="008674F5"/>
    <w:rsid w:val="00867644"/>
    <w:rsid w:val="00867711"/>
    <w:rsid w:val="00867838"/>
    <w:rsid w:val="0086791E"/>
    <w:rsid w:val="008679CF"/>
    <w:rsid w:val="00867A9B"/>
    <w:rsid w:val="00867B1A"/>
    <w:rsid w:val="00867B46"/>
    <w:rsid w:val="00867B5A"/>
    <w:rsid w:val="00867BF3"/>
    <w:rsid w:val="00867C7C"/>
    <w:rsid w:val="00867D3B"/>
    <w:rsid w:val="00867DB2"/>
    <w:rsid w:val="00867DB3"/>
    <w:rsid w:val="00867F35"/>
    <w:rsid w:val="0087008B"/>
    <w:rsid w:val="00870102"/>
    <w:rsid w:val="00870276"/>
    <w:rsid w:val="008702AF"/>
    <w:rsid w:val="008702D8"/>
    <w:rsid w:val="00870349"/>
    <w:rsid w:val="008703DB"/>
    <w:rsid w:val="00870432"/>
    <w:rsid w:val="00870685"/>
    <w:rsid w:val="008706BA"/>
    <w:rsid w:val="0087074C"/>
    <w:rsid w:val="008707B4"/>
    <w:rsid w:val="00870845"/>
    <w:rsid w:val="008708C9"/>
    <w:rsid w:val="0087090B"/>
    <w:rsid w:val="00870931"/>
    <w:rsid w:val="00870940"/>
    <w:rsid w:val="0087094F"/>
    <w:rsid w:val="00870A68"/>
    <w:rsid w:val="00870A9B"/>
    <w:rsid w:val="00870AE9"/>
    <w:rsid w:val="00870CE1"/>
    <w:rsid w:val="00870CF6"/>
    <w:rsid w:val="00870F48"/>
    <w:rsid w:val="00870F70"/>
    <w:rsid w:val="00870FFE"/>
    <w:rsid w:val="0087104A"/>
    <w:rsid w:val="00871057"/>
    <w:rsid w:val="00871149"/>
    <w:rsid w:val="008711A2"/>
    <w:rsid w:val="008711CB"/>
    <w:rsid w:val="00871242"/>
    <w:rsid w:val="0087126B"/>
    <w:rsid w:val="0087129F"/>
    <w:rsid w:val="008712CD"/>
    <w:rsid w:val="0087136C"/>
    <w:rsid w:val="0087137E"/>
    <w:rsid w:val="0087145B"/>
    <w:rsid w:val="00871524"/>
    <w:rsid w:val="008715AB"/>
    <w:rsid w:val="0087160E"/>
    <w:rsid w:val="00871656"/>
    <w:rsid w:val="0087166C"/>
    <w:rsid w:val="008716D1"/>
    <w:rsid w:val="008717AD"/>
    <w:rsid w:val="00871848"/>
    <w:rsid w:val="00871858"/>
    <w:rsid w:val="00871998"/>
    <w:rsid w:val="00871B17"/>
    <w:rsid w:val="00871B3C"/>
    <w:rsid w:val="00871C11"/>
    <w:rsid w:val="00871D23"/>
    <w:rsid w:val="00871D4E"/>
    <w:rsid w:val="00871DD6"/>
    <w:rsid w:val="00871DDB"/>
    <w:rsid w:val="00871E3F"/>
    <w:rsid w:val="00871F87"/>
    <w:rsid w:val="008720A0"/>
    <w:rsid w:val="008720C2"/>
    <w:rsid w:val="0087218C"/>
    <w:rsid w:val="008721B3"/>
    <w:rsid w:val="008721E6"/>
    <w:rsid w:val="0087237E"/>
    <w:rsid w:val="008723FC"/>
    <w:rsid w:val="008724D8"/>
    <w:rsid w:val="008725F4"/>
    <w:rsid w:val="00872615"/>
    <w:rsid w:val="0087270A"/>
    <w:rsid w:val="0087270C"/>
    <w:rsid w:val="00872715"/>
    <w:rsid w:val="0087280D"/>
    <w:rsid w:val="00872834"/>
    <w:rsid w:val="008728C6"/>
    <w:rsid w:val="00872962"/>
    <w:rsid w:val="0087296B"/>
    <w:rsid w:val="00872A3D"/>
    <w:rsid w:val="00872A61"/>
    <w:rsid w:val="00872A96"/>
    <w:rsid w:val="00872B21"/>
    <w:rsid w:val="00872BF5"/>
    <w:rsid w:val="00872C6B"/>
    <w:rsid w:val="00872E25"/>
    <w:rsid w:val="00872E9E"/>
    <w:rsid w:val="00872ED4"/>
    <w:rsid w:val="00872F0A"/>
    <w:rsid w:val="00872F56"/>
    <w:rsid w:val="008732DC"/>
    <w:rsid w:val="00873483"/>
    <w:rsid w:val="008734DF"/>
    <w:rsid w:val="00873541"/>
    <w:rsid w:val="00873591"/>
    <w:rsid w:val="008735CF"/>
    <w:rsid w:val="0087360C"/>
    <w:rsid w:val="00873943"/>
    <w:rsid w:val="00873948"/>
    <w:rsid w:val="00873A97"/>
    <w:rsid w:val="00873AA2"/>
    <w:rsid w:val="00873ADE"/>
    <w:rsid w:val="00873B16"/>
    <w:rsid w:val="00873BBB"/>
    <w:rsid w:val="00873CC2"/>
    <w:rsid w:val="00873D4E"/>
    <w:rsid w:val="00873D98"/>
    <w:rsid w:val="00873DC4"/>
    <w:rsid w:val="00873DDD"/>
    <w:rsid w:val="00873E4D"/>
    <w:rsid w:val="00873E6C"/>
    <w:rsid w:val="008740B7"/>
    <w:rsid w:val="00874101"/>
    <w:rsid w:val="0087422A"/>
    <w:rsid w:val="00874356"/>
    <w:rsid w:val="00874412"/>
    <w:rsid w:val="00874527"/>
    <w:rsid w:val="0087456A"/>
    <w:rsid w:val="00874586"/>
    <w:rsid w:val="0087461B"/>
    <w:rsid w:val="00874634"/>
    <w:rsid w:val="008746C5"/>
    <w:rsid w:val="008748F5"/>
    <w:rsid w:val="00874943"/>
    <w:rsid w:val="008749BE"/>
    <w:rsid w:val="008749D2"/>
    <w:rsid w:val="00874A50"/>
    <w:rsid w:val="00874A7C"/>
    <w:rsid w:val="00874AE3"/>
    <w:rsid w:val="00874B6D"/>
    <w:rsid w:val="00874C2B"/>
    <w:rsid w:val="00874F67"/>
    <w:rsid w:val="0087500D"/>
    <w:rsid w:val="0087502E"/>
    <w:rsid w:val="008750AE"/>
    <w:rsid w:val="00875244"/>
    <w:rsid w:val="008752C4"/>
    <w:rsid w:val="00875342"/>
    <w:rsid w:val="008753BA"/>
    <w:rsid w:val="00875597"/>
    <w:rsid w:val="008755DB"/>
    <w:rsid w:val="008755FC"/>
    <w:rsid w:val="008756CF"/>
    <w:rsid w:val="0087572B"/>
    <w:rsid w:val="0087579A"/>
    <w:rsid w:val="0087579B"/>
    <w:rsid w:val="008758D6"/>
    <w:rsid w:val="00875AA2"/>
    <w:rsid w:val="00875B89"/>
    <w:rsid w:val="00875B8F"/>
    <w:rsid w:val="00875BE0"/>
    <w:rsid w:val="00875C7A"/>
    <w:rsid w:val="00875CB3"/>
    <w:rsid w:val="00875D80"/>
    <w:rsid w:val="00875E46"/>
    <w:rsid w:val="00875E49"/>
    <w:rsid w:val="00876016"/>
    <w:rsid w:val="008760BF"/>
    <w:rsid w:val="008760F0"/>
    <w:rsid w:val="00876191"/>
    <w:rsid w:val="008761B6"/>
    <w:rsid w:val="008762BA"/>
    <w:rsid w:val="008762F8"/>
    <w:rsid w:val="0087638A"/>
    <w:rsid w:val="008763A6"/>
    <w:rsid w:val="008763AF"/>
    <w:rsid w:val="008763BE"/>
    <w:rsid w:val="0087643D"/>
    <w:rsid w:val="00876467"/>
    <w:rsid w:val="008767EA"/>
    <w:rsid w:val="00876883"/>
    <w:rsid w:val="0087690D"/>
    <w:rsid w:val="00876B25"/>
    <w:rsid w:val="00876CC1"/>
    <w:rsid w:val="00876E82"/>
    <w:rsid w:val="00877022"/>
    <w:rsid w:val="00877063"/>
    <w:rsid w:val="008770CB"/>
    <w:rsid w:val="00877215"/>
    <w:rsid w:val="00877277"/>
    <w:rsid w:val="0087730D"/>
    <w:rsid w:val="00877378"/>
    <w:rsid w:val="00877408"/>
    <w:rsid w:val="008774AF"/>
    <w:rsid w:val="008775AD"/>
    <w:rsid w:val="00877652"/>
    <w:rsid w:val="008776F8"/>
    <w:rsid w:val="00877722"/>
    <w:rsid w:val="0087773C"/>
    <w:rsid w:val="00877834"/>
    <w:rsid w:val="008778C3"/>
    <w:rsid w:val="00877A79"/>
    <w:rsid w:val="00877C71"/>
    <w:rsid w:val="00877C9B"/>
    <w:rsid w:val="00877D07"/>
    <w:rsid w:val="00877E02"/>
    <w:rsid w:val="00877E96"/>
    <w:rsid w:val="00877F19"/>
    <w:rsid w:val="00877FF8"/>
    <w:rsid w:val="00877FFE"/>
    <w:rsid w:val="0088006C"/>
    <w:rsid w:val="008800A6"/>
    <w:rsid w:val="00880109"/>
    <w:rsid w:val="00880154"/>
    <w:rsid w:val="008801EE"/>
    <w:rsid w:val="0088023D"/>
    <w:rsid w:val="008802DA"/>
    <w:rsid w:val="008802E9"/>
    <w:rsid w:val="0088036C"/>
    <w:rsid w:val="0088047C"/>
    <w:rsid w:val="00880508"/>
    <w:rsid w:val="00880520"/>
    <w:rsid w:val="00880595"/>
    <w:rsid w:val="008805EA"/>
    <w:rsid w:val="0088075F"/>
    <w:rsid w:val="00880878"/>
    <w:rsid w:val="00880A05"/>
    <w:rsid w:val="00880B3C"/>
    <w:rsid w:val="00880B4B"/>
    <w:rsid w:val="00880B74"/>
    <w:rsid w:val="00880B79"/>
    <w:rsid w:val="00880BAE"/>
    <w:rsid w:val="00880BB6"/>
    <w:rsid w:val="00880C36"/>
    <w:rsid w:val="00880E7C"/>
    <w:rsid w:val="00880EB9"/>
    <w:rsid w:val="00881003"/>
    <w:rsid w:val="008810D6"/>
    <w:rsid w:val="00881205"/>
    <w:rsid w:val="00881266"/>
    <w:rsid w:val="008813AA"/>
    <w:rsid w:val="008813DE"/>
    <w:rsid w:val="008814EF"/>
    <w:rsid w:val="0088151D"/>
    <w:rsid w:val="008816AA"/>
    <w:rsid w:val="008816EA"/>
    <w:rsid w:val="00881732"/>
    <w:rsid w:val="00881BAD"/>
    <w:rsid w:val="00881BFA"/>
    <w:rsid w:val="00881C18"/>
    <w:rsid w:val="00881C2D"/>
    <w:rsid w:val="00881DC4"/>
    <w:rsid w:val="00881E34"/>
    <w:rsid w:val="00881E96"/>
    <w:rsid w:val="00881F5B"/>
    <w:rsid w:val="00882118"/>
    <w:rsid w:val="008821DB"/>
    <w:rsid w:val="00882239"/>
    <w:rsid w:val="0088227E"/>
    <w:rsid w:val="008822AD"/>
    <w:rsid w:val="008822B3"/>
    <w:rsid w:val="00882412"/>
    <w:rsid w:val="008824F0"/>
    <w:rsid w:val="008825A6"/>
    <w:rsid w:val="00882792"/>
    <w:rsid w:val="0088293C"/>
    <w:rsid w:val="0088299C"/>
    <w:rsid w:val="008829B2"/>
    <w:rsid w:val="008829CE"/>
    <w:rsid w:val="00882AC7"/>
    <w:rsid w:val="00882B38"/>
    <w:rsid w:val="00882BEC"/>
    <w:rsid w:val="00882C37"/>
    <w:rsid w:val="00882C5C"/>
    <w:rsid w:val="00882C7C"/>
    <w:rsid w:val="00882CAF"/>
    <w:rsid w:val="00882DC0"/>
    <w:rsid w:val="00882FA2"/>
    <w:rsid w:val="0088300F"/>
    <w:rsid w:val="008830B5"/>
    <w:rsid w:val="008830CA"/>
    <w:rsid w:val="008830DE"/>
    <w:rsid w:val="00883179"/>
    <w:rsid w:val="00883236"/>
    <w:rsid w:val="008832EE"/>
    <w:rsid w:val="00883327"/>
    <w:rsid w:val="00883681"/>
    <w:rsid w:val="00883730"/>
    <w:rsid w:val="0088374E"/>
    <w:rsid w:val="00883869"/>
    <w:rsid w:val="00883A71"/>
    <w:rsid w:val="00883A92"/>
    <w:rsid w:val="00883C8C"/>
    <w:rsid w:val="00883D14"/>
    <w:rsid w:val="00883F3B"/>
    <w:rsid w:val="0088404C"/>
    <w:rsid w:val="0088415D"/>
    <w:rsid w:val="0088417D"/>
    <w:rsid w:val="0088417E"/>
    <w:rsid w:val="008841B8"/>
    <w:rsid w:val="008841C5"/>
    <w:rsid w:val="008841D6"/>
    <w:rsid w:val="008843C8"/>
    <w:rsid w:val="008844BF"/>
    <w:rsid w:val="0088467A"/>
    <w:rsid w:val="008846A1"/>
    <w:rsid w:val="008846B0"/>
    <w:rsid w:val="00884770"/>
    <w:rsid w:val="008847A3"/>
    <w:rsid w:val="008847BB"/>
    <w:rsid w:val="0088482C"/>
    <w:rsid w:val="00884882"/>
    <w:rsid w:val="0088490A"/>
    <w:rsid w:val="00884955"/>
    <w:rsid w:val="00884A2D"/>
    <w:rsid w:val="00884A3D"/>
    <w:rsid w:val="00884B2B"/>
    <w:rsid w:val="00884B57"/>
    <w:rsid w:val="00884C0B"/>
    <w:rsid w:val="00884C11"/>
    <w:rsid w:val="00884C84"/>
    <w:rsid w:val="00884CD5"/>
    <w:rsid w:val="00884CD9"/>
    <w:rsid w:val="00884D50"/>
    <w:rsid w:val="00884E6A"/>
    <w:rsid w:val="00884E75"/>
    <w:rsid w:val="00884F08"/>
    <w:rsid w:val="00884F83"/>
    <w:rsid w:val="00884FF0"/>
    <w:rsid w:val="00885043"/>
    <w:rsid w:val="0088507A"/>
    <w:rsid w:val="008850C1"/>
    <w:rsid w:val="00885120"/>
    <w:rsid w:val="008851C1"/>
    <w:rsid w:val="00885205"/>
    <w:rsid w:val="00885310"/>
    <w:rsid w:val="0088548C"/>
    <w:rsid w:val="00885492"/>
    <w:rsid w:val="008855D5"/>
    <w:rsid w:val="008855E4"/>
    <w:rsid w:val="00885625"/>
    <w:rsid w:val="0088594F"/>
    <w:rsid w:val="00885ACE"/>
    <w:rsid w:val="00885B64"/>
    <w:rsid w:val="00885B90"/>
    <w:rsid w:val="00885D10"/>
    <w:rsid w:val="00885D79"/>
    <w:rsid w:val="00885F13"/>
    <w:rsid w:val="00885F35"/>
    <w:rsid w:val="0088609A"/>
    <w:rsid w:val="008861CF"/>
    <w:rsid w:val="0088647A"/>
    <w:rsid w:val="00886594"/>
    <w:rsid w:val="00886767"/>
    <w:rsid w:val="00886951"/>
    <w:rsid w:val="00886991"/>
    <w:rsid w:val="00886AB4"/>
    <w:rsid w:val="00886B29"/>
    <w:rsid w:val="00886C5A"/>
    <w:rsid w:val="00886C84"/>
    <w:rsid w:val="00886F8C"/>
    <w:rsid w:val="00886FA0"/>
    <w:rsid w:val="00886FB4"/>
    <w:rsid w:val="0088709C"/>
    <w:rsid w:val="008870B4"/>
    <w:rsid w:val="008870FA"/>
    <w:rsid w:val="00887201"/>
    <w:rsid w:val="00887202"/>
    <w:rsid w:val="00887209"/>
    <w:rsid w:val="0088726C"/>
    <w:rsid w:val="008873F1"/>
    <w:rsid w:val="00887431"/>
    <w:rsid w:val="00887450"/>
    <w:rsid w:val="0088745F"/>
    <w:rsid w:val="0088752A"/>
    <w:rsid w:val="008875CF"/>
    <w:rsid w:val="00887644"/>
    <w:rsid w:val="00887793"/>
    <w:rsid w:val="008877EF"/>
    <w:rsid w:val="008878FA"/>
    <w:rsid w:val="008879AA"/>
    <w:rsid w:val="008879EB"/>
    <w:rsid w:val="00887A29"/>
    <w:rsid w:val="00887C24"/>
    <w:rsid w:val="00890003"/>
    <w:rsid w:val="00890179"/>
    <w:rsid w:val="00890251"/>
    <w:rsid w:val="00890265"/>
    <w:rsid w:val="008902AB"/>
    <w:rsid w:val="008902D3"/>
    <w:rsid w:val="008904DE"/>
    <w:rsid w:val="0089050B"/>
    <w:rsid w:val="00890527"/>
    <w:rsid w:val="0089057C"/>
    <w:rsid w:val="008905EE"/>
    <w:rsid w:val="0089080D"/>
    <w:rsid w:val="0089082A"/>
    <w:rsid w:val="0089091F"/>
    <w:rsid w:val="00890934"/>
    <w:rsid w:val="00890A4D"/>
    <w:rsid w:val="00890C7B"/>
    <w:rsid w:val="00890D8F"/>
    <w:rsid w:val="00890DBC"/>
    <w:rsid w:val="00890DED"/>
    <w:rsid w:val="0089103E"/>
    <w:rsid w:val="00891052"/>
    <w:rsid w:val="008910DE"/>
    <w:rsid w:val="00891268"/>
    <w:rsid w:val="0089147E"/>
    <w:rsid w:val="00891499"/>
    <w:rsid w:val="0089158A"/>
    <w:rsid w:val="0089158B"/>
    <w:rsid w:val="00891675"/>
    <w:rsid w:val="00891760"/>
    <w:rsid w:val="00891833"/>
    <w:rsid w:val="008919ED"/>
    <w:rsid w:val="00891B0D"/>
    <w:rsid w:val="00891B12"/>
    <w:rsid w:val="00891BA8"/>
    <w:rsid w:val="00891BD2"/>
    <w:rsid w:val="00891CAD"/>
    <w:rsid w:val="00891E2E"/>
    <w:rsid w:val="00891E32"/>
    <w:rsid w:val="00892075"/>
    <w:rsid w:val="008923F7"/>
    <w:rsid w:val="00892497"/>
    <w:rsid w:val="00892561"/>
    <w:rsid w:val="008925AA"/>
    <w:rsid w:val="008926E7"/>
    <w:rsid w:val="00892766"/>
    <w:rsid w:val="00892800"/>
    <w:rsid w:val="008928C9"/>
    <w:rsid w:val="00892944"/>
    <w:rsid w:val="0089295C"/>
    <w:rsid w:val="00892B20"/>
    <w:rsid w:val="00892C88"/>
    <w:rsid w:val="00892CCA"/>
    <w:rsid w:val="00892CE5"/>
    <w:rsid w:val="00892D1E"/>
    <w:rsid w:val="00892D3E"/>
    <w:rsid w:val="00892F21"/>
    <w:rsid w:val="00892F5E"/>
    <w:rsid w:val="00892FD2"/>
    <w:rsid w:val="00893027"/>
    <w:rsid w:val="008930E2"/>
    <w:rsid w:val="008930EE"/>
    <w:rsid w:val="0089321C"/>
    <w:rsid w:val="008932E1"/>
    <w:rsid w:val="00893368"/>
    <w:rsid w:val="00893393"/>
    <w:rsid w:val="00893464"/>
    <w:rsid w:val="008934AD"/>
    <w:rsid w:val="008934AF"/>
    <w:rsid w:val="0089352F"/>
    <w:rsid w:val="0089353B"/>
    <w:rsid w:val="008935A9"/>
    <w:rsid w:val="008935FF"/>
    <w:rsid w:val="0089362A"/>
    <w:rsid w:val="00893633"/>
    <w:rsid w:val="0089385E"/>
    <w:rsid w:val="00893925"/>
    <w:rsid w:val="00893AE0"/>
    <w:rsid w:val="00893B00"/>
    <w:rsid w:val="00893BFB"/>
    <w:rsid w:val="00893C58"/>
    <w:rsid w:val="00893DC9"/>
    <w:rsid w:val="00893DE9"/>
    <w:rsid w:val="00893E0A"/>
    <w:rsid w:val="00893E9A"/>
    <w:rsid w:val="00893FE2"/>
    <w:rsid w:val="00894007"/>
    <w:rsid w:val="00894089"/>
    <w:rsid w:val="008940DE"/>
    <w:rsid w:val="008941FA"/>
    <w:rsid w:val="008942AB"/>
    <w:rsid w:val="00894566"/>
    <w:rsid w:val="008945F1"/>
    <w:rsid w:val="00894734"/>
    <w:rsid w:val="00894908"/>
    <w:rsid w:val="00894A93"/>
    <w:rsid w:val="00894AAD"/>
    <w:rsid w:val="00894BBB"/>
    <w:rsid w:val="00894C0B"/>
    <w:rsid w:val="00894D8B"/>
    <w:rsid w:val="00894EBE"/>
    <w:rsid w:val="00894F62"/>
    <w:rsid w:val="0089503D"/>
    <w:rsid w:val="00895087"/>
    <w:rsid w:val="00895102"/>
    <w:rsid w:val="0089510B"/>
    <w:rsid w:val="008951E8"/>
    <w:rsid w:val="008951FB"/>
    <w:rsid w:val="00895370"/>
    <w:rsid w:val="00895446"/>
    <w:rsid w:val="00895448"/>
    <w:rsid w:val="00895678"/>
    <w:rsid w:val="00895709"/>
    <w:rsid w:val="00895742"/>
    <w:rsid w:val="00895761"/>
    <w:rsid w:val="00895762"/>
    <w:rsid w:val="0089580A"/>
    <w:rsid w:val="00895845"/>
    <w:rsid w:val="00895930"/>
    <w:rsid w:val="008959B3"/>
    <w:rsid w:val="00895A72"/>
    <w:rsid w:val="00895B53"/>
    <w:rsid w:val="00895C17"/>
    <w:rsid w:val="00895CA7"/>
    <w:rsid w:val="00895D43"/>
    <w:rsid w:val="00895E85"/>
    <w:rsid w:val="00895F46"/>
    <w:rsid w:val="00895F7E"/>
    <w:rsid w:val="00895F89"/>
    <w:rsid w:val="0089613B"/>
    <w:rsid w:val="00896217"/>
    <w:rsid w:val="00896247"/>
    <w:rsid w:val="00896281"/>
    <w:rsid w:val="008962CE"/>
    <w:rsid w:val="00896331"/>
    <w:rsid w:val="0089634D"/>
    <w:rsid w:val="008963C6"/>
    <w:rsid w:val="008964E4"/>
    <w:rsid w:val="00896526"/>
    <w:rsid w:val="00896712"/>
    <w:rsid w:val="00896734"/>
    <w:rsid w:val="00896866"/>
    <w:rsid w:val="008968FA"/>
    <w:rsid w:val="00896A44"/>
    <w:rsid w:val="00896AE3"/>
    <w:rsid w:val="00896B9F"/>
    <w:rsid w:val="00896BA8"/>
    <w:rsid w:val="00896D42"/>
    <w:rsid w:val="00896DD7"/>
    <w:rsid w:val="00896DF3"/>
    <w:rsid w:val="00896FAE"/>
    <w:rsid w:val="008970B2"/>
    <w:rsid w:val="008971AA"/>
    <w:rsid w:val="0089722B"/>
    <w:rsid w:val="00897297"/>
    <w:rsid w:val="0089729B"/>
    <w:rsid w:val="0089731B"/>
    <w:rsid w:val="00897389"/>
    <w:rsid w:val="00897447"/>
    <w:rsid w:val="0089754A"/>
    <w:rsid w:val="008975F7"/>
    <w:rsid w:val="008975FA"/>
    <w:rsid w:val="0089762C"/>
    <w:rsid w:val="0089766F"/>
    <w:rsid w:val="008976F8"/>
    <w:rsid w:val="008977BD"/>
    <w:rsid w:val="0089785F"/>
    <w:rsid w:val="008979D2"/>
    <w:rsid w:val="008979DE"/>
    <w:rsid w:val="00897A95"/>
    <w:rsid w:val="00897B67"/>
    <w:rsid w:val="00897E0C"/>
    <w:rsid w:val="008A0026"/>
    <w:rsid w:val="008A0188"/>
    <w:rsid w:val="008A01E1"/>
    <w:rsid w:val="008A01E7"/>
    <w:rsid w:val="008A01F5"/>
    <w:rsid w:val="008A02A9"/>
    <w:rsid w:val="008A0388"/>
    <w:rsid w:val="008A03B9"/>
    <w:rsid w:val="008A03BF"/>
    <w:rsid w:val="008A0418"/>
    <w:rsid w:val="008A057C"/>
    <w:rsid w:val="008A066A"/>
    <w:rsid w:val="008A06E9"/>
    <w:rsid w:val="008A077F"/>
    <w:rsid w:val="008A0786"/>
    <w:rsid w:val="008A07C7"/>
    <w:rsid w:val="008A0866"/>
    <w:rsid w:val="008A08DA"/>
    <w:rsid w:val="008A0965"/>
    <w:rsid w:val="008A0A39"/>
    <w:rsid w:val="008A0C1B"/>
    <w:rsid w:val="008A0C73"/>
    <w:rsid w:val="008A0CE1"/>
    <w:rsid w:val="008A0CFE"/>
    <w:rsid w:val="008A0E16"/>
    <w:rsid w:val="008A0FB7"/>
    <w:rsid w:val="008A1010"/>
    <w:rsid w:val="008A10FF"/>
    <w:rsid w:val="008A1291"/>
    <w:rsid w:val="008A1378"/>
    <w:rsid w:val="008A13AB"/>
    <w:rsid w:val="008A1423"/>
    <w:rsid w:val="008A148D"/>
    <w:rsid w:val="008A14CC"/>
    <w:rsid w:val="008A1526"/>
    <w:rsid w:val="008A1584"/>
    <w:rsid w:val="008A1670"/>
    <w:rsid w:val="008A1684"/>
    <w:rsid w:val="008A1688"/>
    <w:rsid w:val="008A1694"/>
    <w:rsid w:val="008A16AE"/>
    <w:rsid w:val="008A16B3"/>
    <w:rsid w:val="008A16F2"/>
    <w:rsid w:val="008A1786"/>
    <w:rsid w:val="008A18D4"/>
    <w:rsid w:val="008A18F5"/>
    <w:rsid w:val="008A190E"/>
    <w:rsid w:val="008A1948"/>
    <w:rsid w:val="008A19D2"/>
    <w:rsid w:val="008A1A41"/>
    <w:rsid w:val="008A1B1B"/>
    <w:rsid w:val="008A1B50"/>
    <w:rsid w:val="008A1C54"/>
    <w:rsid w:val="008A1C99"/>
    <w:rsid w:val="008A1E31"/>
    <w:rsid w:val="008A1EB9"/>
    <w:rsid w:val="008A1F67"/>
    <w:rsid w:val="008A20AD"/>
    <w:rsid w:val="008A22C7"/>
    <w:rsid w:val="008A2303"/>
    <w:rsid w:val="008A236F"/>
    <w:rsid w:val="008A238A"/>
    <w:rsid w:val="008A23D5"/>
    <w:rsid w:val="008A23F5"/>
    <w:rsid w:val="008A2424"/>
    <w:rsid w:val="008A26D8"/>
    <w:rsid w:val="008A26FC"/>
    <w:rsid w:val="008A270D"/>
    <w:rsid w:val="008A273D"/>
    <w:rsid w:val="008A2756"/>
    <w:rsid w:val="008A27C1"/>
    <w:rsid w:val="008A2886"/>
    <w:rsid w:val="008A2892"/>
    <w:rsid w:val="008A28AF"/>
    <w:rsid w:val="008A2910"/>
    <w:rsid w:val="008A298F"/>
    <w:rsid w:val="008A2999"/>
    <w:rsid w:val="008A29D8"/>
    <w:rsid w:val="008A2B16"/>
    <w:rsid w:val="008A2B44"/>
    <w:rsid w:val="008A2B4F"/>
    <w:rsid w:val="008A2C6C"/>
    <w:rsid w:val="008A2F83"/>
    <w:rsid w:val="008A2FCF"/>
    <w:rsid w:val="008A30B4"/>
    <w:rsid w:val="008A30F8"/>
    <w:rsid w:val="008A3128"/>
    <w:rsid w:val="008A3188"/>
    <w:rsid w:val="008A31FE"/>
    <w:rsid w:val="008A3328"/>
    <w:rsid w:val="008A3347"/>
    <w:rsid w:val="008A348C"/>
    <w:rsid w:val="008A34E2"/>
    <w:rsid w:val="008A3512"/>
    <w:rsid w:val="008A3568"/>
    <w:rsid w:val="008A3697"/>
    <w:rsid w:val="008A36A6"/>
    <w:rsid w:val="008A36DB"/>
    <w:rsid w:val="008A36DC"/>
    <w:rsid w:val="008A3776"/>
    <w:rsid w:val="008A3880"/>
    <w:rsid w:val="008A3995"/>
    <w:rsid w:val="008A39BC"/>
    <w:rsid w:val="008A39BD"/>
    <w:rsid w:val="008A3A15"/>
    <w:rsid w:val="008A3DB1"/>
    <w:rsid w:val="008A3E98"/>
    <w:rsid w:val="008A3F24"/>
    <w:rsid w:val="008A4151"/>
    <w:rsid w:val="008A41F6"/>
    <w:rsid w:val="008A4209"/>
    <w:rsid w:val="008A4337"/>
    <w:rsid w:val="008A4376"/>
    <w:rsid w:val="008A443C"/>
    <w:rsid w:val="008A44EB"/>
    <w:rsid w:val="008A4509"/>
    <w:rsid w:val="008A454D"/>
    <w:rsid w:val="008A46C2"/>
    <w:rsid w:val="008A47C6"/>
    <w:rsid w:val="008A496B"/>
    <w:rsid w:val="008A49BB"/>
    <w:rsid w:val="008A4B14"/>
    <w:rsid w:val="008A4B93"/>
    <w:rsid w:val="008A4BFA"/>
    <w:rsid w:val="008A4DF2"/>
    <w:rsid w:val="008A4EE1"/>
    <w:rsid w:val="008A4F30"/>
    <w:rsid w:val="008A5010"/>
    <w:rsid w:val="008A5019"/>
    <w:rsid w:val="008A5102"/>
    <w:rsid w:val="008A5142"/>
    <w:rsid w:val="008A51F4"/>
    <w:rsid w:val="008A51F5"/>
    <w:rsid w:val="008A5441"/>
    <w:rsid w:val="008A5668"/>
    <w:rsid w:val="008A56B3"/>
    <w:rsid w:val="008A5708"/>
    <w:rsid w:val="008A5826"/>
    <w:rsid w:val="008A5843"/>
    <w:rsid w:val="008A58F0"/>
    <w:rsid w:val="008A59AD"/>
    <w:rsid w:val="008A5A09"/>
    <w:rsid w:val="008A5A63"/>
    <w:rsid w:val="008A5AD4"/>
    <w:rsid w:val="008A5B27"/>
    <w:rsid w:val="008A5B57"/>
    <w:rsid w:val="008A5CE8"/>
    <w:rsid w:val="008A5CFF"/>
    <w:rsid w:val="008A5D26"/>
    <w:rsid w:val="008A5D4A"/>
    <w:rsid w:val="008A5E75"/>
    <w:rsid w:val="008A614B"/>
    <w:rsid w:val="008A6272"/>
    <w:rsid w:val="008A62D4"/>
    <w:rsid w:val="008A631F"/>
    <w:rsid w:val="008A63C8"/>
    <w:rsid w:val="008A63FC"/>
    <w:rsid w:val="008A6405"/>
    <w:rsid w:val="008A64F7"/>
    <w:rsid w:val="008A6518"/>
    <w:rsid w:val="008A6546"/>
    <w:rsid w:val="008A6559"/>
    <w:rsid w:val="008A6574"/>
    <w:rsid w:val="008A6691"/>
    <w:rsid w:val="008A6909"/>
    <w:rsid w:val="008A6A01"/>
    <w:rsid w:val="008A6B3E"/>
    <w:rsid w:val="008A6C0A"/>
    <w:rsid w:val="008A6D6C"/>
    <w:rsid w:val="008A6E4C"/>
    <w:rsid w:val="008A6EA4"/>
    <w:rsid w:val="008A704F"/>
    <w:rsid w:val="008A7072"/>
    <w:rsid w:val="008A70C3"/>
    <w:rsid w:val="008A71AB"/>
    <w:rsid w:val="008A749E"/>
    <w:rsid w:val="008A754B"/>
    <w:rsid w:val="008A7656"/>
    <w:rsid w:val="008A76C9"/>
    <w:rsid w:val="008A76CF"/>
    <w:rsid w:val="008A7774"/>
    <w:rsid w:val="008A77E1"/>
    <w:rsid w:val="008A78CA"/>
    <w:rsid w:val="008A79BD"/>
    <w:rsid w:val="008A7AC6"/>
    <w:rsid w:val="008A7B2A"/>
    <w:rsid w:val="008A7BE2"/>
    <w:rsid w:val="008A7CFA"/>
    <w:rsid w:val="008A7D0B"/>
    <w:rsid w:val="008A7D25"/>
    <w:rsid w:val="008A7E16"/>
    <w:rsid w:val="008A7E38"/>
    <w:rsid w:val="008B0030"/>
    <w:rsid w:val="008B020F"/>
    <w:rsid w:val="008B022C"/>
    <w:rsid w:val="008B0288"/>
    <w:rsid w:val="008B0307"/>
    <w:rsid w:val="008B0375"/>
    <w:rsid w:val="008B04C1"/>
    <w:rsid w:val="008B058C"/>
    <w:rsid w:val="008B0630"/>
    <w:rsid w:val="008B064C"/>
    <w:rsid w:val="008B070D"/>
    <w:rsid w:val="008B0741"/>
    <w:rsid w:val="008B07F5"/>
    <w:rsid w:val="008B080D"/>
    <w:rsid w:val="008B0812"/>
    <w:rsid w:val="008B096C"/>
    <w:rsid w:val="008B0A01"/>
    <w:rsid w:val="008B0B71"/>
    <w:rsid w:val="008B0C03"/>
    <w:rsid w:val="008B0C10"/>
    <w:rsid w:val="008B0CE6"/>
    <w:rsid w:val="008B0CFB"/>
    <w:rsid w:val="008B0D5F"/>
    <w:rsid w:val="008B0D65"/>
    <w:rsid w:val="008B0D75"/>
    <w:rsid w:val="008B0E0D"/>
    <w:rsid w:val="008B0ED6"/>
    <w:rsid w:val="008B110E"/>
    <w:rsid w:val="008B113C"/>
    <w:rsid w:val="008B1237"/>
    <w:rsid w:val="008B12A6"/>
    <w:rsid w:val="008B145C"/>
    <w:rsid w:val="008B148F"/>
    <w:rsid w:val="008B1521"/>
    <w:rsid w:val="008B15D5"/>
    <w:rsid w:val="008B169B"/>
    <w:rsid w:val="008B1726"/>
    <w:rsid w:val="008B1772"/>
    <w:rsid w:val="008B1850"/>
    <w:rsid w:val="008B193D"/>
    <w:rsid w:val="008B1A7D"/>
    <w:rsid w:val="008B1B2F"/>
    <w:rsid w:val="008B1BA9"/>
    <w:rsid w:val="008B1BBB"/>
    <w:rsid w:val="008B1BEA"/>
    <w:rsid w:val="008B1C61"/>
    <w:rsid w:val="008B1C6C"/>
    <w:rsid w:val="008B1CC4"/>
    <w:rsid w:val="008B1D9E"/>
    <w:rsid w:val="008B1E9C"/>
    <w:rsid w:val="008B1FDE"/>
    <w:rsid w:val="008B2012"/>
    <w:rsid w:val="008B212F"/>
    <w:rsid w:val="008B237F"/>
    <w:rsid w:val="008B25A2"/>
    <w:rsid w:val="008B2886"/>
    <w:rsid w:val="008B29BC"/>
    <w:rsid w:val="008B2B2B"/>
    <w:rsid w:val="008B2B5E"/>
    <w:rsid w:val="008B2B61"/>
    <w:rsid w:val="008B2B70"/>
    <w:rsid w:val="008B2C07"/>
    <w:rsid w:val="008B2C71"/>
    <w:rsid w:val="008B2DB8"/>
    <w:rsid w:val="008B2DC9"/>
    <w:rsid w:val="008B2ED6"/>
    <w:rsid w:val="008B3015"/>
    <w:rsid w:val="008B3056"/>
    <w:rsid w:val="008B305A"/>
    <w:rsid w:val="008B3170"/>
    <w:rsid w:val="008B3182"/>
    <w:rsid w:val="008B31D7"/>
    <w:rsid w:val="008B31E5"/>
    <w:rsid w:val="008B325F"/>
    <w:rsid w:val="008B32D6"/>
    <w:rsid w:val="008B3375"/>
    <w:rsid w:val="008B33E4"/>
    <w:rsid w:val="008B3446"/>
    <w:rsid w:val="008B3540"/>
    <w:rsid w:val="008B35BA"/>
    <w:rsid w:val="008B3788"/>
    <w:rsid w:val="008B394F"/>
    <w:rsid w:val="008B396D"/>
    <w:rsid w:val="008B3B52"/>
    <w:rsid w:val="008B3B66"/>
    <w:rsid w:val="008B3BC7"/>
    <w:rsid w:val="008B3CE4"/>
    <w:rsid w:val="008B3E04"/>
    <w:rsid w:val="008B3E9C"/>
    <w:rsid w:val="008B3EC1"/>
    <w:rsid w:val="008B3F99"/>
    <w:rsid w:val="008B4058"/>
    <w:rsid w:val="008B40E4"/>
    <w:rsid w:val="008B4182"/>
    <w:rsid w:val="008B444C"/>
    <w:rsid w:val="008B457D"/>
    <w:rsid w:val="008B4602"/>
    <w:rsid w:val="008B4790"/>
    <w:rsid w:val="008B4845"/>
    <w:rsid w:val="008B4880"/>
    <w:rsid w:val="008B4943"/>
    <w:rsid w:val="008B49D5"/>
    <w:rsid w:val="008B4A95"/>
    <w:rsid w:val="008B4B17"/>
    <w:rsid w:val="008B4BAB"/>
    <w:rsid w:val="008B4BCE"/>
    <w:rsid w:val="008B4CEA"/>
    <w:rsid w:val="008B506C"/>
    <w:rsid w:val="008B51B5"/>
    <w:rsid w:val="008B52BF"/>
    <w:rsid w:val="008B5346"/>
    <w:rsid w:val="008B53FA"/>
    <w:rsid w:val="008B5428"/>
    <w:rsid w:val="008B5475"/>
    <w:rsid w:val="008B54A4"/>
    <w:rsid w:val="008B54FF"/>
    <w:rsid w:val="008B5650"/>
    <w:rsid w:val="008B5721"/>
    <w:rsid w:val="008B57BF"/>
    <w:rsid w:val="008B5814"/>
    <w:rsid w:val="008B5852"/>
    <w:rsid w:val="008B58FA"/>
    <w:rsid w:val="008B5924"/>
    <w:rsid w:val="008B599B"/>
    <w:rsid w:val="008B5A03"/>
    <w:rsid w:val="008B5A0D"/>
    <w:rsid w:val="008B5A45"/>
    <w:rsid w:val="008B5A54"/>
    <w:rsid w:val="008B5AEF"/>
    <w:rsid w:val="008B5B1C"/>
    <w:rsid w:val="008B5CD4"/>
    <w:rsid w:val="008B5D0B"/>
    <w:rsid w:val="008B5E14"/>
    <w:rsid w:val="008B5ECE"/>
    <w:rsid w:val="008B5FBE"/>
    <w:rsid w:val="008B6024"/>
    <w:rsid w:val="008B6028"/>
    <w:rsid w:val="008B6196"/>
    <w:rsid w:val="008B61AA"/>
    <w:rsid w:val="008B625B"/>
    <w:rsid w:val="008B625D"/>
    <w:rsid w:val="008B64D0"/>
    <w:rsid w:val="008B664C"/>
    <w:rsid w:val="008B6684"/>
    <w:rsid w:val="008B6685"/>
    <w:rsid w:val="008B66BF"/>
    <w:rsid w:val="008B66C1"/>
    <w:rsid w:val="008B674C"/>
    <w:rsid w:val="008B6775"/>
    <w:rsid w:val="008B689A"/>
    <w:rsid w:val="008B68D5"/>
    <w:rsid w:val="008B68DC"/>
    <w:rsid w:val="008B68EB"/>
    <w:rsid w:val="008B6924"/>
    <w:rsid w:val="008B6956"/>
    <w:rsid w:val="008B6A1E"/>
    <w:rsid w:val="008B6B07"/>
    <w:rsid w:val="008B6B59"/>
    <w:rsid w:val="008B6B9D"/>
    <w:rsid w:val="008B6BB6"/>
    <w:rsid w:val="008B6BE2"/>
    <w:rsid w:val="008B6CA0"/>
    <w:rsid w:val="008B6E94"/>
    <w:rsid w:val="008B70D7"/>
    <w:rsid w:val="008B725F"/>
    <w:rsid w:val="008B737D"/>
    <w:rsid w:val="008B7585"/>
    <w:rsid w:val="008B75E5"/>
    <w:rsid w:val="008B76F4"/>
    <w:rsid w:val="008B77D2"/>
    <w:rsid w:val="008B7BD1"/>
    <w:rsid w:val="008B7D6F"/>
    <w:rsid w:val="008C00C0"/>
    <w:rsid w:val="008C03B4"/>
    <w:rsid w:val="008C03C1"/>
    <w:rsid w:val="008C03F2"/>
    <w:rsid w:val="008C04B4"/>
    <w:rsid w:val="008C056F"/>
    <w:rsid w:val="008C05DE"/>
    <w:rsid w:val="008C062A"/>
    <w:rsid w:val="008C0702"/>
    <w:rsid w:val="008C09B5"/>
    <w:rsid w:val="008C0A3E"/>
    <w:rsid w:val="008C0A46"/>
    <w:rsid w:val="008C0A7C"/>
    <w:rsid w:val="008C0B31"/>
    <w:rsid w:val="008C0B46"/>
    <w:rsid w:val="008C0B84"/>
    <w:rsid w:val="008C0C8E"/>
    <w:rsid w:val="008C0FDE"/>
    <w:rsid w:val="008C11F9"/>
    <w:rsid w:val="008C11FA"/>
    <w:rsid w:val="008C1256"/>
    <w:rsid w:val="008C1262"/>
    <w:rsid w:val="008C13FA"/>
    <w:rsid w:val="008C1462"/>
    <w:rsid w:val="008C14AD"/>
    <w:rsid w:val="008C1579"/>
    <w:rsid w:val="008C1586"/>
    <w:rsid w:val="008C167E"/>
    <w:rsid w:val="008C16A4"/>
    <w:rsid w:val="008C170A"/>
    <w:rsid w:val="008C1727"/>
    <w:rsid w:val="008C1776"/>
    <w:rsid w:val="008C18B8"/>
    <w:rsid w:val="008C1964"/>
    <w:rsid w:val="008C1AD8"/>
    <w:rsid w:val="008C1AE6"/>
    <w:rsid w:val="008C1B8A"/>
    <w:rsid w:val="008C1BC8"/>
    <w:rsid w:val="008C1C20"/>
    <w:rsid w:val="008C1C7B"/>
    <w:rsid w:val="008C1D13"/>
    <w:rsid w:val="008C1E14"/>
    <w:rsid w:val="008C1E75"/>
    <w:rsid w:val="008C1F8F"/>
    <w:rsid w:val="008C2047"/>
    <w:rsid w:val="008C21E5"/>
    <w:rsid w:val="008C2282"/>
    <w:rsid w:val="008C2373"/>
    <w:rsid w:val="008C263F"/>
    <w:rsid w:val="008C267E"/>
    <w:rsid w:val="008C2755"/>
    <w:rsid w:val="008C277C"/>
    <w:rsid w:val="008C2787"/>
    <w:rsid w:val="008C27E4"/>
    <w:rsid w:val="008C2819"/>
    <w:rsid w:val="008C2A86"/>
    <w:rsid w:val="008C2B3B"/>
    <w:rsid w:val="008C2B6D"/>
    <w:rsid w:val="008C2CB2"/>
    <w:rsid w:val="008C2CBE"/>
    <w:rsid w:val="008C2DE7"/>
    <w:rsid w:val="008C2DEF"/>
    <w:rsid w:val="008C2E97"/>
    <w:rsid w:val="008C2F5D"/>
    <w:rsid w:val="008C2FBE"/>
    <w:rsid w:val="008C2FC2"/>
    <w:rsid w:val="008C3067"/>
    <w:rsid w:val="008C319E"/>
    <w:rsid w:val="008C31D3"/>
    <w:rsid w:val="008C3344"/>
    <w:rsid w:val="008C33DD"/>
    <w:rsid w:val="008C341C"/>
    <w:rsid w:val="008C3447"/>
    <w:rsid w:val="008C346C"/>
    <w:rsid w:val="008C349B"/>
    <w:rsid w:val="008C353D"/>
    <w:rsid w:val="008C3777"/>
    <w:rsid w:val="008C377C"/>
    <w:rsid w:val="008C39AC"/>
    <w:rsid w:val="008C3B00"/>
    <w:rsid w:val="008C3C19"/>
    <w:rsid w:val="008C3C6F"/>
    <w:rsid w:val="008C3C79"/>
    <w:rsid w:val="008C3CF6"/>
    <w:rsid w:val="008C3E80"/>
    <w:rsid w:val="008C3F73"/>
    <w:rsid w:val="008C40C4"/>
    <w:rsid w:val="008C40FD"/>
    <w:rsid w:val="008C4172"/>
    <w:rsid w:val="008C4176"/>
    <w:rsid w:val="008C4366"/>
    <w:rsid w:val="008C4426"/>
    <w:rsid w:val="008C4488"/>
    <w:rsid w:val="008C4549"/>
    <w:rsid w:val="008C46C7"/>
    <w:rsid w:val="008C48BB"/>
    <w:rsid w:val="008C491B"/>
    <w:rsid w:val="008C492F"/>
    <w:rsid w:val="008C4964"/>
    <w:rsid w:val="008C4BE5"/>
    <w:rsid w:val="008C4CC6"/>
    <w:rsid w:val="008C4DAF"/>
    <w:rsid w:val="008C4DBF"/>
    <w:rsid w:val="008C4E64"/>
    <w:rsid w:val="008C4EA2"/>
    <w:rsid w:val="008C4F9C"/>
    <w:rsid w:val="008C4FF0"/>
    <w:rsid w:val="008C50E3"/>
    <w:rsid w:val="008C50E9"/>
    <w:rsid w:val="008C5125"/>
    <w:rsid w:val="008C5263"/>
    <w:rsid w:val="008C52CA"/>
    <w:rsid w:val="008C555D"/>
    <w:rsid w:val="008C5646"/>
    <w:rsid w:val="008C5681"/>
    <w:rsid w:val="008C56A3"/>
    <w:rsid w:val="008C56ED"/>
    <w:rsid w:val="008C571B"/>
    <w:rsid w:val="008C5931"/>
    <w:rsid w:val="008C5A17"/>
    <w:rsid w:val="008C5A40"/>
    <w:rsid w:val="008C5A84"/>
    <w:rsid w:val="008C5AB4"/>
    <w:rsid w:val="008C5C06"/>
    <w:rsid w:val="008C5C32"/>
    <w:rsid w:val="008C5D9E"/>
    <w:rsid w:val="008C5E33"/>
    <w:rsid w:val="008C5E42"/>
    <w:rsid w:val="008C5EBB"/>
    <w:rsid w:val="008C5F0A"/>
    <w:rsid w:val="008C5FAF"/>
    <w:rsid w:val="008C5FD0"/>
    <w:rsid w:val="008C5FF9"/>
    <w:rsid w:val="008C6085"/>
    <w:rsid w:val="008C6106"/>
    <w:rsid w:val="008C636A"/>
    <w:rsid w:val="008C63B4"/>
    <w:rsid w:val="008C63CB"/>
    <w:rsid w:val="008C63DC"/>
    <w:rsid w:val="008C6472"/>
    <w:rsid w:val="008C652F"/>
    <w:rsid w:val="008C654D"/>
    <w:rsid w:val="008C6598"/>
    <w:rsid w:val="008C65A2"/>
    <w:rsid w:val="008C6926"/>
    <w:rsid w:val="008C6A16"/>
    <w:rsid w:val="008C6B9C"/>
    <w:rsid w:val="008C6D37"/>
    <w:rsid w:val="008C6D66"/>
    <w:rsid w:val="008C6DE9"/>
    <w:rsid w:val="008C6E8B"/>
    <w:rsid w:val="008C6F51"/>
    <w:rsid w:val="008C6F83"/>
    <w:rsid w:val="008C6FC0"/>
    <w:rsid w:val="008C7103"/>
    <w:rsid w:val="008C714A"/>
    <w:rsid w:val="008C7163"/>
    <w:rsid w:val="008C7166"/>
    <w:rsid w:val="008C72A3"/>
    <w:rsid w:val="008C733B"/>
    <w:rsid w:val="008C7359"/>
    <w:rsid w:val="008C7499"/>
    <w:rsid w:val="008C74AE"/>
    <w:rsid w:val="008C7563"/>
    <w:rsid w:val="008C771C"/>
    <w:rsid w:val="008C779B"/>
    <w:rsid w:val="008C782C"/>
    <w:rsid w:val="008C78E1"/>
    <w:rsid w:val="008C7A1F"/>
    <w:rsid w:val="008C7BB4"/>
    <w:rsid w:val="008C7BEB"/>
    <w:rsid w:val="008C7C85"/>
    <w:rsid w:val="008C7DC7"/>
    <w:rsid w:val="008C7EAA"/>
    <w:rsid w:val="008C7F84"/>
    <w:rsid w:val="008D0050"/>
    <w:rsid w:val="008D0155"/>
    <w:rsid w:val="008D024B"/>
    <w:rsid w:val="008D02B6"/>
    <w:rsid w:val="008D02F4"/>
    <w:rsid w:val="008D0317"/>
    <w:rsid w:val="008D034C"/>
    <w:rsid w:val="008D0405"/>
    <w:rsid w:val="008D04B1"/>
    <w:rsid w:val="008D06EA"/>
    <w:rsid w:val="008D06EC"/>
    <w:rsid w:val="008D0724"/>
    <w:rsid w:val="008D0843"/>
    <w:rsid w:val="008D0890"/>
    <w:rsid w:val="008D0942"/>
    <w:rsid w:val="008D0A14"/>
    <w:rsid w:val="008D0A3D"/>
    <w:rsid w:val="008D0B73"/>
    <w:rsid w:val="008D0BA5"/>
    <w:rsid w:val="008D0CC6"/>
    <w:rsid w:val="008D0CCC"/>
    <w:rsid w:val="008D0D78"/>
    <w:rsid w:val="008D0E4B"/>
    <w:rsid w:val="008D0F9D"/>
    <w:rsid w:val="008D1088"/>
    <w:rsid w:val="008D1168"/>
    <w:rsid w:val="008D11A7"/>
    <w:rsid w:val="008D1239"/>
    <w:rsid w:val="008D1455"/>
    <w:rsid w:val="008D1468"/>
    <w:rsid w:val="008D150E"/>
    <w:rsid w:val="008D158F"/>
    <w:rsid w:val="008D15C2"/>
    <w:rsid w:val="008D1665"/>
    <w:rsid w:val="008D1736"/>
    <w:rsid w:val="008D1761"/>
    <w:rsid w:val="008D183C"/>
    <w:rsid w:val="008D183E"/>
    <w:rsid w:val="008D19F6"/>
    <w:rsid w:val="008D1B82"/>
    <w:rsid w:val="008D1B94"/>
    <w:rsid w:val="008D1CD1"/>
    <w:rsid w:val="008D1E81"/>
    <w:rsid w:val="008D2039"/>
    <w:rsid w:val="008D206E"/>
    <w:rsid w:val="008D229B"/>
    <w:rsid w:val="008D22C1"/>
    <w:rsid w:val="008D24C9"/>
    <w:rsid w:val="008D24DF"/>
    <w:rsid w:val="008D252C"/>
    <w:rsid w:val="008D25E7"/>
    <w:rsid w:val="008D2631"/>
    <w:rsid w:val="008D26AA"/>
    <w:rsid w:val="008D29C0"/>
    <w:rsid w:val="008D2B2C"/>
    <w:rsid w:val="008D2C21"/>
    <w:rsid w:val="008D2C61"/>
    <w:rsid w:val="008D2C85"/>
    <w:rsid w:val="008D2D27"/>
    <w:rsid w:val="008D2DAB"/>
    <w:rsid w:val="008D2E38"/>
    <w:rsid w:val="008D2E5A"/>
    <w:rsid w:val="008D2E94"/>
    <w:rsid w:val="008D3157"/>
    <w:rsid w:val="008D31F1"/>
    <w:rsid w:val="008D32EE"/>
    <w:rsid w:val="008D3451"/>
    <w:rsid w:val="008D34D6"/>
    <w:rsid w:val="008D34EE"/>
    <w:rsid w:val="008D3560"/>
    <w:rsid w:val="008D3641"/>
    <w:rsid w:val="008D380A"/>
    <w:rsid w:val="008D3847"/>
    <w:rsid w:val="008D384D"/>
    <w:rsid w:val="008D3864"/>
    <w:rsid w:val="008D390C"/>
    <w:rsid w:val="008D3998"/>
    <w:rsid w:val="008D3A8C"/>
    <w:rsid w:val="008D3AFB"/>
    <w:rsid w:val="008D3B09"/>
    <w:rsid w:val="008D3BDF"/>
    <w:rsid w:val="008D3C6F"/>
    <w:rsid w:val="008D3D05"/>
    <w:rsid w:val="008D3D6F"/>
    <w:rsid w:val="008D3D79"/>
    <w:rsid w:val="008D3DE2"/>
    <w:rsid w:val="008D3E01"/>
    <w:rsid w:val="008D3E06"/>
    <w:rsid w:val="008D3F18"/>
    <w:rsid w:val="008D3F3D"/>
    <w:rsid w:val="008D3F58"/>
    <w:rsid w:val="008D4174"/>
    <w:rsid w:val="008D42A5"/>
    <w:rsid w:val="008D42EA"/>
    <w:rsid w:val="008D43F1"/>
    <w:rsid w:val="008D4489"/>
    <w:rsid w:val="008D44B0"/>
    <w:rsid w:val="008D44CA"/>
    <w:rsid w:val="008D44D5"/>
    <w:rsid w:val="008D4575"/>
    <w:rsid w:val="008D459D"/>
    <w:rsid w:val="008D45BA"/>
    <w:rsid w:val="008D4753"/>
    <w:rsid w:val="008D4887"/>
    <w:rsid w:val="008D48E3"/>
    <w:rsid w:val="008D4984"/>
    <w:rsid w:val="008D49B8"/>
    <w:rsid w:val="008D4ADC"/>
    <w:rsid w:val="008D4B31"/>
    <w:rsid w:val="008D4B3A"/>
    <w:rsid w:val="008D4B52"/>
    <w:rsid w:val="008D4C02"/>
    <w:rsid w:val="008D4CDA"/>
    <w:rsid w:val="008D4D22"/>
    <w:rsid w:val="008D4DC2"/>
    <w:rsid w:val="008D4E3E"/>
    <w:rsid w:val="008D4F39"/>
    <w:rsid w:val="008D4F3E"/>
    <w:rsid w:val="008D4F66"/>
    <w:rsid w:val="008D4FED"/>
    <w:rsid w:val="008D50F6"/>
    <w:rsid w:val="008D5125"/>
    <w:rsid w:val="008D5180"/>
    <w:rsid w:val="008D521A"/>
    <w:rsid w:val="008D521B"/>
    <w:rsid w:val="008D525E"/>
    <w:rsid w:val="008D5276"/>
    <w:rsid w:val="008D52DC"/>
    <w:rsid w:val="008D5354"/>
    <w:rsid w:val="008D54A4"/>
    <w:rsid w:val="008D551E"/>
    <w:rsid w:val="008D5804"/>
    <w:rsid w:val="008D585D"/>
    <w:rsid w:val="008D59D9"/>
    <w:rsid w:val="008D5A4A"/>
    <w:rsid w:val="008D5BF0"/>
    <w:rsid w:val="008D5C75"/>
    <w:rsid w:val="008D5CA1"/>
    <w:rsid w:val="008D5D0C"/>
    <w:rsid w:val="008D5D27"/>
    <w:rsid w:val="008D5D60"/>
    <w:rsid w:val="008D5FC4"/>
    <w:rsid w:val="008D5FC8"/>
    <w:rsid w:val="008D60D1"/>
    <w:rsid w:val="008D6146"/>
    <w:rsid w:val="008D61EA"/>
    <w:rsid w:val="008D6276"/>
    <w:rsid w:val="008D658F"/>
    <w:rsid w:val="008D659C"/>
    <w:rsid w:val="008D6618"/>
    <w:rsid w:val="008D664B"/>
    <w:rsid w:val="008D66FE"/>
    <w:rsid w:val="008D69F6"/>
    <w:rsid w:val="008D6AB0"/>
    <w:rsid w:val="008D6B3D"/>
    <w:rsid w:val="008D6B4B"/>
    <w:rsid w:val="008D6B52"/>
    <w:rsid w:val="008D6C12"/>
    <w:rsid w:val="008D6DD1"/>
    <w:rsid w:val="008D6EC9"/>
    <w:rsid w:val="008D7022"/>
    <w:rsid w:val="008D7050"/>
    <w:rsid w:val="008D7212"/>
    <w:rsid w:val="008D722F"/>
    <w:rsid w:val="008D7270"/>
    <w:rsid w:val="008D7454"/>
    <w:rsid w:val="008D7764"/>
    <w:rsid w:val="008D78BA"/>
    <w:rsid w:val="008D7915"/>
    <w:rsid w:val="008D792E"/>
    <w:rsid w:val="008D7B94"/>
    <w:rsid w:val="008D7BE2"/>
    <w:rsid w:val="008D7C5A"/>
    <w:rsid w:val="008D7C7E"/>
    <w:rsid w:val="008D7CB6"/>
    <w:rsid w:val="008D7E90"/>
    <w:rsid w:val="008D7F5B"/>
    <w:rsid w:val="008E00EA"/>
    <w:rsid w:val="008E0349"/>
    <w:rsid w:val="008E03DC"/>
    <w:rsid w:val="008E042D"/>
    <w:rsid w:val="008E0451"/>
    <w:rsid w:val="008E04F1"/>
    <w:rsid w:val="008E0528"/>
    <w:rsid w:val="008E0552"/>
    <w:rsid w:val="008E0591"/>
    <w:rsid w:val="008E05C7"/>
    <w:rsid w:val="008E086A"/>
    <w:rsid w:val="008E0A0B"/>
    <w:rsid w:val="008E0A4C"/>
    <w:rsid w:val="008E0A79"/>
    <w:rsid w:val="008E0A94"/>
    <w:rsid w:val="008E0C06"/>
    <w:rsid w:val="008E0E7F"/>
    <w:rsid w:val="008E0ED5"/>
    <w:rsid w:val="008E0F04"/>
    <w:rsid w:val="008E0F54"/>
    <w:rsid w:val="008E0F98"/>
    <w:rsid w:val="008E1088"/>
    <w:rsid w:val="008E10CD"/>
    <w:rsid w:val="008E1143"/>
    <w:rsid w:val="008E1170"/>
    <w:rsid w:val="008E1196"/>
    <w:rsid w:val="008E11DF"/>
    <w:rsid w:val="008E137E"/>
    <w:rsid w:val="008E1397"/>
    <w:rsid w:val="008E145E"/>
    <w:rsid w:val="008E14DA"/>
    <w:rsid w:val="008E166E"/>
    <w:rsid w:val="008E1715"/>
    <w:rsid w:val="008E1755"/>
    <w:rsid w:val="008E1777"/>
    <w:rsid w:val="008E17B4"/>
    <w:rsid w:val="008E1870"/>
    <w:rsid w:val="008E189B"/>
    <w:rsid w:val="008E18A3"/>
    <w:rsid w:val="008E1903"/>
    <w:rsid w:val="008E1937"/>
    <w:rsid w:val="008E1953"/>
    <w:rsid w:val="008E19E5"/>
    <w:rsid w:val="008E1ACF"/>
    <w:rsid w:val="008E1BA4"/>
    <w:rsid w:val="008E1D8E"/>
    <w:rsid w:val="008E1E03"/>
    <w:rsid w:val="008E1E67"/>
    <w:rsid w:val="008E2049"/>
    <w:rsid w:val="008E2084"/>
    <w:rsid w:val="008E2194"/>
    <w:rsid w:val="008E22DB"/>
    <w:rsid w:val="008E230E"/>
    <w:rsid w:val="008E2620"/>
    <w:rsid w:val="008E269E"/>
    <w:rsid w:val="008E26DD"/>
    <w:rsid w:val="008E274D"/>
    <w:rsid w:val="008E2779"/>
    <w:rsid w:val="008E2820"/>
    <w:rsid w:val="008E28BF"/>
    <w:rsid w:val="008E29C8"/>
    <w:rsid w:val="008E2A29"/>
    <w:rsid w:val="008E2A35"/>
    <w:rsid w:val="008E2C7B"/>
    <w:rsid w:val="008E2DFC"/>
    <w:rsid w:val="008E2E0D"/>
    <w:rsid w:val="008E2EC9"/>
    <w:rsid w:val="008E2ED1"/>
    <w:rsid w:val="008E2F03"/>
    <w:rsid w:val="008E2F5B"/>
    <w:rsid w:val="008E2FCB"/>
    <w:rsid w:val="008E2FE9"/>
    <w:rsid w:val="008E2FF6"/>
    <w:rsid w:val="008E303D"/>
    <w:rsid w:val="008E3049"/>
    <w:rsid w:val="008E3074"/>
    <w:rsid w:val="008E3106"/>
    <w:rsid w:val="008E320F"/>
    <w:rsid w:val="008E32B1"/>
    <w:rsid w:val="008E33F0"/>
    <w:rsid w:val="008E33FC"/>
    <w:rsid w:val="008E346F"/>
    <w:rsid w:val="008E34D8"/>
    <w:rsid w:val="008E3604"/>
    <w:rsid w:val="008E368E"/>
    <w:rsid w:val="008E3793"/>
    <w:rsid w:val="008E3804"/>
    <w:rsid w:val="008E3907"/>
    <w:rsid w:val="008E391B"/>
    <w:rsid w:val="008E3AFE"/>
    <w:rsid w:val="008E3BCC"/>
    <w:rsid w:val="008E3BF9"/>
    <w:rsid w:val="008E3C2A"/>
    <w:rsid w:val="008E3D88"/>
    <w:rsid w:val="008E3D8A"/>
    <w:rsid w:val="008E3E1F"/>
    <w:rsid w:val="008E3EF5"/>
    <w:rsid w:val="008E3EFB"/>
    <w:rsid w:val="008E4157"/>
    <w:rsid w:val="008E416C"/>
    <w:rsid w:val="008E41A3"/>
    <w:rsid w:val="008E437A"/>
    <w:rsid w:val="008E440A"/>
    <w:rsid w:val="008E4438"/>
    <w:rsid w:val="008E4496"/>
    <w:rsid w:val="008E44CF"/>
    <w:rsid w:val="008E4524"/>
    <w:rsid w:val="008E4749"/>
    <w:rsid w:val="008E4845"/>
    <w:rsid w:val="008E488A"/>
    <w:rsid w:val="008E490E"/>
    <w:rsid w:val="008E4A4D"/>
    <w:rsid w:val="008E4A6A"/>
    <w:rsid w:val="008E4B09"/>
    <w:rsid w:val="008E4B4D"/>
    <w:rsid w:val="008E4B8B"/>
    <w:rsid w:val="008E4C07"/>
    <w:rsid w:val="008E4D6F"/>
    <w:rsid w:val="008E4DB9"/>
    <w:rsid w:val="008E4F04"/>
    <w:rsid w:val="008E4F43"/>
    <w:rsid w:val="008E509A"/>
    <w:rsid w:val="008E5191"/>
    <w:rsid w:val="008E51A8"/>
    <w:rsid w:val="008E520B"/>
    <w:rsid w:val="008E5221"/>
    <w:rsid w:val="008E5279"/>
    <w:rsid w:val="008E52D9"/>
    <w:rsid w:val="008E5481"/>
    <w:rsid w:val="008E54EE"/>
    <w:rsid w:val="008E5506"/>
    <w:rsid w:val="008E5541"/>
    <w:rsid w:val="008E5588"/>
    <w:rsid w:val="008E5595"/>
    <w:rsid w:val="008E565D"/>
    <w:rsid w:val="008E5668"/>
    <w:rsid w:val="008E5902"/>
    <w:rsid w:val="008E5BA8"/>
    <w:rsid w:val="008E5C50"/>
    <w:rsid w:val="008E5E5F"/>
    <w:rsid w:val="008E5E81"/>
    <w:rsid w:val="008E5EC8"/>
    <w:rsid w:val="008E6057"/>
    <w:rsid w:val="008E6067"/>
    <w:rsid w:val="008E60BD"/>
    <w:rsid w:val="008E618F"/>
    <w:rsid w:val="008E619B"/>
    <w:rsid w:val="008E634A"/>
    <w:rsid w:val="008E63AA"/>
    <w:rsid w:val="008E63C3"/>
    <w:rsid w:val="008E6446"/>
    <w:rsid w:val="008E64A4"/>
    <w:rsid w:val="008E657F"/>
    <w:rsid w:val="008E66D1"/>
    <w:rsid w:val="008E6789"/>
    <w:rsid w:val="008E67A2"/>
    <w:rsid w:val="008E685F"/>
    <w:rsid w:val="008E6C44"/>
    <w:rsid w:val="008E6CCA"/>
    <w:rsid w:val="008E6CF1"/>
    <w:rsid w:val="008E6DCB"/>
    <w:rsid w:val="008E6E4A"/>
    <w:rsid w:val="008E7004"/>
    <w:rsid w:val="008E718F"/>
    <w:rsid w:val="008E725A"/>
    <w:rsid w:val="008E72B1"/>
    <w:rsid w:val="008E73FD"/>
    <w:rsid w:val="008E7482"/>
    <w:rsid w:val="008E74BF"/>
    <w:rsid w:val="008E74DA"/>
    <w:rsid w:val="008E7564"/>
    <w:rsid w:val="008E761F"/>
    <w:rsid w:val="008E7930"/>
    <w:rsid w:val="008E793F"/>
    <w:rsid w:val="008E794B"/>
    <w:rsid w:val="008E79CC"/>
    <w:rsid w:val="008E79FF"/>
    <w:rsid w:val="008E7A58"/>
    <w:rsid w:val="008E7A71"/>
    <w:rsid w:val="008E7ABC"/>
    <w:rsid w:val="008E7B2C"/>
    <w:rsid w:val="008E7C20"/>
    <w:rsid w:val="008E7CA5"/>
    <w:rsid w:val="008E7CAE"/>
    <w:rsid w:val="008E7CD7"/>
    <w:rsid w:val="008E7F05"/>
    <w:rsid w:val="008E7FD3"/>
    <w:rsid w:val="008E7FE0"/>
    <w:rsid w:val="008F0220"/>
    <w:rsid w:val="008F0273"/>
    <w:rsid w:val="008F02AC"/>
    <w:rsid w:val="008F02C0"/>
    <w:rsid w:val="008F030E"/>
    <w:rsid w:val="008F0311"/>
    <w:rsid w:val="008F03EE"/>
    <w:rsid w:val="008F0512"/>
    <w:rsid w:val="008F0519"/>
    <w:rsid w:val="008F06F5"/>
    <w:rsid w:val="008F0746"/>
    <w:rsid w:val="008F0799"/>
    <w:rsid w:val="008F0A87"/>
    <w:rsid w:val="008F0B87"/>
    <w:rsid w:val="008F0BA0"/>
    <w:rsid w:val="008F0CA0"/>
    <w:rsid w:val="008F0D98"/>
    <w:rsid w:val="008F1067"/>
    <w:rsid w:val="008F10B2"/>
    <w:rsid w:val="008F1126"/>
    <w:rsid w:val="008F1192"/>
    <w:rsid w:val="008F11A9"/>
    <w:rsid w:val="008F11CC"/>
    <w:rsid w:val="008F121E"/>
    <w:rsid w:val="008F15FF"/>
    <w:rsid w:val="008F16EA"/>
    <w:rsid w:val="008F1720"/>
    <w:rsid w:val="008F1751"/>
    <w:rsid w:val="008F18C3"/>
    <w:rsid w:val="008F1A5D"/>
    <w:rsid w:val="008F1B11"/>
    <w:rsid w:val="008F1BFA"/>
    <w:rsid w:val="008F1BFE"/>
    <w:rsid w:val="008F1C9A"/>
    <w:rsid w:val="008F1D32"/>
    <w:rsid w:val="008F1D4E"/>
    <w:rsid w:val="008F1D9A"/>
    <w:rsid w:val="008F1DDB"/>
    <w:rsid w:val="008F1EF8"/>
    <w:rsid w:val="008F1F67"/>
    <w:rsid w:val="008F1F73"/>
    <w:rsid w:val="008F1FF6"/>
    <w:rsid w:val="008F1FFA"/>
    <w:rsid w:val="008F2068"/>
    <w:rsid w:val="008F20B8"/>
    <w:rsid w:val="008F21B4"/>
    <w:rsid w:val="008F2299"/>
    <w:rsid w:val="008F2371"/>
    <w:rsid w:val="008F249D"/>
    <w:rsid w:val="008F24CD"/>
    <w:rsid w:val="008F253A"/>
    <w:rsid w:val="008F2570"/>
    <w:rsid w:val="008F27C8"/>
    <w:rsid w:val="008F27F3"/>
    <w:rsid w:val="008F2814"/>
    <w:rsid w:val="008F2958"/>
    <w:rsid w:val="008F29E1"/>
    <w:rsid w:val="008F2A0E"/>
    <w:rsid w:val="008F2A3F"/>
    <w:rsid w:val="008F2A66"/>
    <w:rsid w:val="008F2A9A"/>
    <w:rsid w:val="008F2AD5"/>
    <w:rsid w:val="008F2B42"/>
    <w:rsid w:val="008F2B9E"/>
    <w:rsid w:val="008F2BB8"/>
    <w:rsid w:val="008F2CA3"/>
    <w:rsid w:val="008F2D86"/>
    <w:rsid w:val="008F2E2D"/>
    <w:rsid w:val="008F2E60"/>
    <w:rsid w:val="008F316E"/>
    <w:rsid w:val="008F33C8"/>
    <w:rsid w:val="008F3578"/>
    <w:rsid w:val="008F359D"/>
    <w:rsid w:val="008F368C"/>
    <w:rsid w:val="008F3709"/>
    <w:rsid w:val="008F395B"/>
    <w:rsid w:val="008F39DA"/>
    <w:rsid w:val="008F3B7E"/>
    <w:rsid w:val="008F3DDB"/>
    <w:rsid w:val="008F3E74"/>
    <w:rsid w:val="008F3ED2"/>
    <w:rsid w:val="008F3F97"/>
    <w:rsid w:val="008F403E"/>
    <w:rsid w:val="008F4069"/>
    <w:rsid w:val="008F418F"/>
    <w:rsid w:val="008F41C3"/>
    <w:rsid w:val="008F41F5"/>
    <w:rsid w:val="008F4228"/>
    <w:rsid w:val="008F429A"/>
    <w:rsid w:val="008F42B5"/>
    <w:rsid w:val="008F4303"/>
    <w:rsid w:val="008F4349"/>
    <w:rsid w:val="008F43AF"/>
    <w:rsid w:val="008F4495"/>
    <w:rsid w:val="008F44DD"/>
    <w:rsid w:val="008F4697"/>
    <w:rsid w:val="008F47BA"/>
    <w:rsid w:val="008F48B2"/>
    <w:rsid w:val="008F48EE"/>
    <w:rsid w:val="008F4AC8"/>
    <w:rsid w:val="008F4ADD"/>
    <w:rsid w:val="008F4B13"/>
    <w:rsid w:val="008F4B16"/>
    <w:rsid w:val="008F4C3E"/>
    <w:rsid w:val="008F4CB1"/>
    <w:rsid w:val="008F4CE9"/>
    <w:rsid w:val="008F4DD5"/>
    <w:rsid w:val="008F4EA4"/>
    <w:rsid w:val="008F4F08"/>
    <w:rsid w:val="008F50B4"/>
    <w:rsid w:val="008F50DF"/>
    <w:rsid w:val="008F50EC"/>
    <w:rsid w:val="008F50F3"/>
    <w:rsid w:val="008F5236"/>
    <w:rsid w:val="008F531C"/>
    <w:rsid w:val="008F53C2"/>
    <w:rsid w:val="008F551B"/>
    <w:rsid w:val="008F5552"/>
    <w:rsid w:val="008F562F"/>
    <w:rsid w:val="008F566E"/>
    <w:rsid w:val="008F56A3"/>
    <w:rsid w:val="008F56AC"/>
    <w:rsid w:val="008F575E"/>
    <w:rsid w:val="008F57D5"/>
    <w:rsid w:val="008F5922"/>
    <w:rsid w:val="008F593E"/>
    <w:rsid w:val="008F59A3"/>
    <w:rsid w:val="008F5A86"/>
    <w:rsid w:val="008F5C4D"/>
    <w:rsid w:val="008F5C53"/>
    <w:rsid w:val="008F5CE5"/>
    <w:rsid w:val="008F5DDD"/>
    <w:rsid w:val="008F5EF2"/>
    <w:rsid w:val="008F5FF0"/>
    <w:rsid w:val="008F6114"/>
    <w:rsid w:val="008F61A9"/>
    <w:rsid w:val="008F62FE"/>
    <w:rsid w:val="008F6334"/>
    <w:rsid w:val="008F63EA"/>
    <w:rsid w:val="008F64FE"/>
    <w:rsid w:val="008F6585"/>
    <w:rsid w:val="008F666A"/>
    <w:rsid w:val="008F677A"/>
    <w:rsid w:val="008F6818"/>
    <w:rsid w:val="008F68FF"/>
    <w:rsid w:val="008F6962"/>
    <w:rsid w:val="008F6B0F"/>
    <w:rsid w:val="008F6BAF"/>
    <w:rsid w:val="008F6D25"/>
    <w:rsid w:val="008F6D35"/>
    <w:rsid w:val="008F6E9D"/>
    <w:rsid w:val="008F6EC5"/>
    <w:rsid w:val="008F7041"/>
    <w:rsid w:val="008F7141"/>
    <w:rsid w:val="008F715B"/>
    <w:rsid w:val="008F727B"/>
    <w:rsid w:val="008F73A7"/>
    <w:rsid w:val="008F73EE"/>
    <w:rsid w:val="008F7437"/>
    <w:rsid w:val="008F7668"/>
    <w:rsid w:val="008F76C8"/>
    <w:rsid w:val="008F76E9"/>
    <w:rsid w:val="008F7720"/>
    <w:rsid w:val="008F7811"/>
    <w:rsid w:val="008F78D2"/>
    <w:rsid w:val="008F795D"/>
    <w:rsid w:val="008F7CA5"/>
    <w:rsid w:val="008F7D1A"/>
    <w:rsid w:val="008F7E16"/>
    <w:rsid w:val="008F7E7F"/>
    <w:rsid w:val="009000F6"/>
    <w:rsid w:val="009000FA"/>
    <w:rsid w:val="009001FF"/>
    <w:rsid w:val="0090025F"/>
    <w:rsid w:val="00900339"/>
    <w:rsid w:val="00900478"/>
    <w:rsid w:val="0090049D"/>
    <w:rsid w:val="0090050E"/>
    <w:rsid w:val="009005E2"/>
    <w:rsid w:val="009005E5"/>
    <w:rsid w:val="00900644"/>
    <w:rsid w:val="0090080C"/>
    <w:rsid w:val="00900868"/>
    <w:rsid w:val="0090089F"/>
    <w:rsid w:val="00900A9D"/>
    <w:rsid w:val="00900D53"/>
    <w:rsid w:val="00900DFA"/>
    <w:rsid w:val="00900EAC"/>
    <w:rsid w:val="00900F4B"/>
    <w:rsid w:val="00900FAD"/>
    <w:rsid w:val="00901087"/>
    <w:rsid w:val="009011FB"/>
    <w:rsid w:val="0090128B"/>
    <w:rsid w:val="009012FB"/>
    <w:rsid w:val="00901517"/>
    <w:rsid w:val="00901587"/>
    <w:rsid w:val="009016F9"/>
    <w:rsid w:val="0090170C"/>
    <w:rsid w:val="0090174F"/>
    <w:rsid w:val="00901788"/>
    <w:rsid w:val="00901804"/>
    <w:rsid w:val="00901904"/>
    <w:rsid w:val="00901A42"/>
    <w:rsid w:val="00901C14"/>
    <w:rsid w:val="00901DE2"/>
    <w:rsid w:val="00901E2B"/>
    <w:rsid w:val="00901E30"/>
    <w:rsid w:val="00901E32"/>
    <w:rsid w:val="00901E82"/>
    <w:rsid w:val="00901F0A"/>
    <w:rsid w:val="00902034"/>
    <w:rsid w:val="0090221A"/>
    <w:rsid w:val="00902353"/>
    <w:rsid w:val="0090245E"/>
    <w:rsid w:val="00902477"/>
    <w:rsid w:val="009025A4"/>
    <w:rsid w:val="009025D6"/>
    <w:rsid w:val="009025E4"/>
    <w:rsid w:val="00902654"/>
    <w:rsid w:val="009026F4"/>
    <w:rsid w:val="00902780"/>
    <w:rsid w:val="0090279A"/>
    <w:rsid w:val="00902810"/>
    <w:rsid w:val="0090287A"/>
    <w:rsid w:val="009028BD"/>
    <w:rsid w:val="009028E0"/>
    <w:rsid w:val="009029B0"/>
    <w:rsid w:val="00902AAF"/>
    <w:rsid w:val="00902D63"/>
    <w:rsid w:val="00902D80"/>
    <w:rsid w:val="00902DC9"/>
    <w:rsid w:val="00902EC6"/>
    <w:rsid w:val="00902F38"/>
    <w:rsid w:val="00903294"/>
    <w:rsid w:val="009033A4"/>
    <w:rsid w:val="009033B7"/>
    <w:rsid w:val="0090353F"/>
    <w:rsid w:val="009035B1"/>
    <w:rsid w:val="00903648"/>
    <w:rsid w:val="00903660"/>
    <w:rsid w:val="00903673"/>
    <w:rsid w:val="0090367E"/>
    <w:rsid w:val="009036B5"/>
    <w:rsid w:val="009036DA"/>
    <w:rsid w:val="00903768"/>
    <w:rsid w:val="00903772"/>
    <w:rsid w:val="0090380F"/>
    <w:rsid w:val="0090388A"/>
    <w:rsid w:val="00903900"/>
    <w:rsid w:val="0090398C"/>
    <w:rsid w:val="009039B8"/>
    <w:rsid w:val="00903A21"/>
    <w:rsid w:val="00903B24"/>
    <w:rsid w:val="00903B34"/>
    <w:rsid w:val="00903BA4"/>
    <w:rsid w:val="00903CEE"/>
    <w:rsid w:val="00903D06"/>
    <w:rsid w:val="00903EA7"/>
    <w:rsid w:val="00903EEE"/>
    <w:rsid w:val="00903FFA"/>
    <w:rsid w:val="009040EB"/>
    <w:rsid w:val="00904106"/>
    <w:rsid w:val="00904132"/>
    <w:rsid w:val="009041B4"/>
    <w:rsid w:val="00904287"/>
    <w:rsid w:val="009042CF"/>
    <w:rsid w:val="009043D1"/>
    <w:rsid w:val="009044F1"/>
    <w:rsid w:val="0090452B"/>
    <w:rsid w:val="00904562"/>
    <w:rsid w:val="0090472A"/>
    <w:rsid w:val="009047AA"/>
    <w:rsid w:val="00904829"/>
    <w:rsid w:val="0090486D"/>
    <w:rsid w:val="009049A3"/>
    <w:rsid w:val="00904AFD"/>
    <w:rsid w:val="00904B15"/>
    <w:rsid w:val="00904B4B"/>
    <w:rsid w:val="00904BAF"/>
    <w:rsid w:val="00904C1E"/>
    <w:rsid w:val="00904C4C"/>
    <w:rsid w:val="00904CF2"/>
    <w:rsid w:val="00904F32"/>
    <w:rsid w:val="00904F61"/>
    <w:rsid w:val="0090507E"/>
    <w:rsid w:val="00905126"/>
    <w:rsid w:val="0090519C"/>
    <w:rsid w:val="0090523F"/>
    <w:rsid w:val="00905248"/>
    <w:rsid w:val="0090545E"/>
    <w:rsid w:val="009058E3"/>
    <w:rsid w:val="00905A4D"/>
    <w:rsid w:val="00905B0A"/>
    <w:rsid w:val="00905BCF"/>
    <w:rsid w:val="00905C43"/>
    <w:rsid w:val="00905C52"/>
    <w:rsid w:val="00905C53"/>
    <w:rsid w:val="00905C6B"/>
    <w:rsid w:val="00905CE2"/>
    <w:rsid w:val="00905E97"/>
    <w:rsid w:val="009061BE"/>
    <w:rsid w:val="009061C5"/>
    <w:rsid w:val="009065AB"/>
    <w:rsid w:val="00906688"/>
    <w:rsid w:val="009067E1"/>
    <w:rsid w:val="0090681F"/>
    <w:rsid w:val="009068F6"/>
    <w:rsid w:val="00906985"/>
    <w:rsid w:val="00906AB0"/>
    <w:rsid w:val="00906D68"/>
    <w:rsid w:val="00906E2B"/>
    <w:rsid w:val="00906E7F"/>
    <w:rsid w:val="00906EBF"/>
    <w:rsid w:val="00906EDA"/>
    <w:rsid w:val="00906EE9"/>
    <w:rsid w:val="00906EEA"/>
    <w:rsid w:val="00906F18"/>
    <w:rsid w:val="00906F3B"/>
    <w:rsid w:val="00906FB0"/>
    <w:rsid w:val="00906FD1"/>
    <w:rsid w:val="009071FA"/>
    <w:rsid w:val="009072AB"/>
    <w:rsid w:val="009072ED"/>
    <w:rsid w:val="00907368"/>
    <w:rsid w:val="0090754E"/>
    <w:rsid w:val="009075C5"/>
    <w:rsid w:val="00907831"/>
    <w:rsid w:val="00907858"/>
    <w:rsid w:val="0090786F"/>
    <w:rsid w:val="00907887"/>
    <w:rsid w:val="009078B5"/>
    <w:rsid w:val="00907947"/>
    <w:rsid w:val="009079C7"/>
    <w:rsid w:val="00907B36"/>
    <w:rsid w:val="00907BCE"/>
    <w:rsid w:val="00907BF6"/>
    <w:rsid w:val="00907C76"/>
    <w:rsid w:val="00907D99"/>
    <w:rsid w:val="00907DFB"/>
    <w:rsid w:val="00907EC5"/>
    <w:rsid w:val="00910053"/>
    <w:rsid w:val="009101BD"/>
    <w:rsid w:val="009102A7"/>
    <w:rsid w:val="0091033E"/>
    <w:rsid w:val="00910374"/>
    <w:rsid w:val="00910456"/>
    <w:rsid w:val="00910475"/>
    <w:rsid w:val="00910616"/>
    <w:rsid w:val="00910623"/>
    <w:rsid w:val="0091062A"/>
    <w:rsid w:val="0091063A"/>
    <w:rsid w:val="0091063B"/>
    <w:rsid w:val="0091064B"/>
    <w:rsid w:val="00910689"/>
    <w:rsid w:val="00910719"/>
    <w:rsid w:val="00910766"/>
    <w:rsid w:val="009107EB"/>
    <w:rsid w:val="0091086D"/>
    <w:rsid w:val="00910B04"/>
    <w:rsid w:val="00910B9A"/>
    <w:rsid w:val="00910BBE"/>
    <w:rsid w:val="00910BE2"/>
    <w:rsid w:val="00910CA7"/>
    <w:rsid w:val="00910CF5"/>
    <w:rsid w:val="00910CF9"/>
    <w:rsid w:val="00910D61"/>
    <w:rsid w:val="00910E13"/>
    <w:rsid w:val="00910F07"/>
    <w:rsid w:val="00910F10"/>
    <w:rsid w:val="00910F2C"/>
    <w:rsid w:val="00910F38"/>
    <w:rsid w:val="00911202"/>
    <w:rsid w:val="00911241"/>
    <w:rsid w:val="009112BD"/>
    <w:rsid w:val="00911329"/>
    <w:rsid w:val="0091139E"/>
    <w:rsid w:val="00911405"/>
    <w:rsid w:val="00911415"/>
    <w:rsid w:val="009114AD"/>
    <w:rsid w:val="0091151C"/>
    <w:rsid w:val="00911614"/>
    <w:rsid w:val="0091164E"/>
    <w:rsid w:val="00911681"/>
    <w:rsid w:val="0091170D"/>
    <w:rsid w:val="00911860"/>
    <w:rsid w:val="00911870"/>
    <w:rsid w:val="00911893"/>
    <w:rsid w:val="009118BC"/>
    <w:rsid w:val="009118F4"/>
    <w:rsid w:val="00911944"/>
    <w:rsid w:val="00911C5B"/>
    <w:rsid w:val="00911C5D"/>
    <w:rsid w:val="00911C61"/>
    <w:rsid w:val="00911E29"/>
    <w:rsid w:val="00911EDC"/>
    <w:rsid w:val="00911F9D"/>
    <w:rsid w:val="00911FEB"/>
    <w:rsid w:val="00912078"/>
    <w:rsid w:val="00912127"/>
    <w:rsid w:val="00912261"/>
    <w:rsid w:val="009123FD"/>
    <w:rsid w:val="009124B7"/>
    <w:rsid w:val="00912515"/>
    <w:rsid w:val="00912542"/>
    <w:rsid w:val="00912575"/>
    <w:rsid w:val="009125E0"/>
    <w:rsid w:val="009125FB"/>
    <w:rsid w:val="00912666"/>
    <w:rsid w:val="00912669"/>
    <w:rsid w:val="009126C7"/>
    <w:rsid w:val="00912857"/>
    <w:rsid w:val="009128A6"/>
    <w:rsid w:val="0091295D"/>
    <w:rsid w:val="0091297A"/>
    <w:rsid w:val="00912BFB"/>
    <w:rsid w:val="00912C79"/>
    <w:rsid w:val="00912C98"/>
    <w:rsid w:val="00912CC5"/>
    <w:rsid w:val="00912D43"/>
    <w:rsid w:val="00912DCF"/>
    <w:rsid w:val="00912DD7"/>
    <w:rsid w:val="00912E38"/>
    <w:rsid w:val="00912E65"/>
    <w:rsid w:val="00912F70"/>
    <w:rsid w:val="00912F79"/>
    <w:rsid w:val="00913164"/>
    <w:rsid w:val="00913369"/>
    <w:rsid w:val="00913406"/>
    <w:rsid w:val="00913449"/>
    <w:rsid w:val="00913546"/>
    <w:rsid w:val="0091354F"/>
    <w:rsid w:val="009136E0"/>
    <w:rsid w:val="00913819"/>
    <w:rsid w:val="00913846"/>
    <w:rsid w:val="009138E0"/>
    <w:rsid w:val="009138E7"/>
    <w:rsid w:val="00913A75"/>
    <w:rsid w:val="00913A9C"/>
    <w:rsid w:val="00913C32"/>
    <w:rsid w:val="00913D62"/>
    <w:rsid w:val="00913D7D"/>
    <w:rsid w:val="00913E2F"/>
    <w:rsid w:val="00913F6F"/>
    <w:rsid w:val="0091422C"/>
    <w:rsid w:val="00914344"/>
    <w:rsid w:val="00914392"/>
    <w:rsid w:val="009143A1"/>
    <w:rsid w:val="009143F6"/>
    <w:rsid w:val="00914482"/>
    <w:rsid w:val="009145A1"/>
    <w:rsid w:val="009145C6"/>
    <w:rsid w:val="0091460D"/>
    <w:rsid w:val="00914634"/>
    <w:rsid w:val="00914638"/>
    <w:rsid w:val="009146CD"/>
    <w:rsid w:val="009147A6"/>
    <w:rsid w:val="009147C2"/>
    <w:rsid w:val="00914830"/>
    <w:rsid w:val="00914887"/>
    <w:rsid w:val="009149DC"/>
    <w:rsid w:val="00914AD6"/>
    <w:rsid w:val="00914B00"/>
    <w:rsid w:val="00914B57"/>
    <w:rsid w:val="00914BEB"/>
    <w:rsid w:val="00914CDF"/>
    <w:rsid w:val="00914D4E"/>
    <w:rsid w:val="00914DE3"/>
    <w:rsid w:val="00914DF2"/>
    <w:rsid w:val="00914E5E"/>
    <w:rsid w:val="00914EC7"/>
    <w:rsid w:val="00914F44"/>
    <w:rsid w:val="00915038"/>
    <w:rsid w:val="009150FB"/>
    <w:rsid w:val="009151AD"/>
    <w:rsid w:val="009152D4"/>
    <w:rsid w:val="00915346"/>
    <w:rsid w:val="00915469"/>
    <w:rsid w:val="0091551B"/>
    <w:rsid w:val="0091556A"/>
    <w:rsid w:val="00915592"/>
    <w:rsid w:val="009155F3"/>
    <w:rsid w:val="00915624"/>
    <w:rsid w:val="009156A6"/>
    <w:rsid w:val="00915762"/>
    <w:rsid w:val="0091581E"/>
    <w:rsid w:val="00915835"/>
    <w:rsid w:val="009158D2"/>
    <w:rsid w:val="009159A2"/>
    <w:rsid w:val="00915A9A"/>
    <w:rsid w:val="00915AC3"/>
    <w:rsid w:val="00915C02"/>
    <w:rsid w:val="00915D03"/>
    <w:rsid w:val="00915D6D"/>
    <w:rsid w:val="00915E17"/>
    <w:rsid w:val="00915FF6"/>
    <w:rsid w:val="00916132"/>
    <w:rsid w:val="00916142"/>
    <w:rsid w:val="0091620D"/>
    <w:rsid w:val="0091622D"/>
    <w:rsid w:val="009163C3"/>
    <w:rsid w:val="00916441"/>
    <w:rsid w:val="00916442"/>
    <w:rsid w:val="00916470"/>
    <w:rsid w:val="009167E9"/>
    <w:rsid w:val="0091681B"/>
    <w:rsid w:val="009168C0"/>
    <w:rsid w:val="00916948"/>
    <w:rsid w:val="00916975"/>
    <w:rsid w:val="009169CB"/>
    <w:rsid w:val="00916AD6"/>
    <w:rsid w:val="00916B66"/>
    <w:rsid w:val="00916B8B"/>
    <w:rsid w:val="00916D46"/>
    <w:rsid w:val="00916D79"/>
    <w:rsid w:val="00916DCD"/>
    <w:rsid w:val="00916F13"/>
    <w:rsid w:val="0091703D"/>
    <w:rsid w:val="009171B2"/>
    <w:rsid w:val="00917337"/>
    <w:rsid w:val="00917351"/>
    <w:rsid w:val="009173B3"/>
    <w:rsid w:val="009176AC"/>
    <w:rsid w:val="00917721"/>
    <w:rsid w:val="009177F3"/>
    <w:rsid w:val="0091788B"/>
    <w:rsid w:val="00917894"/>
    <w:rsid w:val="009178BE"/>
    <w:rsid w:val="00917A57"/>
    <w:rsid w:val="00917B34"/>
    <w:rsid w:val="00917B60"/>
    <w:rsid w:val="00917BB5"/>
    <w:rsid w:val="00917BC8"/>
    <w:rsid w:val="00917BD3"/>
    <w:rsid w:val="00917C83"/>
    <w:rsid w:val="00917D6B"/>
    <w:rsid w:val="00917E3A"/>
    <w:rsid w:val="00917E45"/>
    <w:rsid w:val="00917E78"/>
    <w:rsid w:val="00917EB4"/>
    <w:rsid w:val="00917F1F"/>
    <w:rsid w:val="00917F27"/>
    <w:rsid w:val="00917F81"/>
    <w:rsid w:val="00917F98"/>
    <w:rsid w:val="00917FFB"/>
    <w:rsid w:val="00920092"/>
    <w:rsid w:val="009200A9"/>
    <w:rsid w:val="009200C2"/>
    <w:rsid w:val="009201F0"/>
    <w:rsid w:val="0092038A"/>
    <w:rsid w:val="00920429"/>
    <w:rsid w:val="00920528"/>
    <w:rsid w:val="0092067A"/>
    <w:rsid w:val="00920863"/>
    <w:rsid w:val="0092089B"/>
    <w:rsid w:val="00920916"/>
    <w:rsid w:val="0092097C"/>
    <w:rsid w:val="009209AC"/>
    <w:rsid w:val="00920A62"/>
    <w:rsid w:val="00920B6D"/>
    <w:rsid w:val="00920C43"/>
    <w:rsid w:val="00920CD1"/>
    <w:rsid w:val="00920CD8"/>
    <w:rsid w:val="00920CFE"/>
    <w:rsid w:val="00920D94"/>
    <w:rsid w:val="00920DF4"/>
    <w:rsid w:val="00920E04"/>
    <w:rsid w:val="00920EC9"/>
    <w:rsid w:val="00920FF8"/>
    <w:rsid w:val="00920FFC"/>
    <w:rsid w:val="0092102E"/>
    <w:rsid w:val="00921252"/>
    <w:rsid w:val="0092144F"/>
    <w:rsid w:val="0092146F"/>
    <w:rsid w:val="00921617"/>
    <w:rsid w:val="00921772"/>
    <w:rsid w:val="00921919"/>
    <w:rsid w:val="00921941"/>
    <w:rsid w:val="00921AE0"/>
    <w:rsid w:val="00921C19"/>
    <w:rsid w:val="00921C66"/>
    <w:rsid w:val="00921E09"/>
    <w:rsid w:val="00921E14"/>
    <w:rsid w:val="00921E62"/>
    <w:rsid w:val="00921EB7"/>
    <w:rsid w:val="009221B2"/>
    <w:rsid w:val="0092245D"/>
    <w:rsid w:val="0092253B"/>
    <w:rsid w:val="009225F7"/>
    <w:rsid w:val="00922644"/>
    <w:rsid w:val="00922669"/>
    <w:rsid w:val="0092279E"/>
    <w:rsid w:val="00922A99"/>
    <w:rsid w:val="00922BA4"/>
    <w:rsid w:val="00922CDA"/>
    <w:rsid w:val="00922E00"/>
    <w:rsid w:val="00922E73"/>
    <w:rsid w:val="00922F18"/>
    <w:rsid w:val="00922FA0"/>
    <w:rsid w:val="00922FE7"/>
    <w:rsid w:val="0092300D"/>
    <w:rsid w:val="0092301D"/>
    <w:rsid w:val="009230B5"/>
    <w:rsid w:val="0092317A"/>
    <w:rsid w:val="0092318F"/>
    <w:rsid w:val="009231A8"/>
    <w:rsid w:val="00923242"/>
    <w:rsid w:val="00923299"/>
    <w:rsid w:val="0092339E"/>
    <w:rsid w:val="0092341E"/>
    <w:rsid w:val="00923447"/>
    <w:rsid w:val="00923491"/>
    <w:rsid w:val="0092351F"/>
    <w:rsid w:val="009235E0"/>
    <w:rsid w:val="0092365B"/>
    <w:rsid w:val="009236A3"/>
    <w:rsid w:val="009236CC"/>
    <w:rsid w:val="009236D6"/>
    <w:rsid w:val="009236D9"/>
    <w:rsid w:val="009237A0"/>
    <w:rsid w:val="009238D2"/>
    <w:rsid w:val="009238D6"/>
    <w:rsid w:val="009239BC"/>
    <w:rsid w:val="00923A3F"/>
    <w:rsid w:val="00923AA1"/>
    <w:rsid w:val="00923B5F"/>
    <w:rsid w:val="00923C20"/>
    <w:rsid w:val="00923C52"/>
    <w:rsid w:val="00923CC0"/>
    <w:rsid w:val="00923D26"/>
    <w:rsid w:val="00923EA4"/>
    <w:rsid w:val="00923EDE"/>
    <w:rsid w:val="0092402F"/>
    <w:rsid w:val="0092408E"/>
    <w:rsid w:val="009240F3"/>
    <w:rsid w:val="00924106"/>
    <w:rsid w:val="00924221"/>
    <w:rsid w:val="00924326"/>
    <w:rsid w:val="00924393"/>
    <w:rsid w:val="009245AF"/>
    <w:rsid w:val="00924780"/>
    <w:rsid w:val="009247DD"/>
    <w:rsid w:val="0092486D"/>
    <w:rsid w:val="00924870"/>
    <w:rsid w:val="00924887"/>
    <w:rsid w:val="00924891"/>
    <w:rsid w:val="00924903"/>
    <w:rsid w:val="00924982"/>
    <w:rsid w:val="00924A31"/>
    <w:rsid w:val="00924A9F"/>
    <w:rsid w:val="00924C8C"/>
    <w:rsid w:val="00924CE5"/>
    <w:rsid w:val="00924CFF"/>
    <w:rsid w:val="00924D45"/>
    <w:rsid w:val="00924E6A"/>
    <w:rsid w:val="00925002"/>
    <w:rsid w:val="00925076"/>
    <w:rsid w:val="009250CF"/>
    <w:rsid w:val="0092515D"/>
    <w:rsid w:val="0092518F"/>
    <w:rsid w:val="009251E4"/>
    <w:rsid w:val="009252EE"/>
    <w:rsid w:val="0092538F"/>
    <w:rsid w:val="0092540C"/>
    <w:rsid w:val="0092541C"/>
    <w:rsid w:val="0092543A"/>
    <w:rsid w:val="0092554A"/>
    <w:rsid w:val="00925598"/>
    <w:rsid w:val="009255A8"/>
    <w:rsid w:val="009255D5"/>
    <w:rsid w:val="0092569B"/>
    <w:rsid w:val="009256A1"/>
    <w:rsid w:val="00925727"/>
    <w:rsid w:val="0092575B"/>
    <w:rsid w:val="00925879"/>
    <w:rsid w:val="00925B5A"/>
    <w:rsid w:val="00925B7B"/>
    <w:rsid w:val="00925BD1"/>
    <w:rsid w:val="00925DE5"/>
    <w:rsid w:val="00925FCD"/>
    <w:rsid w:val="0092605C"/>
    <w:rsid w:val="0092619D"/>
    <w:rsid w:val="009262FF"/>
    <w:rsid w:val="00926302"/>
    <w:rsid w:val="00926345"/>
    <w:rsid w:val="00926499"/>
    <w:rsid w:val="00926522"/>
    <w:rsid w:val="0092656D"/>
    <w:rsid w:val="009265D1"/>
    <w:rsid w:val="009265E3"/>
    <w:rsid w:val="00926611"/>
    <w:rsid w:val="00926639"/>
    <w:rsid w:val="009267F3"/>
    <w:rsid w:val="009269BE"/>
    <w:rsid w:val="00926A31"/>
    <w:rsid w:val="00926A84"/>
    <w:rsid w:val="00926BE2"/>
    <w:rsid w:val="00926BEE"/>
    <w:rsid w:val="00926E1F"/>
    <w:rsid w:val="00926F21"/>
    <w:rsid w:val="00926F32"/>
    <w:rsid w:val="00926FD2"/>
    <w:rsid w:val="0092700B"/>
    <w:rsid w:val="00927026"/>
    <w:rsid w:val="00927032"/>
    <w:rsid w:val="0092704E"/>
    <w:rsid w:val="00927128"/>
    <w:rsid w:val="009271A4"/>
    <w:rsid w:val="00927253"/>
    <w:rsid w:val="0092728B"/>
    <w:rsid w:val="0092735F"/>
    <w:rsid w:val="009276DB"/>
    <w:rsid w:val="009277D6"/>
    <w:rsid w:val="00927855"/>
    <w:rsid w:val="009279CD"/>
    <w:rsid w:val="00927AF7"/>
    <w:rsid w:val="00927B6D"/>
    <w:rsid w:val="00927BBF"/>
    <w:rsid w:val="00927D9E"/>
    <w:rsid w:val="00927E0F"/>
    <w:rsid w:val="00927EDA"/>
    <w:rsid w:val="00927F22"/>
    <w:rsid w:val="0093003F"/>
    <w:rsid w:val="0093012E"/>
    <w:rsid w:val="00930328"/>
    <w:rsid w:val="00930399"/>
    <w:rsid w:val="0093040C"/>
    <w:rsid w:val="00930473"/>
    <w:rsid w:val="009305C8"/>
    <w:rsid w:val="00930684"/>
    <w:rsid w:val="00930809"/>
    <w:rsid w:val="0093092B"/>
    <w:rsid w:val="00930985"/>
    <w:rsid w:val="00930995"/>
    <w:rsid w:val="009309C6"/>
    <w:rsid w:val="00930AEE"/>
    <w:rsid w:val="00930C8A"/>
    <w:rsid w:val="00930CE5"/>
    <w:rsid w:val="00930CFE"/>
    <w:rsid w:val="00930DE0"/>
    <w:rsid w:val="00930E65"/>
    <w:rsid w:val="00930F96"/>
    <w:rsid w:val="00930FAF"/>
    <w:rsid w:val="00931089"/>
    <w:rsid w:val="009310EF"/>
    <w:rsid w:val="0093113B"/>
    <w:rsid w:val="009311A6"/>
    <w:rsid w:val="009311C7"/>
    <w:rsid w:val="009312D5"/>
    <w:rsid w:val="00931315"/>
    <w:rsid w:val="0093137E"/>
    <w:rsid w:val="009313B1"/>
    <w:rsid w:val="009313ED"/>
    <w:rsid w:val="009314BE"/>
    <w:rsid w:val="00931509"/>
    <w:rsid w:val="00931519"/>
    <w:rsid w:val="00931541"/>
    <w:rsid w:val="00931564"/>
    <w:rsid w:val="00931671"/>
    <w:rsid w:val="0093184F"/>
    <w:rsid w:val="009318BE"/>
    <w:rsid w:val="009319AE"/>
    <w:rsid w:val="009319D3"/>
    <w:rsid w:val="00931A04"/>
    <w:rsid w:val="00931B1F"/>
    <w:rsid w:val="00931B97"/>
    <w:rsid w:val="00931E25"/>
    <w:rsid w:val="00931E3D"/>
    <w:rsid w:val="00931E48"/>
    <w:rsid w:val="00931E58"/>
    <w:rsid w:val="00931ECA"/>
    <w:rsid w:val="00931EEB"/>
    <w:rsid w:val="00932063"/>
    <w:rsid w:val="00932215"/>
    <w:rsid w:val="00932488"/>
    <w:rsid w:val="00932717"/>
    <w:rsid w:val="00932845"/>
    <w:rsid w:val="00932937"/>
    <w:rsid w:val="00932A3B"/>
    <w:rsid w:val="00932B30"/>
    <w:rsid w:val="00932B51"/>
    <w:rsid w:val="00932B99"/>
    <w:rsid w:val="00932BE8"/>
    <w:rsid w:val="00932D15"/>
    <w:rsid w:val="00932D4F"/>
    <w:rsid w:val="00932E87"/>
    <w:rsid w:val="00933020"/>
    <w:rsid w:val="009330CF"/>
    <w:rsid w:val="00933121"/>
    <w:rsid w:val="009331EC"/>
    <w:rsid w:val="00933210"/>
    <w:rsid w:val="00933317"/>
    <w:rsid w:val="00933355"/>
    <w:rsid w:val="0093337D"/>
    <w:rsid w:val="0093340C"/>
    <w:rsid w:val="0093341E"/>
    <w:rsid w:val="0093347A"/>
    <w:rsid w:val="009334A9"/>
    <w:rsid w:val="009334F6"/>
    <w:rsid w:val="0093357C"/>
    <w:rsid w:val="00933588"/>
    <w:rsid w:val="009335BB"/>
    <w:rsid w:val="009335EE"/>
    <w:rsid w:val="00933749"/>
    <w:rsid w:val="00933860"/>
    <w:rsid w:val="00933949"/>
    <w:rsid w:val="00933A37"/>
    <w:rsid w:val="00933A58"/>
    <w:rsid w:val="00933A77"/>
    <w:rsid w:val="00933C48"/>
    <w:rsid w:val="00933D6C"/>
    <w:rsid w:val="00933E10"/>
    <w:rsid w:val="00933EE6"/>
    <w:rsid w:val="00933F11"/>
    <w:rsid w:val="00933F80"/>
    <w:rsid w:val="00933FCF"/>
    <w:rsid w:val="00933FEF"/>
    <w:rsid w:val="0093401E"/>
    <w:rsid w:val="00934050"/>
    <w:rsid w:val="0093461C"/>
    <w:rsid w:val="00934725"/>
    <w:rsid w:val="0093492F"/>
    <w:rsid w:val="00934961"/>
    <w:rsid w:val="00934ACC"/>
    <w:rsid w:val="00934B0A"/>
    <w:rsid w:val="00934CB8"/>
    <w:rsid w:val="00934F0B"/>
    <w:rsid w:val="00934F9E"/>
    <w:rsid w:val="00934FD1"/>
    <w:rsid w:val="00935137"/>
    <w:rsid w:val="0093522B"/>
    <w:rsid w:val="00935310"/>
    <w:rsid w:val="00935311"/>
    <w:rsid w:val="0093534A"/>
    <w:rsid w:val="009353C1"/>
    <w:rsid w:val="0093541D"/>
    <w:rsid w:val="00935463"/>
    <w:rsid w:val="0093548B"/>
    <w:rsid w:val="00935657"/>
    <w:rsid w:val="009356ED"/>
    <w:rsid w:val="0093574B"/>
    <w:rsid w:val="0093589B"/>
    <w:rsid w:val="009358A7"/>
    <w:rsid w:val="00935923"/>
    <w:rsid w:val="0093593A"/>
    <w:rsid w:val="00935952"/>
    <w:rsid w:val="0093597A"/>
    <w:rsid w:val="00935A35"/>
    <w:rsid w:val="00935AA4"/>
    <w:rsid w:val="00935CFD"/>
    <w:rsid w:val="00935DC9"/>
    <w:rsid w:val="00935E88"/>
    <w:rsid w:val="00935FBB"/>
    <w:rsid w:val="0093600B"/>
    <w:rsid w:val="009360DB"/>
    <w:rsid w:val="009360F0"/>
    <w:rsid w:val="0093610D"/>
    <w:rsid w:val="00936112"/>
    <w:rsid w:val="009363B8"/>
    <w:rsid w:val="00936429"/>
    <w:rsid w:val="00936446"/>
    <w:rsid w:val="0093648B"/>
    <w:rsid w:val="00936649"/>
    <w:rsid w:val="0093681D"/>
    <w:rsid w:val="0093682C"/>
    <w:rsid w:val="009368DC"/>
    <w:rsid w:val="00936A21"/>
    <w:rsid w:val="00936A30"/>
    <w:rsid w:val="00936ACB"/>
    <w:rsid w:val="00936B79"/>
    <w:rsid w:val="00936C88"/>
    <w:rsid w:val="00936DE2"/>
    <w:rsid w:val="00936DF9"/>
    <w:rsid w:val="00936E00"/>
    <w:rsid w:val="00936E0D"/>
    <w:rsid w:val="00936F0B"/>
    <w:rsid w:val="00936F96"/>
    <w:rsid w:val="00936FAE"/>
    <w:rsid w:val="00937033"/>
    <w:rsid w:val="0093703D"/>
    <w:rsid w:val="009370E6"/>
    <w:rsid w:val="00937165"/>
    <w:rsid w:val="00937247"/>
    <w:rsid w:val="00937262"/>
    <w:rsid w:val="009372D8"/>
    <w:rsid w:val="009373B5"/>
    <w:rsid w:val="0093741E"/>
    <w:rsid w:val="009374EE"/>
    <w:rsid w:val="0093758D"/>
    <w:rsid w:val="009375A3"/>
    <w:rsid w:val="00937630"/>
    <w:rsid w:val="009376DF"/>
    <w:rsid w:val="009377EB"/>
    <w:rsid w:val="00937838"/>
    <w:rsid w:val="00937B20"/>
    <w:rsid w:val="00937C04"/>
    <w:rsid w:val="00937C52"/>
    <w:rsid w:val="00937ED4"/>
    <w:rsid w:val="0094008D"/>
    <w:rsid w:val="00940159"/>
    <w:rsid w:val="00940165"/>
    <w:rsid w:val="00940250"/>
    <w:rsid w:val="0094027B"/>
    <w:rsid w:val="009402BD"/>
    <w:rsid w:val="009402F7"/>
    <w:rsid w:val="009403D4"/>
    <w:rsid w:val="009403E5"/>
    <w:rsid w:val="009403F8"/>
    <w:rsid w:val="009406DD"/>
    <w:rsid w:val="009406FC"/>
    <w:rsid w:val="00940713"/>
    <w:rsid w:val="00940776"/>
    <w:rsid w:val="009407A7"/>
    <w:rsid w:val="009408DF"/>
    <w:rsid w:val="00940937"/>
    <w:rsid w:val="00940945"/>
    <w:rsid w:val="00940A73"/>
    <w:rsid w:val="00940B48"/>
    <w:rsid w:val="00940BDA"/>
    <w:rsid w:val="00940C2D"/>
    <w:rsid w:val="00940D35"/>
    <w:rsid w:val="00940D43"/>
    <w:rsid w:val="00940F0C"/>
    <w:rsid w:val="00940F2E"/>
    <w:rsid w:val="00940FEB"/>
    <w:rsid w:val="00941005"/>
    <w:rsid w:val="0094116D"/>
    <w:rsid w:val="0094141F"/>
    <w:rsid w:val="00941449"/>
    <w:rsid w:val="009414C3"/>
    <w:rsid w:val="0094152F"/>
    <w:rsid w:val="00941608"/>
    <w:rsid w:val="0094162F"/>
    <w:rsid w:val="009417BE"/>
    <w:rsid w:val="00941AAC"/>
    <w:rsid w:val="00941C29"/>
    <w:rsid w:val="00941C78"/>
    <w:rsid w:val="00941D25"/>
    <w:rsid w:val="00941D33"/>
    <w:rsid w:val="00941DDE"/>
    <w:rsid w:val="00941E09"/>
    <w:rsid w:val="00941E57"/>
    <w:rsid w:val="00941EC2"/>
    <w:rsid w:val="00941F74"/>
    <w:rsid w:val="00941F87"/>
    <w:rsid w:val="00942006"/>
    <w:rsid w:val="009420A2"/>
    <w:rsid w:val="0094216C"/>
    <w:rsid w:val="009421CD"/>
    <w:rsid w:val="009421EF"/>
    <w:rsid w:val="0094221D"/>
    <w:rsid w:val="0094231B"/>
    <w:rsid w:val="00942423"/>
    <w:rsid w:val="009424CE"/>
    <w:rsid w:val="00942581"/>
    <w:rsid w:val="009425B1"/>
    <w:rsid w:val="0094270B"/>
    <w:rsid w:val="009427E5"/>
    <w:rsid w:val="00942989"/>
    <w:rsid w:val="009429A4"/>
    <w:rsid w:val="009429B3"/>
    <w:rsid w:val="009429BD"/>
    <w:rsid w:val="009429C0"/>
    <w:rsid w:val="009429E5"/>
    <w:rsid w:val="009429FB"/>
    <w:rsid w:val="00942EBC"/>
    <w:rsid w:val="00942EF1"/>
    <w:rsid w:val="0094312E"/>
    <w:rsid w:val="009431DD"/>
    <w:rsid w:val="009431F8"/>
    <w:rsid w:val="009432F7"/>
    <w:rsid w:val="00943335"/>
    <w:rsid w:val="0094342E"/>
    <w:rsid w:val="00943450"/>
    <w:rsid w:val="00943491"/>
    <w:rsid w:val="0094359A"/>
    <w:rsid w:val="009435AB"/>
    <w:rsid w:val="00943636"/>
    <w:rsid w:val="00943672"/>
    <w:rsid w:val="0094370E"/>
    <w:rsid w:val="00943889"/>
    <w:rsid w:val="00943B84"/>
    <w:rsid w:val="00943BBF"/>
    <w:rsid w:val="00943C94"/>
    <w:rsid w:val="00943DC5"/>
    <w:rsid w:val="00943EDC"/>
    <w:rsid w:val="00943FB9"/>
    <w:rsid w:val="00944034"/>
    <w:rsid w:val="009440D7"/>
    <w:rsid w:val="00944189"/>
    <w:rsid w:val="009441FA"/>
    <w:rsid w:val="00944279"/>
    <w:rsid w:val="009442CC"/>
    <w:rsid w:val="0094449D"/>
    <w:rsid w:val="0094459B"/>
    <w:rsid w:val="009445C5"/>
    <w:rsid w:val="0094464A"/>
    <w:rsid w:val="009446EF"/>
    <w:rsid w:val="00944930"/>
    <w:rsid w:val="00944A31"/>
    <w:rsid w:val="00944B11"/>
    <w:rsid w:val="00944B86"/>
    <w:rsid w:val="00944B8B"/>
    <w:rsid w:val="00944B95"/>
    <w:rsid w:val="00944CC2"/>
    <w:rsid w:val="00944CEA"/>
    <w:rsid w:val="00944F01"/>
    <w:rsid w:val="00945082"/>
    <w:rsid w:val="009450A2"/>
    <w:rsid w:val="009450D8"/>
    <w:rsid w:val="009451D9"/>
    <w:rsid w:val="0094522E"/>
    <w:rsid w:val="00945242"/>
    <w:rsid w:val="009452DF"/>
    <w:rsid w:val="0094537B"/>
    <w:rsid w:val="00945500"/>
    <w:rsid w:val="00945622"/>
    <w:rsid w:val="009457DC"/>
    <w:rsid w:val="00945816"/>
    <w:rsid w:val="00945940"/>
    <w:rsid w:val="009459E0"/>
    <w:rsid w:val="00945B21"/>
    <w:rsid w:val="00945C6F"/>
    <w:rsid w:val="00945D00"/>
    <w:rsid w:val="00945D11"/>
    <w:rsid w:val="00945D20"/>
    <w:rsid w:val="00945DC4"/>
    <w:rsid w:val="00946050"/>
    <w:rsid w:val="00946138"/>
    <w:rsid w:val="0094622B"/>
    <w:rsid w:val="009462D4"/>
    <w:rsid w:val="0094636A"/>
    <w:rsid w:val="00946533"/>
    <w:rsid w:val="009465A2"/>
    <w:rsid w:val="0094662A"/>
    <w:rsid w:val="009466A6"/>
    <w:rsid w:val="009466F0"/>
    <w:rsid w:val="009467C2"/>
    <w:rsid w:val="00946895"/>
    <w:rsid w:val="009468CD"/>
    <w:rsid w:val="009469AE"/>
    <w:rsid w:val="00946A7A"/>
    <w:rsid w:val="00946AE9"/>
    <w:rsid w:val="00946B0B"/>
    <w:rsid w:val="00946D5D"/>
    <w:rsid w:val="00946E37"/>
    <w:rsid w:val="00946EF6"/>
    <w:rsid w:val="00946FC4"/>
    <w:rsid w:val="009470AA"/>
    <w:rsid w:val="009470E0"/>
    <w:rsid w:val="00947156"/>
    <w:rsid w:val="009471B7"/>
    <w:rsid w:val="00947217"/>
    <w:rsid w:val="00947235"/>
    <w:rsid w:val="0094732D"/>
    <w:rsid w:val="0094747E"/>
    <w:rsid w:val="0094749F"/>
    <w:rsid w:val="00947550"/>
    <w:rsid w:val="00947594"/>
    <w:rsid w:val="009476C4"/>
    <w:rsid w:val="009476F4"/>
    <w:rsid w:val="00947880"/>
    <w:rsid w:val="00947915"/>
    <w:rsid w:val="00947AFA"/>
    <w:rsid w:val="00947B73"/>
    <w:rsid w:val="00947D7E"/>
    <w:rsid w:val="00947E3E"/>
    <w:rsid w:val="00947E6B"/>
    <w:rsid w:val="00947F58"/>
    <w:rsid w:val="009500E4"/>
    <w:rsid w:val="009501DA"/>
    <w:rsid w:val="0095024F"/>
    <w:rsid w:val="009503AB"/>
    <w:rsid w:val="0095046F"/>
    <w:rsid w:val="00950602"/>
    <w:rsid w:val="0095069C"/>
    <w:rsid w:val="009506E3"/>
    <w:rsid w:val="00950793"/>
    <w:rsid w:val="00950802"/>
    <w:rsid w:val="0095089B"/>
    <w:rsid w:val="009508D3"/>
    <w:rsid w:val="00950A8A"/>
    <w:rsid w:val="00950AC0"/>
    <w:rsid w:val="00950BA3"/>
    <w:rsid w:val="00950BDC"/>
    <w:rsid w:val="00950C62"/>
    <w:rsid w:val="00950E2D"/>
    <w:rsid w:val="009511BE"/>
    <w:rsid w:val="009511FA"/>
    <w:rsid w:val="0095120B"/>
    <w:rsid w:val="00951211"/>
    <w:rsid w:val="00951293"/>
    <w:rsid w:val="009513A6"/>
    <w:rsid w:val="0095143D"/>
    <w:rsid w:val="00951469"/>
    <w:rsid w:val="00951533"/>
    <w:rsid w:val="00951540"/>
    <w:rsid w:val="00951571"/>
    <w:rsid w:val="00951599"/>
    <w:rsid w:val="0095161A"/>
    <w:rsid w:val="0095174D"/>
    <w:rsid w:val="00951770"/>
    <w:rsid w:val="0095181D"/>
    <w:rsid w:val="00951832"/>
    <w:rsid w:val="00951886"/>
    <w:rsid w:val="009518AF"/>
    <w:rsid w:val="00951AC5"/>
    <w:rsid w:val="00951ADD"/>
    <w:rsid w:val="00951B0F"/>
    <w:rsid w:val="00951CB0"/>
    <w:rsid w:val="00951D3A"/>
    <w:rsid w:val="00951D52"/>
    <w:rsid w:val="00951EFF"/>
    <w:rsid w:val="00951F89"/>
    <w:rsid w:val="00951FAF"/>
    <w:rsid w:val="0095228A"/>
    <w:rsid w:val="009522CF"/>
    <w:rsid w:val="00952308"/>
    <w:rsid w:val="009523FC"/>
    <w:rsid w:val="00952518"/>
    <w:rsid w:val="009525DA"/>
    <w:rsid w:val="009526CC"/>
    <w:rsid w:val="009526F8"/>
    <w:rsid w:val="00952A61"/>
    <w:rsid w:val="00952B06"/>
    <w:rsid w:val="00952B1D"/>
    <w:rsid w:val="00952B88"/>
    <w:rsid w:val="00952D45"/>
    <w:rsid w:val="00952EE1"/>
    <w:rsid w:val="00952F59"/>
    <w:rsid w:val="00952FD0"/>
    <w:rsid w:val="00953127"/>
    <w:rsid w:val="0095323B"/>
    <w:rsid w:val="00953328"/>
    <w:rsid w:val="009535EE"/>
    <w:rsid w:val="00953709"/>
    <w:rsid w:val="009538D4"/>
    <w:rsid w:val="00953B33"/>
    <w:rsid w:val="00953B72"/>
    <w:rsid w:val="00953CB2"/>
    <w:rsid w:val="00953D01"/>
    <w:rsid w:val="00953E6D"/>
    <w:rsid w:val="0095407B"/>
    <w:rsid w:val="00954318"/>
    <w:rsid w:val="00954353"/>
    <w:rsid w:val="00954419"/>
    <w:rsid w:val="00954437"/>
    <w:rsid w:val="009544DA"/>
    <w:rsid w:val="009545C7"/>
    <w:rsid w:val="009545F6"/>
    <w:rsid w:val="0095460C"/>
    <w:rsid w:val="00954626"/>
    <w:rsid w:val="0095467A"/>
    <w:rsid w:val="009546C7"/>
    <w:rsid w:val="0095470D"/>
    <w:rsid w:val="0095471E"/>
    <w:rsid w:val="00954954"/>
    <w:rsid w:val="00954976"/>
    <w:rsid w:val="00954D0B"/>
    <w:rsid w:val="00954D84"/>
    <w:rsid w:val="00954DB1"/>
    <w:rsid w:val="00954DE7"/>
    <w:rsid w:val="00954F0C"/>
    <w:rsid w:val="00954F0F"/>
    <w:rsid w:val="00955035"/>
    <w:rsid w:val="00955052"/>
    <w:rsid w:val="00955093"/>
    <w:rsid w:val="0095517A"/>
    <w:rsid w:val="00955224"/>
    <w:rsid w:val="009553AB"/>
    <w:rsid w:val="009553D4"/>
    <w:rsid w:val="009553D8"/>
    <w:rsid w:val="009553E8"/>
    <w:rsid w:val="00955466"/>
    <w:rsid w:val="0095562C"/>
    <w:rsid w:val="009557C5"/>
    <w:rsid w:val="009557C8"/>
    <w:rsid w:val="009557EB"/>
    <w:rsid w:val="00955883"/>
    <w:rsid w:val="00955A89"/>
    <w:rsid w:val="00955C07"/>
    <w:rsid w:val="00955C2F"/>
    <w:rsid w:val="00955F5E"/>
    <w:rsid w:val="00955FE1"/>
    <w:rsid w:val="00956058"/>
    <w:rsid w:val="0095608F"/>
    <w:rsid w:val="009560C9"/>
    <w:rsid w:val="0095614D"/>
    <w:rsid w:val="009561C3"/>
    <w:rsid w:val="009562B4"/>
    <w:rsid w:val="009562B5"/>
    <w:rsid w:val="009562EB"/>
    <w:rsid w:val="0095631D"/>
    <w:rsid w:val="0095634F"/>
    <w:rsid w:val="0095649E"/>
    <w:rsid w:val="009565AC"/>
    <w:rsid w:val="00956742"/>
    <w:rsid w:val="00956773"/>
    <w:rsid w:val="009567A3"/>
    <w:rsid w:val="009567FB"/>
    <w:rsid w:val="009568FF"/>
    <w:rsid w:val="00956A37"/>
    <w:rsid w:val="00956B3C"/>
    <w:rsid w:val="00956B7D"/>
    <w:rsid w:val="00956BD4"/>
    <w:rsid w:val="00956BF3"/>
    <w:rsid w:val="00956C28"/>
    <w:rsid w:val="00956C3C"/>
    <w:rsid w:val="00956C6B"/>
    <w:rsid w:val="00956C81"/>
    <w:rsid w:val="00956DAB"/>
    <w:rsid w:val="00956DAE"/>
    <w:rsid w:val="00956E18"/>
    <w:rsid w:val="00957078"/>
    <w:rsid w:val="00957091"/>
    <w:rsid w:val="00957155"/>
    <w:rsid w:val="009571E1"/>
    <w:rsid w:val="009573E3"/>
    <w:rsid w:val="0095744B"/>
    <w:rsid w:val="0095744E"/>
    <w:rsid w:val="0095759E"/>
    <w:rsid w:val="009575A2"/>
    <w:rsid w:val="00957650"/>
    <w:rsid w:val="00957682"/>
    <w:rsid w:val="0095771B"/>
    <w:rsid w:val="0095777C"/>
    <w:rsid w:val="009578AD"/>
    <w:rsid w:val="009578FB"/>
    <w:rsid w:val="0095793D"/>
    <w:rsid w:val="00957990"/>
    <w:rsid w:val="009579E4"/>
    <w:rsid w:val="00957C45"/>
    <w:rsid w:val="00957E42"/>
    <w:rsid w:val="00957E9D"/>
    <w:rsid w:val="00957EC0"/>
    <w:rsid w:val="00957EE8"/>
    <w:rsid w:val="00957F2C"/>
    <w:rsid w:val="00960061"/>
    <w:rsid w:val="009601CF"/>
    <w:rsid w:val="0096021E"/>
    <w:rsid w:val="0096039F"/>
    <w:rsid w:val="009603FA"/>
    <w:rsid w:val="009606E6"/>
    <w:rsid w:val="009607FE"/>
    <w:rsid w:val="00960A1D"/>
    <w:rsid w:val="00960A6C"/>
    <w:rsid w:val="00960D18"/>
    <w:rsid w:val="00960D19"/>
    <w:rsid w:val="00960D3D"/>
    <w:rsid w:val="00960DDC"/>
    <w:rsid w:val="00960E67"/>
    <w:rsid w:val="00960EF8"/>
    <w:rsid w:val="00960F18"/>
    <w:rsid w:val="00960FBF"/>
    <w:rsid w:val="00961034"/>
    <w:rsid w:val="0096108A"/>
    <w:rsid w:val="009610E8"/>
    <w:rsid w:val="00961261"/>
    <w:rsid w:val="009612C8"/>
    <w:rsid w:val="009613E5"/>
    <w:rsid w:val="00961481"/>
    <w:rsid w:val="009614EF"/>
    <w:rsid w:val="00961508"/>
    <w:rsid w:val="0096158E"/>
    <w:rsid w:val="009615F4"/>
    <w:rsid w:val="00961718"/>
    <w:rsid w:val="00961782"/>
    <w:rsid w:val="0096190F"/>
    <w:rsid w:val="009619E0"/>
    <w:rsid w:val="00961A15"/>
    <w:rsid w:val="00961B92"/>
    <w:rsid w:val="00961B9E"/>
    <w:rsid w:val="00961C79"/>
    <w:rsid w:val="00961EC9"/>
    <w:rsid w:val="00961FD9"/>
    <w:rsid w:val="00961FEC"/>
    <w:rsid w:val="0096201C"/>
    <w:rsid w:val="0096201D"/>
    <w:rsid w:val="0096204E"/>
    <w:rsid w:val="00962172"/>
    <w:rsid w:val="0096224D"/>
    <w:rsid w:val="00962332"/>
    <w:rsid w:val="009623C3"/>
    <w:rsid w:val="009625BD"/>
    <w:rsid w:val="0096289F"/>
    <w:rsid w:val="009628A3"/>
    <w:rsid w:val="00962A6B"/>
    <w:rsid w:val="00962B24"/>
    <w:rsid w:val="00962BBF"/>
    <w:rsid w:val="00962BF9"/>
    <w:rsid w:val="00962C5E"/>
    <w:rsid w:val="00962C97"/>
    <w:rsid w:val="00962D6F"/>
    <w:rsid w:val="00962D7D"/>
    <w:rsid w:val="00962DE3"/>
    <w:rsid w:val="00962E55"/>
    <w:rsid w:val="00962E8B"/>
    <w:rsid w:val="00962EC2"/>
    <w:rsid w:val="00962F30"/>
    <w:rsid w:val="00962F42"/>
    <w:rsid w:val="00962F5D"/>
    <w:rsid w:val="00962F79"/>
    <w:rsid w:val="0096311B"/>
    <w:rsid w:val="00963178"/>
    <w:rsid w:val="00963285"/>
    <w:rsid w:val="0096335F"/>
    <w:rsid w:val="0096336E"/>
    <w:rsid w:val="009633B1"/>
    <w:rsid w:val="009633C1"/>
    <w:rsid w:val="009633E7"/>
    <w:rsid w:val="00963402"/>
    <w:rsid w:val="00963433"/>
    <w:rsid w:val="0096344E"/>
    <w:rsid w:val="0096346A"/>
    <w:rsid w:val="009634C8"/>
    <w:rsid w:val="00963513"/>
    <w:rsid w:val="0096355B"/>
    <w:rsid w:val="0096360D"/>
    <w:rsid w:val="009636FA"/>
    <w:rsid w:val="0096376C"/>
    <w:rsid w:val="009637D0"/>
    <w:rsid w:val="00963801"/>
    <w:rsid w:val="0096382B"/>
    <w:rsid w:val="00963866"/>
    <w:rsid w:val="00963923"/>
    <w:rsid w:val="00963954"/>
    <w:rsid w:val="00963A41"/>
    <w:rsid w:val="00963A8C"/>
    <w:rsid w:val="00963A9B"/>
    <w:rsid w:val="00963AA9"/>
    <w:rsid w:val="00963BA4"/>
    <w:rsid w:val="00963CFF"/>
    <w:rsid w:val="00963D10"/>
    <w:rsid w:val="00963ECF"/>
    <w:rsid w:val="00963FAE"/>
    <w:rsid w:val="00964011"/>
    <w:rsid w:val="00964078"/>
    <w:rsid w:val="0096412A"/>
    <w:rsid w:val="0096417F"/>
    <w:rsid w:val="00964188"/>
    <w:rsid w:val="009641B4"/>
    <w:rsid w:val="009641DB"/>
    <w:rsid w:val="0096446B"/>
    <w:rsid w:val="0096451A"/>
    <w:rsid w:val="0096451D"/>
    <w:rsid w:val="0096453A"/>
    <w:rsid w:val="00964573"/>
    <w:rsid w:val="009645B9"/>
    <w:rsid w:val="009646CF"/>
    <w:rsid w:val="0096476C"/>
    <w:rsid w:val="00964793"/>
    <w:rsid w:val="009649DA"/>
    <w:rsid w:val="00964A3B"/>
    <w:rsid w:val="00964A5B"/>
    <w:rsid w:val="00964B00"/>
    <w:rsid w:val="00964F18"/>
    <w:rsid w:val="00964FFC"/>
    <w:rsid w:val="00965062"/>
    <w:rsid w:val="0096515F"/>
    <w:rsid w:val="00965207"/>
    <w:rsid w:val="00965272"/>
    <w:rsid w:val="009652C2"/>
    <w:rsid w:val="00965401"/>
    <w:rsid w:val="00965578"/>
    <w:rsid w:val="00965594"/>
    <w:rsid w:val="009655D0"/>
    <w:rsid w:val="00965669"/>
    <w:rsid w:val="009656A2"/>
    <w:rsid w:val="009656E8"/>
    <w:rsid w:val="0096573E"/>
    <w:rsid w:val="00965763"/>
    <w:rsid w:val="009657C2"/>
    <w:rsid w:val="00965892"/>
    <w:rsid w:val="009658E8"/>
    <w:rsid w:val="00965991"/>
    <w:rsid w:val="009659B7"/>
    <w:rsid w:val="00965BE1"/>
    <w:rsid w:val="00965C44"/>
    <w:rsid w:val="00965C92"/>
    <w:rsid w:val="00965DA8"/>
    <w:rsid w:val="00965E2C"/>
    <w:rsid w:val="00965F32"/>
    <w:rsid w:val="00965F7E"/>
    <w:rsid w:val="00965FB2"/>
    <w:rsid w:val="00965FE9"/>
    <w:rsid w:val="00966095"/>
    <w:rsid w:val="00966125"/>
    <w:rsid w:val="00966392"/>
    <w:rsid w:val="00966485"/>
    <w:rsid w:val="009664D6"/>
    <w:rsid w:val="0096652C"/>
    <w:rsid w:val="00966535"/>
    <w:rsid w:val="00966610"/>
    <w:rsid w:val="00966672"/>
    <w:rsid w:val="0096684E"/>
    <w:rsid w:val="0096684F"/>
    <w:rsid w:val="0096691C"/>
    <w:rsid w:val="009669ED"/>
    <w:rsid w:val="00966AC9"/>
    <w:rsid w:val="00966B83"/>
    <w:rsid w:val="00966BDB"/>
    <w:rsid w:val="00966C14"/>
    <w:rsid w:val="00966DFC"/>
    <w:rsid w:val="00966FD9"/>
    <w:rsid w:val="00967043"/>
    <w:rsid w:val="00967059"/>
    <w:rsid w:val="0096705E"/>
    <w:rsid w:val="009670ED"/>
    <w:rsid w:val="00967187"/>
    <w:rsid w:val="009673BE"/>
    <w:rsid w:val="009673E9"/>
    <w:rsid w:val="0096740B"/>
    <w:rsid w:val="0096746D"/>
    <w:rsid w:val="0096754A"/>
    <w:rsid w:val="00967636"/>
    <w:rsid w:val="00967647"/>
    <w:rsid w:val="0096767A"/>
    <w:rsid w:val="00967729"/>
    <w:rsid w:val="009677BD"/>
    <w:rsid w:val="00967833"/>
    <w:rsid w:val="00967865"/>
    <w:rsid w:val="009679E1"/>
    <w:rsid w:val="00967AE5"/>
    <w:rsid w:val="00967B66"/>
    <w:rsid w:val="00967B82"/>
    <w:rsid w:val="00967C58"/>
    <w:rsid w:val="00967D12"/>
    <w:rsid w:val="00967D31"/>
    <w:rsid w:val="00967EDC"/>
    <w:rsid w:val="00967F35"/>
    <w:rsid w:val="0097013D"/>
    <w:rsid w:val="0097024F"/>
    <w:rsid w:val="009702F5"/>
    <w:rsid w:val="0097035E"/>
    <w:rsid w:val="009703C1"/>
    <w:rsid w:val="0097040D"/>
    <w:rsid w:val="009704C3"/>
    <w:rsid w:val="0097057C"/>
    <w:rsid w:val="00970583"/>
    <w:rsid w:val="00970644"/>
    <w:rsid w:val="0097064D"/>
    <w:rsid w:val="009706C0"/>
    <w:rsid w:val="009706EE"/>
    <w:rsid w:val="0097085B"/>
    <w:rsid w:val="009708CD"/>
    <w:rsid w:val="00970A26"/>
    <w:rsid w:val="00970A90"/>
    <w:rsid w:val="00970D4A"/>
    <w:rsid w:val="00970DC9"/>
    <w:rsid w:val="00970EAD"/>
    <w:rsid w:val="0097104F"/>
    <w:rsid w:val="00971109"/>
    <w:rsid w:val="00971157"/>
    <w:rsid w:val="0097115E"/>
    <w:rsid w:val="00971180"/>
    <w:rsid w:val="0097126D"/>
    <w:rsid w:val="009715AD"/>
    <w:rsid w:val="00971646"/>
    <w:rsid w:val="0097166C"/>
    <w:rsid w:val="009716D6"/>
    <w:rsid w:val="009717E5"/>
    <w:rsid w:val="00971896"/>
    <w:rsid w:val="009719F6"/>
    <w:rsid w:val="00971AF2"/>
    <w:rsid w:val="00971B18"/>
    <w:rsid w:val="00971C4D"/>
    <w:rsid w:val="00971CD6"/>
    <w:rsid w:val="00971CE5"/>
    <w:rsid w:val="00971CF0"/>
    <w:rsid w:val="00971D3E"/>
    <w:rsid w:val="00971E14"/>
    <w:rsid w:val="00971E68"/>
    <w:rsid w:val="00971E73"/>
    <w:rsid w:val="00971E76"/>
    <w:rsid w:val="009720E0"/>
    <w:rsid w:val="00972107"/>
    <w:rsid w:val="0097217F"/>
    <w:rsid w:val="00972228"/>
    <w:rsid w:val="0097238A"/>
    <w:rsid w:val="009723F5"/>
    <w:rsid w:val="009724A0"/>
    <w:rsid w:val="0097257D"/>
    <w:rsid w:val="00972684"/>
    <w:rsid w:val="009726EE"/>
    <w:rsid w:val="00972825"/>
    <w:rsid w:val="0097283A"/>
    <w:rsid w:val="00972929"/>
    <w:rsid w:val="00972948"/>
    <w:rsid w:val="00972B36"/>
    <w:rsid w:val="00972B73"/>
    <w:rsid w:val="00972C6F"/>
    <w:rsid w:val="00972DA3"/>
    <w:rsid w:val="00972F12"/>
    <w:rsid w:val="00972F4B"/>
    <w:rsid w:val="00972F93"/>
    <w:rsid w:val="0097312A"/>
    <w:rsid w:val="00973143"/>
    <w:rsid w:val="0097322C"/>
    <w:rsid w:val="009732DD"/>
    <w:rsid w:val="009734B1"/>
    <w:rsid w:val="0097354A"/>
    <w:rsid w:val="00973566"/>
    <w:rsid w:val="0097356D"/>
    <w:rsid w:val="00973762"/>
    <w:rsid w:val="00973775"/>
    <w:rsid w:val="0097384D"/>
    <w:rsid w:val="00973855"/>
    <w:rsid w:val="00973970"/>
    <w:rsid w:val="00973973"/>
    <w:rsid w:val="009739D1"/>
    <w:rsid w:val="00973B1B"/>
    <w:rsid w:val="00973B3E"/>
    <w:rsid w:val="00973D92"/>
    <w:rsid w:val="00973EF1"/>
    <w:rsid w:val="00973EFC"/>
    <w:rsid w:val="00973FCA"/>
    <w:rsid w:val="00973FF0"/>
    <w:rsid w:val="0097400A"/>
    <w:rsid w:val="0097400E"/>
    <w:rsid w:val="0097402B"/>
    <w:rsid w:val="0097403F"/>
    <w:rsid w:val="009740BC"/>
    <w:rsid w:val="0097413A"/>
    <w:rsid w:val="0097425E"/>
    <w:rsid w:val="0097434C"/>
    <w:rsid w:val="00974485"/>
    <w:rsid w:val="00974556"/>
    <w:rsid w:val="009746FB"/>
    <w:rsid w:val="0097474A"/>
    <w:rsid w:val="009748FF"/>
    <w:rsid w:val="00974966"/>
    <w:rsid w:val="00974A2C"/>
    <w:rsid w:val="00974B1F"/>
    <w:rsid w:val="00974B54"/>
    <w:rsid w:val="00974C79"/>
    <w:rsid w:val="00974F86"/>
    <w:rsid w:val="00974F9A"/>
    <w:rsid w:val="00974FF1"/>
    <w:rsid w:val="00975034"/>
    <w:rsid w:val="009750A4"/>
    <w:rsid w:val="00975383"/>
    <w:rsid w:val="0097542E"/>
    <w:rsid w:val="00975543"/>
    <w:rsid w:val="009756B9"/>
    <w:rsid w:val="00975706"/>
    <w:rsid w:val="0097576F"/>
    <w:rsid w:val="009757D9"/>
    <w:rsid w:val="009757FE"/>
    <w:rsid w:val="009758CA"/>
    <w:rsid w:val="009758F5"/>
    <w:rsid w:val="00975B6A"/>
    <w:rsid w:val="00975B84"/>
    <w:rsid w:val="00975BDD"/>
    <w:rsid w:val="00975C4D"/>
    <w:rsid w:val="00975C7C"/>
    <w:rsid w:val="00975D0F"/>
    <w:rsid w:val="00975D3C"/>
    <w:rsid w:val="00975DE1"/>
    <w:rsid w:val="00975E2B"/>
    <w:rsid w:val="00975E3B"/>
    <w:rsid w:val="00975EA3"/>
    <w:rsid w:val="00975F27"/>
    <w:rsid w:val="00975F96"/>
    <w:rsid w:val="00975FD4"/>
    <w:rsid w:val="0097603E"/>
    <w:rsid w:val="00976191"/>
    <w:rsid w:val="009761F4"/>
    <w:rsid w:val="00976279"/>
    <w:rsid w:val="0097628A"/>
    <w:rsid w:val="0097633C"/>
    <w:rsid w:val="0097645B"/>
    <w:rsid w:val="009765DF"/>
    <w:rsid w:val="0097662D"/>
    <w:rsid w:val="009766AF"/>
    <w:rsid w:val="009766BC"/>
    <w:rsid w:val="00976777"/>
    <w:rsid w:val="009767D8"/>
    <w:rsid w:val="00976810"/>
    <w:rsid w:val="0097683F"/>
    <w:rsid w:val="009769C4"/>
    <w:rsid w:val="009769C5"/>
    <w:rsid w:val="009769FE"/>
    <w:rsid w:val="00976A23"/>
    <w:rsid w:val="00976B20"/>
    <w:rsid w:val="00976BCD"/>
    <w:rsid w:val="00976C6F"/>
    <w:rsid w:val="00976D49"/>
    <w:rsid w:val="00976D4A"/>
    <w:rsid w:val="00976E1C"/>
    <w:rsid w:val="00976E84"/>
    <w:rsid w:val="00976EAE"/>
    <w:rsid w:val="0097708E"/>
    <w:rsid w:val="009770BE"/>
    <w:rsid w:val="009770C0"/>
    <w:rsid w:val="0097722A"/>
    <w:rsid w:val="0097729F"/>
    <w:rsid w:val="009772A8"/>
    <w:rsid w:val="00977353"/>
    <w:rsid w:val="0097748B"/>
    <w:rsid w:val="00977490"/>
    <w:rsid w:val="00977642"/>
    <w:rsid w:val="00977665"/>
    <w:rsid w:val="009776BD"/>
    <w:rsid w:val="009776EB"/>
    <w:rsid w:val="00977770"/>
    <w:rsid w:val="00977773"/>
    <w:rsid w:val="0097778F"/>
    <w:rsid w:val="009777F4"/>
    <w:rsid w:val="0097782C"/>
    <w:rsid w:val="00977859"/>
    <w:rsid w:val="009778D5"/>
    <w:rsid w:val="00977903"/>
    <w:rsid w:val="00977956"/>
    <w:rsid w:val="00977A06"/>
    <w:rsid w:val="00977CB1"/>
    <w:rsid w:val="00977DC5"/>
    <w:rsid w:val="00977E4A"/>
    <w:rsid w:val="009800AD"/>
    <w:rsid w:val="009801DF"/>
    <w:rsid w:val="00980447"/>
    <w:rsid w:val="0098053F"/>
    <w:rsid w:val="0098072C"/>
    <w:rsid w:val="0098072F"/>
    <w:rsid w:val="009808CB"/>
    <w:rsid w:val="00980C6D"/>
    <w:rsid w:val="00980DCA"/>
    <w:rsid w:val="00980EFF"/>
    <w:rsid w:val="00980FD7"/>
    <w:rsid w:val="00980FDE"/>
    <w:rsid w:val="009811E2"/>
    <w:rsid w:val="0098125B"/>
    <w:rsid w:val="009813BA"/>
    <w:rsid w:val="00981402"/>
    <w:rsid w:val="009814AE"/>
    <w:rsid w:val="0098161E"/>
    <w:rsid w:val="009817B8"/>
    <w:rsid w:val="009817FB"/>
    <w:rsid w:val="00981849"/>
    <w:rsid w:val="0098188B"/>
    <w:rsid w:val="0098194E"/>
    <w:rsid w:val="00981975"/>
    <w:rsid w:val="0098197B"/>
    <w:rsid w:val="00981B0C"/>
    <w:rsid w:val="00981D07"/>
    <w:rsid w:val="00981E59"/>
    <w:rsid w:val="00981E7B"/>
    <w:rsid w:val="00982242"/>
    <w:rsid w:val="009822B7"/>
    <w:rsid w:val="00982449"/>
    <w:rsid w:val="009825BA"/>
    <w:rsid w:val="00982679"/>
    <w:rsid w:val="0098267C"/>
    <w:rsid w:val="00982782"/>
    <w:rsid w:val="0098279A"/>
    <w:rsid w:val="009827D9"/>
    <w:rsid w:val="009827E7"/>
    <w:rsid w:val="00982B1B"/>
    <w:rsid w:val="00982B9D"/>
    <w:rsid w:val="00982BB6"/>
    <w:rsid w:val="00982C72"/>
    <w:rsid w:val="00982C91"/>
    <w:rsid w:val="00982D42"/>
    <w:rsid w:val="00982E55"/>
    <w:rsid w:val="00982FE2"/>
    <w:rsid w:val="00982FE5"/>
    <w:rsid w:val="0098307F"/>
    <w:rsid w:val="00983104"/>
    <w:rsid w:val="00983118"/>
    <w:rsid w:val="00983196"/>
    <w:rsid w:val="009831CB"/>
    <w:rsid w:val="009834BC"/>
    <w:rsid w:val="009834D1"/>
    <w:rsid w:val="009834F7"/>
    <w:rsid w:val="009835FB"/>
    <w:rsid w:val="009836F4"/>
    <w:rsid w:val="00983727"/>
    <w:rsid w:val="009837D5"/>
    <w:rsid w:val="009837D8"/>
    <w:rsid w:val="00983858"/>
    <w:rsid w:val="009838FC"/>
    <w:rsid w:val="009839EB"/>
    <w:rsid w:val="00983A2B"/>
    <w:rsid w:val="00983A79"/>
    <w:rsid w:val="00983AB3"/>
    <w:rsid w:val="00983D1C"/>
    <w:rsid w:val="00983FD4"/>
    <w:rsid w:val="00984028"/>
    <w:rsid w:val="009840FA"/>
    <w:rsid w:val="0098411E"/>
    <w:rsid w:val="0098413B"/>
    <w:rsid w:val="00984280"/>
    <w:rsid w:val="0098469C"/>
    <w:rsid w:val="0098470C"/>
    <w:rsid w:val="00984786"/>
    <w:rsid w:val="009847E0"/>
    <w:rsid w:val="00984864"/>
    <w:rsid w:val="0098490F"/>
    <w:rsid w:val="00984952"/>
    <w:rsid w:val="0098498B"/>
    <w:rsid w:val="00984A59"/>
    <w:rsid w:val="00984ACE"/>
    <w:rsid w:val="00984B64"/>
    <w:rsid w:val="00984C00"/>
    <w:rsid w:val="00984C12"/>
    <w:rsid w:val="00984C78"/>
    <w:rsid w:val="00984CAB"/>
    <w:rsid w:val="00984CB9"/>
    <w:rsid w:val="00984D01"/>
    <w:rsid w:val="00984DFA"/>
    <w:rsid w:val="00984E26"/>
    <w:rsid w:val="00984E96"/>
    <w:rsid w:val="00984EBB"/>
    <w:rsid w:val="00985061"/>
    <w:rsid w:val="009852C6"/>
    <w:rsid w:val="00985342"/>
    <w:rsid w:val="0098541A"/>
    <w:rsid w:val="00985586"/>
    <w:rsid w:val="009855BD"/>
    <w:rsid w:val="00985614"/>
    <w:rsid w:val="00985655"/>
    <w:rsid w:val="0098570B"/>
    <w:rsid w:val="0098579D"/>
    <w:rsid w:val="009857F0"/>
    <w:rsid w:val="0098589A"/>
    <w:rsid w:val="0098589F"/>
    <w:rsid w:val="00985909"/>
    <w:rsid w:val="00985918"/>
    <w:rsid w:val="0098594C"/>
    <w:rsid w:val="009859E7"/>
    <w:rsid w:val="00985B18"/>
    <w:rsid w:val="00985DDB"/>
    <w:rsid w:val="0098607D"/>
    <w:rsid w:val="009860CC"/>
    <w:rsid w:val="009861A2"/>
    <w:rsid w:val="009861C0"/>
    <w:rsid w:val="00986215"/>
    <w:rsid w:val="00986229"/>
    <w:rsid w:val="00986237"/>
    <w:rsid w:val="009863D2"/>
    <w:rsid w:val="009863E7"/>
    <w:rsid w:val="009863EC"/>
    <w:rsid w:val="0098656C"/>
    <w:rsid w:val="009865F7"/>
    <w:rsid w:val="0098660F"/>
    <w:rsid w:val="00986677"/>
    <w:rsid w:val="0098672B"/>
    <w:rsid w:val="00986902"/>
    <w:rsid w:val="00986AE5"/>
    <w:rsid w:val="00986BC5"/>
    <w:rsid w:val="00986C30"/>
    <w:rsid w:val="00986C5D"/>
    <w:rsid w:val="00986CC7"/>
    <w:rsid w:val="00986D0F"/>
    <w:rsid w:val="00986EAF"/>
    <w:rsid w:val="00986FE0"/>
    <w:rsid w:val="00987016"/>
    <w:rsid w:val="0098705B"/>
    <w:rsid w:val="00987091"/>
    <w:rsid w:val="0098719F"/>
    <w:rsid w:val="009871AA"/>
    <w:rsid w:val="009871CC"/>
    <w:rsid w:val="009871D8"/>
    <w:rsid w:val="00987283"/>
    <w:rsid w:val="009872B0"/>
    <w:rsid w:val="0098738C"/>
    <w:rsid w:val="009873C7"/>
    <w:rsid w:val="009873E2"/>
    <w:rsid w:val="00987523"/>
    <w:rsid w:val="00987576"/>
    <w:rsid w:val="00987587"/>
    <w:rsid w:val="0098760C"/>
    <w:rsid w:val="00987655"/>
    <w:rsid w:val="009877F4"/>
    <w:rsid w:val="00987883"/>
    <w:rsid w:val="0098799D"/>
    <w:rsid w:val="009879ED"/>
    <w:rsid w:val="00987ABF"/>
    <w:rsid w:val="00987B00"/>
    <w:rsid w:val="00987B18"/>
    <w:rsid w:val="00987BEF"/>
    <w:rsid w:val="00987C04"/>
    <w:rsid w:val="00987C0E"/>
    <w:rsid w:val="00987C6B"/>
    <w:rsid w:val="00987E3B"/>
    <w:rsid w:val="00990021"/>
    <w:rsid w:val="00990052"/>
    <w:rsid w:val="0099005E"/>
    <w:rsid w:val="009900A3"/>
    <w:rsid w:val="00990141"/>
    <w:rsid w:val="0099015D"/>
    <w:rsid w:val="0099016F"/>
    <w:rsid w:val="009901E2"/>
    <w:rsid w:val="0099033B"/>
    <w:rsid w:val="009903DD"/>
    <w:rsid w:val="009903E5"/>
    <w:rsid w:val="0099049C"/>
    <w:rsid w:val="00990693"/>
    <w:rsid w:val="00990710"/>
    <w:rsid w:val="0099076E"/>
    <w:rsid w:val="009908A3"/>
    <w:rsid w:val="0099096B"/>
    <w:rsid w:val="00990B0E"/>
    <w:rsid w:val="00990B3F"/>
    <w:rsid w:val="00990B51"/>
    <w:rsid w:val="00990C31"/>
    <w:rsid w:val="00990C86"/>
    <w:rsid w:val="00990CA4"/>
    <w:rsid w:val="00990D15"/>
    <w:rsid w:val="00990D17"/>
    <w:rsid w:val="00990DA0"/>
    <w:rsid w:val="00990DC2"/>
    <w:rsid w:val="00990E31"/>
    <w:rsid w:val="00990EDF"/>
    <w:rsid w:val="00990F8A"/>
    <w:rsid w:val="009911E4"/>
    <w:rsid w:val="009911F3"/>
    <w:rsid w:val="00991264"/>
    <w:rsid w:val="00991276"/>
    <w:rsid w:val="009912E6"/>
    <w:rsid w:val="00991364"/>
    <w:rsid w:val="0099145F"/>
    <w:rsid w:val="0099154F"/>
    <w:rsid w:val="0099155A"/>
    <w:rsid w:val="0099157D"/>
    <w:rsid w:val="009915F4"/>
    <w:rsid w:val="00991646"/>
    <w:rsid w:val="00991750"/>
    <w:rsid w:val="00991810"/>
    <w:rsid w:val="009919E0"/>
    <w:rsid w:val="00991A8F"/>
    <w:rsid w:val="00991B0C"/>
    <w:rsid w:val="00991B28"/>
    <w:rsid w:val="00991B2C"/>
    <w:rsid w:val="00991B91"/>
    <w:rsid w:val="00991CA3"/>
    <w:rsid w:val="00991D6B"/>
    <w:rsid w:val="00991EC6"/>
    <w:rsid w:val="00991EE4"/>
    <w:rsid w:val="00991F32"/>
    <w:rsid w:val="00991FB3"/>
    <w:rsid w:val="00991FDD"/>
    <w:rsid w:val="00991FED"/>
    <w:rsid w:val="00992085"/>
    <w:rsid w:val="009920D1"/>
    <w:rsid w:val="00992105"/>
    <w:rsid w:val="00992110"/>
    <w:rsid w:val="00992281"/>
    <w:rsid w:val="0099246B"/>
    <w:rsid w:val="00992484"/>
    <w:rsid w:val="009926A8"/>
    <w:rsid w:val="00992704"/>
    <w:rsid w:val="0099273B"/>
    <w:rsid w:val="009927AF"/>
    <w:rsid w:val="0099287D"/>
    <w:rsid w:val="00992880"/>
    <w:rsid w:val="009928F0"/>
    <w:rsid w:val="009929D8"/>
    <w:rsid w:val="009929F6"/>
    <w:rsid w:val="00992A14"/>
    <w:rsid w:val="00992B6E"/>
    <w:rsid w:val="00992BD1"/>
    <w:rsid w:val="00992C3B"/>
    <w:rsid w:val="00992C5E"/>
    <w:rsid w:val="00992C6E"/>
    <w:rsid w:val="00992C81"/>
    <w:rsid w:val="00992D39"/>
    <w:rsid w:val="00992E9E"/>
    <w:rsid w:val="00992F32"/>
    <w:rsid w:val="0099306B"/>
    <w:rsid w:val="009931DF"/>
    <w:rsid w:val="00993260"/>
    <w:rsid w:val="00993312"/>
    <w:rsid w:val="0099332E"/>
    <w:rsid w:val="009935F1"/>
    <w:rsid w:val="00993604"/>
    <w:rsid w:val="009936F3"/>
    <w:rsid w:val="009938AF"/>
    <w:rsid w:val="00993965"/>
    <w:rsid w:val="00993A40"/>
    <w:rsid w:val="00993AEE"/>
    <w:rsid w:val="00993C29"/>
    <w:rsid w:val="00993D94"/>
    <w:rsid w:val="00993D9B"/>
    <w:rsid w:val="00993DEF"/>
    <w:rsid w:val="00993E69"/>
    <w:rsid w:val="00993ECE"/>
    <w:rsid w:val="00993F31"/>
    <w:rsid w:val="00993F37"/>
    <w:rsid w:val="00994035"/>
    <w:rsid w:val="00994146"/>
    <w:rsid w:val="00994239"/>
    <w:rsid w:val="009942FD"/>
    <w:rsid w:val="0099431C"/>
    <w:rsid w:val="009943C8"/>
    <w:rsid w:val="00994457"/>
    <w:rsid w:val="00994462"/>
    <w:rsid w:val="009944DC"/>
    <w:rsid w:val="0099450C"/>
    <w:rsid w:val="009945A7"/>
    <w:rsid w:val="009945D5"/>
    <w:rsid w:val="00994755"/>
    <w:rsid w:val="00994807"/>
    <w:rsid w:val="00994897"/>
    <w:rsid w:val="0099491E"/>
    <w:rsid w:val="0099498D"/>
    <w:rsid w:val="009949D2"/>
    <w:rsid w:val="009949FE"/>
    <w:rsid w:val="00994ABB"/>
    <w:rsid w:val="00994ACE"/>
    <w:rsid w:val="00994D1A"/>
    <w:rsid w:val="00994D24"/>
    <w:rsid w:val="00994EC1"/>
    <w:rsid w:val="00994F2B"/>
    <w:rsid w:val="0099509B"/>
    <w:rsid w:val="009950C3"/>
    <w:rsid w:val="00995109"/>
    <w:rsid w:val="009951F5"/>
    <w:rsid w:val="009951FE"/>
    <w:rsid w:val="0099521B"/>
    <w:rsid w:val="00995288"/>
    <w:rsid w:val="009953B4"/>
    <w:rsid w:val="0099540A"/>
    <w:rsid w:val="00995428"/>
    <w:rsid w:val="00995461"/>
    <w:rsid w:val="009955D0"/>
    <w:rsid w:val="00995624"/>
    <w:rsid w:val="00995834"/>
    <w:rsid w:val="009959A5"/>
    <w:rsid w:val="00995ACE"/>
    <w:rsid w:val="00995B3E"/>
    <w:rsid w:val="00995B4B"/>
    <w:rsid w:val="00995B89"/>
    <w:rsid w:val="00995DA8"/>
    <w:rsid w:val="00995DFA"/>
    <w:rsid w:val="00995E70"/>
    <w:rsid w:val="00995E97"/>
    <w:rsid w:val="00995F45"/>
    <w:rsid w:val="00995FD0"/>
    <w:rsid w:val="00996193"/>
    <w:rsid w:val="009961AE"/>
    <w:rsid w:val="00996242"/>
    <w:rsid w:val="00996275"/>
    <w:rsid w:val="00996278"/>
    <w:rsid w:val="009962C2"/>
    <w:rsid w:val="009962C9"/>
    <w:rsid w:val="00996346"/>
    <w:rsid w:val="00996348"/>
    <w:rsid w:val="0099643B"/>
    <w:rsid w:val="009964C4"/>
    <w:rsid w:val="009964C5"/>
    <w:rsid w:val="0099654D"/>
    <w:rsid w:val="009965C6"/>
    <w:rsid w:val="009967FC"/>
    <w:rsid w:val="009968A9"/>
    <w:rsid w:val="0099699B"/>
    <w:rsid w:val="00996A07"/>
    <w:rsid w:val="00996ADD"/>
    <w:rsid w:val="00996BDB"/>
    <w:rsid w:val="00996D12"/>
    <w:rsid w:val="00996D4D"/>
    <w:rsid w:val="00996DA4"/>
    <w:rsid w:val="00996F36"/>
    <w:rsid w:val="00996FAE"/>
    <w:rsid w:val="0099700C"/>
    <w:rsid w:val="0099701B"/>
    <w:rsid w:val="0099705A"/>
    <w:rsid w:val="0099705B"/>
    <w:rsid w:val="009971D5"/>
    <w:rsid w:val="0099727C"/>
    <w:rsid w:val="00997390"/>
    <w:rsid w:val="009974CD"/>
    <w:rsid w:val="009975FD"/>
    <w:rsid w:val="00997622"/>
    <w:rsid w:val="0099773B"/>
    <w:rsid w:val="00997978"/>
    <w:rsid w:val="00997A0F"/>
    <w:rsid w:val="00997B62"/>
    <w:rsid w:val="00997BB2"/>
    <w:rsid w:val="00997C79"/>
    <w:rsid w:val="00997D28"/>
    <w:rsid w:val="00997E6B"/>
    <w:rsid w:val="00997E94"/>
    <w:rsid w:val="00997F96"/>
    <w:rsid w:val="009A0149"/>
    <w:rsid w:val="009A0157"/>
    <w:rsid w:val="009A020C"/>
    <w:rsid w:val="009A0261"/>
    <w:rsid w:val="009A03F9"/>
    <w:rsid w:val="009A0408"/>
    <w:rsid w:val="009A04C1"/>
    <w:rsid w:val="009A0516"/>
    <w:rsid w:val="009A0552"/>
    <w:rsid w:val="009A05BE"/>
    <w:rsid w:val="009A05BF"/>
    <w:rsid w:val="009A05C3"/>
    <w:rsid w:val="009A065A"/>
    <w:rsid w:val="009A066F"/>
    <w:rsid w:val="009A06C4"/>
    <w:rsid w:val="009A07C7"/>
    <w:rsid w:val="009A07C8"/>
    <w:rsid w:val="009A0A33"/>
    <w:rsid w:val="009A0C04"/>
    <w:rsid w:val="009A0CEF"/>
    <w:rsid w:val="009A0DBD"/>
    <w:rsid w:val="009A0EBE"/>
    <w:rsid w:val="009A0F01"/>
    <w:rsid w:val="009A0F51"/>
    <w:rsid w:val="009A0FEA"/>
    <w:rsid w:val="009A1030"/>
    <w:rsid w:val="009A1076"/>
    <w:rsid w:val="009A10F4"/>
    <w:rsid w:val="009A11BB"/>
    <w:rsid w:val="009A13C2"/>
    <w:rsid w:val="009A14E5"/>
    <w:rsid w:val="009A15C4"/>
    <w:rsid w:val="009A15E3"/>
    <w:rsid w:val="009A1631"/>
    <w:rsid w:val="009A179F"/>
    <w:rsid w:val="009A17A7"/>
    <w:rsid w:val="009A1981"/>
    <w:rsid w:val="009A1A7B"/>
    <w:rsid w:val="009A1A92"/>
    <w:rsid w:val="009A1ABB"/>
    <w:rsid w:val="009A1B07"/>
    <w:rsid w:val="009A1BC0"/>
    <w:rsid w:val="009A1C06"/>
    <w:rsid w:val="009A1C1C"/>
    <w:rsid w:val="009A1C76"/>
    <w:rsid w:val="009A1C89"/>
    <w:rsid w:val="009A1C95"/>
    <w:rsid w:val="009A1D10"/>
    <w:rsid w:val="009A1D54"/>
    <w:rsid w:val="009A1DFD"/>
    <w:rsid w:val="009A1EA4"/>
    <w:rsid w:val="009A1EE0"/>
    <w:rsid w:val="009A1F8D"/>
    <w:rsid w:val="009A1FC7"/>
    <w:rsid w:val="009A202F"/>
    <w:rsid w:val="009A2105"/>
    <w:rsid w:val="009A2219"/>
    <w:rsid w:val="009A22B7"/>
    <w:rsid w:val="009A2360"/>
    <w:rsid w:val="009A23AA"/>
    <w:rsid w:val="009A245B"/>
    <w:rsid w:val="009A24DC"/>
    <w:rsid w:val="009A24FE"/>
    <w:rsid w:val="009A25A7"/>
    <w:rsid w:val="009A26AC"/>
    <w:rsid w:val="009A2974"/>
    <w:rsid w:val="009A2A73"/>
    <w:rsid w:val="009A2A93"/>
    <w:rsid w:val="009A2AEB"/>
    <w:rsid w:val="009A2B78"/>
    <w:rsid w:val="009A2C06"/>
    <w:rsid w:val="009A2C5F"/>
    <w:rsid w:val="009A2CE3"/>
    <w:rsid w:val="009A2DF5"/>
    <w:rsid w:val="009A2E0B"/>
    <w:rsid w:val="009A2F50"/>
    <w:rsid w:val="009A2F56"/>
    <w:rsid w:val="009A308D"/>
    <w:rsid w:val="009A3185"/>
    <w:rsid w:val="009A3254"/>
    <w:rsid w:val="009A3330"/>
    <w:rsid w:val="009A33DB"/>
    <w:rsid w:val="009A348C"/>
    <w:rsid w:val="009A3551"/>
    <w:rsid w:val="009A35AA"/>
    <w:rsid w:val="009A38E8"/>
    <w:rsid w:val="009A3905"/>
    <w:rsid w:val="009A3A3A"/>
    <w:rsid w:val="009A3A3F"/>
    <w:rsid w:val="009A3AD8"/>
    <w:rsid w:val="009A3B25"/>
    <w:rsid w:val="009A3B2A"/>
    <w:rsid w:val="009A3C96"/>
    <w:rsid w:val="009A3E23"/>
    <w:rsid w:val="009A3E2D"/>
    <w:rsid w:val="009A3E91"/>
    <w:rsid w:val="009A3EBB"/>
    <w:rsid w:val="009A3F97"/>
    <w:rsid w:val="009A3F99"/>
    <w:rsid w:val="009A3FA1"/>
    <w:rsid w:val="009A4193"/>
    <w:rsid w:val="009A41F4"/>
    <w:rsid w:val="009A439A"/>
    <w:rsid w:val="009A43CC"/>
    <w:rsid w:val="009A4440"/>
    <w:rsid w:val="009A44C0"/>
    <w:rsid w:val="009A44FE"/>
    <w:rsid w:val="009A45AB"/>
    <w:rsid w:val="009A4699"/>
    <w:rsid w:val="009A46AC"/>
    <w:rsid w:val="009A46BF"/>
    <w:rsid w:val="009A477C"/>
    <w:rsid w:val="009A47E1"/>
    <w:rsid w:val="009A481D"/>
    <w:rsid w:val="009A495F"/>
    <w:rsid w:val="009A4A18"/>
    <w:rsid w:val="009A4A1D"/>
    <w:rsid w:val="009A4B60"/>
    <w:rsid w:val="009A4B79"/>
    <w:rsid w:val="009A4BB5"/>
    <w:rsid w:val="009A4BC0"/>
    <w:rsid w:val="009A4BC6"/>
    <w:rsid w:val="009A4C22"/>
    <w:rsid w:val="009A4C5A"/>
    <w:rsid w:val="009A4E36"/>
    <w:rsid w:val="009A4FBD"/>
    <w:rsid w:val="009A4FC6"/>
    <w:rsid w:val="009A514F"/>
    <w:rsid w:val="009A5179"/>
    <w:rsid w:val="009A52B2"/>
    <w:rsid w:val="009A5310"/>
    <w:rsid w:val="009A5382"/>
    <w:rsid w:val="009A5435"/>
    <w:rsid w:val="009A54FA"/>
    <w:rsid w:val="009A5539"/>
    <w:rsid w:val="009A5692"/>
    <w:rsid w:val="009A5703"/>
    <w:rsid w:val="009A577A"/>
    <w:rsid w:val="009A57D5"/>
    <w:rsid w:val="009A58C0"/>
    <w:rsid w:val="009A5961"/>
    <w:rsid w:val="009A59EF"/>
    <w:rsid w:val="009A5A81"/>
    <w:rsid w:val="009A5AE9"/>
    <w:rsid w:val="009A5BD5"/>
    <w:rsid w:val="009A5C34"/>
    <w:rsid w:val="009A5D2C"/>
    <w:rsid w:val="009A5EFD"/>
    <w:rsid w:val="009A60AC"/>
    <w:rsid w:val="009A6274"/>
    <w:rsid w:val="009A63E4"/>
    <w:rsid w:val="009A6454"/>
    <w:rsid w:val="009A654C"/>
    <w:rsid w:val="009A65A7"/>
    <w:rsid w:val="009A6671"/>
    <w:rsid w:val="009A6698"/>
    <w:rsid w:val="009A66AC"/>
    <w:rsid w:val="009A6720"/>
    <w:rsid w:val="009A6824"/>
    <w:rsid w:val="009A6870"/>
    <w:rsid w:val="009A68FB"/>
    <w:rsid w:val="009A6905"/>
    <w:rsid w:val="009A690A"/>
    <w:rsid w:val="009A6B66"/>
    <w:rsid w:val="009A6BBD"/>
    <w:rsid w:val="009A6CF6"/>
    <w:rsid w:val="009A6EC3"/>
    <w:rsid w:val="009A6F33"/>
    <w:rsid w:val="009A6F45"/>
    <w:rsid w:val="009A6F86"/>
    <w:rsid w:val="009A704E"/>
    <w:rsid w:val="009A7080"/>
    <w:rsid w:val="009A717F"/>
    <w:rsid w:val="009A71A7"/>
    <w:rsid w:val="009A7286"/>
    <w:rsid w:val="009A72A0"/>
    <w:rsid w:val="009A74E6"/>
    <w:rsid w:val="009A7547"/>
    <w:rsid w:val="009A7789"/>
    <w:rsid w:val="009A77A1"/>
    <w:rsid w:val="009A77B2"/>
    <w:rsid w:val="009A794B"/>
    <w:rsid w:val="009A7A0F"/>
    <w:rsid w:val="009A7B75"/>
    <w:rsid w:val="009A7E34"/>
    <w:rsid w:val="009A7E41"/>
    <w:rsid w:val="009A7E94"/>
    <w:rsid w:val="009A7F17"/>
    <w:rsid w:val="009A7F3B"/>
    <w:rsid w:val="009A7F52"/>
    <w:rsid w:val="009A7FC9"/>
    <w:rsid w:val="009B0026"/>
    <w:rsid w:val="009B005C"/>
    <w:rsid w:val="009B0198"/>
    <w:rsid w:val="009B01C5"/>
    <w:rsid w:val="009B02AC"/>
    <w:rsid w:val="009B02B2"/>
    <w:rsid w:val="009B03B0"/>
    <w:rsid w:val="009B03C7"/>
    <w:rsid w:val="009B0463"/>
    <w:rsid w:val="009B05DA"/>
    <w:rsid w:val="009B0611"/>
    <w:rsid w:val="009B087B"/>
    <w:rsid w:val="009B0901"/>
    <w:rsid w:val="009B0903"/>
    <w:rsid w:val="009B0AAE"/>
    <w:rsid w:val="009B0F2E"/>
    <w:rsid w:val="009B0F2F"/>
    <w:rsid w:val="009B0F45"/>
    <w:rsid w:val="009B0FFE"/>
    <w:rsid w:val="009B1066"/>
    <w:rsid w:val="009B1069"/>
    <w:rsid w:val="009B1180"/>
    <w:rsid w:val="009B11A8"/>
    <w:rsid w:val="009B1382"/>
    <w:rsid w:val="009B1394"/>
    <w:rsid w:val="009B13C9"/>
    <w:rsid w:val="009B14F8"/>
    <w:rsid w:val="009B1549"/>
    <w:rsid w:val="009B16D8"/>
    <w:rsid w:val="009B1747"/>
    <w:rsid w:val="009B175E"/>
    <w:rsid w:val="009B1B11"/>
    <w:rsid w:val="009B1B4E"/>
    <w:rsid w:val="009B1C35"/>
    <w:rsid w:val="009B1CCD"/>
    <w:rsid w:val="009B1D63"/>
    <w:rsid w:val="009B1E57"/>
    <w:rsid w:val="009B1F07"/>
    <w:rsid w:val="009B2058"/>
    <w:rsid w:val="009B206D"/>
    <w:rsid w:val="009B2094"/>
    <w:rsid w:val="009B20DA"/>
    <w:rsid w:val="009B2102"/>
    <w:rsid w:val="009B2167"/>
    <w:rsid w:val="009B2171"/>
    <w:rsid w:val="009B2302"/>
    <w:rsid w:val="009B2417"/>
    <w:rsid w:val="009B2533"/>
    <w:rsid w:val="009B2560"/>
    <w:rsid w:val="009B25B0"/>
    <w:rsid w:val="009B25C4"/>
    <w:rsid w:val="009B25CD"/>
    <w:rsid w:val="009B25D6"/>
    <w:rsid w:val="009B2832"/>
    <w:rsid w:val="009B2AD5"/>
    <w:rsid w:val="009B2BC3"/>
    <w:rsid w:val="009B2CCB"/>
    <w:rsid w:val="009B2DB1"/>
    <w:rsid w:val="009B2F8D"/>
    <w:rsid w:val="009B3071"/>
    <w:rsid w:val="009B3123"/>
    <w:rsid w:val="009B33C6"/>
    <w:rsid w:val="009B33FD"/>
    <w:rsid w:val="009B3458"/>
    <w:rsid w:val="009B357C"/>
    <w:rsid w:val="009B3618"/>
    <w:rsid w:val="009B3623"/>
    <w:rsid w:val="009B3624"/>
    <w:rsid w:val="009B396E"/>
    <w:rsid w:val="009B39B5"/>
    <w:rsid w:val="009B39CF"/>
    <w:rsid w:val="009B3A9E"/>
    <w:rsid w:val="009B3AA9"/>
    <w:rsid w:val="009B3AE8"/>
    <w:rsid w:val="009B3BFB"/>
    <w:rsid w:val="009B3C4D"/>
    <w:rsid w:val="009B3C6C"/>
    <w:rsid w:val="009B40BD"/>
    <w:rsid w:val="009B415A"/>
    <w:rsid w:val="009B4161"/>
    <w:rsid w:val="009B4259"/>
    <w:rsid w:val="009B425F"/>
    <w:rsid w:val="009B4269"/>
    <w:rsid w:val="009B459A"/>
    <w:rsid w:val="009B45D8"/>
    <w:rsid w:val="009B4A48"/>
    <w:rsid w:val="009B4D79"/>
    <w:rsid w:val="009B4DB8"/>
    <w:rsid w:val="009B4DC4"/>
    <w:rsid w:val="009B4DF4"/>
    <w:rsid w:val="009B4EDE"/>
    <w:rsid w:val="009B5044"/>
    <w:rsid w:val="009B5193"/>
    <w:rsid w:val="009B51F5"/>
    <w:rsid w:val="009B5219"/>
    <w:rsid w:val="009B5262"/>
    <w:rsid w:val="009B52D0"/>
    <w:rsid w:val="009B538A"/>
    <w:rsid w:val="009B541A"/>
    <w:rsid w:val="009B543C"/>
    <w:rsid w:val="009B5499"/>
    <w:rsid w:val="009B54DD"/>
    <w:rsid w:val="009B55C8"/>
    <w:rsid w:val="009B56A6"/>
    <w:rsid w:val="009B586E"/>
    <w:rsid w:val="009B5870"/>
    <w:rsid w:val="009B58EE"/>
    <w:rsid w:val="009B5948"/>
    <w:rsid w:val="009B5A41"/>
    <w:rsid w:val="009B5A5C"/>
    <w:rsid w:val="009B5B31"/>
    <w:rsid w:val="009B5B41"/>
    <w:rsid w:val="009B5C79"/>
    <w:rsid w:val="009B5D48"/>
    <w:rsid w:val="009B5D72"/>
    <w:rsid w:val="009B5DB7"/>
    <w:rsid w:val="009B5DD8"/>
    <w:rsid w:val="009B5EA4"/>
    <w:rsid w:val="009B613A"/>
    <w:rsid w:val="009B63E1"/>
    <w:rsid w:val="009B64C9"/>
    <w:rsid w:val="009B657C"/>
    <w:rsid w:val="009B66F2"/>
    <w:rsid w:val="009B671F"/>
    <w:rsid w:val="009B6758"/>
    <w:rsid w:val="009B677B"/>
    <w:rsid w:val="009B6788"/>
    <w:rsid w:val="009B68DA"/>
    <w:rsid w:val="009B69E3"/>
    <w:rsid w:val="009B6A21"/>
    <w:rsid w:val="009B6A4D"/>
    <w:rsid w:val="009B6B55"/>
    <w:rsid w:val="009B6BE9"/>
    <w:rsid w:val="009B6C39"/>
    <w:rsid w:val="009B6C49"/>
    <w:rsid w:val="009B6CEE"/>
    <w:rsid w:val="009B6DB5"/>
    <w:rsid w:val="009B6F08"/>
    <w:rsid w:val="009B704A"/>
    <w:rsid w:val="009B705F"/>
    <w:rsid w:val="009B717C"/>
    <w:rsid w:val="009B7186"/>
    <w:rsid w:val="009B7204"/>
    <w:rsid w:val="009B7211"/>
    <w:rsid w:val="009B738D"/>
    <w:rsid w:val="009B7397"/>
    <w:rsid w:val="009B7436"/>
    <w:rsid w:val="009B74E1"/>
    <w:rsid w:val="009B74E7"/>
    <w:rsid w:val="009B760B"/>
    <w:rsid w:val="009B76D0"/>
    <w:rsid w:val="009B76E6"/>
    <w:rsid w:val="009B780C"/>
    <w:rsid w:val="009B783C"/>
    <w:rsid w:val="009B7910"/>
    <w:rsid w:val="009B7911"/>
    <w:rsid w:val="009B796D"/>
    <w:rsid w:val="009B797C"/>
    <w:rsid w:val="009B79F9"/>
    <w:rsid w:val="009B7A75"/>
    <w:rsid w:val="009B7AA1"/>
    <w:rsid w:val="009B7B6B"/>
    <w:rsid w:val="009B7C15"/>
    <w:rsid w:val="009B7D01"/>
    <w:rsid w:val="009B7D53"/>
    <w:rsid w:val="009B7E01"/>
    <w:rsid w:val="009B7E20"/>
    <w:rsid w:val="009B7E76"/>
    <w:rsid w:val="009B7EC7"/>
    <w:rsid w:val="009B7F52"/>
    <w:rsid w:val="009C00AA"/>
    <w:rsid w:val="009C0146"/>
    <w:rsid w:val="009C0272"/>
    <w:rsid w:val="009C03DA"/>
    <w:rsid w:val="009C0461"/>
    <w:rsid w:val="009C056B"/>
    <w:rsid w:val="009C05A0"/>
    <w:rsid w:val="009C066B"/>
    <w:rsid w:val="009C0692"/>
    <w:rsid w:val="009C07A7"/>
    <w:rsid w:val="009C0821"/>
    <w:rsid w:val="009C08AB"/>
    <w:rsid w:val="009C08BC"/>
    <w:rsid w:val="009C0A49"/>
    <w:rsid w:val="009C0AAF"/>
    <w:rsid w:val="009C0AFC"/>
    <w:rsid w:val="009C0B09"/>
    <w:rsid w:val="009C0C8C"/>
    <w:rsid w:val="009C0C91"/>
    <w:rsid w:val="009C0CE2"/>
    <w:rsid w:val="009C0CF1"/>
    <w:rsid w:val="009C0DA7"/>
    <w:rsid w:val="009C0EAE"/>
    <w:rsid w:val="009C0F5F"/>
    <w:rsid w:val="009C0FC9"/>
    <w:rsid w:val="009C1046"/>
    <w:rsid w:val="009C112C"/>
    <w:rsid w:val="009C130D"/>
    <w:rsid w:val="009C1362"/>
    <w:rsid w:val="009C15B2"/>
    <w:rsid w:val="009C16FE"/>
    <w:rsid w:val="009C178A"/>
    <w:rsid w:val="009C18B9"/>
    <w:rsid w:val="009C18D6"/>
    <w:rsid w:val="009C19C4"/>
    <w:rsid w:val="009C1AE4"/>
    <w:rsid w:val="009C1B2B"/>
    <w:rsid w:val="009C1B70"/>
    <w:rsid w:val="009C1B8C"/>
    <w:rsid w:val="009C1BD6"/>
    <w:rsid w:val="009C1CEF"/>
    <w:rsid w:val="009C1FB8"/>
    <w:rsid w:val="009C2065"/>
    <w:rsid w:val="009C2094"/>
    <w:rsid w:val="009C2144"/>
    <w:rsid w:val="009C21AE"/>
    <w:rsid w:val="009C21D9"/>
    <w:rsid w:val="009C21E9"/>
    <w:rsid w:val="009C2469"/>
    <w:rsid w:val="009C2514"/>
    <w:rsid w:val="009C2524"/>
    <w:rsid w:val="009C2559"/>
    <w:rsid w:val="009C259E"/>
    <w:rsid w:val="009C2708"/>
    <w:rsid w:val="009C27B6"/>
    <w:rsid w:val="009C283D"/>
    <w:rsid w:val="009C2A64"/>
    <w:rsid w:val="009C2C32"/>
    <w:rsid w:val="009C2C3A"/>
    <w:rsid w:val="009C2D8D"/>
    <w:rsid w:val="009C2DF6"/>
    <w:rsid w:val="009C2EC8"/>
    <w:rsid w:val="009C2EE7"/>
    <w:rsid w:val="009C302F"/>
    <w:rsid w:val="009C303C"/>
    <w:rsid w:val="009C30B2"/>
    <w:rsid w:val="009C31AA"/>
    <w:rsid w:val="009C31DE"/>
    <w:rsid w:val="009C31F7"/>
    <w:rsid w:val="009C321F"/>
    <w:rsid w:val="009C342A"/>
    <w:rsid w:val="009C351D"/>
    <w:rsid w:val="009C35BE"/>
    <w:rsid w:val="009C35C0"/>
    <w:rsid w:val="009C3610"/>
    <w:rsid w:val="009C3710"/>
    <w:rsid w:val="009C3760"/>
    <w:rsid w:val="009C376A"/>
    <w:rsid w:val="009C382A"/>
    <w:rsid w:val="009C3848"/>
    <w:rsid w:val="009C3960"/>
    <w:rsid w:val="009C3978"/>
    <w:rsid w:val="009C39EF"/>
    <w:rsid w:val="009C3A81"/>
    <w:rsid w:val="009C3AE1"/>
    <w:rsid w:val="009C3AE2"/>
    <w:rsid w:val="009C3B3F"/>
    <w:rsid w:val="009C3C81"/>
    <w:rsid w:val="009C4027"/>
    <w:rsid w:val="009C40B6"/>
    <w:rsid w:val="009C40F7"/>
    <w:rsid w:val="009C4500"/>
    <w:rsid w:val="009C45C5"/>
    <w:rsid w:val="009C477D"/>
    <w:rsid w:val="009C4796"/>
    <w:rsid w:val="009C4798"/>
    <w:rsid w:val="009C491A"/>
    <w:rsid w:val="009C49B3"/>
    <w:rsid w:val="009C4A5E"/>
    <w:rsid w:val="009C4C23"/>
    <w:rsid w:val="009C4DD7"/>
    <w:rsid w:val="009C4DD8"/>
    <w:rsid w:val="009C4E62"/>
    <w:rsid w:val="009C4F98"/>
    <w:rsid w:val="009C4FC2"/>
    <w:rsid w:val="009C4FC6"/>
    <w:rsid w:val="009C4FCD"/>
    <w:rsid w:val="009C5017"/>
    <w:rsid w:val="009C5181"/>
    <w:rsid w:val="009C5191"/>
    <w:rsid w:val="009C51FF"/>
    <w:rsid w:val="009C5283"/>
    <w:rsid w:val="009C5297"/>
    <w:rsid w:val="009C5403"/>
    <w:rsid w:val="009C543A"/>
    <w:rsid w:val="009C54BF"/>
    <w:rsid w:val="009C54D3"/>
    <w:rsid w:val="009C56CF"/>
    <w:rsid w:val="009C571C"/>
    <w:rsid w:val="009C5777"/>
    <w:rsid w:val="009C5C1B"/>
    <w:rsid w:val="009C5C50"/>
    <w:rsid w:val="009C5D6F"/>
    <w:rsid w:val="009C5DA4"/>
    <w:rsid w:val="009C5EB1"/>
    <w:rsid w:val="009C60C3"/>
    <w:rsid w:val="009C60CB"/>
    <w:rsid w:val="009C61B8"/>
    <w:rsid w:val="009C61CD"/>
    <w:rsid w:val="009C6213"/>
    <w:rsid w:val="009C6271"/>
    <w:rsid w:val="009C6299"/>
    <w:rsid w:val="009C6321"/>
    <w:rsid w:val="009C6864"/>
    <w:rsid w:val="009C688F"/>
    <w:rsid w:val="009C693F"/>
    <w:rsid w:val="009C6950"/>
    <w:rsid w:val="009C698D"/>
    <w:rsid w:val="009C69B8"/>
    <w:rsid w:val="009C6A0E"/>
    <w:rsid w:val="009C6A3C"/>
    <w:rsid w:val="009C6ACF"/>
    <w:rsid w:val="009C6AE9"/>
    <w:rsid w:val="009C6B10"/>
    <w:rsid w:val="009C6C83"/>
    <w:rsid w:val="009C6CF4"/>
    <w:rsid w:val="009C6D12"/>
    <w:rsid w:val="009C6E88"/>
    <w:rsid w:val="009C6ECC"/>
    <w:rsid w:val="009C7162"/>
    <w:rsid w:val="009C717A"/>
    <w:rsid w:val="009C7182"/>
    <w:rsid w:val="009C7243"/>
    <w:rsid w:val="009C729F"/>
    <w:rsid w:val="009C72F4"/>
    <w:rsid w:val="009C73DD"/>
    <w:rsid w:val="009C73E1"/>
    <w:rsid w:val="009C73E4"/>
    <w:rsid w:val="009C73E8"/>
    <w:rsid w:val="009C74D7"/>
    <w:rsid w:val="009C759B"/>
    <w:rsid w:val="009C761E"/>
    <w:rsid w:val="009C7690"/>
    <w:rsid w:val="009C76B1"/>
    <w:rsid w:val="009C77B2"/>
    <w:rsid w:val="009C799D"/>
    <w:rsid w:val="009C7A2D"/>
    <w:rsid w:val="009C7B1A"/>
    <w:rsid w:val="009C7CFD"/>
    <w:rsid w:val="009C7D8A"/>
    <w:rsid w:val="009C7D9E"/>
    <w:rsid w:val="009C7DB6"/>
    <w:rsid w:val="009C7F6D"/>
    <w:rsid w:val="009C7FB0"/>
    <w:rsid w:val="009D003A"/>
    <w:rsid w:val="009D00D9"/>
    <w:rsid w:val="009D02EC"/>
    <w:rsid w:val="009D04D0"/>
    <w:rsid w:val="009D05B0"/>
    <w:rsid w:val="009D065F"/>
    <w:rsid w:val="009D06D4"/>
    <w:rsid w:val="009D07DA"/>
    <w:rsid w:val="009D07F5"/>
    <w:rsid w:val="009D0A13"/>
    <w:rsid w:val="009D0D0D"/>
    <w:rsid w:val="009D0DDB"/>
    <w:rsid w:val="009D0DDE"/>
    <w:rsid w:val="009D0E37"/>
    <w:rsid w:val="009D10C6"/>
    <w:rsid w:val="009D11BF"/>
    <w:rsid w:val="009D11C8"/>
    <w:rsid w:val="009D140B"/>
    <w:rsid w:val="009D156A"/>
    <w:rsid w:val="009D1622"/>
    <w:rsid w:val="009D16DE"/>
    <w:rsid w:val="009D1708"/>
    <w:rsid w:val="009D1725"/>
    <w:rsid w:val="009D1756"/>
    <w:rsid w:val="009D1832"/>
    <w:rsid w:val="009D1992"/>
    <w:rsid w:val="009D1A24"/>
    <w:rsid w:val="009D1AC4"/>
    <w:rsid w:val="009D1B56"/>
    <w:rsid w:val="009D1C8C"/>
    <w:rsid w:val="009D1D9B"/>
    <w:rsid w:val="009D1E09"/>
    <w:rsid w:val="009D1E79"/>
    <w:rsid w:val="009D1F3D"/>
    <w:rsid w:val="009D1FA3"/>
    <w:rsid w:val="009D20FC"/>
    <w:rsid w:val="009D2171"/>
    <w:rsid w:val="009D2195"/>
    <w:rsid w:val="009D21D5"/>
    <w:rsid w:val="009D2312"/>
    <w:rsid w:val="009D2539"/>
    <w:rsid w:val="009D255A"/>
    <w:rsid w:val="009D2586"/>
    <w:rsid w:val="009D258D"/>
    <w:rsid w:val="009D25E8"/>
    <w:rsid w:val="009D268A"/>
    <w:rsid w:val="009D26D2"/>
    <w:rsid w:val="009D2820"/>
    <w:rsid w:val="009D2874"/>
    <w:rsid w:val="009D287F"/>
    <w:rsid w:val="009D2977"/>
    <w:rsid w:val="009D29B9"/>
    <w:rsid w:val="009D29CD"/>
    <w:rsid w:val="009D2A22"/>
    <w:rsid w:val="009D2A95"/>
    <w:rsid w:val="009D2B45"/>
    <w:rsid w:val="009D2BEE"/>
    <w:rsid w:val="009D2C44"/>
    <w:rsid w:val="009D2C52"/>
    <w:rsid w:val="009D2C72"/>
    <w:rsid w:val="009D2D76"/>
    <w:rsid w:val="009D2E48"/>
    <w:rsid w:val="009D301B"/>
    <w:rsid w:val="009D307B"/>
    <w:rsid w:val="009D30CC"/>
    <w:rsid w:val="009D317F"/>
    <w:rsid w:val="009D318F"/>
    <w:rsid w:val="009D319C"/>
    <w:rsid w:val="009D3220"/>
    <w:rsid w:val="009D3241"/>
    <w:rsid w:val="009D32C0"/>
    <w:rsid w:val="009D3391"/>
    <w:rsid w:val="009D33AA"/>
    <w:rsid w:val="009D346B"/>
    <w:rsid w:val="009D34AB"/>
    <w:rsid w:val="009D3511"/>
    <w:rsid w:val="009D3758"/>
    <w:rsid w:val="009D37A8"/>
    <w:rsid w:val="009D37F1"/>
    <w:rsid w:val="009D38B3"/>
    <w:rsid w:val="009D38CF"/>
    <w:rsid w:val="009D3932"/>
    <w:rsid w:val="009D39F7"/>
    <w:rsid w:val="009D3B5C"/>
    <w:rsid w:val="009D3C5B"/>
    <w:rsid w:val="009D3C62"/>
    <w:rsid w:val="009D3C87"/>
    <w:rsid w:val="009D3C88"/>
    <w:rsid w:val="009D3D69"/>
    <w:rsid w:val="009D3EB7"/>
    <w:rsid w:val="009D3EC6"/>
    <w:rsid w:val="009D3EF4"/>
    <w:rsid w:val="009D3F66"/>
    <w:rsid w:val="009D3FEE"/>
    <w:rsid w:val="009D401D"/>
    <w:rsid w:val="009D40B4"/>
    <w:rsid w:val="009D4167"/>
    <w:rsid w:val="009D41A5"/>
    <w:rsid w:val="009D4264"/>
    <w:rsid w:val="009D4313"/>
    <w:rsid w:val="009D433C"/>
    <w:rsid w:val="009D4358"/>
    <w:rsid w:val="009D4452"/>
    <w:rsid w:val="009D4565"/>
    <w:rsid w:val="009D4629"/>
    <w:rsid w:val="009D48D9"/>
    <w:rsid w:val="009D48E2"/>
    <w:rsid w:val="009D493E"/>
    <w:rsid w:val="009D4998"/>
    <w:rsid w:val="009D49FA"/>
    <w:rsid w:val="009D4A50"/>
    <w:rsid w:val="009D4B9A"/>
    <w:rsid w:val="009D4BF1"/>
    <w:rsid w:val="009D4C85"/>
    <w:rsid w:val="009D4E11"/>
    <w:rsid w:val="009D4F40"/>
    <w:rsid w:val="009D4FC1"/>
    <w:rsid w:val="009D4FC3"/>
    <w:rsid w:val="009D50C7"/>
    <w:rsid w:val="009D511B"/>
    <w:rsid w:val="009D5177"/>
    <w:rsid w:val="009D5190"/>
    <w:rsid w:val="009D53DC"/>
    <w:rsid w:val="009D53EF"/>
    <w:rsid w:val="009D5456"/>
    <w:rsid w:val="009D545A"/>
    <w:rsid w:val="009D5465"/>
    <w:rsid w:val="009D551D"/>
    <w:rsid w:val="009D552D"/>
    <w:rsid w:val="009D554D"/>
    <w:rsid w:val="009D55A2"/>
    <w:rsid w:val="009D55D8"/>
    <w:rsid w:val="009D56AB"/>
    <w:rsid w:val="009D5709"/>
    <w:rsid w:val="009D572E"/>
    <w:rsid w:val="009D57C4"/>
    <w:rsid w:val="009D5818"/>
    <w:rsid w:val="009D599B"/>
    <w:rsid w:val="009D5AFA"/>
    <w:rsid w:val="009D5C70"/>
    <w:rsid w:val="009D5CBB"/>
    <w:rsid w:val="009D5D3C"/>
    <w:rsid w:val="009D5DB3"/>
    <w:rsid w:val="009D5DCE"/>
    <w:rsid w:val="009D5DD8"/>
    <w:rsid w:val="009D5E1B"/>
    <w:rsid w:val="009D5F6D"/>
    <w:rsid w:val="009D5F7B"/>
    <w:rsid w:val="009D6080"/>
    <w:rsid w:val="009D60BA"/>
    <w:rsid w:val="009D61D2"/>
    <w:rsid w:val="009D61DD"/>
    <w:rsid w:val="009D6417"/>
    <w:rsid w:val="009D6456"/>
    <w:rsid w:val="009D64C2"/>
    <w:rsid w:val="009D6647"/>
    <w:rsid w:val="009D668C"/>
    <w:rsid w:val="009D6748"/>
    <w:rsid w:val="009D6890"/>
    <w:rsid w:val="009D6915"/>
    <w:rsid w:val="009D69CA"/>
    <w:rsid w:val="009D6A04"/>
    <w:rsid w:val="009D6A1F"/>
    <w:rsid w:val="009D6A3E"/>
    <w:rsid w:val="009D6B5C"/>
    <w:rsid w:val="009D6BF5"/>
    <w:rsid w:val="009D6C2C"/>
    <w:rsid w:val="009D6C4C"/>
    <w:rsid w:val="009D6C97"/>
    <w:rsid w:val="009D6D2C"/>
    <w:rsid w:val="009D6DA6"/>
    <w:rsid w:val="009D6E51"/>
    <w:rsid w:val="009D6F0D"/>
    <w:rsid w:val="009D6FE7"/>
    <w:rsid w:val="009D7012"/>
    <w:rsid w:val="009D7111"/>
    <w:rsid w:val="009D72F9"/>
    <w:rsid w:val="009D732C"/>
    <w:rsid w:val="009D732F"/>
    <w:rsid w:val="009D7441"/>
    <w:rsid w:val="009D7454"/>
    <w:rsid w:val="009D7611"/>
    <w:rsid w:val="009D764E"/>
    <w:rsid w:val="009D78EF"/>
    <w:rsid w:val="009D7A7D"/>
    <w:rsid w:val="009D7B4A"/>
    <w:rsid w:val="009D7BE0"/>
    <w:rsid w:val="009D7E21"/>
    <w:rsid w:val="009D7E3B"/>
    <w:rsid w:val="009D7F2C"/>
    <w:rsid w:val="009E0027"/>
    <w:rsid w:val="009E016A"/>
    <w:rsid w:val="009E018D"/>
    <w:rsid w:val="009E025C"/>
    <w:rsid w:val="009E0309"/>
    <w:rsid w:val="009E03D9"/>
    <w:rsid w:val="009E0453"/>
    <w:rsid w:val="009E04EF"/>
    <w:rsid w:val="009E05F1"/>
    <w:rsid w:val="009E06B3"/>
    <w:rsid w:val="009E0891"/>
    <w:rsid w:val="009E089F"/>
    <w:rsid w:val="009E0901"/>
    <w:rsid w:val="009E0941"/>
    <w:rsid w:val="009E09DD"/>
    <w:rsid w:val="009E0B3E"/>
    <w:rsid w:val="009E0BAC"/>
    <w:rsid w:val="009E0C60"/>
    <w:rsid w:val="009E0C92"/>
    <w:rsid w:val="009E0CC9"/>
    <w:rsid w:val="009E0E0A"/>
    <w:rsid w:val="009E0F73"/>
    <w:rsid w:val="009E101C"/>
    <w:rsid w:val="009E10FA"/>
    <w:rsid w:val="009E1170"/>
    <w:rsid w:val="009E1292"/>
    <w:rsid w:val="009E12F7"/>
    <w:rsid w:val="009E1380"/>
    <w:rsid w:val="009E148D"/>
    <w:rsid w:val="009E14A5"/>
    <w:rsid w:val="009E1551"/>
    <w:rsid w:val="009E1754"/>
    <w:rsid w:val="009E1811"/>
    <w:rsid w:val="009E1845"/>
    <w:rsid w:val="009E19C4"/>
    <w:rsid w:val="009E19E0"/>
    <w:rsid w:val="009E19F1"/>
    <w:rsid w:val="009E1ABB"/>
    <w:rsid w:val="009E1B37"/>
    <w:rsid w:val="009E1B77"/>
    <w:rsid w:val="009E1B9B"/>
    <w:rsid w:val="009E1BD4"/>
    <w:rsid w:val="009E1C1D"/>
    <w:rsid w:val="009E1D4B"/>
    <w:rsid w:val="009E1D4E"/>
    <w:rsid w:val="009E1D99"/>
    <w:rsid w:val="009E1DD9"/>
    <w:rsid w:val="009E1F2A"/>
    <w:rsid w:val="009E20DA"/>
    <w:rsid w:val="009E2116"/>
    <w:rsid w:val="009E2192"/>
    <w:rsid w:val="009E228A"/>
    <w:rsid w:val="009E2296"/>
    <w:rsid w:val="009E2330"/>
    <w:rsid w:val="009E2368"/>
    <w:rsid w:val="009E23E8"/>
    <w:rsid w:val="009E2435"/>
    <w:rsid w:val="009E248D"/>
    <w:rsid w:val="009E2500"/>
    <w:rsid w:val="009E254D"/>
    <w:rsid w:val="009E257D"/>
    <w:rsid w:val="009E25FA"/>
    <w:rsid w:val="009E2624"/>
    <w:rsid w:val="009E2642"/>
    <w:rsid w:val="009E270F"/>
    <w:rsid w:val="009E2757"/>
    <w:rsid w:val="009E2904"/>
    <w:rsid w:val="009E2A22"/>
    <w:rsid w:val="009E2AD7"/>
    <w:rsid w:val="009E2AF4"/>
    <w:rsid w:val="009E2B31"/>
    <w:rsid w:val="009E2BC2"/>
    <w:rsid w:val="009E2BE8"/>
    <w:rsid w:val="009E2C34"/>
    <w:rsid w:val="009E2CAA"/>
    <w:rsid w:val="009E2D72"/>
    <w:rsid w:val="009E2E27"/>
    <w:rsid w:val="009E2ECA"/>
    <w:rsid w:val="009E2F9E"/>
    <w:rsid w:val="009E3058"/>
    <w:rsid w:val="009E308B"/>
    <w:rsid w:val="009E31C7"/>
    <w:rsid w:val="009E3278"/>
    <w:rsid w:val="009E3286"/>
    <w:rsid w:val="009E3439"/>
    <w:rsid w:val="009E3629"/>
    <w:rsid w:val="009E3844"/>
    <w:rsid w:val="009E398A"/>
    <w:rsid w:val="009E399C"/>
    <w:rsid w:val="009E3A1A"/>
    <w:rsid w:val="009E3B0D"/>
    <w:rsid w:val="009E3BAD"/>
    <w:rsid w:val="009E3BE4"/>
    <w:rsid w:val="009E3C63"/>
    <w:rsid w:val="009E3D5A"/>
    <w:rsid w:val="009E3F10"/>
    <w:rsid w:val="009E3F2D"/>
    <w:rsid w:val="009E3F6F"/>
    <w:rsid w:val="009E404D"/>
    <w:rsid w:val="009E409B"/>
    <w:rsid w:val="009E40A0"/>
    <w:rsid w:val="009E4124"/>
    <w:rsid w:val="009E4134"/>
    <w:rsid w:val="009E4239"/>
    <w:rsid w:val="009E46EE"/>
    <w:rsid w:val="009E484F"/>
    <w:rsid w:val="009E49DD"/>
    <w:rsid w:val="009E4CF6"/>
    <w:rsid w:val="009E4D3B"/>
    <w:rsid w:val="009E5058"/>
    <w:rsid w:val="009E51AF"/>
    <w:rsid w:val="009E5396"/>
    <w:rsid w:val="009E5427"/>
    <w:rsid w:val="009E544D"/>
    <w:rsid w:val="009E54C6"/>
    <w:rsid w:val="009E5600"/>
    <w:rsid w:val="009E5716"/>
    <w:rsid w:val="009E5753"/>
    <w:rsid w:val="009E57D3"/>
    <w:rsid w:val="009E5829"/>
    <w:rsid w:val="009E58E8"/>
    <w:rsid w:val="009E596B"/>
    <w:rsid w:val="009E59AF"/>
    <w:rsid w:val="009E5AB5"/>
    <w:rsid w:val="009E5B9C"/>
    <w:rsid w:val="009E5D30"/>
    <w:rsid w:val="009E5E33"/>
    <w:rsid w:val="009E5ECD"/>
    <w:rsid w:val="009E5ED1"/>
    <w:rsid w:val="009E5EFB"/>
    <w:rsid w:val="009E5F32"/>
    <w:rsid w:val="009E6006"/>
    <w:rsid w:val="009E60AD"/>
    <w:rsid w:val="009E60C7"/>
    <w:rsid w:val="009E610E"/>
    <w:rsid w:val="009E61E7"/>
    <w:rsid w:val="009E627C"/>
    <w:rsid w:val="009E633C"/>
    <w:rsid w:val="009E6360"/>
    <w:rsid w:val="009E63E5"/>
    <w:rsid w:val="009E645B"/>
    <w:rsid w:val="009E645C"/>
    <w:rsid w:val="009E6553"/>
    <w:rsid w:val="009E6561"/>
    <w:rsid w:val="009E6585"/>
    <w:rsid w:val="009E6626"/>
    <w:rsid w:val="009E665A"/>
    <w:rsid w:val="009E67AB"/>
    <w:rsid w:val="009E686E"/>
    <w:rsid w:val="009E6874"/>
    <w:rsid w:val="009E6944"/>
    <w:rsid w:val="009E6958"/>
    <w:rsid w:val="009E6961"/>
    <w:rsid w:val="009E6C03"/>
    <w:rsid w:val="009E6C30"/>
    <w:rsid w:val="009E6D26"/>
    <w:rsid w:val="009E6DEC"/>
    <w:rsid w:val="009E6DFC"/>
    <w:rsid w:val="009E6F5A"/>
    <w:rsid w:val="009E6FDB"/>
    <w:rsid w:val="009E70B0"/>
    <w:rsid w:val="009E710C"/>
    <w:rsid w:val="009E7114"/>
    <w:rsid w:val="009E7129"/>
    <w:rsid w:val="009E734E"/>
    <w:rsid w:val="009E736C"/>
    <w:rsid w:val="009E752D"/>
    <w:rsid w:val="009E75F1"/>
    <w:rsid w:val="009E7643"/>
    <w:rsid w:val="009E7653"/>
    <w:rsid w:val="009E76C7"/>
    <w:rsid w:val="009E76DE"/>
    <w:rsid w:val="009E7720"/>
    <w:rsid w:val="009E780C"/>
    <w:rsid w:val="009E7859"/>
    <w:rsid w:val="009E7905"/>
    <w:rsid w:val="009E795C"/>
    <w:rsid w:val="009E7A0C"/>
    <w:rsid w:val="009E7A61"/>
    <w:rsid w:val="009E7B48"/>
    <w:rsid w:val="009E7BBC"/>
    <w:rsid w:val="009E7C05"/>
    <w:rsid w:val="009E7C7A"/>
    <w:rsid w:val="009E7CEE"/>
    <w:rsid w:val="009E7D31"/>
    <w:rsid w:val="009E7D52"/>
    <w:rsid w:val="009E7E0F"/>
    <w:rsid w:val="009E7F33"/>
    <w:rsid w:val="009E7F68"/>
    <w:rsid w:val="009F0165"/>
    <w:rsid w:val="009F0268"/>
    <w:rsid w:val="009F0276"/>
    <w:rsid w:val="009F02E0"/>
    <w:rsid w:val="009F0416"/>
    <w:rsid w:val="009F04D9"/>
    <w:rsid w:val="009F055F"/>
    <w:rsid w:val="009F063F"/>
    <w:rsid w:val="009F07A6"/>
    <w:rsid w:val="009F08BE"/>
    <w:rsid w:val="009F093F"/>
    <w:rsid w:val="009F09D2"/>
    <w:rsid w:val="009F0B52"/>
    <w:rsid w:val="009F0C3D"/>
    <w:rsid w:val="009F0CA6"/>
    <w:rsid w:val="009F0E7B"/>
    <w:rsid w:val="009F0EE0"/>
    <w:rsid w:val="009F0F5E"/>
    <w:rsid w:val="009F0FCD"/>
    <w:rsid w:val="009F0FE1"/>
    <w:rsid w:val="009F1030"/>
    <w:rsid w:val="009F110F"/>
    <w:rsid w:val="009F11C7"/>
    <w:rsid w:val="009F12A2"/>
    <w:rsid w:val="009F1366"/>
    <w:rsid w:val="009F140E"/>
    <w:rsid w:val="009F1414"/>
    <w:rsid w:val="009F142A"/>
    <w:rsid w:val="009F152C"/>
    <w:rsid w:val="009F15C7"/>
    <w:rsid w:val="009F1659"/>
    <w:rsid w:val="009F1770"/>
    <w:rsid w:val="009F17DF"/>
    <w:rsid w:val="009F1A5B"/>
    <w:rsid w:val="009F1A90"/>
    <w:rsid w:val="009F1B30"/>
    <w:rsid w:val="009F1C0F"/>
    <w:rsid w:val="009F1C7B"/>
    <w:rsid w:val="009F1DDC"/>
    <w:rsid w:val="009F1E5A"/>
    <w:rsid w:val="009F1EE8"/>
    <w:rsid w:val="009F205F"/>
    <w:rsid w:val="009F208E"/>
    <w:rsid w:val="009F20AE"/>
    <w:rsid w:val="009F20B9"/>
    <w:rsid w:val="009F215C"/>
    <w:rsid w:val="009F2173"/>
    <w:rsid w:val="009F21CD"/>
    <w:rsid w:val="009F21F1"/>
    <w:rsid w:val="009F2228"/>
    <w:rsid w:val="009F2251"/>
    <w:rsid w:val="009F2273"/>
    <w:rsid w:val="009F23FD"/>
    <w:rsid w:val="009F246E"/>
    <w:rsid w:val="009F263F"/>
    <w:rsid w:val="009F26CE"/>
    <w:rsid w:val="009F2772"/>
    <w:rsid w:val="009F279E"/>
    <w:rsid w:val="009F2842"/>
    <w:rsid w:val="009F2845"/>
    <w:rsid w:val="009F284C"/>
    <w:rsid w:val="009F29DF"/>
    <w:rsid w:val="009F2A3C"/>
    <w:rsid w:val="009F2A54"/>
    <w:rsid w:val="009F2AE6"/>
    <w:rsid w:val="009F2B96"/>
    <w:rsid w:val="009F2C54"/>
    <w:rsid w:val="009F2D0E"/>
    <w:rsid w:val="009F2E0F"/>
    <w:rsid w:val="009F2E1B"/>
    <w:rsid w:val="009F2FAE"/>
    <w:rsid w:val="009F3180"/>
    <w:rsid w:val="009F31BB"/>
    <w:rsid w:val="009F31DF"/>
    <w:rsid w:val="009F31F1"/>
    <w:rsid w:val="009F3313"/>
    <w:rsid w:val="009F3359"/>
    <w:rsid w:val="009F336D"/>
    <w:rsid w:val="009F33BF"/>
    <w:rsid w:val="009F34FE"/>
    <w:rsid w:val="009F3600"/>
    <w:rsid w:val="009F3612"/>
    <w:rsid w:val="009F36B8"/>
    <w:rsid w:val="009F3831"/>
    <w:rsid w:val="009F3876"/>
    <w:rsid w:val="009F3A38"/>
    <w:rsid w:val="009F3A9A"/>
    <w:rsid w:val="009F3AB5"/>
    <w:rsid w:val="009F3B0B"/>
    <w:rsid w:val="009F3B98"/>
    <w:rsid w:val="009F3C40"/>
    <w:rsid w:val="009F3D61"/>
    <w:rsid w:val="009F3E18"/>
    <w:rsid w:val="009F3E57"/>
    <w:rsid w:val="009F401A"/>
    <w:rsid w:val="009F401C"/>
    <w:rsid w:val="009F418C"/>
    <w:rsid w:val="009F441D"/>
    <w:rsid w:val="009F444C"/>
    <w:rsid w:val="009F4553"/>
    <w:rsid w:val="009F4555"/>
    <w:rsid w:val="009F461B"/>
    <w:rsid w:val="009F46EE"/>
    <w:rsid w:val="009F4721"/>
    <w:rsid w:val="009F4851"/>
    <w:rsid w:val="009F48EB"/>
    <w:rsid w:val="009F48FB"/>
    <w:rsid w:val="009F4934"/>
    <w:rsid w:val="009F49D9"/>
    <w:rsid w:val="009F4A36"/>
    <w:rsid w:val="009F4A72"/>
    <w:rsid w:val="009F4BBE"/>
    <w:rsid w:val="009F4C51"/>
    <w:rsid w:val="009F4DD9"/>
    <w:rsid w:val="009F4E32"/>
    <w:rsid w:val="009F5205"/>
    <w:rsid w:val="009F522F"/>
    <w:rsid w:val="009F526A"/>
    <w:rsid w:val="009F52F1"/>
    <w:rsid w:val="009F52F6"/>
    <w:rsid w:val="009F5323"/>
    <w:rsid w:val="009F535E"/>
    <w:rsid w:val="009F53F0"/>
    <w:rsid w:val="009F5408"/>
    <w:rsid w:val="009F541D"/>
    <w:rsid w:val="009F543D"/>
    <w:rsid w:val="009F547E"/>
    <w:rsid w:val="009F557A"/>
    <w:rsid w:val="009F568A"/>
    <w:rsid w:val="009F56A0"/>
    <w:rsid w:val="009F57AC"/>
    <w:rsid w:val="009F5A8A"/>
    <w:rsid w:val="009F5B1B"/>
    <w:rsid w:val="009F5BC5"/>
    <w:rsid w:val="009F5CF6"/>
    <w:rsid w:val="009F5D2C"/>
    <w:rsid w:val="009F5D6F"/>
    <w:rsid w:val="009F5E7C"/>
    <w:rsid w:val="009F5FF2"/>
    <w:rsid w:val="009F6036"/>
    <w:rsid w:val="009F605B"/>
    <w:rsid w:val="009F6126"/>
    <w:rsid w:val="009F6183"/>
    <w:rsid w:val="009F6199"/>
    <w:rsid w:val="009F624F"/>
    <w:rsid w:val="009F62F6"/>
    <w:rsid w:val="009F6396"/>
    <w:rsid w:val="009F6558"/>
    <w:rsid w:val="009F6572"/>
    <w:rsid w:val="009F65FF"/>
    <w:rsid w:val="009F66DF"/>
    <w:rsid w:val="009F67C4"/>
    <w:rsid w:val="009F680B"/>
    <w:rsid w:val="009F683C"/>
    <w:rsid w:val="009F68B6"/>
    <w:rsid w:val="009F68D2"/>
    <w:rsid w:val="009F6984"/>
    <w:rsid w:val="009F6998"/>
    <w:rsid w:val="009F6A0C"/>
    <w:rsid w:val="009F6B4A"/>
    <w:rsid w:val="009F6B61"/>
    <w:rsid w:val="009F6C1A"/>
    <w:rsid w:val="009F6C34"/>
    <w:rsid w:val="009F6C4D"/>
    <w:rsid w:val="009F6CA7"/>
    <w:rsid w:val="009F6D2D"/>
    <w:rsid w:val="009F6DA4"/>
    <w:rsid w:val="009F6DF8"/>
    <w:rsid w:val="009F6E61"/>
    <w:rsid w:val="009F6F08"/>
    <w:rsid w:val="009F6F18"/>
    <w:rsid w:val="009F6F32"/>
    <w:rsid w:val="009F6F5E"/>
    <w:rsid w:val="009F6FE7"/>
    <w:rsid w:val="009F7144"/>
    <w:rsid w:val="009F7157"/>
    <w:rsid w:val="009F719E"/>
    <w:rsid w:val="009F72AF"/>
    <w:rsid w:val="009F73B8"/>
    <w:rsid w:val="009F73CD"/>
    <w:rsid w:val="009F74C3"/>
    <w:rsid w:val="009F74E6"/>
    <w:rsid w:val="009F74F8"/>
    <w:rsid w:val="009F7529"/>
    <w:rsid w:val="009F75CA"/>
    <w:rsid w:val="009F78B9"/>
    <w:rsid w:val="009F7B7D"/>
    <w:rsid w:val="009F7D4D"/>
    <w:rsid w:val="009F7E3F"/>
    <w:rsid w:val="009F7EAE"/>
    <w:rsid w:val="009F7EC2"/>
    <w:rsid w:val="009F7F2A"/>
    <w:rsid w:val="00A0006A"/>
    <w:rsid w:val="00A001E1"/>
    <w:rsid w:val="00A001FE"/>
    <w:rsid w:val="00A002DE"/>
    <w:rsid w:val="00A0038E"/>
    <w:rsid w:val="00A003A4"/>
    <w:rsid w:val="00A004B5"/>
    <w:rsid w:val="00A00639"/>
    <w:rsid w:val="00A006F8"/>
    <w:rsid w:val="00A007C0"/>
    <w:rsid w:val="00A007D6"/>
    <w:rsid w:val="00A00877"/>
    <w:rsid w:val="00A00A2A"/>
    <w:rsid w:val="00A00A86"/>
    <w:rsid w:val="00A00A93"/>
    <w:rsid w:val="00A00AF4"/>
    <w:rsid w:val="00A00B9D"/>
    <w:rsid w:val="00A00D4B"/>
    <w:rsid w:val="00A00DC0"/>
    <w:rsid w:val="00A00E02"/>
    <w:rsid w:val="00A00E0E"/>
    <w:rsid w:val="00A00F1B"/>
    <w:rsid w:val="00A00FCC"/>
    <w:rsid w:val="00A00FF8"/>
    <w:rsid w:val="00A01079"/>
    <w:rsid w:val="00A01094"/>
    <w:rsid w:val="00A010B5"/>
    <w:rsid w:val="00A01130"/>
    <w:rsid w:val="00A01142"/>
    <w:rsid w:val="00A0117E"/>
    <w:rsid w:val="00A011E8"/>
    <w:rsid w:val="00A012DB"/>
    <w:rsid w:val="00A012E3"/>
    <w:rsid w:val="00A01344"/>
    <w:rsid w:val="00A0136E"/>
    <w:rsid w:val="00A0137F"/>
    <w:rsid w:val="00A013E8"/>
    <w:rsid w:val="00A01497"/>
    <w:rsid w:val="00A0149C"/>
    <w:rsid w:val="00A01616"/>
    <w:rsid w:val="00A0163F"/>
    <w:rsid w:val="00A016E1"/>
    <w:rsid w:val="00A01722"/>
    <w:rsid w:val="00A01797"/>
    <w:rsid w:val="00A0180C"/>
    <w:rsid w:val="00A0183B"/>
    <w:rsid w:val="00A0191C"/>
    <w:rsid w:val="00A01993"/>
    <w:rsid w:val="00A019BD"/>
    <w:rsid w:val="00A01B28"/>
    <w:rsid w:val="00A01CE9"/>
    <w:rsid w:val="00A01E07"/>
    <w:rsid w:val="00A01E49"/>
    <w:rsid w:val="00A01F1A"/>
    <w:rsid w:val="00A01F2A"/>
    <w:rsid w:val="00A01F31"/>
    <w:rsid w:val="00A0208B"/>
    <w:rsid w:val="00A021B3"/>
    <w:rsid w:val="00A022C0"/>
    <w:rsid w:val="00A02347"/>
    <w:rsid w:val="00A02353"/>
    <w:rsid w:val="00A02402"/>
    <w:rsid w:val="00A02428"/>
    <w:rsid w:val="00A0245F"/>
    <w:rsid w:val="00A02476"/>
    <w:rsid w:val="00A0250C"/>
    <w:rsid w:val="00A02527"/>
    <w:rsid w:val="00A025B0"/>
    <w:rsid w:val="00A0264B"/>
    <w:rsid w:val="00A0275E"/>
    <w:rsid w:val="00A027A6"/>
    <w:rsid w:val="00A027E0"/>
    <w:rsid w:val="00A0281E"/>
    <w:rsid w:val="00A028D4"/>
    <w:rsid w:val="00A02ADE"/>
    <w:rsid w:val="00A02BB5"/>
    <w:rsid w:val="00A02C92"/>
    <w:rsid w:val="00A02D02"/>
    <w:rsid w:val="00A02F4E"/>
    <w:rsid w:val="00A03059"/>
    <w:rsid w:val="00A030CD"/>
    <w:rsid w:val="00A0312C"/>
    <w:rsid w:val="00A03213"/>
    <w:rsid w:val="00A0328B"/>
    <w:rsid w:val="00A032A2"/>
    <w:rsid w:val="00A03449"/>
    <w:rsid w:val="00A03514"/>
    <w:rsid w:val="00A035D6"/>
    <w:rsid w:val="00A03652"/>
    <w:rsid w:val="00A03728"/>
    <w:rsid w:val="00A03772"/>
    <w:rsid w:val="00A037FD"/>
    <w:rsid w:val="00A03833"/>
    <w:rsid w:val="00A03891"/>
    <w:rsid w:val="00A038BC"/>
    <w:rsid w:val="00A039E3"/>
    <w:rsid w:val="00A03A23"/>
    <w:rsid w:val="00A03AA2"/>
    <w:rsid w:val="00A03B48"/>
    <w:rsid w:val="00A03C68"/>
    <w:rsid w:val="00A03C80"/>
    <w:rsid w:val="00A03DDD"/>
    <w:rsid w:val="00A03E68"/>
    <w:rsid w:val="00A03EFC"/>
    <w:rsid w:val="00A0404D"/>
    <w:rsid w:val="00A040D5"/>
    <w:rsid w:val="00A04286"/>
    <w:rsid w:val="00A042C0"/>
    <w:rsid w:val="00A0432C"/>
    <w:rsid w:val="00A043D0"/>
    <w:rsid w:val="00A0448E"/>
    <w:rsid w:val="00A04732"/>
    <w:rsid w:val="00A04940"/>
    <w:rsid w:val="00A04AAE"/>
    <w:rsid w:val="00A04C59"/>
    <w:rsid w:val="00A04C62"/>
    <w:rsid w:val="00A04DE6"/>
    <w:rsid w:val="00A04E12"/>
    <w:rsid w:val="00A04ED4"/>
    <w:rsid w:val="00A04ED7"/>
    <w:rsid w:val="00A04F4D"/>
    <w:rsid w:val="00A04F5E"/>
    <w:rsid w:val="00A0515B"/>
    <w:rsid w:val="00A05170"/>
    <w:rsid w:val="00A0518D"/>
    <w:rsid w:val="00A0524F"/>
    <w:rsid w:val="00A05314"/>
    <w:rsid w:val="00A053DB"/>
    <w:rsid w:val="00A053F0"/>
    <w:rsid w:val="00A05566"/>
    <w:rsid w:val="00A05647"/>
    <w:rsid w:val="00A0572E"/>
    <w:rsid w:val="00A05759"/>
    <w:rsid w:val="00A057B8"/>
    <w:rsid w:val="00A0586F"/>
    <w:rsid w:val="00A058C0"/>
    <w:rsid w:val="00A0595A"/>
    <w:rsid w:val="00A0595C"/>
    <w:rsid w:val="00A05981"/>
    <w:rsid w:val="00A05A41"/>
    <w:rsid w:val="00A05ADF"/>
    <w:rsid w:val="00A05C38"/>
    <w:rsid w:val="00A05C76"/>
    <w:rsid w:val="00A05C7C"/>
    <w:rsid w:val="00A05C85"/>
    <w:rsid w:val="00A05C87"/>
    <w:rsid w:val="00A05CF8"/>
    <w:rsid w:val="00A05DF9"/>
    <w:rsid w:val="00A05EF8"/>
    <w:rsid w:val="00A05F79"/>
    <w:rsid w:val="00A05FE3"/>
    <w:rsid w:val="00A05FFD"/>
    <w:rsid w:val="00A0611F"/>
    <w:rsid w:val="00A06137"/>
    <w:rsid w:val="00A061B7"/>
    <w:rsid w:val="00A06200"/>
    <w:rsid w:val="00A0621F"/>
    <w:rsid w:val="00A06262"/>
    <w:rsid w:val="00A063AB"/>
    <w:rsid w:val="00A06422"/>
    <w:rsid w:val="00A0657A"/>
    <w:rsid w:val="00A06876"/>
    <w:rsid w:val="00A06884"/>
    <w:rsid w:val="00A068A1"/>
    <w:rsid w:val="00A068DA"/>
    <w:rsid w:val="00A06937"/>
    <w:rsid w:val="00A06988"/>
    <w:rsid w:val="00A06995"/>
    <w:rsid w:val="00A069A8"/>
    <w:rsid w:val="00A06A88"/>
    <w:rsid w:val="00A06B41"/>
    <w:rsid w:val="00A06D34"/>
    <w:rsid w:val="00A06D50"/>
    <w:rsid w:val="00A06D72"/>
    <w:rsid w:val="00A06E44"/>
    <w:rsid w:val="00A06F74"/>
    <w:rsid w:val="00A06FAA"/>
    <w:rsid w:val="00A06FAC"/>
    <w:rsid w:val="00A06FBD"/>
    <w:rsid w:val="00A0727B"/>
    <w:rsid w:val="00A0727E"/>
    <w:rsid w:val="00A072A9"/>
    <w:rsid w:val="00A072FE"/>
    <w:rsid w:val="00A07453"/>
    <w:rsid w:val="00A07483"/>
    <w:rsid w:val="00A07702"/>
    <w:rsid w:val="00A078AB"/>
    <w:rsid w:val="00A07952"/>
    <w:rsid w:val="00A07987"/>
    <w:rsid w:val="00A07BCE"/>
    <w:rsid w:val="00A07C6B"/>
    <w:rsid w:val="00A07C8F"/>
    <w:rsid w:val="00A07EFC"/>
    <w:rsid w:val="00A10035"/>
    <w:rsid w:val="00A10087"/>
    <w:rsid w:val="00A10212"/>
    <w:rsid w:val="00A102CA"/>
    <w:rsid w:val="00A1031A"/>
    <w:rsid w:val="00A104BD"/>
    <w:rsid w:val="00A10539"/>
    <w:rsid w:val="00A106C0"/>
    <w:rsid w:val="00A10750"/>
    <w:rsid w:val="00A107D9"/>
    <w:rsid w:val="00A10815"/>
    <w:rsid w:val="00A108EA"/>
    <w:rsid w:val="00A10975"/>
    <w:rsid w:val="00A1097B"/>
    <w:rsid w:val="00A10A58"/>
    <w:rsid w:val="00A10A5D"/>
    <w:rsid w:val="00A10AF6"/>
    <w:rsid w:val="00A10C2B"/>
    <w:rsid w:val="00A10D3D"/>
    <w:rsid w:val="00A10DE1"/>
    <w:rsid w:val="00A10EF4"/>
    <w:rsid w:val="00A10F6A"/>
    <w:rsid w:val="00A110E0"/>
    <w:rsid w:val="00A1116D"/>
    <w:rsid w:val="00A11265"/>
    <w:rsid w:val="00A112C3"/>
    <w:rsid w:val="00A1149C"/>
    <w:rsid w:val="00A11501"/>
    <w:rsid w:val="00A115F2"/>
    <w:rsid w:val="00A116E2"/>
    <w:rsid w:val="00A1181F"/>
    <w:rsid w:val="00A11A2A"/>
    <w:rsid w:val="00A11B47"/>
    <w:rsid w:val="00A11C43"/>
    <w:rsid w:val="00A11CB3"/>
    <w:rsid w:val="00A11CF9"/>
    <w:rsid w:val="00A11DB2"/>
    <w:rsid w:val="00A11EB3"/>
    <w:rsid w:val="00A122FE"/>
    <w:rsid w:val="00A1235A"/>
    <w:rsid w:val="00A12454"/>
    <w:rsid w:val="00A124FB"/>
    <w:rsid w:val="00A12525"/>
    <w:rsid w:val="00A12619"/>
    <w:rsid w:val="00A12856"/>
    <w:rsid w:val="00A128B5"/>
    <w:rsid w:val="00A1292F"/>
    <w:rsid w:val="00A12937"/>
    <w:rsid w:val="00A12A3F"/>
    <w:rsid w:val="00A12B1C"/>
    <w:rsid w:val="00A12BF0"/>
    <w:rsid w:val="00A12DD6"/>
    <w:rsid w:val="00A12DFB"/>
    <w:rsid w:val="00A12FBC"/>
    <w:rsid w:val="00A12FCD"/>
    <w:rsid w:val="00A131A8"/>
    <w:rsid w:val="00A131BD"/>
    <w:rsid w:val="00A1327F"/>
    <w:rsid w:val="00A132F7"/>
    <w:rsid w:val="00A1330E"/>
    <w:rsid w:val="00A133A2"/>
    <w:rsid w:val="00A133BB"/>
    <w:rsid w:val="00A13480"/>
    <w:rsid w:val="00A13663"/>
    <w:rsid w:val="00A13696"/>
    <w:rsid w:val="00A1374F"/>
    <w:rsid w:val="00A137B4"/>
    <w:rsid w:val="00A13826"/>
    <w:rsid w:val="00A1384A"/>
    <w:rsid w:val="00A138ED"/>
    <w:rsid w:val="00A1390C"/>
    <w:rsid w:val="00A13962"/>
    <w:rsid w:val="00A13AB9"/>
    <w:rsid w:val="00A13B7D"/>
    <w:rsid w:val="00A13C0D"/>
    <w:rsid w:val="00A13D94"/>
    <w:rsid w:val="00A13E15"/>
    <w:rsid w:val="00A13E50"/>
    <w:rsid w:val="00A13E66"/>
    <w:rsid w:val="00A13E6B"/>
    <w:rsid w:val="00A13E86"/>
    <w:rsid w:val="00A14020"/>
    <w:rsid w:val="00A14166"/>
    <w:rsid w:val="00A141BD"/>
    <w:rsid w:val="00A1424A"/>
    <w:rsid w:val="00A142B5"/>
    <w:rsid w:val="00A1437D"/>
    <w:rsid w:val="00A144A1"/>
    <w:rsid w:val="00A145A3"/>
    <w:rsid w:val="00A145C2"/>
    <w:rsid w:val="00A14677"/>
    <w:rsid w:val="00A146B1"/>
    <w:rsid w:val="00A146E8"/>
    <w:rsid w:val="00A14977"/>
    <w:rsid w:val="00A14A1C"/>
    <w:rsid w:val="00A14A69"/>
    <w:rsid w:val="00A14A9E"/>
    <w:rsid w:val="00A14AB6"/>
    <w:rsid w:val="00A14BD9"/>
    <w:rsid w:val="00A14BF8"/>
    <w:rsid w:val="00A14C5A"/>
    <w:rsid w:val="00A14D5C"/>
    <w:rsid w:val="00A15040"/>
    <w:rsid w:val="00A150C4"/>
    <w:rsid w:val="00A150CC"/>
    <w:rsid w:val="00A15156"/>
    <w:rsid w:val="00A1515E"/>
    <w:rsid w:val="00A1521B"/>
    <w:rsid w:val="00A15298"/>
    <w:rsid w:val="00A15312"/>
    <w:rsid w:val="00A15413"/>
    <w:rsid w:val="00A154EB"/>
    <w:rsid w:val="00A1551D"/>
    <w:rsid w:val="00A15555"/>
    <w:rsid w:val="00A15566"/>
    <w:rsid w:val="00A156AF"/>
    <w:rsid w:val="00A15904"/>
    <w:rsid w:val="00A15906"/>
    <w:rsid w:val="00A1599B"/>
    <w:rsid w:val="00A15ABF"/>
    <w:rsid w:val="00A15B06"/>
    <w:rsid w:val="00A15C1E"/>
    <w:rsid w:val="00A15D10"/>
    <w:rsid w:val="00A15DFE"/>
    <w:rsid w:val="00A15E06"/>
    <w:rsid w:val="00A15EA4"/>
    <w:rsid w:val="00A15EE6"/>
    <w:rsid w:val="00A15FE6"/>
    <w:rsid w:val="00A160E2"/>
    <w:rsid w:val="00A16201"/>
    <w:rsid w:val="00A165B9"/>
    <w:rsid w:val="00A16671"/>
    <w:rsid w:val="00A166D9"/>
    <w:rsid w:val="00A166E6"/>
    <w:rsid w:val="00A16730"/>
    <w:rsid w:val="00A1685F"/>
    <w:rsid w:val="00A16C95"/>
    <w:rsid w:val="00A16CC2"/>
    <w:rsid w:val="00A16CCC"/>
    <w:rsid w:val="00A16E79"/>
    <w:rsid w:val="00A16EAA"/>
    <w:rsid w:val="00A16F30"/>
    <w:rsid w:val="00A171F7"/>
    <w:rsid w:val="00A17296"/>
    <w:rsid w:val="00A172F2"/>
    <w:rsid w:val="00A1739F"/>
    <w:rsid w:val="00A173ED"/>
    <w:rsid w:val="00A17410"/>
    <w:rsid w:val="00A1749F"/>
    <w:rsid w:val="00A175E2"/>
    <w:rsid w:val="00A176BF"/>
    <w:rsid w:val="00A176F1"/>
    <w:rsid w:val="00A17768"/>
    <w:rsid w:val="00A178B8"/>
    <w:rsid w:val="00A178E8"/>
    <w:rsid w:val="00A17908"/>
    <w:rsid w:val="00A179C9"/>
    <w:rsid w:val="00A17A34"/>
    <w:rsid w:val="00A17BE6"/>
    <w:rsid w:val="00A17C2C"/>
    <w:rsid w:val="00A17CB2"/>
    <w:rsid w:val="00A17DF1"/>
    <w:rsid w:val="00A17E1A"/>
    <w:rsid w:val="00A17E59"/>
    <w:rsid w:val="00A17EEB"/>
    <w:rsid w:val="00A17F8C"/>
    <w:rsid w:val="00A20099"/>
    <w:rsid w:val="00A200F8"/>
    <w:rsid w:val="00A2018D"/>
    <w:rsid w:val="00A20298"/>
    <w:rsid w:val="00A203E1"/>
    <w:rsid w:val="00A20453"/>
    <w:rsid w:val="00A204D7"/>
    <w:rsid w:val="00A20562"/>
    <w:rsid w:val="00A20617"/>
    <w:rsid w:val="00A20679"/>
    <w:rsid w:val="00A2067B"/>
    <w:rsid w:val="00A2076F"/>
    <w:rsid w:val="00A20865"/>
    <w:rsid w:val="00A208BA"/>
    <w:rsid w:val="00A208CF"/>
    <w:rsid w:val="00A20919"/>
    <w:rsid w:val="00A20C2F"/>
    <w:rsid w:val="00A20CB3"/>
    <w:rsid w:val="00A20D69"/>
    <w:rsid w:val="00A20F3E"/>
    <w:rsid w:val="00A21162"/>
    <w:rsid w:val="00A21169"/>
    <w:rsid w:val="00A212D8"/>
    <w:rsid w:val="00A21336"/>
    <w:rsid w:val="00A21376"/>
    <w:rsid w:val="00A21389"/>
    <w:rsid w:val="00A21498"/>
    <w:rsid w:val="00A2149C"/>
    <w:rsid w:val="00A214DC"/>
    <w:rsid w:val="00A21513"/>
    <w:rsid w:val="00A21616"/>
    <w:rsid w:val="00A21649"/>
    <w:rsid w:val="00A216D4"/>
    <w:rsid w:val="00A21791"/>
    <w:rsid w:val="00A217F2"/>
    <w:rsid w:val="00A2186B"/>
    <w:rsid w:val="00A21874"/>
    <w:rsid w:val="00A21980"/>
    <w:rsid w:val="00A21A0F"/>
    <w:rsid w:val="00A21BB5"/>
    <w:rsid w:val="00A21BB7"/>
    <w:rsid w:val="00A21C62"/>
    <w:rsid w:val="00A21DC0"/>
    <w:rsid w:val="00A21F5F"/>
    <w:rsid w:val="00A21FD0"/>
    <w:rsid w:val="00A22053"/>
    <w:rsid w:val="00A220BD"/>
    <w:rsid w:val="00A22209"/>
    <w:rsid w:val="00A2221C"/>
    <w:rsid w:val="00A22494"/>
    <w:rsid w:val="00A22567"/>
    <w:rsid w:val="00A2257C"/>
    <w:rsid w:val="00A2259A"/>
    <w:rsid w:val="00A2264B"/>
    <w:rsid w:val="00A2277C"/>
    <w:rsid w:val="00A227FD"/>
    <w:rsid w:val="00A22803"/>
    <w:rsid w:val="00A22818"/>
    <w:rsid w:val="00A228CB"/>
    <w:rsid w:val="00A22999"/>
    <w:rsid w:val="00A229BA"/>
    <w:rsid w:val="00A22AB9"/>
    <w:rsid w:val="00A22B12"/>
    <w:rsid w:val="00A22C08"/>
    <w:rsid w:val="00A22C1A"/>
    <w:rsid w:val="00A22C4C"/>
    <w:rsid w:val="00A22C79"/>
    <w:rsid w:val="00A22C82"/>
    <w:rsid w:val="00A22C8C"/>
    <w:rsid w:val="00A22E54"/>
    <w:rsid w:val="00A22F3C"/>
    <w:rsid w:val="00A22F4E"/>
    <w:rsid w:val="00A232C0"/>
    <w:rsid w:val="00A233C8"/>
    <w:rsid w:val="00A233D0"/>
    <w:rsid w:val="00A234EB"/>
    <w:rsid w:val="00A2360A"/>
    <w:rsid w:val="00A2369C"/>
    <w:rsid w:val="00A2370C"/>
    <w:rsid w:val="00A237D6"/>
    <w:rsid w:val="00A23894"/>
    <w:rsid w:val="00A238CE"/>
    <w:rsid w:val="00A23A6C"/>
    <w:rsid w:val="00A23A73"/>
    <w:rsid w:val="00A23A76"/>
    <w:rsid w:val="00A23DA8"/>
    <w:rsid w:val="00A23DEE"/>
    <w:rsid w:val="00A23E03"/>
    <w:rsid w:val="00A23E45"/>
    <w:rsid w:val="00A23EC8"/>
    <w:rsid w:val="00A23EF8"/>
    <w:rsid w:val="00A23F19"/>
    <w:rsid w:val="00A23FBE"/>
    <w:rsid w:val="00A23FDE"/>
    <w:rsid w:val="00A24194"/>
    <w:rsid w:val="00A24237"/>
    <w:rsid w:val="00A2425A"/>
    <w:rsid w:val="00A242AB"/>
    <w:rsid w:val="00A2434D"/>
    <w:rsid w:val="00A24479"/>
    <w:rsid w:val="00A244C6"/>
    <w:rsid w:val="00A245BC"/>
    <w:rsid w:val="00A24609"/>
    <w:rsid w:val="00A246A2"/>
    <w:rsid w:val="00A246C2"/>
    <w:rsid w:val="00A247E6"/>
    <w:rsid w:val="00A247F1"/>
    <w:rsid w:val="00A24912"/>
    <w:rsid w:val="00A2498F"/>
    <w:rsid w:val="00A24991"/>
    <w:rsid w:val="00A24ACA"/>
    <w:rsid w:val="00A24B7A"/>
    <w:rsid w:val="00A24CA4"/>
    <w:rsid w:val="00A24CDF"/>
    <w:rsid w:val="00A24E8A"/>
    <w:rsid w:val="00A24F31"/>
    <w:rsid w:val="00A25010"/>
    <w:rsid w:val="00A252EF"/>
    <w:rsid w:val="00A25354"/>
    <w:rsid w:val="00A253A0"/>
    <w:rsid w:val="00A254B0"/>
    <w:rsid w:val="00A255C3"/>
    <w:rsid w:val="00A258AF"/>
    <w:rsid w:val="00A25924"/>
    <w:rsid w:val="00A2596A"/>
    <w:rsid w:val="00A25994"/>
    <w:rsid w:val="00A25A45"/>
    <w:rsid w:val="00A25A52"/>
    <w:rsid w:val="00A25B5F"/>
    <w:rsid w:val="00A25BE6"/>
    <w:rsid w:val="00A25C42"/>
    <w:rsid w:val="00A25EFF"/>
    <w:rsid w:val="00A25F73"/>
    <w:rsid w:val="00A25F7E"/>
    <w:rsid w:val="00A26056"/>
    <w:rsid w:val="00A260FA"/>
    <w:rsid w:val="00A260FC"/>
    <w:rsid w:val="00A2616B"/>
    <w:rsid w:val="00A261AC"/>
    <w:rsid w:val="00A26321"/>
    <w:rsid w:val="00A263F6"/>
    <w:rsid w:val="00A264C8"/>
    <w:rsid w:val="00A2653C"/>
    <w:rsid w:val="00A2656C"/>
    <w:rsid w:val="00A265C9"/>
    <w:rsid w:val="00A26698"/>
    <w:rsid w:val="00A2669F"/>
    <w:rsid w:val="00A26717"/>
    <w:rsid w:val="00A2671E"/>
    <w:rsid w:val="00A267FE"/>
    <w:rsid w:val="00A268CC"/>
    <w:rsid w:val="00A2693A"/>
    <w:rsid w:val="00A26C4A"/>
    <w:rsid w:val="00A26D06"/>
    <w:rsid w:val="00A26D57"/>
    <w:rsid w:val="00A26E32"/>
    <w:rsid w:val="00A26E98"/>
    <w:rsid w:val="00A26F3E"/>
    <w:rsid w:val="00A26F40"/>
    <w:rsid w:val="00A26F9B"/>
    <w:rsid w:val="00A2700C"/>
    <w:rsid w:val="00A27072"/>
    <w:rsid w:val="00A270D1"/>
    <w:rsid w:val="00A27160"/>
    <w:rsid w:val="00A2717C"/>
    <w:rsid w:val="00A271B4"/>
    <w:rsid w:val="00A27225"/>
    <w:rsid w:val="00A27236"/>
    <w:rsid w:val="00A27245"/>
    <w:rsid w:val="00A272AF"/>
    <w:rsid w:val="00A27304"/>
    <w:rsid w:val="00A2737B"/>
    <w:rsid w:val="00A2738D"/>
    <w:rsid w:val="00A27463"/>
    <w:rsid w:val="00A2746B"/>
    <w:rsid w:val="00A274D4"/>
    <w:rsid w:val="00A275BC"/>
    <w:rsid w:val="00A27642"/>
    <w:rsid w:val="00A276EF"/>
    <w:rsid w:val="00A27785"/>
    <w:rsid w:val="00A27789"/>
    <w:rsid w:val="00A27873"/>
    <w:rsid w:val="00A27891"/>
    <w:rsid w:val="00A27944"/>
    <w:rsid w:val="00A27AD5"/>
    <w:rsid w:val="00A27B50"/>
    <w:rsid w:val="00A27BD6"/>
    <w:rsid w:val="00A27C4F"/>
    <w:rsid w:val="00A27C7A"/>
    <w:rsid w:val="00A27D0E"/>
    <w:rsid w:val="00A27E1D"/>
    <w:rsid w:val="00A27E7B"/>
    <w:rsid w:val="00A27E92"/>
    <w:rsid w:val="00A27EF8"/>
    <w:rsid w:val="00A301A8"/>
    <w:rsid w:val="00A302DB"/>
    <w:rsid w:val="00A30313"/>
    <w:rsid w:val="00A30360"/>
    <w:rsid w:val="00A30497"/>
    <w:rsid w:val="00A30592"/>
    <w:rsid w:val="00A305BD"/>
    <w:rsid w:val="00A306ED"/>
    <w:rsid w:val="00A30735"/>
    <w:rsid w:val="00A307D7"/>
    <w:rsid w:val="00A309A9"/>
    <w:rsid w:val="00A30A32"/>
    <w:rsid w:val="00A30AF4"/>
    <w:rsid w:val="00A30B14"/>
    <w:rsid w:val="00A30B2D"/>
    <w:rsid w:val="00A30B74"/>
    <w:rsid w:val="00A30BDD"/>
    <w:rsid w:val="00A30C22"/>
    <w:rsid w:val="00A30CAA"/>
    <w:rsid w:val="00A30E0C"/>
    <w:rsid w:val="00A30F85"/>
    <w:rsid w:val="00A3108E"/>
    <w:rsid w:val="00A310AF"/>
    <w:rsid w:val="00A3115B"/>
    <w:rsid w:val="00A311C0"/>
    <w:rsid w:val="00A3137F"/>
    <w:rsid w:val="00A313AD"/>
    <w:rsid w:val="00A313C1"/>
    <w:rsid w:val="00A313D1"/>
    <w:rsid w:val="00A31521"/>
    <w:rsid w:val="00A31565"/>
    <w:rsid w:val="00A31586"/>
    <w:rsid w:val="00A316C3"/>
    <w:rsid w:val="00A316C6"/>
    <w:rsid w:val="00A3174F"/>
    <w:rsid w:val="00A3177A"/>
    <w:rsid w:val="00A319EF"/>
    <w:rsid w:val="00A31A0E"/>
    <w:rsid w:val="00A31C2D"/>
    <w:rsid w:val="00A31C3C"/>
    <w:rsid w:val="00A31C77"/>
    <w:rsid w:val="00A31D12"/>
    <w:rsid w:val="00A31DBD"/>
    <w:rsid w:val="00A31EA4"/>
    <w:rsid w:val="00A31FA8"/>
    <w:rsid w:val="00A32060"/>
    <w:rsid w:val="00A320D7"/>
    <w:rsid w:val="00A32196"/>
    <w:rsid w:val="00A3222E"/>
    <w:rsid w:val="00A32435"/>
    <w:rsid w:val="00A32570"/>
    <w:rsid w:val="00A3260B"/>
    <w:rsid w:val="00A328E2"/>
    <w:rsid w:val="00A329BA"/>
    <w:rsid w:val="00A32B62"/>
    <w:rsid w:val="00A32BDF"/>
    <w:rsid w:val="00A32C0E"/>
    <w:rsid w:val="00A32C17"/>
    <w:rsid w:val="00A32C51"/>
    <w:rsid w:val="00A32CF4"/>
    <w:rsid w:val="00A32DEB"/>
    <w:rsid w:val="00A32E26"/>
    <w:rsid w:val="00A32EF7"/>
    <w:rsid w:val="00A32F17"/>
    <w:rsid w:val="00A32F4B"/>
    <w:rsid w:val="00A33173"/>
    <w:rsid w:val="00A3321E"/>
    <w:rsid w:val="00A33348"/>
    <w:rsid w:val="00A33376"/>
    <w:rsid w:val="00A333A7"/>
    <w:rsid w:val="00A333B4"/>
    <w:rsid w:val="00A33657"/>
    <w:rsid w:val="00A336CA"/>
    <w:rsid w:val="00A337A7"/>
    <w:rsid w:val="00A338D6"/>
    <w:rsid w:val="00A338DC"/>
    <w:rsid w:val="00A33922"/>
    <w:rsid w:val="00A339CC"/>
    <w:rsid w:val="00A339DF"/>
    <w:rsid w:val="00A33A25"/>
    <w:rsid w:val="00A33A91"/>
    <w:rsid w:val="00A33D60"/>
    <w:rsid w:val="00A33E0C"/>
    <w:rsid w:val="00A33E60"/>
    <w:rsid w:val="00A33EFF"/>
    <w:rsid w:val="00A33FBB"/>
    <w:rsid w:val="00A33FC4"/>
    <w:rsid w:val="00A33FD1"/>
    <w:rsid w:val="00A33FF3"/>
    <w:rsid w:val="00A34028"/>
    <w:rsid w:val="00A3417C"/>
    <w:rsid w:val="00A341EF"/>
    <w:rsid w:val="00A343C3"/>
    <w:rsid w:val="00A34571"/>
    <w:rsid w:val="00A3464F"/>
    <w:rsid w:val="00A34765"/>
    <w:rsid w:val="00A34B38"/>
    <w:rsid w:val="00A34C11"/>
    <w:rsid w:val="00A34C53"/>
    <w:rsid w:val="00A34CB8"/>
    <w:rsid w:val="00A34CCF"/>
    <w:rsid w:val="00A34F14"/>
    <w:rsid w:val="00A34FF2"/>
    <w:rsid w:val="00A35097"/>
    <w:rsid w:val="00A350D3"/>
    <w:rsid w:val="00A3510A"/>
    <w:rsid w:val="00A3515A"/>
    <w:rsid w:val="00A351A4"/>
    <w:rsid w:val="00A35210"/>
    <w:rsid w:val="00A35253"/>
    <w:rsid w:val="00A35426"/>
    <w:rsid w:val="00A35470"/>
    <w:rsid w:val="00A354E8"/>
    <w:rsid w:val="00A354EC"/>
    <w:rsid w:val="00A3552B"/>
    <w:rsid w:val="00A35580"/>
    <w:rsid w:val="00A356C8"/>
    <w:rsid w:val="00A357F5"/>
    <w:rsid w:val="00A359D7"/>
    <w:rsid w:val="00A359E3"/>
    <w:rsid w:val="00A35B9A"/>
    <w:rsid w:val="00A35C8D"/>
    <w:rsid w:val="00A35CC0"/>
    <w:rsid w:val="00A35D2F"/>
    <w:rsid w:val="00A35F00"/>
    <w:rsid w:val="00A36051"/>
    <w:rsid w:val="00A3634F"/>
    <w:rsid w:val="00A363C3"/>
    <w:rsid w:val="00A363DA"/>
    <w:rsid w:val="00A36430"/>
    <w:rsid w:val="00A36496"/>
    <w:rsid w:val="00A364B7"/>
    <w:rsid w:val="00A364D0"/>
    <w:rsid w:val="00A364FA"/>
    <w:rsid w:val="00A365FA"/>
    <w:rsid w:val="00A36661"/>
    <w:rsid w:val="00A36704"/>
    <w:rsid w:val="00A3676C"/>
    <w:rsid w:val="00A3680C"/>
    <w:rsid w:val="00A36823"/>
    <w:rsid w:val="00A36841"/>
    <w:rsid w:val="00A36884"/>
    <w:rsid w:val="00A36916"/>
    <w:rsid w:val="00A36986"/>
    <w:rsid w:val="00A36A17"/>
    <w:rsid w:val="00A36A8C"/>
    <w:rsid w:val="00A36BD6"/>
    <w:rsid w:val="00A36BE9"/>
    <w:rsid w:val="00A36C27"/>
    <w:rsid w:val="00A36C82"/>
    <w:rsid w:val="00A36CAE"/>
    <w:rsid w:val="00A37003"/>
    <w:rsid w:val="00A372E9"/>
    <w:rsid w:val="00A37341"/>
    <w:rsid w:val="00A37357"/>
    <w:rsid w:val="00A37363"/>
    <w:rsid w:val="00A373F5"/>
    <w:rsid w:val="00A37405"/>
    <w:rsid w:val="00A3743D"/>
    <w:rsid w:val="00A374F5"/>
    <w:rsid w:val="00A37576"/>
    <w:rsid w:val="00A3765C"/>
    <w:rsid w:val="00A3779D"/>
    <w:rsid w:val="00A37992"/>
    <w:rsid w:val="00A37ACD"/>
    <w:rsid w:val="00A37C2A"/>
    <w:rsid w:val="00A37C2B"/>
    <w:rsid w:val="00A37F1D"/>
    <w:rsid w:val="00A37FC6"/>
    <w:rsid w:val="00A4006F"/>
    <w:rsid w:val="00A40144"/>
    <w:rsid w:val="00A40315"/>
    <w:rsid w:val="00A40417"/>
    <w:rsid w:val="00A4049F"/>
    <w:rsid w:val="00A4062C"/>
    <w:rsid w:val="00A40684"/>
    <w:rsid w:val="00A4072E"/>
    <w:rsid w:val="00A4073F"/>
    <w:rsid w:val="00A4075C"/>
    <w:rsid w:val="00A407A0"/>
    <w:rsid w:val="00A40B19"/>
    <w:rsid w:val="00A40B31"/>
    <w:rsid w:val="00A40B8D"/>
    <w:rsid w:val="00A40BAE"/>
    <w:rsid w:val="00A40C7F"/>
    <w:rsid w:val="00A40D77"/>
    <w:rsid w:val="00A40DBD"/>
    <w:rsid w:val="00A40E09"/>
    <w:rsid w:val="00A40E28"/>
    <w:rsid w:val="00A40E4C"/>
    <w:rsid w:val="00A40F32"/>
    <w:rsid w:val="00A41059"/>
    <w:rsid w:val="00A410C6"/>
    <w:rsid w:val="00A410F1"/>
    <w:rsid w:val="00A41113"/>
    <w:rsid w:val="00A413E7"/>
    <w:rsid w:val="00A41482"/>
    <w:rsid w:val="00A41485"/>
    <w:rsid w:val="00A41629"/>
    <w:rsid w:val="00A41858"/>
    <w:rsid w:val="00A418C0"/>
    <w:rsid w:val="00A4198E"/>
    <w:rsid w:val="00A419E8"/>
    <w:rsid w:val="00A41A07"/>
    <w:rsid w:val="00A41A63"/>
    <w:rsid w:val="00A41B23"/>
    <w:rsid w:val="00A41BB5"/>
    <w:rsid w:val="00A41C88"/>
    <w:rsid w:val="00A41CE3"/>
    <w:rsid w:val="00A41DD7"/>
    <w:rsid w:val="00A41DF0"/>
    <w:rsid w:val="00A41EED"/>
    <w:rsid w:val="00A41FFB"/>
    <w:rsid w:val="00A42009"/>
    <w:rsid w:val="00A4212D"/>
    <w:rsid w:val="00A42201"/>
    <w:rsid w:val="00A4226F"/>
    <w:rsid w:val="00A422BF"/>
    <w:rsid w:val="00A4238F"/>
    <w:rsid w:val="00A4257E"/>
    <w:rsid w:val="00A425E1"/>
    <w:rsid w:val="00A42631"/>
    <w:rsid w:val="00A426A3"/>
    <w:rsid w:val="00A426C9"/>
    <w:rsid w:val="00A42751"/>
    <w:rsid w:val="00A427DA"/>
    <w:rsid w:val="00A4288E"/>
    <w:rsid w:val="00A42983"/>
    <w:rsid w:val="00A429C2"/>
    <w:rsid w:val="00A42A11"/>
    <w:rsid w:val="00A42A92"/>
    <w:rsid w:val="00A42AE1"/>
    <w:rsid w:val="00A42B64"/>
    <w:rsid w:val="00A42B70"/>
    <w:rsid w:val="00A42B78"/>
    <w:rsid w:val="00A42BAF"/>
    <w:rsid w:val="00A42C2B"/>
    <w:rsid w:val="00A42D54"/>
    <w:rsid w:val="00A42E42"/>
    <w:rsid w:val="00A42FFD"/>
    <w:rsid w:val="00A4305D"/>
    <w:rsid w:val="00A430BF"/>
    <w:rsid w:val="00A430DD"/>
    <w:rsid w:val="00A430F8"/>
    <w:rsid w:val="00A431FB"/>
    <w:rsid w:val="00A4347F"/>
    <w:rsid w:val="00A4349A"/>
    <w:rsid w:val="00A434A1"/>
    <w:rsid w:val="00A434BA"/>
    <w:rsid w:val="00A434DC"/>
    <w:rsid w:val="00A4350E"/>
    <w:rsid w:val="00A43540"/>
    <w:rsid w:val="00A435DE"/>
    <w:rsid w:val="00A435FD"/>
    <w:rsid w:val="00A43638"/>
    <w:rsid w:val="00A4365A"/>
    <w:rsid w:val="00A43670"/>
    <w:rsid w:val="00A4369F"/>
    <w:rsid w:val="00A4370C"/>
    <w:rsid w:val="00A4377B"/>
    <w:rsid w:val="00A43871"/>
    <w:rsid w:val="00A439A9"/>
    <w:rsid w:val="00A43A0E"/>
    <w:rsid w:val="00A43B4F"/>
    <w:rsid w:val="00A43CC4"/>
    <w:rsid w:val="00A43CCA"/>
    <w:rsid w:val="00A43CFE"/>
    <w:rsid w:val="00A43D44"/>
    <w:rsid w:val="00A43EAF"/>
    <w:rsid w:val="00A43F29"/>
    <w:rsid w:val="00A43FD7"/>
    <w:rsid w:val="00A44056"/>
    <w:rsid w:val="00A44063"/>
    <w:rsid w:val="00A441B0"/>
    <w:rsid w:val="00A443C7"/>
    <w:rsid w:val="00A4440E"/>
    <w:rsid w:val="00A44441"/>
    <w:rsid w:val="00A446E7"/>
    <w:rsid w:val="00A4482C"/>
    <w:rsid w:val="00A44837"/>
    <w:rsid w:val="00A44870"/>
    <w:rsid w:val="00A448F0"/>
    <w:rsid w:val="00A44923"/>
    <w:rsid w:val="00A44A01"/>
    <w:rsid w:val="00A44B56"/>
    <w:rsid w:val="00A44C5F"/>
    <w:rsid w:val="00A44C67"/>
    <w:rsid w:val="00A44CCF"/>
    <w:rsid w:val="00A44CFC"/>
    <w:rsid w:val="00A44E18"/>
    <w:rsid w:val="00A44E1A"/>
    <w:rsid w:val="00A44E81"/>
    <w:rsid w:val="00A44EC5"/>
    <w:rsid w:val="00A44F29"/>
    <w:rsid w:val="00A44FE2"/>
    <w:rsid w:val="00A45001"/>
    <w:rsid w:val="00A450B5"/>
    <w:rsid w:val="00A4512B"/>
    <w:rsid w:val="00A451AE"/>
    <w:rsid w:val="00A45246"/>
    <w:rsid w:val="00A45508"/>
    <w:rsid w:val="00A4556C"/>
    <w:rsid w:val="00A456E4"/>
    <w:rsid w:val="00A45820"/>
    <w:rsid w:val="00A458DC"/>
    <w:rsid w:val="00A45993"/>
    <w:rsid w:val="00A45AA5"/>
    <w:rsid w:val="00A45AB7"/>
    <w:rsid w:val="00A45E95"/>
    <w:rsid w:val="00A46072"/>
    <w:rsid w:val="00A46086"/>
    <w:rsid w:val="00A4608B"/>
    <w:rsid w:val="00A460B1"/>
    <w:rsid w:val="00A461E6"/>
    <w:rsid w:val="00A4621F"/>
    <w:rsid w:val="00A462DD"/>
    <w:rsid w:val="00A462EA"/>
    <w:rsid w:val="00A46324"/>
    <w:rsid w:val="00A46325"/>
    <w:rsid w:val="00A463A3"/>
    <w:rsid w:val="00A46409"/>
    <w:rsid w:val="00A46492"/>
    <w:rsid w:val="00A465D3"/>
    <w:rsid w:val="00A466CB"/>
    <w:rsid w:val="00A467A5"/>
    <w:rsid w:val="00A468F0"/>
    <w:rsid w:val="00A469F9"/>
    <w:rsid w:val="00A46A24"/>
    <w:rsid w:val="00A46A69"/>
    <w:rsid w:val="00A46AA0"/>
    <w:rsid w:val="00A46AC7"/>
    <w:rsid w:val="00A46B87"/>
    <w:rsid w:val="00A46C83"/>
    <w:rsid w:val="00A46D76"/>
    <w:rsid w:val="00A46D80"/>
    <w:rsid w:val="00A46D83"/>
    <w:rsid w:val="00A46DD7"/>
    <w:rsid w:val="00A46FEB"/>
    <w:rsid w:val="00A470B3"/>
    <w:rsid w:val="00A471C1"/>
    <w:rsid w:val="00A471EF"/>
    <w:rsid w:val="00A473CB"/>
    <w:rsid w:val="00A473DF"/>
    <w:rsid w:val="00A47447"/>
    <w:rsid w:val="00A47448"/>
    <w:rsid w:val="00A4756E"/>
    <w:rsid w:val="00A4766C"/>
    <w:rsid w:val="00A476B6"/>
    <w:rsid w:val="00A477EF"/>
    <w:rsid w:val="00A47955"/>
    <w:rsid w:val="00A47AE3"/>
    <w:rsid w:val="00A47B85"/>
    <w:rsid w:val="00A47B96"/>
    <w:rsid w:val="00A47BC2"/>
    <w:rsid w:val="00A47BF5"/>
    <w:rsid w:val="00A47C59"/>
    <w:rsid w:val="00A47CF3"/>
    <w:rsid w:val="00A47D70"/>
    <w:rsid w:val="00A47D9A"/>
    <w:rsid w:val="00A47E57"/>
    <w:rsid w:val="00A47E5B"/>
    <w:rsid w:val="00A47F92"/>
    <w:rsid w:val="00A5012C"/>
    <w:rsid w:val="00A50145"/>
    <w:rsid w:val="00A5015D"/>
    <w:rsid w:val="00A501FE"/>
    <w:rsid w:val="00A502B8"/>
    <w:rsid w:val="00A503E7"/>
    <w:rsid w:val="00A504D7"/>
    <w:rsid w:val="00A50657"/>
    <w:rsid w:val="00A50935"/>
    <w:rsid w:val="00A50A72"/>
    <w:rsid w:val="00A50B2D"/>
    <w:rsid w:val="00A50BF0"/>
    <w:rsid w:val="00A50C1E"/>
    <w:rsid w:val="00A50C29"/>
    <w:rsid w:val="00A50C64"/>
    <w:rsid w:val="00A50C8A"/>
    <w:rsid w:val="00A50EB8"/>
    <w:rsid w:val="00A50F2F"/>
    <w:rsid w:val="00A510ED"/>
    <w:rsid w:val="00A51221"/>
    <w:rsid w:val="00A512ED"/>
    <w:rsid w:val="00A5140F"/>
    <w:rsid w:val="00A51411"/>
    <w:rsid w:val="00A51565"/>
    <w:rsid w:val="00A515D0"/>
    <w:rsid w:val="00A515E0"/>
    <w:rsid w:val="00A516C0"/>
    <w:rsid w:val="00A517D9"/>
    <w:rsid w:val="00A5196D"/>
    <w:rsid w:val="00A51A32"/>
    <w:rsid w:val="00A51AB7"/>
    <w:rsid w:val="00A51B4F"/>
    <w:rsid w:val="00A51D86"/>
    <w:rsid w:val="00A51F6D"/>
    <w:rsid w:val="00A51FD6"/>
    <w:rsid w:val="00A521AF"/>
    <w:rsid w:val="00A52210"/>
    <w:rsid w:val="00A52271"/>
    <w:rsid w:val="00A52296"/>
    <w:rsid w:val="00A52364"/>
    <w:rsid w:val="00A52447"/>
    <w:rsid w:val="00A52599"/>
    <w:rsid w:val="00A5259D"/>
    <w:rsid w:val="00A525A3"/>
    <w:rsid w:val="00A52800"/>
    <w:rsid w:val="00A52803"/>
    <w:rsid w:val="00A528BB"/>
    <w:rsid w:val="00A528C9"/>
    <w:rsid w:val="00A5290E"/>
    <w:rsid w:val="00A52932"/>
    <w:rsid w:val="00A52A9E"/>
    <w:rsid w:val="00A52ACF"/>
    <w:rsid w:val="00A52B58"/>
    <w:rsid w:val="00A52BD6"/>
    <w:rsid w:val="00A52BF4"/>
    <w:rsid w:val="00A52C0E"/>
    <w:rsid w:val="00A52CD2"/>
    <w:rsid w:val="00A52D42"/>
    <w:rsid w:val="00A52D51"/>
    <w:rsid w:val="00A52EF2"/>
    <w:rsid w:val="00A52F07"/>
    <w:rsid w:val="00A52F97"/>
    <w:rsid w:val="00A53091"/>
    <w:rsid w:val="00A53190"/>
    <w:rsid w:val="00A531D9"/>
    <w:rsid w:val="00A5351D"/>
    <w:rsid w:val="00A53521"/>
    <w:rsid w:val="00A53535"/>
    <w:rsid w:val="00A53755"/>
    <w:rsid w:val="00A537FF"/>
    <w:rsid w:val="00A53818"/>
    <w:rsid w:val="00A5381A"/>
    <w:rsid w:val="00A53995"/>
    <w:rsid w:val="00A53B0D"/>
    <w:rsid w:val="00A53BA1"/>
    <w:rsid w:val="00A53BAC"/>
    <w:rsid w:val="00A53C3F"/>
    <w:rsid w:val="00A53CAE"/>
    <w:rsid w:val="00A53D1E"/>
    <w:rsid w:val="00A53DA2"/>
    <w:rsid w:val="00A53E80"/>
    <w:rsid w:val="00A53EF0"/>
    <w:rsid w:val="00A53F36"/>
    <w:rsid w:val="00A5401C"/>
    <w:rsid w:val="00A54209"/>
    <w:rsid w:val="00A542EF"/>
    <w:rsid w:val="00A54559"/>
    <w:rsid w:val="00A5457C"/>
    <w:rsid w:val="00A546A2"/>
    <w:rsid w:val="00A546B7"/>
    <w:rsid w:val="00A547BF"/>
    <w:rsid w:val="00A5485B"/>
    <w:rsid w:val="00A54875"/>
    <w:rsid w:val="00A548E8"/>
    <w:rsid w:val="00A5496D"/>
    <w:rsid w:val="00A54A20"/>
    <w:rsid w:val="00A54A24"/>
    <w:rsid w:val="00A54B2B"/>
    <w:rsid w:val="00A54B36"/>
    <w:rsid w:val="00A54B9F"/>
    <w:rsid w:val="00A54BAE"/>
    <w:rsid w:val="00A54BF5"/>
    <w:rsid w:val="00A54C02"/>
    <w:rsid w:val="00A54C8B"/>
    <w:rsid w:val="00A54C8D"/>
    <w:rsid w:val="00A54D15"/>
    <w:rsid w:val="00A54E1F"/>
    <w:rsid w:val="00A54E7D"/>
    <w:rsid w:val="00A54E8C"/>
    <w:rsid w:val="00A54F3B"/>
    <w:rsid w:val="00A54F52"/>
    <w:rsid w:val="00A54FAD"/>
    <w:rsid w:val="00A550F2"/>
    <w:rsid w:val="00A551B4"/>
    <w:rsid w:val="00A551E0"/>
    <w:rsid w:val="00A551FD"/>
    <w:rsid w:val="00A55212"/>
    <w:rsid w:val="00A554C9"/>
    <w:rsid w:val="00A55549"/>
    <w:rsid w:val="00A5578F"/>
    <w:rsid w:val="00A558AA"/>
    <w:rsid w:val="00A558D3"/>
    <w:rsid w:val="00A55A88"/>
    <w:rsid w:val="00A55A91"/>
    <w:rsid w:val="00A55AD0"/>
    <w:rsid w:val="00A55B67"/>
    <w:rsid w:val="00A55C18"/>
    <w:rsid w:val="00A55D55"/>
    <w:rsid w:val="00A55D8D"/>
    <w:rsid w:val="00A55EA1"/>
    <w:rsid w:val="00A560B1"/>
    <w:rsid w:val="00A560BB"/>
    <w:rsid w:val="00A5617E"/>
    <w:rsid w:val="00A56182"/>
    <w:rsid w:val="00A561F1"/>
    <w:rsid w:val="00A5631C"/>
    <w:rsid w:val="00A5637A"/>
    <w:rsid w:val="00A564D5"/>
    <w:rsid w:val="00A56605"/>
    <w:rsid w:val="00A5672A"/>
    <w:rsid w:val="00A5675D"/>
    <w:rsid w:val="00A56884"/>
    <w:rsid w:val="00A56AF1"/>
    <w:rsid w:val="00A56B5D"/>
    <w:rsid w:val="00A56C42"/>
    <w:rsid w:val="00A56F16"/>
    <w:rsid w:val="00A56FCE"/>
    <w:rsid w:val="00A5710D"/>
    <w:rsid w:val="00A57184"/>
    <w:rsid w:val="00A571B7"/>
    <w:rsid w:val="00A573BE"/>
    <w:rsid w:val="00A573CD"/>
    <w:rsid w:val="00A57457"/>
    <w:rsid w:val="00A57609"/>
    <w:rsid w:val="00A5764D"/>
    <w:rsid w:val="00A576CA"/>
    <w:rsid w:val="00A57805"/>
    <w:rsid w:val="00A57ACC"/>
    <w:rsid w:val="00A57C24"/>
    <w:rsid w:val="00A57D9B"/>
    <w:rsid w:val="00A57E00"/>
    <w:rsid w:val="00A57EE8"/>
    <w:rsid w:val="00A57EFA"/>
    <w:rsid w:val="00A57FDC"/>
    <w:rsid w:val="00A603C5"/>
    <w:rsid w:val="00A606E1"/>
    <w:rsid w:val="00A60702"/>
    <w:rsid w:val="00A6077D"/>
    <w:rsid w:val="00A6084C"/>
    <w:rsid w:val="00A60859"/>
    <w:rsid w:val="00A60908"/>
    <w:rsid w:val="00A60920"/>
    <w:rsid w:val="00A60953"/>
    <w:rsid w:val="00A60962"/>
    <w:rsid w:val="00A6096E"/>
    <w:rsid w:val="00A609EC"/>
    <w:rsid w:val="00A60AB7"/>
    <w:rsid w:val="00A60AC6"/>
    <w:rsid w:val="00A60B41"/>
    <w:rsid w:val="00A60C1A"/>
    <w:rsid w:val="00A60CD3"/>
    <w:rsid w:val="00A60DA1"/>
    <w:rsid w:val="00A60E0A"/>
    <w:rsid w:val="00A60E0B"/>
    <w:rsid w:val="00A60E29"/>
    <w:rsid w:val="00A60E35"/>
    <w:rsid w:val="00A60EF7"/>
    <w:rsid w:val="00A60FAC"/>
    <w:rsid w:val="00A6109D"/>
    <w:rsid w:val="00A61224"/>
    <w:rsid w:val="00A612CD"/>
    <w:rsid w:val="00A613B3"/>
    <w:rsid w:val="00A613C3"/>
    <w:rsid w:val="00A613D9"/>
    <w:rsid w:val="00A61470"/>
    <w:rsid w:val="00A61498"/>
    <w:rsid w:val="00A614E7"/>
    <w:rsid w:val="00A6153B"/>
    <w:rsid w:val="00A615EC"/>
    <w:rsid w:val="00A616DB"/>
    <w:rsid w:val="00A6179B"/>
    <w:rsid w:val="00A61918"/>
    <w:rsid w:val="00A61A5B"/>
    <w:rsid w:val="00A61BA0"/>
    <w:rsid w:val="00A61C15"/>
    <w:rsid w:val="00A61C90"/>
    <w:rsid w:val="00A61CD7"/>
    <w:rsid w:val="00A61EB9"/>
    <w:rsid w:val="00A62343"/>
    <w:rsid w:val="00A623AF"/>
    <w:rsid w:val="00A6245D"/>
    <w:rsid w:val="00A624B7"/>
    <w:rsid w:val="00A624F2"/>
    <w:rsid w:val="00A6260D"/>
    <w:rsid w:val="00A6270A"/>
    <w:rsid w:val="00A62756"/>
    <w:rsid w:val="00A6282F"/>
    <w:rsid w:val="00A6289A"/>
    <w:rsid w:val="00A6296C"/>
    <w:rsid w:val="00A62A0E"/>
    <w:rsid w:val="00A62CA3"/>
    <w:rsid w:val="00A62CEE"/>
    <w:rsid w:val="00A62EE2"/>
    <w:rsid w:val="00A63052"/>
    <w:rsid w:val="00A630AA"/>
    <w:rsid w:val="00A6315A"/>
    <w:rsid w:val="00A6320D"/>
    <w:rsid w:val="00A63218"/>
    <w:rsid w:val="00A63281"/>
    <w:rsid w:val="00A632A7"/>
    <w:rsid w:val="00A63535"/>
    <w:rsid w:val="00A636AE"/>
    <w:rsid w:val="00A636D5"/>
    <w:rsid w:val="00A63810"/>
    <w:rsid w:val="00A638F8"/>
    <w:rsid w:val="00A6398B"/>
    <w:rsid w:val="00A63A9B"/>
    <w:rsid w:val="00A63AA3"/>
    <w:rsid w:val="00A63B6F"/>
    <w:rsid w:val="00A63D5F"/>
    <w:rsid w:val="00A63E90"/>
    <w:rsid w:val="00A63EBB"/>
    <w:rsid w:val="00A63ECA"/>
    <w:rsid w:val="00A64251"/>
    <w:rsid w:val="00A642C7"/>
    <w:rsid w:val="00A642EB"/>
    <w:rsid w:val="00A6451B"/>
    <w:rsid w:val="00A64554"/>
    <w:rsid w:val="00A64558"/>
    <w:rsid w:val="00A6455D"/>
    <w:rsid w:val="00A64615"/>
    <w:rsid w:val="00A64629"/>
    <w:rsid w:val="00A6469D"/>
    <w:rsid w:val="00A6480F"/>
    <w:rsid w:val="00A649B1"/>
    <w:rsid w:val="00A649D3"/>
    <w:rsid w:val="00A64A14"/>
    <w:rsid w:val="00A64A3F"/>
    <w:rsid w:val="00A64B85"/>
    <w:rsid w:val="00A64E28"/>
    <w:rsid w:val="00A64F2B"/>
    <w:rsid w:val="00A6509B"/>
    <w:rsid w:val="00A650C6"/>
    <w:rsid w:val="00A650C7"/>
    <w:rsid w:val="00A651C8"/>
    <w:rsid w:val="00A65297"/>
    <w:rsid w:val="00A6534C"/>
    <w:rsid w:val="00A653B6"/>
    <w:rsid w:val="00A65493"/>
    <w:rsid w:val="00A657F4"/>
    <w:rsid w:val="00A65890"/>
    <w:rsid w:val="00A65989"/>
    <w:rsid w:val="00A659B8"/>
    <w:rsid w:val="00A65AD8"/>
    <w:rsid w:val="00A65B03"/>
    <w:rsid w:val="00A65B2F"/>
    <w:rsid w:val="00A65B91"/>
    <w:rsid w:val="00A65C67"/>
    <w:rsid w:val="00A65C84"/>
    <w:rsid w:val="00A65D03"/>
    <w:rsid w:val="00A65D54"/>
    <w:rsid w:val="00A65D61"/>
    <w:rsid w:val="00A65E25"/>
    <w:rsid w:val="00A65EB4"/>
    <w:rsid w:val="00A65EF3"/>
    <w:rsid w:val="00A65F27"/>
    <w:rsid w:val="00A65F92"/>
    <w:rsid w:val="00A65FC8"/>
    <w:rsid w:val="00A660F7"/>
    <w:rsid w:val="00A66167"/>
    <w:rsid w:val="00A66185"/>
    <w:rsid w:val="00A661DE"/>
    <w:rsid w:val="00A661E0"/>
    <w:rsid w:val="00A661F3"/>
    <w:rsid w:val="00A661F5"/>
    <w:rsid w:val="00A66353"/>
    <w:rsid w:val="00A663AF"/>
    <w:rsid w:val="00A663DE"/>
    <w:rsid w:val="00A66439"/>
    <w:rsid w:val="00A66467"/>
    <w:rsid w:val="00A664D9"/>
    <w:rsid w:val="00A66510"/>
    <w:rsid w:val="00A665CD"/>
    <w:rsid w:val="00A666C6"/>
    <w:rsid w:val="00A667C2"/>
    <w:rsid w:val="00A667DD"/>
    <w:rsid w:val="00A667EB"/>
    <w:rsid w:val="00A66908"/>
    <w:rsid w:val="00A6695B"/>
    <w:rsid w:val="00A669BA"/>
    <w:rsid w:val="00A669FB"/>
    <w:rsid w:val="00A66A37"/>
    <w:rsid w:val="00A66B1C"/>
    <w:rsid w:val="00A66B53"/>
    <w:rsid w:val="00A66B63"/>
    <w:rsid w:val="00A66D27"/>
    <w:rsid w:val="00A66DA8"/>
    <w:rsid w:val="00A66E3B"/>
    <w:rsid w:val="00A66E65"/>
    <w:rsid w:val="00A66FC7"/>
    <w:rsid w:val="00A6700D"/>
    <w:rsid w:val="00A670D9"/>
    <w:rsid w:val="00A671A7"/>
    <w:rsid w:val="00A67334"/>
    <w:rsid w:val="00A6745D"/>
    <w:rsid w:val="00A674B5"/>
    <w:rsid w:val="00A674C9"/>
    <w:rsid w:val="00A674E2"/>
    <w:rsid w:val="00A674F3"/>
    <w:rsid w:val="00A675D2"/>
    <w:rsid w:val="00A676BD"/>
    <w:rsid w:val="00A67800"/>
    <w:rsid w:val="00A678AA"/>
    <w:rsid w:val="00A678EE"/>
    <w:rsid w:val="00A679BC"/>
    <w:rsid w:val="00A67B5F"/>
    <w:rsid w:val="00A67D54"/>
    <w:rsid w:val="00A67DE1"/>
    <w:rsid w:val="00A67EBC"/>
    <w:rsid w:val="00A67EE1"/>
    <w:rsid w:val="00A67F45"/>
    <w:rsid w:val="00A7019F"/>
    <w:rsid w:val="00A702C6"/>
    <w:rsid w:val="00A702D7"/>
    <w:rsid w:val="00A70433"/>
    <w:rsid w:val="00A704BA"/>
    <w:rsid w:val="00A70585"/>
    <w:rsid w:val="00A70687"/>
    <w:rsid w:val="00A70761"/>
    <w:rsid w:val="00A7079D"/>
    <w:rsid w:val="00A708F0"/>
    <w:rsid w:val="00A709A9"/>
    <w:rsid w:val="00A709C5"/>
    <w:rsid w:val="00A70B93"/>
    <w:rsid w:val="00A70BA8"/>
    <w:rsid w:val="00A70BCB"/>
    <w:rsid w:val="00A70D06"/>
    <w:rsid w:val="00A70E02"/>
    <w:rsid w:val="00A70E4D"/>
    <w:rsid w:val="00A70E57"/>
    <w:rsid w:val="00A70EA1"/>
    <w:rsid w:val="00A70EA4"/>
    <w:rsid w:val="00A71044"/>
    <w:rsid w:val="00A71046"/>
    <w:rsid w:val="00A71184"/>
    <w:rsid w:val="00A711B0"/>
    <w:rsid w:val="00A71244"/>
    <w:rsid w:val="00A7136F"/>
    <w:rsid w:val="00A71601"/>
    <w:rsid w:val="00A7170F"/>
    <w:rsid w:val="00A71720"/>
    <w:rsid w:val="00A717D4"/>
    <w:rsid w:val="00A7181C"/>
    <w:rsid w:val="00A71829"/>
    <w:rsid w:val="00A71855"/>
    <w:rsid w:val="00A71922"/>
    <w:rsid w:val="00A719E7"/>
    <w:rsid w:val="00A719FC"/>
    <w:rsid w:val="00A71A0E"/>
    <w:rsid w:val="00A71BA8"/>
    <w:rsid w:val="00A71C3F"/>
    <w:rsid w:val="00A71C5A"/>
    <w:rsid w:val="00A71C64"/>
    <w:rsid w:val="00A71D4F"/>
    <w:rsid w:val="00A71DE4"/>
    <w:rsid w:val="00A71EF5"/>
    <w:rsid w:val="00A71F3C"/>
    <w:rsid w:val="00A72104"/>
    <w:rsid w:val="00A72134"/>
    <w:rsid w:val="00A72187"/>
    <w:rsid w:val="00A721F7"/>
    <w:rsid w:val="00A722D8"/>
    <w:rsid w:val="00A724B7"/>
    <w:rsid w:val="00A72516"/>
    <w:rsid w:val="00A7251A"/>
    <w:rsid w:val="00A72631"/>
    <w:rsid w:val="00A72706"/>
    <w:rsid w:val="00A7280C"/>
    <w:rsid w:val="00A72855"/>
    <w:rsid w:val="00A72929"/>
    <w:rsid w:val="00A7293B"/>
    <w:rsid w:val="00A7295B"/>
    <w:rsid w:val="00A7297D"/>
    <w:rsid w:val="00A72A11"/>
    <w:rsid w:val="00A72B51"/>
    <w:rsid w:val="00A72BBC"/>
    <w:rsid w:val="00A72CF7"/>
    <w:rsid w:val="00A72ED3"/>
    <w:rsid w:val="00A72EF8"/>
    <w:rsid w:val="00A72FB7"/>
    <w:rsid w:val="00A73048"/>
    <w:rsid w:val="00A73058"/>
    <w:rsid w:val="00A7308E"/>
    <w:rsid w:val="00A731D5"/>
    <w:rsid w:val="00A73246"/>
    <w:rsid w:val="00A732B7"/>
    <w:rsid w:val="00A732FC"/>
    <w:rsid w:val="00A7331B"/>
    <w:rsid w:val="00A73357"/>
    <w:rsid w:val="00A73419"/>
    <w:rsid w:val="00A734A1"/>
    <w:rsid w:val="00A734FB"/>
    <w:rsid w:val="00A73604"/>
    <w:rsid w:val="00A736E1"/>
    <w:rsid w:val="00A73837"/>
    <w:rsid w:val="00A738A5"/>
    <w:rsid w:val="00A738FE"/>
    <w:rsid w:val="00A7390F"/>
    <w:rsid w:val="00A73D54"/>
    <w:rsid w:val="00A73D64"/>
    <w:rsid w:val="00A73DFE"/>
    <w:rsid w:val="00A73E1F"/>
    <w:rsid w:val="00A73F58"/>
    <w:rsid w:val="00A73F6F"/>
    <w:rsid w:val="00A73F9B"/>
    <w:rsid w:val="00A73FCA"/>
    <w:rsid w:val="00A740E1"/>
    <w:rsid w:val="00A742B0"/>
    <w:rsid w:val="00A74385"/>
    <w:rsid w:val="00A74431"/>
    <w:rsid w:val="00A74549"/>
    <w:rsid w:val="00A74551"/>
    <w:rsid w:val="00A74704"/>
    <w:rsid w:val="00A747CB"/>
    <w:rsid w:val="00A747DF"/>
    <w:rsid w:val="00A748EC"/>
    <w:rsid w:val="00A748F9"/>
    <w:rsid w:val="00A74920"/>
    <w:rsid w:val="00A74B8A"/>
    <w:rsid w:val="00A74C0A"/>
    <w:rsid w:val="00A74C42"/>
    <w:rsid w:val="00A74CE4"/>
    <w:rsid w:val="00A74D47"/>
    <w:rsid w:val="00A74DAD"/>
    <w:rsid w:val="00A74DF0"/>
    <w:rsid w:val="00A74DFE"/>
    <w:rsid w:val="00A7503D"/>
    <w:rsid w:val="00A75188"/>
    <w:rsid w:val="00A752E4"/>
    <w:rsid w:val="00A75348"/>
    <w:rsid w:val="00A7539F"/>
    <w:rsid w:val="00A7547E"/>
    <w:rsid w:val="00A7557D"/>
    <w:rsid w:val="00A75605"/>
    <w:rsid w:val="00A756A8"/>
    <w:rsid w:val="00A756B4"/>
    <w:rsid w:val="00A75793"/>
    <w:rsid w:val="00A757EB"/>
    <w:rsid w:val="00A7580D"/>
    <w:rsid w:val="00A75861"/>
    <w:rsid w:val="00A7588B"/>
    <w:rsid w:val="00A7590D"/>
    <w:rsid w:val="00A7592F"/>
    <w:rsid w:val="00A75A4A"/>
    <w:rsid w:val="00A75A8A"/>
    <w:rsid w:val="00A75AEF"/>
    <w:rsid w:val="00A75BCA"/>
    <w:rsid w:val="00A75C5D"/>
    <w:rsid w:val="00A75D51"/>
    <w:rsid w:val="00A75DD9"/>
    <w:rsid w:val="00A75EEA"/>
    <w:rsid w:val="00A75F01"/>
    <w:rsid w:val="00A75F41"/>
    <w:rsid w:val="00A76050"/>
    <w:rsid w:val="00A7609E"/>
    <w:rsid w:val="00A76168"/>
    <w:rsid w:val="00A761C6"/>
    <w:rsid w:val="00A76232"/>
    <w:rsid w:val="00A762B1"/>
    <w:rsid w:val="00A7650C"/>
    <w:rsid w:val="00A76669"/>
    <w:rsid w:val="00A766ED"/>
    <w:rsid w:val="00A76804"/>
    <w:rsid w:val="00A769DB"/>
    <w:rsid w:val="00A76B2D"/>
    <w:rsid w:val="00A76DBA"/>
    <w:rsid w:val="00A76DDB"/>
    <w:rsid w:val="00A76E32"/>
    <w:rsid w:val="00A76F55"/>
    <w:rsid w:val="00A77052"/>
    <w:rsid w:val="00A771C2"/>
    <w:rsid w:val="00A7721B"/>
    <w:rsid w:val="00A7723E"/>
    <w:rsid w:val="00A772D7"/>
    <w:rsid w:val="00A77351"/>
    <w:rsid w:val="00A77373"/>
    <w:rsid w:val="00A7739F"/>
    <w:rsid w:val="00A774E3"/>
    <w:rsid w:val="00A775E9"/>
    <w:rsid w:val="00A77663"/>
    <w:rsid w:val="00A77699"/>
    <w:rsid w:val="00A77716"/>
    <w:rsid w:val="00A77792"/>
    <w:rsid w:val="00A77830"/>
    <w:rsid w:val="00A77843"/>
    <w:rsid w:val="00A77A4C"/>
    <w:rsid w:val="00A77B51"/>
    <w:rsid w:val="00A77B9A"/>
    <w:rsid w:val="00A77C17"/>
    <w:rsid w:val="00A77C2F"/>
    <w:rsid w:val="00A77D1E"/>
    <w:rsid w:val="00A77EC8"/>
    <w:rsid w:val="00A77F74"/>
    <w:rsid w:val="00A800DF"/>
    <w:rsid w:val="00A80135"/>
    <w:rsid w:val="00A801C6"/>
    <w:rsid w:val="00A8048C"/>
    <w:rsid w:val="00A804B6"/>
    <w:rsid w:val="00A804BE"/>
    <w:rsid w:val="00A8050E"/>
    <w:rsid w:val="00A80512"/>
    <w:rsid w:val="00A80555"/>
    <w:rsid w:val="00A805DC"/>
    <w:rsid w:val="00A8063D"/>
    <w:rsid w:val="00A80663"/>
    <w:rsid w:val="00A806CE"/>
    <w:rsid w:val="00A80826"/>
    <w:rsid w:val="00A8087B"/>
    <w:rsid w:val="00A808D5"/>
    <w:rsid w:val="00A808E7"/>
    <w:rsid w:val="00A80A3A"/>
    <w:rsid w:val="00A80ABF"/>
    <w:rsid w:val="00A80CCB"/>
    <w:rsid w:val="00A80CFD"/>
    <w:rsid w:val="00A80EB0"/>
    <w:rsid w:val="00A80F5F"/>
    <w:rsid w:val="00A80F84"/>
    <w:rsid w:val="00A80F88"/>
    <w:rsid w:val="00A80FB5"/>
    <w:rsid w:val="00A810F3"/>
    <w:rsid w:val="00A8128D"/>
    <w:rsid w:val="00A81320"/>
    <w:rsid w:val="00A81453"/>
    <w:rsid w:val="00A814C3"/>
    <w:rsid w:val="00A8154E"/>
    <w:rsid w:val="00A8168A"/>
    <w:rsid w:val="00A816F1"/>
    <w:rsid w:val="00A816F7"/>
    <w:rsid w:val="00A817A5"/>
    <w:rsid w:val="00A8186B"/>
    <w:rsid w:val="00A81A10"/>
    <w:rsid w:val="00A81BE0"/>
    <w:rsid w:val="00A81E0C"/>
    <w:rsid w:val="00A81E7D"/>
    <w:rsid w:val="00A82028"/>
    <w:rsid w:val="00A820EE"/>
    <w:rsid w:val="00A8211E"/>
    <w:rsid w:val="00A8222E"/>
    <w:rsid w:val="00A822A5"/>
    <w:rsid w:val="00A823D3"/>
    <w:rsid w:val="00A8241F"/>
    <w:rsid w:val="00A8247F"/>
    <w:rsid w:val="00A82543"/>
    <w:rsid w:val="00A82567"/>
    <w:rsid w:val="00A8270E"/>
    <w:rsid w:val="00A82762"/>
    <w:rsid w:val="00A8277F"/>
    <w:rsid w:val="00A8289D"/>
    <w:rsid w:val="00A828A1"/>
    <w:rsid w:val="00A828BA"/>
    <w:rsid w:val="00A828EC"/>
    <w:rsid w:val="00A82A97"/>
    <w:rsid w:val="00A82B3D"/>
    <w:rsid w:val="00A82B4D"/>
    <w:rsid w:val="00A82BC8"/>
    <w:rsid w:val="00A82C3F"/>
    <w:rsid w:val="00A82CA3"/>
    <w:rsid w:val="00A82E26"/>
    <w:rsid w:val="00A830BC"/>
    <w:rsid w:val="00A830C5"/>
    <w:rsid w:val="00A831F9"/>
    <w:rsid w:val="00A831FA"/>
    <w:rsid w:val="00A832AF"/>
    <w:rsid w:val="00A8336B"/>
    <w:rsid w:val="00A8341A"/>
    <w:rsid w:val="00A83474"/>
    <w:rsid w:val="00A834C2"/>
    <w:rsid w:val="00A835A3"/>
    <w:rsid w:val="00A835EF"/>
    <w:rsid w:val="00A83616"/>
    <w:rsid w:val="00A8362F"/>
    <w:rsid w:val="00A837D8"/>
    <w:rsid w:val="00A8384F"/>
    <w:rsid w:val="00A8390B"/>
    <w:rsid w:val="00A83928"/>
    <w:rsid w:val="00A839AE"/>
    <w:rsid w:val="00A83A00"/>
    <w:rsid w:val="00A83AEE"/>
    <w:rsid w:val="00A83B14"/>
    <w:rsid w:val="00A83B5E"/>
    <w:rsid w:val="00A83BCA"/>
    <w:rsid w:val="00A83C49"/>
    <w:rsid w:val="00A83C7D"/>
    <w:rsid w:val="00A83CD2"/>
    <w:rsid w:val="00A83CF2"/>
    <w:rsid w:val="00A83D11"/>
    <w:rsid w:val="00A83D24"/>
    <w:rsid w:val="00A83DE8"/>
    <w:rsid w:val="00A83E5A"/>
    <w:rsid w:val="00A83EF9"/>
    <w:rsid w:val="00A8407A"/>
    <w:rsid w:val="00A840F1"/>
    <w:rsid w:val="00A84213"/>
    <w:rsid w:val="00A842EC"/>
    <w:rsid w:val="00A8430B"/>
    <w:rsid w:val="00A84383"/>
    <w:rsid w:val="00A84395"/>
    <w:rsid w:val="00A844A8"/>
    <w:rsid w:val="00A84539"/>
    <w:rsid w:val="00A8458B"/>
    <w:rsid w:val="00A845AF"/>
    <w:rsid w:val="00A845ED"/>
    <w:rsid w:val="00A845F1"/>
    <w:rsid w:val="00A84653"/>
    <w:rsid w:val="00A84664"/>
    <w:rsid w:val="00A8468C"/>
    <w:rsid w:val="00A84739"/>
    <w:rsid w:val="00A84757"/>
    <w:rsid w:val="00A847E2"/>
    <w:rsid w:val="00A8487D"/>
    <w:rsid w:val="00A848B6"/>
    <w:rsid w:val="00A848C4"/>
    <w:rsid w:val="00A84A09"/>
    <w:rsid w:val="00A84A48"/>
    <w:rsid w:val="00A84A87"/>
    <w:rsid w:val="00A84BDA"/>
    <w:rsid w:val="00A84CAB"/>
    <w:rsid w:val="00A84E52"/>
    <w:rsid w:val="00A84EAB"/>
    <w:rsid w:val="00A84ED5"/>
    <w:rsid w:val="00A84F92"/>
    <w:rsid w:val="00A850EC"/>
    <w:rsid w:val="00A85184"/>
    <w:rsid w:val="00A852D0"/>
    <w:rsid w:val="00A85321"/>
    <w:rsid w:val="00A8537E"/>
    <w:rsid w:val="00A853D9"/>
    <w:rsid w:val="00A8544D"/>
    <w:rsid w:val="00A854A7"/>
    <w:rsid w:val="00A85546"/>
    <w:rsid w:val="00A85623"/>
    <w:rsid w:val="00A85686"/>
    <w:rsid w:val="00A856E9"/>
    <w:rsid w:val="00A856F2"/>
    <w:rsid w:val="00A85751"/>
    <w:rsid w:val="00A85768"/>
    <w:rsid w:val="00A8577E"/>
    <w:rsid w:val="00A857BF"/>
    <w:rsid w:val="00A85CB5"/>
    <w:rsid w:val="00A85CBA"/>
    <w:rsid w:val="00A85D02"/>
    <w:rsid w:val="00A85D9E"/>
    <w:rsid w:val="00A85DF6"/>
    <w:rsid w:val="00A85E70"/>
    <w:rsid w:val="00A85EE5"/>
    <w:rsid w:val="00A85F1B"/>
    <w:rsid w:val="00A85FBD"/>
    <w:rsid w:val="00A8602B"/>
    <w:rsid w:val="00A86044"/>
    <w:rsid w:val="00A8613C"/>
    <w:rsid w:val="00A861A7"/>
    <w:rsid w:val="00A862AC"/>
    <w:rsid w:val="00A86379"/>
    <w:rsid w:val="00A86380"/>
    <w:rsid w:val="00A8642E"/>
    <w:rsid w:val="00A8647A"/>
    <w:rsid w:val="00A8663B"/>
    <w:rsid w:val="00A86671"/>
    <w:rsid w:val="00A8696E"/>
    <w:rsid w:val="00A86A89"/>
    <w:rsid w:val="00A86B6E"/>
    <w:rsid w:val="00A86B76"/>
    <w:rsid w:val="00A86BDD"/>
    <w:rsid w:val="00A86C56"/>
    <w:rsid w:val="00A86D09"/>
    <w:rsid w:val="00A86D72"/>
    <w:rsid w:val="00A86E42"/>
    <w:rsid w:val="00A86E5B"/>
    <w:rsid w:val="00A870DB"/>
    <w:rsid w:val="00A870E9"/>
    <w:rsid w:val="00A87134"/>
    <w:rsid w:val="00A8718C"/>
    <w:rsid w:val="00A8719B"/>
    <w:rsid w:val="00A87204"/>
    <w:rsid w:val="00A87256"/>
    <w:rsid w:val="00A872AC"/>
    <w:rsid w:val="00A87430"/>
    <w:rsid w:val="00A87434"/>
    <w:rsid w:val="00A8743E"/>
    <w:rsid w:val="00A87599"/>
    <w:rsid w:val="00A877DE"/>
    <w:rsid w:val="00A87813"/>
    <w:rsid w:val="00A87877"/>
    <w:rsid w:val="00A8794F"/>
    <w:rsid w:val="00A87A01"/>
    <w:rsid w:val="00A87AFF"/>
    <w:rsid w:val="00A87C5F"/>
    <w:rsid w:val="00A87D44"/>
    <w:rsid w:val="00A87D95"/>
    <w:rsid w:val="00A87E92"/>
    <w:rsid w:val="00A9002E"/>
    <w:rsid w:val="00A901B1"/>
    <w:rsid w:val="00A90239"/>
    <w:rsid w:val="00A9024F"/>
    <w:rsid w:val="00A90357"/>
    <w:rsid w:val="00A903B7"/>
    <w:rsid w:val="00A903C4"/>
    <w:rsid w:val="00A903F4"/>
    <w:rsid w:val="00A9043A"/>
    <w:rsid w:val="00A904C2"/>
    <w:rsid w:val="00A906CA"/>
    <w:rsid w:val="00A907EC"/>
    <w:rsid w:val="00A908B5"/>
    <w:rsid w:val="00A9092D"/>
    <w:rsid w:val="00A9092F"/>
    <w:rsid w:val="00A909BA"/>
    <w:rsid w:val="00A90A43"/>
    <w:rsid w:val="00A90B51"/>
    <w:rsid w:val="00A90CA2"/>
    <w:rsid w:val="00A90D44"/>
    <w:rsid w:val="00A90D86"/>
    <w:rsid w:val="00A90DB3"/>
    <w:rsid w:val="00A90EB8"/>
    <w:rsid w:val="00A90F34"/>
    <w:rsid w:val="00A9119B"/>
    <w:rsid w:val="00A91369"/>
    <w:rsid w:val="00A91438"/>
    <w:rsid w:val="00A914BF"/>
    <w:rsid w:val="00A91584"/>
    <w:rsid w:val="00A91775"/>
    <w:rsid w:val="00A91787"/>
    <w:rsid w:val="00A918B8"/>
    <w:rsid w:val="00A9193D"/>
    <w:rsid w:val="00A91B27"/>
    <w:rsid w:val="00A91BC1"/>
    <w:rsid w:val="00A91C2A"/>
    <w:rsid w:val="00A91DF3"/>
    <w:rsid w:val="00A91E39"/>
    <w:rsid w:val="00A91EA2"/>
    <w:rsid w:val="00A91EB9"/>
    <w:rsid w:val="00A91F06"/>
    <w:rsid w:val="00A91F2C"/>
    <w:rsid w:val="00A91F5F"/>
    <w:rsid w:val="00A91F8F"/>
    <w:rsid w:val="00A92001"/>
    <w:rsid w:val="00A921EE"/>
    <w:rsid w:val="00A9225B"/>
    <w:rsid w:val="00A92386"/>
    <w:rsid w:val="00A92565"/>
    <w:rsid w:val="00A925F5"/>
    <w:rsid w:val="00A92733"/>
    <w:rsid w:val="00A92745"/>
    <w:rsid w:val="00A9284C"/>
    <w:rsid w:val="00A9295A"/>
    <w:rsid w:val="00A929CB"/>
    <w:rsid w:val="00A92CAE"/>
    <w:rsid w:val="00A92D13"/>
    <w:rsid w:val="00A92E0E"/>
    <w:rsid w:val="00A92FD0"/>
    <w:rsid w:val="00A93089"/>
    <w:rsid w:val="00A930F6"/>
    <w:rsid w:val="00A93157"/>
    <w:rsid w:val="00A931E4"/>
    <w:rsid w:val="00A93277"/>
    <w:rsid w:val="00A932B0"/>
    <w:rsid w:val="00A93474"/>
    <w:rsid w:val="00A93483"/>
    <w:rsid w:val="00A934FD"/>
    <w:rsid w:val="00A93558"/>
    <w:rsid w:val="00A93564"/>
    <w:rsid w:val="00A9358A"/>
    <w:rsid w:val="00A935A6"/>
    <w:rsid w:val="00A93657"/>
    <w:rsid w:val="00A9380A"/>
    <w:rsid w:val="00A938FE"/>
    <w:rsid w:val="00A93A1D"/>
    <w:rsid w:val="00A93A77"/>
    <w:rsid w:val="00A93AB9"/>
    <w:rsid w:val="00A93AC9"/>
    <w:rsid w:val="00A93C83"/>
    <w:rsid w:val="00A93CC7"/>
    <w:rsid w:val="00A93DA1"/>
    <w:rsid w:val="00A93DAE"/>
    <w:rsid w:val="00A93F77"/>
    <w:rsid w:val="00A93FCC"/>
    <w:rsid w:val="00A9412C"/>
    <w:rsid w:val="00A9417E"/>
    <w:rsid w:val="00A94228"/>
    <w:rsid w:val="00A942D2"/>
    <w:rsid w:val="00A94457"/>
    <w:rsid w:val="00A9455C"/>
    <w:rsid w:val="00A945A6"/>
    <w:rsid w:val="00A945FA"/>
    <w:rsid w:val="00A94603"/>
    <w:rsid w:val="00A9466F"/>
    <w:rsid w:val="00A946A6"/>
    <w:rsid w:val="00A94708"/>
    <w:rsid w:val="00A94751"/>
    <w:rsid w:val="00A94773"/>
    <w:rsid w:val="00A94841"/>
    <w:rsid w:val="00A94903"/>
    <w:rsid w:val="00A94980"/>
    <w:rsid w:val="00A94A32"/>
    <w:rsid w:val="00A94B5D"/>
    <w:rsid w:val="00A94C34"/>
    <w:rsid w:val="00A94DB7"/>
    <w:rsid w:val="00A94E15"/>
    <w:rsid w:val="00A94F14"/>
    <w:rsid w:val="00A94F27"/>
    <w:rsid w:val="00A94F46"/>
    <w:rsid w:val="00A94F54"/>
    <w:rsid w:val="00A94F9D"/>
    <w:rsid w:val="00A950CC"/>
    <w:rsid w:val="00A95303"/>
    <w:rsid w:val="00A953B5"/>
    <w:rsid w:val="00A95464"/>
    <w:rsid w:val="00A954A8"/>
    <w:rsid w:val="00A95510"/>
    <w:rsid w:val="00A95575"/>
    <w:rsid w:val="00A9560E"/>
    <w:rsid w:val="00A958CF"/>
    <w:rsid w:val="00A959B9"/>
    <w:rsid w:val="00A959EE"/>
    <w:rsid w:val="00A959EF"/>
    <w:rsid w:val="00A95A01"/>
    <w:rsid w:val="00A95B10"/>
    <w:rsid w:val="00A95B31"/>
    <w:rsid w:val="00A95C6A"/>
    <w:rsid w:val="00A95E0A"/>
    <w:rsid w:val="00A95F0E"/>
    <w:rsid w:val="00A95F95"/>
    <w:rsid w:val="00A960C1"/>
    <w:rsid w:val="00A961C3"/>
    <w:rsid w:val="00A961F3"/>
    <w:rsid w:val="00A962E6"/>
    <w:rsid w:val="00A96408"/>
    <w:rsid w:val="00A96565"/>
    <w:rsid w:val="00A966BE"/>
    <w:rsid w:val="00A9681C"/>
    <w:rsid w:val="00A9686F"/>
    <w:rsid w:val="00A968BA"/>
    <w:rsid w:val="00A968CB"/>
    <w:rsid w:val="00A96A41"/>
    <w:rsid w:val="00A96B45"/>
    <w:rsid w:val="00A96B7D"/>
    <w:rsid w:val="00A96C36"/>
    <w:rsid w:val="00A96D1E"/>
    <w:rsid w:val="00A96D2F"/>
    <w:rsid w:val="00A96D3C"/>
    <w:rsid w:val="00A96F11"/>
    <w:rsid w:val="00A97066"/>
    <w:rsid w:val="00A970F6"/>
    <w:rsid w:val="00A971BB"/>
    <w:rsid w:val="00A97255"/>
    <w:rsid w:val="00A972FD"/>
    <w:rsid w:val="00A97367"/>
    <w:rsid w:val="00A97449"/>
    <w:rsid w:val="00A9744E"/>
    <w:rsid w:val="00A974B4"/>
    <w:rsid w:val="00A97530"/>
    <w:rsid w:val="00A9773D"/>
    <w:rsid w:val="00A9783F"/>
    <w:rsid w:val="00A97846"/>
    <w:rsid w:val="00A97874"/>
    <w:rsid w:val="00A97A72"/>
    <w:rsid w:val="00A97B65"/>
    <w:rsid w:val="00A97BEE"/>
    <w:rsid w:val="00A97C21"/>
    <w:rsid w:val="00A97D6F"/>
    <w:rsid w:val="00A97DF8"/>
    <w:rsid w:val="00A97E2A"/>
    <w:rsid w:val="00A97E7B"/>
    <w:rsid w:val="00A97FB6"/>
    <w:rsid w:val="00AA0102"/>
    <w:rsid w:val="00AA013F"/>
    <w:rsid w:val="00AA01A4"/>
    <w:rsid w:val="00AA01DA"/>
    <w:rsid w:val="00AA01F0"/>
    <w:rsid w:val="00AA0405"/>
    <w:rsid w:val="00AA0482"/>
    <w:rsid w:val="00AA04A8"/>
    <w:rsid w:val="00AA04FC"/>
    <w:rsid w:val="00AA0564"/>
    <w:rsid w:val="00AA059B"/>
    <w:rsid w:val="00AA0704"/>
    <w:rsid w:val="00AA07A9"/>
    <w:rsid w:val="00AA084A"/>
    <w:rsid w:val="00AA0902"/>
    <w:rsid w:val="00AA098E"/>
    <w:rsid w:val="00AA0A01"/>
    <w:rsid w:val="00AA0A06"/>
    <w:rsid w:val="00AA0B39"/>
    <w:rsid w:val="00AA0B59"/>
    <w:rsid w:val="00AA0C6B"/>
    <w:rsid w:val="00AA0CBE"/>
    <w:rsid w:val="00AA0D03"/>
    <w:rsid w:val="00AA0D0C"/>
    <w:rsid w:val="00AA0D3D"/>
    <w:rsid w:val="00AA0E19"/>
    <w:rsid w:val="00AA0E21"/>
    <w:rsid w:val="00AA0E6A"/>
    <w:rsid w:val="00AA0EAA"/>
    <w:rsid w:val="00AA0FBC"/>
    <w:rsid w:val="00AA0FD4"/>
    <w:rsid w:val="00AA1138"/>
    <w:rsid w:val="00AA11D2"/>
    <w:rsid w:val="00AA11E3"/>
    <w:rsid w:val="00AA142F"/>
    <w:rsid w:val="00AA145C"/>
    <w:rsid w:val="00AA14C5"/>
    <w:rsid w:val="00AA1591"/>
    <w:rsid w:val="00AA1625"/>
    <w:rsid w:val="00AA168E"/>
    <w:rsid w:val="00AA16DC"/>
    <w:rsid w:val="00AA176B"/>
    <w:rsid w:val="00AA1770"/>
    <w:rsid w:val="00AA18DE"/>
    <w:rsid w:val="00AA1921"/>
    <w:rsid w:val="00AA19D3"/>
    <w:rsid w:val="00AA1AF7"/>
    <w:rsid w:val="00AA1B3D"/>
    <w:rsid w:val="00AA1B8E"/>
    <w:rsid w:val="00AA1FC7"/>
    <w:rsid w:val="00AA1FDA"/>
    <w:rsid w:val="00AA207F"/>
    <w:rsid w:val="00AA2087"/>
    <w:rsid w:val="00AA20F0"/>
    <w:rsid w:val="00AA21E4"/>
    <w:rsid w:val="00AA22B7"/>
    <w:rsid w:val="00AA233D"/>
    <w:rsid w:val="00AA237C"/>
    <w:rsid w:val="00AA23BA"/>
    <w:rsid w:val="00AA241F"/>
    <w:rsid w:val="00AA244D"/>
    <w:rsid w:val="00AA254D"/>
    <w:rsid w:val="00AA284F"/>
    <w:rsid w:val="00AA287E"/>
    <w:rsid w:val="00AA29C1"/>
    <w:rsid w:val="00AA2A06"/>
    <w:rsid w:val="00AA2B4B"/>
    <w:rsid w:val="00AA2B71"/>
    <w:rsid w:val="00AA2CE3"/>
    <w:rsid w:val="00AA2D1C"/>
    <w:rsid w:val="00AA2D6D"/>
    <w:rsid w:val="00AA2EB3"/>
    <w:rsid w:val="00AA2F7B"/>
    <w:rsid w:val="00AA2F80"/>
    <w:rsid w:val="00AA2FA8"/>
    <w:rsid w:val="00AA3081"/>
    <w:rsid w:val="00AA3098"/>
    <w:rsid w:val="00AA30AC"/>
    <w:rsid w:val="00AA30EE"/>
    <w:rsid w:val="00AA31FD"/>
    <w:rsid w:val="00AA32BB"/>
    <w:rsid w:val="00AA3312"/>
    <w:rsid w:val="00AA3333"/>
    <w:rsid w:val="00AA33E3"/>
    <w:rsid w:val="00AA345D"/>
    <w:rsid w:val="00AA35BD"/>
    <w:rsid w:val="00AA35D8"/>
    <w:rsid w:val="00AA37B2"/>
    <w:rsid w:val="00AA3969"/>
    <w:rsid w:val="00AA3A10"/>
    <w:rsid w:val="00AA3A58"/>
    <w:rsid w:val="00AA3BEC"/>
    <w:rsid w:val="00AA3CE9"/>
    <w:rsid w:val="00AA405D"/>
    <w:rsid w:val="00AA405F"/>
    <w:rsid w:val="00AA411E"/>
    <w:rsid w:val="00AA41A0"/>
    <w:rsid w:val="00AA423A"/>
    <w:rsid w:val="00AA425A"/>
    <w:rsid w:val="00AA4615"/>
    <w:rsid w:val="00AA463E"/>
    <w:rsid w:val="00AA49A6"/>
    <w:rsid w:val="00AA4A90"/>
    <w:rsid w:val="00AA4AEC"/>
    <w:rsid w:val="00AA4B5B"/>
    <w:rsid w:val="00AA4C1A"/>
    <w:rsid w:val="00AA4C30"/>
    <w:rsid w:val="00AA4CE1"/>
    <w:rsid w:val="00AA4D58"/>
    <w:rsid w:val="00AA4DAA"/>
    <w:rsid w:val="00AA4DEF"/>
    <w:rsid w:val="00AA4E1F"/>
    <w:rsid w:val="00AA4E9C"/>
    <w:rsid w:val="00AA4FC0"/>
    <w:rsid w:val="00AA5075"/>
    <w:rsid w:val="00AA50A8"/>
    <w:rsid w:val="00AA50C0"/>
    <w:rsid w:val="00AA50E1"/>
    <w:rsid w:val="00AA5313"/>
    <w:rsid w:val="00AA54B4"/>
    <w:rsid w:val="00AA551A"/>
    <w:rsid w:val="00AA5641"/>
    <w:rsid w:val="00AA5694"/>
    <w:rsid w:val="00AA5753"/>
    <w:rsid w:val="00AA583D"/>
    <w:rsid w:val="00AA5A61"/>
    <w:rsid w:val="00AA5AC5"/>
    <w:rsid w:val="00AA5B01"/>
    <w:rsid w:val="00AA5B25"/>
    <w:rsid w:val="00AA5B66"/>
    <w:rsid w:val="00AA5C29"/>
    <w:rsid w:val="00AA5CEE"/>
    <w:rsid w:val="00AA5D70"/>
    <w:rsid w:val="00AA5E97"/>
    <w:rsid w:val="00AA5ED4"/>
    <w:rsid w:val="00AA5FB3"/>
    <w:rsid w:val="00AA61A1"/>
    <w:rsid w:val="00AA6228"/>
    <w:rsid w:val="00AA62D8"/>
    <w:rsid w:val="00AA62F6"/>
    <w:rsid w:val="00AA6387"/>
    <w:rsid w:val="00AA638F"/>
    <w:rsid w:val="00AA63B7"/>
    <w:rsid w:val="00AA6452"/>
    <w:rsid w:val="00AA657A"/>
    <w:rsid w:val="00AA6626"/>
    <w:rsid w:val="00AA663D"/>
    <w:rsid w:val="00AA6647"/>
    <w:rsid w:val="00AA66EA"/>
    <w:rsid w:val="00AA67CF"/>
    <w:rsid w:val="00AA685A"/>
    <w:rsid w:val="00AA6A8D"/>
    <w:rsid w:val="00AA6ACF"/>
    <w:rsid w:val="00AA6C58"/>
    <w:rsid w:val="00AA6CA2"/>
    <w:rsid w:val="00AA6D1D"/>
    <w:rsid w:val="00AA6D66"/>
    <w:rsid w:val="00AA6E75"/>
    <w:rsid w:val="00AA6F52"/>
    <w:rsid w:val="00AA705E"/>
    <w:rsid w:val="00AA7146"/>
    <w:rsid w:val="00AA7170"/>
    <w:rsid w:val="00AA7340"/>
    <w:rsid w:val="00AA7351"/>
    <w:rsid w:val="00AA7373"/>
    <w:rsid w:val="00AA7445"/>
    <w:rsid w:val="00AA74A9"/>
    <w:rsid w:val="00AA7656"/>
    <w:rsid w:val="00AA773E"/>
    <w:rsid w:val="00AA79AC"/>
    <w:rsid w:val="00AA7A06"/>
    <w:rsid w:val="00AA7CC5"/>
    <w:rsid w:val="00AA7D6E"/>
    <w:rsid w:val="00AA7DD2"/>
    <w:rsid w:val="00AA7E4C"/>
    <w:rsid w:val="00AA7EB5"/>
    <w:rsid w:val="00AA7F80"/>
    <w:rsid w:val="00AB00A5"/>
    <w:rsid w:val="00AB018F"/>
    <w:rsid w:val="00AB022B"/>
    <w:rsid w:val="00AB0259"/>
    <w:rsid w:val="00AB0315"/>
    <w:rsid w:val="00AB0394"/>
    <w:rsid w:val="00AB03E7"/>
    <w:rsid w:val="00AB0488"/>
    <w:rsid w:val="00AB04ED"/>
    <w:rsid w:val="00AB0509"/>
    <w:rsid w:val="00AB055A"/>
    <w:rsid w:val="00AB05A6"/>
    <w:rsid w:val="00AB06FF"/>
    <w:rsid w:val="00AB0805"/>
    <w:rsid w:val="00AB0880"/>
    <w:rsid w:val="00AB0887"/>
    <w:rsid w:val="00AB089C"/>
    <w:rsid w:val="00AB0908"/>
    <w:rsid w:val="00AB090C"/>
    <w:rsid w:val="00AB09D2"/>
    <w:rsid w:val="00AB0A2E"/>
    <w:rsid w:val="00AB0AC9"/>
    <w:rsid w:val="00AB0B34"/>
    <w:rsid w:val="00AB0B57"/>
    <w:rsid w:val="00AB0C27"/>
    <w:rsid w:val="00AB0C82"/>
    <w:rsid w:val="00AB0CBF"/>
    <w:rsid w:val="00AB0E1E"/>
    <w:rsid w:val="00AB0EB8"/>
    <w:rsid w:val="00AB0EDF"/>
    <w:rsid w:val="00AB0EE4"/>
    <w:rsid w:val="00AB0FE3"/>
    <w:rsid w:val="00AB0FEF"/>
    <w:rsid w:val="00AB1073"/>
    <w:rsid w:val="00AB1118"/>
    <w:rsid w:val="00AB1177"/>
    <w:rsid w:val="00AB12E9"/>
    <w:rsid w:val="00AB1453"/>
    <w:rsid w:val="00AB154A"/>
    <w:rsid w:val="00AB1592"/>
    <w:rsid w:val="00AB15D5"/>
    <w:rsid w:val="00AB181C"/>
    <w:rsid w:val="00AB1912"/>
    <w:rsid w:val="00AB198C"/>
    <w:rsid w:val="00AB1A29"/>
    <w:rsid w:val="00AB1A2A"/>
    <w:rsid w:val="00AB1C80"/>
    <w:rsid w:val="00AB1E5F"/>
    <w:rsid w:val="00AB1EC5"/>
    <w:rsid w:val="00AB1FBD"/>
    <w:rsid w:val="00AB208C"/>
    <w:rsid w:val="00AB209A"/>
    <w:rsid w:val="00AB2147"/>
    <w:rsid w:val="00AB215C"/>
    <w:rsid w:val="00AB23DC"/>
    <w:rsid w:val="00AB255B"/>
    <w:rsid w:val="00AB2622"/>
    <w:rsid w:val="00AB262B"/>
    <w:rsid w:val="00AB2636"/>
    <w:rsid w:val="00AB268B"/>
    <w:rsid w:val="00AB26F1"/>
    <w:rsid w:val="00AB2762"/>
    <w:rsid w:val="00AB2920"/>
    <w:rsid w:val="00AB2A0A"/>
    <w:rsid w:val="00AB2BEF"/>
    <w:rsid w:val="00AB2DF6"/>
    <w:rsid w:val="00AB2E2F"/>
    <w:rsid w:val="00AB2EB7"/>
    <w:rsid w:val="00AB2F07"/>
    <w:rsid w:val="00AB2F12"/>
    <w:rsid w:val="00AB2FD4"/>
    <w:rsid w:val="00AB2FD6"/>
    <w:rsid w:val="00AB3027"/>
    <w:rsid w:val="00AB303F"/>
    <w:rsid w:val="00AB30D6"/>
    <w:rsid w:val="00AB3133"/>
    <w:rsid w:val="00AB31EB"/>
    <w:rsid w:val="00AB3218"/>
    <w:rsid w:val="00AB326D"/>
    <w:rsid w:val="00AB32C7"/>
    <w:rsid w:val="00AB35BC"/>
    <w:rsid w:val="00AB3666"/>
    <w:rsid w:val="00AB37B4"/>
    <w:rsid w:val="00AB37BB"/>
    <w:rsid w:val="00AB397E"/>
    <w:rsid w:val="00AB3AED"/>
    <w:rsid w:val="00AB3B81"/>
    <w:rsid w:val="00AB3BE5"/>
    <w:rsid w:val="00AB3D19"/>
    <w:rsid w:val="00AB3DDB"/>
    <w:rsid w:val="00AB3E85"/>
    <w:rsid w:val="00AB3F9F"/>
    <w:rsid w:val="00AB3FC1"/>
    <w:rsid w:val="00AB4060"/>
    <w:rsid w:val="00AB41C0"/>
    <w:rsid w:val="00AB421D"/>
    <w:rsid w:val="00AB42BC"/>
    <w:rsid w:val="00AB43B1"/>
    <w:rsid w:val="00AB4516"/>
    <w:rsid w:val="00AB452E"/>
    <w:rsid w:val="00AB4587"/>
    <w:rsid w:val="00AB45C9"/>
    <w:rsid w:val="00AB4699"/>
    <w:rsid w:val="00AB46C1"/>
    <w:rsid w:val="00AB4728"/>
    <w:rsid w:val="00AB4813"/>
    <w:rsid w:val="00AB4910"/>
    <w:rsid w:val="00AB4938"/>
    <w:rsid w:val="00AB497F"/>
    <w:rsid w:val="00AB49D2"/>
    <w:rsid w:val="00AB4A32"/>
    <w:rsid w:val="00AB4A54"/>
    <w:rsid w:val="00AB4B44"/>
    <w:rsid w:val="00AB4C16"/>
    <w:rsid w:val="00AB4C1B"/>
    <w:rsid w:val="00AB4CA0"/>
    <w:rsid w:val="00AB4CD5"/>
    <w:rsid w:val="00AB4DFA"/>
    <w:rsid w:val="00AB4F26"/>
    <w:rsid w:val="00AB4F66"/>
    <w:rsid w:val="00AB4FCC"/>
    <w:rsid w:val="00AB5073"/>
    <w:rsid w:val="00AB511E"/>
    <w:rsid w:val="00AB523A"/>
    <w:rsid w:val="00AB5296"/>
    <w:rsid w:val="00AB52ED"/>
    <w:rsid w:val="00AB5490"/>
    <w:rsid w:val="00AB54EA"/>
    <w:rsid w:val="00AB5580"/>
    <w:rsid w:val="00AB55A8"/>
    <w:rsid w:val="00AB55AC"/>
    <w:rsid w:val="00AB55BD"/>
    <w:rsid w:val="00AB563E"/>
    <w:rsid w:val="00AB5669"/>
    <w:rsid w:val="00AB5715"/>
    <w:rsid w:val="00AB5723"/>
    <w:rsid w:val="00AB57B0"/>
    <w:rsid w:val="00AB58AD"/>
    <w:rsid w:val="00AB5A41"/>
    <w:rsid w:val="00AB5BAA"/>
    <w:rsid w:val="00AB5D96"/>
    <w:rsid w:val="00AB6062"/>
    <w:rsid w:val="00AB60BB"/>
    <w:rsid w:val="00AB611B"/>
    <w:rsid w:val="00AB623D"/>
    <w:rsid w:val="00AB63C7"/>
    <w:rsid w:val="00AB63E5"/>
    <w:rsid w:val="00AB642F"/>
    <w:rsid w:val="00AB651E"/>
    <w:rsid w:val="00AB65F4"/>
    <w:rsid w:val="00AB6601"/>
    <w:rsid w:val="00AB66C9"/>
    <w:rsid w:val="00AB66E7"/>
    <w:rsid w:val="00AB6713"/>
    <w:rsid w:val="00AB677D"/>
    <w:rsid w:val="00AB67DA"/>
    <w:rsid w:val="00AB67F0"/>
    <w:rsid w:val="00AB69B7"/>
    <w:rsid w:val="00AB69E3"/>
    <w:rsid w:val="00AB6B82"/>
    <w:rsid w:val="00AB6B98"/>
    <w:rsid w:val="00AB6BF9"/>
    <w:rsid w:val="00AB6C9B"/>
    <w:rsid w:val="00AB6D02"/>
    <w:rsid w:val="00AB6D58"/>
    <w:rsid w:val="00AB6DD6"/>
    <w:rsid w:val="00AB6E50"/>
    <w:rsid w:val="00AB6E5D"/>
    <w:rsid w:val="00AB6E98"/>
    <w:rsid w:val="00AB7055"/>
    <w:rsid w:val="00AB717B"/>
    <w:rsid w:val="00AB71AC"/>
    <w:rsid w:val="00AB7202"/>
    <w:rsid w:val="00AB72E7"/>
    <w:rsid w:val="00AB73F3"/>
    <w:rsid w:val="00AB7503"/>
    <w:rsid w:val="00AB7696"/>
    <w:rsid w:val="00AB7791"/>
    <w:rsid w:val="00AB77F5"/>
    <w:rsid w:val="00AB78C5"/>
    <w:rsid w:val="00AB78CF"/>
    <w:rsid w:val="00AB797B"/>
    <w:rsid w:val="00AB7A37"/>
    <w:rsid w:val="00AB7B23"/>
    <w:rsid w:val="00AB7CB2"/>
    <w:rsid w:val="00AB7D3B"/>
    <w:rsid w:val="00AB7F16"/>
    <w:rsid w:val="00AB7F24"/>
    <w:rsid w:val="00AB7F26"/>
    <w:rsid w:val="00AC0067"/>
    <w:rsid w:val="00AC01AA"/>
    <w:rsid w:val="00AC01D3"/>
    <w:rsid w:val="00AC0229"/>
    <w:rsid w:val="00AC030A"/>
    <w:rsid w:val="00AC0468"/>
    <w:rsid w:val="00AC053A"/>
    <w:rsid w:val="00AC053F"/>
    <w:rsid w:val="00AC05F5"/>
    <w:rsid w:val="00AC0612"/>
    <w:rsid w:val="00AC0631"/>
    <w:rsid w:val="00AC0655"/>
    <w:rsid w:val="00AC0722"/>
    <w:rsid w:val="00AC073A"/>
    <w:rsid w:val="00AC07C1"/>
    <w:rsid w:val="00AC0840"/>
    <w:rsid w:val="00AC0888"/>
    <w:rsid w:val="00AC095B"/>
    <w:rsid w:val="00AC0ACB"/>
    <w:rsid w:val="00AC0BF4"/>
    <w:rsid w:val="00AC0C36"/>
    <w:rsid w:val="00AC0C4A"/>
    <w:rsid w:val="00AC0D04"/>
    <w:rsid w:val="00AC0D10"/>
    <w:rsid w:val="00AC0D38"/>
    <w:rsid w:val="00AC0F24"/>
    <w:rsid w:val="00AC0F25"/>
    <w:rsid w:val="00AC0FD5"/>
    <w:rsid w:val="00AC109B"/>
    <w:rsid w:val="00AC1309"/>
    <w:rsid w:val="00AC1317"/>
    <w:rsid w:val="00AC136D"/>
    <w:rsid w:val="00AC1383"/>
    <w:rsid w:val="00AC13E8"/>
    <w:rsid w:val="00AC13F0"/>
    <w:rsid w:val="00AC1433"/>
    <w:rsid w:val="00AC149A"/>
    <w:rsid w:val="00AC14B0"/>
    <w:rsid w:val="00AC1515"/>
    <w:rsid w:val="00AC1525"/>
    <w:rsid w:val="00AC1558"/>
    <w:rsid w:val="00AC15AA"/>
    <w:rsid w:val="00AC16C7"/>
    <w:rsid w:val="00AC180D"/>
    <w:rsid w:val="00AC190A"/>
    <w:rsid w:val="00AC1972"/>
    <w:rsid w:val="00AC1A56"/>
    <w:rsid w:val="00AC1AD3"/>
    <w:rsid w:val="00AC1ADD"/>
    <w:rsid w:val="00AC1BC7"/>
    <w:rsid w:val="00AC1BFB"/>
    <w:rsid w:val="00AC1C62"/>
    <w:rsid w:val="00AC1CB6"/>
    <w:rsid w:val="00AC1D2B"/>
    <w:rsid w:val="00AC1D4D"/>
    <w:rsid w:val="00AC1E78"/>
    <w:rsid w:val="00AC1EFD"/>
    <w:rsid w:val="00AC1F33"/>
    <w:rsid w:val="00AC1F99"/>
    <w:rsid w:val="00AC1F9A"/>
    <w:rsid w:val="00AC1FC9"/>
    <w:rsid w:val="00AC217B"/>
    <w:rsid w:val="00AC2243"/>
    <w:rsid w:val="00AC2425"/>
    <w:rsid w:val="00AC2534"/>
    <w:rsid w:val="00AC2546"/>
    <w:rsid w:val="00AC2553"/>
    <w:rsid w:val="00AC270D"/>
    <w:rsid w:val="00AC27A6"/>
    <w:rsid w:val="00AC28B5"/>
    <w:rsid w:val="00AC290D"/>
    <w:rsid w:val="00AC2A12"/>
    <w:rsid w:val="00AC2BCB"/>
    <w:rsid w:val="00AC2C62"/>
    <w:rsid w:val="00AC2CE1"/>
    <w:rsid w:val="00AC2DA0"/>
    <w:rsid w:val="00AC2DBC"/>
    <w:rsid w:val="00AC2E6D"/>
    <w:rsid w:val="00AC2EB6"/>
    <w:rsid w:val="00AC2FA1"/>
    <w:rsid w:val="00AC2FA6"/>
    <w:rsid w:val="00AC30C9"/>
    <w:rsid w:val="00AC30CA"/>
    <w:rsid w:val="00AC30E7"/>
    <w:rsid w:val="00AC311E"/>
    <w:rsid w:val="00AC321C"/>
    <w:rsid w:val="00AC325D"/>
    <w:rsid w:val="00AC3287"/>
    <w:rsid w:val="00AC3341"/>
    <w:rsid w:val="00AC33C7"/>
    <w:rsid w:val="00AC344D"/>
    <w:rsid w:val="00AC35C4"/>
    <w:rsid w:val="00AC36AB"/>
    <w:rsid w:val="00AC3850"/>
    <w:rsid w:val="00AC38BC"/>
    <w:rsid w:val="00AC3AFE"/>
    <w:rsid w:val="00AC3B2A"/>
    <w:rsid w:val="00AC3B59"/>
    <w:rsid w:val="00AC3CFD"/>
    <w:rsid w:val="00AC3D56"/>
    <w:rsid w:val="00AC3EC4"/>
    <w:rsid w:val="00AC3F2C"/>
    <w:rsid w:val="00AC3FA1"/>
    <w:rsid w:val="00AC3FB0"/>
    <w:rsid w:val="00AC3FDA"/>
    <w:rsid w:val="00AC3FE5"/>
    <w:rsid w:val="00AC4046"/>
    <w:rsid w:val="00AC4075"/>
    <w:rsid w:val="00AC40A9"/>
    <w:rsid w:val="00AC4177"/>
    <w:rsid w:val="00AC41C4"/>
    <w:rsid w:val="00AC438B"/>
    <w:rsid w:val="00AC4425"/>
    <w:rsid w:val="00AC4429"/>
    <w:rsid w:val="00AC443A"/>
    <w:rsid w:val="00AC459C"/>
    <w:rsid w:val="00AC47BC"/>
    <w:rsid w:val="00AC4899"/>
    <w:rsid w:val="00AC4A04"/>
    <w:rsid w:val="00AC4AFE"/>
    <w:rsid w:val="00AC4DC8"/>
    <w:rsid w:val="00AC4DD0"/>
    <w:rsid w:val="00AC506F"/>
    <w:rsid w:val="00AC50A8"/>
    <w:rsid w:val="00AC50C0"/>
    <w:rsid w:val="00AC51CE"/>
    <w:rsid w:val="00AC51FD"/>
    <w:rsid w:val="00AC53B3"/>
    <w:rsid w:val="00AC5425"/>
    <w:rsid w:val="00AC5538"/>
    <w:rsid w:val="00AC55E6"/>
    <w:rsid w:val="00AC5695"/>
    <w:rsid w:val="00AC5766"/>
    <w:rsid w:val="00AC57AB"/>
    <w:rsid w:val="00AC5987"/>
    <w:rsid w:val="00AC5A56"/>
    <w:rsid w:val="00AC5AB3"/>
    <w:rsid w:val="00AC5C65"/>
    <w:rsid w:val="00AC5C95"/>
    <w:rsid w:val="00AC5CB5"/>
    <w:rsid w:val="00AC5D2C"/>
    <w:rsid w:val="00AC5D41"/>
    <w:rsid w:val="00AC5E7B"/>
    <w:rsid w:val="00AC5E84"/>
    <w:rsid w:val="00AC60F8"/>
    <w:rsid w:val="00AC6200"/>
    <w:rsid w:val="00AC6307"/>
    <w:rsid w:val="00AC63AC"/>
    <w:rsid w:val="00AC63B2"/>
    <w:rsid w:val="00AC63EE"/>
    <w:rsid w:val="00AC64D3"/>
    <w:rsid w:val="00AC6570"/>
    <w:rsid w:val="00AC6597"/>
    <w:rsid w:val="00AC65C5"/>
    <w:rsid w:val="00AC667C"/>
    <w:rsid w:val="00AC6695"/>
    <w:rsid w:val="00AC6779"/>
    <w:rsid w:val="00AC6823"/>
    <w:rsid w:val="00AC685C"/>
    <w:rsid w:val="00AC68ED"/>
    <w:rsid w:val="00AC6901"/>
    <w:rsid w:val="00AC6942"/>
    <w:rsid w:val="00AC69C8"/>
    <w:rsid w:val="00AC69EB"/>
    <w:rsid w:val="00AC6A08"/>
    <w:rsid w:val="00AC6A8D"/>
    <w:rsid w:val="00AC6ABB"/>
    <w:rsid w:val="00AC6BB8"/>
    <w:rsid w:val="00AC6BEE"/>
    <w:rsid w:val="00AC6E30"/>
    <w:rsid w:val="00AC6ECF"/>
    <w:rsid w:val="00AC6F7A"/>
    <w:rsid w:val="00AC6F96"/>
    <w:rsid w:val="00AC70D7"/>
    <w:rsid w:val="00AC72CC"/>
    <w:rsid w:val="00AC72DF"/>
    <w:rsid w:val="00AC73E0"/>
    <w:rsid w:val="00AC7414"/>
    <w:rsid w:val="00AC74C3"/>
    <w:rsid w:val="00AC74F6"/>
    <w:rsid w:val="00AC763D"/>
    <w:rsid w:val="00AC7675"/>
    <w:rsid w:val="00AC767D"/>
    <w:rsid w:val="00AC76E3"/>
    <w:rsid w:val="00AC7735"/>
    <w:rsid w:val="00AC7748"/>
    <w:rsid w:val="00AC77F0"/>
    <w:rsid w:val="00AC787D"/>
    <w:rsid w:val="00AC78D6"/>
    <w:rsid w:val="00AC79E9"/>
    <w:rsid w:val="00AC7A15"/>
    <w:rsid w:val="00AC7B00"/>
    <w:rsid w:val="00AC7BD3"/>
    <w:rsid w:val="00AC7CCF"/>
    <w:rsid w:val="00AC7D70"/>
    <w:rsid w:val="00AC7D9A"/>
    <w:rsid w:val="00AC7E4C"/>
    <w:rsid w:val="00AC7E74"/>
    <w:rsid w:val="00AC7E85"/>
    <w:rsid w:val="00AC7F97"/>
    <w:rsid w:val="00AD0019"/>
    <w:rsid w:val="00AD003D"/>
    <w:rsid w:val="00AD007F"/>
    <w:rsid w:val="00AD00D4"/>
    <w:rsid w:val="00AD00E5"/>
    <w:rsid w:val="00AD0338"/>
    <w:rsid w:val="00AD035B"/>
    <w:rsid w:val="00AD03F4"/>
    <w:rsid w:val="00AD0447"/>
    <w:rsid w:val="00AD044B"/>
    <w:rsid w:val="00AD046A"/>
    <w:rsid w:val="00AD04CF"/>
    <w:rsid w:val="00AD0533"/>
    <w:rsid w:val="00AD055B"/>
    <w:rsid w:val="00AD05CE"/>
    <w:rsid w:val="00AD0701"/>
    <w:rsid w:val="00AD0743"/>
    <w:rsid w:val="00AD0956"/>
    <w:rsid w:val="00AD099A"/>
    <w:rsid w:val="00AD09EC"/>
    <w:rsid w:val="00AD0A52"/>
    <w:rsid w:val="00AD0A6C"/>
    <w:rsid w:val="00AD0AFF"/>
    <w:rsid w:val="00AD0B71"/>
    <w:rsid w:val="00AD0C66"/>
    <w:rsid w:val="00AD0D56"/>
    <w:rsid w:val="00AD0D70"/>
    <w:rsid w:val="00AD0E75"/>
    <w:rsid w:val="00AD0ED4"/>
    <w:rsid w:val="00AD0F3D"/>
    <w:rsid w:val="00AD0FB2"/>
    <w:rsid w:val="00AD1039"/>
    <w:rsid w:val="00AD1180"/>
    <w:rsid w:val="00AD1189"/>
    <w:rsid w:val="00AD1281"/>
    <w:rsid w:val="00AD12E0"/>
    <w:rsid w:val="00AD130D"/>
    <w:rsid w:val="00AD138C"/>
    <w:rsid w:val="00AD13EF"/>
    <w:rsid w:val="00AD1544"/>
    <w:rsid w:val="00AD163B"/>
    <w:rsid w:val="00AD16AB"/>
    <w:rsid w:val="00AD16C2"/>
    <w:rsid w:val="00AD1765"/>
    <w:rsid w:val="00AD185C"/>
    <w:rsid w:val="00AD18A8"/>
    <w:rsid w:val="00AD18D2"/>
    <w:rsid w:val="00AD197B"/>
    <w:rsid w:val="00AD198A"/>
    <w:rsid w:val="00AD19AB"/>
    <w:rsid w:val="00AD1A5C"/>
    <w:rsid w:val="00AD1A8A"/>
    <w:rsid w:val="00AD1B23"/>
    <w:rsid w:val="00AD1B62"/>
    <w:rsid w:val="00AD1B65"/>
    <w:rsid w:val="00AD1BF5"/>
    <w:rsid w:val="00AD1C28"/>
    <w:rsid w:val="00AD1CEE"/>
    <w:rsid w:val="00AD1F48"/>
    <w:rsid w:val="00AD1F62"/>
    <w:rsid w:val="00AD1F6D"/>
    <w:rsid w:val="00AD1FEC"/>
    <w:rsid w:val="00AD2031"/>
    <w:rsid w:val="00AD208D"/>
    <w:rsid w:val="00AD20D3"/>
    <w:rsid w:val="00AD21C3"/>
    <w:rsid w:val="00AD21DA"/>
    <w:rsid w:val="00AD2364"/>
    <w:rsid w:val="00AD23F6"/>
    <w:rsid w:val="00AD2462"/>
    <w:rsid w:val="00AD249B"/>
    <w:rsid w:val="00AD24AF"/>
    <w:rsid w:val="00AD25B9"/>
    <w:rsid w:val="00AD25DB"/>
    <w:rsid w:val="00AD2815"/>
    <w:rsid w:val="00AD2907"/>
    <w:rsid w:val="00AD2951"/>
    <w:rsid w:val="00AD29A6"/>
    <w:rsid w:val="00AD2B1D"/>
    <w:rsid w:val="00AD2B2E"/>
    <w:rsid w:val="00AD2B35"/>
    <w:rsid w:val="00AD2B36"/>
    <w:rsid w:val="00AD2BB9"/>
    <w:rsid w:val="00AD2DD7"/>
    <w:rsid w:val="00AD2E26"/>
    <w:rsid w:val="00AD2EC1"/>
    <w:rsid w:val="00AD3008"/>
    <w:rsid w:val="00AD3076"/>
    <w:rsid w:val="00AD3328"/>
    <w:rsid w:val="00AD339A"/>
    <w:rsid w:val="00AD34C1"/>
    <w:rsid w:val="00AD355C"/>
    <w:rsid w:val="00AD3666"/>
    <w:rsid w:val="00AD3840"/>
    <w:rsid w:val="00AD389D"/>
    <w:rsid w:val="00AD39B5"/>
    <w:rsid w:val="00AD3ABF"/>
    <w:rsid w:val="00AD3BE7"/>
    <w:rsid w:val="00AD3BEC"/>
    <w:rsid w:val="00AD3BFD"/>
    <w:rsid w:val="00AD3D7D"/>
    <w:rsid w:val="00AD3E0F"/>
    <w:rsid w:val="00AD3ED6"/>
    <w:rsid w:val="00AD3F1D"/>
    <w:rsid w:val="00AD3FBC"/>
    <w:rsid w:val="00AD4015"/>
    <w:rsid w:val="00AD404E"/>
    <w:rsid w:val="00AD40CD"/>
    <w:rsid w:val="00AD4145"/>
    <w:rsid w:val="00AD42E8"/>
    <w:rsid w:val="00AD43E9"/>
    <w:rsid w:val="00AD4402"/>
    <w:rsid w:val="00AD446D"/>
    <w:rsid w:val="00AD44C4"/>
    <w:rsid w:val="00AD451F"/>
    <w:rsid w:val="00AD4539"/>
    <w:rsid w:val="00AD453E"/>
    <w:rsid w:val="00AD46AE"/>
    <w:rsid w:val="00AD46D2"/>
    <w:rsid w:val="00AD46D7"/>
    <w:rsid w:val="00AD478B"/>
    <w:rsid w:val="00AD4907"/>
    <w:rsid w:val="00AD4940"/>
    <w:rsid w:val="00AD4960"/>
    <w:rsid w:val="00AD4A72"/>
    <w:rsid w:val="00AD4AFD"/>
    <w:rsid w:val="00AD4C85"/>
    <w:rsid w:val="00AD4C8F"/>
    <w:rsid w:val="00AD4DB4"/>
    <w:rsid w:val="00AD4DDF"/>
    <w:rsid w:val="00AD4F00"/>
    <w:rsid w:val="00AD4F8F"/>
    <w:rsid w:val="00AD501D"/>
    <w:rsid w:val="00AD502C"/>
    <w:rsid w:val="00AD5135"/>
    <w:rsid w:val="00AD5169"/>
    <w:rsid w:val="00AD51E1"/>
    <w:rsid w:val="00AD51ED"/>
    <w:rsid w:val="00AD52A4"/>
    <w:rsid w:val="00AD5413"/>
    <w:rsid w:val="00AD5461"/>
    <w:rsid w:val="00AD5507"/>
    <w:rsid w:val="00AD5611"/>
    <w:rsid w:val="00AD563C"/>
    <w:rsid w:val="00AD56A3"/>
    <w:rsid w:val="00AD5848"/>
    <w:rsid w:val="00AD5899"/>
    <w:rsid w:val="00AD5930"/>
    <w:rsid w:val="00AD5977"/>
    <w:rsid w:val="00AD5990"/>
    <w:rsid w:val="00AD59A5"/>
    <w:rsid w:val="00AD59E3"/>
    <w:rsid w:val="00AD5B3D"/>
    <w:rsid w:val="00AD5B51"/>
    <w:rsid w:val="00AD5B54"/>
    <w:rsid w:val="00AD5B66"/>
    <w:rsid w:val="00AD5D79"/>
    <w:rsid w:val="00AD5D89"/>
    <w:rsid w:val="00AD5F03"/>
    <w:rsid w:val="00AD60E6"/>
    <w:rsid w:val="00AD6183"/>
    <w:rsid w:val="00AD61C7"/>
    <w:rsid w:val="00AD61D3"/>
    <w:rsid w:val="00AD624C"/>
    <w:rsid w:val="00AD6251"/>
    <w:rsid w:val="00AD62E9"/>
    <w:rsid w:val="00AD64BB"/>
    <w:rsid w:val="00AD64E1"/>
    <w:rsid w:val="00AD6677"/>
    <w:rsid w:val="00AD66BF"/>
    <w:rsid w:val="00AD6706"/>
    <w:rsid w:val="00AD670C"/>
    <w:rsid w:val="00AD6731"/>
    <w:rsid w:val="00AD6793"/>
    <w:rsid w:val="00AD6900"/>
    <w:rsid w:val="00AD697E"/>
    <w:rsid w:val="00AD6A09"/>
    <w:rsid w:val="00AD6C02"/>
    <w:rsid w:val="00AD6C23"/>
    <w:rsid w:val="00AD6CBC"/>
    <w:rsid w:val="00AD6D34"/>
    <w:rsid w:val="00AD6E03"/>
    <w:rsid w:val="00AD6E38"/>
    <w:rsid w:val="00AD6E7D"/>
    <w:rsid w:val="00AD6EF3"/>
    <w:rsid w:val="00AD6F0F"/>
    <w:rsid w:val="00AD6F9E"/>
    <w:rsid w:val="00AD6FA0"/>
    <w:rsid w:val="00AD7025"/>
    <w:rsid w:val="00AD72F4"/>
    <w:rsid w:val="00AD74D6"/>
    <w:rsid w:val="00AD75C8"/>
    <w:rsid w:val="00AD75F3"/>
    <w:rsid w:val="00AD774F"/>
    <w:rsid w:val="00AD78C2"/>
    <w:rsid w:val="00AD78CB"/>
    <w:rsid w:val="00AD7924"/>
    <w:rsid w:val="00AD797E"/>
    <w:rsid w:val="00AD79CA"/>
    <w:rsid w:val="00AD7A1D"/>
    <w:rsid w:val="00AD7B8B"/>
    <w:rsid w:val="00AD7BE0"/>
    <w:rsid w:val="00AD7C29"/>
    <w:rsid w:val="00AD7D2E"/>
    <w:rsid w:val="00AD7E5E"/>
    <w:rsid w:val="00AD7FC3"/>
    <w:rsid w:val="00AE0083"/>
    <w:rsid w:val="00AE00EA"/>
    <w:rsid w:val="00AE0156"/>
    <w:rsid w:val="00AE020E"/>
    <w:rsid w:val="00AE02B5"/>
    <w:rsid w:val="00AE0431"/>
    <w:rsid w:val="00AE0481"/>
    <w:rsid w:val="00AE05BE"/>
    <w:rsid w:val="00AE06A5"/>
    <w:rsid w:val="00AE079D"/>
    <w:rsid w:val="00AE0966"/>
    <w:rsid w:val="00AE09FB"/>
    <w:rsid w:val="00AE0A0D"/>
    <w:rsid w:val="00AE0A19"/>
    <w:rsid w:val="00AE0B7E"/>
    <w:rsid w:val="00AE0CB3"/>
    <w:rsid w:val="00AE0D21"/>
    <w:rsid w:val="00AE0E14"/>
    <w:rsid w:val="00AE0EC4"/>
    <w:rsid w:val="00AE0F64"/>
    <w:rsid w:val="00AE0FF1"/>
    <w:rsid w:val="00AE0FFA"/>
    <w:rsid w:val="00AE1014"/>
    <w:rsid w:val="00AE1241"/>
    <w:rsid w:val="00AE1322"/>
    <w:rsid w:val="00AE1394"/>
    <w:rsid w:val="00AE1596"/>
    <w:rsid w:val="00AE15D5"/>
    <w:rsid w:val="00AE162C"/>
    <w:rsid w:val="00AE16D7"/>
    <w:rsid w:val="00AE17C7"/>
    <w:rsid w:val="00AE189C"/>
    <w:rsid w:val="00AE18B8"/>
    <w:rsid w:val="00AE1908"/>
    <w:rsid w:val="00AE1BC2"/>
    <w:rsid w:val="00AE1C53"/>
    <w:rsid w:val="00AE1C5D"/>
    <w:rsid w:val="00AE1EAB"/>
    <w:rsid w:val="00AE201D"/>
    <w:rsid w:val="00AE214F"/>
    <w:rsid w:val="00AE219D"/>
    <w:rsid w:val="00AE234F"/>
    <w:rsid w:val="00AE259B"/>
    <w:rsid w:val="00AE25A7"/>
    <w:rsid w:val="00AE262C"/>
    <w:rsid w:val="00AE2650"/>
    <w:rsid w:val="00AE2889"/>
    <w:rsid w:val="00AE298F"/>
    <w:rsid w:val="00AE299A"/>
    <w:rsid w:val="00AE2A7A"/>
    <w:rsid w:val="00AE2B59"/>
    <w:rsid w:val="00AE2BD5"/>
    <w:rsid w:val="00AE2CDD"/>
    <w:rsid w:val="00AE2E4E"/>
    <w:rsid w:val="00AE2FA9"/>
    <w:rsid w:val="00AE2FAD"/>
    <w:rsid w:val="00AE2FC1"/>
    <w:rsid w:val="00AE3018"/>
    <w:rsid w:val="00AE30E6"/>
    <w:rsid w:val="00AE315B"/>
    <w:rsid w:val="00AE31A1"/>
    <w:rsid w:val="00AE3492"/>
    <w:rsid w:val="00AE34A2"/>
    <w:rsid w:val="00AE363A"/>
    <w:rsid w:val="00AE386C"/>
    <w:rsid w:val="00AE39C7"/>
    <w:rsid w:val="00AE3B2C"/>
    <w:rsid w:val="00AE3B80"/>
    <w:rsid w:val="00AE3C2A"/>
    <w:rsid w:val="00AE3C81"/>
    <w:rsid w:val="00AE3D69"/>
    <w:rsid w:val="00AE3EF3"/>
    <w:rsid w:val="00AE3F3A"/>
    <w:rsid w:val="00AE3F46"/>
    <w:rsid w:val="00AE3FC4"/>
    <w:rsid w:val="00AE403A"/>
    <w:rsid w:val="00AE4116"/>
    <w:rsid w:val="00AE44AF"/>
    <w:rsid w:val="00AE4580"/>
    <w:rsid w:val="00AE4681"/>
    <w:rsid w:val="00AE468A"/>
    <w:rsid w:val="00AE47E3"/>
    <w:rsid w:val="00AE48CF"/>
    <w:rsid w:val="00AE48D4"/>
    <w:rsid w:val="00AE4908"/>
    <w:rsid w:val="00AE4955"/>
    <w:rsid w:val="00AE4A7A"/>
    <w:rsid w:val="00AE4ABA"/>
    <w:rsid w:val="00AE4B26"/>
    <w:rsid w:val="00AE4C9F"/>
    <w:rsid w:val="00AE4EA3"/>
    <w:rsid w:val="00AE4EA6"/>
    <w:rsid w:val="00AE4EA9"/>
    <w:rsid w:val="00AE4EC2"/>
    <w:rsid w:val="00AE4ED1"/>
    <w:rsid w:val="00AE4EE6"/>
    <w:rsid w:val="00AE4FBF"/>
    <w:rsid w:val="00AE5001"/>
    <w:rsid w:val="00AE5006"/>
    <w:rsid w:val="00AE50B3"/>
    <w:rsid w:val="00AE50EE"/>
    <w:rsid w:val="00AE522D"/>
    <w:rsid w:val="00AE5262"/>
    <w:rsid w:val="00AE52D1"/>
    <w:rsid w:val="00AE534B"/>
    <w:rsid w:val="00AE5366"/>
    <w:rsid w:val="00AE54A7"/>
    <w:rsid w:val="00AE5515"/>
    <w:rsid w:val="00AE55E3"/>
    <w:rsid w:val="00AE574C"/>
    <w:rsid w:val="00AE577A"/>
    <w:rsid w:val="00AE57FA"/>
    <w:rsid w:val="00AE583D"/>
    <w:rsid w:val="00AE5843"/>
    <w:rsid w:val="00AE58F9"/>
    <w:rsid w:val="00AE5902"/>
    <w:rsid w:val="00AE59E6"/>
    <w:rsid w:val="00AE5A94"/>
    <w:rsid w:val="00AE5B75"/>
    <w:rsid w:val="00AE5B8B"/>
    <w:rsid w:val="00AE5C8C"/>
    <w:rsid w:val="00AE5E0A"/>
    <w:rsid w:val="00AE5E2D"/>
    <w:rsid w:val="00AE5E58"/>
    <w:rsid w:val="00AE5E68"/>
    <w:rsid w:val="00AE6022"/>
    <w:rsid w:val="00AE60B7"/>
    <w:rsid w:val="00AE619E"/>
    <w:rsid w:val="00AE61AC"/>
    <w:rsid w:val="00AE61BC"/>
    <w:rsid w:val="00AE62B2"/>
    <w:rsid w:val="00AE638E"/>
    <w:rsid w:val="00AE654E"/>
    <w:rsid w:val="00AE656E"/>
    <w:rsid w:val="00AE6677"/>
    <w:rsid w:val="00AE6864"/>
    <w:rsid w:val="00AE68A0"/>
    <w:rsid w:val="00AE68BD"/>
    <w:rsid w:val="00AE6B76"/>
    <w:rsid w:val="00AE6B8F"/>
    <w:rsid w:val="00AE6C40"/>
    <w:rsid w:val="00AE6CD5"/>
    <w:rsid w:val="00AE6CF9"/>
    <w:rsid w:val="00AE6D2C"/>
    <w:rsid w:val="00AE6E72"/>
    <w:rsid w:val="00AE6F97"/>
    <w:rsid w:val="00AE7025"/>
    <w:rsid w:val="00AE702A"/>
    <w:rsid w:val="00AE705E"/>
    <w:rsid w:val="00AE7118"/>
    <w:rsid w:val="00AE721C"/>
    <w:rsid w:val="00AE7262"/>
    <w:rsid w:val="00AE72AD"/>
    <w:rsid w:val="00AE74B8"/>
    <w:rsid w:val="00AE74B9"/>
    <w:rsid w:val="00AE7538"/>
    <w:rsid w:val="00AE7604"/>
    <w:rsid w:val="00AE7634"/>
    <w:rsid w:val="00AE76B2"/>
    <w:rsid w:val="00AE77C7"/>
    <w:rsid w:val="00AE7844"/>
    <w:rsid w:val="00AE78E3"/>
    <w:rsid w:val="00AE790E"/>
    <w:rsid w:val="00AE7939"/>
    <w:rsid w:val="00AE7944"/>
    <w:rsid w:val="00AE7AB6"/>
    <w:rsid w:val="00AE7ABF"/>
    <w:rsid w:val="00AE7BC9"/>
    <w:rsid w:val="00AE7BDB"/>
    <w:rsid w:val="00AE7CE2"/>
    <w:rsid w:val="00AE7EE3"/>
    <w:rsid w:val="00AE7FA5"/>
    <w:rsid w:val="00AE7FDB"/>
    <w:rsid w:val="00AF0104"/>
    <w:rsid w:val="00AF015D"/>
    <w:rsid w:val="00AF0214"/>
    <w:rsid w:val="00AF0306"/>
    <w:rsid w:val="00AF0322"/>
    <w:rsid w:val="00AF03C2"/>
    <w:rsid w:val="00AF049D"/>
    <w:rsid w:val="00AF0525"/>
    <w:rsid w:val="00AF0541"/>
    <w:rsid w:val="00AF062A"/>
    <w:rsid w:val="00AF07D0"/>
    <w:rsid w:val="00AF0805"/>
    <w:rsid w:val="00AF08BF"/>
    <w:rsid w:val="00AF08C9"/>
    <w:rsid w:val="00AF0991"/>
    <w:rsid w:val="00AF09A9"/>
    <w:rsid w:val="00AF0A48"/>
    <w:rsid w:val="00AF0AE1"/>
    <w:rsid w:val="00AF0AF4"/>
    <w:rsid w:val="00AF0BAB"/>
    <w:rsid w:val="00AF0C37"/>
    <w:rsid w:val="00AF0C40"/>
    <w:rsid w:val="00AF0D31"/>
    <w:rsid w:val="00AF0D4B"/>
    <w:rsid w:val="00AF0DE2"/>
    <w:rsid w:val="00AF0DEA"/>
    <w:rsid w:val="00AF0E13"/>
    <w:rsid w:val="00AF0E22"/>
    <w:rsid w:val="00AF0EB4"/>
    <w:rsid w:val="00AF0F26"/>
    <w:rsid w:val="00AF1054"/>
    <w:rsid w:val="00AF10CF"/>
    <w:rsid w:val="00AF10D6"/>
    <w:rsid w:val="00AF11A9"/>
    <w:rsid w:val="00AF12F4"/>
    <w:rsid w:val="00AF1306"/>
    <w:rsid w:val="00AF1352"/>
    <w:rsid w:val="00AF1459"/>
    <w:rsid w:val="00AF1763"/>
    <w:rsid w:val="00AF1767"/>
    <w:rsid w:val="00AF1886"/>
    <w:rsid w:val="00AF197B"/>
    <w:rsid w:val="00AF19A8"/>
    <w:rsid w:val="00AF1B30"/>
    <w:rsid w:val="00AF1B4E"/>
    <w:rsid w:val="00AF1B6C"/>
    <w:rsid w:val="00AF1DA9"/>
    <w:rsid w:val="00AF1E8F"/>
    <w:rsid w:val="00AF1F71"/>
    <w:rsid w:val="00AF203D"/>
    <w:rsid w:val="00AF20A0"/>
    <w:rsid w:val="00AF2203"/>
    <w:rsid w:val="00AF22D5"/>
    <w:rsid w:val="00AF230E"/>
    <w:rsid w:val="00AF2322"/>
    <w:rsid w:val="00AF2440"/>
    <w:rsid w:val="00AF24D9"/>
    <w:rsid w:val="00AF254E"/>
    <w:rsid w:val="00AF2577"/>
    <w:rsid w:val="00AF25EE"/>
    <w:rsid w:val="00AF25F3"/>
    <w:rsid w:val="00AF2628"/>
    <w:rsid w:val="00AF274E"/>
    <w:rsid w:val="00AF2760"/>
    <w:rsid w:val="00AF2780"/>
    <w:rsid w:val="00AF28C0"/>
    <w:rsid w:val="00AF2936"/>
    <w:rsid w:val="00AF29B6"/>
    <w:rsid w:val="00AF2A5C"/>
    <w:rsid w:val="00AF2A70"/>
    <w:rsid w:val="00AF2AC2"/>
    <w:rsid w:val="00AF2C39"/>
    <w:rsid w:val="00AF2D52"/>
    <w:rsid w:val="00AF2D54"/>
    <w:rsid w:val="00AF2D6D"/>
    <w:rsid w:val="00AF2D82"/>
    <w:rsid w:val="00AF2DAD"/>
    <w:rsid w:val="00AF2DB6"/>
    <w:rsid w:val="00AF2E13"/>
    <w:rsid w:val="00AF2E49"/>
    <w:rsid w:val="00AF2FA3"/>
    <w:rsid w:val="00AF3152"/>
    <w:rsid w:val="00AF31A8"/>
    <w:rsid w:val="00AF3214"/>
    <w:rsid w:val="00AF3269"/>
    <w:rsid w:val="00AF3271"/>
    <w:rsid w:val="00AF341A"/>
    <w:rsid w:val="00AF3535"/>
    <w:rsid w:val="00AF363D"/>
    <w:rsid w:val="00AF369C"/>
    <w:rsid w:val="00AF3711"/>
    <w:rsid w:val="00AF3743"/>
    <w:rsid w:val="00AF37B5"/>
    <w:rsid w:val="00AF3A2D"/>
    <w:rsid w:val="00AF3B13"/>
    <w:rsid w:val="00AF3C3E"/>
    <w:rsid w:val="00AF3CA3"/>
    <w:rsid w:val="00AF3D59"/>
    <w:rsid w:val="00AF3D9B"/>
    <w:rsid w:val="00AF3E30"/>
    <w:rsid w:val="00AF3E68"/>
    <w:rsid w:val="00AF3F38"/>
    <w:rsid w:val="00AF3F58"/>
    <w:rsid w:val="00AF3F9F"/>
    <w:rsid w:val="00AF4061"/>
    <w:rsid w:val="00AF40E2"/>
    <w:rsid w:val="00AF417C"/>
    <w:rsid w:val="00AF41B9"/>
    <w:rsid w:val="00AF4203"/>
    <w:rsid w:val="00AF42E3"/>
    <w:rsid w:val="00AF4366"/>
    <w:rsid w:val="00AF4434"/>
    <w:rsid w:val="00AF44BE"/>
    <w:rsid w:val="00AF46B5"/>
    <w:rsid w:val="00AF46EC"/>
    <w:rsid w:val="00AF472C"/>
    <w:rsid w:val="00AF4877"/>
    <w:rsid w:val="00AF48F4"/>
    <w:rsid w:val="00AF4939"/>
    <w:rsid w:val="00AF494E"/>
    <w:rsid w:val="00AF4997"/>
    <w:rsid w:val="00AF49BE"/>
    <w:rsid w:val="00AF49F2"/>
    <w:rsid w:val="00AF4B38"/>
    <w:rsid w:val="00AF4B73"/>
    <w:rsid w:val="00AF4BE1"/>
    <w:rsid w:val="00AF4C33"/>
    <w:rsid w:val="00AF4D39"/>
    <w:rsid w:val="00AF4DC3"/>
    <w:rsid w:val="00AF4F7C"/>
    <w:rsid w:val="00AF4FB8"/>
    <w:rsid w:val="00AF5067"/>
    <w:rsid w:val="00AF50EF"/>
    <w:rsid w:val="00AF5207"/>
    <w:rsid w:val="00AF52CA"/>
    <w:rsid w:val="00AF52E7"/>
    <w:rsid w:val="00AF539E"/>
    <w:rsid w:val="00AF54C0"/>
    <w:rsid w:val="00AF5514"/>
    <w:rsid w:val="00AF5529"/>
    <w:rsid w:val="00AF556C"/>
    <w:rsid w:val="00AF55DC"/>
    <w:rsid w:val="00AF5714"/>
    <w:rsid w:val="00AF57C2"/>
    <w:rsid w:val="00AF57E1"/>
    <w:rsid w:val="00AF5888"/>
    <w:rsid w:val="00AF5900"/>
    <w:rsid w:val="00AF59AD"/>
    <w:rsid w:val="00AF59B9"/>
    <w:rsid w:val="00AF5B10"/>
    <w:rsid w:val="00AF5BC7"/>
    <w:rsid w:val="00AF5F4E"/>
    <w:rsid w:val="00AF5FF2"/>
    <w:rsid w:val="00AF613A"/>
    <w:rsid w:val="00AF633E"/>
    <w:rsid w:val="00AF634E"/>
    <w:rsid w:val="00AF6359"/>
    <w:rsid w:val="00AF6637"/>
    <w:rsid w:val="00AF6911"/>
    <w:rsid w:val="00AF693D"/>
    <w:rsid w:val="00AF69B3"/>
    <w:rsid w:val="00AF69CA"/>
    <w:rsid w:val="00AF6BBA"/>
    <w:rsid w:val="00AF6CAC"/>
    <w:rsid w:val="00AF6D40"/>
    <w:rsid w:val="00AF6E40"/>
    <w:rsid w:val="00AF6E84"/>
    <w:rsid w:val="00AF6ECA"/>
    <w:rsid w:val="00AF701C"/>
    <w:rsid w:val="00AF72C2"/>
    <w:rsid w:val="00AF7370"/>
    <w:rsid w:val="00AF7453"/>
    <w:rsid w:val="00AF745B"/>
    <w:rsid w:val="00AF748E"/>
    <w:rsid w:val="00AF74EB"/>
    <w:rsid w:val="00AF7599"/>
    <w:rsid w:val="00AF75A5"/>
    <w:rsid w:val="00AF764B"/>
    <w:rsid w:val="00AF7678"/>
    <w:rsid w:val="00AF774E"/>
    <w:rsid w:val="00AF77CF"/>
    <w:rsid w:val="00AF7864"/>
    <w:rsid w:val="00AF789B"/>
    <w:rsid w:val="00AF7939"/>
    <w:rsid w:val="00AF7B73"/>
    <w:rsid w:val="00AF7BB3"/>
    <w:rsid w:val="00AF7C34"/>
    <w:rsid w:val="00AF7EE0"/>
    <w:rsid w:val="00AF7F3A"/>
    <w:rsid w:val="00AF7F9D"/>
    <w:rsid w:val="00B00042"/>
    <w:rsid w:val="00B00274"/>
    <w:rsid w:val="00B002C4"/>
    <w:rsid w:val="00B0030A"/>
    <w:rsid w:val="00B0031B"/>
    <w:rsid w:val="00B003C6"/>
    <w:rsid w:val="00B00412"/>
    <w:rsid w:val="00B0058C"/>
    <w:rsid w:val="00B00688"/>
    <w:rsid w:val="00B00727"/>
    <w:rsid w:val="00B007E8"/>
    <w:rsid w:val="00B0086F"/>
    <w:rsid w:val="00B008E5"/>
    <w:rsid w:val="00B00955"/>
    <w:rsid w:val="00B00C82"/>
    <w:rsid w:val="00B00CD9"/>
    <w:rsid w:val="00B00CE7"/>
    <w:rsid w:val="00B00D1B"/>
    <w:rsid w:val="00B00D3C"/>
    <w:rsid w:val="00B00D74"/>
    <w:rsid w:val="00B00DA8"/>
    <w:rsid w:val="00B00DB7"/>
    <w:rsid w:val="00B00DEF"/>
    <w:rsid w:val="00B00E43"/>
    <w:rsid w:val="00B00E66"/>
    <w:rsid w:val="00B00E68"/>
    <w:rsid w:val="00B00E8D"/>
    <w:rsid w:val="00B00EB1"/>
    <w:rsid w:val="00B00FDC"/>
    <w:rsid w:val="00B010B8"/>
    <w:rsid w:val="00B011C8"/>
    <w:rsid w:val="00B01241"/>
    <w:rsid w:val="00B013A1"/>
    <w:rsid w:val="00B01456"/>
    <w:rsid w:val="00B01501"/>
    <w:rsid w:val="00B01675"/>
    <w:rsid w:val="00B017A2"/>
    <w:rsid w:val="00B017B7"/>
    <w:rsid w:val="00B01850"/>
    <w:rsid w:val="00B0187E"/>
    <w:rsid w:val="00B0196C"/>
    <w:rsid w:val="00B019B4"/>
    <w:rsid w:val="00B01B5E"/>
    <w:rsid w:val="00B01B94"/>
    <w:rsid w:val="00B01C22"/>
    <w:rsid w:val="00B01C58"/>
    <w:rsid w:val="00B01D04"/>
    <w:rsid w:val="00B01D8C"/>
    <w:rsid w:val="00B01E36"/>
    <w:rsid w:val="00B01EEB"/>
    <w:rsid w:val="00B02076"/>
    <w:rsid w:val="00B02183"/>
    <w:rsid w:val="00B02319"/>
    <w:rsid w:val="00B024B2"/>
    <w:rsid w:val="00B025C4"/>
    <w:rsid w:val="00B025E7"/>
    <w:rsid w:val="00B02622"/>
    <w:rsid w:val="00B0288C"/>
    <w:rsid w:val="00B02966"/>
    <w:rsid w:val="00B0297B"/>
    <w:rsid w:val="00B02B19"/>
    <w:rsid w:val="00B02B6F"/>
    <w:rsid w:val="00B02C34"/>
    <w:rsid w:val="00B02C3A"/>
    <w:rsid w:val="00B02C6D"/>
    <w:rsid w:val="00B02D4A"/>
    <w:rsid w:val="00B02E10"/>
    <w:rsid w:val="00B02E4C"/>
    <w:rsid w:val="00B02FB2"/>
    <w:rsid w:val="00B03076"/>
    <w:rsid w:val="00B030B3"/>
    <w:rsid w:val="00B03100"/>
    <w:rsid w:val="00B0312E"/>
    <w:rsid w:val="00B031A7"/>
    <w:rsid w:val="00B031D8"/>
    <w:rsid w:val="00B0324B"/>
    <w:rsid w:val="00B032CC"/>
    <w:rsid w:val="00B03309"/>
    <w:rsid w:val="00B033CC"/>
    <w:rsid w:val="00B033E6"/>
    <w:rsid w:val="00B033F3"/>
    <w:rsid w:val="00B0361D"/>
    <w:rsid w:val="00B0361E"/>
    <w:rsid w:val="00B03696"/>
    <w:rsid w:val="00B03704"/>
    <w:rsid w:val="00B0372E"/>
    <w:rsid w:val="00B03781"/>
    <w:rsid w:val="00B037AC"/>
    <w:rsid w:val="00B037E3"/>
    <w:rsid w:val="00B03811"/>
    <w:rsid w:val="00B03864"/>
    <w:rsid w:val="00B03883"/>
    <w:rsid w:val="00B03998"/>
    <w:rsid w:val="00B03BD4"/>
    <w:rsid w:val="00B03BD9"/>
    <w:rsid w:val="00B03C69"/>
    <w:rsid w:val="00B03CE8"/>
    <w:rsid w:val="00B03D32"/>
    <w:rsid w:val="00B03DF3"/>
    <w:rsid w:val="00B03EAA"/>
    <w:rsid w:val="00B03EC7"/>
    <w:rsid w:val="00B03ED0"/>
    <w:rsid w:val="00B03F1A"/>
    <w:rsid w:val="00B03F4D"/>
    <w:rsid w:val="00B040A4"/>
    <w:rsid w:val="00B041BE"/>
    <w:rsid w:val="00B0431A"/>
    <w:rsid w:val="00B0447F"/>
    <w:rsid w:val="00B044D7"/>
    <w:rsid w:val="00B04545"/>
    <w:rsid w:val="00B046AB"/>
    <w:rsid w:val="00B04753"/>
    <w:rsid w:val="00B0483B"/>
    <w:rsid w:val="00B048BA"/>
    <w:rsid w:val="00B049AD"/>
    <w:rsid w:val="00B049E8"/>
    <w:rsid w:val="00B04A8D"/>
    <w:rsid w:val="00B04ACF"/>
    <w:rsid w:val="00B04B2C"/>
    <w:rsid w:val="00B04C80"/>
    <w:rsid w:val="00B04E7E"/>
    <w:rsid w:val="00B04F06"/>
    <w:rsid w:val="00B04F51"/>
    <w:rsid w:val="00B04F86"/>
    <w:rsid w:val="00B04F8E"/>
    <w:rsid w:val="00B05100"/>
    <w:rsid w:val="00B05266"/>
    <w:rsid w:val="00B05371"/>
    <w:rsid w:val="00B05392"/>
    <w:rsid w:val="00B05541"/>
    <w:rsid w:val="00B05694"/>
    <w:rsid w:val="00B056CF"/>
    <w:rsid w:val="00B058CB"/>
    <w:rsid w:val="00B059CB"/>
    <w:rsid w:val="00B05A95"/>
    <w:rsid w:val="00B05B78"/>
    <w:rsid w:val="00B05BD0"/>
    <w:rsid w:val="00B05C0D"/>
    <w:rsid w:val="00B05C46"/>
    <w:rsid w:val="00B05CC3"/>
    <w:rsid w:val="00B05D1D"/>
    <w:rsid w:val="00B05D6C"/>
    <w:rsid w:val="00B05E0D"/>
    <w:rsid w:val="00B05E15"/>
    <w:rsid w:val="00B05E7F"/>
    <w:rsid w:val="00B05EBC"/>
    <w:rsid w:val="00B05ED9"/>
    <w:rsid w:val="00B05FF3"/>
    <w:rsid w:val="00B0604B"/>
    <w:rsid w:val="00B0610A"/>
    <w:rsid w:val="00B06279"/>
    <w:rsid w:val="00B062B7"/>
    <w:rsid w:val="00B06518"/>
    <w:rsid w:val="00B06662"/>
    <w:rsid w:val="00B06667"/>
    <w:rsid w:val="00B066E5"/>
    <w:rsid w:val="00B06805"/>
    <w:rsid w:val="00B06969"/>
    <w:rsid w:val="00B06E3C"/>
    <w:rsid w:val="00B06E4C"/>
    <w:rsid w:val="00B06E62"/>
    <w:rsid w:val="00B06EFA"/>
    <w:rsid w:val="00B06FF0"/>
    <w:rsid w:val="00B07031"/>
    <w:rsid w:val="00B07074"/>
    <w:rsid w:val="00B07162"/>
    <w:rsid w:val="00B07221"/>
    <w:rsid w:val="00B07271"/>
    <w:rsid w:val="00B072E2"/>
    <w:rsid w:val="00B073A3"/>
    <w:rsid w:val="00B0742F"/>
    <w:rsid w:val="00B07481"/>
    <w:rsid w:val="00B0757B"/>
    <w:rsid w:val="00B075AD"/>
    <w:rsid w:val="00B075B1"/>
    <w:rsid w:val="00B07711"/>
    <w:rsid w:val="00B07B76"/>
    <w:rsid w:val="00B07C89"/>
    <w:rsid w:val="00B07CAA"/>
    <w:rsid w:val="00B07D2F"/>
    <w:rsid w:val="00B07D7B"/>
    <w:rsid w:val="00B07DBE"/>
    <w:rsid w:val="00B07E06"/>
    <w:rsid w:val="00B10034"/>
    <w:rsid w:val="00B100A2"/>
    <w:rsid w:val="00B100EC"/>
    <w:rsid w:val="00B10120"/>
    <w:rsid w:val="00B10237"/>
    <w:rsid w:val="00B1037C"/>
    <w:rsid w:val="00B103C6"/>
    <w:rsid w:val="00B10487"/>
    <w:rsid w:val="00B10633"/>
    <w:rsid w:val="00B1064F"/>
    <w:rsid w:val="00B106AE"/>
    <w:rsid w:val="00B106D3"/>
    <w:rsid w:val="00B10708"/>
    <w:rsid w:val="00B107A5"/>
    <w:rsid w:val="00B107DC"/>
    <w:rsid w:val="00B10895"/>
    <w:rsid w:val="00B10A71"/>
    <w:rsid w:val="00B10B9D"/>
    <w:rsid w:val="00B10CDB"/>
    <w:rsid w:val="00B10D5D"/>
    <w:rsid w:val="00B10DC3"/>
    <w:rsid w:val="00B10E5C"/>
    <w:rsid w:val="00B10F08"/>
    <w:rsid w:val="00B10F5B"/>
    <w:rsid w:val="00B112CC"/>
    <w:rsid w:val="00B11301"/>
    <w:rsid w:val="00B1134C"/>
    <w:rsid w:val="00B11418"/>
    <w:rsid w:val="00B114AB"/>
    <w:rsid w:val="00B114E6"/>
    <w:rsid w:val="00B1156D"/>
    <w:rsid w:val="00B115DC"/>
    <w:rsid w:val="00B11712"/>
    <w:rsid w:val="00B118AB"/>
    <w:rsid w:val="00B11968"/>
    <w:rsid w:val="00B11A11"/>
    <w:rsid w:val="00B11C00"/>
    <w:rsid w:val="00B11C05"/>
    <w:rsid w:val="00B11C1D"/>
    <w:rsid w:val="00B11E8C"/>
    <w:rsid w:val="00B11FD3"/>
    <w:rsid w:val="00B12005"/>
    <w:rsid w:val="00B1214A"/>
    <w:rsid w:val="00B122A1"/>
    <w:rsid w:val="00B12319"/>
    <w:rsid w:val="00B123A7"/>
    <w:rsid w:val="00B12418"/>
    <w:rsid w:val="00B12472"/>
    <w:rsid w:val="00B12522"/>
    <w:rsid w:val="00B12568"/>
    <w:rsid w:val="00B1257F"/>
    <w:rsid w:val="00B1260A"/>
    <w:rsid w:val="00B12934"/>
    <w:rsid w:val="00B12B3A"/>
    <w:rsid w:val="00B12D36"/>
    <w:rsid w:val="00B12D43"/>
    <w:rsid w:val="00B12D50"/>
    <w:rsid w:val="00B12DFB"/>
    <w:rsid w:val="00B12E6D"/>
    <w:rsid w:val="00B12E96"/>
    <w:rsid w:val="00B12F31"/>
    <w:rsid w:val="00B12FD9"/>
    <w:rsid w:val="00B13031"/>
    <w:rsid w:val="00B130D5"/>
    <w:rsid w:val="00B1317F"/>
    <w:rsid w:val="00B13291"/>
    <w:rsid w:val="00B132E7"/>
    <w:rsid w:val="00B132EC"/>
    <w:rsid w:val="00B1345F"/>
    <w:rsid w:val="00B134F3"/>
    <w:rsid w:val="00B136B4"/>
    <w:rsid w:val="00B136CF"/>
    <w:rsid w:val="00B1386B"/>
    <w:rsid w:val="00B138BE"/>
    <w:rsid w:val="00B138F1"/>
    <w:rsid w:val="00B139BC"/>
    <w:rsid w:val="00B13A3D"/>
    <w:rsid w:val="00B13A72"/>
    <w:rsid w:val="00B13A81"/>
    <w:rsid w:val="00B13B1F"/>
    <w:rsid w:val="00B13BEA"/>
    <w:rsid w:val="00B13CC5"/>
    <w:rsid w:val="00B13D31"/>
    <w:rsid w:val="00B13E2A"/>
    <w:rsid w:val="00B13E66"/>
    <w:rsid w:val="00B13EBB"/>
    <w:rsid w:val="00B13EE8"/>
    <w:rsid w:val="00B13EFF"/>
    <w:rsid w:val="00B13FF4"/>
    <w:rsid w:val="00B13FFB"/>
    <w:rsid w:val="00B14054"/>
    <w:rsid w:val="00B1410F"/>
    <w:rsid w:val="00B141C2"/>
    <w:rsid w:val="00B14401"/>
    <w:rsid w:val="00B144B6"/>
    <w:rsid w:val="00B145DA"/>
    <w:rsid w:val="00B14634"/>
    <w:rsid w:val="00B1477C"/>
    <w:rsid w:val="00B147A9"/>
    <w:rsid w:val="00B1482E"/>
    <w:rsid w:val="00B14874"/>
    <w:rsid w:val="00B14875"/>
    <w:rsid w:val="00B1494E"/>
    <w:rsid w:val="00B149AE"/>
    <w:rsid w:val="00B14B3F"/>
    <w:rsid w:val="00B14D7D"/>
    <w:rsid w:val="00B14DD8"/>
    <w:rsid w:val="00B14DEA"/>
    <w:rsid w:val="00B14E0E"/>
    <w:rsid w:val="00B14EF2"/>
    <w:rsid w:val="00B14EF9"/>
    <w:rsid w:val="00B14F04"/>
    <w:rsid w:val="00B14F66"/>
    <w:rsid w:val="00B150B3"/>
    <w:rsid w:val="00B151EB"/>
    <w:rsid w:val="00B15319"/>
    <w:rsid w:val="00B15327"/>
    <w:rsid w:val="00B153DB"/>
    <w:rsid w:val="00B15488"/>
    <w:rsid w:val="00B15644"/>
    <w:rsid w:val="00B1569C"/>
    <w:rsid w:val="00B156F4"/>
    <w:rsid w:val="00B1571F"/>
    <w:rsid w:val="00B157B0"/>
    <w:rsid w:val="00B158C9"/>
    <w:rsid w:val="00B15955"/>
    <w:rsid w:val="00B15A60"/>
    <w:rsid w:val="00B15A82"/>
    <w:rsid w:val="00B15A92"/>
    <w:rsid w:val="00B15A97"/>
    <w:rsid w:val="00B15A9A"/>
    <w:rsid w:val="00B15ADE"/>
    <w:rsid w:val="00B15B73"/>
    <w:rsid w:val="00B15B93"/>
    <w:rsid w:val="00B15B9F"/>
    <w:rsid w:val="00B15C69"/>
    <w:rsid w:val="00B15CB7"/>
    <w:rsid w:val="00B15CC0"/>
    <w:rsid w:val="00B15D85"/>
    <w:rsid w:val="00B15DB8"/>
    <w:rsid w:val="00B15DCF"/>
    <w:rsid w:val="00B15DE1"/>
    <w:rsid w:val="00B15F33"/>
    <w:rsid w:val="00B15F4F"/>
    <w:rsid w:val="00B15F78"/>
    <w:rsid w:val="00B15FA9"/>
    <w:rsid w:val="00B16019"/>
    <w:rsid w:val="00B1605C"/>
    <w:rsid w:val="00B16062"/>
    <w:rsid w:val="00B16148"/>
    <w:rsid w:val="00B16271"/>
    <w:rsid w:val="00B16362"/>
    <w:rsid w:val="00B164B6"/>
    <w:rsid w:val="00B1663F"/>
    <w:rsid w:val="00B16685"/>
    <w:rsid w:val="00B167C2"/>
    <w:rsid w:val="00B16825"/>
    <w:rsid w:val="00B1684B"/>
    <w:rsid w:val="00B169B1"/>
    <w:rsid w:val="00B16A1B"/>
    <w:rsid w:val="00B16ACF"/>
    <w:rsid w:val="00B16B1F"/>
    <w:rsid w:val="00B16B6C"/>
    <w:rsid w:val="00B16B78"/>
    <w:rsid w:val="00B16CAD"/>
    <w:rsid w:val="00B16D98"/>
    <w:rsid w:val="00B16E59"/>
    <w:rsid w:val="00B16F4C"/>
    <w:rsid w:val="00B16F61"/>
    <w:rsid w:val="00B16F9A"/>
    <w:rsid w:val="00B17033"/>
    <w:rsid w:val="00B17115"/>
    <w:rsid w:val="00B1714A"/>
    <w:rsid w:val="00B17189"/>
    <w:rsid w:val="00B172DA"/>
    <w:rsid w:val="00B17334"/>
    <w:rsid w:val="00B17368"/>
    <w:rsid w:val="00B173F9"/>
    <w:rsid w:val="00B17542"/>
    <w:rsid w:val="00B17579"/>
    <w:rsid w:val="00B176E4"/>
    <w:rsid w:val="00B17766"/>
    <w:rsid w:val="00B177F6"/>
    <w:rsid w:val="00B178A4"/>
    <w:rsid w:val="00B178D3"/>
    <w:rsid w:val="00B17AE9"/>
    <w:rsid w:val="00B17AF6"/>
    <w:rsid w:val="00B17D4C"/>
    <w:rsid w:val="00B17DA4"/>
    <w:rsid w:val="00B17DBE"/>
    <w:rsid w:val="00B17EB9"/>
    <w:rsid w:val="00B17F03"/>
    <w:rsid w:val="00B17F59"/>
    <w:rsid w:val="00B17FA7"/>
    <w:rsid w:val="00B200B8"/>
    <w:rsid w:val="00B201DE"/>
    <w:rsid w:val="00B201FA"/>
    <w:rsid w:val="00B202A1"/>
    <w:rsid w:val="00B20337"/>
    <w:rsid w:val="00B204AF"/>
    <w:rsid w:val="00B20501"/>
    <w:rsid w:val="00B205E9"/>
    <w:rsid w:val="00B208AE"/>
    <w:rsid w:val="00B20A7D"/>
    <w:rsid w:val="00B20AB8"/>
    <w:rsid w:val="00B20BBD"/>
    <w:rsid w:val="00B20C19"/>
    <w:rsid w:val="00B20CFA"/>
    <w:rsid w:val="00B20EC6"/>
    <w:rsid w:val="00B20EE8"/>
    <w:rsid w:val="00B20F4F"/>
    <w:rsid w:val="00B20F5B"/>
    <w:rsid w:val="00B21060"/>
    <w:rsid w:val="00B21159"/>
    <w:rsid w:val="00B211F8"/>
    <w:rsid w:val="00B21230"/>
    <w:rsid w:val="00B213C3"/>
    <w:rsid w:val="00B2140E"/>
    <w:rsid w:val="00B21430"/>
    <w:rsid w:val="00B2145F"/>
    <w:rsid w:val="00B2146D"/>
    <w:rsid w:val="00B2153A"/>
    <w:rsid w:val="00B21589"/>
    <w:rsid w:val="00B21612"/>
    <w:rsid w:val="00B216DD"/>
    <w:rsid w:val="00B218E8"/>
    <w:rsid w:val="00B21B2A"/>
    <w:rsid w:val="00B21B76"/>
    <w:rsid w:val="00B21B8E"/>
    <w:rsid w:val="00B21BE1"/>
    <w:rsid w:val="00B21C24"/>
    <w:rsid w:val="00B21C30"/>
    <w:rsid w:val="00B21C3D"/>
    <w:rsid w:val="00B21D37"/>
    <w:rsid w:val="00B21D78"/>
    <w:rsid w:val="00B21DDE"/>
    <w:rsid w:val="00B21E14"/>
    <w:rsid w:val="00B22093"/>
    <w:rsid w:val="00B220D7"/>
    <w:rsid w:val="00B221DA"/>
    <w:rsid w:val="00B22214"/>
    <w:rsid w:val="00B2223D"/>
    <w:rsid w:val="00B2239E"/>
    <w:rsid w:val="00B2256E"/>
    <w:rsid w:val="00B22655"/>
    <w:rsid w:val="00B226DB"/>
    <w:rsid w:val="00B22855"/>
    <w:rsid w:val="00B228C3"/>
    <w:rsid w:val="00B22920"/>
    <w:rsid w:val="00B2294C"/>
    <w:rsid w:val="00B22973"/>
    <w:rsid w:val="00B22A26"/>
    <w:rsid w:val="00B22A48"/>
    <w:rsid w:val="00B22C9D"/>
    <w:rsid w:val="00B22E58"/>
    <w:rsid w:val="00B22F06"/>
    <w:rsid w:val="00B22FA7"/>
    <w:rsid w:val="00B23090"/>
    <w:rsid w:val="00B2309A"/>
    <w:rsid w:val="00B230E4"/>
    <w:rsid w:val="00B232A2"/>
    <w:rsid w:val="00B232C0"/>
    <w:rsid w:val="00B23310"/>
    <w:rsid w:val="00B2335B"/>
    <w:rsid w:val="00B2336B"/>
    <w:rsid w:val="00B233A3"/>
    <w:rsid w:val="00B233AD"/>
    <w:rsid w:val="00B234DD"/>
    <w:rsid w:val="00B23546"/>
    <w:rsid w:val="00B2359B"/>
    <w:rsid w:val="00B23631"/>
    <w:rsid w:val="00B236D4"/>
    <w:rsid w:val="00B23700"/>
    <w:rsid w:val="00B2370C"/>
    <w:rsid w:val="00B2381F"/>
    <w:rsid w:val="00B23836"/>
    <w:rsid w:val="00B238E8"/>
    <w:rsid w:val="00B23963"/>
    <w:rsid w:val="00B2396A"/>
    <w:rsid w:val="00B239FD"/>
    <w:rsid w:val="00B23CD5"/>
    <w:rsid w:val="00B23D5E"/>
    <w:rsid w:val="00B23E0E"/>
    <w:rsid w:val="00B23EFA"/>
    <w:rsid w:val="00B23FB1"/>
    <w:rsid w:val="00B23FD0"/>
    <w:rsid w:val="00B2402B"/>
    <w:rsid w:val="00B24035"/>
    <w:rsid w:val="00B24238"/>
    <w:rsid w:val="00B24408"/>
    <w:rsid w:val="00B244A8"/>
    <w:rsid w:val="00B244B6"/>
    <w:rsid w:val="00B244DB"/>
    <w:rsid w:val="00B24685"/>
    <w:rsid w:val="00B24715"/>
    <w:rsid w:val="00B247EA"/>
    <w:rsid w:val="00B248B0"/>
    <w:rsid w:val="00B24934"/>
    <w:rsid w:val="00B249BF"/>
    <w:rsid w:val="00B24A0C"/>
    <w:rsid w:val="00B24A36"/>
    <w:rsid w:val="00B24AB0"/>
    <w:rsid w:val="00B24ACB"/>
    <w:rsid w:val="00B24B15"/>
    <w:rsid w:val="00B24DB4"/>
    <w:rsid w:val="00B24E3E"/>
    <w:rsid w:val="00B24E98"/>
    <w:rsid w:val="00B24FDE"/>
    <w:rsid w:val="00B25009"/>
    <w:rsid w:val="00B25148"/>
    <w:rsid w:val="00B252D5"/>
    <w:rsid w:val="00B252F2"/>
    <w:rsid w:val="00B2541E"/>
    <w:rsid w:val="00B25631"/>
    <w:rsid w:val="00B256F6"/>
    <w:rsid w:val="00B257CA"/>
    <w:rsid w:val="00B257DA"/>
    <w:rsid w:val="00B258B0"/>
    <w:rsid w:val="00B258C3"/>
    <w:rsid w:val="00B258E1"/>
    <w:rsid w:val="00B259C8"/>
    <w:rsid w:val="00B259CF"/>
    <w:rsid w:val="00B25A74"/>
    <w:rsid w:val="00B25AE5"/>
    <w:rsid w:val="00B25BD0"/>
    <w:rsid w:val="00B25D9A"/>
    <w:rsid w:val="00B25E46"/>
    <w:rsid w:val="00B25E4A"/>
    <w:rsid w:val="00B25F17"/>
    <w:rsid w:val="00B25F23"/>
    <w:rsid w:val="00B25F8C"/>
    <w:rsid w:val="00B25FC6"/>
    <w:rsid w:val="00B25FDF"/>
    <w:rsid w:val="00B26019"/>
    <w:rsid w:val="00B261BA"/>
    <w:rsid w:val="00B26321"/>
    <w:rsid w:val="00B26326"/>
    <w:rsid w:val="00B263C2"/>
    <w:rsid w:val="00B26400"/>
    <w:rsid w:val="00B26561"/>
    <w:rsid w:val="00B266B5"/>
    <w:rsid w:val="00B266F6"/>
    <w:rsid w:val="00B267A7"/>
    <w:rsid w:val="00B26939"/>
    <w:rsid w:val="00B2699A"/>
    <w:rsid w:val="00B269BA"/>
    <w:rsid w:val="00B269E6"/>
    <w:rsid w:val="00B26ACF"/>
    <w:rsid w:val="00B26ADF"/>
    <w:rsid w:val="00B26B02"/>
    <w:rsid w:val="00B26BA2"/>
    <w:rsid w:val="00B26C1B"/>
    <w:rsid w:val="00B26C35"/>
    <w:rsid w:val="00B26D5C"/>
    <w:rsid w:val="00B26E9E"/>
    <w:rsid w:val="00B26FDF"/>
    <w:rsid w:val="00B272F6"/>
    <w:rsid w:val="00B273F0"/>
    <w:rsid w:val="00B2741B"/>
    <w:rsid w:val="00B27576"/>
    <w:rsid w:val="00B2767C"/>
    <w:rsid w:val="00B2770C"/>
    <w:rsid w:val="00B2780A"/>
    <w:rsid w:val="00B27A04"/>
    <w:rsid w:val="00B27AA3"/>
    <w:rsid w:val="00B27B25"/>
    <w:rsid w:val="00B27B4C"/>
    <w:rsid w:val="00B27C32"/>
    <w:rsid w:val="00B27C80"/>
    <w:rsid w:val="00B27CC6"/>
    <w:rsid w:val="00B27CCC"/>
    <w:rsid w:val="00B27D34"/>
    <w:rsid w:val="00B27D48"/>
    <w:rsid w:val="00B27DF3"/>
    <w:rsid w:val="00B27E08"/>
    <w:rsid w:val="00B27E82"/>
    <w:rsid w:val="00B27E91"/>
    <w:rsid w:val="00B27F85"/>
    <w:rsid w:val="00B27FCD"/>
    <w:rsid w:val="00B30112"/>
    <w:rsid w:val="00B301BC"/>
    <w:rsid w:val="00B301CC"/>
    <w:rsid w:val="00B3026B"/>
    <w:rsid w:val="00B3029F"/>
    <w:rsid w:val="00B303E2"/>
    <w:rsid w:val="00B30478"/>
    <w:rsid w:val="00B304D9"/>
    <w:rsid w:val="00B305D6"/>
    <w:rsid w:val="00B3060D"/>
    <w:rsid w:val="00B30649"/>
    <w:rsid w:val="00B306D0"/>
    <w:rsid w:val="00B306E6"/>
    <w:rsid w:val="00B306E8"/>
    <w:rsid w:val="00B306F6"/>
    <w:rsid w:val="00B30868"/>
    <w:rsid w:val="00B309D1"/>
    <w:rsid w:val="00B30BB4"/>
    <w:rsid w:val="00B30BE0"/>
    <w:rsid w:val="00B30C5C"/>
    <w:rsid w:val="00B30D21"/>
    <w:rsid w:val="00B30D9D"/>
    <w:rsid w:val="00B30DD2"/>
    <w:rsid w:val="00B30E03"/>
    <w:rsid w:val="00B30F36"/>
    <w:rsid w:val="00B31183"/>
    <w:rsid w:val="00B314B9"/>
    <w:rsid w:val="00B314C6"/>
    <w:rsid w:val="00B314FC"/>
    <w:rsid w:val="00B31519"/>
    <w:rsid w:val="00B317B2"/>
    <w:rsid w:val="00B31813"/>
    <w:rsid w:val="00B31926"/>
    <w:rsid w:val="00B3194E"/>
    <w:rsid w:val="00B319AC"/>
    <w:rsid w:val="00B31B50"/>
    <w:rsid w:val="00B31C49"/>
    <w:rsid w:val="00B31C9F"/>
    <w:rsid w:val="00B31D2F"/>
    <w:rsid w:val="00B31D58"/>
    <w:rsid w:val="00B31D7A"/>
    <w:rsid w:val="00B31E1E"/>
    <w:rsid w:val="00B31E69"/>
    <w:rsid w:val="00B31E7A"/>
    <w:rsid w:val="00B31F8C"/>
    <w:rsid w:val="00B32050"/>
    <w:rsid w:val="00B32165"/>
    <w:rsid w:val="00B32174"/>
    <w:rsid w:val="00B32389"/>
    <w:rsid w:val="00B32397"/>
    <w:rsid w:val="00B324C1"/>
    <w:rsid w:val="00B32585"/>
    <w:rsid w:val="00B325B9"/>
    <w:rsid w:val="00B325C1"/>
    <w:rsid w:val="00B32648"/>
    <w:rsid w:val="00B32660"/>
    <w:rsid w:val="00B326E5"/>
    <w:rsid w:val="00B3271E"/>
    <w:rsid w:val="00B32999"/>
    <w:rsid w:val="00B329B9"/>
    <w:rsid w:val="00B32A6A"/>
    <w:rsid w:val="00B32B33"/>
    <w:rsid w:val="00B32B8A"/>
    <w:rsid w:val="00B32BC3"/>
    <w:rsid w:val="00B32BC6"/>
    <w:rsid w:val="00B32C38"/>
    <w:rsid w:val="00B32C65"/>
    <w:rsid w:val="00B32CD0"/>
    <w:rsid w:val="00B32DD3"/>
    <w:rsid w:val="00B32EED"/>
    <w:rsid w:val="00B32F6A"/>
    <w:rsid w:val="00B32F94"/>
    <w:rsid w:val="00B32FB9"/>
    <w:rsid w:val="00B32FCD"/>
    <w:rsid w:val="00B33005"/>
    <w:rsid w:val="00B3302B"/>
    <w:rsid w:val="00B330B2"/>
    <w:rsid w:val="00B330D4"/>
    <w:rsid w:val="00B33162"/>
    <w:rsid w:val="00B3323D"/>
    <w:rsid w:val="00B33442"/>
    <w:rsid w:val="00B33677"/>
    <w:rsid w:val="00B336AD"/>
    <w:rsid w:val="00B337CC"/>
    <w:rsid w:val="00B3381D"/>
    <w:rsid w:val="00B33834"/>
    <w:rsid w:val="00B3384B"/>
    <w:rsid w:val="00B33A2E"/>
    <w:rsid w:val="00B33CBE"/>
    <w:rsid w:val="00B33EC3"/>
    <w:rsid w:val="00B33ED0"/>
    <w:rsid w:val="00B33ED8"/>
    <w:rsid w:val="00B33F4B"/>
    <w:rsid w:val="00B33F69"/>
    <w:rsid w:val="00B3414E"/>
    <w:rsid w:val="00B34181"/>
    <w:rsid w:val="00B342D3"/>
    <w:rsid w:val="00B34347"/>
    <w:rsid w:val="00B34372"/>
    <w:rsid w:val="00B343C2"/>
    <w:rsid w:val="00B3440B"/>
    <w:rsid w:val="00B3460A"/>
    <w:rsid w:val="00B3461F"/>
    <w:rsid w:val="00B3473F"/>
    <w:rsid w:val="00B34796"/>
    <w:rsid w:val="00B347CC"/>
    <w:rsid w:val="00B34963"/>
    <w:rsid w:val="00B34977"/>
    <w:rsid w:val="00B34999"/>
    <w:rsid w:val="00B349B9"/>
    <w:rsid w:val="00B34A61"/>
    <w:rsid w:val="00B34A7C"/>
    <w:rsid w:val="00B34A80"/>
    <w:rsid w:val="00B34AF3"/>
    <w:rsid w:val="00B34B1F"/>
    <w:rsid w:val="00B34B68"/>
    <w:rsid w:val="00B34B8B"/>
    <w:rsid w:val="00B34C06"/>
    <w:rsid w:val="00B34C4A"/>
    <w:rsid w:val="00B34DAD"/>
    <w:rsid w:val="00B34DAE"/>
    <w:rsid w:val="00B34DFA"/>
    <w:rsid w:val="00B34EA5"/>
    <w:rsid w:val="00B34F08"/>
    <w:rsid w:val="00B34F8C"/>
    <w:rsid w:val="00B34F90"/>
    <w:rsid w:val="00B34FC3"/>
    <w:rsid w:val="00B34FF2"/>
    <w:rsid w:val="00B350B3"/>
    <w:rsid w:val="00B35128"/>
    <w:rsid w:val="00B35282"/>
    <w:rsid w:val="00B35298"/>
    <w:rsid w:val="00B352C9"/>
    <w:rsid w:val="00B352E5"/>
    <w:rsid w:val="00B352F6"/>
    <w:rsid w:val="00B3538C"/>
    <w:rsid w:val="00B354A9"/>
    <w:rsid w:val="00B35603"/>
    <w:rsid w:val="00B35640"/>
    <w:rsid w:val="00B35675"/>
    <w:rsid w:val="00B35688"/>
    <w:rsid w:val="00B3579A"/>
    <w:rsid w:val="00B357ED"/>
    <w:rsid w:val="00B35843"/>
    <w:rsid w:val="00B3586C"/>
    <w:rsid w:val="00B35964"/>
    <w:rsid w:val="00B359EC"/>
    <w:rsid w:val="00B35A6B"/>
    <w:rsid w:val="00B35AA1"/>
    <w:rsid w:val="00B35AB4"/>
    <w:rsid w:val="00B35BD8"/>
    <w:rsid w:val="00B35CA7"/>
    <w:rsid w:val="00B35D26"/>
    <w:rsid w:val="00B35D2E"/>
    <w:rsid w:val="00B35DB2"/>
    <w:rsid w:val="00B35FB1"/>
    <w:rsid w:val="00B36008"/>
    <w:rsid w:val="00B36078"/>
    <w:rsid w:val="00B36080"/>
    <w:rsid w:val="00B36214"/>
    <w:rsid w:val="00B36235"/>
    <w:rsid w:val="00B36286"/>
    <w:rsid w:val="00B36326"/>
    <w:rsid w:val="00B36551"/>
    <w:rsid w:val="00B36568"/>
    <w:rsid w:val="00B365B8"/>
    <w:rsid w:val="00B3664A"/>
    <w:rsid w:val="00B366EB"/>
    <w:rsid w:val="00B3674B"/>
    <w:rsid w:val="00B36872"/>
    <w:rsid w:val="00B369AC"/>
    <w:rsid w:val="00B36A46"/>
    <w:rsid w:val="00B36A50"/>
    <w:rsid w:val="00B36A71"/>
    <w:rsid w:val="00B36A75"/>
    <w:rsid w:val="00B36A82"/>
    <w:rsid w:val="00B36BD6"/>
    <w:rsid w:val="00B36C33"/>
    <w:rsid w:val="00B36D4E"/>
    <w:rsid w:val="00B36D58"/>
    <w:rsid w:val="00B36DA7"/>
    <w:rsid w:val="00B37010"/>
    <w:rsid w:val="00B37048"/>
    <w:rsid w:val="00B3707B"/>
    <w:rsid w:val="00B370ED"/>
    <w:rsid w:val="00B370FC"/>
    <w:rsid w:val="00B37190"/>
    <w:rsid w:val="00B371CF"/>
    <w:rsid w:val="00B371F1"/>
    <w:rsid w:val="00B3734F"/>
    <w:rsid w:val="00B373BF"/>
    <w:rsid w:val="00B37428"/>
    <w:rsid w:val="00B37434"/>
    <w:rsid w:val="00B3744B"/>
    <w:rsid w:val="00B374D6"/>
    <w:rsid w:val="00B37504"/>
    <w:rsid w:val="00B3769D"/>
    <w:rsid w:val="00B376AE"/>
    <w:rsid w:val="00B376C4"/>
    <w:rsid w:val="00B37729"/>
    <w:rsid w:val="00B37756"/>
    <w:rsid w:val="00B377FF"/>
    <w:rsid w:val="00B37890"/>
    <w:rsid w:val="00B37B16"/>
    <w:rsid w:val="00B37B69"/>
    <w:rsid w:val="00B37B7F"/>
    <w:rsid w:val="00B37C10"/>
    <w:rsid w:val="00B37DF3"/>
    <w:rsid w:val="00B37EDD"/>
    <w:rsid w:val="00B40020"/>
    <w:rsid w:val="00B40037"/>
    <w:rsid w:val="00B40050"/>
    <w:rsid w:val="00B4006C"/>
    <w:rsid w:val="00B4019C"/>
    <w:rsid w:val="00B401AC"/>
    <w:rsid w:val="00B402E3"/>
    <w:rsid w:val="00B40436"/>
    <w:rsid w:val="00B4045D"/>
    <w:rsid w:val="00B404A9"/>
    <w:rsid w:val="00B406D2"/>
    <w:rsid w:val="00B40801"/>
    <w:rsid w:val="00B408AA"/>
    <w:rsid w:val="00B40954"/>
    <w:rsid w:val="00B40A03"/>
    <w:rsid w:val="00B40BDF"/>
    <w:rsid w:val="00B40C71"/>
    <w:rsid w:val="00B40CC6"/>
    <w:rsid w:val="00B40D0B"/>
    <w:rsid w:val="00B40EF2"/>
    <w:rsid w:val="00B40FF9"/>
    <w:rsid w:val="00B412F4"/>
    <w:rsid w:val="00B413E8"/>
    <w:rsid w:val="00B4142B"/>
    <w:rsid w:val="00B41488"/>
    <w:rsid w:val="00B414FD"/>
    <w:rsid w:val="00B41565"/>
    <w:rsid w:val="00B41567"/>
    <w:rsid w:val="00B41587"/>
    <w:rsid w:val="00B4166F"/>
    <w:rsid w:val="00B417B6"/>
    <w:rsid w:val="00B417E2"/>
    <w:rsid w:val="00B41807"/>
    <w:rsid w:val="00B41835"/>
    <w:rsid w:val="00B418A4"/>
    <w:rsid w:val="00B418C4"/>
    <w:rsid w:val="00B41A34"/>
    <w:rsid w:val="00B41B3E"/>
    <w:rsid w:val="00B41B3F"/>
    <w:rsid w:val="00B41B65"/>
    <w:rsid w:val="00B41B6E"/>
    <w:rsid w:val="00B41C19"/>
    <w:rsid w:val="00B41C1E"/>
    <w:rsid w:val="00B41C21"/>
    <w:rsid w:val="00B41D30"/>
    <w:rsid w:val="00B41D45"/>
    <w:rsid w:val="00B41DE5"/>
    <w:rsid w:val="00B41EF1"/>
    <w:rsid w:val="00B42043"/>
    <w:rsid w:val="00B4206A"/>
    <w:rsid w:val="00B42179"/>
    <w:rsid w:val="00B42303"/>
    <w:rsid w:val="00B4236E"/>
    <w:rsid w:val="00B4237D"/>
    <w:rsid w:val="00B424B1"/>
    <w:rsid w:val="00B425A2"/>
    <w:rsid w:val="00B4264C"/>
    <w:rsid w:val="00B4271B"/>
    <w:rsid w:val="00B4275E"/>
    <w:rsid w:val="00B4278E"/>
    <w:rsid w:val="00B427DA"/>
    <w:rsid w:val="00B42A92"/>
    <w:rsid w:val="00B42ABD"/>
    <w:rsid w:val="00B42BAD"/>
    <w:rsid w:val="00B42BBE"/>
    <w:rsid w:val="00B42C1B"/>
    <w:rsid w:val="00B42D67"/>
    <w:rsid w:val="00B42E6B"/>
    <w:rsid w:val="00B43006"/>
    <w:rsid w:val="00B43096"/>
    <w:rsid w:val="00B43155"/>
    <w:rsid w:val="00B43254"/>
    <w:rsid w:val="00B432AD"/>
    <w:rsid w:val="00B432BE"/>
    <w:rsid w:val="00B4330D"/>
    <w:rsid w:val="00B4331F"/>
    <w:rsid w:val="00B43343"/>
    <w:rsid w:val="00B436DB"/>
    <w:rsid w:val="00B436E5"/>
    <w:rsid w:val="00B43729"/>
    <w:rsid w:val="00B437A1"/>
    <w:rsid w:val="00B4396E"/>
    <w:rsid w:val="00B439DA"/>
    <w:rsid w:val="00B43B1D"/>
    <w:rsid w:val="00B43B70"/>
    <w:rsid w:val="00B43C37"/>
    <w:rsid w:val="00B43CD8"/>
    <w:rsid w:val="00B43FA8"/>
    <w:rsid w:val="00B44001"/>
    <w:rsid w:val="00B4402D"/>
    <w:rsid w:val="00B44043"/>
    <w:rsid w:val="00B44153"/>
    <w:rsid w:val="00B4419E"/>
    <w:rsid w:val="00B441FE"/>
    <w:rsid w:val="00B442DD"/>
    <w:rsid w:val="00B44324"/>
    <w:rsid w:val="00B443C8"/>
    <w:rsid w:val="00B444AD"/>
    <w:rsid w:val="00B4455B"/>
    <w:rsid w:val="00B448C5"/>
    <w:rsid w:val="00B449A7"/>
    <w:rsid w:val="00B449EC"/>
    <w:rsid w:val="00B449FE"/>
    <w:rsid w:val="00B44B4E"/>
    <w:rsid w:val="00B44B6E"/>
    <w:rsid w:val="00B44BA4"/>
    <w:rsid w:val="00B44D06"/>
    <w:rsid w:val="00B44D0B"/>
    <w:rsid w:val="00B44DF6"/>
    <w:rsid w:val="00B44F7C"/>
    <w:rsid w:val="00B45065"/>
    <w:rsid w:val="00B45074"/>
    <w:rsid w:val="00B4509A"/>
    <w:rsid w:val="00B45160"/>
    <w:rsid w:val="00B45295"/>
    <w:rsid w:val="00B45339"/>
    <w:rsid w:val="00B45362"/>
    <w:rsid w:val="00B455A5"/>
    <w:rsid w:val="00B455C9"/>
    <w:rsid w:val="00B45620"/>
    <w:rsid w:val="00B4591D"/>
    <w:rsid w:val="00B459D5"/>
    <w:rsid w:val="00B45A10"/>
    <w:rsid w:val="00B45A51"/>
    <w:rsid w:val="00B45BA6"/>
    <w:rsid w:val="00B45BB8"/>
    <w:rsid w:val="00B45CF3"/>
    <w:rsid w:val="00B45D98"/>
    <w:rsid w:val="00B45DA0"/>
    <w:rsid w:val="00B45F8D"/>
    <w:rsid w:val="00B46017"/>
    <w:rsid w:val="00B46020"/>
    <w:rsid w:val="00B460D0"/>
    <w:rsid w:val="00B461EA"/>
    <w:rsid w:val="00B46239"/>
    <w:rsid w:val="00B46245"/>
    <w:rsid w:val="00B4634E"/>
    <w:rsid w:val="00B46352"/>
    <w:rsid w:val="00B4639B"/>
    <w:rsid w:val="00B463B3"/>
    <w:rsid w:val="00B463B5"/>
    <w:rsid w:val="00B463F0"/>
    <w:rsid w:val="00B46463"/>
    <w:rsid w:val="00B465B4"/>
    <w:rsid w:val="00B46668"/>
    <w:rsid w:val="00B46682"/>
    <w:rsid w:val="00B466B2"/>
    <w:rsid w:val="00B4672F"/>
    <w:rsid w:val="00B4673F"/>
    <w:rsid w:val="00B467C9"/>
    <w:rsid w:val="00B46838"/>
    <w:rsid w:val="00B468F7"/>
    <w:rsid w:val="00B468FF"/>
    <w:rsid w:val="00B46957"/>
    <w:rsid w:val="00B4699A"/>
    <w:rsid w:val="00B469DB"/>
    <w:rsid w:val="00B469EA"/>
    <w:rsid w:val="00B46A2D"/>
    <w:rsid w:val="00B46A5F"/>
    <w:rsid w:val="00B46B93"/>
    <w:rsid w:val="00B46BD8"/>
    <w:rsid w:val="00B46C38"/>
    <w:rsid w:val="00B46C4A"/>
    <w:rsid w:val="00B47078"/>
    <w:rsid w:val="00B4711A"/>
    <w:rsid w:val="00B47179"/>
    <w:rsid w:val="00B47280"/>
    <w:rsid w:val="00B472FD"/>
    <w:rsid w:val="00B4757B"/>
    <w:rsid w:val="00B475A3"/>
    <w:rsid w:val="00B475FD"/>
    <w:rsid w:val="00B476D9"/>
    <w:rsid w:val="00B479A4"/>
    <w:rsid w:val="00B47B4F"/>
    <w:rsid w:val="00B47B94"/>
    <w:rsid w:val="00B47BA5"/>
    <w:rsid w:val="00B47BAE"/>
    <w:rsid w:val="00B47C5E"/>
    <w:rsid w:val="00B47CA4"/>
    <w:rsid w:val="00B47D4C"/>
    <w:rsid w:val="00B47E24"/>
    <w:rsid w:val="00B47F95"/>
    <w:rsid w:val="00B50129"/>
    <w:rsid w:val="00B5025D"/>
    <w:rsid w:val="00B5027E"/>
    <w:rsid w:val="00B5034E"/>
    <w:rsid w:val="00B5034F"/>
    <w:rsid w:val="00B503AD"/>
    <w:rsid w:val="00B50438"/>
    <w:rsid w:val="00B504F1"/>
    <w:rsid w:val="00B5062B"/>
    <w:rsid w:val="00B50643"/>
    <w:rsid w:val="00B506D5"/>
    <w:rsid w:val="00B5079D"/>
    <w:rsid w:val="00B507AB"/>
    <w:rsid w:val="00B50836"/>
    <w:rsid w:val="00B5084F"/>
    <w:rsid w:val="00B50957"/>
    <w:rsid w:val="00B509B1"/>
    <w:rsid w:val="00B50ABD"/>
    <w:rsid w:val="00B50B13"/>
    <w:rsid w:val="00B50B67"/>
    <w:rsid w:val="00B50C25"/>
    <w:rsid w:val="00B50C9C"/>
    <w:rsid w:val="00B50D91"/>
    <w:rsid w:val="00B50DCD"/>
    <w:rsid w:val="00B50E64"/>
    <w:rsid w:val="00B50E67"/>
    <w:rsid w:val="00B50F74"/>
    <w:rsid w:val="00B50FFB"/>
    <w:rsid w:val="00B5106A"/>
    <w:rsid w:val="00B511B1"/>
    <w:rsid w:val="00B511CF"/>
    <w:rsid w:val="00B51283"/>
    <w:rsid w:val="00B512B8"/>
    <w:rsid w:val="00B51413"/>
    <w:rsid w:val="00B51421"/>
    <w:rsid w:val="00B51507"/>
    <w:rsid w:val="00B5154F"/>
    <w:rsid w:val="00B516C1"/>
    <w:rsid w:val="00B51798"/>
    <w:rsid w:val="00B517C7"/>
    <w:rsid w:val="00B51829"/>
    <w:rsid w:val="00B5183B"/>
    <w:rsid w:val="00B51908"/>
    <w:rsid w:val="00B51953"/>
    <w:rsid w:val="00B519B0"/>
    <w:rsid w:val="00B51ABA"/>
    <w:rsid w:val="00B51AF6"/>
    <w:rsid w:val="00B51B16"/>
    <w:rsid w:val="00B51B8E"/>
    <w:rsid w:val="00B51DF7"/>
    <w:rsid w:val="00B51E5B"/>
    <w:rsid w:val="00B51EEA"/>
    <w:rsid w:val="00B52110"/>
    <w:rsid w:val="00B52194"/>
    <w:rsid w:val="00B521C7"/>
    <w:rsid w:val="00B5223E"/>
    <w:rsid w:val="00B5225D"/>
    <w:rsid w:val="00B52347"/>
    <w:rsid w:val="00B524F2"/>
    <w:rsid w:val="00B52507"/>
    <w:rsid w:val="00B526A1"/>
    <w:rsid w:val="00B526B8"/>
    <w:rsid w:val="00B52738"/>
    <w:rsid w:val="00B527E6"/>
    <w:rsid w:val="00B52857"/>
    <w:rsid w:val="00B52B93"/>
    <w:rsid w:val="00B52CA1"/>
    <w:rsid w:val="00B52EDC"/>
    <w:rsid w:val="00B52F17"/>
    <w:rsid w:val="00B52F37"/>
    <w:rsid w:val="00B52FB1"/>
    <w:rsid w:val="00B531AA"/>
    <w:rsid w:val="00B531C9"/>
    <w:rsid w:val="00B5324B"/>
    <w:rsid w:val="00B53279"/>
    <w:rsid w:val="00B533A8"/>
    <w:rsid w:val="00B53481"/>
    <w:rsid w:val="00B5373F"/>
    <w:rsid w:val="00B537AC"/>
    <w:rsid w:val="00B53830"/>
    <w:rsid w:val="00B53875"/>
    <w:rsid w:val="00B5389C"/>
    <w:rsid w:val="00B538BF"/>
    <w:rsid w:val="00B538FA"/>
    <w:rsid w:val="00B53A55"/>
    <w:rsid w:val="00B53C5A"/>
    <w:rsid w:val="00B53D04"/>
    <w:rsid w:val="00B53D10"/>
    <w:rsid w:val="00B53D12"/>
    <w:rsid w:val="00B53D67"/>
    <w:rsid w:val="00B53DDE"/>
    <w:rsid w:val="00B53E4E"/>
    <w:rsid w:val="00B53EC5"/>
    <w:rsid w:val="00B53EFB"/>
    <w:rsid w:val="00B53FB5"/>
    <w:rsid w:val="00B540DD"/>
    <w:rsid w:val="00B5423B"/>
    <w:rsid w:val="00B54278"/>
    <w:rsid w:val="00B542BE"/>
    <w:rsid w:val="00B54440"/>
    <w:rsid w:val="00B544A9"/>
    <w:rsid w:val="00B54500"/>
    <w:rsid w:val="00B54595"/>
    <w:rsid w:val="00B54604"/>
    <w:rsid w:val="00B54678"/>
    <w:rsid w:val="00B547E1"/>
    <w:rsid w:val="00B54809"/>
    <w:rsid w:val="00B5485A"/>
    <w:rsid w:val="00B54889"/>
    <w:rsid w:val="00B5489F"/>
    <w:rsid w:val="00B549FC"/>
    <w:rsid w:val="00B54B5C"/>
    <w:rsid w:val="00B54C3E"/>
    <w:rsid w:val="00B54C5E"/>
    <w:rsid w:val="00B54C99"/>
    <w:rsid w:val="00B54CE9"/>
    <w:rsid w:val="00B54D3F"/>
    <w:rsid w:val="00B54D71"/>
    <w:rsid w:val="00B54E35"/>
    <w:rsid w:val="00B54E6C"/>
    <w:rsid w:val="00B54F14"/>
    <w:rsid w:val="00B54FCE"/>
    <w:rsid w:val="00B5502E"/>
    <w:rsid w:val="00B5509B"/>
    <w:rsid w:val="00B550C6"/>
    <w:rsid w:val="00B550D7"/>
    <w:rsid w:val="00B55164"/>
    <w:rsid w:val="00B55210"/>
    <w:rsid w:val="00B55306"/>
    <w:rsid w:val="00B5538C"/>
    <w:rsid w:val="00B55432"/>
    <w:rsid w:val="00B55448"/>
    <w:rsid w:val="00B55585"/>
    <w:rsid w:val="00B5565F"/>
    <w:rsid w:val="00B5569E"/>
    <w:rsid w:val="00B557D2"/>
    <w:rsid w:val="00B55892"/>
    <w:rsid w:val="00B558BA"/>
    <w:rsid w:val="00B558F8"/>
    <w:rsid w:val="00B559EA"/>
    <w:rsid w:val="00B55A1A"/>
    <w:rsid w:val="00B55CE9"/>
    <w:rsid w:val="00B55D0B"/>
    <w:rsid w:val="00B55D74"/>
    <w:rsid w:val="00B55D7B"/>
    <w:rsid w:val="00B55D8C"/>
    <w:rsid w:val="00B55E00"/>
    <w:rsid w:val="00B55E58"/>
    <w:rsid w:val="00B55E5A"/>
    <w:rsid w:val="00B55F0F"/>
    <w:rsid w:val="00B55F96"/>
    <w:rsid w:val="00B56009"/>
    <w:rsid w:val="00B56011"/>
    <w:rsid w:val="00B56046"/>
    <w:rsid w:val="00B56143"/>
    <w:rsid w:val="00B561DA"/>
    <w:rsid w:val="00B5639D"/>
    <w:rsid w:val="00B56407"/>
    <w:rsid w:val="00B56436"/>
    <w:rsid w:val="00B564B6"/>
    <w:rsid w:val="00B564E2"/>
    <w:rsid w:val="00B564E8"/>
    <w:rsid w:val="00B5664C"/>
    <w:rsid w:val="00B566B8"/>
    <w:rsid w:val="00B566EA"/>
    <w:rsid w:val="00B56729"/>
    <w:rsid w:val="00B5673C"/>
    <w:rsid w:val="00B568F7"/>
    <w:rsid w:val="00B56915"/>
    <w:rsid w:val="00B56A12"/>
    <w:rsid w:val="00B56A9D"/>
    <w:rsid w:val="00B56B0A"/>
    <w:rsid w:val="00B56B78"/>
    <w:rsid w:val="00B56BEC"/>
    <w:rsid w:val="00B56C0C"/>
    <w:rsid w:val="00B56C9E"/>
    <w:rsid w:val="00B56F0B"/>
    <w:rsid w:val="00B57025"/>
    <w:rsid w:val="00B57064"/>
    <w:rsid w:val="00B57084"/>
    <w:rsid w:val="00B5715B"/>
    <w:rsid w:val="00B5717B"/>
    <w:rsid w:val="00B572CA"/>
    <w:rsid w:val="00B574B6"/>
    <w:rsid w:val="00B5752C"/>
    <w:rsid w:val="00B575AC"/>
    <w:rsid w:val="00B575D7"/>
    <w:rsid w:val="00B57827"/>
    <w:rsid w:val="00B5784C"/>
    <w:rsid w:val="00B578F4"/>
    <w:rsid w:val="00B57958"/>
    <w:rsid w:val="00B579CF"/>
    <w:rsid w:val="00B57AA2"/>
    <w:rsid w:val="00B57B1A"/>
    <w:rsid w:val="00B57BE0"/>
    <w:rsid w:val="00B57CA3"/>
    <w:rsid w:val="00B57CEB"/>
    <w:rsid w:val="00B57CFD"/>
    <w:rsid w:val="00B57DC1"/>
    <w:rsid w:val="00B57EC7"/>
    <w:rsid w:val="00B57EC8"/>
    <w:rsid w:val="00B601A6"/>
    <w:rsid w:val="00B60300"/>
    <w:rsid w:val="00B603EE"/>
    <w:rsid w:val="00B60434"/>
    <w:rsid w:val="00B6053F"/>
    <w:rsid w:val="00B6059F"/>
    <w:rsid w:val="00B6072E"/>
    <w:rsid w:val="00B6084C"/>
    <w:rsid w:val="00B60855"/>
    <w:rsid w:val="00B60860"/>
    <w:rsid w:val="00B60891"/>
    <w:rsid w:val="00B608EA"/>
    <w:rsid w:val="00B608EF"/>
    <w:rsid w:val="00B6092A"/>
    <w:rsid w:val="00B60A6C"/>
    <w:rsid w:val="00B60AE3"/>
    <w:rsid w:val="00B60AFD"/>
    <w:rsid w:val="00B60C36"/>
    <w:rsid w:val="00B60C84"/>
    <w:rsid w:val="00B60D6A"/>
    <w:rsid w:val="00B60D8D"/>
    <w:rsid w:val="00B60F0C"/>
    <w:rsid w:val="00B60FD0"/>
    <w:rsid w:val="00B6118D"/>
    <w:rsid w:val="00B61193"/>
    <w:rsid w:val="00B6119D"/>
    <w:rsid w:val="00B61202"/>
    <w:rsid w:val="00B61244"/>
    <w:rsid w:val="00B61492"/>
    <w:rsid w:val="00B615C3"/>
    <w:rsid w:val="00B61642"/>
    <w:rsid w:val="00B61687"/>
    <w:rsid w:val="00B616DC"/>
    <w:rsid w:val="00B618E7"/>
    <w:rsid w:val="00B619F1"/>
    <w:rsid w:val="00B61A30"/>
    <w:rsid w:val="00B61B3F"/>
    <w:rsid w:val="00B61CDE"/>
    <w:rsid w:val="00B61EA4"/>
    <w:rsid w:val="00B61F0D"/>
    <w:rsid w:val="00B61FA1"/>
    <w:rsid w:val="00B61FA7"/>
    <w:rsid w:val="00B61FED"/>
    <w:rsid w:val="00B61FF4"/>
    <w:rsid w:val="00B62033"/>
    <w:rsid w:val="00B620F6"/>
    <w:rsid w:val="00B62169"/>
    <w:rsid w:val="00B622DA"/>
    <w:rsid w:val="00B6234A"/>
    <w:rsid w:val="00B6239D"/>
    <w:rsid w:val="00B623A7"/>
    <w:rsid w:val="00B6244B"/>
    <w:rsid w:val="00B6264C"/>
    <w:rsid w:val="00B62776"/>
    <w:rsid w:val="00B628BA"/>
    <w:rsid w:val="00B629F3"/>
    <w:rsid w:val="00B62AF9"/>
    <w:rsid w:val="00B62B84"/>
    <w:rsid w:val="00B62DCE"/>
    <w:rsid w:val="00B62E1C"/>
    <w:rsid w:val="00B62EB5"/>
    <w:rsid w:val="00B62ED8"/>
    <w:rsid w:val="00B62F3D"/>
    <w:rsid w:val="00B630DB"/>
    <w:rsid w:val="00B63121"/>
    <w:rsid w:val="00B63141"/>
    <w:rsid w:val="00B63177"/>
    <w:rsid w:val="00B63262"/>
    <w:rsid w:val="00B6332B"/>
    <w:rsid w:val="00B63415"/>
    <w:rsid w:val="00B63460"/>
    <w:rsid w:val="00B63542"/>
    <w:rsid w:val="00B63556"/>
    <w:rsid w:val="00B63557"/>
    <w:rsid w:val="00B63655"/>
    <w:rsid w:val="00B636BE"/>
    <w:rsid w:val="00B63725"/>
    <w:rsid w:val="00B6396D"/>
    <w:rsid w:val="00B639E1"/>
    <w:rsid w:val="00B63A39"/>
    <w:rsid w:val="00B63A6C"/>
    <w:rsid w:val="00B63AD7"/>
    <w:rsid w:val="00B63AE8"/>
    <w:rsid w:val="00B63B18"/>
    <w:rsid w:val="00B63BF1"/>
    <w:rsid w:val="00B63C08"/>
    <w:rsid w:val="00B63C3F"/>
    <w:rsid w:val="00B63CC6"/>
    <w:rsid w:val="00B63F0E"/>
    <w:rsid w:val="00B63F0F"/>
    <w:rsid w:val="00B63FE9"/>
    <w:rsid w:val="00B640E5"/>
    <w:rsid w:val="00B64108"/>
    <w:rsid w:val="00B6416C"/>
    <w:rsid w:val="00B64204"/>
    <w:rsid w:val="00B6425A"/>
    <w:rsid w:val="00B642C5"/>
    <w:rsid w:val="00B6435C"/>
    <w:rsid w:val="00B6437C"/>
    <w:rsid w:val="00B643EB"/>
    <w:rsid w:val="00B64450"/>
    <w:rsid w:val="00B64478"/>
    <w:rsid w:val="00B64499"/>
    <w:rsid w:val="00B64601"/>
    <w:rsid w:val="00B64627"/>
    <w:rsid w:val="00B64746"/>
    <w:rsid w:val="00B648BC"/>
    <w:rsid w:val="00B64912"/>
    <w:rsid w:val="00B649EE"/>
    <w:rsid w:val="00B64C09"/>
    <w:rsid w:val="00B64C48"/>
    <w:rsid w:val="00B64CB6"/>
    <w:rsid w:val="00B64D55"/>
    <w:rsid w:val="00B64F85"/>
    <w:rsid w:val="00B6501F"/>
    <w:rsid w:val="00B650BC"/>
    <w:rsid w:val="00B65182"/>
    <w:rsid w:val="00B651EB"/>
    <w:rsid w:val="00B652D7"/>
    <w:rsid w:val="00B65338"/>
    <w:rsid w:val="00B653B0"/>
    <w:rsid w:val="00B6547D"/>
    <w:rsid w:val="00B65736"/>
    <w:rsid w:val="00B6581F"/>
    <w:rsid w:val="00B65900"/>
    <w:rsid w:val="00B65972"/>
    <w:rsid w:val="00B659D5"/>
    <w:rsid w:val="00B659DF"/>
    <w:rsid w:val="00B65A3B"/>
    <w:rsid w:val="00B65AD3"/>
    <w:rsid w:val="00B65C1A"/>
    <w:rsid w:val="00B65CD8"/>
    <w:rsid w:val="00B65FA8"/>
    <w:rsid w:val="00B65FB7"/>
    <w:rsid w:val="00B66006"/>
    <w:rsid w:val="00B6607F"/>
    <w:rsid w:val="00B660A8"/>
    <w:rsid w:val="00B66132"/>
    <w:rsid w:val="00B6613C"/>
    <w:rsid w:val="00B661A2"/>
    <w:rsid w:val="00B662F7"/>
    <w:rsid w:val="00B66337"/>
    <w:rsid w:val="00B6639C"/>
    <w:rsid w:val="00B663ED"/>
    <w:rsid w:val="00B66414"/>
    <w:rsid w:val="00B665F3"/>
    <w:rsid w:val="00B66609"/>
    <w:rsid w:val="00B66692"/>
    <w:rsid w:val="00B666DF"/>
    <w:rsid w:val="00B66703"/>
    <w:rsid w:val="00B667B5"/>
    <w:rsid w:val="00B66A0A"/>
    <w:rsid w:val="00B66AAA"/>
    <w:rsid w:val="00B66B2C"/>
    <w:rsid w:val="00B66B71"/>
    <w:rsid w:val="00B66BB0"/>
    <w:rsid w:val="00B66D26"/>
    <w:rsid w:val="00B66DD4"/>
    <w:rsid w:val="00B66DEB"/>
    <w:rsid w:val="00B66E56"/>
    <w:rsid w:val="00B66EE6"/>
    <w:rsid w:val="00B66F4B"/>
    <w:rsid w:val="00B67035"/>
    <w:rsid w:val="00B6705B"/>
    <w:rsid w:val="00B670A2"/>
    <w:rsid w:val="00B671AD"/>
    <w:rsid w:val="00B672E1"/>
    <w:rsid w:val="00B67346"/>
    <w:rsid w:val="00B675AF"/>
    <w:rsid w:val="00B676AC"/>
    <w:rsid w:val="00B67866"/>
    <w:rsid w:val="00B67867"/>
    <w:rsid w:val="00B67A41"/>
    <w:rsid w:val="00B67B9E"/>
    <w:rsid w:val="00B67BEC"/>
    <w:rsid w:val="00B67CED"/>
    <w:rsid w:val="00B67D23"/>
    <w:rsid w:val="00B67DEB"/>
    <w:rsid w:val="00B67ECA"/>
    <w:rsid w:val="00B67ED9"/>
    <w:rsid w:val="00B700B8"/>
    <w:rsid w:val="00B700E8"/>
    <w:rsid w:val="00B70229"/>
    <w:rsid w:val="00B702AC"/>
    <w:rsid w:val="00B702B7"/>
    <w:rsid w:val="00B70413"/>
    <w:rsid w:val="00B7046D"/>
    <w:rsid w:val="00B704D3"/>
    <w:rsid w:val="00B7080A"/>
    <w:rsid w:val="00B70909"/>
    <w:rsid w:val="00B7092D"/>
    <w:rsid w:val="00B70992"/>
    <w:rsid w:val="00B70A20"/>
    <w:rsid w:val="00B70E94"/>
    <w:rsid w:val="00B70EA4"/>
    <w:rsid w:val="00B70F27"/>
    <w:rsid w:val="00B70FBC"/>
    <w:rsid w:val="00B710EB"/>
    <w:rsid w:val="00B7125A"/>
    <w:rsid w:val="00B712C1"/>
    <w:rsid w:val="00B7131F"/>
    <w:rsid w:val="00B71373"/>
    <w:rsid w:val="00B71536"/>
    <w:rsid w:val="00B71567"/>
    <w:rsid w:val="00B71644"/>
    <w:rsid w:val="00B716F2"/>
    <w:rsid w:val="00B71854"/>
    <w:rsid w:val="00B71888"/>
    <w:rsid w:val="00B7194C"/>
    <w:rsid w:val="00B71A3C"/>
    <w:rsid w:val="00B71A55"/>
    <w:rsid w:val="00B71C9D"/>
    <w:rsid w:val="00B71CC1"/>
    <w:rsid w:val="00B71DE0"/>
    <w:rsid w:val="00B72018"/>
    <w:rsid w:val="00B720DA"/>
    <w:rsid w:val="00B7212D"/>
    <w:rsid w:val="00B72207"/>
    <w:rsid w:val="00B7227C"/>
    <w:rsid w:val="00B72288"/>
    <w:rsid w:val="00B72353"/>
    <w:rsid w:val="00B723BD"/>
    <w:rsid w:val="00B72578"/>
    <w:rsid w:val="00B72590"/>
    <w:rsid w:val="00B725BF"/>
    <w:rsid w:val="00B7271C"/>
    <w:rsid w:val="00B72723"/>
    <w:rsid w:val="00B72895"/>
    <w:rsid w:val="00B728B8"/>
    <w:rsid w:val="00B72A4E"/>
    <w:rsid w:val="00B72A7C"/>
    <w:rsid w:val="00B72AB5"/>
    <w:rsid w:val="00B72AE4"/>
    <w:rsid w:val="00B72AED"/>
    <w:rsid w:val="00B72B49"/>
    <w:rsid w:val="00B72BB0"/>
    <w:rsid w:val="00B72C04"/>
    <w:rsid w:val="00B72C14"/>
    <w:rsid w:val="00B72CB4"/>
    <w:rsid w:val="00B72D11"/>
    <w:rsid w:val="00B72D67"/>
    <w:rsid w:val="00B72D74"/>
    <w:rsid w:val="00B72E45"/>
    <w:rsid w:val="00B72E73"/>
    <w:rsid w:val="00B72E9B"/>
    <w:rsid w:val="00B72F68"/>
    <w:rsid w:val="00B731C5"/>
    <w:rsid w:val="00B73469"/>
    <w:rsid w:val="00B735B2"/>
    <w:rsid w:val="00B735BA"/>
    <w:rsid w:val="00B73696"/>
    <w:rsid w:val="00B73711"/>
    <w:rsid w:val="00B73842"/>
    <w:rsid w:val="00B738EC"/>
    <w:rsid w:val="00B73911"/>
    <w:rsid w:val="00B73A6A"/>
    <w:rsid w:val="00B73AC8"/>
    <w:rsid w:val="00B73C66"/>
    <w:rsid w:val="00B73D34"/>
    <w:rsid w:val="00B73E8C"/>
    <w:rsid w:val="00B73F57"/>
    <w:rsid w:val="00B7405B"/>
    <w:rsid w:val="00B7407D"/>
    <w:rsid w:val="00B74157"/>
    <w:rsid w:val="00B74199"/>
    <w:rsid w:val="00B741EF"/>
    <w:rsid w:val="00B74255"/>
    <w:rsid w:val="00B743EE"/>
    <w:rsid w:val="00B74435"/>
    <w:rsid w:val="00B74630"/>
    <w:rsid w:val="00B7469F"/>
    <w:rsid w:val="00B7477E"/>
    <w:rsid w:val="00B747B7"/>
    <w:rsid w:val="00B748E6"/>
    <w:rsid w:val="00B74AD1"/>
    <w:rsid w:val="00B74C54"/>
    <w:rsid w:val="00B74CE1"/>
    <w:rsid w:val="00B74D40"/>
    <w:rsid w:val="00B74D82"/>
    <w:rsid w:val="00B74DC3"/>
    <w:rsid w:val="00B74DF2"/>
    <w:rsid w:val="00B74F9B"/>
    <w:rsid w:val="00B74FC4"/>
    <w:rsid w:val="00B74FE4"/>
    <w:rsid w:val="00B75114"/>
    <w:rsid w:val="00B751D4"/>
    <w:rsid w:val="00B7520C"/>
    <w:rsid w:val="00B7520D"/>
    <w:rsid w:val="00B7529B"/>
    <w:rsid w:val="00B752B2"/>
    <w:rsid w:val="00B75361"/>
    <w:rsid w:val="00B753A0"/>
    <w:rsid w:val="00B7543D"/>
    <w:rsid w:val="00B754F6"/>
    <w:rsid w:val="00B75550"/>
    <w:rsid w:val="00B7566C"/>
    <w:rsid w:val="00B75785"/>
    <w:rsid w:val="00B757BD"/>
    <w:rsid w:val="00B757D4"/>
    <w:rsid w:val="00B75872"/>
    <w:rsid w:val="00B7589E"/>
    <w:rsid w:val="00B75921"/>
    <w:rsid w:val="00B75AB6"/>
    <w:rsid w:val="00B75B4D"/>
    <w:rsid w:val="00B75B8C"/>
    <w:rsid w:val="00B75CA0"/>
    <w:rsid w:val="00B75CD8"/>
    <w:rsid w:val="00B75D33"/>
    <w:rsid w:val="00B75FD0"/>
    <w:rsid w:val="00B76057"/>
    <w:rsid w:val="00B76069"/>
    <w:rsid w:val="00B76094"/>
    <w:rsid w:val="00B761E6"/>
    <w:rsid w:val="00B76242"/>
    <w:rsid w:val="00B762B8"/>
    <w:rsid w:val="00B7638E"/>
    <w:rsid w:val="00B76399"/>
    <w:rsid w:val="00B76596"/>
    <w:rsid w:val="00B76619"/>
    <w:rsid w:val="00B766C9"/>
    <w:rsid w:val="00B76833"/>
    <w:rsid w:val="00B76883"/>
    <w:rsid w:val="00B76911"/>
    <w:rsid w:val="00B76965"/>
    <w:rsid w:val="00B769D5"/>
    <w:rsid w:val="00B76A28"/>
    <w:rsid w:val="00B76A81"/>
    <w:rsid w:val="00B76AAD"/>
    <w:rsid w:val="00B76AD3"/>
    <w:rsid w:val="00B76AEB"/>
    <w:rsid w:val="00B76B15"/>
    <w:rsid w:val="00B76B20"/>
    <w:rsid w:val="00B76B5A"/>
    <w:rsid w:val="00B76B60"/>
    <w:rsid w:val="00B76BDC"/>
    <w:rsid w:val="00B76CB4"/>
    <w:rsid w:val="00B76D87"/>
    <w:rsid w:val="00B76DA8"/>
    <w:rsid w:val="00B76DE6"/>
    <w:rsid w:val="00B76EF2"/>
    <w:rsid w:val="00B76FB3"/>
    <w:rsid w:val="00B76FCF"/>
    <w:rsid w:val="00B7718B"/>
    <w:rsid w:val="00B771D3"/>
    <w:rsid w:val="00B7722F"/>
    <w:rsid w:val="00B77296"/>
    <w:rsid w:val="00B7739D"/>
    <w:rsid w:val="00B77465"/>
    <w:rsid w:val="00B77492"/>
    <w:rsid w:val="00B774A5"/>
    <w:rsid w:val="00B77544"/>
    <w:rsid w:val="00B775CD"/>
    <w:rsid w:val="00B775FF"/>
    <w:rsid w:val="00B77747"/>
    <w:rsid w:val="00B7788F"/>
    <w:rsid w:val="00B77935"/>
    <w:rsid w:val="00B77947"/>
    <w:rsid w:val="00B77A6B"/>
    <w:rsid w:val="00B77A75"/>
    <w:rsid w:val="00B77C45"/>
    <w:rsid w:val="00B77CFD"/>
    <w:rsid w:val="00B77DA8"/>
    <w:rsid w:val="00B77E67"/>
    <w:rsid w:val="00B80189"/>
    <w:rsid w:val="00B802B3"/>
    <w:rsid w:val="00B802EB"/>
    <w:rsid w:val="00B80314"/>
    <w:rsid w:val="00B80411"/>
    <w:rsid w:val="00B8044C"/>
    <w:rsid w:val="00B8058B"/>
    <w:rsid w:val="00B80653"/>
    <w:rsid w:val="00B8069D"/>
    <w:rsid w:val="00B806A0"/>
    <w:rsid w:val="00B8087E"/>
    <w:rsid w:val="00B809AE"/>
    <w:rsid w:val="00B809E4"/>
    <w:rsid w:val="00B80A63"/>
    <w:rsid w:val="00B80C33"/>
    <w:rsid w:val="00B80D5B"/>
    <w:rsid w:val="00B80D81"/>
    <w:rsid w:val="00B80DAD"/>
    <w:rsid w:val="00B80DE6"/>
    <w:rsid w:val="00B80E38"/>
    <w:rsid w:val="00B80E6C"/>
    <w:rsid w:val="00B80E9C"/>
    <w:rsid w:val="00B80F7D"/>
    <w:rsid w:val="00B80FC2"/>
    <w:rsid w:val="00B81129"/>
    <w:rsid w:val="00B813F6"/>
    <w:rsid w:val="00B814A8"/>
    <w:rsid w:val="00B8150D"/>
    <w:rsid w:val="00B81523"/>
    <w:rsid w:val="00B8159A"/>
    <w:rsid w:val="00B815B0"/>
    <w:rsid w:val="00B81772"/>
    <w:rsid w:val="00B818CD"/>
    <w:rsid w:val="00B8194F"/>
    <w:rsid w:val="00B81AAD"/>
    <w:rsid w:val="00B81B0D"/>
    <w:rsid w:val="00B81BFA"/>
    <w:rsid w:val="00B81BFC"/>
    <w:rsid w:val="00B81C40"/>
    <w:rsid w:val="00B81D52"/>
    <w:rsid w:val="00B81DE5"/>
    <w:rsid w:val="00B81ECA"/>
    <w:rsid w:val="00B81ECC"/>
    <w:rsid w:val="00B81ED2"/>
    <w:rsid w:val="00B81F1E"/>
    <w:rsid w:val="00B81FA5"/>
    <w:rsid w:val="00B81FDE"/>
    <w:rsid w:val="00B81FE3"/>
    <w:rsid w:val="00B8214C"/>
    <w:rsid w:val="00B821B7"/>
    <w:rsid w:val="00B821CC"/>
    <w:rsid w:val="00B82202"/>
    <w:rsid w:val="00B82299"/>
    <w:rsid w:val="00B82485"/>
    <w:rsid w:val="00B824CF"/>
    <w:rsid w:val="00B825CC"/>
    <w:rsid w:val="00B82602"/>
    <w:rsid w:val="00B82693"/>
    <w:rsid w:val="00B827EB"/>
    <w:rsid w:val="00B828AC"/>
    <w:rsid w:val="00B828F1"/>
    <w:rsid w:val="00B82935"/>
    <w:rsid w:val="00B829BC"/>
    <w:rsid w:val="00B82B1C"/>
    <w:rsid w:val="00B82C16"/>
    <w:rsid w:val="00B82D76"/>
    <w:rsid w:val="00B82D94"/>
    <w:rsid w:val="00B82DED"/>
    <w:rsid w:val="00B82E1C"/>
    <w:rsid w:val="00B82E5E"/>
    <w:rsid w:val="00B82FC4"/>
    <w:rsid w:val="00B830D9"/>
    <w:rsid w:val="00B83145"/>
    <w:rsid w:val="00B83191"/>
    <w:rsid w:val="00B8319E"/>
    <w:rsid w:val="00B8327F"/>
    <w:rsid w:val="00B832B3"/>
    <w:rsid w:val="00B832CF"/>
    <w:rsid w:val="00B8343B"/>
    <w:rsid w:val="00B83553"/>
    <w:rsid w:val="00B83611"/>
    <w:rsid w:val="00B83651"/>
    <w:rsid w:val="00B83672"/>
    <w:rsid w:val="00B836BD"/>
    <w:rsid w:val="00B837AA"/>
    <w:rsid w:val="00B8381A"/>
    <w:rsid w:val="00B83883"/>
    <w:rsid w:val="00B8389B"/>
    <w:rsid w:val="00B83929"/>
    <w:rsid w:val="00B83A20"/>
    <w:rsid w:val="00B83B8A"/>
    <w:rsid w:val="00B83D8C"/>
    <w:rsid w:val="00B83DDC"/>
    <w:rsid w:val="00B83EC8"/>
    <w:rsid w:val="00B83ECB"/>
    <w:rsid w:val="00B83F69"/>
    <w:rsid w:val="00B84154"/>
    <w:rsid w:val="00B841D7"/>
    <w:rsid w:val="00B84265"/>
    <w:rsid w:val="00B84271"/>
    <w:rsid w:val="00B842EC"/>
    <w:rsid w:val="00B8430E"/>
    <w:rsid w:val="00B84341"/>
    <w:rsid w:val="00B84398"/>
    <w:rsid w:val="00B844A6"/>
    <w:rsid w:val="00B84695"/>
    <w:rsid w:val="00B846A6"/>
    <w:rsid w:val="00B84757"/>
    <w:rsid w:val="00B847E9"/>
    <w:rsid w:val="00B848A5"/>
    <w:rsid w:val="00B84942"/>
    <w:rsid w:val="00B849CB"/>
    <w:rsid w:val="00B84A1E"/>
    <w:rsid w:val="00B84A84"/>
    <w:rsid w:val="00B84B93"/>
    <w:rsid w:val="00B84C49"/>
    <w:rsid w:val="00B84CC7"/>
    <w:rsid w:val="00B84D30"/>
    <w:rsid w:val="00B84D3F"/>
    <w:rsid w:val="00B84EA2"/>
    <w:rsid w:val="00B84ED7"/>
    <w:rsid w:val="00B84F0B"/>
    <w:rsid w:val="00B84F50"/>
    <w:rsid w:val="00B84F54"/>
    <w:rsid w:val="00B84F63"/>
    <w:rsid w:val="00B84F95"/>
    <w:rsid w:val="00B850D2"/>
    <w:rsid w:val="00B85167"/>
    <w:rsid w:val="00B852BE"/>
    <w:rsid w:val="00B852FD"/>
    <w:rsid w:val="00B853AB"/>
    <w:rsid w:val="00B853C9"/>
    <w:rsid w:val="00B8561D"/>
    <w:rsid w:val="00B85693"/>
    <w:rsid w:val="00B8582B"/>
    <w:rsid w:val="00B85851"/>
    <w:rsid w:val="00B85857"/>
    <w:rsid w:val="00B85903"/>
    <w:rsid w:val="00B8594E"/>
    <w:rsid w:val="00B85989"/>
    <w:rsid w:val="00B859D9"/>
    <w:rsid w:val="00B85A1A"/>
    <w:rsid w:val="00B85AAC"/>
    <w:rsid w:val="00B85AFB"/>
    <w:rsid w:val="00B85B0C"/>
    <w:rsid w:val="00B85B36"/>
    <w:rsid w:val="00B85C16"/>
    <w:rsid w:val="00B85C8E"/>
    <w:rsid w:val="00B85CE0"/>
    <w:rsid w:val="00B85DA1"/>
    <w:rsid w:val="00B85F85"/>
    <w:rsid w:val="00B85FF9"/>
    <w:rsid w:val="00B86090"/>
    <w:rsid w:val="00B860C0"/>
    <w:rsid w:val="00B861EE"/>
    <w:rsid w:val="00B861F3"/>
    <w:rsid w:val="00B8620D"/>
    <w:rsid w:val="00B862E9"/>
    <w:rsid w:val="00B862F7"/>
    <w:rsid w:val="00B86331"/>
    <w:rsid w:val="00B865BC"/>
    <w:rsid w:val="00B866A9"/>
    <w:rsid w:val="00B8671F"/>
    <w:rsid w:val="00B8675E"/>
    <w:rsid w:val="00B86773"/>
    <w:rsid w:val="00B867A8"/>
    <w:rsid w:val="00B869C3"/>
    <w:rsid w:val="00B86A67"/>
    <w:rsid w:val="00B86ABC"/>
    <w:rsid w:val="00B86AEE"/>
    <w:rsid w:val="00B86B08"/>
    <w:rsid w:val="00B86C9D"/>
    <w:rsid w:val="00B86DC5"/>
    <w:rsid w:val="00B86DF5"/>
    <w:rsid w:val="00B86EB4"/>
    <w:rsid w:val="00B86EC9"/>
    <w:rsid w:val="00B86EE2"/>
    <w:rsid w:val="00B86EF9"/>
    <w:rsid w:val="00B870AE"/>
    <w:rsid w:val="00B870BC"/>
    <w:rsid w:val="00B8716F"/>
    <w:rsid w:val="00B871AF"/>
    <w:rsid w:val="00B871FE"/>
    <w:rsid w:val="00B87253"/>
    <w:rsid w:val="00B8735A"/>
    <w:rsid w:val="00B873F2"/>
    <w:rsid w:val="00B874DC"/>
    <w:rsid w:val="00B87501"/>
    <w:rsid w:val="00B875DF"/>
    <w:rsid w:val="00B8773E"/>
    <w:rsid w:val="00B87A86"/>
    <w:rsid w:val="00B87BD8"/>
    <w:rsid w:val="00B87C6D"/>
    <w:rsid w:val="00B87CA1"/>
    <w:rsid w:val="00B87D27"/>
    <w:rsid w:val="00B87E66"/>
    <w:rsid w:val="00B87E69"/>
    <w:rsid w:val="00B87F91"/>
    <w:rsid w:val="00B90069"/>
    <w:rsid w:val="00B90101"/>
    <w:rsid w:val="00B90108"/>
    <w:rsid w:val="00B90307"/>
    <w:rsid w:val="00B90318"/>
    <w:rsid w:val="00B903A2"/>
    <w:rsid w:val="00B90580"/>
    <w:rsid w:val="00B90609"/>
    <w:rsid w:val="00B90667"/>
    <w:rsid w:val="00B90694"/>
    <w:rsid w:val="00B90713"/>
    <w:rsid w:val="00B90754"/>
    <w:rsid w:val="00B90777"/>
    <w:rsid w:val="00B909CC"/>
    <w:rsid w:val="00B90C95"/>
    <w:rsid w:val="00B90D1D"/>
    <w:rsid w:val="00B90D88"/>
    <w:rsid w:val="00B90D95"/>
    <w:rsid w:val="00B90DAD"/>
    <w:rsid w:val="00B90F79"/>
    <w:rsid w:val="00B91067"/>
    <w:rsid w:val="00B9108E"/>
    <w:rsid w:val="00B91126"/>
    <w:rsid w:val="00B91163"/>
    <w:rsid w:val="00B91201"/>
    <w:rsid w:val="00B9127C"/>
    <w:rsid w:val="00B912E1"/>
    <w:rsid w:val="00B9140A"/>
    <w:rsid w:val="00B914A5"/>
    <w:rsid w:val="00B91502"/>
    <w:rsid w:val="00B91595"/>
    <w:rsid w:val="00B91891"/>
    <w:rsid w:val="00B91911"/>
    <w:rsid w:val="00B91957"/>
    <w:rsid w:val="00B91A35"/>
    <w:rsid w:val="00B91AAE"/>
    <w:rsid w:val="00B91C16"/>
    <w:rsid w:val="00B91D33"/>
    <w:rsid w:val="00B91D50"/>
    <w:rsid w:val="00B91DD4"/>
    <w:rsid w:val="00B91EFF"/>
    <w:rsid w:val="00B91F82"/>
    <w:rsid w:val="00B92136"/>
    <w:rsid w:val="00B921FB"/>
    <w:rsid w:val="00B92272"/>
    <w:rsid w:val="00B9237B"/>
    <w:rsid w:val="00B92417"/>
    <w:rsid w:val="00B924B7"/>
    <w:rsid w:val="00B9273D"/>
    <w:rsid w:val="00B9278B"/>
    <w:rsid w:val="00B92877"/>
    <w:rsid w:val="00B929CA"/>
    <w:rsid w:val="00B929D1"/>
    <w:rsid w:val="00B92A42"/>
    <w:rsid w:val="00B92ADB"/>
    <w:rsid w:val="00B92AE1"/>
    <w:rsid w:val="00B92B03"/>
    <w:rsid w:val="00B92BBF"/>
    <w:rsid w:val="00B92C10"/>
    <w:rsid w:val="00B92D4A"/>
    <w:rsid w:val="00B92D72"/>
    <w:rsid w:val="00B92DD4"/>
    <w:rsid w:val="00B92EDA"/>
    <w:rsid w:val="00B92F2A"/>
    <w:rsid w:val="00B9306E"/>
    <w:rsid w:val="00B9314D"/>
    <w:rsid w:val="00B93154"/>
    <w:rsid w:val="00B93197"/>
    <w:rsid w:val="00B933E5"/>
    <w:rsid w:val="00B936B3"/>
    <w:rsid w:val="00B93841"/>
    <w:rsid w:val="00B93A0F"/>
    <w:rsid w:val="00B93BAA"/>
    <w:rsid w:val="00B93C5F"/>
    <w:rsid w:val="00B93C7E"/>
    <w:rsid w:val="00B93D3E"/>
    <w:rsid w:val="00B93F04"/>
    <w:rsid w:val="00B93FA2"/>
    <w:rsid w:val="00B94007"/>
    <w:rsid w:val="00B94151"/>
    <w:rsid w:val="00B941A0"/>
    <w:rsid w:val="00B941CE"/>
    <w:rsid w:val="00B94281"/>
    <w:rsid w:val="00B943CE"/>
    <w:rsid w:val="00B943F9"/>
    <w:rsid w:val="00B943FA"/>
    <w:rsid w:val="00B9445A"/>
    <w:rsid w:val="00B94482"/>
    <w:rsid w:val="00B9448B"/>
    <w:rsid w:val="00B9450C"/>
    <w:rsid w:val="00B94564"/>
    <w:rsid w:val="00B945C6"/>
    <w:rsid w:val="00B947A2"/>
    <w:rsid w:val="00B947FE"/>
    <w:rsid w:val="00B948DD"/>
    <w:rsid w:val="00B948E8"/>
    <w:rsid w:val="00B94907"/>
    <w:rsid w:val="00B9497F"/>
    <w:rsid w:val="00B94AB9"/>
    <w:rsid w:val="00B94ACE"/>
    <w:rsid w:val="00B94ADC"/>
    <w:rsid w:val="00B94BC4"/>
    <w:rsid w:val="00B94C3A"/>
    <w:rsid w:val="00B94CD7"/>
    <w:rsid w:val="00B94DEF"/>
    <w:rsid w:val="00B94F50"/>
    <w:rsid w:val="00B94F76"/>
    <w:rsid w:val="00B95042"/>
    <w:rsid w:val="00B95079"/>
    <w:rsid w:val="00B950C3"/>
    <w:rsid w:val="00B950DE"/>
    <w:rsid w:val="00B950F3"/>
    <w:rsid w:val="00B95157"/>
    <w:rsid w:val="00B951B3"/>
    <w:rsid w:val="00B95281"/>
    <w:rsid w:val="00B95284"/>
    <w:rsid w:val="00B952C3"/>
    <w:rsid w:val="00B95318"/>
    <w:rsid w:val="00B95472"/>
    <w:rsid w:val="00B95477"/>
    <w:rsid w:val="00B9559D"/>
    <w:rsid w:val="00B95626"/>
    <w:rsid w:val="00B9563A"/>
    <w:rsid w:val="00B95644"/>
    <w:rsid w:val="00B95730"/>
    <w:rsid w:val="00B957DF"/>
    <w:rsid w:val="00B95803"/>
    <w:rsid w:val="00B95815"/>
    <w:rsid w:val="00B958E6"/>
    <w:rsid w:val="00B959C8"/>
    <w:rsid w:val="00B95A7B"/>
    <w:rsid w:val="00B95A9E"/>
    <w:rsid w:val="00B95B05"/>
    <w:rsid w:val="00B95CD3"/>
    <w:rsid w:val="00B95E88"/>
    <w:rsid w:val="00B95EFC"/>
    <w:rsid w:val="00B95FBA"/>
    <w:rsid w:val="00B9602F"/>
    <w:rsid w:val="00B9617D"/>
    <w:rsid w:val="00B961F7"/>
    <w:rsid w:val="00B9626C"/>
    <w:rsid w:val="00B96357"/>
    <w:rsid w:val="00B96377"/>
    <w:rsid w:val="00B96420"/>
    <w:rsid w:val="00B96449"/>
    <w:rsid w:val="00B96482"/>
    <w:rsid w:val="00B964B1"/>
    <w:rsid w:val="00B964C3"/>
    <w:rsid w:val="00B96523"/>
    <w:rsid w:val="00B965C2"/>
    <w:rsid w:val="00B9669D"/>
    <w:rsid w:val="00B966B3"/>
    <w:rsid w:val="00B966C8"/>
    <w:rsid w:val="00B9677F"/>
    <w:rsid w:val="00B9681A"/>
    <w:rsid w:val="00B96823"/>
    <w:rsid w:val="00B96962"/>
    <w:rsid w:val="00B96AB3"/>
    <w:rsid w:val="00B96C3A"/>
    <w:rsid w:val="00B96D28"/>
    <w:rsid w:val="00B96DCA"/>
    <w:rsid w:val="00B96FCF"/>
    <w:rsid w:val="00B97017"/>
    <w:rsid w:val="00B9703C"/>
    <w:rsid w:val="00B9703F"/>
    <w:rsid w:val="00B9711C"/>
    <w:rsid w:val="00B97249"/>
    <w:rsid w:val="00B9739A"/>
    <w:rsid w:val="00B97447"/>
    <w:rsid w:val="00B9751D"/>
    <w:rsid w:val="00B9752D"/>
    <w:rsid w:val="00B97902"/>
    <w:rsid w:val="00B97910"/>
    <w:rsid w:val="00B97999"/>
    <w:rsid w:val="00B979D2"/>
    <w:rsid w:val="00B97B30"/>
    <w:rsid w:val="00B97BB6"/>
    <w:rsid w:val="00B97BF4"/>
    <w:rsid w:val="00B97C82"/>
    <w:rsid w:val="00B97EFC"/>
    <w:rsid w:val="00B97F0A"/>
    <w:rsid w:val="00BA00C3"/>
    <w:rsid w:val="00BA02AC"/>
    <w:rsid w:val="00BA0349"/>
    <w:rsid w:val="00BA05C4"/>
    <w:rsid w:val="00BA05F6"/>
    <w:rsid w:val="00BA0663"/>
    <w:rsid w:val="00BA0686"/>
    <w:rsid w:val="00BA075A"/>
    <w:rsid w:val="00BA077A"/>
    <w:rsid w:val="00BA07C0"/>
    <w:rsid w:val="00BA07F2"/>
    <w:rsid w:val="00BA08AE"/>
    <w:rsid w:val="00BA0AA8"/>
    <w:rsid w:val="00BA0BAC"/>
    <w:rsid w:val="00BA0D18"/>
    <w:rsid w:val="00BA0D7B"/>
    <w:rsid w:val="00BA0D9C"/>
    <w:rsid w:val="00BA0DB9"/>
    <w:rsid w:val="00BA0DC0"/>
    <w:rsid w:val="00BA0E46"/>
    <w:rsid w:val="00BA0F7D"/>
    <w:rsid w:val="00BA112F"/>
    <w:rsid w:val="00BA113E"/>
    <w:rsid w:val="00BA11EE"/>
    <w:rsid w:val="00BA1248"/>
    <w:rsid w:val="00BA140A"/>
    <w:rsid w:val="00BA142A"/>
    <w:rsid w:val="00BA146D"/>
    <w:rsid w:val="00BA1484"/>
    <w:rsid w:val="00BA163C"/>
    <w:rsid w:val="00BA166A"/>
    <w:rsid w:val="00BA1697"/>
    <w:rsid w:val="00BA172A"/>
    <w:rsid w:val="00BA1739"/>
    <w:rsid w:val="00BA19A6"/>
    <w:rsid w:val="00BA1A15"/>
    <w:rsid w:val="00BA1AEC"/>
    <w:rsid w:val="00BA1CF9"/>
    <w:rsid w:val="00BA1D05"/>
    <w:rsid w:val="00BA1D59"/>
    <w:rsid w:val="00BA1DA4"/>
    <w:rsid w:val="00BA1E26"/>
    <w:rsid w:val="00BA1EA2"/>
    <w:rsid w:val="00BA1F11"/>
    <w:rsid w:val="00BA1F4A"/>
    <w:rsid w:val="00BA1FC2"/>
    <w:rsid w:val="00BA1FDE"/>
    <w:rsid w:val="00BA2046"/>
    <w:rsid w:val="00BA20CD"/>
    <w:rsid w:val="00BA2165"/>
    <w:rsid w:val="00BA21C3"/>
    <w:rsid w:val="00BA236C"/>
    <w:rsid w:val="00BA2391"/>
    <w:rsid w:val="00BA242F"/>
    <w:rsid w:val="00BA246A"/>
    <w:rsid w:val="00BA25D0"/>
    <w:rsid w:val="00BA269E"/>
    <w:rsid w:val="00BA2749"/>
    <w:rsid w:val="00BA280C"/>
    <w:rsid w:val="00BA281C"/>
    <w:rsid w:val="00BA28B4"/>
    <w:rsid w:val="00BA29FD"/>
    <w:rsid w:val="00BA2D0D"/>
    <w:rsid w:val="00BA2ECE"/>
    <w:rsid w:val="00BA3085"/>
    <w:rsid w:val="00BA31B2"/>
    <w:rsid w:val="00BA326B"/>
    <w:rsid w:val="00BA32CA"/>
    <w:rsid w:val="00BA35BB"/>
    <w:rsid w:val="00BA35FF"/>
    <w:rsid w:val="00BA366E"/>
    <w:rsid w:val="00BA3856"/>
    <w:rsid w:val="00BA397F"/>
    <w:rsid w:val="00BA3A5D"/>
    <w:rsid w:val="00BA3A9A"/>
    <w:rsid w:val="00BA3AD5"/>
    <w:rsid w:val="00BA3BA9"/>
    <w:rsid w:val="00BA3C34"/>
    <w:rsid w:val="00BA3C3B"/>
    <w:rsid w:val="00BA3C3C"/>
    <w:rsid w:val="00BA3C90"/>
    <w:rsid w:val="00BA3D4F"/>
    <w:rsid w:val="00BA3DE9"/>
    <w:rsid w:val="00BA3E5B"/>
    <w:rsid w:val="00BA3FD6"/>
    <w:rsid w:val="00BA4037"/>
    <w:rsid w:val="00BA4054"/>
    <w:rsid w:val="00BA4065"/>
    <w:rsid w:val="00BA40A8"/>
    <w:rsid w:val="00BA40C2"/>
    <w:rsid w:val="00BA4264"/>
    <w:rsid w:val="00BA42C9"/>
    <w:rsid w:val="00BA4351"/>
    <w:rsid w:val="00BA43A1"/>
    <w:rsid w:val="00BA43A8"/>
    <w:rsid w:val="00BA440B"/>
    <w:rsid w:val="00BA4421"/>
    <w:rsid w:val="00BA4459"/>
    <w:rsid w:val="00BA44BD"/>
    <w:rsid w:val="00BA455E"/>
    <w:rsid w:val="00BA45CC"/>
    <w:rsid w:val="00BA45F0"/>
    <w:rsid w:val="00BA460A"/>
    <w:rsid w:val="00BA47B2"/>
    <w:rsid w:val="00BA4839"/>
    <w:rsid w:val="00BA497C"/>
    <w:rsid w:val="00BA4A86"/>
    <w:rsid w:val="00BA4B22"/>
    <w:rsid w:val="00BA4B2D"/>
    <w:rsid w:val="00BA4C91"/>
    <w:rsid w:val="00BA4D7D"/>
    <w:rsid w:val="00BA4F63"/>
    <w:rsid w:val="00BA4F6D"/>
    <w:rsid w:val="00BA4FE6"/>
    <w:rsid w:val="00BA5014"/>
    <w:rsid w:val="00BA519D"/>
    <w:rsid w:val="00BA51B7"/>
    <w:rsid w:val="00BA5209"/>
    <w:rsid w:val="00BA5249"/>
    <w:rsid w:val="00BA52FA"/>
    <w:rsid w:val="00BA54A3"/>
    <w:rsid w:val="00BA54F1"/>
    <w:rsid w:val="00BA5509"/>
    <w:rsid w:val="00BA5559"/>
    <w:rsid w:val="00BA55BB"/>
    <w:rsid w:val="00BA5634"/>
    <w:rsid w:val="00BA577D"/>
    <w:rsid w:val="00BA588B"/>
    <w:rsid w:val="00BA58CA"/>
    <w:rsid w:val="00BA58E4"/>
    <w:rsid w:val="00BA5A44"/>
    <w:rsid w:val="00BA5A66"/>
    <w:rsid w:val="00BA5CB0"/>
    <w:rsid w:val="00BA5E87"/>
    <w:rsid w:val="00BA5FB4"/>
    <w:rsid w:val="00BA6009"/>
    <w:rsid w:val="00BA600B"/>
    <w:rsid w:val="00BA6180"/>
    <w:rsid w:val="00BA6188"/>
    <w:rsid w:val="00BA6243"/>
    <w:rsid w:val="00BA646E"/>
    <w:rsid w:val="00BA6517"/>
    <w:rsid w:val="00BA66A0"/>
    <w:rsid w:val="00BA66DA"/>
    <w:rsid w:val="00BA67BA"/>
    <w:rsid w:val="00BA6A51"/>
    <w:rsid w:val="00BA6B1F"/>
    <w:rsid w:val="00BA6B75"/>
    <w:rsid w:val="00BA6BE8"/>
    <w:rsid w:val="00BA6D49"/>
    <w:rsid w:val="00BA6EA9"/>
    <w:rsid w:val="00BA6F6C"/>
    <w:rsid w:val="00BA6FD9"/>
    <w:rsid w:val="00BA6FE6"/>
    <w:rsid w:val="00BA702E"/>
    <w:rsid w:val="00BA70F8"/>
    <w:rsid w:val="00BA71CE"/>
    <w:rsid w:val="00BA726A"/>
    <w:rsid w:val="00BA7274"/>
    <w:rsid w:val="00BA7294"/>
    <w:rsid w:val="00BA7397"/>
    <w:rsid w:val="00BA742F"/>
    <w:rsid w:val="00BA75A4"/>
    <w:rsid w:val="00BA76E6"/>
    <w:rsid w:val="00BA7787"/>
    <w:rsid w:val="00BA7805"/>
    <w:rsid w:val="00BA7835"/>
    <w:rsid w:val="00BA7867"/>
    <w:rsid w:val="00BA78C2"/>
    <w:rsid w:val="00BA7AAB"/>
    <w:rsid w:val="00BA7ADA"/>
    <w:rsid w:val="00BA7CF8"/>
    <w:rsid w:val="00BA7D4B"/>
    <w:rsid w:val="00BA7DB2"/>
    <w:rsid w:val="00BA7DD2"/>
    <w:rsid w:val="00BA7E0B"/>
    <w:rsid w:val="00BA7E11"/>
    <w:rsid w:val="00BA7E52"/>
    <w:rsid w:val="00BB0015"/>
    <w:rsid w:val="00BB0016"/>
    <w:rsid w:val="00BB00B0"/>
    <w:rsid w:val="00BB0168"/>
    <w:rsid w:val="00BB0235"/>
    <w:rsid w:val="00BB0268"/>
    <w:rsid w:val="00BB030D"/>
    <w:rsid w:val="00BB0342"/>
    <w:rsid w:val="00BB034C"/>
    <w:rsid w:val="00BB03B2"/>
    <w:rsid w:val="00BB0475"/>
    <w:rsid w:val="00BB087E"/>
    <w:rsid w:val="00BB09AD"/>
    <w:rsid w:val="00BB0A16"/>
    <w:rsid w:val="00BB0A61"/>
    <w:rsid w:val="00BB0ACB"/>
    <w:rsid w:val="00BB0BAC"/>
    <w:rsid w:val="00BB0BB9"/>
    <w:rsid w:val="00BB0CE2"/>
    <w:rsid w:val="00BB0CED"/>
    <w:rsid w:val="00BB0D65"/>
    <w:rsid w:val="00BB0E15"/>
    <w:rsid w:val="00BB0FA9"/>
    <w:rsid w:val="00BB10E4"/>
    <w:rsid w:val="00BB1139"/>
    <w:rsid w:val="00BB1179"/>
    <w:rsid w:val="00BB121A"/>
    <w:rsid w:val="00BB130D"/>
    <w:rsid w:val="00BB138C"/>
    <w:rsid w:val="00BB1421"/>
    <w:rsid w:val="00BB1472"/>
    <w:rsid w:val="00BB15DE"/>
    <w:rsid w:val="00BB1668"/>
    <w:rsid w:val="00BB166F"/>
    <w:rsid w:val="00BB1690"/>
    <w:rsid w:val="00BB169C"/>
    <w:rsid w:val="00BB17BC"/>
    <w:rsid w:val="00BB1831"/>
    <w:rsid w:val="00BB1857"/>
    <w:rsid w:val="00BB1961"/>
    <w:rsid w:val="00BB199E"/>
    <w:rsid w:val="00BB1A65"/>
    <w:rsid w:val="00BB1A73"/>
    <w:rsid w:val="00BB1A7B"/>
    <w:rsid w:val="00BB1A7C"/>
    <w:rsid w:val="00BB1BDA"/>
    <w:rsid w:val="00BB1C4C"/>
    <w:rsid w:val="00BB1D02"/>
    <w:rsid w:val="00BB1D07"/>
    <w:rsid w:val="00BB1DB4"/>
    <w:rsid w:val="00BB1E00"/>
    <w:rsid w:val="00BB1E80"/>
    <w:rsid w:val="00BB1E9F"/>
    <w:rsid w:val="00BB20D5"/>
    <w:rsid w:val="00BB219A"/>
    <w:rsid w:val="00BB21B9"/>
    <w:rsid w:val="00BB2215"/>
    <w:rsid w:val="00BB2291"/>
    <w:rsid w:val="00BB2296"/>
    <w:rsid w:val="00BB22C0"/>
    <w:rsid w:val="00BB236B"/>
    <w:rsid w:val="00BB23A2"/>
    <w:rsid w:val="00BB23F3"/>
    <w:rsid w:val="00BB2407"/>
    <w:rsid w:val="00BB24A4"/>
    <w:rsid w:val="00BB2564"/>
    <w:rsid w:val="00BB256A"/>
    <w:rsid w:val="00BB267E"/>
    <w:rsid w:val="00BB27BD"/>
    <w:rsid w:val="00BB2810"/>
    <w:rsid w:val="00BB295C"/>
    <w:rsid w:val="00BB29A0"/>
    <w:rsid w:val="00BB2A10"/>
    <w:rsid w:val="00BB2AA6"/>
    <w:rsid w:val="00BB2AA8"/>
    <w:rsid w:val="00BB2B40"/>
    <w:rsid w:val="00BB2C1B"/>
    <w:rsid w:val="00BB2C2A"/>
    <w:rsid w:val="00BB2CB7"/>
    <w:rsid w:val="00BB2CD9"/>
    <w:rsid w:val="00BB2DC9"/>
    <w:rsid w:val="00BB2E5A"/>
    <w:rsid w:val="00BB2F71"/>
    <w:rsid w:val="00BB312E"/>
    <w:rsid w:val="00BB3269"/>
    <w:rsid w:val="00BB32C0"/>
    <w:rsid w:val="00BB32D6"/>
    <w:rsid w:val="00BB3434"/>
    <w:rsid w:val="00BB3627"/>
    <w:rsid w:val="00BB36EC"/>
    <w:rsid w:val="00BB3730"/>
    <w:rsid w:val="00BB37D8"/>
    <w:rsid w:val="00BB3901"/>
    <w:rsid w:val="00BB39B0"/>
    <w:rsid w:val="00BB3A74"/>
    <w:rsid w:val="00BB3B95"/>
    <w:rsid w:val="00BB3BCE"/>
    <w:rsid w:val="00BB3C00"/>
    <w:rsid w:val="00BB3D76"/>
    <w:rsid w:val="00BB3E0B"/>
    <w:rsid w:val="00BB3E2A"/>
    <w:rsid w:val="00BB3F2B"/>
    <w:rsid w:val="00BB3F65"/>
    <w:rsid w:val="00BB3FC0"/>
    <w:rsid w:val="00BB3FC6"/>
    <w:rsid w:val="00BB4132"/>
    <w:rsid w:val="00BB418F"/>
    <w:rsid w:val="00BB41DC"/>
    <w:rsid w:val="00BB4265"/>
    <w:rsid w:val="00BB42F4"/>
    <w:rsid w:val="00BB43C6"/>
    <w:rsid w:val="00BB440A"/>
    <w:rsid w:val="00BB441B"/>
    <w:rsid w:val="00BB449C"/>
    <w:rsid w:val="00BB456A"/>
    <w:rsid w:val="00BB45E6"/>
    <w:rsid w:val="00BB4631"/>
    <w:rsid w:val="00BB4823"/>
    <w:rsid w:val="00BB491A"/>
    <w:rsid w:val="00BB497D"/>
    <w:rsid w:val="00BB49D1"/>
    <w:rsid w:val="00BB49F7"/>
    <w:rsid w:val="00BB4BAA"/>
    <w:rsid w:val="00BB4C6B"/>
    <w:rsid w:val="00BB4E4B"/>
    <w:rsid w:val="00BB4EED"/>
    <w:rsid w:val="00BB50D2"/>
    <w:rsid w:val="00BB519D"/>
    <w:rsid w:val="00BB522A"/>
    <w:rsid w:val="00BB52B9"/>
    <w:rsid w:val="00BB52E2"/>
    <w:rsid w:val="00BB5304"/>
    <w:rsid w:val="00BB54DF"/>
    <w:rsid w:val="00BB5684"/>
    <w:rsid w:val="00BB56CD"/>
    <w:rsid w:val="00BB5731"/>
    <w:rsid w:val="00BB5733"/>
    <w:rsid w:val="00BB5753"/>
    <w:rsid w:val="00BB5815"/>
    <w:rsid w:val="00BB5913"/>
    <w:rsid w:val="00BB59F3"/>
    <w:rsid w:val="00BB5B9C"/>
    <w:rsid w:val="00BB5BC7"/>
    <w:rsid w:val="00BB5C36"/>
    <w:rsid w:val="00BB5D5C"/>
    <w:rsid w:val="00BB5D99"/>
    <w:rsid w:val="00BB5DB4"/>
    <w:rsid w:val="00BB5DDE"/>
    <w:rsid w:val="00BB5DE2"/>
    <w:rsid w:val="00BB5EF4"/>
    <w:rsid w:val="00BB5FD4"/>
    <w:rsid w:val="00BB6195"/>
    <w:rsid w:val="00BB61E1"/>
    <w:rsid w:val="00BB6247"/>
    <w:rsid w:val="00BB6255"/>
    <w:rsid w:val="00BB6476"/>
    <w:rsid w:val="00BB64C4"/>
    <w:rsid w:val="00BB65D8"/>
    <w:rsid w:val="00BB6614"/>
    <w:rsid w:val="00BB6768"/>
    <w:rsid w:val="00BB6780"/>
    <w:rsid w:val="00BB679A"/>
    <w:rsid w:val="00BB67F3"/>
    <w:rsid w:val="00BB681B"/>
    <w:rsid w:val="00BB692A"/>
    <w:rsid w:val="00BB692C"/>
    <w:rsid w:val="00BB6978"/>
    <w:rsid w:val="00BB6B16"/>
    <w:rsid w:val="00BB6BC4"/>
    <w:rsid w:val="00BB6C22"/>
    <w:rsid w:val="00BB6C6B"/>
    <w:rsid w:val="00BB6CE5"/>
    <w:rsid w:val="00BB6E49"/>
    <w:rsid w:val="00BB6E84"/>
    <w:rsid w:val="00BB6EA9"/>
    <w:rsid w:val="00BB7021"/>
    <w:rsid w:val="00BB7040"/>
    <w:rsid w:val="00BB7046"/>
    <w:rsid w:val="00BB7068"/>
    <w:rsid w:val="00BB70E5"/>
    <w:rsid w:val="00BB710F"/>
    <w:rsid w:val="00BB720C"/>
    <w:rsid w:val="00BB72AB"/>
    <w:rsid w:val="00BB7307"/>
    <w:rsid w:val="00BB73A3"/>
    <w:rsid w:val="00BB73D8"/>
    <w:rsid w:val="00BB7434"/>
    <w:rsid w:val="00BB7484"/>
    <w:rsid w:val="00BB765F"/>
    <w:rsid w:val="00BB775A"/>
    <w:rsid w:val="00BB79DE"/>
    <w:rsid w:val="00BB7C2D"/>
    <w:rsid w:val="00BB7CF8"/>
    <w:rsid w:val="00BB7CFD"/>
    <w:rsid w:val="00BB7E11"/>
    <w:rsid w:val="00BB7EB9"/>
    <w:rsid w:val="00BB7F9B"/>
    <w:rsid w:val="00BC0043"/>
    <w:rsid w:val="00BC005F"/>
    <w:rsid w:val="00BC015B"/>
    <w:rsid w:val="00BC01F0"/>
    <w:rsid w:val="00BC01FA"/>
    <w:rsid w:val="00BC05DC"/>
    <w:rsid w:val="00BC079C"/>
    <w:rsid w:val="00BC0801"/>
    <w:rsid w:val="00BC082F"/>
    <w:rsid w:val="00BC0AA6"/>
    <w:rsid w:val="00BC0C00"/>
    <w:rsid w:val="00BC0C01"/>
    <w:rsid w:val="00BC0E34"/>
    <w:rsid w:val="00BC0E6F"/>
    <w:rsid w:val="00BC0F0E"/>
    <w:rsid w:val="00BC1064"/>
    <w:rsid w:val="00BC1080"/>
    <w:rsid w:val="00BC10B8"/>
    <w:rsid w:val="00BC11C3"/>
    <w:rsid w:val="00BC1223"/>
    <w:rsid w:val="00BC1289"/>
    <w:rsid w:val="00BC164D"/>
    <w:rsid w:val="00BC1671"/>
    <w:rsid w:val="00BC16C6"/>
    <w:rsid w:val="00BC1746"/>
    <w:rsid w:val="00BC18BD"/>
    <w:rsid w:val="00BC1910"/>
    <w:rsid w:val="00BC192E"/>
    <w:rsid w:val="00BC196F"/>
    <w:rsid w:val="00BC1A65"/>
    <w:rsid w:val="00BC1A96"/>
    <w:rsid w:val="00BC1C34"/>
    <w:rsid w:val="00BC1C56"/>
    <w:rsid w:val="00BC1C75"/>
    <w:rsid w:val="00BC1D21"/>
    <w:rsid w:val="00BC1DCE"/>
    <w:rsid w:val="00BC1EBB"/>
    <w:rsid w:val="00BC20A1"/>
    <w:rsid w:val="00BC20EF"/>
    <w:rsid w:val="00BC239A"/>
    <w:rsid w:val="00BC24D2"/>
    <w:rsid w:val="00BC2526"/>
    <w:rsid w:val="00BC264D"/>
    <w:rsid w:val="00BC27B6"/>
    <w:rsid w:val="00BC2916"/>
    <w:rsid w:val="00BC292A"/>
    <w:rsid w:val="00BC297F"/>
    <w:rsid w:val="00BC2A57"/>
    <w:rsid w:val="00BC2AA3"/>
    <w:rsid w:val="00BC2C63"/>
    <w:rsid w:val="00BC2C8F"/>
    <w:rsid w:val="00BC2CA1"/>
    <w:rsid w:val="00BC2D93"/>
    <w:rsid w:val="00BC2E25"/>
    <w:rsid w:val="00BC2EBD"/>
    <w:rsid w:val="00BC2F07"/>
    <w:rsid w:val="00BC2FA4"/>
    <w:rsid w:val="00BC3149"/>
    <w:rsid w:val="00BC319F"/>
    <w:rsid w:val="00BC31E7"/>
    <w:rsid w:val="00BC324D"/>
    <w:rsid w:val="00BC325F"/>
    <w:rsid w:val="00BC3275"/>
    <w:rsid w:val="00BC3337"/>
    <w:rsid w:val="00BC3369"/>
    <w:rsid w:val="00BC3551"/>
    <w:rsid w:val="00BC35D3"/>
    <w:rsid w:val="00BC35E9"/>
    <w:rsid w:val="00BC375C"/>
    <w:rsid w:val="00BC3894"/>
    <w:rsid w:val="00BC3949"/>
    <w:rsid w:val="00BC39F6"/>
    <w:rsid w:val="00BC3AFB"/>
    <w:rsid w:val="00BC3B89"/>
    <w:rsid w:val="00BC3BB9"/>
    <w:rsid w:val="00BC3D0C"/>
    <w:rsid w:val="00BC3DE3"/>
    <w:rsid w:val="00BC3E19"/>
    <w:rsid w:val="00BC3E5A"/>
    <w:rsid w:val="00BC3EC3"/>
    <w:rsid w:val="00BC3EEC"/>
    <w:rsid w:val="00BC3EFD"/>
    <w:rsid w:val="00BC3FA8"/>
    <w:rsid w:val="00BC3FDD"/>
    <w:rsid w:val="00BC410A"/>
    <w:rsid w:val="00BC4125"/>
    <w:rsid w:val="00BC4147"/>
    <w:rsid w:val="00BC421C"/>
    <w:rsid w:val="00BC426D"/>
    <w:rsid w:val="00BC4274"/>
    <w:rsid w:val="00BC42D7"/>
    <w:rsid w:val="00BC4309"/>
    <w:rsid w:val="00BC4376"/>
    <w:rsid w:val="00BC442E"/>
    <w:rsid w:val="00BC4455"/>
    <w:rsid w:val="00BC44A7"/>
    <w:rsid w:val="00BC4549"/>
    <w:rsid w:val="00BC4624"/>
    <w:rsid w:val="00BC477C"/>
    <w:rsid w:val="00BC4833"/>
    <w:rsid w:val="00BC48A4"/>
    <w:rsid w:val="00BC496C"/>
    <w:rsid w:val="00BC4A7C"/>
    <w:rsid w:val="00BC4AA8"/>
    <w:rsid w:val="00BC4BA8"/>
    <w:rsid w:val="00BC4BB7"/>
    <w:rsid w:val="00BC4CBF"/>
    <w:rsid w:val="00BC4CF2"/>
    <w:rsid w:val="00BC4D69"/>
    <w:rsid w:val="00BC4DA5"/>
    <w:rsid w:val="00BC4EE0"/>
    <w:rsid w:val="00BC526B"/>
    <w:rsid w:val="00BC5299"/>
    <w:rsid w:val="00BC52AD"/>
    <w:rsid w:val="00BC556A"/>
    <w:rsid w:val="00BC56CB"/>
    <w:rsid w:val="00BC5951"/>
    <w:rsid w:val="00BC5983"/>
    <w:rsid w:val="00BC59A3"/>
    <w:rsid w:val="00BC59BD"/>
    <w:rsid w:val="00BC5A30"/>
    <w:rsid w:val="00BC5A6C"/>
    <w:rsid w:val="00BC5B60"/>
    <w:rsid w:val="00BC5C77"/>
    <w:rsid w:val="00BC5CCC"/>
    <w:rsid w:val="00BC5D71"/>
    <w:rsid w:val="00BC5E71"/>
    <w:rsid w:val="00BC5E73"/>
    <w:rsid w:val="00BC6017"/>
    <w:rsid w:val="00BC602B"/>
    <w:rsid w:val="00BC6047"/>
    <w:rsid w:val="00BC60BB"/>
    <w:rsid w:val="00BC60D5"/>
    <w:rsid w:val="00BC618D"/>
    <w:rsid w:val="00BC622C"/>
    <w:rsid w:val="00BC6233"/>
    <w:rsid w:val="00BC6258"/>
    <w:rsid w:val="00BC6264"/>
    <w:rsid w:val="00BC62D0"/>
    <w:rsid w:val="00BC62F8"/>
    <w:rsid w:val="00BC62FC"/>
    <w:rsid w:val="00BC631D"/>
    <w:rsid w:val="00BC63D7"/>
    <w:rsid w:val="00BC660D"/>
    <w:rsid w:val="00BC687D"/>
    <w:rsid w:val="00BC6916"/>
    <w:rsid w:val="00BC69A7"/>
    <w:rsid w:val="00BC6A05"/>
    <w:rsid w:val="00BC6A3A"/>
    <w:rsid w:val="00BC6A85"/>
    <w:rsid w:val="00BC6BF0"/>
    <w:rsid w:val="00BC6CBE"/>
    <w:rsid w:val="00BC6D34"/>
    <w:rsid w:val="00BC6DEB"/>
    <w:rsid w:val="00BC6E12"/>
    <w:rsid w:val="00BC6EBA"/>
    <w:rsid w:val="00BC6EF6"/>
    <w:rsid w:val="00BC6F5A"/>
    <w:rsid w:val="00BC6F9D"/>
    <w:rsid w:val="00BC6FB8"/>
    <w:rsid w:val="00BC71BB"/>
    <w:rsid w:val="00BC7253"/>
    <w:rsid w:val="00BC72DC"/>
    <w:rsid w:val="00BC7536"/>
    <w:rsid w:val="00BC77E9"/>
    <w:rsid w:val="00BC78F9"/>
    <w:rsid w:val="00BC7979"/>
    <w:rsid w:val="00BC7A09"/>
    <w:rsid w:val="00BC7A85"/>
    <w:rsid w:val="00BC7AA7"/>
    <w:rsid w:val="00BC7B13"/>
    <w:rsid w:val="00BC7C5E"/>
    <w:rsid w:val="00BC7CCB"/>
    <w:rsid w:val="00BC7D3B"/>
    <w:rsid w:val="00BC7D93"/>
    <w:rsid w:val="00BC7E94"/>
    <w:rsid w:val="00BC7F6B"/>
    <w:rsid w:val="00BD0011"/>
    <w:rsid w:val="00BD017B"/>
    <w:rsid w:val="00BD01D0"/>
    <w:rsid w:val="00BD021B"/>
    <w:rsid w:val="00BD0377"/>
    <w:rsid w:val="00BD049C"/>
    <w:rsid w:val="00BD0589"/>
    <w:rsid w:val="00BD0622"/>
    <w:rsid w:val="00BD071C"/>
    <w:rsid w:val="00BD0811"/>
    <w:rsid w:val="00BD09FC"/>
    <w:rsid w:val="00BD0A02"/>
    <w:rsid w:val="00BD0A22"/>
    <w:rsid w:val="00BD0A5D"/>
    <w:rsid w:val="00BD0AA3"/>
    <w:rsid w:val="00BD0AF8"/>
    <w:rsid w:val="00BD0C65"/>
    <w:rsid w:val="00BD0C68"/>
    <w:rsid w:val="00BD0CBB"/>
    <w:rsid w:val="00BD0D9C"/>
    <w:rsid w:val="00BD0DC0"/>
    <w:rsid w:val="00BD0E22"/>
    <w:rsid w:val="00BD0E40"/>
    <w:rsid w:val="00BD0FB9"/>
    <w:rsid w:val="00BD112B"/>
    <w:rsid w:val="00BD11F4"/>
    <w:rsid w:val="00BD13BB"/>
    <w:rsid w:val="00BD1432"/>
    <w:rsid w:val="00BD14CF"/>
    <w:rsid w:val="00BD14EE"/>
    <w:rsid w:val="00BD14FE"/>
    <w:rsid w:val="00BD1516"/>
    <w:rsid w:val="00BD15EE"/>
    <w:rsid w:val="00BD16F7"/>
    <w:rsid w:val="00BD1922"/>
    <w:rsid w:val="00BD1956"/>
    <w:rsid w:val="00BD19B5"/>
    <w:rsid w:val="00BD1A25"/>
    <w:rsid w:val="00BD1A7C"/>
    <w:rsid w:val="00BD1BC9"/>
    <w:rsid w:val="00BD1BD3"/>
    <w:rsid w:val="00BD1BFB"/>
    <w:rsid w:val="00BD1CA1"/>
    <w:rsid w:val="00BD1CAD"/>
    <w:rsid w:val="00BD206E"/>
    <w:rsid w:val="00BD20F5"/>
    <w:rsid w:val="00BD2214"/>
    <w:rsid w:val="00BD226D"/>
    <w:rsid w:val="00BD22A9"/>
    <w:rsid w:val="00BD22DB"/>
    <w:rsid w:val="00BD2337"/>
    <w:rsid w:val="00BD238D"/>
    <w:rsid w:val="00BD2404"/>
    <w:rsid w:val="00BD2604"/>
    <w:rsid w:val="00BD261E"/>
    <w:rsid w:val="00BD26DE"/>
    <w:rsid w:val="00BD276D"/>
    <w:rsid w:val="00BD27D7"/>
    <w:rsid w:val="00BD2802"/>
    <w:rsid w:val="00BD2B13"/>
    <w:rsid w:val="00BD2BF4"/>
    <w:rsid w:val="00BD2CA7"/>
    <w:rsid w:val="00BD2CEC"/>
    <w:rsid w:val="00BD2DE0"/>
    <w:rsid w:val="00BD2DEA"/>
    <w:rsid w:val="00BD2E21"/>
    <w:rsid w:val="00BD2EE0"/>
    <w:rsid w:val="00BD2EE2"/>
    <w:rsid w:val="00BD3133"/>
    <w:rsid w:val="00BD318A"/>
    <w:rsid w:val="00BD3322"/>
    <w:rsid w:val="00BD3424"/>
    <w:rsid w:val="00BD353B"/>
    <w:rsid w:val="00BD355F"/>
    <w:rsid w:val="00BD356D"/>
    <w:rsid w:val="00BD369C"/>
    <w:rsid w:val="00BD36D9"/>
    <w:rsid w:val="00BD3747"/>
    <w:rsid w:val="00BD375B"/>
    <w:rsid w:val="00BD3770"/>
    <w:rsid w:val="00BD37F7"/>
    <w:rsid w:val="00BD3819"/>
    <w:rsid w:val="00BD38DB"/>
    <w:rsid w:val="00BD3920"/>
    <w:rsid w:val="00BD3A0E"/>
    <w:rsid w:val="00BD3A3C"/>
    <w:rsid w:val="00BD3BE6"/>
    <w:rsid w:val="00BD3C18"/>
    <w:rsid w:val="00BD3D08"/>
    <w:rsid w:val="00BD3DAA"/>
    <w:rsid w:val="00BD3E02"/>
    <w:rsid w:val="00BD3E7B"/>
    <w:rsid w:val="00BD3EF4"/>
    <w:rsid w:val="00BD3FCF"/>
    <w:rsid w:val="00BD4006"/>
    <w:rsid w:val="00BD4027"/>
    <w:rsid w:val="00BD4067"/>
    <w:rsid w:val="00BD4074"/>
    <w:rsid w:val="00BD41BD"/>
    <w:rsid w:val="00BD427C"/>
    <w:rsid w:val="00BD4291"/>
    <w:rsid w:val="00BD4326"/>
    <w:rsid w:val="00BD43DA"/>
    <w:rsid w:val="00BD43E0"/>
    <w:rsid w:val="00BD43EA"/>
    <w:rsid w:val="00BD448E"/>
    <w:rsid w:val="00BD450C"/>
    <w:rsid w:val="00BD45C6"/>
    <w:rsid w:val="00BD4605"/>
    <w:rsid w:val="00BD4706"/>
    <w:rsid w:val="00BD480B"/>
    <w:rsid w:val="00BD486F"/>
    <w:rsid w:val="00BD48CD"/>
    <w:rsid w:val="00BD4911"/>
    <w:rsid w:val="00BD4A26"/>
    <w:rsid w:val="00BD4AF6"/>
    <w:rsid w:val="00BD4C53"/>
    <w:rsid w:val="00BD4D02"/>
    <w:rsid w:val="00BD4D32"/>
    <w:rsid w:val="00BD4E2A"/>
    <w:rsid w:val="00BD4E5F"/>
    <w:rsid w:val="00BD4E63"/>
    <w:rsid w:val="00BD4E6E"/>
    <w:rsid w:val="00BD4EA3"/>
    <w:rsid w:val="00BD4F62"/>
    <w:rsid w:val="00BD502E"/>
    <w:rsid w:val="00BD50D8"/>
    <w:rsid w:val="00BD52C1"/>
    <w:rsid w:val="00BD52C7"/>
    <w:rsid w:val="00BD52E2"/>
    <w:rsid w:val="00BD52EF"/>
    <w:rsid w:val="00BD532A"/>
    <w:rsid w:val="00BD533E"/>
    <w:rsid w:val="00BD5426"/>
    <w:rsid w:val="00BD5432"/>
    <w:rsid w:val="00BD5499"/>
    <w:rsid w:val="00BD55CE"/>
    <w:rsid w:val="00BD576D"/>
    <w:rsid w:val="00BD5783"/>
    <w:rsid w:val="00BD57CE"/>
    <w:rsid w:val="00BD5B8C"/>
    <w:rsid w:val="00BD5BF5"/>
    <w:rsid w:val="00BD5CE0"/>
    <w:rsid w:val="00BD5D4C"/>
    <w:rsid w:val="00BD5DBE"/>
    <w:rsid w:val="00BD5E00"/>
    <w:rsid w:val="00BD5FB2"/>
    <w:rsid w:val="00BD6028"/>
    <w:rsid w:val="00BD6089"/>
    <w:rsid w:val="00BD6163"/>
    <w:rsid w:val="00BD6185"/>
    <w:rsid w:val="00BD62AA"/>
    <w:rsid w:val="00BD632C"/>
    <w:rsid w:val="00BD6347"/>
    <w:rsid w:val="00BD637A"/>
    <w:rsid w:val="00BD639A"/>
    <w:rsid w:val="00BD63B7"/>
    <w:rsid w:val="00BD64A7"/>
    <w:rsid w:val="00BD65DC"/>
    <w:rsid w:val="00BD6677"/>
    <w:rsid w:val="00BD66DF"/>
    <w:rsid w:val="00BD66E7"/>
    <w:rsid w:val="00BD68C7"/>
    <w:rsid w:val="00BD690C"/>
    <w:rsid w:val="00BD697A"/>
    <w:rsid w:val="00BD69FC"/>
    <w:rsid w:val="00BD6AF0"/>
    <w:rsid w:val="00BD6BED"/>
    <w:rsid w:val="00BD6C2C"/>
    <w:rsid w:val="00BD6E92"/>
    <w:rsid w:val="00BD6EEB"/>
    <w:rsid w:val="00BD6EFF"/>
    <w:rsid w:val="00BD6F5A"/>
    <w:rsid w:val="00BD703C"/>
    <w:rsid w:val="00BD70D4"/>
    <w:rsid w:val="00BD7378"/>
    <w:rsid w:val="00BD7384"/>
    <w:rsid w:val="00BD74F5"/>
    <w:rsid w:val="00BD74F9"/>
    <w:rsid w:val="00BD7518"/>
    <w:rsid w:val="00BD75E3"/>
    <w:rsid w:val="00BD7612"/>
    <w:rsid w:val="00BD763B"/>
    <w:rsid w:val="00BD76A1"/>
    <w:rsid w:val="00BD76E9"/>
    <w:rsid w:val="00BD7730"/>
    <w:rsid w:val="00BD78EB"/>
    <w:rsid w:val="00BD7A52"/>
    <w:rsid w:val="00BD7AC5"/>
    <w:rsid w:val="00BD7B19"/>
    <w:rsid w:val="00BD7C68"/>
    <w:rsid w:val="00BD7D14"/>
    <w:rsid w:val="00BD7E7A"/>
    <w:rsid w:val="00BD7EE2"/>
    <w:rsid w:val="00BD7F39"/>
    <w:rsid w:val="00BD7F52"/>
    <w:rsid w:val="00BE0015"/>
    <w:rsid w:val="00BE005E"/>
    <w:rsid w:val="00BE0071"/>
    <w:rsid w:val="00BE00D8"/>
    <w:rsid w:val="00BE0122"/>
    <w:rsid w:val="00BE023C"/>
    <w:rsid w:val="00BE03F7"/>
    <w:rsid w:val="00BE0411"/>
    <w:rsid w:val="00BE04CD"/>
    <w:rsid w:val="00BE04D0"/>
    <w:rsid w:val="00BE054F"/>
    <w:rsid w:val="00BE06F7"/>
    <w:rsid w:val="00BE071D"/>
    <w:rsid w:val="00BE089B"/>
    <w:rsid w:val="00BE091B"/>
    <w:rsid w:val="00BE09B1"/>
    <w:rsid w:val="00BE0A10"/>
    <w:rsid w:val="00BE0B34"/>
    <w:rsid w:val="00BE0BE9"/>
    <w:rsid w:val="00BE0EA8"/>
    <w:rsid w:val="00BE0EB5"/>
    <w:rsid w:val="00BE0FAF"/>
    <w:rsid w:val="00BE0FE6"/>
    <w:rsid w:val="00BE1127"/>
    <w:rsid w:val="00BE11CA"/>
    <w:rsid w:val="00BE1205"/>
    <w:rsid w:val="00BE122F"/>
    <w:rsid w:val="00BE1257"/>
    <w:rsid w:val="00BE136B"/>
    <w:rsid w:val="00BE13A5"/>
    <w:rsid w:val="00BE147F"/>
    <w:rsid w:val="00BE15A2"/>
    <w:rsid w:val="00BE15EF"/>
    <w:rsid w:val="00BE1646"/>
    <w:rsid w:val="00BE17E1"/>
    <w:rsid w:val="00BE17E4"/>
    <w:rsid w:val="00BE18C4"/>
    <w:rsid w:val="00BE1902"/>
    <w:rsid w:val="00BE19DE"/>
    <w:rsid w:val="00BE1A7C"/>
    <w:rsid w:val="00BE1A96"/>
    <w:rsid w:val="00BE1CEA"/>
    <w:rsid w:val="00BE1DC1"/>
    <w:rsid w:val="00BE1E7E"/>
    <w:rsid w:val="00BE1F00"/>
    <w:rsid w:val="00BE1FCF"/>
    <w:rsid w:val="00BE1FD3"/>
    <w:rsid w:val="00BE2088"/>
    <w:rsid w:val="00BE2183"/>
    <w:rsid w:val="00BE2331"/>
    <w:rsid w:val="00BE252E"/>
    <w:rsid w:val="00BE2581"/>
    <w:rsid w:val="00BE26D3"/>
    <w:rsid w:val="00BE2771"/>
    <w:rsid w:val="00BE27ED"/>
    <w:rsid w:val="00BE2819"/>
    <w:rsid w:val="00BE28CD"/>
    <w:rsid w:val="00BE2900"/>
    <w:rsid w:val="00BE2933"/>
    <w:rsid w:val="00BE29E4"/>
    <w:rsid w:val="00BE2A19"/>
    <w:rsid w:val="00BE2C00"/>
    <w:rsid w:val="00BE2C22"/>
    <w:rsid w:val="00BE2E28"/>
    <w:rsid w:val="00BE2FF5"/>
    <w:rsid w:val="00BE3004"/>
    <w:rsid w:val="00BE3275"/>
    <w:rsid w:val="00BE32AF"/>
    <w:rsid w:val="00BE3422"/>
    <w:rsid w:val="00BE3430"/>
    <w:rsid w:val="00BE3547"/>
    <w:rsid w:val="00BE35F6"/>
    <w:rsid w:val="00BE3624"/>
    <w:rsid w:val="00BE36D2"/>
    <w:rsid w:val="00BE370F"/>
    <w:rsid w:val="00BE3740"/>
    <w:rsid w:val="00BE3772"/>
    <w:rsid w:val="00BE3873"/>
    <w:rsid w:val="00BE3A25"/>
    <w:rsid w:val="00BE3A64"/>
    <w:rsid w:val="00BE3AC4"/>
    <w:rsid w:val="00BE3B31"/>
    <w:rsid w:val="00BE3B83"/>
    <w:rsid w:val="00BE3C6D"/>
    <w:rsid w:val="00BE3C89"/>
    <w:rsid w:val="00BE3CF4"/>
    <w:rsid w:val="00BE3E47"/>
    <w:rsid w:val="00BE3EAC"/>
    <w:rsid w:val="00BE3ED6"/>
    <w:rsid w:val="00BE3EE2"/>
    <w:rsid w:val="00BE3F8F"/>
    <w:rsid w:val="00BE3FEF"/>
    <w:rsid w:val="00BE4015"/>
    <w:rsid w:val="00BE4116"/>
    <w:rsid w:val="00BE414D"/>
    <w:rsid w:val="00BE4373"/>
    <w:rsid w:val="00BE4431"/>
    <w:rsid w:val="00BE444F"/>
    <w:rsid w:val="00BE4452"/>
    <w:rsid w:val="00BE447A"/>
    <w:rsid w:val="00BE44B9"/>
    <w:rsid w:val="00BE44D0"/>
    <w:rsid w:val="00BE44F6"/>
    <w:rsid w:val="00BE4508"/>
    <w:rsid w:val="00BE45A6"/>
    <w:rsid w:val="00BE462B"/>
    <w:rsid w:val="00BE462F"/>
    <w:rsid w:val="00BE4752"/>
    <w:rsid w:val="00BE484B"/>
    <w:rsid w:val="00BE48DD"/>
    <w:rsid w:val="00BE4ADB"/>
    <w:rsid w:val="00BE4B88"/>
    <w:rsid w:val="00BE4D49"/>
    <w:rsid w:val="00BE4DDC"/>
    <w:rsid w:val="00BE4E39"/>
    <w:rsid w:val="00BE4F4E"/>
    <w:rsid w:val="00BE4F5D"/>
    <w:rsid w:val="00BE5098"/>
    <w:rsid w:val="00BE5133"/>
    <w:rsid w:val="00BE51AA"/>
    <w:rsid w:val="00BE532A"/>
    <w:rsid w:val="00BE53F7"/>
    <w:rsid w:val="00BE5486"/>
    <w:rsid w:val="00BE54E4"/>
    <w:rsid w:val="00BE55AE"/>
    <w:rsid w:val="00BE55CB"/>
    <w:rsid w:val="00BE5706"/>
    <w:rsid w:val="00BE5904"/>
    <w:rsid w:val="00BE592C"/>
    <w:rsid w:val="00BE599A"/>
    <w:rsid w:val="00BE59BD"/>
    <w:rsid w:val="00BE5A7A"/>
    <w:rsid w:val="00BE5A7E"/>
    <w:rsid w:val="00BE5B9B"/>
    <w:rsid w:val="00BE5D4C"/>
    <w:rsid w:val="00BE5D53"/>
    <w:rsid w:val="00BE5E0A"/>
    <w:rsid w:val="00BE5E44"/>
    <w:rsid w:val="00BE5E89"/>
    <w:rsid w:val="00BE5F2F"/>
    <w:rsid w:val="00BE60F1"/>
    <w:rsid w:val="00BE614F"/>
    <w:rsid w:val="00BE615F"/>
    <w:rsid w:val="00BE6252"/>
    <w:rsid w:val="00BE62DE"/>
    <w:rsid w:val="00BE648F"/>
    <w:rsid w:val="00BE6519"/>
    <w:rsid w:val="00BE6675"/>
    <w:rsid w:val="00BE674B"/>
    <w:rsid w:val="00BE68E3"/>
    <w:rsid w:val="00BE690D"/>
    <w:rsid w:val="00BE69B7"/>
    <w:rsid w:val="00BE69B8"/>
    <w:rsid w:val="00BE6ADC"/>
    <w:rsid w:val="00BE6B98"/>
    <w:rsid w:val="00BE6BC4"/>
    <w:rsid w:val="00BE6C5A"/>
    <w:rsid w:val="00BE6CD3"/>
    <w:rsid w:val="00BE6D74"/>
    <w:rsid w:val="00BE6FDD"/>
    <w:rsid w:val="00BE7000"/>
    <w:rsid w:val="00BE72EF"/>
    <w:rsid w:val="00BE7330"/>
    <w:rsid w:val="00BE74E1"/>
    <w:rsid w:val="00BE74E5"/>
    <w:rsid w:val="00BE7552"/>
    <w:rsid w:val="00BE75DA"/>
    <w:rsid w:val="00BE764F"/>
    <w:rsid w:val="00BE788C"/>
    <w:rsid w:val="00BE7916"/>
    <w:rsid w:val="00BE7937"/>
    <w:rsid w:val="00BE7949"/>
    <w:rsid w:val="00BE7999"/>
    <w:rsid w:val="00BE7A34"/>
    <w:rsid w:val="00BE7BB4"/>
    <w:rsid w:val="00BE7C27"/>
    <w:rsid w:val="00BE7CB6"/>
    <w:rsid w:val="00BE7EAE"/>
    <w:rsid w:val="00BF01C1"/>
    <w:rsid w:val="00BF02AC"/>
    <w:rsid w:val="00BF0472"/>
    <w:rsid w:val="00BF0583"/>
    <w:rsid w:val="00BF058E"/>
    <w:rsid w:val="00BF0616"/>
    <w:rsid w:val="00BF0749"/>
    <w:rsid w:val="00BF0839"/>
    <w:rsid w:val="00BF08FC"/>
    <w:rsid w:val="00BF0B56"/>
    <w:rsid w:val="00BF0B57"/>
    <w:rsid w:val="00BF0B6F"/>
    <w:rsid w:val="00BF0BB3"/>
    <w:rsid w:val="00BF0CB3"/>
    <w:rsid w:val="00BF0CB6"/>
    <w:rsid w:val="00BF0F61"/>
    <w:rsid w:val="00BF0F7C"/>
    <w:rsid w:val="00BF0FE5"/>
    <w:rsid w:val="00BF1005"/>
    <w:rsid w:val="00BF107F"/>
    <w:rsid w:val="00BF10BA"/>
    <w:rsid w:val="00BF10CB"/>
    <w:rsid w:val="00BF10ED"/>
    <w:rsid w:val="00BF1194"/>
    <w:rsid w:val="00BF12A4"/>
    <w:rsid w:val="00BF12B2"/>
    <w:rsid w:val="00BF12B3"/>
    <w:rsid w:val="00BF131B"/>
    <w:rsid w:val="00BF1477"/>
    <w:rsid w:val="00BF14B4"/>
    <w:rsid w:val="00BF152C"/>
    <w:rsid w:val="00BF15DF"/>
    <w:rsid w:val="00BF17CD"/>
    <w:rsid w:val="00BF18BF"/>
    <w:rsid w:val="00BF1967"/>
    <w:rsid w:val="00BF1AC0"/>
    <w:rsid w:val="00BF1B2B"/>
    <w:rsid w:val="00BF1C05"/>
    <w:rsid w:val="00BF1D37"/>
    <w:rsid w:val="00BF1E10"/>
    <w:rsid w:val="00BF1EBB"/>
    <w:rsid w:val="00BF1ED0"/>
    <w:rsid w:val="00BF2034"/>
    <w:rsid w:val="00BF2162"/>
    <w:rsid w:val="00BF22BA"/>
    <w:rsid w:val="00BF22D3"/>
    <w:rsid w:val="00BF2439"/>
    <w:rsid w:val="00BF24F1"/>
    <w:rsid w:val="00BF2687"/>
    <w:rsid w:val="00BF2704"/>
    <w:rsid w:val="00BF2797"/>
    <w:rsid w:val="00BF2799"/>
    <w:rsid w:val="00BF2820"/>
    <w:rsid w:val="00BF2833"/>
    <w:rsid w:val="00BF28A4"/>
    <w:rsid w:val="00BF2929"/>
    <w:rsid w:val="00BF299E"/>
    <w:rsid w:val="00BF2ABE"/>
    <w:rsid w:val="00BF2B2E"/>
    <w:rsid w:val="00BF2C22"/>
    <w:rsid w:val="00BF2C88"/>
    <w:rsid w:val="00BF2CC7"/>
    <w:rsid w:val="00BF2D2C"/>
    <w:rsid w:val="00BF2DA1"/>
    <w:rsid w:val="00BF2E63"/>
    <w:rsid w:val="00BF2E8E"/>
    <w:rsid w:val="00BF2FC9"/>
    <w:rsid w:val="00BF3011"/>
    <w:rsid w:val="00BF3045"/>
    <w:rsid w:val="00BF3104"/>
    <w:rsid w:val="00BF312B"/>
    <w:rsid w:val="00BF33E4"/>
    <w:rsid w:val="00BF33ED"/>
    <w:rsid w:val="00BF36D2"/>
    <w:rsid w:val="00BF37AC"/>
    <w:rsid w:val="00BF37D1"/>
    <w:rsid w:val="00BF37D8"/>
    <w:rsid w:val="00BF3888"/>
    <w:rsid w:val="00BF3A3B"/>
    <w:rsid w:val="00BF3A43"/>
    <w:rsid w:val="00BF3ABF"/>
    <w:rsid w:val="00BF3B08"/>
    <w:rsid w:val="00BF3B8B"/>
    <w:rsid w:val="00BF3BA0"/>
    <w:rsid w:val="00BF3BC2"/>
    <w:rsid w:val="00BF3C45"/>
    <w:rsid w:val="00BF3C7B"/>
    <w:rsid w:val="00BF3D0F"/>
    <w:rsid w:val="00BF3DBC"/>
    <w:rsid w:val="00BF4040"/>
    <w:rsid w:val="00BF4089"/>
    <w:rsid w:val="00BF40AA"/>
    <w:rsid w:val="00BF41FF"/>
    <w:rsid w:val="00BF4494"/>
    <w:rsid w:val="00BF4544"/>
    <w:rsid w:val="00BF4551"/>
    <w:rsid w:val="00BF47C7"/>
    <w:rsid w:val="00BF47C8"/>
    <w:rsid w:val="00BF47F8"/>
    <w:rsid w:val="00BF489E"/>
    <w:rsid w:val="00BF48CB"/>
    <w:rsid w:val="00BF490E"/>
    <w:rsid w:val="00BF49F5"/>
    <w:rsid w:val="00BF4A9C"/>
    <w:rsid w:val="00BF4AD6"/>
    <w:rsid w:val="00BF4ADD"/>
    <w:rsid w:val="00BF4AFD"/>
    <w:rsid w:val="00BF4C27"/>
    <w:rsid w:val="00BF4DEB"/>
    <w:rsid w:val="00BF4DF2"/>
    <w:rsid w:val="00BF4ED0"/>
    <w:rsid w:val="00BF4F1C"/>
    <w:rsid w:val="00BF5149"/>
    <w:rsid w:val="00BF5177"/>
    <w:rsid w:val="00BF5210"/>
    <w:rsid w:val="00BF53A3"/>
    <w:rsid w:val="00BF53BD"/>
    <w:rsid w:val="00BF5436"/>
    <w:rsid w:val="00BF550C"/>
    <w:rsid w:val="00BF550D"/>
    <w:rsid w:val="00BF55DF"/>
    <w:rsid w:val="00BF56F0"/>
    <w:rsid w:val="00BF5709"/>
    <w:rsid w:val="00BF5715"/>
    <w:rsid w:val="00BF5799"/>
    <w:rsid w:val="00BF57CA"/>
    <w:rsid w:val="00BF58C3"/>
    <w:rsid w:val="00BF59B5"/>
    <w:rsid w:val="00BF59D0"/>
    <w:rsid w:val="00BF5A29"/>
    <w:rsid w:val="00BF5A34"/>
    <w:rsid w:val="00BF5A5B"/>
    <w:rsid w:val="00BF5B46"/>
    <w:rsid w:val="00BF5BD4"/>
    <w:rsid w:val="00BF5BF7"/>
    <w:rsid w:val="00BF5C8C"/>
    <w:rsid w:val="00BF5D86"/>
    <w:rsid w:val="00BF5DEC"/>
    <w:rsid w:val="00BF5E1B"/>
    <w:rsid w:val="00BF5E23"/>
    <w:rsid w:val="00BF5F19"/>
    <w:rsid w:val="00BF5FA0"/>
    <w:rsid w:val="00BF6048"/>
    <w:rsid w:val="00BF60D3"/>
    <w:rsid w:val="00BF6175"/>
    <w:rsid w:val="00BF6429"/>
    <w:rsid w:val="00BF655F"/>
    <w:rsid w:val="00BF65E4"/>
    <w:rsid w:val="00BF6811"/>
    <w:rsid w:val="00BF6839"/>
    <w:rsid w:val="00BF6878"/>
    <w:rsid w:val="00BF691E"/>
    <w:rsid w:val="00BF695C"/>
    <w:rsid w:val="00BF6A0F"/>
    <w:rsid w:val="00BF6ACD"/>
    <w:rsid w:val="00BF6B75"/>
    <w:rsid w:val="00BF6C5E"/>
    <w:rsid w:val="00BF6D51"/>
    <w:rsid w:val="00BF6DFA"/>
    <w:rsid w:val="00BF6E25"/>
    <w:rsid w:val="00BF6E4C"/>
    <w:rsid w:val="00BF7099"/>
    <w:rsid w:val="00BF7311"/>
    <w:rsid w:val="00BF7354"/>
    <w:rsid w:val="00BF7436"/>
    <w:rsid w:val="00BF7492"/>
    <w:rsid w:val="00BF751A"/>
    <w:rsid w:val="00BF754C"/>
    <w:rsid w:val="00BF7565"/>
    <w:rsid w:val="00BF7636"/>
    <w:rsid w:val="00BF766B"/>
    <w:rsid w:val="00BF7725"/>
    <w:rsid w:val="00BF7817"/>
    <w:rsid w:val="00BF7826"/>
    <w:rsid w:val="00BF7872"/>
    <w:rsid w:val="00BF787A"/>
    <w:rsid w:val="00BF78FD"/>
    <w:rsid w:val="00BF7A35"/>
    <w:rsid w:val="00BF7A49"/>
    <w:rsid w:val="00BF7D0F"/>
    <w:rsid w:val="00BF7D7F"/>
    <w:rsid w:val="00BF7DF2"/>
    <w:rsid w:val="00BF7E63"/>
    <w:rsid w:val="00BF7EC3"/>
    <w:rsid w:val="00C0004E"/>
    <w:rsid w:val="00C00139"/>
    <w:rsid w:val="00C00276"/>
    <w:rsid w:val="00C003D4"/>
    <w:rsid w:val="00C00401"/>
    <w:rsid w:val="00C004C7"/>
    <w:rsid w:val="00C004D8"/>
    <w:rsid w:val="00C005E4"/>
    <w:rsid w:val="00C00681"/>
    <w:rsid w:val="00C0069E"/>
    <w:rsid w:val="00C006A6"/>
    <w:rsid w:val="00C00742"/>
    <w:rsid w:val="00C007B7"/>
    <w:rsid w:val="00C007F7"/>
    <w:rsid w:val="00C008AE"/>
    <w:rsid w:val="00C009FC"/>
    <w:rsid w:val="00C00A02"/>
    <w:rsid w:val="00C00A6C"/>
    <w:rsid w:val="00C00C17"/>
    <w:rsid w:val="00C00C55"/>
    <w:rsid w:val="00C00E6A"/>
    <w:rsid w:val="00C00E9C"/>
    <w:rsid w:val="00C00F34"/>
    <w:rsid w:val="00C0103B"/>
    <w:rsid w:val="00C0103C"/>
    <w:rsid w:val="00C01178"/>
    <w:rsid w:val="00C011FA"/>
    <w:rsid w:val="00C01282"/>
    <w:rsid w:val="00C0130F"/>
    <w:rsid w:val="00C013DF"/>
    <w:rsid w:val="00C013E5"/>
    <w:rsid w:val="00C014AD"/>
    <w:rsid w:val="00C01507"/>
    <w:rsid w:val="00C01618"/>
    <w:rsid w:val="00C01630"/>
    <w:rsid w:val="00C01684"/>
    <w:rsid w:val="00C0168E"/>
    <w:rsid w:val="00C016AE"/>
    <w:rsid w:val="00C016C8"/>
    <w:rsid w:val="00C017BE"/>
    <w:rsid w:val="00C0187C"/>
    <w:rsid w:val="00C01991"/>
    <w:rsid w:val="00C019B2"/>
    <w:rsid w:val="00C01A8E"/>
    <w:rsid w:val="00C01B31"/>
    <w:rsid w:val="00C01B59"/>
    <w:rsid w:val="00C01C95"/>
    <w:rsid w:val="00C01CA7"/>
    <w:rsid w:val="00C01D58"/>
    <w:rsid w:val="00C01E94"/>
    <w:rsid w:val="00C01F46"/>
    <w:rsid w:val="00C01F9D"/>
    <w:rsid w:val="00C01FFF"/>
    <w:rsid w:val="00C02083"/>
    <w:rsid w:val="00C020E8"/>
    <w:rsid w:val="00C0212B"/>
    <w:rsid w:val="00C02171"/>
    <w:rsid w:val="00C02231"/>
    <w:rsid w:val="00C0224F"/>
    <w:rsid w:val="00C02363"/>
    <w:rsid w:val="00C02371"/>
    <w:rsid w:val="00C023E8"/>
    <w:rsid w:val="00C02434"/>
    <w:rsid w:val="00C024D3"/>
    <w:rsid w:val="00C024F1"/>
    <w:rsid w:val="00C025B4"/>
    <w:rsid w:val="00C02650"/>
    <w:rsid w:val="00C02778"/>
    <w:rsid w:val="00C0283B"/>
    <w:rsid w:val="00C029EA"/>
    <w:rsid w:val="00C02BA0"/>
    <w:rsid w:val="00C02BB0"/>
    <w:rsid w:val="00C02BF2"/>
    <w:rsid w:val="00C02C69"/>
    <w:rsid w:val="00C02E10"/>
    <w:rsid w:val="00C02E50"/>
    <w:rsid w:val="00C02E63"/>
    <w:rsid w:val="00C02FF9"/>
    <w:rsid w:val="00C030AA"/>
    <w:rsid w:val="00C030CF"/>
    <w:rsid w:val="00C0310F"/>
    <w:rsid w:val="00C03218"/>
    <w:rsid w:val="00C03224"/>
    <w:rsid w:val="00C03320"/>
    <w:rsid w:val="00C034B9"/>
    <w:rsid w:val="00C0399F"/>
    <w:rsid w:val="00C03A55"/>
    <w:rsid w:val="00C03BAB"/>
    <w:rsid w:val="00C03BBA"/>
    <w:rsid w:val="00C03C39"/>
    <w:rsid w:val="00C03CEA"/>
    <w:rsid w:val="00C03D12"/>
    <w:rsid w:val="00C03E43"/>
    <w:rsid w:val="00C03E45"/>
    <w:rsid w:val="00C03F14"/>
    <w:rsid w:val="00C03F2F"/>
    <w:rsid w:val="00C03FF9"/>
    <w:rsid w:val="00C04184"/>
    <w:rsid w:val="00C0418C"/>
    <w:rsid w:val="00C041AB"/>
    <w:rsid w:val="00C04274"/>
    <w:rsid w:val="00C044DE"/>
    <w:rsid w:val="00C0460D"/>
    <w:rsid w:val="00C0465C"/>
    <w:rsid w:val="00C0471F"/>
    <w:rsid w:val="00C04728"/>
    <w:rsid w:val="00C0480C"/>
    <w:rsid w:val="00C0493E"/>
    <w:rsid w:val="00C049E8"/>
    <w:rsid w:val="00C04AB7"/>
    <w:rsid w:val="00C04B21"/>
    <w:rsid w:val="00C04BA3"/>
    <w:rsid w:val="00C04BB0"/>
    <w:rsid w:val="00C04CB9"/>
    <w:rsid w:val="00C04DEF"/>
    <w:rsid w:val="00C04EFD"/>
    <w:rsid w:val="00C04F00"/>
    <w:rsid w:val="00C04F60"/>
    <w:rsid w:val="00C04FBF"/>
    <w:rsid w:val="00C04FC8"/>
    <w:rsid w:val="00C04FFD"/>
    <w:rsid w:val="00C050C1"/>
    <w:rsid w:val="00C052E1"/>
    <w:rsid w:val="00C0531E"/>
    <w:rsid w:val="00C053E9"/>
    <w:rsid w:val="00C0545F"/>
    <w:rsid w:val="00C0566C"/>
    <w:rsid w:val="00C056AC"/>
    <w:rsid w:val="00C056E9"/>
    <w:rsid w:val="00C0578F"/>
    <w:rsid w:val="00C0589C"/>
    <w:rsid w:val="00C058FB"/>
    <w:rsid w:val="00C05913"/>
    <w:rsid w:val="00C0591C"/>
    <w:rsid w:val="00C059A3"/>
    <w:rsid w:val="00C059D9"/>
    <w:rsid w:val="00C05A11"/>
    <w:rsid w:val="00C05AE0"/>
    <w:rsid w:val="00C05B67"/>
    <w:rsid w:val="00C05D84"/>
    <w:rsid w:val="00C05EEB"/>
    <w:rsid w:val="00C05F3B"/>
    <w:rsid w:val="00C05F49"/>
    <w:rsid w:val="00C06003"/>
    <w:rsid w:val="00C06005"/>
    <w:rsid w:val="00C06200"/>
    <w:rsid w:val="00C06239"/>
    <w:rsid w:val="00C063AF"/>
    <w:rsid w:val="00C063B7"/>
    <w:rsid w:val="00C064B3"/>
    <w:rsid w:val="00C0650A"/>
    <w:rsid w:val="00C06573"/>
    <w:rsid w:val="00C0657C"/>
    <w:rsid w:val="00C066C6"/>
    <w:rsid w:val="00C06749"/>
    <w:rsid w:val="00C06989"/>
    <w:rsid w:val="00C0699B"/>
    <w:rsid w:val="00C069F6"/>
    <w:rsid w:val="00C06A1B"/>
    <w:rsid w:val="00C06A79"/>
    <w:rsid w:val="00C06C40"/>
    <w:rsid w:val="00C06CC4"/>
    <w:rsid w:val="00C06D04"/>
    <w:rsid w:val="00C06DEB"/>
    <w:rsid w:val="00C06E35"/>
    <w:rsid w:val="00C06EAD"/>
    <w:rsid w:val="00C06EE9"/>
    <w:rsid w:val="00C0707C"/>
    <w:rsid w:val="00C071D5"/>
    <w:rsid w:val="00C0730B"/>
    <w:rsid w:val="00C073A6"/>
    <w:rsid w:val="00C0749E"/>
    <w:rsid w:val="00C07503"/>
    <w:rsid w:val="00C0759C"/>
    <w:rsid w:val="00C076CE"/>
    <w:rsid w:val="00C07773"/>
    <w:rsid w:val="00C077EC"/>
    <w:rsid w:val="00C0783B"/>
    <w:rsid w:val="00C0783E"/>
    <w:rsid w:val="00C0788E"/>
    <w:rsid w:val="00C078D2"/>
    <w:rsid w:val="00C07A74"/>
    <w:rsid w:val="00C07AD8"/>
    <w:rsid w:val="00C07AF1"/>
    <w:rsid w:val="00C07B5E"/>
    <w:rsid w:val="00C07BFC"/>
    <w:rsid w:val="00C07D32"/>
    <w:rsid w:val="00C07DD3"/>
    <w:rsid w:val="00C07E78"/>
    <w:rsid w:val="00C07E98"/>
    <w:rsid w:val="00C07ED9"/>
    <w:rsid w:val="00C07EE6"/>
    <w:rsid w:val="00C07F3C"/>
    <w:rsid w:val="00C07FEF"/>
    <w:rsid w:val="00C10081"/>
    <w:rsid w:val="00C100C8"/>
    <w:rsid w:val="00C100D5"/>
    <w:rsid w:val="00C100EB"/>
    <w:rsid w:val="00C1014F"/>
    <w:rsid w:val="00C102C8"/>
    <w:rsid w:val="00C102D5"/>
    <w:rsid w:val="00C10333"/>
    <w:rsid w:val="00C1043B"/>
    <w:rsid w:val="00C105A9"/>
    <w:rsid w:val="00C10628"/>
    <w:rsid w:val="00C106E7"/>
    <w:rsid w:val="00C108CA"/>
    <w:rsid w:val="00C1095A"/>
    <w:rsid w:val="00C109CF"/>
    <w:rsid w:val="00C10A7C"/>
    <w:rsid w:val="00C10A7D"/>
    <w:rsid w:val="00C10B6B"/>
    <w:rsid w:val="00C10CCF"/>
    <w:rsid w:val="00C10DC4"/>
    <w:rsid w:val="00C10DDB"/>
    <w:rsid w:val="00C10DF8"/>
    <w:rsid w:val="00C1104E"/>
    <w:rsid w:val="00C11086"/>
    <w:rsid w:val="00C11166"/>
    <w:rsid w:val="00C11212"/>
    <w:rsid w:val="00C11232"/>
    <w:rsid w:val="00C11260"/>
    <w:rsid w:val="00C1138A"/>
    <w:rsid w:val="00C114D5"/>
    <w:rsid w:val="00C11559"/>
    <w:rsid w:val="00C1156D"/>
    <w:rsid w:val="00C1157C"/>
    <w:rsid w:val="00C115E2"/>
    <w:rsid w:val="00C11693"/>
    <w:rsid w:val="00C11806"/>
    <w:rsid w:val="00C11862"/>
    <w:rsid w:val="00C11A6F"/>
    <w:rsid w:val="00C11A9D"/>
    <w:rsid w:val="00C11AD9"/>
    <w:rsid w:val="00C11AEF"/>
    <w:rsid w:val="00C11AFC"/>
    <w:rsid w:val="00C11B9A"/>
    <w:rsid w:val="00C11CF8"/>
    <w:rsid w:val="00C11D1D"/>
    <w:rsid w:val="00C11F6A"/>
    <w:rsid w:val="00C12039"/>
    <w:rsid w:val="00C1204A"/>
    <w:rsid w:val="00C12053"/>
    <w:rsid w:val="00C12161"/>
    <w:rsid w:val="00C122C7"/>
    <w:rsid w:val="00C122D4"/>
    <w:rsid w:val="00C12345"/>
    <w:rsid w:val="00C1237D"/>
    <w:rsid w:val="00C1244A"/>
    <w:rsid w:val="00C12630"/>
    <w:rsid w:val="00C1268D"/>
    <w:rsid w:val="00C126BF"/>
    <w:rsid w:val="00C1271F"/>
    <w:rsid w:val="00C127E0"/>
    <w:rsid w:val="00C12852"/>
    <w:rsid w:val="00C12906"/>
    <w:rsid w:val="00C129AB"/>
    <w:rsid w:val="00C129D1"/>
    <w:rsid w:val="00C129ED"/>
    <w:rsid w:val="00C12A06"/>
    <w:rsid w:val="00C12A8D"/>
    <w:rsid w:val="00C12B0B"/>
    <w:rsid w:val="00C12B9D"/>
    <w:rsid w:val="00C12E76"/>
    <w:rsid w:val="00C12E82"/>
    <w:rsid w:val="00C12EEF"/>
    <w:rsid w:val="00C12F50"/>
    <w:rsid w:val="00C12F9B"/>
    <w:rsid w:val="00C13150"/>
    <w:rsid w:val="00C131FA"/>
    <w:rsid w:val="00C13267"/>
    <w:rsid w:val="00C132C9"/>
    <w:rsid w:val="00C1332C"/>
    <w:rsid w:val="00C13500"/>
    <w:rsid w:val="00C13637"/>
    <w:rsid w:val="00C13769"/>
    <w:rsid w:val="00C137EE"/>
    <w:rsid w:val="00C138BC"/>
    <w:rsid w:val="00C13906"/>
    <w:rsid w:val="00C13955"/>
    <w:rsid w:val="00C13969"/>
    <w:rsid w:val="00C13AD5"/>
    <w:rsid w:val="00C13B2E"/>
    <w:rsid w:val="00C13BC1"/>
    <w:rsid w:val="00C13BE8"/>
    <w:rsid w:val="00C13D7E"/>
    <w:rsid w:val="00C13DBF"/>
    <w:rsid w:val="00C13DF9"/>
    <w:rsid w:val="00C13E21"/>
    <w:rsid w:val="00C13F3E"/>
    <w:rsid w:val="00C141F3"/>
    <w:rsid w:val="00C14223"/>
    <w:rsid w:val="00C142AD"/>
    <w:rsid w:val="00C14462"/>
    <w:rsid w:val="00C1450F"/>
    <w:rsid w:val="00C14676"/>
    <w:rsid w:val="00C14751"/>
    <w:rsid w:val="00C1476C"/>
    <w:rsid w:val="00C14993"/>
    <w:rsid w:val="00C14A86"/>
    <w:rsid w:val="00C14ADC"/>
    <w:rsid w:val="00C14B32"/>
    <w:rsid w:val="00C14DB1"/>
    <w:rsid w:val="00C14DBA"/>
    <w:rsid w:val="00C14F26"/>
    <w:rsid w:val="00C14F9D"/>
    <w:rsid w:val="00C1505B"/>
    <w:rsid w:val="00C15105"/>
    <w:rsid w:val="00C15121"/>
    <w:rsid w:val="00C15134"/>
    <w:rsid w:val="00C1515D"/>
    <w:rsid w:val="00C151C0"/>
    <w:rsid w:val="00C151EE"/>
    <w:rsid w:val="00C1543B"/>
    <w:rsid w:val="00C1544C"/>
    <w:rsid w:val="00C154E2"/>
    <w:rsid w:val="00C15532"/>
    <w:rsid w:val="00C1569F"/>
    <w:rsid w:val="00C15715"/>
    <w:rsid w:val="00C15762"/>
    <w:rsid w:val="00C157AE"/>
    <w:rsid w:val="00C1584F"/>
    <w:rsid w:val="00C159A6"/>
    <w:rsid w:val="00C159BA"/>
    <w:rsid w:val="00C15A24"/>
    <w:rsid w:val="00C15AD7"/>
    <w:rsid w:val="00C15BBD"/>
    <w:rsid w:val="00C15BFF"/>
    <w:rsid w:val="00C15CA6"/>
    <w:rsid w:val="00C15D7C"/>
    <w:rsid w:val="00C15EED"/>
    <w:rsid w:val="00C15EFF"/>
    <w:rsid w:val="00C15FE8"/>
    <w:rsid w:val="00C16032"/>
    <w:rsid w:val="00C1613D"/>
    <w:rsid w:val="00C1614A"/>
    <w:rsid w:val="00C16179"/>
    <w:rsid w:val="00C1619C"/>
    <w:rsid w:val="00C161CD"/>
    <w:rsid w:val="00C163AA"/>
    <w:rsid w:val="00C163BF"/>
    <w:rsid w:val="00C1641D"/>
    <w:rsid w:val="00C1661C"/>
    <w:rsid w:val="00C166FF"/>
    <w:rsid w:val="00C167CE"/>
    <w:rsid w:val="00C168B2"/>
    <w:rsid w:val="00C168C8"/>
    <w:rsid w:val="00C168FB"/>
    <w:rsid w:val="00C16967"/>
    <w:rsid w:val="00C16975"/>
    <w:rsid w:val="00C169CE"/>
    <w:rsid w:val="00C16ADA"/>
    <w:rsid w:val="00C16B60"/>
    <w:rsid w:val="00C16B71"/>
    <w:rsid w:val="00C16C24"/>
    <w:rsid w:val="00C16CE5"/>
    <w:rsid w:val="00C16D71"/>
    <w:rsid w:val="00C16E20"/>
    <w:rsid w:val="00C16E3B"/>
    <w:rsid w:val="00C17303"/>
    <w:rsid w:val="00C1735B"/>
    <w:rsid w:val="00C17414"/>
    <w:rsid w:val="00C175EC"/>
    <w:rsid w:val="00C1761E"/>
    <w:rsid w:val="00C17786"/>
    <w:rsid w:val="00C178A8"/>
    <w:rsid w:val="00C178C3"/>
    <w:rsid w:val="00C1793E"/>
    <w:rsid w:val="00C17964"/>
    <w:rsid w:val="00C179A3"/>
    <w:rsid w:val="00C179CB"/>
    <w:rsid w:val="00C17AE5"/>
    <w:rsid w:val="00C17B27"/>
    <w:rsid w:val="00C17BAD"/>
    <w:rsid w:val="00C17C47"/>
    <w:rsid w:val="00C17C9F"/>
    <w:rsid w:val="00C17CAC"/>
    <w:rsid w:val="00C17E35"/>
    <w:rsid w:val="00C17E9B"/>
    <w:rsid w:val="00C17F68"/>
    <w:rsid w:val="00C17FF6"/>
    <w:rsid w:val="00C20014"/>
    <w:rsid w:val="00C200A9"/>
    <w:rsid w:val="00C201AB"/>
    <w:rsid w:val="00C2034F"/>
    <w:rsid w:val="00C20351"/>
    <w:rsid w:val="00C20368"/>
    <w:rsid w:val="00C20407"/>
    <w:rsid w:val="00C2040D"/>
    <w:rsid w:val="00C2047A"/>
    <w:rsid w:val="00C20769"/>
    <w:rsid w:val="00C207EA"/>
    <w:rsid w:val="00C2081E"/>
    <w:rsid w:val="00C2085E"/>
    <w:rsid w:val="00C20872"/>
    <w:rsid w:val="00C2091F"/>
    <w:rsid w:val="00C20941"/>
    <w:rsid w:val="00C20984"/>
    <w:rsid w:val="00C209E6"/>
    <w:rsid w:val="00C20A2D"/>
    <w:rsid w:val="00C20A52"/>
    <w:rsid w:val="00C20AEA"/>
    <w:rsid w:val="00C20B71"/>
    <w:rsid w:val="00C20BD7"/>
    <w:rsid w:val="00C20C64"/>
    <w:rsid w:val="00C20D98"/>
    <w:rsid w:val="00C20DFE"/>
    <w:rsid w:val="00C20F31"/>
    <w:rsid w:val="00C20F70"/>
    <w:rsid w:val="00C20FB4"/>
    <w:rsid w:val="00C21201"/>
    <w:rsid w:val="00C21461"/>
    <w:rsid w:val="00C21555"/>
    <w:rsid w:val="00C2179C"/>
    <w:rsid w:val="00C218EC"/>
    <w:rsid w:val="00C218FC"/>
    <w:rsid w:val="00C219DF"/>
    <w:rsid w:val="00C21A7A"/>
    <w:rsid w:val="00C21AB0"/>
    <w:rsid w:val="00C21AE8"/>
    <w:rsid w:val="00C21B9E"/>
    <w:rsid w:val="00C21BB9"/>
    <w:rsid w:val="00C21C3A"/>
    <w:rsid w:val="00C21C89"/>
    <w:rsid w:val="00C21CB2"/>
    <w:rsid w:val="00C21F67"/>
    <w:rsid w:val="00C2202A"/>
    <w:rsid w:val="00C22124"/>
    <w:rsid w:val="00C22168"/>
    <w:rsid w:val="00C222BA"/>
    <w:rsid w:val="00C22310"/>
    <w:rsid w:val="00C22324"/>
    <w:rsid w:val="00C223C5"/>
    <w:rsid w:val="00C223FB"/>
    <w:rsid w:val="00C2247C"/>
    <w:rsid w:val="00C22572"/>
    <w:rsid w:val="00C22661"/>
    <w:rsid w:val="00C22711"/>
    <w:rsid w:val="00C228CF"/>
    <w:rsid w:val="00C2298D"/>
    <w:rsid w:val="00C229BE"/>
    <w:rsid w:val="00C22A42"/>
    <w:rsid w:val="00C22BAC"/>
    <w:rsid w:val="00C22C3C"/>
    <w:rsid w:val="00C22D90"/>
    <w:rsid w:val="00C22DF4"/>
    <w:rsid w:val="00C22EED"/>
    <w:rsid w:val="00C22F84"/>
    <w:rsid w:val="00C22FB2"/>
    <w:rsid w:val="00C231A2"/>
    <w:rsid w:val="00C232BF"/>
    <w:rsid w:val="00C232D4"/>
    <w:rsid w:val="00C2355C"/>
    <w:rsid w:val="00C235AA"/>
    <w:rsid w:val="00C23615"/>
    <w:rsid w:val="00C23633"/>
    <w:rsid w:val="00C23668"/>
    <w:rsid w:val="00C23719"/>
    <w:rsid w:val="00C23785"/>
    <w:rsid w:val="00C238A7"/>
    <w:rsid w:val="00C239E1"/>
    <w:rsid w:val="00C23B2E"/>
    <w:rsid w:val="00C23CF6"/>
    <w:rsid w:val="00C23D41"/>
    <w:rsid w:val="00C23DB7"/>
    <w:rsid w:val="00C23DF4"/>
    <w:rsid w:val="00C23E05"/>
    <w:rsid w:val="00C23EF3"/>
    <w:rsid w:val="00C23F08"/>
    <w:rsid w:val="00C24032"/>
    <w:rsid w:val="00C24084"/>
    <w:rsid w:val="00C2408A"/>
    <w:rsid w:val="00C240B3"/>
    <w:rsid w:val="00C240B9"/>
    <w:rsid w:val="00C240CE"/>
    <w:rsid w:val="00C240F4"/>
    <w:rsid w:val="00C24163"/>
    <w:rsid w:val="00C241D7"/>
    <w:rsid w:val="00C24207"/>
    <w:rsid w:val="00C24275"/>
    <w:rsid w:val="00C2428E"/>
    <w:rsid w:val="00C2434E"/>
    <w:rsid w:val="00C24421"/>
    <w:rsid w:val="00C2467A"/>
    <w:rsid w:val="00C246E7"/>
    <w:rsid w:val="00C2473D"/>
    <w:rsid w:val="00C2483F"/>
    <w:rsid w:val="00C24845"/>
    <w:rsid w:val="00C249BC"/>
    <w:rsid w:val="00C24A1C"/>
    <w:rsid w:val="00C24AF6"/>
    <w:rsid w:val="00C24B40"/>
    <w:rsid w:val="00C24D23"/>
    <w:rsid w:val="00C24D86"/>
    <w:rsid w:val="00C24E15"/>
    <w:rsid w:val="00C24F5B"/>
    <w:rsid w:val="00C24FD8"/>
    <w:rsid w:val="00C24FFD"/>
    <w:rsid w:val="00C2509E"/>
    <w:rsid w:val="00C250C1"/>
    <w:rsid w:val="00C250D1"/>
    <w:rsid w:val="00C25195"/>
    <w:rsid w:val="00C251EC"/>
    <w:rsid w:val="00C25243"/>
    <w:rsid w:val="00C252CA"/>
    <w:rsid w:val="00C2539A"/>
    <w:rsid w:val="00C253B5"/>
    <w:rsid w:val="00C25742"/>
    <w:rsid w:val="00C2574D"/>
    <w:rsid w:val="00C257AD"/>
    <w:rsid w:val="00C25867"/>
    <w:rsid w:val="00C259B4"/>
    <w:rsid w:val="00C25B33"/>
    <w:rsid w:val="00C25B63"/>
    <w:rsid w:val="00C25BE2"/>
    <w:rsid w:val="00C25CC1"/>
    <w:rsid w:val="00C25D24"/>
    <w:rsid w:val="00C26228"/>
    <w:rsid w:val="00C2631F"/>
    <w:rsid w:val="00C2636F"/>
    <w:rsid w:val="00C263F4"/>
    <w:rsid w:val="00C26444"/>
    <w:rsid w:val="00C26527"/>
    <w:rsid w:val="00C265B5"/>
    <w:rsid w:val="00C265C1"/>
    <w:rsid w:val="00C267A5"/>
    <w:rsid w:val="00C267F0"/>
    <w:rsid w:val="00C267F3"/>
    <w:rsid w:val="00C26810"/>
    <w:rsid w:val="00C26979"/>
    <w:rsid w:val="00C26A11"/>
    <w:rsid w:val="00C26B6B"/>
    <w:rsid w:val="00C26B9C"/>
    <w:rsid w:val="00C26CF8"/>
    <w:rsid w:val="00C27065"/>
    <w:rsid w:val="00C270D3"/>
    <w:rsid w:val="00C27176"/>
    <w:rsid w:val="00C27178"/>
    <w:rsid w:val="00C271CD"/>
    <w:rsid w:val="00C27212"/>
    <w:rsid w:val="00C27271"/>
    <w:rsid w:val="00C27322"/>
    <w:rsid w:val="00C27431"/>
    <w:rsid w:val="00C276EE"/>
    <w:rsid w:val="00C2775D"/>
    <w:rsid w:val="00C27788"/>
    <w:rsid w:val="00C27794"/>
    <w:rsid w:val="00C277FD"/>
    <w:rsid w:val="00C2780C"/>
    <w:rsid w:val="00C278FA"/>
    <w:rsid w:val="00C278FF"/>
    <w:rsid w:val="00C27923"/>
    <w:rsid w:val="00C279C7"/>
    <w:rsid w:val="00C27A0D"/>
    <w:rsid w:val="00C27B45"/>
    <w:rsid w:val="00C27C8F"/>
    <w:rsid w:val="00C27D3A"/>
    <w:rsid w:val="00C27DB2"/>
    <w:rsid w:val="00C27E3C"/>
    <w:rsid w:val="00C27EA7"/>
    <w:rsid w:val="00C27EF7"/>
    <w:rsid w:val="00C27F04"/>
    <w:rsid w:val="00C27F37"/>
    <w:rsid w:val="00C27F4D"/>
    <w:rsid w:val="00C300DC"/>
    <w:rsid w:val="00C300EB"/>
    <w:rsid w:val="00C3021D"/>
    <w:rsid w:val="00C30337"/>
    <w:rsid w:val="00C3037D"/>
    <w:rsid w:val="00C304C4"/>
    <w:rsid w:val="00C304FC"/>
    <w:rsid w:val="00C3067D"/>
    <w:rsid w:val="00C30699"/>
    <w:rsid w:val="00C30804"/>
    <w:rsid w:val="00C30863"/>
    <w:rsid w:val="00C3092B"/>
    <w:rsid w:val="00C30938"/>
    <w:rsid w:val="00C3093C"/>
    <w:rsid w:val="00C30A1E"/>
    <w:rsid w:val="00C30A8E"/>
    <w:rsid w:val="00C30AF5"/>
    <w:rsid w:val="00C30C0E"/>
    <w:rsid w:val="00C30DA1"/>
    <w:rsid w:val="00C30DAD"/>
    <w:rsid w:val="00C30F69"/>
    <w:rsid w:val="00C30F93"/>
    <w:rsid w:val="00C3122F"/>
    <w:rsid w:val="00C314C6"/>
    <w:rsid w:val="00C314E4"/>
    <w:rsid w:val="00C31626"/>
    <w:rsid w:val="00C31686"/>
    <w:rsid w:val="00C3169F"/>
    <w:rsid w:val="00C3172C"/>
    <w:rsid w:val="00C317DF"/>
    <w:rsid w:val="00C31854"/>
    <w:rsid w:val="00C318F4"/>
    <w:rsid w:val="00C31A2E"/>
    <w:rsid w:val="00C31A97"/>
    <w:rsid w:val="00C31A9B"/>
    <w:rsid w:val="00C31A9F"/>
    <w:rsid w:val="00C31C53"/>
    <w:rsid w:val="00C31C95"/>
    <w:rsid w:val="00C31CD6"/>
    <w:rsid w:val="00C31D9D"/>
    <w:rsid w:val="00C31DCF"/>
    <w:rsid w:val="00C31E61"/>
    <w:rsid w:val="00C31F09"/>
    <w:rsid w:val="00C31F38"/>
    <w:rsid w:val="00C31F9F"/>
    <w:rsid w:val="00C31FA5"/>
    <w:rsid w:val="00C31FCC"/>
    <w:rsid w:val="00C31FD0"/>
    <w:rsid w:val="00C3203E"/>
    <w:rsid w:val="00C3204E"/>
    <w:rsid w:val="00C3220A"/>
    <w:rsid w:val="00C32279"/>
    <w:rsid w:val="00C322A5"/>
    <w:rsid w:val="00C322F7"/>
    <w:rsid w:val="00C323F1"/>
    <w:rsid w:val="00C32425"/>
    <w:rsid w:val="00C32481"/>
    <w:rsid w:val="00C324E6"/>
    <w:rsid w:val="00C32541"/>
    <w:rsid w:val="00C325D6"/>
    <w:rsid w:val="00C32692"/>
    <w:rsid w:val="00C32753"/>
    <w:rsid w:val="00C327A0"/>
    <w:rsid w:val="00C327A4"/>
    <w:rsid w:val="00C327AD"/>
    <w:rsid w:val="00C328EE"/>
    <w:rsid w:val="00C32946"/>
    <w:rsid w:val="00C3296D"/>
    <w:rsid w:val="00C329E9"/>
    <w:rsid w:val="00C32A3A"/>
    <w:rsid w:val="00C32A56"/>
    <w:rsid w:val="00C32B45"/>
    <w:rsid w:val="00C32B86"/>
    <w:rsid w:val="00C32BDB"/>
    <w:rsid w:val="00C32C1F"/>
    <w:rsid w:val="00C32C8C"/>
    <w:rsid w:val="00C32D58"/>
    <w:rsid w:val="00C32D63"/>
    <w:rsid w:val="00C32D90"/>
    <w:rsid w:val="00C32FC5"/>
    <w:rsid w:val="00C32FEE"/>
    <w:rsid w:val="00C32FF0"/>
    <w:rsid w:val="00C330A4"/>
    <w:rsid w:val="00C3311C"/>
    <w:rsid w:val="00C33151"/>
    <w:rsid w:val="00C332A5"/>
    <w:rsid w:val="00C33317"/>
    <w:rsid w:val="00C3332C"/>
    <w:rsid w:val="00C3333F"/>
    <w:rsid w:val="00C333E8"/>
    <w:rsid w:val="00C33487"/>
    <w:rsid w:val="00C334A4"/>
    <w:rsid w:val="00C33646"/>
    <w:rsid w:val="00C336DD"/>
    <w:rsid w:val="00C33717"/>
    <w:rsid w:val="00C33762"/>
    <w:rsid w:val="00C337C5"/>
    <w:rsid w:val="00C3382D"/>
    <w:rsid w:val="00C338E9"/>
    <w:rsid w:val="00C33943"/>
    <w:rsid w:val="00C339B9"/>
    <w:rsid w:val="00C339E9"/>
    <w:rsid w:val="00C33A4E"/>
    <w:rsid w:val="00C33BCE"/>
    <w:rsid w:val="00C33BEF"/>
    <w:rsid w:val="00C33C49"/>
    <w:rsid w:val="00C33C82"/>
    <w:rsid w:val="00C33D97"/>
    <w:rsid w:val="00C33DE5"/>
    <w:rsid w:val="00C33F11"/>
    <w:rsid w:val="00C33FA2"/>
    <w:rsid w:val="00C340B3"/>
    <w:rsid w:val="00C340E2"/>
    <w:rsid w:val="00C343CF"/>
    <w:rsid w:val="00C34489"/>
    <w:rsid w:val="00C3451E"/>
    <w:rsid w:val="00C346C0"/>
    <w:rsid w:val="00C346CE"/>
    <w:rsid w:val="00C346F1"/>
    <w:rsid w:val="00C346F9"/>
    <w:rsid w:val="00C3478A"/>
    <w:rsid w:val="00C3483F"/>
    <w:rsid w:val="00C34977"/>
    <w:rsid w:val="00C34AC2"/>
    <w:rsid w:val="00C34B1E"/>
    <w:rsid w:val="00C34D00"/>
    <w:rsid w:val="00C34D2C"/>
    <w:rsid w:val="00C34E45"/>
    <w:rsid w:val="00C34F44"/>
    <w:rsid w:val="00C35056"/>
    <w:rsid w:val="00C35193"/>
    <w:rsid w:val="00C35254"/>
    <w:rsid w:val="00C35297"/>
    <w:rsid w:val="00C352BC"/>
    <w:rsid w:val="00C35320"/>
    <w:rsid w:val="00C35324"/>
    <w:rsid w:val="00C3538D"/>
    <w:rsid w:val="00C353F8"/>
    <w:rsid w:val="00C3544B"/>
    <w:rsid w:val="00C35526"/>
    <w:rsid w:val="00C35729"/>
    <w:rsid w:val="00C357B6"/>
    <w:rsid w:val="00C358B9"/>
    <w:rsid w:val="00C35978"/>
    <w:rsid w:val="00C359F2"/>
    <w:rsid w:val="00C35A19"/>
    <w:rsid w:val="00C35C87"/>
    <w:rsid w:val="00C35DF6"/>
    <w:rsid w:val="00C35EA6"/>
    <w:rsid w:val="00C35EBD"/>
    <w:rsid w:val="00C35FEB"/>
    <w:rsid w:val="00C361C3"/>
    <w:rsid w:val="00C3629B"/>
    <w:rsid w:val="00C362F4"/>
    <w:rsid w:val="00C36362"/>
    <w:rsid w:val="00C3646B"/>
    <w:rsid w:val="00C36487"/>
    <w:rsid w:val="00C36552"/>
    <w:rsid w:val="00C365E3"/>
    <w:rsid w:val="00C366F7"/>
    <w:rsid w:val="00C36763"/>
    <w:rsid w:val="00C36798"/>
    <w:rsid w:val="00C3680B"/>
    <w:rsid w:val="00C36822"/>
    <w:rsid w:val="00C36829"/>
    <w:rsid w:val="00C36872"/>
    <w:rsid w:val="00C36916"/>
    <w:rsid w:val="00C36944"/>
    <w:rsid w:val="00C369E0"/>
    <w:rsid w:val="00C36B05"/>
    <w:rsid w:val="00C36B2A"/>
    <w:rsid w:val="00C36C1E"/>
    <w:rsid w:val="00C36C98"/>
    <w:rsid w:val="00C36CA3"/>
    <w:rsid w:val="00C36D0B"/>
    <w:rsid w:val="00C36DD9"/>
    <w:rsid w:val="00C36E64"/>
    <w:rsid w:val="00C36EFE"/>
    <w:rsid w:val="00C36FBC"/>
    <w:rsid w:val="00C36FF1"/>
    <w:rsid w:val="00C3707D"/>
    <w:rsid w:val="00C37148"/>
    <w:rsid w:val="00C371DB"/>
    <w:rsid w:val="00C372D7"/>
    <w:rsid w:val="00C37316"/>
    <w:rsid w:val="00C374B0"/>
    <w:rsid w:val="00C37596"/>
    <w:rsid w:val="00C37605"/>
    <w:rsid w:val="00C3767A"/>
    <w:rsid w:val="00C37798"/>
    <w:rsid w:val="00C379B7"/>
    <w:rsid w:val="00C379E5"/>
    <w:rsid w:val="00C37B4B"/>
    <w:rsid w:val="00C37C11"/>
    <w:rsid w:val="00C37C19"/>
    <w:rsid w:val="00C37D31"/>
    <w:rsid w:val="00C37D69"/>
    <w:rsid w:val="00C37F2B"/>
    <w:rsid w:val="00C4000A"/>
    <w:rsid w:val="00C40042"/>
    <w:rsid w:val="00C40085"/>
    <w:rsid w:val="00C400B8"/>
    <w:rsid w:val="00C400EC"/>
    <w:rsid w:val="00C4013C"/>
    <w:rsid w:val="00C401B1"/>
    <w:rsid w:val="00C40235"/>
    <w:rsid w:val="00C40306"/>
    <w:rsid w:val="00C403A9"/>
    <w:rsid w:val="00C403CB"/>
    <w:rsid w:val="00C4060C"/>
    <w:rsid w:val="00C40627"/>
    <w:rsid w:val="00C406DC"/>
    <w:rsid w:val="00C40713"/>
    <w:rsid w:val="00C40811"/>
    <w:rsid w:val="00C40843"/>
    <w:rsid w:val="00C40870"/>
    <w:rsid w:val="00C40933"/>
    <w:rsid w:val="00C40A06"/>
    <w:rsid w:val="00C40A2E"/>
    <w:rsid w:val="00C40A31"/>
    <w:rsid w:val="00C40C38"/>
    <w:rsid w:val="00C40E6D"/>
    <w:rsid w:val="00C41045"/>
    <w:rsid w:val="00C4117E"/>
    <w:rsid w:val="00C41274"/>
    <w:rsid w:val="00C413AE"/>
    <w:rsid w:val="00C413C0"/>
    <w:rsid w:val="00C413C4"/>
    <w:rsid w:val="00C413D1"/>
    <w:rsid w:val="00C41423"/>
    <w:rsid w:val="00C41485"/>
    <w:rsid w:val="00C414BA"/>
    <w:rsid w:val="00C414C2"/>
    <w:rsid w:val="00C415C1"/>
    <w:rsid w:val="00C416C1"/>
    <w:rsid w:val="00C4189E"/>
    <w:rsid w:val="00C418B8"/>
    <w:rsid w:val="00C41912"/>
    <w:rsid w:val="00C419C5"/>
    <w:rsid w:val="00C419DD"/>
    <w:rsid w:val="00C419DF"/>
    <w:rsid w:val="00C41A42"/>
    <w:rsid w:val="00C41B38"/>
    <w:rsid w:val="00C41B97"/>
    <w:rsid w:val="00C41B98"/>
    <w:rsid w:val="00C41C51"/>
    <w:rsid w:val="00C41E3F"/>
    <w:rsid w:val="00C41E91"/>
    <w:rsid w:val="00C41EE0"/>
    <w:rsid w:val="00C41EFF"/>
    <w:rsid w:val="00C41F6C"/>
    <w:rsid w:val="00C420F3"/>
    <w:rsid w:val="00C420FA"/>
    <w:rsid w:val="00C421A1"/>
    <w:rsid w:val="00C4221C"/>
    <w:rsid w:val="00C422AE"/>
    <w:rsid w:val="00C42349"/>
    <w:rsid w:val="00C42399"/>
    <w:rsid w:val="00C42837"/>
    <w:rsid w:val="00C4295C"/>
    <w:rsid w:val="00C429C2"/>
    <w:rsid w:val="00C42A33"/>
    <w:rsid w:val="00C42CBD"/>
    <w:rsid w:val="00C42D36"/>
    <w:rsid w:val="00C42D67"/>
    <w:rsid w:val="00C42DA7"/>
    <w:rsid w:val="00C42E05"/>
    <w:rsid w:val="00C42E0D"/>
    <w:rsid w:val="00C42F34"/>
    <w:rsid w:val="00C42F3A"/>
    <w:rsid w:val="00C42F87"/>
    <w:rsid w:val="00C42F97"/>
    <w:rsid w:val="00C43081"/>
    <w:rsid w:val="00C430A4"/>
    <w:rsid w:val="00C430DB"/>
    <w:rsid w:val="00C430E8"/>
    <w:rsid w:val="00C430FC"/>
    <w:rsid w:val="00C431E9"/>
    <w:rsid w:val="00C43213"/>
    <w:rsid w:val="00C43292"/>
    <w:rsid w:val="00C432B0"/>
    <w:rsid w:val="00C43364"/>
    <w:rsid w:val="00C43427"/>
    <w:rsid w:val="00C43481"/>
    <w:rsid w:val="00C434F9"/>
    <w:rsid w:val="00C43733"/>
    <w:rsid w:val="00C43763"/>
    <w:rsid w:val="00C43829"/>
    <w:rsid w:val="00C43A27"/>
    <w:rsid w:val="00C43ABA"/>
    <w:rsid w:val="00C43B40"/>
    <w:rsid w:val="00C43BCD"/>
    <w:rsid w:val="00C43D75"/>
    <w:rsid w:val="00C43D88"/>
    <w:rsid w:val="00C43E24"/>
    <w:rsid w:val="00C43EB9"/>
    <w:rsid w:val="00C43F44"/>
    <w:rsid w:val="00C43FA5"/>
    <w:rsid w:val="00C43FD6"/>
    <w:rsid w:val="00C43FED"/>
    <w:rsid w:val="00C44034"/>
    <w:rsid w:val="00C44104"/>
    <w:rsid w:val="00C441E6"/>
    <w:rsid w:val="00C442F2"/>
    <w:rsid w:val="00C44300"/>
    <w:rsid w:val="00C443AD"/>
    <w:rsid w:val="00C443B1"/>
    <w:rsid w:val="00C44446"/>
    <w:rsid w:val="00C4445C"/>
    <w:rsid w:val="00C444E6"/>
    <w:rsid w:val="00C4458B"/>
    <w:rsid w:val="00C44886"/>
    <w:rsid w:val="00C448B4"/>
    <w:rsid w:val="00C449BF"/>
    <w:rsid w:val="00C449D6"/>
    <w:rsid w:val="00C449DA"/>
    <w:rsid w:val="00C449FA"/>
    <w:rsid w:val="00C44C8E"/>
    <w:rsid w:val="00C44C9D"/>
    <w:rsid w:val="00C44CA8"/>
    <w:rsid w:val="00C44CD0"/>
    <w:rsid w:val="00C44CED"/>
    <w:rsid w:val="00C44D6E"/>
    <w:rsid w:val="00C44DED"/>
    <w:rsid w:val="00C44ED3"/>
    <w:rsid w:val="00C4501B"/>
    <w:rsid w:val="00C4507F"/>
    <w:rsid w:val="00C451AC"/>
    <w:rsid w:val="00C451EB"/>
    <w:rsid w:val="00C45234"/>
    <w:rsid w:val="00C452D5"/>
    <w:rsid w:val="00C45375"/>
    <w:rsid w:val="00C45405"/>
    <w:rsid w:val="00C4541E"/>
    <w:rsid w:val="00C45484"/>
    <w:rsid w:val="00C454D6"/>
    <w:rsid w:val="00C454EB"/>
    <w:rsid w:val="00C4550B"/>
    <w:rsid w:val="00C4569F"/>
    <w:rsid w:val="00C4571E"/>
    <w:rsid w:val="00C4574A"/>
    <w:rsid w:val="00C45763"/>
    <w:rsid w:val="00C4594E"/>
    <w:rsid w:val="00C4595E"/>
    <w:rsid w:val="00C4596C"/>
    <w:rsid w:val="00C45AF2"/>
    <w:rsid w:val="00C45B2C"/>
    <w:rsid w:val="00C45B90"/>
    <w:rsid w:val="00C45C20"/>
    <w:rsid w:val="00C45C51"/>
    <w:rsid w:val="00C45E18"/>
    <w:rsid w:val="00C45E4C"/>
    <w:rsid w:val="00C45FE0"/>
    <w:rsid w:val="00C46190"/>
    <w:rsid w:val="00C461AE"/>
    <w:rsid w:val="00C4627F"/>
    <w:rsid w:val="00C4629A"/>
    <w:rsid w:val="00C462F4"/>
    <w:rsid w:val="00C46374"/>
    <w:rsid w:val="00C463A4"/>
    <w:rsid w:val="00C463B3"/>
    <w:rsid w:val="00C463B7"/>
    <w:rsid w:val="00C4640B"/>
    <w:rsid w:val="00C4644E"/>
    <w:rsid w:val="00C4657A"/>
    <w:rsid w:val="00C46748"/>
    <w:rsid w:val="00C46788"/>
    <w:rsid w:val="00C4680B"/>
    <w:rsid w:val="00C468D4"/>
    <w:rsid w:val="00C46963"/>
    <w:rsid w:val="00C46A37"/>
    <w:rsid w:val="00C46ABE"/>
    <w:rsid w:val="00C46B6B"/>
    <w:rsid w:val="00C46C72"/>
    <w:rsid w:val="00C46CAA"/>
    <w:rsid w:val="00C46E2A"/>
    <w:rsid w:val="00C46E5E"/>
    <w:rsid w:val="00C46EB2"/>
    <w:rsid w:val="00C46FE2"/>
    <w:rsid w:val="00C46FFD"/>
    <w:rsid w:val="00C47021"/>
    <w:rsid w:val="00C47045"/>
    <w:rsid w:val="00C470AC"/>
    <w:rsid w:val="00C470DA"/>
    <w:rsid w:val="00C4732B"/>
    <w:rsid w:val="00C4740A"/>
    <w:rsid w:val="00C47489"/>
    <w:rsid w:val="00C475AC"/>
    <w:rsid w:val="00C475BB"/>
    <w:rsid w:val="00C47880"/>
    <w:rsid w:val="00C47993"/>
    <w:rsid w:val="00C47994"/>
    <w:rsid w:val="00C47A1D"/>
    <w:rsid w:val="00C47A3E"/>
    <w:rsid w:val="00C47A60"/>
    <w:rsid w:val="00C47C41"/>
    <w:rsid w:val="00C47C73"/>
    <w:rsid w:val="00C47C7C"/>
    <w:rsid w:val="00C47CD8"/>
    <w:rsid w:val="00C47E8D"/>
    <w:rsid w:val="00C47F0E"/>
    <w:rsid w:val="00C47F2B"/>
    <w:rsid w:val="00C500FD"/>
    <w:rsid w:val="00C5018B"/>
    <w:rsid w:val="00C50252"/>
    <w:rsid w:val="00C502F3"/>
    <w:rsid w:val="00C50347"/>
    <w:rsid w:val="00C503F2"/>
    <w:rsid w:val="00C5042D"/>
    <w:rsid w:val="00C5050B"/>
    <w:rsid w:val="00C50609"/>
    <w:rsid w:val="00C5070B"/>
    <w:rsid w:val="00C507C5"/>
    <w:rsid w:val="00C507FE"/>
    <w:rsid w:val="00C50AFA"/>
    <w:rsid w:val="00C50B9D"/>
    <w:rsid w:val="00C50BA5"/>
    <w:rsid w:val="00C50C48"/>
    <w:rsid w:val="00C50CD1"/>
    <w:rsid w:val="00C50D5E"/>
    <w:rsid w:val="00C50D67"/>
    <w:rsid w:val="00C50D9A"/>
    <w:rsid w:val="00C50DBC"/>
    <w:rsid w:val="00C50EE3"/>
    <w:rsid w:val="00C510EA"/>
    <w:rsid w:val="00C5125A"/>
    <w:rsid w:val="00C51275"/>
    <w:rsid w:val="00C512A6"/>
    <w:rsid w:val="00C5136D"/>
    <w:rsid w:val="00C5155A"/>
    <w:rsid w:val="00C517FB"/>
    <w:rsid w:val="00C518DF"/>
    <w:rsid w:val="00C51A9D"/>
    <w:rsid w:val="00C51C78"/>
    <w:rsid w:val="00C51CBA"/>
    <w:rsid w:val="00C51DC3"/>
    <w:rsid w:val="00C51EAE"/>
    <w:rsid w:val="00C51FD8"/>
    <w:rsid w:val="00C51FFB"/>
    <w:rsid w:val="00C52183"/>
    <w:rsid w:val="00C521C7"/>
    <w:rsid w:val="00C521CE"/>
    <w:rsid w:val="00C521E3"/>
    <w:rsid w:val="00C52212"/>
    <w:rsid w:val="00C522B5"/>
    <w:rsid w:val="00C52337"/>
    <w:rsid w:val="00C523F5"/>
    <w:rsid w:val="00C52443"/>
    <w:rsid w:val="00C524AD"/>
    <w:rsid w:val="00C5251C"/>
    <w:rsid w:val="00C5269E"/>
    <w:rsid w:val="00C527BD"/>
    <w:rsid w:val="00C52801"/>
    <w:rsid w:val="00C52886"/>
    <w:rsid w:val="00C52935"/>
    <w:rsid w:val="00C52956"/>
    <w:rsid w:val="00C529DF"/>
    <w:rsid w:val="00C529F5"/>
    <w:rsid w:val="00C52A51"/>
    <w:rsid w:val="00C52AA5"/>
    <w:rsid w:val="00C52BD5"/>
    <w:rsid w:val="00C52C27"/>
    <w:rsid w:val="00C52C7B"/>
    <w:rsid w:val="00C52DC7"/>
    <w:rsid w:val="00C52E64"/>
    <w:rsid w:val="00C52EE9"/>
    <w:rsid w:val="00C52F84"/>
    <w:rsid w:val="00C52FFB"/>
    <w:rsid w:val="00C53014"/>
    <w:rsid w:val="00C53074"/>
    <w:rsid w:val="00C5309E"/>
    <w:rsid w:val="00C530D2"/>
    <w:rsid w:val="00C530EA"/>
    <w:rsid w:val="00C53113"/>
    <w:rsid w:val="00C53161"/>
    <w:rsid w:val="00C532DB"/>
    <w:rsid w:val="00C5334C"/>
    <w:rsid w:val="00C53472"/>
    <w:rsid w:val="00C5348C"/>
    <w:rsid w:val="00C534AE"/>
    <w:rsid w:val="00C5359B"/>
    <w:rsid w:val="00C535EB"/>
    <w:rsid w:val="00C535EC"/>
    <w:rsid w:val="00C5360C"/>
    <w:rsid w:val="00C53618"/>
    <w:rsid w:val="00C53728"/>
    <w:rsid w:val="00C5386B"/>
    <w:rsid w:val="00C538D5"/>
    <w:rsid w:val="00C5394F"/>
    <w:rsid w:val="00C53A90"/>
    <w:rsid w:val="00C53E1F"/>
    <w:rsid w:val="00C53E65"/>
    <w:rsid w:val="00C53E7E"/>
    <w:rsid w:val="00C54071"/>
    <w:rsid w:val="00C541BE"/>
    <w:rsid w:val="00C542A3"/>
    <w:rsid w:val="00C54364"/>
    <w:rsid w:val="00C54384"/>
    <w:rsid w:val="00C543F2"/>
    <w:rsid w:val="00C54423"/>
    <w:rsid w:val="00C54463"/>
    <w:rsid w:val="00C5450D"/>
    <w:rsid w:val="00C54600"/>
    <w:rsid w:val="00C546B0"/>
    <w:rsid w:val="00C547BD"/>
    <w:rsid w:val="00C547D5"/>
    <w:rsid w:val="00C5488E"/>
    <w:rsid w:val="00C54927"/>
    <w:rsid w:val="00C54A98"/>
    <w:rsid w:val="00C54B06"/>
    <w:rsid w:val="00C54D04"/>
    <w:rsid w:val="00C54E17"/>
    <w:rsid w:val="00C54E72"/>
    <w:rsid w:val="00C54EDE"/>
    <w:rsid w:val="00C55286"/>
    <w:rsid w:val="00C553AF"/>
    <w:rsid w:val="00C553B5"/>
    <w:rsid w:val="00C5553F"/>
    <w:rsid w:val="00C555AD"/>
    <w:rsid w:val="00C55601"/>
    <w:rsid w:val="00C55702"/>
    <w:rsid w:val="00C5575C"/>
    <w:rsid w:val="00C557FB"/>
    <w:rsid w:val="00C55826"/>
    <w:rsid w:val="00C558F5"/>
    <w:rsid w:val="00C5592E"/>
    <w:rsid w:val="00C559F1"/>
    <w:rsid w:val="00C55D70"/>
    <w:rsid w:val="00C55D7F"/>
    <w:rsid w:val="00C55DD5"/>
    <w:rsid w:val="00C55E06"/>
    <w:rsid w:val="00C55E3B"/>
    <w:rsid w:val="00C55EBC"/>
    <w:rsid w:val="00C55F3B"/>
    <w:rsid w:val="00C560F7"/>
    <w:rsid w:val="00C5619B"/>
    <w:rsid w:val="00C5619C"/>
    <w:rsid w:val="00C561C5"/>
    <w:rsid w:val="00C5632C"/>
    <w:rsid w:val="00C5633E"/>
    <w:rsid w:val="00C56434"/>
    <w:rsid w:val="00C566EF"/>
    <w:rsid w:val="00C5678E"/>
    <w:rsid w:val="00C56824"/>
    <w:rsid w:val="00C568AE"/>
    <w:rsid w:val="00C569A0"/>
    <w:rsid w:val="00C569A3"/>
    <w:rsid w:val="00C56AB4"/>
    <w:rsid w:val="00C56D56"/>
    <w:rsid w:val="00C56E0E"/>
    <w:rsid w:val="00C56E1C"/>
    <w:rsid w:val="00C56EE8"/>
    <w:rsid w:val="00C56F1B"/>
    <w:rsid w:val="00C57021"/>
    <w:rsid w:val="00C5705B"/>
    <w:rsid w:val="00C571A0"/>
    <w:rsid w:val="00C57284"/>
    <w:rsid w:val="00C57338"/>
    <w:rsid w:val="00C573E3"/>
    <w:rsid w:val="00C57562"/>
    <w:rsid w:val="00C575E0"/>
    <w:rsid w:val="00C57649"/>
    <w:rsid w:val="00C57711"/>
    <w:rsid w:val="00C57754"/>
    <w:rsid w:val="00C57868"/>
    <w:rsid w:val="00C578D5"/>
    <w:rsid w:val="00C57A2B"/>
    <w:rsid w:val="00C57B0E"/>
    <w:rsid w:val="00C57BB6"/>
    <w:rsid w:val="00C57CA0"/>
    <w:rsid w:val="00C57CF7"/>
    <w:rsid w:val="00C57D16"/>
    <w:rsid w:val="00C6003C"/>
    <w:rsid w:val="00C6007B"/>
    <w:rsid w:val="00C6007C"/>
    <w:rsid w:val="00C60090"/>
    <w:rsid w:val="00C600FD"/>
    <w:rsid w:val="00C6018D"/>
    <w:rsid w:val="00C60254"/>
    <w:rsid w:val="00C6026C"/>
    <w:rsid w:val="00C603B2"/>
    <w:rsid w:val="00C604A3"/>
    <w:rsid w:val="00C60560"/>
    <w:rsid w:val="00C605C7"/>
    <w:rsid w:val="00C607A2"/>
    <w:rsid w:val="00C607B0"/>
    <w:rsid w:val="00C608C5"/>
    <w:rsid w:val="00C609A0"/>
    <w:rsid w:val="00C60AED"/>
    <w:rsid w:val="00C60C64"/>
    <w:rsid w:val="00C60CAD"/>
    <w:rsid w:val="00C60DAD"/>
    <w:rsid w:val="00C60DB0"/>
    <w:rsid w:val="00C60EDD"/>
    <w:rsid w:val="00C60FB8"/>
    <w:rsid w:val="00C6101B"/>
    <w:rsid w:val="00C6102D"/>
    <w:rsid w:val="00C61072"/>
    <w:rsid w:val="00C610DC"/>
    <w:rsid w:val="00C61113"/>
    <w:rsid w:val="00C6118D"/>
    <w:rsid w:val="00C611B4"/>
    <w:rsid w:val="00C6128C"/>
    <w:rsid w:val="00C6137A"/>
    <w:rsid w:val="00C61418"/>
    <w:rsid w:val="00C614F4"/>
    <w:rsid w:val="00C614FD"/>
    <w:rsid w:val="00C61517"/>
    <w:rsid w:val="00C6151B"/>
    <w:rsid w:val="00C6156B"/>
    <w:rsid w:val="00C6159B"/>
    <w:rsid w:val="00C615C4"/>
    <w:rsid w:val="00C61660"/>
    <w:rsid w:val="00C617A7"/>
    <w:rsid w:val="00C6190E"/>
    <w:rsid w:val="00C619DA"/>
    <w:rsid w:val="00C619E1"/>
    <w:rsid w:val="00C61C12"/>
    <w:rsid w:val="00C61C24"/>
    <w:rsid w:val="00C61C73"/>
    <w:rsid w:val="00C61D1C"/>
    <w:rsid w:val="00C61D39"/>
    <w:rsid w:val="00C61D4F"/>
    <w:rsid w:val="00C61DC9"/>
    <w:rsid w:val="00C61ED9"/>
    <w:rsid w:val="00C61F5E"/>
    <w:rsid w:val="00C61FA0"/>
    <w:rsid w:val="00C6208B"/>
    <w:rsid w:val="00C620E0"/>
    <w:rsid w:val="00C6221B"/>
    <w:rsid w:val="00C622D1"/>
    <w:rsid w:val="00C622F8"/>
    <w:rsid w:val="00C62399"/>
    <w:rsid w:val="00C623D0"/>
    <w:rsid w:val="00C623E0"/>
    <w:rsid w:val="00C623F1"/>
    <w:rsid w:val="00C6250A"/>
    <w:rsid w:val="00C625D5"/>
    <w:rsid w:val="00C6262E"/>
    <w:rsid w:val="00C626D5"/>
    <w:rsid w:val="00C626DA"/>
    <w:rsid w:val="00C6270C"/>
    <w:rsid w:val="00C62719"/>
    <w:rsid w:val="00C6271B"/>
    <w:rsid w:val="00C62746"/>
    <w:rsid w:val="00C6284C"/>
    <w:rsid w:val="00C62AB4"/>
    <w:rsid w:val="00C62ADC"/>
    <w:rsid w:val="00C62AF9"/>
    <w:rsid w:val="00C62B55"/>
    <w:rsid w:val="00C62BFC"/>
    <w:rsid w:val="00C62C3D"/>
    <w:rsid w:val="00C62CEC"/>
    <w:rsid w:val="00C62E41"/>
    <w:rsid w:val="00C62EF7"/>
    <w:rsid w:val="00C62F20"/>
    <w:rsid w:val="00C62FD4"/>
    <w:rsid w:val="00C62FF6"/>
    <w:rsid w:val="00C63083"/>
    <w:rsid w:val="00C63095"/>
    <w:rsid w:val="00C630C8"/>
    <w:rsid w:val="00C631DF"/>
    <w:rsid w:val="00C6328E"/>
    <w:rsid w:val="00C63375"/>
    <w:rsid w:val="00C63560"/>
    <w:rsid w:val="00C63587"/>
    <w:rsid w:val="00C63590"/>
    <w:rsid w:val="00C635AC"/>
    <w:rsid w:val="00C6361C"/>
    <w:rsid w:val="00C636C4"/>
    <w:rsid w:val="00C636DB"/>
    <w:rsid w:val="00C63762"/>
    <w:rsid w:val="00C6384F"/>
    <w:rsid w:val="00C638A9"/>
    <w:rsid w:val="00C638E2"/>
    <w:rsid w:val="00C638E6"/>
    <w:rsid w:val="00C639BD"/>
    <w:rsid w:val="00C639CC"/>
    <w:rsid w:val="00C63A3B"/>
    <w:rsid w:val="00C63A4F"/>
    <w:rsid w:val="00C63A6B"/>
    <w:rsid w:val="00C63AC6"/>
    <w:rsid w:val="00C63AEA"/>
    <w:rsid w:val="00C63CA2"/>
    <w:rsid w:val="00C63CBE"/>
    <w:rsid w:val="00C63D0D"/>
    <w:rsid w:val="00C63D2A"/>
    <w:rsid w:val="00C63D63"/>
    <w:rsid w:val="00C63DA2"/>
    <w:rsid w:val="00C63E19"/>
    <w:rsid w:val="00C63EE4"/>
    <w:rsid w:val="00C63F07"/>
    <w:rsid w:val="00C63F9F"/>
    <w:rsid w:val="00C640C5"/>
    <w:rsid w:val="00C64106"/>
    <w:rsid w:val="00C64127"/>
    <w:rsid w:val="00C6418D"/>
    <w:rsid w:val="00C64319"/>
    <w:rsid w:val="00C6443D"/>
    <w:rsid w:val="00C645DB"/>
    <w:rsid w:val="00C64621"/>
    <w:rsid w:val="00C64679"/>
    <w:rsid w:val="00C6468B"/>
    <w:rsid w:val="00C64758"/>
    <w:rsid w:val="00C6479A"/>
    <w:rsid w:val="00C648C8"/>
    <w:rsid w:val="00C648CD"/>
    <w:rsid w:val="00C6494A"/>
    <w:rsid w:val="00C649F4"/>
    <w:rsid w:val="00C64A68"/>
    <w:rsid w:val="00C64BA4"/>
    <w:rsid w:val="00C64BB5"/>
    <w:rsid w:val="00C64BBA"/>
    <w:rsid w:val="00C64D43"/>
    <w:rsid w:val="00C64D57"/>
    <w:rsid w:val="00C64DD1"/>
    <w:rsid w:val="00C64E20"/>
    <w:rsid w:val="00C650E2"/>
    <w:rsid w:val="00C65194"/>
    <w:rsid w:val="00C652DF"/>
    <w:rsid w:val="00C652E4"/>
    <w:rsid w:val="00C6533C"/>
    <w:rsid w:val="00C654C7"/>
    <w:rsid w:val="00C655EC"/>
    <w:rsid w:val="00C6563A"/>
    <w:rsid w:val="00C656A7"/>
    <w:rsid w:val="00C656E5"/>
    <w:rsid w:val="00C65708"/>
    <w:rsid w:val="00C65748"/>
    <w:rsid w:val="00C658D9"/>
    <w:rsid w:val="00C65BD5"/>
    <w:rsid w:val="00C65BE4"/>
    <w:rsid w:val="00C65DDD"/>
    <w:rsid w:val="00C65E60"/>
    <w:rsid w:val="00C65EC6"/>
    <w:rsid w:val="00C65F00"/>
    <w:rsid w:val="00C65F2C"/>
    <w:rsid w:val="00C661A1"/>
    <w:rsid w:val="00C662B8"/>
    <w:rsid w:val="00C663C9"/>
    <w:rsid w:val="00C663E9"/>
    <w:rsid w:val="00C66416"/>
    <w:rsid w:val="00C66481"/>
    <w:rsid w:val="00C665BD"/>
    <w:rsid w:val="00C66627"/>
    <w:rsid w:val="00C66634"/>
    <w:rsid w:val="00C6670F"/>
    <w:rsid w:val="00C66720"/>
    <w:rsid w:val="00C66873"/>
    <w:rsid w:val="00C6691D"/>
    <w:rsid w:val="00C66A0B"/>
    <w:rsid w:val="00C66AA3"/>
    <w:rsid w:val="00C66B7D"/>
    <w:rsid w:val="00C66B9F"/>
    <w:rsid w:val="00C66CDF"/>
    <w:rsid w:val="00C66D8D"/>
    <w:rsid w:val="00C67009"/>
    <w:rsid w:val="00C6705D"/>
    <w:rsid w:val="00C6709C"/>
    <w:rsid w:val="00C671FA"/>
    <w:rsid w:val="00C67275"/>
    <w:rsid w:val="00C6749B"/>
    <w:rsid w:val="00C674B5"/>
    <w:rsid w:val="00C674C7"/>
    <w:rsid w:val="00C676B5"/>
    <w:rsid w:val="00C677B4"/>
    <w:rsid w:val="00C677E8"/>
    <w:rsid w:val="00C6780D"/>
    <w:rsid w:val="00C678B9"/>
    <w:rsid w:val="00C679B2"/>
    <w:rsid w:val="00C67A7A"/>
    <w:rsid w:val="00C67B68"/>
    <w:rsid w:val="00C67B9B"/>
    <w:rsid w:val="00C67BBC"/>
    <w:rsid w:val="00C67C85"/>
    <w:rsid w:val="00C67D70"/>
    <w:rsid w:val="00C67D9E"/>
    <w:rsid w:val="00C67EE4"/>
    <w:rsid w:val="00C67F63"/>
    <w:rsid w:val="00C67FFB"/>
    <w:rsid w:val="00C7009D"/>
    <w:rsid w:val="00C7015E"/>
    <w:rsid w:val="00C70302"/>
    <w:rsid w:val="00C70583"/>
    <w:rsid w:val="00C70648"/>
    <w:rsid w:val="00C70663"/>
    <w:rsid w:val="00C707D0"/>
    <w:rsid w:val="00C70893"/>
    <w:rsid w:val="00C7093D"/>
    <w:rsid w:val="00C70AF0"/>
    <w:rsid w:val="00C70B9F"/>
    <w:rsid w:val="00C70DC3"/>
    <w:rsid w:val="00C70DEA"/>
    <w:rsid w:val="00C70E19"/>
    <w:rsid w:val="00C70F1A"/>
    <w:rsid w:val="00C70F8E"/>
    <w:rsid w:val="00C70F9F"/>
    <w:rsid w:val="00C710A2"/>
    <w:rsid w:val="00C71146"/>
    <w:rsid w:val="00C7118C"/>
    <w:rsid w:val="00C711C7"/>
    <w:rsid w:val="00C71230"/>
    <w:rsid w:val="00C7140D"/>
    <w:rsid w:val="00C714AF"/>
    <w:rsid w:val="00C714BB"/>
    <w:rsid w:val="00C7152B"/>
    <w:rsid w:val="00C71604"/>
    <w:rsid w:val="00C71639"/>
    <w:rsid w:val="00C716FC"/>
    <w:rsid w:val="00C71935"/>
    <w:rsid w:val="00C719DC"/>
    <w:rsid w:val="00C71A98"/>
    <w:rsid w:val="00C71BA1"/>
    <w:rsid w:val="00C71C64"/>
    <w:rsid w:val="00C71C7E"/>
    <w:rsid w:val="00C71CBE"/>
    <w:rsid w:val="00C71D06"/>
    <w:rsid w:val="00C71E17"/>
    <w:rsid w:val="00C71F99"/>
    <w:rsid w:val="00C71FD6"/>
    <w:rsid w:val="00C72097"/>
    <w:rsid w:val="00C720EA"/>
    <w:rsid w:val="00C72115"/>
    <w:rsid w:val="00C72185"/>
    <w:rsid w:val="00C721E2"/>
    <w:rsid w:val="00C722A7"/>
    <w:rsid w:val="00C722C4"/>
    <w:rsid w:val="00C722D0"/>
    <w:rsid w:val="00C722DA"/>
    <w:rsid w:val="00C722E0"/>
    <w:rsid w:val="00C72437"/>
    <w:rsid w:val="00C7263A"/>
    <w:rsid w:val="00C7267C"/>
    <w:rsid w:val="00C726AC"/>
    <w:rsid w:val="00C726CC"/>
    <w:rsid w:val="00C72700"/>
    <w:rsid w:val="00C7280C"/>
    <w:rsid w:val="00C72827"/>
    <w:rsid w:val="00C728B8"/>
    <w:rsid w:val="00C728BE"/>
    <w:rsid w:val="00C72916"/>
    <w:rsid w:val="00C7291D"/>
    <w:rsid w:val="00C72B77"/>
    <w:rsid w:val="00C72C8E"/>
    <w:rsid w:val="00C72D76"/>
    <w:rsid w:val="00C72E3F"/>
    <w:rsid w:val="00C73065"/>
    <w:rsid w:val="00C730F0"/>
    <w:rsid w:val="00C73185"/>
    <w:rsid w:val="00C731B0"/>
    <w:rsid w:val="00C731BB"/>
    <w:rsid w:val="00C7324C"/>
    <w:rsid w:val="00C73258"/>
    <w:rsid w:val="00C73285"/>
    <w:rsid w:val="00C73340"/>
    <w:rsid w:val="00C733B9"/>
    <w:rsid w:val="00C73409"/>
    <w:rsid w:val="00C735A0"/>
    <w:rsid w:val="00C73680"/>
    <w:rsid w:val="00C73741"/>
    <w:rsid w:val="00C73768"/>
    <w:rsid w:val="00C73821"/>
    <w:rsid w:val="00C738F5"/>
    <w:rsid w:val="00C73A91"/>
    <w:rsid w:val="00C73ACE"/>
    <w:rsid w:val="00C73B2F"/>
    <w:rsid w:val="00C73CAA"/>
    <w:rsid w:val="00C73D74"/>
    <w:rsid w:val="00C73DFF"/>
    <w:rsid w:val="00C73ED3"/>
    <w:rsid w:val="00C73F59"/>
    <w:rsid w:val="00C73F76"/>
    <w:rsid w:val="00C73F8A"/>
    <w:rsid w:val="00C7401E"/>
    <w:rsid w:val="00C74063"/>
    <w:rsid w:val="00C741AF"/>
    <w:rsid w:val="00C7427A"/>
    <w:rsid w:val="00C742AF"/>
    <w:rsid w:val="00C742CF"/>
    <w:rsid w:val="00C74354"/>
    <w:rsid w:val="00C743BE"/>
    <w:rsid w:val="00C743E2"/>
    <w:rsid w:val="00C748EF"/>
    <w:rsid w:val="00C74B51"/>
    <w:rsid w:val="00C74C43"/>
    <w:rsid w:val="00C74CB4"/>
    <w:rsid w:val="00C74D79"/>
    <w:rsid w:val="00C74D7E"/>
    <w:rsid w:val="00C74D9E"/>
    <w:rsid w:val="00C74DDA"/>
    <w:rsid w:val="00C74E36"/>
    <w:rsid w:val="00C74EF4"/>
    <w:rsid w:val="00C74F02"/>
    <w:rsid w:val="00C74F3D"/>
    <w:rsid w:val="00C74FD5"/>
    <w:rsid w:val="00C75117"/>
    <w:rsid w:val="00C751B6"/>
    <w:rsid w:val="00C7525C"/>
    <w:rsid w:val="00C7528D"/>
    <w:rsid w:val="00C752D0"/>
    <w:rsid w:val="00C7534E"/>
    <w:rsid w:val="00C75420"/>
    <w:rsid w:val="00C7544A"/>
    <w:rsid w:val="00C7546B"/>
    <w:rsid w:val="00C75513"/>
    <w:rsid w:val="00C75571"/>
    <w:rsid w:val="00C75587"/>
    <w:rsid w:val="00C75598"/>
    <w:rsid w:val="00C7559C"/>
    <w:rsid w:val="00C7569C"/>
    <w:rsid w:val="00C7571F"/>
    <w:rsid w:val="00C7573F"/>
    <w:rsid w:val="00C75965"/>
    <w:rsid w:val="00C75B8F"/>
    <w:rsid w:val="00C75C02"/>
    <w:rsid w:val="00C75CE4"/>
    <w:rsid w:val="00C75E91"/>
    <w:rsid w:val="00C75F5D"/>
    <w:rsid w:val="00C760EA"/>
    <w:rsid w:val="00C760FB"/>
    <w:rsid w:val="00C7634B"/>
    <w:rsid w:val="00C76358"/>
    <w:rsid w:val="00C76383"/>
    <w:rsid w:val="00C763EB"/>
    <w:rsid w:val="00C763F0"/>
    <w:rsid w:val="00C76439"/>
    <w:rsid w:val="00C76542"/>
    <w:rsid w:val="00C7667F"/>
    <w:rsid w:val="00C76891"/>
    <w:rsid w:val="00C76913"/>
    <w:rsid w:val="00C76939"/>
    <w:rsid w:val="00C76ABF"/>
    <w:rsid w:val="00C76F31"/>
    <w:rsid w:val="00C770D6"/>
    <w:rsid w:val="00C770E9"/>
    <w:rsid w:val="00C770FE"/>
    <w:rsid w:val="00C77195"/>
    <w:rsid w:val="00C77281"/>
    <w:rsid w:val="00C773EB"/>
    <w:rsid w:val="00C77427"/>
    <w:rsid w:val="00C77435"/>
    <w:rsid w:val="00C77483"/>
    <w:rsid w:val="00C774F9"/>
    <w:rsid w:val="00C776DC"/>
    <w:rsid w:val="00C7772A"/>
    <w:rsid w:val="00C7778A"/>
    <w:rsid w:val="00C777E5"/>
    <w:rsid w:val="00C77839"/>
    <w:rsid w:val="00C7786E"/>
    <w:rsid w:val="00C77946"/>
    <w:rsid w:val="00C77A86"/>
    <w:rsid w:val="00C77AB5"/>
    <w:rsid w:val="00C77AC9"/>
    <w:rsid w:val="00C77BA8"/>
    <w:rsid w:val="00C77C85"/>
    <w:rsid w:val="00C77CFB"/>
    <w:rsid w:val="00C77DBF"/>
    <w:rsid w:val="00C77ED0"/>
    <w:rsid w:val="00C80003"/>
    <w:rsid w:val="00C800C1"/>
    <w:rsid w:val="00C800C9"/>
    <w:rsid w:val="00C8011F"/>
    <w:rsid w:val="00C8012D"/>
    <w:rsid w:val="00C80234"/>
    <w:rsid w:val="00C802F7"/>
    <w:rsid w:val="00C8035A"/>
    <w:rsid w:val="00C804A9"/>
    <w:rsid w:val="00C804B4"/>
    <w:rsid w:val="00C8055E"/>
    <w:rsid w:val="00C805AD"/>
    <w:rsid w:val="00C8068A"/>
    <w:rsid w:val="00C806C9"/>
    <w:rsid w:val="00C80726"/>
    <w:rsid w:val="00C80826"/>
    <w:rsid w:val="00C80974"/>
    <w:rsid w:val="00C80977"/>
    <w:rsid w:val="00C80A99"/>
    <w:rsid w:val="00C80B48"/>
    <w:rsid w:val="00C80C13"/>
    <w:rsid w:val="00C80C62"/>
    <w:rsid w:val="00C80C85"/>
    <w:rsid w:val="00C80CBA"/>
    <w:rsid w:val="00C80D42"/>
    <w:rsid w:val="00C80E9A"/>
    <w:rsid w:val="00C80F56"/>
    <w:rsid w:val="00C80FCA"/>
    <w:rsid w:val="00C80FD6"/>
    <w:rsid w:val="00C812FB"/>
    <w:rsid w:val="00C81426"/>
    <w:rsid w:val="00C81524"/>
    <w:rsid w:val="00C81557"/>
    <w:rsid w:val="00C8160D"/>
    <w:rsid w:val="00C816B9"/>
    <w:rsid w:val="00C816CA"/>
    <w:rsid w:val="00C816F5"/>
    <w:rsid w:val="00C81703"/>
    <w:rsid w:val="00C81933"/>
    <w:rsid w:val="00C81A01"/>
    <w:rsid w:val="00C81BD1"/>
    <w:rsid w:val="00C81D9B"/>
    <w:rsid w:val="00C81E14"/>
    <w:rsid w:val="00C81EA5"/>
    <w:rsid w:val="00C81FC4"/>
    <w:rsid w:val="00C8206F"/>
    <w:rsid w:val="00C820C7"/>
    <w:rsid w:val="00C82214"/>
    <w:rsid w:val="00C822A8"/>
    <w:rsid w:val="00C8242E"/>
    <w:rsid w:val="00C82529"/>
    <w:rsid w:val="00C825C8"/>
    <w:rsid w:val="00C8265B"/>
    <w:rsid w:val="00C82748"/>
    <w:rsid w:val="00C827D3"/>
    <w:rsid w:val="00C8285D"/>
    <w:rsid w:val="00C82A56"/>
    <w:rsid w:val="00C82AAB"/>
    <w:rsid w:val="00C82B49"/>
    <w:rsid w:val="00C82B77"/>
    <w:rsid w:val="00C82C3C"/>
    <w:rsid w:val="00C82FFA"/>
    <w:rsid w:val="00C83078"/>
    <w:rsid w:val="00C832E9"/>
    <w:rsid w:val="00C83340"/>
    <w:rsid w:val="00C833C2"/>
    <w:rsid w:val="00C833FF"/>
    <w:rsid w:val="00C83477"/>
    <w:rsid w:val="00C83547"/>
    <w:rsid w:val="00C835A5"/>
    <w:rsid w:val="00C83618"/>
    <w:rsid w:val="00C83841"/>
    <w:rsid w:val="00C83926"/>
    <w:rsid w:val="00C839A2"/>
    <w:rsid w:val="00C839A3"/>
    <w:rsid w:val="00C83AF9"/>
    <w:rsid w:val="00C83CD9"/>
    <w:rsid w:val="00C83D35"/>
    <w:rsid w:val="00C83D4E"/>
    <w:rsid w:val="00C83D58"/>
    <w:rsid w:val="00C83E3A"/>
    <w:rsid w:val="00C83E76"/>
    <w:rsid w:val="00C83EC2"/>
    <w:rsid w:val="00C83FA3"/>
    <w:rsid w:val="00C8406B"/>
    <w:rsid w:val="00C840E8"/>
    <w:rsid w:val="00C84279"/>
    <w:rsid w:val="00C84328"/>
    <w:rsid w:val="00C84406"/>
    <w:rsid w:val="00C844D6"/>
    <w:rsid w:val="00C84504"/>
    <w:rsid w:val="00C84653"/>
    <w:rsid w:val="00C84654"/>
    <w:rsid w:val="00C8467D"/>
    <w:rsid w:val="00C8471B"/>
    <w:rsid w:val="00C84730"/>
    <w:rsid w:val="00C847C9"/>
    <w:rsid w:val="00C8482B"/>
    <w:rsid w:val="00C84891"/>
    <w:rsid w:val="00C84992"/>
    <w:rsid w:val="00C84995"/>
    <w:rsid w:val="00C84ABD"/>
    <w:rsid w:val="00C84B20"/>
    <w:rsid w:val="00C84BC0"/>
    <w:rsid w:val="00C84C34"/>
    <w:rsid w:val="00C84DD0"/>
    <w:rsid w:val="00C84E22"/>
    <w:rsid w:val="00C84F48"/>
    <w:rsid w:val="00C85054"/>
    <w:rsid w:val="00C85319"/>
    <w:rsid w:val="00C85434"/>
    <w:rsid w:val="00C85562"/>
    <w:rsid w:val="00C855B2"/>
    <w:rsid w:val="00C85650"/>
    <w:rsid w:val="00C8565A"/>
    <w:rsid w:val="00C85671"/>
    <w:rsid w:val="00C85768"/>
    <w:rsid w:val="00C85903"/>
    <w:rsid w:val="00C85990"/>
    <w:rsid w:val="00C85B5B"/>
    <w:rsid w:val="00C85BCF"/>
    <w:rsid w:val="00C85DA9"/>
    <w:rsid w:val="00C85E31"/>
    <w:rsid w:val="00C85F81"/>
    <w:rsid w:val="00C85FB5"/>
    <w:rsid w:val="00C86092"/>
    <w:rsid w:val="00C86200"/>
    <w:rsid w:val="00C86263"/>
    <w:rsid w:val="00C862E1"/>
    <w:rsid w:val="00C86358"/>
    <w:rsid w:val="00C86399"/>
    <w:rsid w:val="00C865F2"/>
    <w:rsid w:val="00C86AC5"/>
    <w:rsid w:val="00C86BB8"/>
    <w:rsid w:val="00C86BCF"/>
    <w:rsid w:val="00C86C2B"/>
    <w:rsid w:val="00C86E24"/>
    <w:rsid w:val="00C86FC3"/>
    <w:rsid w:val="00C870DD"/>
    <w:rsid w:val="00C8722B"/>
    <w:rsid w:val="00C8724C"/>
    <w:rsid w:val="00C87292"/>
    <w:rsid w:val="00C87390"/>
    <w:rsid w:val="00C874DE"/>
    <w:rsid w:val="00C87651"/>
    <w:rsid w:val="00C876C4"/>
    <w:rsid w:val="00C87838"/>
    <w:rsid w:val="00C879D1"/>
    <w:rsid w:val="00C87B04"/>
    <w:rsid w:val="00C87B07"/>
    <w:rsid w:val="00C87BB0"/>
    <w:rsid w:val="00C87BE5"/>
    <w:rsid w:val="00C87D4F"/>
    <w:rsid w:val="00C87DB5"/>
    <w:rsid w:val="00C87DC0"/>
    <w:rsid w:val="00C87E2E"/>
    <w:rsid w:val="00C87E3D"/>
    <w:rsid w:val="00C87F1B"/>
    <w:rsid w:val="00C87FAD"/>
    <w:rsid w:val="00C90023"/>
    <w:rsid w:val="00C901BD"/>
    <w:rsid w:val="00C902F6"/>
    <w:rsid w:val="00C9043E"/>
    <w:rsid w:val="00C904C8"/>
    <w:rsid w:val="00C90521"/>
    <w:rsid w:val="00C90674"/>
    <w:rsid w:val="00C906E7"/>
    <w:rsid w:val="00C907E5"/>
    <w:rsid w:val="00C90946"/>
    <w:rsid w:val="00C909AB"/>
    <w:rsid w:val="00C90A2C"/>
    <w:rsid w:val="00C90C3D"/>
    <w:rsid w:val="00C90C59"/>
    <w:rsid w:val="00C90D53"/>
    <w:rsid w:val="00C90EBE"/>
    <w:rsid w:val="00C90F4F"/>
    <w:rsid w:val="00C9105E"/>
    <w:rsid w:val="00C911F3"/>
    <w:rsid w:val="00C912AD"/>
    <w:rsid w:val="00C9131B"/>
    <w:rsid w:val="00C91344"/>
    <w:rsid w:val="00C91350"/>
    <w:rsid w:val="00C91476"/>
    <w:rsid w:val="00C91484"/>
    <w:rsid w:val="00C914AF"/>
    <w:rsid w:val="00C914D1"/>
    <w:rsid w:val="00C91757"/>
    <w:rsid w:val="00C917A8"/>
    <w:rsid w:val="00C918FC"/>
    <w:rsid w:val="00C91B17"/>
    <w:rsid w:val="00C91C58"/>
    <w:rsid w:val="00C91CA1"/>
    <w:rsid w:val="00C91EDB"/>
    <w:rsid w:val="00C91F26"/>
    <w:rsid w:val="00C91F4E"/>
    <w:rsid w:val="00C91FB9"/>
    <w:rsid w:val="00C92053"/>
    <w:rsid w:val="00C921B9"/>
    <w:rsid w:val="00C9220E"/>
    <w:rsid w:val="00C922C2"/>
    <w:rsid w:val="00C92301"/>
    <w:rsid w:val="00C92335"/>
    <w:rsid w:val="00C924D5"/>
    <w:rsid w:val="00C9257D"/>
    <w:rsid w:val="00C9260E"/>
    <w:rsid w:val="00C92616"/>
    <w:rsid w:val="00C927B9"/>
    <w:rsid w:val="00C92827"/>
    <w:rsid w:val="00C92861"/>
    <w:rsid w:val="00C928BA"/>
    <w:rsid w:val="00C929A9"/>
    <w:rsid w:val="00C92A7F"/>
    <w:rsid w:val="00C92B15"/>
    <w:rsid w:val="00C92B7C"/>
    <w:rsid w:val="00C92BB1"/>
    <w:rsid w:val="00C92C71"/>
    <w:rsid w:val="00C92C7B"/>
    <w:rsid w:val="00C92CB6"/>
    <w:rsid w:val="00C92D42"/>
    <w:rsid w:val="00C92D72"/>
    <w:rsid w:val="00C92E25"/>
    <w:rsid w:val="00C92E9A"/>
    <w:rsid w:val="00C92F4E"/>
    <w:rsid w:val="00C93055"/>
    <w:rsid w:val="00C930BE"/>
    <w:rsid w:val="00C93142"/>
    <w:rsid w:val="00C9316E"/>
    <w:rsid w:val="00C9329E"/>
    <w:rsid w:val="00C93549"/>
    <w:rsid w:val="00C93583"/>
    <w:rsid w:val="00C9378C"/>
    <w:rsid w:val="00C937F3"/>
    <w:rsid w:val="00C9381D"/>
    <w:rsid w:val="00C93881"/>
    <w:rsid w:val="00C9388F"/>
    <w:rsid w:val="00C939EA"/>
    <w:rsid w:val="00C93A8E"/>
    <w:rsid w:val="00C93AAB"/>
    <w:rsid w:val="00C93AD0"/>
    <w:rsid w:val="00C93AE9"/>
    <w:rsid w:val="00C93CC2"/>
    <w:rsid w:val="00C93D03"/>
    <w:rsid w:val="00C93D74"/>
    <w:rsid w:val="00C93DD4"/>
    <w:rsid w:val="00C93EAA"/>
    <w:rsid w:val="00C93F10"/>
    <w:rsid w:val="00C9401F"/>
    <w:rsid w:val="00C9405B"/>
    <w:rsid w:val="00C94164"/>
    <w:rsid w:val="00C94250"/>
    <w:rsid w:val="00C942E7"/>
    <w:rsid w:val="00C943C3"/>
    <w:rsid w:val="00C9451E"/>
    <w:rsid w:val="00C945F5"/>
    <w:rsid w:val="00C94606"/>
    <w:rsid w:val="00C94660"/>
    <w:rsid w:val="00C94694"/>
    <w:rsid w:val="00C946CE"/>
    <w:rsid w:val="00C948B0"/>
    <w:rsid w:val="00C948FE"/>
    <w:rsid w:val="00C94939"/>
    <w:rsid w:val="00C9493B"/>
    <w:rsid w:val="00C949CC"/>
    <w:rsid w:val="00C94ABC"/>
    <w:rsid w:val="00C94ACD"/>
    <w:rsid w:val="00C94B41"/>
    <w:rsid w:val="00C94D23"/>
    <w:rsid w:val="00C94D5F"/>
    <w:rsid w:val="00C94E25"/>
    <w:rsid w:val="00C94E54"/>
    <w:rsid w:val="00C94EE3"/>
    <w:rsid w:val="00C9502C"/>
    <w:rsid w:val="00C951B3"/>
    <w:rsid w:val="00C952DC"/>
    <w:rsid w:val="00C9533F"/>
    <w:rsid w:val="00C9539F"/>
    <w:rsid w:val="00C953BE"/>
    <w:rsid w:val="00C9551B"/>
    <w:rsid w:val="00C95560"/>
    <w:rsid w:val="00C955B0"/>
    <w:rsid w:val="00C9560D"/>
    <w:rsid w:val="00C956D1"/>
    <w:rsid w:val="00C95721"/>
    <w:rsid w:val="00C9572C"/>
    <w:rsid w:val="00C957F4"/>
    <w:rsid w:val="00C9580B"/>
    <w:rsid w:val="00C95867"/>
    <w:rsid w:val="00C958BD"/>
    <w:rsid w:val="00C9597E"/>
    <w:rsid w:val="00C95994"/>
    <w:rsid w:val="00C95AD7"/>
    <w:rsid w:val="00C95B82"/>
    <w:rsid w:val="00C95BBA"/>
    <w:rsid w:val="00C95DAC"/>
    <w:rsid w:val="00C95DCA"/>
    <w:rsid w:val="00C95E40"/>
    <w:rsid w:val="00C95E8C"/>
    <w:rsid w:val="00C95ED1"/>
    <w:rsid w:val="00C96091"/>
    <w:rsid w:val="00C96099"/>
    <w:rsid w:val="00C961E5"/>
    <w:rsid w:val="00C96255"/>
    <w:rsid w:val="00C9638B"/>
    <w:rsid w:val="00C964EA"/>
    <w:rsid w:val="00C964EB"/>
    <w:rsid w:val="00C96568"/>
    <w:rsid w:val="00C966C8"/>
    <w:rsid w:val="00C9673D"/>
    <w:rsid w:val="00C96840"/>
    <w:rsid w:val="00C9685C"/>
    <w:rsid w:val="00C969BF"/>
    <w:rsid w:val="00C96A06"/>
    <w:rsid w:val="00C96B7E"/>
    <w:rsid w:val="00C96B8D"/>
    <w:rsid w:val="00C96BB1"/>
    <w:rsid w:val="00C96BEB"/>
    <w:rsid w:val="00C96F89"/>
    <w:rsid w:val="00C97015"/>
    <w:rsid w:val="00C9705B"/>
    <w:rsid w:val="00C97212"/>
    <w:rsid w:val="00C97242"/>
    <w:rsid w:val="00C973A4"/>
    <w:rsid w:val="00C97642"/>
    <w:rsid w:val="00C976B8"/>
    <w:rsid w:val="00C97784"/>
    <w:rsid w:val="00C9779D"/>
    <w:rsid w:val="00C978D9"/>
    <w:rsid w:val="00C979AC"/>
    <w:rsid w:val="00C979DA"/>
    <w:rsid w:val="00C97A36"/>
    <w:rsid w:val="00C97A8E"/>
    <w:rsid w:val="00C97C9E"/>
    <w:rsid w:val="00C97CF8"/>
    <w:rsid w:val="00C97E76"/>
    <w:rsid w:val="00C97F08"/>
    <w:rsid w:val="00C97F32"/>
    <w:rsid w:val="00C97F74"/>
    <w:rsid w:val="00C97FCF"/>
    <w:rsid w:val="00CA019A"/>
    <w:rsid w:val="00CA025F"/>
    <w:rsid w:val="00CA029E"/>
    <w:rsid w:val="00CA02A8"/>
    <w:rsid w:val="00CA02CE"/>
    <w:rsid w:val="00CA02D5"/>
    <w:rsid w:val="00CA039D"/>
    <w:rsid w:val="00CA03C9"/>
    <w:rsid w:val="00CA03D6"/>
    <w:rsid w:val="00CA0404"/>
    <w:rsid w:val="00CA04A4"/>
    <w:rsid w:val="00CA04A8"/>
    <w:rsid w:val="00CA053E"/>
    <w:rsid w:val="00CA05B3"/>
    <w:rsid w:val="00CA05B7"/>
    <w:rsid w:val="00CA072C"/>
    <w:rsid w:val="00CA080E"/>
    <w:rsid w:val="00CA0887"/>
    <w:rsid w:val="00CA0965"/>
    <w:rsid w:val="00CA09E3"/>
    <w:rsid w:val="00CA0A47"/>
    <w:rsid w:val="00CA0B9E"/>
    <w:rsid w:val="00CA0C15"/>
    <w:rsid w:val="00CA0C72"/>
    <w:rsid w:val="00CA0CB9"/>
    <w:rsid w:val="00CA0D57"/>
    <w:rsid w:val="00CA0D8B"/>
    <w:rsid w:val="00CA0DBD"/>
    <w:rsid w:val="00CA0E9C"/>
    <w:rsid w:val="00CA0F48"/>
    <w:rsid w:val="00CA0F67"/>
    <w:rsid w:val="00CA1036"/>
    <w:rsid w:val="00CA1183"/>
    <w:rsid w:val="00CA11D5"/>
    <w:rsid w:val="00CA11FA"/>
    <w:rsid w:val="00CA126A"/>
    <w:rsid w:val="00CA1446"/>
    <w:rsid w:val="00CA14C0"/>
    <w:rsid w:val="00CA14CA"/>
    <w:rsid w:val="00CA14F4"/>
    <w:rsid w:val="00CA154C"/>
    <w:rsid w:val="00CA1553"/>
    <w:rsid w:val="00CA1682"/>
    <w:rsid w:val="00CA170C"/>
    <w:rsid w:val="00CA171B"/>
    <w:rsid w:val="00CA1727"/>
    <w:rsid w:val="00CA1760"/>
    <w:rsid w:val="00CA1949"/>
    <w:rsid w:val="00CA19AC"/>
    <w:rsid w:val="00CA1AF4"/>
    <w:rsid w:val="00CA1D8C"/>
    <w:rsid w:val="00CA1DED"/>
    <w:rsid w:val="00CA1E10"/>
    <w:rsid w:val="00CA1E6E"/>
    <w:rsid w:val="00CA1E98"/>
    <w:rsid w:val="00CA2086"/>
    <w:rsid w:val="00CA2091"/>
    <w:rsid w:val="00CA232D"/>
    <w:rsid w:val="00CA23B8"/>
    <w:rsid w:val="00CA254C"/>
    <w:rsid w:val="00CA2674"/>
    <w:rsid w:val="00CA26E8"/>
    <w:rsid w:val="00CA26F2"/>
    <w:rsid w:val="00CA2706"/>
    <w:rsid w:val="00CA2892"/>
    <w:rsid w:val="00CA289B"/>
    <w:rsid w:val="00CA296D"/>
    <w:rsid w:val="00CA29BB"/>
    <w:rsid w:val="00CA2A0C"/>
    <w:rsid w:val="00CA2A78"/>
    <w:rsid w:val="00CA2A9B"/>
    <w:rsid w:val="00CA2ACB"/>
    <w:rsid w:val="00CA2B04"/>
    <w:rsid w:val="00CA2B6C"/>
    <w:rsid w:val="00CA2B7B"/>
    <w:rsid w:val="00CA2B99"/>
    <w:rsid w:val="00CA2C1B"/>
    <w:rsid w:val="00CA2C68"/>
    <w:rsid w:val="00CA2D60"/>
    <w:rsid w:val="00CA2DA8"/>
    <w:rsid w:val="00CA2DCB"/>
    <w:rsid w:val="00CA2E36"/>
    <w:rsid w:val="00CA2EED"/>
    <w:rsid w:val="00CA3016"/>
    <w:rsid w:val="00CA3102"/>
    <w:rsid w:val="00CA3150"/>
    <w:rsid w:val="00CA31A6"/>
    <w:rsid w:val="00CA32DE"/>
    <w:rsid w:val="00CA3336"/>
    <w:rsid w:val="00CA342F"/>
    <w:rsid w:val="00CA343D"/>
    <w:rsid w:val="00CA3524"/>
    <w:rsid w:val="00CA368F"/>
    <w:rsid w:val="00CA37D3"/>
    <w:rsid w:val="00CA37F7"/>
    <w:rsid w:val="00CA38CB"/>
    <w:rsid w:val="00CA3936"/>
    <w:rsid w:val="00CA3999"/>
    <w:rsid w:val="00CA39ED"/>
    <w:rsid w:val="00CA3AF4"/>
    <w:rsid w:val="00CA3B35"/>
    <w:rsid w:val="00CA3BB9"/>
    <w:rsid w:val="00CA3D71"/>
    <w:rsid w:val="00CA3DE3"/>
    <w:rsid w:val="00CA3FC8"/>
    <w:rsid w:val="00CA42BC"/>
    <w:rsid w:val="00CA4491"/>
    <w:rsid w:val="00CA450D"/>
    <w:rsid w:val="00CA450E"/>
    <w:rsid w:val="00CA4662"/>
    <w:rsid w:val="00CA47B1"/>
    <w:rsid w:val="00CA4855"/>
    <w:rsid w:val="00CA48CE"/>
    <w:rsid w:val="00CA48D3"/>
    <w:rsid w:val="00CA4A84"/>
    <w:rsid w:val="00CA4ADF"/>
    <w:rsid w:val="00CA4DB0"/>
    <w:rsid w:val="00CA4E9A"/>
    <w:rsid w:val="00CA4F0E"/>
    <w:rsid w:val="00CA5026"/>
    <w:rsid w:val="00CA5093"/>
    <w:rsid w:val="00CA50A8"/>
    <w:rsid w:val="00CA50AE"/>
    <w:rsid w:val="00CA50B1"/>
    <w:rsid w:val="00CA53A1"/>
    <w:rsid w:val="00CA543B"/>
    <w:rsid w:val="00CA54C7"/>
    <w:rsid w:val="00CA54EC"/>
    <w:rsid w:val="00CA5521"/>
    <w:rsid w:val="00CA55AB"/>
    <w:rsid w:val="00CA55C6"/>
    <w:rsid w:val="00CA56F8"/>
    <w:rsid w:val="00CA5840"/>
    <w:rsid w:val="00CA58B6"/>
    <w:rsid w:val="00CA5A2E"/>
    <w:rsid w:val="00CA5A64"/>
    <w:rsid w:val="00CA5AFA"/>
    <w:rsid w:val="00CA5B89"/>
    <w:rsid w:val="00CA5C7F"/>
    <w:rsid w:val="00CA5E5B"/>
    <w:rsid w:val="00CA6194"/>
    <w:rsid w:val="00CA6241"/>
    <w:rsid w:val="00CA6253"/>
    <w:rsid w:val="00CA62BB"/>
    <w:rsid w:val="00CA62F2"/>
    <w:rsid w:val="00CA6311"/>
    <w:rsid w:val="00CA63D7"/>
    <w:rsid w:val="00CA647F"/>
    <w:rsid w:val="00CA64FF"/>
    <w:rsid w:val="00CA6654"/>
    <w:rsid w:val="00CA6676"/>
    <w:rsid w:val="00CA66C9"/>
    <w:rsid w:val="00CA66EB"/>
    <w:rsid w:val="00CA67B6"/>
    <w:rsid w:val="00CA67C5"/>
    <w:rsid w:val="00CA68B6"/>
    <w:rsid w:val="00CA695B"/>
    <w:rsid w:val="00CA6988"/>
    <w:rsid w:val="00CA69E8"/>
    <w:rsid w:val="00CA6B73"/>
    <w:rsid w:val="00CA6BE8"/>
    <w:rsid w:val="00CA6CB9"/>
    <w:rsid w:val="00CA6CBD"/>
    <w:rsid w:val="00CA6D88"/>
    <w:rsid w:val="00CA6DF4"/>
    <w:rsid w:val="00CA6E26"/>
    <w:rsid w:val="00CA6E97"/>
    <w:rsid w:val="00CA6EAD"/>
    <w:rsid w:val="00CA6F65"/>
    <w:rsid w:val="00CA7053"/>
    <w:rsid w:val="00CA7056"/>
    <w:rsid w:val="00CA70CA"/>
    <w:rsid w:val="00CA7147"/>
    <w:rsid w:val="00CA71AB"/>
    <w:rsid w:val="00CA72DD"/>
    <w:rsid w:val="00CA7473"/>
    <w:rsid w:val="00CA7549"/>
    <w:rsid w:val="00CA7607"/>
    <w:rsid w:val="00CA7667"/>
    <w:rsid w:val="00CA76D1"/>
    <w:rsid w:val="00CA7714"/>
    <w:rsid w:val="00CA7726"/>
    <w:rsid w:val="00CA77BC"/>
    <w:rsid w:val="00CA7A4E"/>
    <w:rsid w:val="00CA7B10"/>
    <w:rsid w:val="00CA7B2F"/>
    <w:rsid w:val="00CA7B94"/>
    <w:rsid w:val="00CA7BD6"/>
    <w:rsid w:val="00CA7BE9"/>
    <w:rsid w:val="00CA7C28"/>
    <w:rsid w:val="00CA7D41"/>
    <w:rsid w:val="00CA7D43"/>
    <w:rsid w:val="00CA7D81"/>
    <w:rsid w:val="00CA7DA9"/>
    <w:rsid w:val="00CA7DBE"/>
    <w:rsid w:val="00CA7E18"/>
    <w:rsid w:val="00CA7FDA"/>
    <w:rsid w:val="00CB0029"/>
    <w:rsid w:val="00CB00BA"/>
    <w:rsid w:val="00CB01A7"/>
    <w:rsid w:val="00CB033E"/>
    <w:rsid w:val="00CB050E"/>
    <w:rsid w:val="00CB0616"/>
    <w:rsid w:val="00CB0642"/>
    <w:rsid w:val="00CB064B"/>
    <w:rsid w:val="00CB06A1"/>
    <w:rsid w:val="00CB0B09"/>
    <w:rsid w:val="00CB0B2F"/>
    <w:rsid w:val="00CB0C79"/>
    <w:rsid w:val="00CB0DE4"/>
    <w:rsid w:val="00CB0E37"/>
    <w:rsid w:val="00CB0EDA"/>
    <w:rsid w:val="00CB1007"/>
    <w:rsid w:val="00CB1133"/>
    <w:rsid w:val="00CB1180"/>
    <w:rsid w:val="00CB1219"/>
    <w:rsid w:val="00CB1248"/>
    <w:rsid w:val="00CB134E"/>
    <w:rsid w:val="00CB1414"/>
    <w:rsid w:val="00CB1588"/>
    <w:rsid w:val="00CB15A3"/>
    <w:rsid w:val="00CB1715"/>
    <w:rsid w:val="00CB1720"/>
    <w:rsid w:val="00CB1730"/>
    <w:rsid w:val="00CB176A"/>
    <w:rsid w:val="00CB1799"/>
    <w:rsid w:val="00CB191B"/>
    <w:rsid w:val="00CB1B4A"/>
    <w:rsid w:val="00CB1DAF"/>
    <w:rsid w:val="00CB1E04"/>
    <w:rsid w:val="00CB1E6D"/>
    <w:rsid w:val="00CB1EC2"/>
    <w:rsid w:val="00CB1F9C"/>
    <w:rsid w:val="00CB1FBD"/>
    <w:rsid w:val="00CB1FC4"/>
    <w:rsid w:val="00CB1FEE"/>
    <w:rsid w:val="00CB202E"/>
    <w:rsid w:val="00CB205A"/>
    <w:rsid w:val="00CB20D1"/>
    <w:rsid w:val="00CB20D4"/>
    <w:rsid w:val="00CB2237"/>
    <w:rsid w:val="00CB2358"/>
    <w:rsid w:val="00CB2511"/>
    <w:rsid w:val="00CB2528"/>
    <w:rsid w:val="00CB25A0"/>
    <w:rsid w:val="00CB2657"/>
    <w:rsid w:val="00CB26C7"/>
    <w:rsid w:val="00CB2751"/>
    <w:rsid w:val="00CB2786"/>
    <w:rsid w:val="00CB278C"/>
    <w:rsid w:val="00CB2804"/>
    <w:rsid w:val="00CB2828"/>
    <w:rsid w:val="00CB2910"/>
    <w:rsid w:val="00CB2A41"/>
    <w:rsid w:val="00CB2A8D"/>
    <w:rsid w:val="00CB2AD8"/>
    <w:rsid w:val="00CB2B24"/>
    <w:rsid w:val="00CB2C32"/>
    <w:rsid w:val="00CB2CA9"/>
    <w:rsid w:val="00CB2CEB"/>
    <w:rsid w:val="00CB2DA9"/>
    <w:rsid w:val="00CB2F67"/>
    <w:rsid w:val="00CB3126"/>
    <w:rsid w:val="00CB315E"/>
    <w:rsid w:val="00CB31E2"/>
    <w:rsid w:val="00CB31EE"/>
    <w:rsid w:val="00CB330F"/>
    <w:rsid w:val="00CB3370"/>
    <w:rsid w:val="00CB33FA"/>
    <w:rsid w:val="00CB3526"/>
    <w:rsid w:val="00CB35BA"/>
    <w:rsid w:val="00CB3863"/>
    <w:rsid w:val="00CB38C1"/>
    <w:rsid w:val="00CB3A25"/>
    <w:rsid w:val="00CB3B16"/>
    <w:rsid w:val="00CB3BB1"/>
    <w:rsid w:val="00CB3CE4"/>
    <w:rsid w:val="00CB3D8B"/>
    <w:rsid w:val="00CB3E2F"/>
    <w:rsid w:val="00CB3F5A"/>
    <w:rsid w:val="00CB3FAC"/>
    <w:rsid w:val="00CB4095"/>
    <w:rsid w:val="00CB41E6"/>
    <w:rsid w:val="00CB4283"/>
    <w:rsid w:val="00CB4296"/>
    <w:rsid w:val="00CB44B7"/>
    <w:rsid w:val="00CB460D"/>
    <w:rsid w:val="00CB4688"/>
    <w:rsid w:val="00CB46A7"/>
    <w:rsid w:val="00CB46CC"/>
    <w:rsid w:val="00CB49F7"/>
    <w:rsid w:val="00CB4BB0"/>
    <w:rsid w:val="00CB4BCF"/>
    <w:rsid w:val="00CB4DCF"/>
    <w:rsid w:val="00CB500C"/>
    <w:rsid w:val="00CB507F"/>
    <w:rsid w:val="00CB50DA"/>
    <w:rsid w:val="00CB518F"/>
    <w:rsid w:val="00CB52D1"/>
    <w:rsid w:val="00CB52D3"/>
    <w:rsid w:val="00CB530B"/>
    <w:rsid w:val="00CB5322"/>
    <w:rsid w:val="00CB5359"/>
    <w:rsid w:val="00CB5367"/>
    <w:rsid w:val="00CB56DB"/>
    <w:rsid w:val="00CB57FE"/>
    <w:rsid w:val="00CB587F"/>
    <w:rsid w:val="00CB5A20"/>
    <w:rsid w:val="00CB5AAD"/>
    <w:rsid w:val="00CB5B7A"/>
    <w:rsid w:val="00CB5BB6"/>
    <w:rsid w:val="00CB5BD3"/>
    <w:rsid w:val="00CB5E67"/>
    <w:rsid w:val="00CB5F78"/>
    <w:rsid w:val="00CB5FA9"/>
    <w:rsid w:val="00CB6046"/>
    <w:rsid w:val="00CB6177"/>
    <w:rsid w:val="00CB61D2"/>
    <w:rsid w:val="00CB62C2"/>
    <w:rsid w:val="00CB656C"/>
    <w:rsid w:val="00CB6580"/>
    <w:rsid w:val="00CB65C9"/>
    <w:rsid w:val="00CB6641"/>
    <w:rsid w:val="00CB68C4"/>
    <w:rsid w:val="00CB69A6"/>
    <w:rsid w:val="00CB6BFD"/>
    <w:rsid w:val="00CB6D5C"/>
    <w:rsid w:val="00CB6E89"/>
    <w:rsid w:val="00CB6F2B"/>
    <w:rsid w:val="00CB7025"/>
    <w:rsid w:val="00CB702B"/>
    <w:rsid w:val="00CB7086"/>
    <w:rsid w:val="00CB71A1"/>
    <w:rsid w:val="00CB71BC"/>
    <w:rsid w:val="00CB7215"/>
    <w:rsid w:val="00CB724D"/>
    <w:rsid w:val="00CB7375"/>
    <w:rsid w:val="00CB73CA"/>
    <w:rsid w:val="00CB73D9"/>
    <w:rsid w:val="00CB74DA"/>
    <w:rsid w:val="00CB751A"/>
    <w:rsid w:val="00CB766C"/>
    <w:rsid w:val="00CB76E9"/>
    <w:rsid w:val="00CB76F6"/>
    <w:rsid w:val="00CB7A50"/>
    <w:rsid w:val="00CB7A62"/>
    <w:rsid w:val="00CB7ACA"/>
    <w:rsid w:val="00CB7B78"/>
    <w:rsid w:val="00CB7C48"/>
    <w:rsid w:val="00CB7C90"/>
    <w:rsid w:val="00CB7D05"/>
    <w:rsid w:val="00CB7D72"/>
    <w:rsid w:val="00CB7DCD"/>
    <w:rsid w:val="00CB7F65"/>
    <w:rsid w:val="00CC0082"/>
    <w:rsid w:val="00CC025E"/>
    <w:rsid w:val="00CC026F"/>
    <w:rsid w:val="00CC028B"/>
    <w:rsid w:val="00CC0342"/>
    <w:rsid w:val="00CC043F"/>
    <w:rsid w:val="00CC0516"/>
    <w:rsid w:val="00CC0571"/>
    <w:rsid w:val="00CC06EB"/>
    <w:rsid w:val="00CC0774"/>
    <w:rsid w:val="00CC07C9"/>
    <w:rsid w:val="00CC091F"/>
    <w:rsid w:val="00CC09AE"/>
    <w:rsid w:val="00CC0A95"/>
    <w:rsid w:val="00CC0B19"/>
    <w:rsid w:val="00CC0B8B"/>
    <w:rsid w:val="00CC0BC4"/>
    <w:rsid w:val="00CC0CF0"/>
    <w:rsid w:val="00CC0F19"/>
    <w:rsid w:val="00CC0FE7"/>
    <w:rsid w:val="00CC0FFA"/>
    <w:rsid w:val="00CC11D1"/>
    <w:rsid w:val="00CC1227"/>
    <w:rsid w:val="00CC14BF"/>
    <w:rsid w:val="00CC14FD"/>
    <w:rsid w:val="00CC1548"/>
    <w:rsid w:val="00CC15A6"/>
    <w:rsid w:val="00CC16BE"/>
    <w:rsid w:val="00CC16DF"/>
    <w:rsid w:val="00CC170E"/>
    <w:rsid w:val="00CC172C"/>
    <w:rsid w:val="00CC173D"/>
    <w:rsid w:val="00CC17B8"/>
    <w:rsid w:val="00CC18EF"/>
    <w:rsid w:val="00CC1909"/>
    <w:rsid w:val="00CC1C51"/>
    <w:rsid w:val="00CC1CC6"/>
    <w:rsid w:val="00CC1D0E"/>
    <w:rsid w:val="00CC1D55"/>
    <w:rsid w:val="00CC1E1F"/>
    <w:rsid w:val="00CC1E21"/>
    <w:rsid w:val="00CC1E30"/>
    <w:rsid w:val="00CC1E4F"/>
    <w:rsid w:val="00CC1FE7"/>
    <w:rsid w:val="00CC22BA"/>
    <w:rsid w:val="00CC22CB"/>
    <w:rsid w:val="00CC22F7"/>
    <w:rsid w:val="00CC2343"/>
    <w:rsid w:val="00CC23CD"/>
    <w:rsid w:val="00CC23E8"/>
    <w:rsid w:val="00CC240B"/>
    <w:rsid w:val="00CC245C"/>
    <w:rsid w:val="00CC249C"/>
    <w:rsid w:val="00CC24C2"/>
    <w:rsid w:val="00CC24F4"/>
    <w:rsid w:val="00CC253C"/>
    <w:rsid w:val="00CC2623"/>
    <w:rsid w:val="00CC26EC"/>
    <w:rsid w:val="00CC281A"/>
    <w:rsid w:val="00CC2861"/>
    <w:rsid w:val="00CC28F9"/>
    <w:rsid w:val="00CC2A0F"/>
    <w:rsid w:val="00CC2AE3"/>
    <w:rsid w:val="00CC2B32"/>
    <w:rsid w:val="00CC2C55"/>
    <w:rsid w:val="00CC2C63"/>
    <w:rsid w:val="00CC2DBB"/>
    <w:rsid w:val="00CC2E9C"/>
    <w:rsid w:val="00CC2F45"/>
    <w:rsid w:val="00CC2F72"/>
    <w:rsid w:val="00CC309C"/>
    <w:rsid w:val="00CC31AD"/>
    <w:rsid w:val="00CC3277"/>
    <w:rsid w:val="00CC32C9"/>
    <w:rsid w:val="00CC3597"/>
    <w:rsid w:val="00CC35AD"/>
    <w:rsid w:val="00CC35B4"/>
    <w:rsid w:val="00CC36AF"/>
    <w:rsid w:val="00CC36C9"/>
    <w:rsid w:val="00CC3742"/>
    <w:rsid w:val="00CC3981"/>
    <w:rsid w:val="00CC3AA3"/>
    <w:rsid w:val="00CC3D1F"/>
    <w:rsid w:val="00CC3D45"/>
    <w:rsid w:val="00CC3DC8"/>
    <w:rsid w:val="00CC3E51"/>
    <w:rsid w:val="00CC3F19"/>
    <w:rsid w:val="00CC4036"/>
    <w:rsid w:val="00CC418C"/>
    <w:rsid w:val="00CC41F5"/>
    <w:rsid w:val="00CC4201"/>
    <w:rsid w:val="00CC4264"/>
    <w:rsid w:val="00CC4275"/>
    <w:rsid w:val="00CC4301"/>
    <w:rsid w:val="00CC4343"/>
    <w:rsid w:val="00CC4351"/>
    <w:rsid w:val="00CC43DD"/>
    <w:rsid w:val="00CC4404"/>
    <w:rsid w:val="00CC4796"/>
    <w:rsid w:val="00CC4858"/>
    <w:rsid w:val="00CC48B1"/>
    <w:rsid w:val="00CC48C0"/>
    <w:rsid w:val="00CC48C5"/>
    <w:rsid w:val="00CC4917"/>
    <w:rsid w:val="00CC4A23"/>
    <w:rsid w:val="00CC4B86"/>
    <w:rsid w:val="00CC4BA3"/>
    <w:rsid w:val="00CC4BF7"/>
    <w:rsid w:val="00CC4C19"/>
    <w:rsid w:val="00CC4C37"/>
    <w:rsid w:val="00CC4C92"/>
    <w:rsid w:val="00CC4D5C"/>
    <w:rsid w:val="00CC4D9F"/>
    <w:rsid w:val="00CC4DBF"/>
    <w:rsid w:val="00CC4E5D"/>
    <w:rsid w:val="00CC4E64"/>
    <w:rsid w:val="00CC4EC0"/>
    <w:rsid w:val="00CC4F51"/>
    <w:rsid w:val="00CC4F8F"/>
    <w:rsid w:val="00CC5051"/>
    <w:rsid w:val="00CC507B"/>
    <w:rsid w:val="00CC509F"/>
    <w:rsid w:val="00CC50BC"/>
    <w:rsid w:val="00CC5116"/>
    <w:rsid w:val="00CC513D"/>
    <w:rsid w:val="00CC5159"/>
    <w:rsid w:val="00CC520C"/>
    <w:rsid w:val="00CC536F"/>
    <w:rsid w:val="00CC546A"/>
    <w:rsid w:val="00CC549E"/>
    <w:rsid w:val="00CC5669"/>
    <w:rsid w:val="00CC574C"/>
    <w:rsid w:val="00CC57B9"/>
    <w:rsid w:val="00CC5807"/>
    <w:rsid w:val="00CC590D"/>
    <w:rsid w:val="00CC5929"/>
    <w:rsid w:val="00CC5A75"/>
    <w:rsid w:val="00CC5BCD"/>
    <w:rsid w:val="00CC5CD5"/>
    <w:rsid w:val="00CC5CF5"/>
    <w:rsid w:val="00CC5E56"/>
    <w:rsid w:val="00CC5E59"/>
    <w:rsid w:val="00CC5E8C"/>
    <w:rsid w:val="00CC616D"/>
    <w:rsid w:val="00CC622D"/>
    <w:rsid w:val="00CC636B"/>
    <w:rsid w:val="00CC636D"/>
    <w:rsid w:val="00CC646D"/>
    <w:rsid w:val="00CC65E5"/>
    <w:rsid w:val="00CC66A1"/>
    <w:rsid w:val="00CC66EF"/>
    <w:rsid w:val="00CC66FE"/>
    <w:rsid w:val="00CC67AF"/>
    <w:rsid w:val="00CC68DE"/>
    <w:rsid w:val="00CC6990"/>
    <w:rsid w:val="00CC6992"/>
    <w:rsid w:val="00CC6B1E"/>
    <w:rsid w:val="00CC6B5F"/>
    <w:rsid w:val="00CC6C11"/>
    <w:rsid w:val="00CC6CB7"/>
    <w:rsid w:val="00CC6CC2"/>
    <w:rsid w:val="00CC6D19"/>
    <w:rsid w:val="00CC6D1B"/>
    <w:rsid w:val="00CC6DFB"/>
    <w:rsid w:val="00CC6E5A"/>
    <w:rsid w:val="00CC6EAB"/>
    <w:rsid w:val="00CC70AF"/>
    <w:rsid w:val="00CC7119"/>
    <w:rsid w:val="00CC7336"/>
    <w:rsid w:val="00CC73A1"/>
    <w:rsid w:val="00CC73DE"/>
    <w:rsid w:val="00CC73E1"/>
    <w:rsid w:val="00CC75A2"/>
    <w:rsid w:val="00CC75AE"/>
    <w:rsid w:val="00CC7736"/>
    <w:rsid w:val="00CC7756"/>
    <w:rsid w:val="00CC775A"/>
    <w:rsid w:val="00CC7815"/>
    <w:rsid w:val="00CC781F"/>
    <w:rsid w:val="00CC78B4"/>
    <w:rsid w:val="00CC7904"/>
    <w:rsid w:val="00CC79B4"/>
    <w:rsid w:val="00CC79E5"/>
    <w:rsid w:val="00CC7AFB"/>
    <w:rsid w:val="00CC7ED8"/>
    <w:rsid w:val="00CC7EE4"/>
    <w:rsid w:val="00CC7F44"/>
    <w:rsid w:val="00CC7FA2"/>
    <w:rsid w:val="00CC7FBC"/>
    <w:rsid w:val="00CD00B6"/>
    <w:rsid w:val="00CD00B7"/>
    <w:rsid w:val="00CD010B"/>
    <w:rsid w:val="00CD011D"/>
    <w:rsid w:val="00CD0347"/>
    <w:rsid w:val="00CD0515"/>
    <w:rsid w:val="00CD05A8"/>
    <w:rsid w:val="00CD0664"/>
    <w:rsid w:val="00CD0665"/>
    <w:rsid w:val="00CD089A"/>
    <w:rsid w:val="00CD08CA"/>
    <w:rsid w:val="00CD0977"/>
    <w:rsid w:val="00CD0A17"/>
    <w:rsid w:val="00CD0B27"/>
    <w:rsid w:val="00CD0B3C"/>
    <w:rsid w:val="00CD0C1B"/>
    <w:rsid w:val="00CD0C42"/>
    <w:rsid w:val="00CD0CA9"/>
    <w:rsid w:val="00CD0D8A"/>
    <w:rsid w:val="00CD0DC4"/>
    <w:rsid w:val="00CD0FB6"/>
    <w:rsid w:val="00CD0FF0"/>
    <w:rsid w:val="00CD1071"/>
    <w:rsid w:val="00CD119C"/>
    <w:rsid w:val="00CD124D"/>
    <w:rsid w:val="00CD12F9"/>
    <w:rsid w:val="00CD1376"/>
    <w:rsid w:val="00CD1394"/>
    <w:rsid w:val="00CD13CF"/>
    <w:rsid w:val="00CD147A"/>
    <w:rsid w:val="00CD1492"/>
    <w:rsid w:val="00CD1576"/>
    <w:rsid w:val="00CD15CF"/>
    <w:rsid w:val="00CD17A9"/>
    <w:rsid w:val="00CD1935"/>
    <w:rsid w:val="00CD197F"/>
    <w:rsid w:val="00CD19EB"/>
    <w:rsid w:val="00CD1A91"/>
    <w:rsid w:val="00CD1AA9"/>
    <w:rsid w:val="00CD1AF1"/>
    <w:rsid w:val="00CD1AFC"/>
    <w:rsid w:val="00CD1B63"/>
    <w:rsid w:val="00CD1C14"/>
    <w:rsid w:val="00CD1C97"/>
    <w:rsid w:val="00CD1D63"/>
    <w:rsid w:val="00CD1E39"/>
    <w:rsid w:val="00CD1EC8"/>
    <w:rsid w:val="00CD1F0D"/>
    <w:rsid w:val="00CD1FF0"/>
    <w:rsid w:val="00CD2031"/>
    <w:rsid w:val="00CD212A"/>
    <w:rsid w:val="00CD215E"/>
    <w:rsid w:val="00CD21AB"/>
    <w:rsid w:val="00CD21D9"/>
    <w:rsid w:val="00CD2311"/>
    <w:rsid w:val="00CD24B3"/>
    <w:rsid w:val="00CD254F"/>
    <w:rsid w:val="00CD256C"/>
    <w:rsid w:val="00CD26E3"/>
    <w:rsid w:val="00CD27B1"/>
    <w:rsid w:val="00CD27C2"/>
    <w:rsid w:val="00CD28F7"/>
    <w:rsid w:val="00CD2B28"/>
    <w:rsid w:val="00CD2C2B"/>
    <w:rsid w:val="00CD2FA7"/>
    <w:rsid w:val="00CD30C4"/>
    <w:rsid w:val="00CD30ED"/>
    <w:rsid w:val="00CD312B"/>
    <w:rsid w:val="00CD3196"/>
    <w:rsid w:val="00CD31AF"/>
    <w:rsid w:val="00CD3249"/>
    <w:rsid w:val="00CD3270"/>
    <w:rsid w:val="00CD334D"/>
    <w:rsid w:val="00CD336F"/>
    <w:rsid w:val="00CD33B7"/>
    <w:rsid w:val="00CD3428"/>
    <w:rsid w:val="00CD363E"/>
    <w:rsid w:val="00CD365C"/>
    <w:rsid w:val="00CD36D7"/>
    <w:rsid w:val="00CD372D"/>
    <w:rsid w:val="00CD3838"/>
    <w:rsid w:val="00CD3899"/>
    <w:rsid w:val="00CD38BC"/>
    <w:rsid w:val="00CD38DD"/>
    <w:rsid w:val="00CD3940"/>
    <w:rsid w:val="00CD3A73"/>
    <w:rsid w:val="00CD3A8B"/>
    <w:rsid w:val="00CD3AB2"/>
    <w:rsid w:val="00CD3AD1"/>
    <w:rsid w:val="00CD3AF1"/>
    <w:rsid w:val="00CD3BE5"/>
    <w:rsid w:val="00CD3C4E"/>
    <w:rsid w:val="00CD3C73"/>
    <w:rsid w:val="00CD3D4C"/>
    <w:rsid w:val="00CD3E70"/>
    <w:rsid w:val="00CD3F10"/>
    <w:rsid w:val="00CD3FB5"/>
    <w:rsid w:val="00CD4109"/>
    <w:rsid w:val="00CD4227"/>
    <w:rsid w:val="00CD44BA"/>
    <w:rsid w:val="00CD46CD"/>
    <w:rsid w:val="00CD47C6"/>
    <w:rsid w:val="00CD497A"/>
    <w:rsid w:val="00CD49B5"/>
    <w:rsid w:val="00CD49E8"/>
    <w:rsid w:val="00CD4A0D"/>
    <w:rsid w:val="00CD4A3A"/>
    <w:rsid w:val="00CD4A4F"/>
    <w:rsid w:val="00CD4AB4"/>
    <w:rsid w:val="00CD4C34"/>
    <w:rsid w:val="00CD4DB1"/>
    <w:rsid w:val="00CD4E16"/>
    <w:rsid w:val="00CD4E8D"/>
    <w:rsid w:val="00CD4F22"/>
    <w:rsid w:val="00CD50B9"/>
    <w:rsid w:val="00CD51FC"/>
    <w:rsid w:val="00CD535F"/>
    <w:rsid w:val="00CD5362"/>
    <w:rsid w:val="00CD53B6"/>
    <w:rsid w:val="00CD53BF"/>
    <w:rsid w:val="00CD54AE"/>
    <w:rsid w:val="00CD5508"/>
    <w:rsid w:val="00CD550D"/>
    <w:rsid w:val="00CD5566"/>
    <w:rsid w:val="00CD564A"/>
    <w:rsid w:val="00CD587C"/>
    <w:rsid w:val="00CD58B7"/>
    <w:rsid w:val="00CD58E1"/>
    <w:rsid w:val="00CD5952"/>
    <w:rsid w:val="00CD597C"/>
    <w:rsid w:val="00CD59EC"/>
    <w:rsid w:val="00CD5A21"/>
    <w:rsid w:val="00CD5A46"/>
    <w:rsid w:val="00CD5A78"/>
    <w:rsid w:val="00CD5AF5"/>
    <w:rsid w:val="00CD5B41"/>
    <w:rsid w:val="00CD5D47"/>
    <w:rsid w:val="00CD5DD3"/>
    <w:rsid w:val="00CD5E57"/>
    <w:rsid w:val="00CD5FB3"/>
    <w:rsid w:val="00CD5FEA"/>
    <w:rsid w:val="00CD6059"/>
    <w:rsid w:val="00CD620C"/>
    <w:rsid w:val="00CD629F"/>
    <w:rsid w:val="00CD634C"/>
    <w:rsid w:val="00CD63F1"/>
    <w:rsid w:val="00CD6434"/>
    <w:rsid w:val="00CD6437"/>
    <w:rsid w:val="00CD64C0"/>
    <w:rsid w:val="00CD64E8"/>
    <w:rsid w:val="00CD65BE"/>
    <w:rsid w:val="00CD65EF"/>
    <w:rsid w:val="00CD6625"/>
    <w:rsid w:val="00CD670A"/>
    <w:rsid w:val="00CD6717"/>
    <w:rsid w:val="00CD68D0"/>
    <w:rsid w:val="00CD6A27"/>
    <w:rsid w:val="00CD6B84"/>
    <w:rsid w:val="00CD6B9C"/>
    <w:rsid w:val="00CD6CC5"/>
    <w:rsid w:val="00CD6D5E"/>
    <w:rsid w:val="00CD6E85"/>
    <w:rsid w:val="00CD6EA1"/>
    <w:rsid w:val="00CD6F6A"/>
    <w:rsid w:val="00CD70E7"/>
    <w:rsid w:val="00CD70FA"/>
    <w:rsid w:val="00CD7148"/>
    <w:rsid w:val="00CD723A"/>
    <w:rsid w:val="00CD725D"/>
    <w:rsid w:val="00CD7377"/>
    <w:rsid w:val="00CD7478"/>
    <w:rsid w:val="00CD74F4"/>
    <w:rsid w:val="00CD74F6"/>
    <w:rsid w:val="00CD752A"/>
    <w:rsid w:val="00CD75A8"/>
    <w:rsid w:val="00CD766D"/>
    <w:rsid w:val="00CD76FF"/>
    <w:rsid w:val="00CD784A"/>
    <w:rsid w:val="00CD78B2"/>
    <w:rsid w:val="00CD78C2"/>
    <w:rsid w:val="00CD7902"/>
    <w:rsid w:val="00CD797B"/>
    <w:rsid w:val="00CD7986"/>
    <w:rsid w:val="00CD79DB"/>
    <w:rsid w:val="00CD7A39"/>
    <w:rsid w:val="00CD7D4C"/>
    <w:rsid w:val="00CD7D9D"/>
    <w:rsid w:val="00CD7E11"/>
    <w:rsid w:val="00CD7EA2"/>
    <w:rsid w:val="00CE0072"/>
    <w:rsid w:val="00CE0375"/>
    <w:rsid w:val="00CE0395"/>
    <w:rsid w:val="00CE04D0"/>
    <w:rsid w:val="00CE05CD"/>
    <w:rsid w:val="00CE06EF"/>
    <w:rsid w:val="00CE0719"/>
    <w:rsid w:val="00CE0721"/>
    <w:rsid w:val="00CE0740"/>
    <w:rsid w:val="00CE07CC"/>
    <w:rsid w:val="00CE07EE"/>
    <w:rsid w:val="00CE088C"/>
    <w:rsid w:val="00CE0CAF"/>
    <w:rsid w:val="00CE0D6C"/>
    <w:rsid w:val="00CE0DEE"/>
    <w:rsid w:val="00CE0DFE"/>
    <w:rsid w:val="00CE0F88"/>
    <w:rsid w:val="00CE0FA5"/>
    <w:rsid w:val="00CE106D"/>
    <w:rsid w:val="00CE119E"/>
    <w:rsid w:val="00CE1216"/>
    <w:rsid w:val="00CE1268"/>
    <w:rsid w:val="00CE12BC"/>
    <w:rsid w:val="00CE1312"/>
    <w:rsid w:val="00CE13BB"/>
    <w:rsid w:val="00CE13FD"/>
    <w:rsid w:val="00CE14D8"/>
    <w:rsid w:val="00CE151C"/>
    <w:rsid w:val="00CE1565"/>
    <w:rsid w:val="00CE174D"/>
    <w:rsid w:val="00CE18E4"/>
    <w:rsid w:val="00CE190C"/>
    <w:rsid w:val="00CE1B0F"/>
    <w:rsid w:val="00CE1B1C"/>
    <w:rsid w:val="00CE1B9D"/>
    <w:rsid w:val="00CE1C20"/>
    <w:rsid w:val="00CE1C56"/>
    <w:rsid w:val="00CE1D3C"/>
    <w:rsid w:val="00CE1D5E"/>
    <w:rsid w:val="00CE1EBE"/>
    <w:rsid w:val="00CE1F29"/>
    <w:rsid w:val="00CE1F4B"/>
    <w:rsid w:val="00CE1F7B"/>
    <w:rsid w:val="00CE2061"/>
    <w:rsid w:val="00CE225D"/>
    <w:rsid w:val="00CE2405"/>
    <w:rsid w:val="00CE24D7"/>
    <w:rsid w:val="00CE24E4"/>
    <w:rsid w:val="00CE2578"/>
    <w:rsid w:val="00CE2793"/>
    <w:rsid w:val="00CE287F"/>
    <w:rsid w:val="00CE28CC"/>
    <w:rsid w:val="00CE28E6"/>
    <w:rsid w:val="00CE2BF5"/>
    <w:rsid w:val="00CE2C51"/>
    <w:rsid w:val="00CE2C6D"/>
    <w:rsid w:val="00CE2C72"/>
    <w:rsid w:val="00CE2D34"/>
    <w:rsid w:val="00CE2D47"/>
    <w:rsid w:val="00CE2F5E"/>
    <w:rsid w:val="00CE30B0"/>
    <w:rsid w:val="00CE30E5"/>
    <w:rsid w:val="00CE321E"/>
    <w:rsid w:val="00CE3264"/>
    <w:rsid w:val="00CE3328"/>
    <w:rsid w:val="00CE3373"/>
    <w:rsid w:val="00CE33CC"/>
    <w:rsid w:val="00CE344C"/>
    <w:rsid w:val="00CE3496"/>
    <w:rsid w:val="00CE35E6"/>
    <w:rsid w:val="00CE367A"/>
    <w:rsid w:val="00CE367D"/>
    <w:rsid w:val="00CE36C0"/>
    <w:rsid w:val="00CE378A"/>
    <w:rsid w:val="00CE3877"/>
    <w:rsid w:val="00CE392B"/>
    <w:rsid w:val="00CE3A0A"/>
    <w:rsid w:val="00CE3A6D"/>
    <w:rsid w:val="00CE3AE2"/>
    <w:rsid w:val="00CE3AEA"/>
    <w:rsid w:val="00CE3BD0"/>
    <w:rsid w:val="00CE3CD3"/>
    <w:rsid w:val="00CE3CD7"/>
    <w:rsid w:val="00CE3E2D"/>
    <w:rsid w:val="00CE3F7D"/>
    <w:rsid w:val="00CE4027"/>
    <w:rsid w:val="00CE4112"/>
    <w:rsid w:val="00CE4145"/>
    <w:rsid w:val="00CE42FD"/>
    <w:rsid w:val="00CE4432"/>
    <w:rsid w:val="00CE4484"/>
    <w:rsid w:val="00CE4486"/>
    <w:rsid w:val="00CE45BA"/>
    <w:rsid w:val="00CE4711"/>
    <w:rsid w:val="00CE476E"/>
    <w:rsid w:val="00CE4773"/>
    <w:rsid w:val="00CE47B9"/>
    <w:rsid w:val="00CE48D8"/>
    <w:rsid w:val="00CE48F0"/>
    <w:rsid w:val="00CE48F9"/>
    <w:rsid w:val="00CE4962"/>
    <w:rsid w:val="00CE49FD"/>
    <w:rsid w:val="00CE4BEE"/>
    <w:rsid w:val="00CE4C18"/>
    <w:rsid w:val="00CE4C25"/>
    <w:rsid w:val="00CE4E7E"/>
    <w:rsid w:val="00CE51B6"/>
    <w:rsid w:val="00CE5222"/>
    <w:rsid w:val="00CE53C3"/>
    <w:rsid w:val="00CE53CF"/>
    <w:rsid w:val="00CE54C7"/>
    <w:rsid w:val="00CE54D5"/>
    <w:rsid w:val="00CE554C"/>
    <w:rsid w:val="00CE5559"/>
    <w:rsid w:val="00CE561D"/>
    <w:rsid w:val="00CE5735"/>
    <w:rsid w:val="00CE5757"/>
    <w:rsid w:val="00CE582A"/>
    <w:rsid w:val="00CE583F"/>
    <w:rsid w:val="00CE5946"/>
    <w:rsid w:val="00CE5973"/>
    <w:rsid w:val="00CE5B07"/>
    <w:rsid w:val="00CE5C0B"/>
    <w:rsid w:val="00CE5EC9"/>
    <w:rsid w:val="00CE5F29"/>
    <w:rsid w:val="00CE5F8F"/>
    <w:rsid w:val="00CE602E"/>
    <w:rsid w:val="00CE60E4"/>
    <w:rsid w:val="00CE631B"/>
    <w:rsid w:val="00CE6348"/>
    <w:rsid w:val="00CE6443"/>
    <w:rsid w:val="00CE659A"/>
    <w:rsid w:val="00CE6687"/>
    <w:rsid w:val="00CE6888"/>
    <w:rsid w:val="00CE6A50"/>
    <w:rsid w:val="00CE6C3D"/>
    <w:rsid w:val="00CE6CA4"/>
    <w:rsid w:val="00CE6D1A"/>
    <w:rsid w:val="00CE6DBC"/>
    <w:rsid w:val="00CE6ECE"/>
    <w:rsid w:val="00CE6EEB"/>
    <w:rsid w:val="00CE703D"/>
    <w:rsid w:val="00CE7136"/>
    <w:rsid w:val="00CE714D"/>
    <w:rsid w:val="00CE71F2"/>
    <w:rsid w:val="00CE72D6"/>
    <w:rsid w:val="00CE731A"/>
    <w:rsid w:val="00CE7364"/>
    <w:rsid w:val="00CE74D8"/>
    <w:rsid w:val="00CE7588"/>
    <w:rsid w:val="00CE7644"/>
    <w:rsid w:val="00CE768A"/>
    <w:rsid w:val="00CE7779"/>
    <w:rsid w:val="00CE779A"/>
    <w:rsid w:val="00CE7908"/>
    <w:rsid w:val="00CE791E"/>
    <w:rsid w:val="00CE793C"/>
    <w:rsid w:val="00CE7A1C"/>
    <w:rsid w:val="00CE7A6B"/>
    <w:rsid w:val="00CE7AD3"/>
    <w:rsid w:val="00CE7B69"/>
    <w:rsid w:val="00CE7C7A"/>
    <w:rsid w:val="00CE7D67"/>
    <w:rsid w:val="00CE7E37"/>
    <w:rsid w:val="00CE7E8D"/>
    <w:rsid w:val="00CF01DC"/>
    <w:rsid w:val="00CF0247"/>
    <w:rsid w:val="00CF029F"/>
    <w:rsid w:val="00CF0307"/>
    <w:rsid w:val="00CF0417"/>
    <w:rsid w:val="00CF045C"/>
    <w:rsid w:val="00CF05AF"/>
    <w:rsid w:val="00CF05F2"/>
    <w:rsid w:val="00CF070E"/>
    <w:rsid w:val="00CF079F"/>
    <w:rsid w:val="00CF07AF"/>
    <w:rsid w:val="00CF0A53"/>
    <w:rsid w:val="00CF0A5C"/>
    <w:rsid w:val="00CF0B2E"/>
    <w:rsid w:val="00CF0BF4"/>
    <w:rsid w:val="00CF0C16"/>
    <w:rsid w:val="00CF0C1A"/>
    <w:rsid w:val="00CF0CB1"/>
    <w:rsid w:val="00CF0CC4"/>
    <w:rsid w:val="00CF0D15"/>
    <w:rsid w:val="00CF0D9D"/>
    <w:rsid w:val="00CF0DB0"/>
    <w:rsid w:val="00CF0E03"/>
    <w:rsid w:val="00CF0E4A"/>
    <w:rsid w:val="00CF1265"/>
    <w:rsid w:val="00CF12A2"/>
    <w:rsid w:val="00CF12FC"/>
    <w:rsid w:val="00CF1318"/>
    <w:rsid w:val="00CF1355"/>
    <w:rsid w:val="00CF13A6"/>
    <w:rsid w:val="00CF13C5"/>
    <w:rsid w:val="00CF1513"/>
    <w:rsid w:val="00CF15BA"/>
    <w:rsid w:val="00CF15D3"/>
    <w:rsid w:val="00CF175D"/>
    <w:rsid w:val="00CF1786"/>
    <w:rsid w:val="00CF18A7"/>
    <w:rsid w:val="00CF18B3"/>
    <w:rsid w:val="00CF1918"/>
    <w:rsid w:val="00CF19EF"/>
    <w:rsid w:val="00CF1A47"/>
    <w:rsid w:val="00CF1AC9"/>
    <w:rsid w:val="00CF1ACD"/>
    <w:rsid w:val="00CF1AEB"/>
    <w:rsid w:val="00CF1B53"/>
    <w:rsid w:val="00CF1C10"/>
    <w:rsid w:val="00CF1E06"/>
    <w:rsid w:val="00CF1F23"/>
    <w:rsid w:val="00CF1F9A"/>
    <w:rsid w:val="00CF1FFB"/>
    <w:rsid w:val="00CF216A"/>
    <w:rsid w:val="00CF220E"/>
    <w:rsid w:val="00CF224D"/>
    <w:rsid w:val="00CF22AB"/>
    <w:rsid w:val="00CF2338"/>
    <w:rsid w:val="00CF23FB"/>
    <w:rsid w:val="00CF24F5"/>
    <w:rsid w:val="00CF255C"/>
    <w:rsid w:val="00CF259C"/>
    <w:rsid w:val="00CF2648"/>
    <w:rsid w:val="00CF2755"/>
    <w:rsid w:val="00CF2891"/>
    <w:rsid w:val="00CF29AB"/>
    <w:rsid w:val="00CF2A34"/>
    <w:rsid w:val="00CF2AE9"/>
    <w:rsid w:val="00CF2B50"/>
    <w:rsid w:val="00CF2FA5"/>
    <w:rsid w:val="00CF2FEA"/>
    <w:rsid w:val="00CF2FFB"/>
    <w:rsid w:val="00CF305E"/>
    <w:rsid w:val="00CF31F8"/>
    <w:rsid w:val="00CF3275"/>
    <w:rsid w:val="00CF32F1"/>
    <w:rsid w:val="00CF341B"/>
    <w:rsid w:val="00CF3508"/>
    <w:rsid w:val="00CF35A3"/>
    <w:rsid w:val="00CF36BC"/>
    <w:rsid w:val="00CF370E"/>
    <w:rsid w:val="00CF379A"/>
    <w:rsid w:val="00CF392A"/>
    <w:rsid w:val="00CF396C"/>
    <w:rsid w:val="00CF398A"/>
    <w:rsid w:val="00CF3A3C"/>
    <w:rsid w:val="00CF3A5A"/>
    <w:rsid w:val="00CF3AEA"/>
    <w:rsid w:val="00CF3C40"/>
    <w:rsid w:val="00CF3CAB"/>
    <w:rsid w:val="00CF3D45"/>
    <w:rsid w:val="00CF3E5E"/>
    <w:rsid w:val="00CF3E71"/>
    <w:rsid w:val="00CF4007"/>
    <w:rsid w:val="00CF4018"/>
    <w:rsid w:val="00CF40D3"/>
    <w:rsid w:val="00CF41AF"/>
    <w:rsid w:val="00CF4430"/>
    <w:rsid w:val="00CF4457"/>
    <w:rsid w:val="00CF44AB"/>
    <w:rsid w:val="00CF4549"/>
    <w:rsid w:val="00CF459C"/>
    <w:rsid w:val="00CF4672"/>
    <w:rsid w:val="00CF4697"/>
    <w:rsid w:val="00CF4A66"/>
    <w:rsid w:val="00CF4DA7"/>
    <w:rsid w:val="00CF4E00"/>
    <w:rsid w:val="00CF4E04"/>
    <w:rsid w:val="00CF4EEB"/>
    <w:rsid w:val="00CF4FBC"/>
    <w:rsid w:val="00CF524A"/>
    <w:rsid w:val="00CF52A6"/>
    <w:rsid w:val="00CF5308"/>
    <w:rsid w:val="00CF5434"/>
    <w:rsid w:val="00CF5497"/>
    <w:rsid w:val="00CF55B7"/>
    <w:rsid w:val="00CF55F6"/>
    <w:rsid w:val="00CF5666"/>
    <w:rsid w:val="00CF57ED"/>
    <w:rsid w:val="00CF58EF"/>
    <w:rsid w:val="00CF59ED"/>
    <w:rsid w:val="00CF5A51"/>
    <w:rsid w:val="00CF5AC0"/>
    <w:rsid w:val="00CF5B3B"/>
    <w:rsid w:val="00CF5B44"/>
    <w:rsid w:val="00CF5C1C"/>
    <w:rsid w:val="00CF5C50"/>
    <w:rsid w:val="00CF5C66"/>
    <w:rsid w:val="00CF5C9D"/>
    <w:rsid w:val="00CF5CF1"/>
    <w:rsid w:val="00CF5D02"/>
    <w:rsid w:val="00CF5D69"/>
    <w:rsid w:val="00CF5F41"/>
    <w:rsid w:val="00CF6037"/>
    <w:rsid w:val="00CF6081"/>
    <w:rsid w:val="00CF6242"/>
    <w:rsid w:val="00CF6317"/>
    <w:rsid w:val="00CF651E"/>
    <w:rsid w:val="00CF66AF"/>
    <w:rsid w:val="00CF67A8"/>
    <w:rsid w:val="00CF67FE"/>
    <w:rsid w:val="00CF68AF"/>
    <w:rsid w:val="00CF68C2"/>
    <w:rsid w:val="00CF68CB"/>
    <w:rsid w:val="00CF69D7"/>
    <w:rsid w:val="00CF69F2"/>
    <w:rsid w:val="00CF6A43"/>
    <w:rsid w:val="00CF6AD5"/>
    <w:rsid w:val="00CF6B64"/>
    <w:rsid w:val="00CF6BE5"/>
    <w:rsid w:val="00CF6BE6"/>
    <w:rsid w:val="00CF6E58"/>
    <w:rsid w:val="00CF6EDE"/>
    <w:rsid w:val="00CF6F7B"/>
    <w:rsid w:val="00CF70DE"/>
    <w:rsid w:val="00CF72AB"/>
    <w:rsid w:val="00CF7468"/>
    <w:rsid w:val="00CF754A"/>
    <w:rsid w:val="00CF7752"/>
    <w:rsid w:val="00CF78C2"/>
    <w:rsid w:val="00CF793D"/>
    <w:rsid w:val="00CF79C5"/>
    <w:rsid w:val="00CF7A15"/>
    <w:rsid w:val="00CF7ABB"/>
    <w:rsid w:val="00CF7B1D"/>
    <w:rsid w:val="00CF7CB7"/>
    <w:rsid w:val="00CF7CCB"/>
    <w:rsid w:val="00CF7D00"/>
    <w:rsid w:val="00CF7D15"/>
    <w:rsid w:val="00CF7F80"/>
    <w:rsid w:val="00D00026"/>
    <w:rsid w:val="00D0005C"/>
    <w:rsid w:val="00D00099"/>
    <w:rsid w:val="00D000B1"/>
    <w:rsid w:val="00D00189"/>
    <w:rsid w:val="00D00259"/>
    <w:rsid w:val="00D002E8"/>
    <w:rsid w:val="00D00336"/>
    <w:rsid w:val="00D00434"/>
    <w:rsid w:val="00D004ED"/>
    <w:rsid w:val="00D0054B"/>
    <w:rsid w:val="00D005DE"/>
    <w:rsid w:val="00D006A0"/>
    <w:rsid w:val="00D006A2"/>
    <w:rsid w:val="00D00702"/>
    <w:rsid w:val="00D00752"/>
    <w:rsid w:val="00D007C7"/>
    <w:rsid w:val="00D0087E"/>
    <w:rsid w:val="00D0091C"/>
    <w:rsid w:val="00D00925"/>
    <w:rsid w:val="00D00AA4"/>
    <w:rsid w:val="00D00B47"/>
    <w:rsid w:val="00D00B8E"/>
    <w:rsid w:val="00D00BF7"/>
    <w:rsid w:val="00D00D2A"/>
    <w:rsid w:val="00D00EA9"/>
    <w:rsid w:val="00D00EB8"/>
    <w:rsid w:val="00D00ECF"/>
    <w:rsid w:val="00D00F03"/>
    <w:rsid w:val="00D00F30"/>
    <w:rsid w:val="00D00F53"/>
    <w:rsid w:val="00D0103E"/>
    <w:rsid w:val="00D0104A"/>
    <w:rsid w:val="00D010BE"/>
    <w:rsid w:val="00D01203"/>
    <w:rsid w:val="00D0135B"/>
    <w:rsid w:val="00D0146A"/>
    <w:rsid w:val="00D0157D"/>
    <w:rsid w:val="00D015D6"/>
    <w:rsid w:val="00D01659"/>
    <w:rsid w:val="00D016FC"/>
    <w:rsid w:val="00D01AD4"/>
    <w:rsid w:val="00D01B50"/>
    <w:rsid w:val="00D01D73"/>
    <w:rsid w:val="00D01E14"/>
    <w:rsid w:val="00D01E5E"/>
    <w:rsid w:val="00D01EB6"/>
    <w:rsid w:val="00D01EF7"/>
    <w:rsid w:val="00D01F34"/>
    <w:rsid w:val="00D01FFD"/>
    <w:rsid w:val="00D02056"/>
    <w:rsid w:val="00D021CE"/>
    <w:rsid w:val="00D021EE"/>
    <w:rsid w:val="00D02231"/>
    <w:rsid w:val="00D02284"/>
    <w:rsid w:val="00D0232F"/>
    <w:rsid w:val="00D0237A"/>
    <w:rsid w:val="00D023C9"/>
    <w:rsid w:val="00D023DA"/>
    <w:rsid w:val="00D02450"/>
    <w:rsid w:val="00D02497"/>
    <w:rsid w:val="00D02581"/>
    <w:rsid w:val="00D027E9"/>
    <w:rsid w:val="00D0288C"/>
    <w:rsid w:val="00D028F8"/>
    <w:rsid w:val="00D02942"/>
    <w:rsid w:val="00D02A81"/>
    <w:rsid w:val="00D02B39"/>
    <w:rsid w:val="00D02CEB"/>
    <w:rsid w:val="00D02D29"/>
    <w:rsid w:val="00D02EA1"/>
    <w:rsid w:val="00D02FFB"/>
    <w:rsid w:val="00D0312D"/>
    <w:rsid w:val="00D032A0"/>
    <w:rsid w:val="00D032DD"/>
    <w:rsid w:val="00D032F6"/>
    <w:rsid w:val="00D0346C"/>
    <w:rsid w:val="00D0356A"/>
    <w:rsid w:val="00D03621"/>
    <w:rsid w:val="00D03635"/>
    <w:rsid w:val="00D03736"/>
    <w:rsid w:val="00D0374F"/>
    <w:rsid w:val="00D03988"/>
    <w:rsid w:val="00D03B22"/>
    <w:rsid w:val="00D03BD2"/>
    <w:rsid w:val="00D03C7A"/>
    <w:rsid w:val="00D03D22"/>
    <w:rsid w:val="00D03E40"/>
    <w:rsid w:val="00D040F8"/>
    <w:rsid w:val="00D04104"/>
    <w:rsid w:val="00D04142"/>
    <w:rsid w:val="00D042A1"/>
    <w:rsid w:val="00D0439A"/>
    <w:rsid w:val="00D043F8"/>
    <w:rsid w:val="00D0471D"/>
    <w:rsid w:val="00D0475A"/>
    <w:rsid w:val="00D0484D"/>
    <w:rsid w:val="00D048DA"/>
    <w:rsid w:val="00D048F2"/>
    <w:rsid w:val="00D0492F"/>
    <w:rsid w:val="00D04A57"/>
    <w:rsid w:val="00D04CB5"/>
    <w:rsid w:val="00D04F50"/>
    <w:rsid w:val="00D04F72"/>
    <w:rsid w:val="00D05036"/>
    <w:rsid w:val="00D05245"/>
    <w:rsid w:val="00D05292"/>
    <w:rsid w:val="00D05329"/>
    <w:rsid w:val="00D053AC"/>
    <w:rsid w:val="00D053C5"/>
    <w:rsid w:val="00D05423"/>
    <w:rsid w:val="00D05578"/>
    <w:rsid w:val="00D0559C"/>
    <w:rsid w:val="00D05669"/>
    <w:rsid w:val="00D056B3"/>
    <w:rsid w:val="00D056F9"/>
    <w:rsid w:val="00D05794"/>
    <w:rsid w:val="00D05854"/>
    <w:rsid w:val="00D05921"/>
    <w:rsid w:val="00D05B6E"/>
    <w:rsid w:val="00D05D4D"/>
    <w:rsid w:val="00D05D84"/>
    <w:rsid w:val="00D05E69"/>
    <w:rsid w:val="00D05EFE"/>
    <w:rsid w:val="00D05F76"/>
    <w:rsid w:val="00D06067"/>
    <w:rsid w:val="00D0606D"/>
    <w:rsid w:val="00D060F7"/>
    <w:rsid w:val="00D0619E"/>
    <w:rsid w:val="00D062F2"/>
    <w:rsid w:val="00D0630E"/>
    <w:rsid w:val="00D06341"/>
    <w:rsid w:val="00D0635B"/>
    <w:rsid w:val="00D063C6"/>
    <w:rsid w:val="00D06486"/>
    <w:rsid w:val="00D064B1"/>
    <w:rsid w:val="00D06597"/>
    <w:rsid w:val="00D0659D"/>
    <w:rsid w:val="00D065D2"/>
    <w:rsid w:val="00D06855"/>
    <w:rsid w:val="00D068E3"/>
    <w:rsid w:val="00D068E9"/>
    <w:rsid w:val="00D06922"/>
    <w:rsid w:val="00D069B5"/>
    <w:rsid w:val="00D06A1F"/>
    <w:rsid w:val="00D06B47"/>
    <w:rsid w:val="00D06CB8"/>
    <w:rsid w:val="00D06CEB"/>
    <w:rsid w:val="00D06D2F"/>
    <w:rsid w:val="00D06D36"/>
    <w:rsid w:val="00D06D9C"/>
    <w:rsid w:val="00D06EE5"/>
    <w:rsid w:val="00D06F84"/>
    <w:rsid w:val="00D07048"/>
    <w:rsid w:val="00D070F9"/>
    <w:rsid w:val="00D070FE"/>
    <w:rsid w:val="00D07141"/>
    <w:rsid w:val="00D0714B"/>
    <w:rsid w:val="00D071CC"/>
    <w:rsid w:val="00D07205"/>
    <w:rsid w:val="00D0724D"/>
    <w:rsid w:val="00D072FC"/>
    <w:rsid w:val="00D07428"/>
    <w:rsid w:val="00D07474"/>
    <w:rsid w:val="00D075E0"/>
    <w:rsid w:val="00D077ED"/>
    <w:rsid w:val="00D0790F"/>
    <w:rsid w:val="00D07912"/>
    <w:rsid w:val="00D07991"/>
    <w:rsid w:val="00D079E0"/>
    <w:rsid w:val="00D07A29"/>
    <w:rsid w:val="00D07AA6"/>
    <w:rsid w:val="00D07BAC"/>
    <w:rsid w:val="00D07C1A"/>
    <w:rsid w:val="00D07CA3"/>
    <w:rsid w:val="00D07CA6"/>
    <w:rsid w:val="00D07D39"/>
    <w:rsid w:val="00D07D7A"/>
    <w:rsid w:val="00D07DAA"/>
    <w:rsid w:val="00D07DF3"/>
    <w:rsid w:val="00D07E11"/>
    <w:rsid w:val="00D07EA4"/>
    <w:rsid w:val="00D07EBC"/>
    <w:rsid w:val="00D07F07"/>
    <w:rsid w:val="00D07F6D"/>
    <w:rsid w:val="00D10071"/>
    <w:rsid w:val="00D10275"/>
    <w:rsid w:val="00D102B4"/>
    <w:rsid w:val="00D10430"/>
    <w:rsid w:val="00D10446"/>
    <w:rsid w:val="00D10479"/>
    <w:rsid w:val="00D1054C"/>
    <w:rsid w:val="00D10631"/>
    <w:rsid w:val="00D1072C"/>
    <w:rsid w:val="00D10871"/>
    <w:rsid w:val="00D10881"/>
    <w:rsid w:val="00D108B6"/>
    <w:rsid w:val="00D10A9C"/>
    <w:rsid w:val="00D10B36"/>
    <w:rsid w:val="00D10B76"/>
    <w:rsid w:val="00D10B91"/>
    <w:rsid w:val="00D10B98"/>
    <w:rsid w:val="00D10C37"/>
    <w:rsid w:val="00D10D0A"/>
    <w:rsid w:val="00D10D3A"/>
    <w:rsid w:val="00D10D40"/>
    <w:rsid w:val="00D10DDE"/>
    <w:rsid w:val="00D11140"/>
    <w:rsid w:val="00D111AD"/>
    <w:rsid w:val="00D111F9"/>
    <w:rsid w:val="00D11306"/>
    <w:rsid w:val="00D1142F"/>
    <w:rsid w:val="00D115CB"/>
    <w:rsid w:val="00D115E6"/>
    <w:rsid w:val="00D1172F"/>
    <w:rsid w:val="00D117B6"/>
    <w:rsid w:val="00D117CB"/>
    <w:rsid w:val="00D1184C"/>
    <w:rsid w:val="00D118E9"/>
    <w:rsid w:val="00D1198F"/>
    <w:rsid w:val="00D11A1C"/>
    <w:rsid w:val="00D11B84"/>
    <w:rsid w:val="00D11C69"/>
    <w:rsid w:val="00D11D01"/>
    <w:rsid w:val="00D11D08"/>
    <w:rsid w:val="00D11D4E"/>
    <w:rsid w:val="00D11E9C"/>
    <w:rsid w:val="00D11FE3"/>
    <w:rsid w:val="00D120A3"/>
    <w:rsid w:val="00D120DD"/>
    <w:rsid w:val="00D12113"/>
    <w:rsid w:val="00D121E7"/>
    <w:rsid w:val="00D1224B"/>
    <w:rsid w:val="00D12281"/>
    <w:rsid w:val="00D12495"/>
    <w:rsid w:val="00D12573"/>
    <w:rsid w:val="00D12626"/>
    <w:rsid w:val="00D127F6"/>
    <w:rsid w:val="00D12879"/>
    <w:rsid w:val="00D128AB"/>
    <w:rsid w:val="00D128D7"/>
    <w:rsid w:val="00D128FA"/>
    <w:rsid w:val="00D12932"/>
    <w:rsid w:val="00D12AC7"/>
    <w:rsid w:val="00D12C7F"/>
    <w:rsid w:val="00D12CA3"/>
    <w:rsid w:val="00D12CD9"/>
    <w:rsid w:val="00D12D03"/>
    <w:rsid w:val="00D12FC6"/>
    <w:rsid w:val="00D130AD"/>
    <w:rsid w:val="00D130B2"/>
    <w:rsid w:val="00D130FF"/>
    <w:rsid w:val="00D13153"/>
    <w:rsid w:val="00D1316B"/>
    <w:rsid w:val="00D131C8"/>
    <w:rsid w:val="00D13222"/>
    <w:rsid w:val="00D1323C"/>
    <w:rsid w:val="00D132BC"/>
    <w:rsid w:val="00D133DC"/>
    <w:rsid w:val="00D135F7"/>
    <w:rsid w:val="00D136E3"/>
    <w:rsid w:val="00D136F1"/>
    <w:rsid w:val="00D1374D"/>
    <w:rsid w:val="00D137EB"/>
    <w:rsid w:val="00D139C4"/>
    <w:rsid w:val="00D13D27"/>
    <w:rsid w:val="00D13D85"/>
    <w:rsid w:val="00D13E81"/>
    <w:rsid w:val="00D1400F"/>
    <w:rsid w:val="00D14227"/>
    <w:rsid w:val="00D14239"/>
    <w:rsid w:val="00D1429D"/>
    <w:rsid w:val="00D142BD"/>
    <w:rsid w:val="00D143A1"/>
    <w:rsid w:val="00D1441E"/>
    <w:rsid w:val="00D144A7"/>
    <w:rsid w:val="00D14505"/>
    <w:rsid w:val="00D14558"/>
    <w:rsid w:val="00D145AE"/>
    <w:rsid w:val="00D1476A"/>
    <w:rsid w:val="00D14785"/>
    <w:rsid w:val="00D147CD"/>
    <w:rsid w:val="00D148BE"/>
    <w:rsid w:val="00D1490E"/>
    <w:rsid w:val="00D149D8"/>
    <w:rsid w:val="00D14A7D"/>
    <w:rsid w:val="00D14ACE"/>
    <w:rsid w:val="00D14B51"/>
    <w:rsid w:val="00D14B55"/>
    <w:rsid w:val="00D14B98"/>
    <w:rsid w:val="00D14C08"/>
    <w:rsid w:val="00D14C36"/>
    <w:rsid w:val="00D14C6C"/>
    <w:rsid w:val="00D14CB4"/>
    <w:rsid w:val="00D14D29"/>
    <w:rsid w:val="00D14E23"/>
    <w:rsid w:val="00D14EA9"/>
    <w:rsid w:val="00D14F06"/>
    <w:rsid w:val="00D15003"/>
    <w:rsid w:val="00D150FD"/>
    <w:rsid w:val="00D15126"/>
    <w:rsid w:val="00D1522E"/>
    <w:rsid w:val="00D152A4"/>
    <w:rsid w:val="00D1539D"/>
    <w:rsid w:val="00D1540C"/>
    <w:rsid w:val="00D15483"/>
    <w:rsid w:val="00D15570"/>
    <w:rsid w:val="00D1558C"/>
    <w:rsid w:val="00D155C9"/>
    <w:rsid w:val="00D155FF"/>
    <w:rsid w:val="00D15663"/>
    <w:rsid w:val="00D15683"/>
    <w:rsid w:val="00D15814"/>
    <w:rsid w:val="00D1581A"/>
    <w:rsid w:val="00D1581E"/>
    <w:rsid w:val="00D158E0"/>
    <w:rsid w:val="00D1596F"/>
    <w:rsid w:val="00D15991"/>
    <w:rsid w:val="00D15C09"/>
    <w:rsid w:val="00D15D55"/>
    <w:rsid w:val="00D15E10"/>
    <w:rsid w:val="00D15F41"/>
    <w:rsid w:val="00D1601D"/>
    <w:rsid w:val="00D160E6"/>
    <w:rsid w:val="00D161F7"/>
    <w:rsid w:val="00D1624C"/>
    <w:rsid w:val="00D162D9"/>
    <w:rsid w:val="00D163E0"/>
    <w:rsid w:val="00D16407"/>
    <w:rsid w:val="00D164F4"/>
    <w:rsid w:val="00D16552"/>
    <w:rsid w:val="00D16577"/>
    <w:rsid w:val="00D165AF"/>
    <w:rsid w:val="00D165E3"/>
    <w:rsid w:val="00D167A4"/>
    <w:rsid w:val="00D167BB"/>
    <w:rsid w:val="00D168B2"/>
    <w:rsid w:val="00D1692F"/>
    <w:rsid w:val="00D169C1"/>
    <w:rsid w:val="00D169D5"/>
    <w:rsid w:val="00D16AA9"/>
    <w:rsid w:val="00D16B5D"/>
    <w:rsid w:val="00D16BB3"/>
    <w:rsid w:val="00D16D04"/>
    <w:rsid w:val="00D16E43"/>
    <w:rsid w:val="00D16EF3"/>
    <w:rsid w:val="00D17002"/>
    <w:rsid w:val="00D1702F"/>
    <w:rsid w:val="00D170B0"/>
    <w:rsid w:val="00D170C5"/>
    <w:rsid w:val="00D170F1"/>
    <w:rsid w:val="00D17228"/>
    <w:rsid w:val="00D172E3"/>
    <w:rsid w:val="00D17382"/>
    <w:rsid w:val="00D175DC"/>
    <w:rsid w:val="00D1763B"/>
    <w:rsid w:val="00D1773F"/>
    <w:rsid w:val="00D17760"/>
    <w:rsid w:val="00D17768"/>
    <w:rsid w:val="00D17792"/>
    <w:rsid w:val="00D177E8"/>
    <w:rsid w:val="00D1781F"/>
    <w:rsid w:val="00D178A2"/>
    <w:rsid w:val="00D1795D"/>
    <w:rsid w:val="00D1797C"/>
    <w:rsid w:val="00D17CE5"/>
    <w:rsid w:val="00D17DA7"/>
    <w:rsid w:val="00D17DFA"/>
    <w:rsid w:val="00D17E0A"/>
    <w:rsid w:val="00D17E74"/>
    <w:rsid w:val="00D17EE0"/>
    <w:rsid w:val="00D17F10"/>
    <w:rsid w:val="00D17F11"/>
    <w:rsid w:val="00D17FA6"/>
    <w:rsid w:val="00D20180"/>
    <w:rsid w:val="00D201CF"/>
    <w:rsid w:val="00D201FB"/>
    <w:rsid w:val="00D202CD"/>
    <w:rsid w:val="00D202D7"/>
    <w:rsid w:val="00D20308"/>
    <w:rsid w:val="00D203F6"/>
    <w:rsid w:val="00D2048A"/>
    <w:rsid w:val="00D2054E"/>
    <w:rsid w:val="00D2055E"/>
    <w:rsid w:val="00D20678"/>
    <w:rsid w:val="00D206A9"/>
    <w:rsid w:val="00D2079C"/>
    <w:rsid w:val="00D20806"/>
    <w:rsid w:val="00D2088D"/>
    <w:rsid w:val="00D20A4D"/>
    <w:rsid w:val="00D20ABF"/>
    <w:rsid w:val="00D20AF9"/>
    <w:rsid w:val="00D20B6E"/>
    <w:rsid w:val="00D20C90"/>
    <w:rsid w:val="00D20D35"/>
    <w:rsid w:val="00D20D43"/>
    <w:rsid w:val="00D20E2E"/>
    <w:rsid w:val="00D20E41"/>
    <w:rsid w:val="00D20E98"/>
    <w:rsid w:val="00D210B8"/>
    <w:rsid w:val="00D21144"/>
    <w:rsid w:val="00D21159"/>
    <w:rsid w:val="00D21214"/>
    <w:rsid w:val="00D21261"/>
    <w:rsid w:val="00D21269"/>
    <w:rsid w:val="00D21321"/>
    <w:rsid w:val="00D2139F"/>
    <w:rsid w:val="00D21475"/>
    <w:rsid w:val="00D21550"/>
    <w:rsid w:val="00D2156E"/>
    <w:rsid w:val="00D21599"/>
    <w:rsid w:val="00D2163F"/>
    <w:rsid w:val="00D2164B"/>
    <w:rsid w:val="00D2164D"/>
    <w:rsid w:val="00D21691"/>
    <w:rsid w:val="00D21740"/>
    <w:rsid w:val="00D2183A"/>
    <w:rsid w:val="00D218BC"/>
    <w:rsid w:val="00D2191A"/>
    <w:rsid w:val="00D2195D"/>
    <w:rsid w:val="00D219CC"/>
    <w:rsid w:val="00D21A2A"/>
    <w:rsid w:val="00D21AF4"/>
    <w:rsid w:val="00D21BF7"/>
    <w:rsid w:val="00D21C36"/>
    <w:rsid w:val="00D21C51"/>
    <w:rsid w:val="00D21C5B"/>
    <w:rsid w:val="00D21CF2"/>
    <w:rsid w:val="00D21D02"/>
    <w:rsid w:val="00D21F08"/>
    <w:rsid w:val="00D21FF2"/>
    <w:rsid w:val="00D220BF"/>
    <w:rsid w:val="00D220E5"/>
    <w:rsid w:val="00D22111"/>
    <w:rsid w:val="00D2212B"/>
    <w:rsid w:val="00D2219B"/>
    <w:rsid w:val="00D221F9"/>
    <w:rsid w:val="00D222C5"/>
    <w:rsid w:val="00D22358"/>
    <w:rsid w:val="00D2235D"/>
    <w:rsid w:val="00D223AB"/>
    <w:rsid w:val="00D22461"/>
    <w:rsid w:val="00D2247D"/>
    <w:rsid w:val="00D2248E"/>
    <w:rsid w:val="00D22663"/>
    <w:rsid w:val="00D226F1"/>
    <w:rsid w:val="00D22725"/>
    <w:rsid w:val="00D2274D"/>
    <w:rsid w:val="00D22794"/>
    <w:rsid w:val="00D227BE"/>
    <w:rsid w:val="00D2295A"/>
    <w:rsid w:val="00D22A7F"/>
    <w:rsid w:val="00D22B83"/>
    <w:rsid w:val="00D22C46"/>
    <w:rsid w:val="00D22C8A"/>
    <w:rsid w:val="00D22DBB"/>
    <w:rsid w:val="00D22E71"/>
    <w:rsid w:val="00D22ED9"/>
    <w:rsid w:val="00D22F37"/>
    <w:rsid w:val="00D233D5"/>
    <w:rsid w:val="00D23544"/>
    <w:rsid w:val="00D236ED"/>
    <w:rsid w:val="00D237A1"/>
    <w:rsid w:val="00D23800"/>
    <w:rsid w:val="00D23882"/>
    <w:rsid w:val="00D238AA"/>
    <w:rsid w:val="00D238D4"/>
    <w:rsid w:val="00D23963"/>
    <w:rsid w:val="00D2397E"/>
    <w:rsid w:val="00D239D8"/>
    <w:rsid w:val="00D23AC3"/>
    <w:rsid w:val="00D23CA0"/>
    <w:rsid w:val="00D23CB1"/>
    <w:rsid w:val="00D23CBC"/>
    <w:rsid w:val="00D23E6B"/>
    <w:rsid w:val="00D24025"/>
    <w:rsid w:val="00D2413C"/>
    <w:rsid w:val="00D241F5"/>
    <w:rsid w:val="00D242C8"/>
    <w:rsid w:val="00D242D4"/>
    <w:rsid w:val="00D24390"/>
    <w:rsid w:val="00D24401"/>
    <w:rsid w:val="00D24412"/>
    <w:rsid w:val="00D24482"/>
    <w:rsid w:val="00D244C1"/>
    <w:rsid w:val="00D24537"/>
    <w:rsid w:val="00D24553"/>
    <w:rsid w:val="00D2456F"/>
    <w:rsid w:val="00D245D0"/>
    <w:rsid w:val="00D24676"/>
    <w:rsid w:val="00D24677"/>
    <w:rsid w:val="00D246B6"/>
    <w:rsid w:val="00D24708"/>
    <w:rsid w:val="00D2480E"/>
    <w:rsid w:val="00D249C3"/>
    <w:rsid w:val="00D24A2A"/>
    <w:rsid w:val="00D24B72"/>
    <w:rsid w:val="00D24D15"/>
    <w:rsid w:val="00D24E03"/>
    <w:rsid w:val="00D24E95"/>
    <w:rsid w:val="00D24ECC"/>
    <w:rsid w:val="00D24F2E"/>
    <w:rsid w:val="00D24FAF"/>
    <w:rsid w:val="00D24FFF"/>
    <w:rsid w:val="00D2504C"/>
    <w:rsid w:val="00D2504E"/>
    <w:rsid w:val="00D2505D"/>
    <w:rsid w:val="00D250B3"/>
    <w:rsid w:val="00D250E7"/>
    <w:rsid w:val="00D2516E"/>
    <w:rsid w:val="00D251A5"/>
    <w:rsid w:val="00D252A8"/>
    <w:rsid w:val="00D2547F"/>
    <w:rsid w:val="00D254A3"/>
    <w:rsid w:val="00D254AB"/>
    <w:rsid w:val="00D255AB"/>
    <w:rsid w:val="00D25639"/>
    <w:rsid w:val="00D2570F"/>
    <w:rsid w:val="00D2573B"/>
    <w:rsid w:val="00D2577C"/>
    <w:rsid w:val="00D258CF"/>
    <w:rsid w:val="00D258F8"/>
    <w:rsid w:val="00D25999"/>
    <w:rsid w:val="00D259C6"/>
    <w:rsid w:val="00D259D1"/>
    <w:rsid w:val="00D25A37"/>
    <w:rsid w:val="00D25BCF"/>
    <w:rsid w:val="00D25D02"/>
    <w:rsid w:val="00D25D3B"/>
    <w:rsid w:val="00D25F88"/>
    <w:rsid w:val="00D26163"/>
    <w:rsid w:val="00D262C6"/>
    <w:rsid w:val="00D26319"/>
    <w:rsid w:val="00D2634E"/>
    <w:rsid w:val="00D2638D"/>
    <w:rsid w:val="00D263F0"/>
    <w:rsid w:val="00D2641D"/>
    <w:rsid w:val="00D2642E"/>
    <w:rsid w:val="00D26542"/>
    <w:rsid w:val="00D26719"/>
    <w:rsid w:val="00D267C1"/>
    <w:rsid w:val="00D26811"/>
    <w:rsid w:val="00D268EB"/>
    <w:rsid w:val="00D26935"/>
    <w:rsid w:val="00D26962"/>
    <w:rsid w:val="00D26AF0"/>
    <w:rsid w:val="00D26C2D"/>
    <w:rsid w:val="00D26CA7"/>
    <w:rsid w:val="00D26D30"/>
    <w:rsid w:val="00D26E0B"/>
    <w:rsid w:val="00D26E84"/>
    <w:rsid w:val="00D26EB3"/>
    <w:rsid w:val="00D26F16"/>
    <w:rsid w:val="00D2708F"/>
    <w:rsid w:val="00D27130"/>
    <w:rsid w:val="00D271CD"/>
    <w:rsid w:val="00D27200"/>
    <w:rsid w:val="00D27223"/>
    <w:rsid w:val="00D27225"/>
    <w:rsid w:val="00D27324"/>
    <w:rsid w:val="00D27348"/>
    <w:rsid w:val="00D27487"/>
    <w:rsid w:val="00D27567"/>
    <w:rsid w:val="00D275C0"/>
    <w:rsid w:val="00D275ED"/>
    <w:rsid w:val="00D27682"/>
    <w:rsid w:val="00D27696"/>
    <w:rsid w:val="00D2773D"/>
    <w:rsid w:val="00D27805"/>
    <w:rsid w:val="00D27811"/>
    <w:rsid w:val="00D27819"/>
    <w:rsid w:val="00D27864"/>
    <w:rsid w:val="00D27892"/>
    <w:rsid w:val="00D27958"/>
    <w:rsid w:val="00D279F3"/>
    <w:rsid w:val="00D27A00"/>
    <w:rsid w:val="00D27A9B"/>
    <w:rsid w:val="00D27AF0"/>
    <w:rsid w:val="00D27B3C"/>
    <w:rsid w:val="00D27CBF"/>
    <w:rsid w:val="00D27D0E"/>
    <w:rsid w:val="00D27D4F"/>
    <w:rsid w:val="00D27D7E"/>
    <w:rsid w:val="00D27DA4"/>
    <w:rsid w:val="00D27EAD"/>
    <w:rsid w:val="00D27EC7"/>
    <w:rsid w:val="00D27ED4"/>
    <w:rsid w:val="00D27F95"/>
    <w:rsid w:val="00D300A9"/>
    <w:rsid w:val="00D3012C"/>
    <w:rsid w:val="00D30131"/>
    <w:rsid w:val="00D30157"/>
    <w:rsid w:val="00D30166"/>
    <w:rsid w:val="00D30179"/>
    <w:rsid w:val="00D30382"/>
    <w:rsid w:val="00D30496"/>
    <w:rsid w:val="00D304DB"/>
    <w:rsid w:val="00D3065D"/>
    <w:rsid w:val="00D3067C"/>
    <w:rsid w:val="00D30682"/>
    <w:rsid w:val="00D306A8"/>
    <w:rsid w:val="00D30747"/>
    <w:rsid w:val="00D30785"/>
    <w:rsid w:val="00D3095C"/>
    <w:rsid w:val="00D30B22"/>
    <w:rsid w:val="00D30B85"/>
    <w:rsid w:val="00D30CD5"/>
    <w:rsid w:val="00D30CE4"/>
    <w:rsid w:val="00D30D46"/>
    <w:rsid w:val="00D30DF0"/>
    <w:rsid w:val="00D30E0C"/>
    <w:rsid w:val="00D30EE3"/>
    <w:rsid w:val="00D30FB7"/>
    <w:rsid w:val="00D30FDA"/>
    <w:rsid w:val="00D310C1"/>
    <w:rsid w:val="00D31118"/>
    <w:rsid w:val="00D3121A"/>
    <w:rsid w:val="00D31392"/>
    <w:rsid w:val="00D313DE"/>
    <w:rsid w:val="00D31461"/>
    <w:rsid w:val="00D3155D"/>
    <w:rsid w:val="00D315A0"/>
    <w:rsid w:val="00D31668"/>
    <w:rsid w:val="00D316D1"/>
    <w:rsid w:val="00D317FF"/>
    <w:rsid w:val="00D31869"/>
    <w:rsid w:val="00D318B7"/>
    <w:rsid w:val="00D31991"/>
    <w:rsid w:val="00D31A10"/>
    <w:rsid w:val="00D31AAB"/>
    <w:rsid w:val="00D31BA8"/>
    <w:rsid w:val="00D31BD5"/>
    <w:rsid w:val="00D31D98"/>
    <w:rsid w:val="00D31E99"/>
    <w:rsid w:val="00D31F03"/>
    <w:rsid w:val="00D32039"/>
    <w:rsid w:val="00D3204C"/>
    <w:rsid w:val="00D3214D"/>
    <w:rsid w:val="00D321CF"/>
    <w:rsid w:val="00D32201"/>
    <w:rsid w:val="00D322BA"/>
    <w:rsid w:val="00D32374"/>
    <w:rsid w:val="00D323A4"/>
    <w:rsid w:val="00D324C5"/>
    <w:rsid w:val="00D324D0"/>
    <w:rsid w:val="00D324F4"/>
    <w:rsid w:val="00D32561"/>
    <w:rsid w:val="00D32597"/>
    <w:rsid w:val="00D325C9"/>
    <w:rsid w:val="00D325E2"/>
    <w:rsid w:val="00D32651"/>
    <w:rsid w:val="00D326BB"/>
    <w:rsid w:val="00D326DE"/>
    <w:rsid w:val="00D327B8"/>
    <w:rsid w:val="00D32888"/>
    <w:rsid w:val="00D32955"/>
    <w:rsid w:val="00D329CC"/>
    <w:rsid w:val="00D32BEF"/>
    <w:rsid w:val="00D32CAC"/>
    <w:rsid w:val="00D32CE5"/>
    <w:rsid w:val="00D32D1E"/>
    <w:rsid w:val="00D3303E"/>
    <w:rsid w:val="00D3309B"/>
    <w:rsid w:val="00D330D9"/>
    <w:rsid w:val="00D331D7"/>
    <w:rsid w:val="00D332F8"/>
    <w:rsid w:val="00D33315"/>
    <w:rsid w:val="00D333C1"/>
    <w:rsid w:val="00D333D9"/>
    <w:rsid w:val="00D334E3"/>
    <w:rsid w:val="00D336BE"/>
    <w:rsid w:val="00D33792"/>
    <w:rsid w:val="00D337BF"/>
    <w:rsid w:val="00D338D0"/>
    <w:rsid w:val="00D339B5"/>
    <w:rsid w:val="00D33A00"/>
    <w:rsid w:val="00D33A1A"/>
    <w:rsid w:val="00D33B4D"/>
    <w:rsid w:val="00D33B79"/>
    <w:rsid w:val="00D33C32"/>
    <w:rsid w:val="00D33C5F"/>
    <w:rsid w:val="00D33CD4"/>
    <w:rsid w:val="00D33E88"/>
    <w:rsid w:val="00D33E9D"/>
    <w:rsid w:val="00D33F27"/>
    <w:rsid w:val="00D33F75"/>
    <w:rsid w:val="00D33F7F"/>
    <w:rsid w:val="00D33FE1"/>
    <w:rsid w:val="00D341BA"/>
    <w:rsid w:val="00D3429E"/>
    <w:rsid w:val="00D3446F"/>
    <w:rsid w:val="00D34477"/>
    <w:rsid w:val="00D344B3"/>
    <w:rsid w:val="00D344B9"/>
    <w:rsid w:val="00D3454C"/>
    <w:rsid w:val="00D3463E"/>
    <w:rsid w:val="00D346F3"/>
    <w:rsid w:val="00D347F1"/>
    <w:rsid w:val="00D348D2"/>
    <w:rsid w:val="00D34AB7"/>
    <w:rsid w:val="00D34C90"/>
    <w:rsid w:val="00D34D3A"/>
    <w:rsid w:val="00D34F16"/>
    <w:rsid w:val="00D35052"/>
    <w:rsid w:val="00D351BD"/>
    <w:rsid w:val="00D35205"/>
    <w:rsid w:val="00D35391"/>
    <w:rsid w:val="00D353BA"/>
    <w:rsid w:val="00D35457"/>
    <w:rsid w:val="00D354A0"/>
    <w:rsid w:val="00D35531"/>
    <w:rsid w:val="00D3557C"/>
    <w:rsid w:val="00D35618"/>
    <w:rsid w:val="00D356AC"/>
    <w:rsid w:val="00D35754"/>
    <w:rsid w:val="00D357C9"/>
    <w:rsid w:val="00D357E2"/>
    <w:rsid w:val="00D357E9"/>
    <w:rsid w:val="00D35946"/>
    <w:rsid w:val="00D35A34"/>
    <w:rsid w:val="00D35A5A"/>
    <w:rsid w:val="00D35AF3"/>
    <w:rsid w:val="00D35B08"/>
    <w:rsid w:val="00D35B7C"/>
    <w:rsid w:val="00D35C13"/>
    <w:rsid w:val="00D35CB6"/>
    <w:rsid w:val="00D35E7C"/>
    <w:rsid w:val="00D35F69"/>
    <w:rsid w:val="00D35F73"/>
    <w:rsid w:val="00D35FD8"/>
    <w:rsid w:val="00D36151"/>
    <w:rsid w:val="00D36152"/>
    <w:rsid w:val="00D36415"/>
    <w:rsid w:val="00D36462"/>
    <w:rsid w:val="00D3648A"/>
    <w:rsid w:val="00D3651D"/>
    <w:rsid w:val="00D3679B"/>
    <w:rsid w:val="00D367EC"/>
    <w:rsid w:val="00D3684C"/>
    <w:rsid w:val="00D36943"/>
    <w:rsid w:val="00D36ACC"/>
    <w:rsid w:val="00D36B4E"/>
    <w:rsid w:val="00D36BFC"/>
    <w:rsid w:val="00D36DEF"/>
    <w:rsid w:val="00D36FA2"/>
    <w:rsid w:val="00D36FB7"/>
    <w:rsid w:val="00D36FE5"/>
    <w:rsid w:val="00D37232"/>
    <w:rsid w:val="00D37294"/>
    <w:rsid w:val="00D37295"/>
    <w:rsid w:val="00D37432"/>
    <w:rsid w:val="00D376F6"/>
    <w:rsid w:val="00D37777"/>
    <w:rsid w:val="00D37785"/>
    <w:rsid w:val="00D377C6"/>
    <w:rsid w:val="00D377D8"/>
    <w:rsid w:val="00D3785C"/>
    <w:rsid w:val="00D3785D"/>
    <w:rsid w:val="00D37A72"/>
    <w:rsid w:val="00D37A74"/>
    <w:rsid w:val="00D37AB8"/>
    <w:rsid w:val="00D37AC2"/>
    <w:rsid w:val="00D37B49"/>
    <w:rsid w:val="00D37BB0"/>
    <w:rsid w:val="00D37BC4"/>
    <w:rsid w:val="00D37C4F"/>
    <w:rsid w:val="00D37D7B"/>
    <w:rsid w:val="00D37D8B"/>
    <w:rsid w:val="00D37D98"/>
    <w:rsid w:val="00D37DAD"/>
    <w:rsid w:val="00D37E89"/>
    <w:rsid w:val="00D37E92"/>
    <w:rsid w:val="00D37EF4"/>
    <w:rsid w:val="00D37F4E"/>
    <w:rsid w:val="00D400E7"/>
    <w:rsid w:val="00D4015B"/>
    <w:rsid w:val="00D4029D"/>
    <w:rsid w:val="00D403A4"/>
    <w:rsid w:val="00D4055B"/>
    <w:rsid w:val="00D4067F"/>
    <w:rsid w:val="00D4074E"/>
    <w:rsid w:val="00D40848"/>
    <w:rsid w:val="00D408E3"/>
    <w:rsid w:val="00D409A6"/>
    <w:rsid w:val="00D409A7"/>
    <w:rsid w:val="00D409AC"/>
    <w:rsid w:val="00D40A6B"/>
    <w:rsid w:val="00D40A8B"/>
    <w:rsid w:val="00D40B7F"/>
    <w:rsid w:val="00D40C2B"/>
    <w:rsid w:val="00D40CEB"/>
    <w:rsid w:val="00D40D51"/>
    <w:rsid w:val="00D40DC2"/>
    <w:rsid w:val="00D40DCD"/>
    <w:rsid w:val="00D40DE3"/>
    <w:rsid w:val="00D40F00"/>
    <w:rsid w:val="00D40F0E"/>
    <w:rsid w:val="00D40F3A"/>
    <w:rsid w:val="00D41092"/>
    <w:rsid w:val="00D41159"/>
    <w:rsid w:val="00D4116A"/>
    <w:rsid w:val="00D41242"/>
    <w:rsid w:val="00D41292"/>
    <w:rsid w:val="00D41319"/>
    <w:rsid w:val="00D413D1"/>
    <w:rsid w:val="00D414DE"/>
    <w:rsid w:val="00D41500"/>
    <w:rsid w:val="00D415CD"/>
    <w:rsid w:val="00D41641"/>
    <w:rsid w:val="00D4168C"/>
    <w:rsid w:val="00D416B8"/>
    <w:rsid w:val="00D41702"/>
    <w:rsid w:val="00D41747"/>
    <w:rsid w:val="00D418A5"/>
    <w:rsid w:val="00D41AB0"/>
    <w:rsid w:val="00D41B4C"/>
    <w:rsid w:val="00D41BA8"/>
    <w:rsid w:val="00D41CAE"/>
    <w:rsid w:val="00D41CBC"/>
    <w:rsid w:val="00D41D57"/>
    <w:rsid w:val="00D41DA2"/>
    <w:rsid w:val="00D41E5E"/>
    <w:rsid w:val="00D41F7C"/>
    <w:rsid w:val="00D41FF9"/>
    <w:rsid w:val="00D421FC"/>
    <w:rsid w:val="00D422F2"/>
    <w:rsid w:val="00D4236D"/>
    <w:rsid w:val="00D4240A"/>
    <w:rsid w:val="00D42414"/>
    <w:rsid w:val="00D42428"/>
    <w:rsid w:val="00D42606"/>
    <w:rsid w:val="00D426EC"/>
    <w:rsid w:val="00D42762"/>
    <w:rsid w:val="00D42807"/>
    <w:rsid w:val="00D429C4"/>
    <w:rsid w:val="00D42A17"/>
    <w:rsid w:val="00D42AE9"/>
    <w:rsid w:val="00D42B65"/>
    <w:rsid w:val="00D42B7C"/>
    <w:rsid w:val="00D42BB2"/>
    <w:rsid w:val="00D42D50"/>
    <w:rsid w:val="00D42DE2"/>
    <w:rsid w:val="00D42EC6"/>
    <w:rsid w:val="00D42F13"/>
    <w:rsid w:val="00D42F37"/>
    <w:rsid w:val="00D42F72"/>
    <w:rsid w:val="00D4312F"/>
    <w:rsid w:val="00D4323A"/>
    <w:rsid w:val="00D4327A"/>
    <w:rsid w:val="00D4329A"/>
    <w:rsid w:val="00D4331D"/>
    <w:rsid w:val="00D43425"/>
    <w:rsid w:val="00D435F1"/>
    <w:rsid w:val="00D4376D"/>
    <w:rsid w:val="00D43797"/>
    <w:rsid w:val="00D4394A"/>
    <w:rsid w:val="00D43975"/>
    <w:rsid w:val="00D43989"/>
    <w:rsid w:val="00D43C56"/>
    <w:rsid w:val="00D43C67"/>
    <w:rsid w:val="00D43C86"/>
    <w:rsid w:val="00D43CEF"/>
    <w:rsid w:val="00D43E5A"/>
    <w:rsid w:val="00D43E93"/>
    <w:rsid w:val="00D44049"/>
    <w:rsid w:val="00D44070"/>
    <w:rsid w:val="00D4435B"/>
    <w:rsid w:val="00D4438D"/>
    <w:rsid w:val="00D44471"/>
    <w:rsid w:val="00D4448B"/>
    <w:rsid w:val="00D444A9"/>
    <w:rsid w:val="00D4452F"/>
    <w:rsid w:val="00D44579"/>
    <w:rsid w:val="00D4475F"/>
    <w:rsid w:val="00D4483B"/>
    <w:rsid w:val="00D4487F"/>
    <w:rsid w:val="00D448CD"/>
    <w:rsid w:val="00D44910"/>
    <w:rsid w:val="00D44993"/>
    <w:rsid w:val="00D4499E"/>
    <w:rsid w:val="00D449E8"/>
    <w:rsid w:val="00D44A17"/>
    <w:rsid w:val="00D44A4F"/>
    <w:rsid w:val="00D44C4D"/>
    <w:rsid w:val="00D44C57"/>
    <w:rsid w:val="00D44DF5"/>
    <w:rsid w:val="00D44E12"/>
    <w:rsid w:val="00D44F70"/>
    <w:rsid w:val="00D45059"/>
    <w:rsid w:val="00D45072"/>
    <w:rsid w:val="00D450F0"/>
    <w:rsid w:val="00D450F6"/>
    <w:rsid w:val="00D45243"/>
    <w:rsid w:val="00D4525D"/>
    <w:rsid w:val="00D45286"/>
    <w:rsid w:val="00D4532F"/>
    <w:rsid w:val="00D453EC"/>
    <w:rsid w:val="00D45457"/>
    <w:rsid w:val="00D454C0"/>
    <w:rsid w:val="00D45592"/>
    <w:rsid w:val="00D455F6"/>
    <w:rsid w:val="00D45632"/>
    <w:rsid w:val="00D4564E"/>
    <w:rsid w:val="00D45703"/>
    <w:rsid w:val="00D457DA"/>
    <w:rsid w:val="00D45883"/>
    <w:rsid w:val="00D458C1"/>
    <w:rsid w:val="00D45916"/>
    <w:rsid w:val="00D45938"/>
    <w:rsid w:val="00D45939"/>
    <w:rsid w:val="00D45976"/>
    <w:rsid w:val="00D45A69"/>
    <w:rsid w:val="00D45AB3"/>
    <w:rsid w:val="00D45ABB"/>
    <w:rsid w:val="00D45ADF"/>
    <w:rsid w:val="00D45BBD"/>
    <w:rsid w:val="00D45E42"/>
    <w:rsid w:val="00D45E75"/>
    <w:rsid w:val="00D45FF1"/>
    <w:rsid w:val="00D4600F"/>
    <w:rsid w:val="00D4604D"/>
    <w:rsid w:val="00D460AA"/>
    <w:rsid w:val="00D461B9"/>
    <w:rsid w:val="00D4621F"/>
    <w:rsid w:val="00D46252"/>
    <w:rsid w:val="00D462BD"/>
    <w:rsid w:val="00D4631D"/>
    <w:rsid w:val="00D46377"/>
    <w:rsid w:val="00D46412"/>
    <w:rsid w:val="00D46418"/>
    <w:rsid w:val="00D465FC"/>
    <w:rsid w:val="00D46613"/>
    <w:rsid w:val="00D46619"/>
    <w:rsid w:val="00D466E0"/>
    <w:rsid w:val="00D46729"/>
    <w:rsid w:val="00D467AA"/>
    <w:rsid w:val="00D467B2"/>
    <w:rsid w:val="00D46857"/>
    <w:rsid w:val="00D469F4"/>
    <w:rsid w:val="00D46B66"/>
    <w:rsid w:val="00D46B80"/>
    <w:rsid w:val="00D46C42"/>
    <w:rsid w:val="00D46CC3"/>
    <w:rsid w:val="00D46CF2"/>
    <w:rsid w:val="00D46DAD"/>
    <w:rsid w:val="00D46E1E"/>
    <w:rsid w:val="00D47124"/>
    <w:rsid w:val="00D471EC"/>
    <w:rsid w:val="00D471F9"/>
    <w:rsid w:val="00D47277"/>
    <w:rsid w:val="00D476A3"/>
    <w:rsid w:val="00D4782A"/>
    <w:rsid w:val="00D47853"/>
    <w:rsid w:val="00D478F4"/>
    <w:rsid w:val="00D479B2"/>
    <w:rsid w:val="00D47B34"/>
    <w:rsid w:val="00D47CA0"/>
    <w:rsid w:val="00D47DC3"/>
    <w:rsid w:val="00D47EC9"/>
    <w:rsid w:val="00D47EE2"/>
    <w:rsid w:val="00D47F1E"/>
    <w:rsid w:val="00D47FE3"/>
    <w:rsid w:val="00D5000E"/>
    <w:rsid w:val="00D500B3"/>
    <w:rsid w:val="00D500D1"/>
    <w:rsid w:val="00D500EB"/>
    <w:rsid w:val="00D50175"/>
    <w:rsid w:val="00D50177"/>
    <w:rsid w:val="00D503A6"/>
    <w:rsid w:val="00D503C5"/>
    <w:rsid w:val="00D503EB"/>
    <w:rsid w:val="00D50402"/>
    <w:rsid w:val="00D504A9"/>
    <w:rsid w:val="00D504B3"/>
    <w:rsid w:val="00D50625"/>
    <w:rsid w:val="00D50701"/>
    <w:rsid w:val="00D50770"/>
    <w:rsid w:val="00D507DB"/>
    <w:rsid w:val="00D508C6"/>
    <w:rsid w:val="00D508E2"/>
    <w:rsid w:val="00D50937"/>
    <w:rsid w:val="00D509A1"/>
    <w:rsid w:val="00D50A30"/>
    <w:rsid w:val="00D50A46"/>
    <w:rsid w:val="00D50AAF"/>
    <w:rsid w:val="00D50B03"/>
    <w:rsid w:val="00D50B34"/>
    <w:rsid w:val="00D50B92"/>
    <w:rsid w:val="00D50B95"/>
    <w:rsid w:val="00D50BCD"/>
    <w:rsid w:val="00D50BFD"/>
    <w:rsid w:val="00D50D64"/>
    <w:rsid w:val="00D50DEA"/>
    <w:rsid w:val="00D50DF2"/>
    <w:rsid w:val="00D50FDA"/>
    <w:rsid w:val="00D50FF9"/>
    <w:rsid w:val="00D510C9"/>
    <w:rsid w:val="00D5110A"/>
    <w:rsid w:val="00D5111F"/>
    <w:rsid w:val="00D51229"/>
    <w:rsid w:val="00D5126A"/>
    <w:rsid w:val="00D51361"/>
    <w:rsid w:val="00D5156D"/>
    <w:rsid w:val="00D5170B"/>
    <w:rsid w:val="00D51769"/>
    <w:rsid w:val="00D517BC"/>
    <w:rsid w:val="00D518C8"/>
    <w:rsid w:val="00D5194B"/>
    <w:rsid w:val="00D51975"/>
    <w:rsid w:val="00D519E7"/>
    <w:rsid w:val="00D51A6B"/>
    <w:rsid w:val="00D51B9D"/>
    <w:rsid w:val="00D51C19"/>
    <w:rsid w:val="00D51C97"/>
    <w:rsid w:val="00D51D9A"/>
    <w:rsid w:val="00D51DA2"/>
    <w:rsid w:val="00D51ECB"/>
    <w:rsid w:val="00D5208A"/>
    <w:rsid w:val="00D5208B"/>
    <w:rsid w:val="00D5211B"/>
    <w:rsid w:val="00D52121"/>
    <w:rsid w:val="00D521ED"/>
    <w:rsid w:val="00D5222F"/>
    <w:rsid w:val="00D5236B"/>
    <w:rsid w:val="00D52428"/>
    <w:rsid w:val="00D52470"/>
    <w:rsid w:val="00D524A8"/>
    <w:rsid w:val="00D525CF"/>
    <w:rsid w:val="00D526FA"/>
    <w:rsid w:val="00D5270F"/>
    <w:rsid w:val="00D52796"/>
    <w:rsid w:val="00D527A9"/>
    <w:rsid w:val="00D5286F"/>
    <w:rsid w:val="00D528AE"/>
    <w:rsid w:val="00D5298C"/>
    <w:rsid w:val="00D52A4A"/>
    <w:rsid w:val="00D52B71"/>
    <w:rsid w:val="00D52D9A"/>
    <w:rsid w:val="00D53344"/>
    <w:rsid w:val="00D5339A"/>
    <w:rsid w:val="00D5341F"/>
    <w:rsid w:val="00D5347A"/>
    <w:rsid w:val="00D537A5"/>
    <w:rsid w:val="00D538F1"/>
    <w:rsid w:val="00D53ACD"/>
    <w:rsid w:val="00D53C57"/>
    <w:rsid w:val="00D53D07"/>
    <w:rsid w:val="00D53DDC"/>
    <w:rsid w:val="00D53F27"/>
    <w:rsid w:val="00D53FB8"/>
    <w:rsid w:val="00D54379"/>
    <w:rsid w:val="00D5440A"/>
    <w:rsid w:val="00D5445B"/>
    <w:rsid w:val="00D5455A"/>
    <w:rsid w:val="00D545FC"/>
    <w:rsid w:val="00D54674"/>
    <w:rsid w:val="00D54698"/>
    <w:rsid w:val="00D546A1"/>
    <w:rsid w:val="00D546AA"/>
    <w:rsid w:val="00D5481C"/>
    <w:rsid w:val="00D54BD0"/>
    <w:rsid w:val="00D54C3F"/>
    <w:rsid w:val="00D54E69"/>
    <w:rsid w:val="00D54F1F"/>
    <w:rsid w:val="00D55018"/>
    <w:rsid w:val="00D550AA"/>
    <w:rsid w:val="00D551B0"/>
    <w:rsid w:val="00D551C5"/>
    <w:rsid w:val="00D55468"/>
    <w:rsid w:val="00D55596"/>
    <w:rsid w:val="00D5560E"/>
    <w:rsid w:val="00D55660"/>
    <w:rsid w:val="00D55698"/>
    <w:rsid w:val="00D5569D"/>
    <w:rsid w:val="00D556A6"/>
    <w:rsid w:val="00D55870"/>
    <w:rsid w:val="00D55876"/>
    <w:rsid w:val="00D558CA"/>
    <w:rsid w:val="00D5592B"/>
    <w:rsid w:val="00D559D4"/>
    <w:rsid w:val="00D55C5D"/>
    <w:rsid w:val="00D55D23"/>
    <w:rsid w:val="00D55EBC"/>
    <w:rsid w:val="00D55EC0"/>
    <w:rsid w:val="00D55F6A"/>
    <w:rsid w:val="00D55FDC"/>
    <w:rsid w:val="00D55FF2"/>
    <w:rsid w:val="00D56022"/>
    <w:rsid w:val="00D560E5"/>
    <w:rsid w:val="00D560F3"/>
    <w:rsid w:val="00D5612A"/>
    <w:rsid w:val="00D56141"/>
    <w:rsid w:val="00D561B2"/>
    <w:rsid w:val="00D561D7"/>
    <w:rsid w:val="00D56296"/>
    <w:rsid w:val="00D562B9"/>
    <w:rsid w:val="00D5660A"/>
    <w:rsid w:val="00D56632"/>
    <w:rsid w:val="00D56815"/>
    <w:rsid w:val="00D56828"/>
    <w:rsid w:val="00D56833"/>
    <w:rsid w:val="00D56A91"/>
    <w:rsid w:val="00D56A94"/>
    <w:rsid w:val="00D56AD0"/>
    <w:rsid w:val="00D56ADD"/>
    <w:rsid w:val="00D56AE1"/>
    <w:rsid w:val="00D56C37"/>
    <w:rsid w:val="00D56C75"/>
    <w:rsid w:val="00D56CB3"/>
    <w:rsid w:val="00D56DC5"/>
    <w:rsid w:val="00D56DE2"/>
    <w:rsid w:val="00D56E36"/>
    <w:rsid w:val="00D570A7"/>
    <w:rsid w:val="00D57223"/>
    <w:rsid w:val="00D57329"/>
    <w:rsid w:val="00D5743A"/>
    <w:rsid w:val="00D5746F"/>
    <w:rsid w:val="00D575BB"/>
    <w:rsid w:val="00D576DC"/>
    <w:rsid w:val="00D57724"/>
    <w:rsid w:val="00D5776D"/>
    <w:rsid w:val="00D57845"/>
    <w:rsid w:val="00D57864"/>
    <w:rsid w:val="00D57887"/>
    <w:rsid w:val="00D579E5"/>
    <w:rsid w:val="00D57A7C"/>
    <w:rsid w:val="00D57AB7"/>
    <w:rsid w:val="00D57AF3"/>
    <w:rsid w:val="00D57B77"/>
    <w:rsid w:val="00D57C68"/>
    <w:rsid w:val="00D57C8F"/>
    <w:rsid w:val="00D57D50"/>
    <w:rsid w:val="00D57DCD"/>
    <w:rsid w:val="00D57DFD"/>
    <w:rsid w:val="00D57DFE"/>
    <w:rsid w:val="00D57EA5"/>
    <w:rsid w:val="00D57FC4"/>
    <w:rsid w:val="00D60078"/>
    <w:rsid w:val="00D600E6"/>
    <w:rsid w:val="00D60121"/>
    <w:rsid w:val="00D601AF"/>
    <w:rsid w:val="00D603CA"/>
    <w:rsid w:val="00D603D0"/>
    <w:rsid w:val="00D6040A"/>
    <w:rsid w:val="00D6042A"/>
    <w:rsid w:val="00D6055F"/>
    <w:rsid w:val="00D60616"/>
    <w:rsid w:val="00D60760"/>
    <w:rsid w:val="00D607D0"/>
    <w:rsid w:val="00D60815"/>
    <w:rsid w:val="00D608BA"/>
    <w:rsid w:val="00D60A7A"/>
    <w:rsid w:val="00D60B0A"/>
    <w:rsid w:val="00D60C17"/>
    <w:rsid w:val="00D60CF8"/>
    <w:rsid w:val="00D60D22"/>
    <w:rsid w:val="00D60D32"/>
    <w:rsid w:val="00D60EF7"/>
    <w:rsid w:val="00D60FD1"/>
    <w:rsid w:val="00D61059"/>
    <w:rsid w:val="00D61135"/>
    <w:rsid w:val="00D611DF"/>
    <w:rsid w:val="00D611E1"/>
    <w:rsid w:val="00D611E5"/>
    <w:rsid w:val="00D613C3"/>
    <w:rsid w:val="00D6147F"/>
    <w:rsid w:val="00D614E6"/>
    <w:rsid w:val="00D615B9"/>
    <w:rsid w:val="00D615DE"/>
    <w:rsid w:val="00D615E1"/>
    <w:rsid w:val="00D615F5"/>
    <w:rsid w:val="00D61651"/>
    <w:rsid w:val="00D61677"/>
    <w:rsid w:val="00D6176B"/>
    <w:rsid w:val="00D61832"/>
    <w:rsid w:val="00D61985"/>
    <w:rsid w:val="00D619CA"/>
    <w:rsid w:val="00D61B47"/>
    <w:rsid w:val="00D61B7D"/>
    <w:rsid w:val="00D61C38"/>
    <w:rsid w:val="00D61C55"/>
    <w:rsid w:val="00D61C58"/>
    <w:rsid w:val="00D61C80"/>
    <w:rsid w:val="00D61CF8"/>
    <w:rsid w:val="00D61E6A"/>
    <w:rsid w:val="00D61EFA"/>
    <w:rsid w:val="00D62005"/>
    <w:rsid w:val="00D620D4"/>
    <w:rsid w:val="00D6215D"/>
    <w:rsid w:val="00D621A6"/>
    <w:rsid w:val="00D621D6"/>
    <w:rsid w:val="00D6227C"/>
    <w:rsid w:val="00D622C8"/>
    <w:rsid w:val="00D622E6"/>
    <w:rsid w:val="00D62324"/>
    <w:rsid w:val="00D62347"/>
    <w:rsid w:val="00D62386"/>
    <w:rsid w:val="00D623BE"/>
    <w:rsid w:val="00D6249E"/>
    <w:rsid w:val="00D62558"/>
    <w:rsid w:val="00D6275E"/>
    <w:rsid w:val="00D6276A"/>
    <w:rsid w:val="00D62896"/>
    <w:rsid w:val="00D628E7"/>
    <w:rsid w:val="00D6294C"/>
    <w:rsid w:val="00D62A04"/>
    <w:rsid w:val="00D62C48"/>
    <w:rsid w:val="00D62D46"/>
    <w:rsid w:val="00D62EA6"/>
    <w:rsid w:val="00D62EBF"/>
    <w:rsid w:val="00D62F58"/>
    <w:rsid w:val="00D62F97"/>
    <w:rsid w:val="00D62FF7"/>
    <w:rsid w:val="00D631FE"/>
    <w:rsid w:val="00D632FA"/>
    <w:rsid w:val="00D634BA"/>
    <w:rsid w:val="00D634C4"/>
    <w:rsid w:val="00D63570"/>
    <w:rsid w:val="00D635DB"/>
    <w:rsid w:val="00D635EC"/>
    <w:rsid w:val="00D63626"/>
    <w:rsid w:val="00D63692"/>
    <w:rsid w:val="00D6374F"/>
    <w:rsid w:val="00D637F5"/>
    <w:rsid w:val="00D63872"/>
    <w:rsid w:val="00D6391C"/>
    <w:rsid w:val="00D63930"/>
    <w:rsid w:val="00D639BA"/>
    <w:rsid w:val="00D63B08"/>
    <w:rsid w:val="00D63B4E"/>
    <w:rsid w:val="00D63BF5"/>
    <w:rsid w:val="00D63C26"/>
    <w:rsid w:val="00D63D92"/>
    <w:rsid w:val="00D6411E"/>
    <w:rsid w:val="00D64179"/>
    <w:rsid w:val="00D64302"/>
    <w:rsid w:val="00D64601"/>
    <w:rsid w:val="00D64662"/>
    <w:rsid w:val="00D646C6"/>
    <w:rsid w:val="00D646ED"/>
    <w:rsid w:val="00D64706"/>
    <w:rsid w:val="00D6471A"/>
    <w:rsid w:val="00D64729"/>
    <w:rsid w:val="00D64764"/>
    <w:rsid w:val="00D6477D"/>
    <w:rsid w:val="00D64802"/>
    <w:rsid w:val="00D64841"/>
    <w:rsid w:val="00D6486C"/>
    <w:rsid w:val="00D648E6"/>
    <w:rsid w:val="00D64A2E"/>
    <w:rsid w:val="00D64BEC"/>
    <w:rsid w:val="00D64C41"/>
    <w:rsid w:val="00D64CBD"/>
    <w:rsid w:val="00D64DED"/>
    <w:rsid w:val="00D64DF9"/>
    <w:rsid w:val="00D64F45"/>
    <w:rsid w:val="00D64F60"/>
    <w:rsid w:val="00D6502B"/>
    <w:rsid w:val="00D6511C"/>
    <w:rsid w:val="00D65145"/>
    <w:rsid w:val="00D65225"/>
    <w:rsid w:val="00D65421"/>
    <w:rsid w:val="00D654A0"/>
    <w:rsid w:val="00D654DE"/>
    <w:rsid w:val="00D6554A"/>
    <w:rsid w:val="00D65555"/>
    <w:rsid w:val="00D656D0"/>
    <w:rsid w:val="00D6574B"/>
    <w:rsid w:val="00D658D6"/>
    <w:rsid w:val="00D658FC"/>
    <w:rsid w:val="00D65A21"/>
    <w:rsid w:val="00D65AC0"/>
    <w:rsid w:val="00D65ADA"/>
    <w:rsid w:val="00D65B44"/>
    <w:rsid w:val="00D65B85"/>
    <w:rsid w:val="00D65BDD"/>
    <w:rsid w:val="00D65C1B"/>
    <w:rsid w:val="00D65C46"/>
    <w:rsid w:val="00D65CEB"/>
    <w:rsid w:val="00D65E2F"/>
    <w:rsid w:val="00D65FD8"/>
    <w:rsid w:val="00D66034"/>
    <w:rsid w:val="00D6603E"/>
    <w:rsid w:val="00D660BF"/>
    <w:rsid w:val="00D660D4"/>
    <w:rsid w:val="00D661E4"/>
    <w:rsid w:val="00D66273"/>
    <w:rsid w:val="00D66434"/>
    <w:rsid w:val="00D66469"/>
    <w:rsid w:val="00D6664F"/>
    <w:rsid w:val="00D66676"/>
    <w:rsid w:val="00D6669A"/>
    <w:rsid w:val="00D667CE"/>
    <w:rsid w:val="00D667EF"/>
    <w:rsid w:val="00D66907"/>
    <w:rsid w:val="00D66981"/>
    <w:rsid w:val="00D66A52"/>
    <w:rsid w:val="00D66C1D"/>
    <w:rsid w:val="00D66CB2"/>
    <w:rsid w:val="00D66CD6"/>
    <w:rsid w:val="00D66ECD"/>
    <w:rsid w:val="00D66ED1"/>
    <w:rsid w:val="00D66F39"/>
    <w:rsid w:val="00D66F93"/>
    <w:rsid w:val="00D66FC6"/>
    <w:rsid w:val="00D66FFD"/>
    <w:rsid w:val="00D67015"/>
    <w:rsid w:val="00D6708C"/>
    <w:rsid w:val="00D6712B"/>
    <w:rsid w:val="00D67154"/>
    <w:rsid w:val="00D67163"/>
    <w:rsid w:val="00D671BF"/>
    <w:rsid w:val="00D671ED"/>
    <w:rsid w:val="00D67251"/>
    <w:rsid w:val="00D67261"/>
    <w:rsid w:val="00D6730F"/>
    <w:rsid w:val="00D67327"/>
    <w:rsid w:val="00D6740A"/>
    <w:rsid w:val="00D675CC"/>
    <w:rsid w:val="00D676A1"/>
    <w:rsid w:val="00D676BA"/>
    <w:rsid w:val="00D676DD"/>
    <w:rsid w:val="00D677B6"/>
    <w:rsid w:val="00D67A75"/>
    <w:rsid w:val="00D67AC6"/>
    <w:rsid w:val="00D67B12"/>
    <w:rsid w:val="00D67BD5"/>
    <w:rsid w:val="00D67C1B"/>
    <w:rsid w:val="00D67CFD"/>
    <w:rsid w:val="00D67D25"/>
    <w:rsid w:val="00D67E1D"/>
    <w:rsid w:val="00D67E96"/>
    <w:rsid w:val="00D67F43"/>
    <w:rsid w:val="00D67F8C"/>
    <w:rsid w:val="00D67FE1"/>
    <w:rsid w:val="00D7009C"/>
    <w:rsid w:val="00D700BD"/>
    <w:rsid w:val="00D701AF"/>
    <w:rsid w:val="00D70212"/>
    <w:rsid w:val="00D70214"/>
    <w:rsid w:val="00D7040E"/>
    <w:rsid w:val="00D7044E"/>
    <w:rsid w:val="00D7047F"/>
    <w:rsid w:val="00D705B3"/>
    <w:rsid w:val="00D7063E"/>
    <w:rsid w:val="00D7064B"/>
    <w:rsid w:val="00D706A3"/>
    <w:rsid w:val="00D70727"/>
    <w:rsid w:val="00D70748"/>
    <w:rsid w:val="00D708F4"/>
    <w:rsid w:val="00D7097B"/>
    <w:rsid w:val="00D70B83"/>
    <w:rsid w:val="00D70BE8"/>
    <w:rsid w:val="00D70C1D"/>
    <w:rsid w:val="00D70C36"/>
    <w:rsid w:val="00D70C70"/>
    <w:rsid w:val="00D70E7F"/>
    <w:rsid w:val="00D70F6D"/>
    <w:rsid w:val="00D70FA3"/>
    <w:rsid w:val="00D71046"/>
    <w:rsid w:val="00D7104D"/>
    <w:rsid w:val="00D71280"/>
    <w:rsid w:val="00D712AC"/>
    <w:rsid w:val="00D712BE"/>
    <w:rsid w:val="00D712DB"/>
    <w:rsid w:val="00D712F1"/>
    <w:rsid w:val="00D71474"/>
    <w:rsid w:val="00D714BD"/>
    <w:rsid w:val="00D71516"/>
    <w:rsid w:val="00D71587"/>
    <w:rsid w:val="00D71639"/>
    <w:rsid w:val="00D716EB"/>
    <w:rsid w:val="00D7170E"/>
    <w:rsid w:val="00D71798"/>
    <w:rsid w:val="00D71C94"/>
    <w:rsid w:val="00D71E6C"/>
    <w:rsid w:val="00D71EC0"/>
    <w:rsid w:val="00D71F3E"/>
    <w:rsid w:val="00D71F91"/>
    <w:rsid w:val="00D71FD2"/>
    <w:rsid w:val="00D720B3"/>
    <w:rsid w:val="00D720E8"/>
    <w:rsid w:val="00D72615"/>
    <w:rsid w:val="00D726F4"/>
    <w:rsid w:val="00D72764"/>
    <w:rsid w:val="00D72931"/>
    <w:rsid w:val="00D72CF2"/>
    <w:rsid w:val="00D72DCC"/>
    <w:rsid w:val="00D72E13"/>
    <w:rsid w:val="00D72F24"/>
    <w:rsid w:val="00D730DD"/>
    <w:rsid w:val="00D7322E"/>
    <w:rsid w:val="00D73247"/>
    <w:rsid w:val="00D73292"/>
    <w:rsid w:val="00D732FB"/>
    <w:rsid w:val="00D73366"/>
    <w:rsid w:val="00D734C2"/>
    <w:rsid w:val="00D73688"/>
    <w:rsid w:val="00D736B7"/>
    <w:rsid w:val="00D7386A"/>
    <w:rsid w:val="00D73A3C"/>
    <w:rsid w:val="00D73AA6"/>
    <w:rsid w:val="00D73C93"/>
    <w:rsid w:val="00D73CD5"/>
    <w:rsid w:val="00D73DD6"/>
    <w:rsid w:val="00D73F71"/>
    <w:rsid w:val="00D73F7F"/>
    <w:rsid w:val="00D740B5"/>
    <w:rsid w:val="00D7415C"/>
    <w:rsid w:val="00D7419C"/>
    <w:rsid w:val="00D74234"/>
    <w:rsid w:val="00D74237"/>
    <w:rsid w:val="00D74280"/>
    <w:rsid w:val="00D74297"/>
    <w:rsid w:val="00D7444E"/>
    <w:rsid w:val="00D74500"/>
    <w:rsid w:val="00D74800"/>
    <w:rsid w:val="00D74AD8"/>
    <w:rsid w:val="00D74B04"/>
    <w:rsid w:val="00D74B76"/>
    <w:rsid w:val="00D74BE5"/>
    <w:rsid w:val="00D74CAF"/>
    <w:rsid w:val="00D74D24"/>
    <w:rsid w:val="00D74D8B"/>
    <w:rsid w:val="00D74D8D"/>
    <w:rsid w:val="00D74ED2"/>
    <w:rsid w:val="00D74EF0"/>
    <w:rsid w:val="00D74F37"/>
    <w:rsid w:val="00D74FFC"/>
    <w:rsid w:val="00D75084"/>
    <w:rsid w:val="00D7512C"/>
    <w:rsid w:val="00D75267"/>
    <w:rsid w:val="00D752FB"/>
    <w:rsid w:val="00D754D1"/>
    <w:rsid w:val="00D7552F"/>
    <w:rsid w:val="00D755B0"/>
    <w:rsid w:val="00D755DC"/>
    <w:rsid w:val="00D756DD"/>
    <w:rsid w:val="00D756E5"/>
    <w:rsid w:val="00D75799"/>
    <w:rsid w:val="00D75851"/>
    <w:rsid w:val="00D75957"/>
    <w:rsid w:val="00D759A7"/>
    <w:rsid w:val="00D75AB3"/>
    <w:rsid w:val="00D75B92"/>
    <w:rsid w:val="00D75BA0"/>
    <w:rsid w:val="00D75C1C"/>
    <w:rsid w:val="00D75C62"/>
    <w:rsid w:val="00D75D69"/>
    <w:rsid w:val="00D75DB1"/>
    <w:rsid w:val="00D75E23"/>
    <w:rsid w:val="00D75F14"/>
    <w:rsid w:val="00D75F46"/>
    <w:rsid w:val="00D75FD6"/>
    <w:rsid w:val="00D7614C"/>
    <w:rsid w:val="00D76246"/>
    <w:rsid w:val="00D762B9"/>
    <w:rsid w:val="00D7637A"/>
    <w:rsid w:val="00D763B5"/>
    <w:rsid w:val="00D76525"/>
    <w:rsid w:val="00D76538"/>
    <w:rsid w:val="00D765DE"/>
    <w:rsid w:val="00D7666D"/>
    <w:rsid w:val="00D76687"/>
    <w:rsid w:val="00D76866"/>
    <w:rsid w:val="00D7692B"/>
    <w:rsid w:val="00D769EB"/>
    <w:rsid w:val="00D76B0C"/>
    <w:rsid w:val="00D76B54"/>
    <w:rsid w:val="00D76B58"/>
    <w:rsid w:val="00D76B89"/>
    <w:rsid w:val="00D76C06"/>
    <w:rsid w:val="00D76D7F"/>
    <w:rsid w:val="00D76DA1"/>
    <w:rsid w:val="00D76DC1"/>
    <w:rsid w:val="00D76DC3"/>
    <w:rsid w:val="00D76E1C"/>
    <w:rsid w:val="00D770E2"/>
    <w:rsid w:val="00D770FB"/>
    <w:rsid w:val="00D7719E"/>
    <w:rsid w:val="00D77280"/>
    <w:rsid w:val="00D773FD"/>
    <w:rsid w:val="00D7743A"/>
    <w:rsid w:val="00D77527"/>
    <w:rsid w:val="00D7755F"/>
    <w:rsid w:val="00D77596"/>
    <w:rsid w:val="00D77632"/>
    <w:rsid w:val="00D77732"/>
    <w:rsid w:val="00D77783"/>
    <w:rsid w:val="00D777EA"/>
    <w:rsid w:val="00D777FF"/>
    <w:rsid w:val="00D7795A"/>
    <w:rsid w:val="00D77ABD"/>
    <w:rsid w:val="00D77B7D"/>
    <w:rsid w:val="00D77BA2"/>
    <w:rsid w:val="00D77DC1"/>
    <w:rsid w:val="00D77DD1"/>
    <w:rsid w:val="00D77EC0"/>
    <w:rsid w:val="00D77F29"/>
    <w:rsid w:val="00D77F5C"/>
    <w:rsid w:val="00D77FF8"/>
    <w:rsid w:val="00D800A2"/>
    <w:rsid w:val="00D801CA"/>
    <w:rsid w:val="00D80257"/>
    <w:rsid w:val="00D802B7"/>
    <w:rsid w:val="00D8034B"/>
    <w:rsid w:val="00D80375"/>
    <w:rsid w:val="00D803B2"/>
    <w:rsid w:val="00D8041F"/>
    <w:rsid w:val="00D806C0"/>
    <w:rsid w:val="00D80790"/>
    <w:rsid w:val="00D807E9"/>
    <w:rsid w:val="00D80870"/>
    <w:rsid w:val="00D80895"/>
    <w:rsid w:val="00D8094D"/>
    <w:rsid w:val="00D809AD"/>
    <w:rsid w:val="00D809D2"/>
    <w:rsid w:val="00D809F0"/>
    <w:rsid w:val="00D80A06"/>
    <w:rsid w:val="00D80AEB"/>
    <w:rsid w:val="00D80B23"/>
    <w:rsid w:val="00D80CE9"/>
    <w:rsid w:val="00D80CF1"/>
    <w:rsid w:val="00D80DA9"/>
    <w:rsid w:val="00D80DD4"/>
    <w:rsid w:val="00D80F46"/>
    <w:rsid w:val="00D8103B"/>
    <w:rsid w:val="00D8104F"/>
    <w:rsid w:val="00D8106D"/>
    <w:rsid w:val="00D81267"/>
    <w:rsid w:val="00D81272"/>
    <w:rsid w:val="00D812EE"/>
    <w:rsid w:val="00D81307"/>
    <w:rsid w:val="00D8132B"/>
    <w:rsid w:val="00D81471"/>
    <w:rsid w:val="00D81529"/>
    <w:rsid w:val="00D8156E"/>
    <w:rsid w:val="00D815E9"/>
    <w:rsid w:val="00D81831"/>
    <w:rsid w:val="00D81AB2"/>
    <w:rsid w:val="00D81AC5"/>
    <w:rsid w:val="00D81AF5"/>
    <w:rsid w:val="00D81B4A"/>
    <w:rsid w:val="00D81B52"/>
    <w:rsid w:val="00D81C2A"/>
    <w:rsid w:val="00D81C6A"/>
    <w:rsid w:val="00D81D16"/>
    <w:rsid w:val="00D81E13"/>
    <w:rsid w:val="00D8206D"/>
    <w:rsid w:val="00D821FF"/>
    <w:rsid w:val="00D82246"/>
    <w:rsid w:val="00D824AC"/>
    <w:rsid w:val="00D824D4"/>
    <w:rsid w:val="00D824DD"/>
    <w:rsid w:val="00D824E4"/>
    <w:rsid w:val="00D824FC"/>
    <w:rsid w:val="00D825EB"/>
    <w:rsid w:val="00D82941"/>
    <w:rsid w:val="00D82A40"/>
    <w:rsid w:val="00D82A85"/>
    <w:rsid w:val="00D82AFC"/>
    <w:rsid w:val="00D82B1A"/>
    <w:rsid w:val="00D82B21"/>
    <w:rsid w:val="00D82B4A"/>
    <w:rsid w:val="00D82CE9"/>
    <w:rsid w:val="00D82D53"/>
    <w:rsid w:val="00D82D5D"/>
    <w:rsid w:val="00D82EC9"/>
    <w:rsid w:val="00D82F08"/>
    <w:rsid w:val="00D82F38"/>
    <w:rsid w:val="00D82F3D"/>
    <w:rsid w:val="00D82F74"/>
    <w:rsid w:val="00D82F8E"/>
    <w:rsid w:val="00D83154"/>
    <w:rsid w:val="00D833CF"/>
    <w:rsid w:val="00D834CF"/>
    <w:rsid w:val="00D83559"/>
    <w:rsid w:val="00D83600"/>
    <w:rsid w:val="00D83647"/>
    <w:rsid w:val="00D83676"/>
    <w:rsid w:val="00D83786"/>
    <w:rsid w:val="00D837C0"/>
    <w:rsid w:val="00D838F2"/>
    <w:rsid w:val="00D83A06"/>
    <w:rsid w:val="00D83AB0"/>
    <w:rsid w:val="00D83B64"/>
    <w:rsid w:val="00D83CAE"/>
    <w:rsid w:val="00D83D1F"/>
    <w:rsid w:val="00D83DEB"/>
    <w:rsid w:val="00D83DF4"/>
    <w:rsid w:val="00D83E69"/>
    <w:rsid w:val="00D83E71"/>
    <w:rsid w:val="00D83E9A"/>
    <w:rsid w:val="00D83EA3"/>
    <w:rsid w:val="00D83EE0"/>
    <w:rsid w:val="00D83F36"/>
    <w:rsid w:val="00D83F48"/>
    <w:rsid w:val="00D840F6"/>
    <w:rsid w:val="00D84125"/>
    <w:rsid w:val="00D84156"/>
    <w:rsid w:val="00D8442C"/>
    <w:rsid w:val="00D845A0"/>
    <w:rsid w:val="00D845AA"/>
    <w:rsid w:val="00D8467E"/>
    <w:rsid w:val="00D84690"/>
    <w:rsid w:val="00D8470C"/>
    <w:rsid w:val="00D84759"/>
    <w:rsid w:val="00D847B3"/>
    <w:rsid w:val="00D847DC"/>
    <w:rsid w:val="00D848A2"/>
    <w:rsid w:val="00D849CD"/>
    <w:rsid w:val="00D84A20"/>
    <w:rsid w:val="00D84A21"/>
    <w:rsid w:val="00D84ADF"/>
    <w:rsid w:val="00D84B0C"/>
    <w:rsid w:val="00D84B60"/>
    <w:rsid w:val="00D84C48"/>
    <w:rsid w:val="00D84CA8"/>
    <w:rsid w:val="00D84CC1"/>
    <w:rsid w:val="00D84D39"/>
    <w:rsid w:val="00D84D3D"/>
    <w:rsid w:val="00D84D5B"/>
    <w:rsid w:val="00D84DCE"/>
    <w:rsid w:val="00D84F34"/>
    <w:rsid w:val="00D84F53"/>
    <w:rsid w:val="00D84F70"/>
    <w:rsid w:val="00D8501A"/>
    <w:rsid w:val="00D8518E"/>
    <w:rsid w:val="00D8521B"/>
    <w:rsid w:val="00D8527B"/>
    <w:rsid w:val="00D852F0"/>
    <w:rsid w:val="00D8533A"/>
    <w:rsid w:val="00D85383"/>
    <w:rsid w:val="00D85547"/>
    <w:rsid w:val="00D85688"/>
    <w:rsid w:val="00D856FF"/>
    <w:rsid w:val="00D85848"/>
    <w:rsid w:val="00D858B9"/>
    <w:rsid w:val="00D858F9"/>
    <w:rsid w:val="00D85A01"/>
    <w:rsid w:val="00D85A0A"/>
    <w:rsid w:val="00D85BA0"/>
    <w:rsid w:val="00D85BC4"/>
    <w:rsid w:val="00D85BC6"/>
    <w:rsid w:val="00D85C6F"/>
    <w:rsid w:val="00D85CF9"/>
    <w:rsid w:val="00D85D6D"/>
    <w:rsid w:val="00D85E3E"/>
    <w:rsid w:val="00D85F44"/>
    <w:rsid w:val="00D85FAF"/>
    <w:rsid w:val="00D86060"/>
    <w:rsid w:val="00D8610A"/>
    <w:rsid w:val="00D86141"/>
    <w:rsid w:val="00D86142"/>
    <w:rsid w:val="00D86147"/>
    <w:rsid w:val="00D8615B"/>
    <w:rsid w:val="00D861C0"/>
    <w:rsid w:val="00D86220"/>
    <w:rsid w:val="00D8625E"/>
    <w:rsid w:val="00D8629F"/>
    <w:rsid w:val="00D86598"/>
    <w:rsid w:val="00D865B7"/>
    <w:rsid w:val="00D865C2"/>
    <w:rsid w:val="00D8675A"/>
    <w:rsid w:val="00D868FA"/>
    <w:rsid w:val="00D86961"/>
    <w:rsid w:val="00D8699F"/>
    <w:rsid w:val="00D869D9"/>
    <w:rsid w:val="00D869E0"/>
    <w:rsid w:val="00D86A1B"/>
    <w:rsid w:val="00D86C20"/>
    <w:rsid w:val="00D86CAE"/>
    <w:rsid w:val="00D86D82"/>
    <w:rsid w:val="00D86DB1"/>
    <w:rsid w:val="00D86DC5"/>
    <w:rsid w:val="00D86E1C"/>
    <w:rsid w:val="00D86FDC"/>
    <w:rsid w:val="00D86FF9"/>
    <w:rsid w:val="00D8700E"/>
    <w:rsid w:val="00D87028"/>
    <w:rsid w:val="00D87057"/>
    <w:rsid w:val="00D87065"/>
    <w:rsid w:val="00D870B5"/>
    <w:rsid w:val="00D8728F"/>
    <w:rsid w:val="00D873B6"/>
    <w:rsid w:val="00D874B1"/>
    <w:rsid w:val="00D87668"/>
    <w:rsid w:val="00D87700"/>
    <w:rsid w:val="00D87774"/>
    <w:rsid w:val="00D87796"/>
    <w:rsid w:val="00D879F4"/>
    <w:rsid w:val="00D87A89"/>
    <w:rsid w:val="00D87B3D"/>
    <w:rsid w:val="00D87B81"/>
    <w:rsid w:val="00D87BDC"/>
    <w:rsid w:val="00D87D71"/>
    <w:rsid w:val="00D87D9F"/>
    <w:rsid w:val="00D87DB3"/>
    <w:rsid w:val="00D87DB5"/>
    <w:rsid w:val="00D87E7C"/>
    <w:rsid w:val="00D87E7E"/>
    <w:rsid w:val="00D87E88"/>
    <w:rsid w:val="00D87EEE"/>
    <w:rsid w:val="00D90191"/>
    <w:rsid w:val="00D901D9"/>
    <w:rsid w:val="00D90218"/>
    <w:rsid w:val="00D90298"/>
    <w:rsid w:val="00D902FA"/>
    <w:rsid w:val="00D90377"/>
    <w:rsid w:val="00D90540"/>
    <w:rsid w:val="00D90752"/>
    <w:rsid w:val="00D9076A"/>
    <w:rsid w:val="00D90785"/>
    <w:rsid w:val="00D90822"/>
    <w:rsid w:val="00D90858"/>
    <w:rsid w:val="00D90884"/>
    <w:rsid w:val="00D90926"/>
    <w:rsid w:val="00D9096C"/>
    <w:rsid w:val="00D90AC6"/>
    <w:rsid w:val="00D90B77"/>
    <w:rsid w:val="00D90BBA"/>
    <w:rsid w:val="00D90CC8"/>
    <w:rsid w:val="00D90CFF"/>
    <w:rsid w:val="00D90E0B"/>
    <w:rsid w:val="00D90E76"/>
    <w:rsid w:val="00D90F04"/>
    <w:rsid w:val="00D90F57"/>
    <w:rsid w:val="00D9101C"/>
    <w:rsid w:val="00D91071"/>
    <w:rsid w:val="00D91127"/>
    <w:rsid w:val="00D9115F"/>
    <w:rsid w:val="00D912F6"/>
    <w:rsid w:val="00D9131A"/>
    <w:rsid w:val="00D91393"/>
    <w:rsid w:val="00D914D9"/>
    <w:rsid w:val="00D91527"/>
    <w:rsid w:val="00D917BE"/>
    <w:rsid w:val="00D91874"/>
    <w:rsid w:val="00D918C2"/>
    <w:rsid w:val="00D918DF"/>
    <w:rsid w:val="00D91904"/>
    <w:rsid w:val="00D91953"/>
    <w:rsid w:val="00D91996"/>
    <w:rsid w:val="00D91A6E"/>
    <w:rsid w:val="00D91B10"/>
    <w:rsid w:val="00D91B33"/>
    <w:rsid w:val="00D91C64"/>
    <w:rsid w:val="00D91CCA"/>
    <w:rsid w:val="00D91D9B"/>
    <w:rsid w:val="00D91DB2"/>
    <w:rsid w:val="00D91E02"/>
    <w:rsid w:val="00D91FB9"/>
    <w:rsid w:val="00D920FC"/>
    <w:rsid w:val="00D92104"/>
    <w:rsid w:val="00D92110"/>
    <w:rsid w:val="00D9216D"/>
    <w:rsid w:val="00D9227C"/>
    <w:rsid w:val="00D92288"/>
    <w:rsid w:val="00D92291"/>
    <w:rsid w:val="00D9229B"/>
    <w:rsid w:val="00D922A3"/>
    <w:rsid w:val="00D922CD"/>
    <w:rsid w:val="00D92354"/>
    <w:rsid w:val="00D923E8"/>
    <w:rsid w:val="00D92403"/>
    <w:rsid w:val="00D92449"/>
    <w:rsid w:val="00D924F2"/>
    <w:rsid w:val="00D9252B"/>
    <w:rsid w:val="00D9253C"/>
    <w:rsid w:val="00D92578"/>
    <w:rsid w:val="00D926B8"/>
    <w:rsid w:val="00D92720"/>
    <w:rsid w:val="00D92B75"/>
    <w:rsid w:val="00D92C3F"/>
    <w:rsid w:val="00D92CFD"/>
    <w:rsid w:val="00D92D09"/>
    <w:rsid w:val="00D92E6D"/>
    <w:rsid w:val="00D92EE9"/>
    <w:rsid w:val="00D92F11"/>
    <w:rsid w:val="00D92F21"/>
    <w:rsid w:val="00D92FCA"/>
    <w:rsid w:val="00D930C1"/>
    <w:rsid w:val="00D932E7"/>
    <w:rsid w:val="00D9338E"/>
    <w:rsid w:val="00D93411"/>
    <w:rsid w:val="00D9357A"/>
    <w:rsid w:val="00D935F2"/>
    <w:rsid w:val="00D93690"/>
    <w:rsid w:val="00D9377C"/>
    <w:rsid w:val="00D93935"/>
    <w:rsid w:val="00D93951"/>
    <w:rsid w:val="00D9398D"/>
    <w:rsid w:val="00D93A1D"/>
    <w:rsid w:val="00D93A86"/>
    <w:rsid w:val="00D93A9E"/>
    <w:rsid w:val="00D93ADC"/>
    <w:rsid w:val="00D93B2D"/>
    <w:rsid w:val="00D93B52"/>
    <w:rsid w:val="00D93BBD"/>
    <w:rsid w:val="00D93BD9"/>
    <w:rsid w:val="00D93BEF"/>
    <w:rsid w:val="00D93DA7"/>
    <w:rsid w:val="00D93E78"/>
    <w:rsid w:val="00D93EB0"/>
    <w:rsid w:val="00D93F95"/>
    <w:rsid w:val="00D93FC0"/>
    <w:rsid w:val="00D94089"/>
    <w:rsid w:val="00D940AF"/>
    <w:rsid w:val="00D940B6"/>
    <w:rsid w:val="00D9418C"/>
    <w:rsid w:val="00D94225"/>
    <w:rsid w:val="00D94252"/>
    <w:rsid w:val="00D94334"/>
    <w:rsid w:val="00D943BE"/>
    <w:rsid w:val="00D9444A"/>
    <w:rsid w:val="00D944A1"/>
    <w:rsid w:val="00D944C1"/>
    <w:rsid w:val="00D94505"/>
    <w:rsid w:val="00D945E8"/>
    <w:rsid w:val="00D94662"/>
    <w:rsid w:val="00D946FD"/>
    <w:rsid w:val="00D94A0B"/>
    <w:rsid w:val="00D94A7A"/>
    <w:rsid w:val="00D94C46"/>
    <w:rsid w:val="00D94C8D"/>
    <w:rsid w:val="00D94E79"/>
    <w:rsid w:val="00D94F0F"/>
    <w:rsid w:val="00D94F4A"/>
    <w:rsid w:val="00D94F9D"/>
    <w:rsid w:val="00D94FCD"/>
    <w:rsid w:val="00D95074"/>
    <w:rsid w:val="00D95220"/>
    <w:rsid w:val="00D95249"/>
    <w:rsid w:val="00D95265"/>
    <w:rsid w:val="00D9526C"/>
    <w:rsid w:val="00D95283"/>
    <w:rsid w:val="00D95317"/>
    <w:rsid w:val="00D95425"/>
    <w:rsid w:val="00D954FD"/>
    <w:rsid w:val="00D95522"/>
    <w:rsid w:val="00D955AE"/>
    <w:rsid w:val="00D95615"/>
    <w:rsid w:val="00D95797"/>
    <w:rsid w:val="00D95875"/>
    <w:rsid w:val="00D958F1"/>
    <w:rsid w:val="00D95919"/>
    <w:rsid w:val="00D959D2"/>
    <w:rsid w:val="00D95A0D"/>
    <w:rsid w:val="00D95A6C"/>
    <w:rsid w:val="00D95AED"/>
    <w:rsid w:val="00D95B27"/>
    <w:rsid w:val="00D95BEF"/>
    <w:rsid w:val="00D95C9B"/>
    <w:rsid w:val="00D95D02"/>
    <w:rsid w:val="00D95D64"/>
    <w:rsid w:val="00D95E4D"/>
    <w:rsid w:val="00D95E5B"/>
    <w:rsid w:val="00D95EDE"/>
    <w:rsid w:val="00D95F36"/>
    <w:rsid w:val="00D95FC0"/>
    <w:rsid w:val="00D960B6"/>
    <w:rsid w:val="00D960E2"/>
    <w:rsid w:val="00D9617D"/>
    <w:rsid w:val="00D961B0"/>
    <w:rsid w:val="00D96341"/>
    <w:rsid w:val="00D9638C"/>
    <w:rsid w:val="00D96414"/>
    <w:rsid w:val="00D9641F"/>
    <w:rsid w:val="00D9647B"/>
    <w:rsid w:val="00D96599"/>
    <w:rsid w:val="00D965C8"/>
    <w:rsid w:val="00D96620"/>
    <w:rsid w:val="00D96648"/>
    <w:rsid w:val="00D96681"/>
    <w:rsid w:val="00D966AC"/>
    <w:rsid w:val="00D968F7"/>
    <w:rsid w:val="00D96B03"/>
    <w:rsid w:val="00D96BD0"/>
    <w:rsid w:val="00D96BEE"/>
    <w:rsid w:val="00D96CE5"/>
    <w:rsid w:val="00D96CFF"/>
    <w:rsid w:val="00D96D10"/>
    <w:rsid w:val="00D96D14"/>
    <w:rsid w:val="00D96D23"/>
    <w:rsid w:val="00D96D25"/>
    <w:rsid w:val="00D96D6F"/>
    <w:rsid w:val="00D96D71"/>
    <w:rsid w:val="00D96E1C"/>
    <w:rsid w:val="00D96E74"/>
    <w:rsid w:val="00D96F3C"/>
    <w:rsid w:val="00D96FB6"/>
    <w:rsid w:val="00D9708B"/>
    <w:rsid w:val="00D9710D"/>
    <w:rsid w:val="00D971BB"/>
    <w:rsid w:val="00D97208"/>
    <w:rsid w:val="00D97326"/>
    <w:rsid w:val="00D9739A"/>
    <w:rsid w:val="00D973A5"/>
    <w:rsid w:val="00D97521"/>
    <w:rsid w:val="00D97543"/>
    <w:rsid w:val="00D975AE"/>
    <w:rsid w:val="00D9765A"/>
    <w:rsid w:val="00D976FA"/>
    <w:rsid w:val="00D97775"/>
    <w:rsid w:val="00D978C0"/>
    <w:rsid w:val="00D97999"/>
    <w:rsid w:val="00D97A2F"/>
    <w:rsid w:val="00D97A58"/>
    <w:rsid w:val="00D97AA1"/>
    <w:rsid w:val="00D97CB3"/>
    <w:rsid w:val="00D97CE0"/>
    <w:rsid w:val="00D97CE3"/>
    <w:rsid w:val="00D97D1C"/>
    <w:rsid w:val="00D97D43"/>
    <w:rsid w:val="00D97E7C"/>
    <w:rsid w:val="00D97FB7"/>
    <w:rsid w:val="00DA0136"/>
    <w:rsid w:val="00DA027C"/>
    <w:rsid w:val="00DA02FA"/>
    <w:rsid w:val="00DA0322"/>
    <w:rsid w:val="00DA03AD"/>
    <w:rsid w:val="00DA0542"/>
    <w:rsid w:val="00DA0585"/>
    <w:rsid w:val="00DA06C4"/>
    <w:rsid w:val="00DA076D"/>
    <w:rsid w:val="00DA07F8"/>
    <w:rsid w:val="00DA08CA"/>
    <w:rsid w:val="00DA0957"/>
    <w:rsid w:val="00DA0963"/>
    <w:rsid w:val="00DA0A9E"/>
    <w:rsid w:val="00DA0BB2"/>
    <w:rsid w:val="00DA0C85"/>
    <w:rsid w:val="00DA0D0A"/>
    <w:rsid w:val="00DA0D7C"/>
    <w:rsid w:val="00DA0D9A"/>
    <w:rsid w:val="00DA0DEC"/>
    <w:rsid w:val="00DA0EDD"/>
    <w:rsid w:val="00DA1081"/>
    <w:rsid w:val="00DA1084"/>
    <w:rsid w:val="00DA10A4"/>
    <w:rsid w:val="00DA1164"/>
    <w:rsid w:val="00DA11E8"/>
    <w:rsid w:val="00DA1224"/>
    <w:rsid w:val="00DA12BC"/>
    <w:rsid w:val="00DA134F"/>
    <w:rsid w:val="00DA1381"/>
    <w:rsid w:val="00DA13E3"/>
    <w:rsid w:val="00DA1400"/>
    <w:rsid w:val="00DA14F6"/>
    <w:rsid w:val="00DA1599"/>
    <w:rsid w:val="00DA15C7"/>
    <w:rsid w:val="00DA15F2"/>
    <w:rsid w:val="00DA162B"/>
    <w:rsid w:val="00DA1664"/>
    <w:rsid w:val="00DA16F7"/>
    <w:rsid w:val="00DA17F1"/>
    <w:rsid w:val="00DA1B5B"/>
    <w:rsid w:val="00DA1B76"/>
    <w:rsid w:val="00DA1C66"/>
    <w:rsid w:val="00DA1CAC"/>
    <w:rsid w:val="00DA1D60"/>
    <w:rsid w:val="00DA1DAA"/>
    <w:rsid w:val="00DA1F8B"/>
    <w:rsid w:val="00DA20CA"/>
    <w:rsid w:val="00DA21CC"/>
    <w:rsid w:val="00DA2224"/>
    <w:rsid w:val="00DA2576"/>
    <w:rsid w:val="00DA2730"/>
    <w:rsid w:val="00DA28A3"/>
    <w:rsid w:val="00DA296E"/>
    <w:rsid w:val="00DA2A85"/>
    <w:rsid w:val="00DA2B75"/>
    <w:rsid w:val="00DA2B9C"/>
    <w:rsid w:val="00DA2BA7"/>
    <w:rsid w:val="00DA2D12"/>
    <w:rsid w:val="00DA2EE8"/>
    <w:rsid w:val="00DA2F1B"/>
    <w:rsid w:val="00DA3102"/>
    <w:rsid w:val="00DA3174"/>
    <w:rsid w:val="00DA332A"/>
    <w:rsid w:val="00DA33D4"/>
    <w:rsid w:val="00DA3413"/>
    <w:rsid w:val="00DA3433"/>
    <w:rsid w:val="00DA343B"/>
    <w:rsid w:val="00DA352F"/>
    <w:rsid w:val="00DA36AA"/>
    <w:rsid w:val="00DA3888"/>
    <w:rsid w:val="00DA3901"/>
    <w:rsid w:val="00DA3A38"/>
    <w:rsid w:val="00DA3AEC"/>
    <w:rsid w:val="00DA3CFA"/>
    <w:rsid w:val="00DA3D11"/>
    <w:rsid w:val="00DA3D2E"/>
    <w:rsid w:val="00DA3D47"/>
    <w:rsid w:val="00DA3D97"/>
    <w:rsid w:val="00DA3F4D"/>
    <w:rsid w:val="00DA3FD0"/>
    <w:rsid w:val="00DA40EF"/>
    <w:rsid w:val="00DA4159"/>
    <w:rsid w:val="00DA4252"/>
    <w:rsid w:val="00DA4268"/>
    <w:rsid w:val="00DA42E7"/>
    <w:rsid w:val="00DA4333"/>
    <w:rsid w:val="00DA4336"/>
    <w:rsid w:val="00DA44E0"/>
    <w:rsid w:val="00DA44E6"/>
    <w:rsid w:val="00DA4607"/>
    <w:rsid w:val="00DA46BC"/>
    <w:rsid w:val="00DA476B"/>
    <w:rsid w:val="00DA480C"/>
    <w:rsid w:val="00DA4987"/>
    <w:rsid w:val="00DA49DB"/>
    <w:rsid w:val="00DA4A04"/>
    <w:rsid w:val="00DA4A64"/>
    <w:rsid w:val="00DA4AE1"/>
    <w:rsid w:val="00DA4B39"/>
    <w:rsid w:val="00DA4B77"/>
    <w:rsid w:val="00DA4C0F"/>
    <w:rsid w:val="00DA4C51"/>
    <w:rsid w:val="00DA4C7E"/>
    <w:rsid w:val="00DA4D45"/>
    <w:rsid w:val="00DA4F47"/>
    <w:rsid w:val="00DA4F81"/>
    <w:rsid w:val="00DA51A5"/>
    <w:rsid w:val="00DA52AD"/>
    <w:rsid w:val="00DA52E5"/>
    <w:rsid w:val="00DA5322"/>
    <w:rsid w:val="00DA5385"/>
    <w:rsid w:val="00DA5408"/>
    <w:rsid w:val="00DA5425"/>
    <w:rsid w:val="00DA5504"/>
    <w:rsid w:val="00DA55E5"/>
    <w:rsid w:val="00DA56D7"/>
    <w:rsid w:val="00DA579E"/>
    <w:rsid w:val="00DA57DF"/>
    <w:rsid w:val="00DA580D"/>
    <w:rsid w:val="00DA5C7C"/>
    <w:rsid w:val="00DA5D56"/>
    <w:rsid w:val="00DA5DC2"/>
    <w:rsid w:val="00DA5DEB"/>
    <w:rsid w:val="00DA5DFE"/>
    <w:rsid w:val="00DA5F98"/>
    <w:rsid w:val="00DA5FC7"/>
    <w:rsid w:val="00DA5FF0"/>
    <w:rsid w:val="00DA608E"/>
    <w:rsid w:val="00DA60C6"/>
    <w:rsid w:val="00DA60D6"/>
    <w:rsid w:val="00DA626C"/>
    <w:rsid w:val="00DA6342"/>
    <w:rsid w:val="00DA64A6"/>
    <w:rsid w:val="00DA65BE"/>
    <w:rsid w:val="00DA6620"/>
    <w:rsid w:val="00DA6876"/>
    <w:rsid w:val="00DA6914"/>
    <w:rsid w:val="00DA69A8"/>
    <w:rsid w:val="00DA6A00"/>
    <w:rsid w:val="00DA6A19"/>
    <w:rsid w:val="00DA6AAA"/>
    <w:rsid w:val="00DA6D7D"/>
    <w:rsid w:val="00DA6DBF"/>
    <w:rsid w:val="00DA6DF4"/>
    <w:rsid w:val="00DA6E0C"/>
    <w:rsid w:val="00DA6EF6"/>
    <w:rsid w:val="00DA6F61"/>
    <w:rsid w:val="00DA6FD1"/>
    <w:rsid w:val="00DA7011"/>
    <w:rsid w:val="00DA7080"/>
    <w:rsid w:val="00DA720A"/>
    <w:rsid w:val="00DA7213"/>
    <w:rsid w:val="00DA72E5"/>
    <w:rsid w:val="00DA75FA"/>
    <w:rsid w:val="00DA76EF"/>
    <w:rsid w:val="00DA777B"/>
    <w:rsid w:val="00DA77F3"/>
    <w:rsid w:val="00DA78BD"/>
    <w:rsid w:val="00DA790F"/>
    <w:rsid w:val="00DA794B"/>
    <w:rsid w:val="00DA7A70"/>
    <w:rsid w:val="00DA7C52"/>
    <w:rsid w:val="00DA7C8D"/>
    <w:rsid w:val="00DA7D30"/>
    <w:rsid w:val="00DA7D7D"/>
    <w:rsid w:val="00DA7DCB"/>
    <w:rsid w:val="00DA7DED"/>
    <w:rsid w:val="00DA7E24"/>
    <w:rsid w:val="00DA7E3F"/>
    <w:rsid w:val="00DA7E9C"/>
    <w:rsid w:val="00DA7EB8"/>
    <w:rsid w:val="00DB00E9"/>
    <w:rsid w:val="00DB0181"/>
    <w:rsid w:val="00DB0304"/>
    <w:rsid w:val="00DB040B"/>
    <w:rsid w:val="00DB045D"/>
    <w:rsid w:val="00DB0509"/>
    <w:rsid w:val="00DB052B"/>
    <w:rsid w:val="00DB059F"/>
    <w:rsid w:val="00DB0619"/>
    <w:rsid w:val="00DB0770"/>
    <w:rsid w:val="00DB07BF"/>
    <w:rsid w:val="00DB08BA"/>
    <w:rsid w:val="00DB091B"/>
    <w:rsid w:val="00DB0994"/>
    <w:rsid w:val="00DB0A17"/>
    <w:rsid w:val="00DB0AAC"/>
    <w:rsid w:val="00DB0B77"/>
    <w:rsid w:val="00DB0BAC"/>
    <w:rsid w:val="00DB0BDD"/>
    <w:rsid w:val="00DB0C9C"/>
    <w:rsid w:val="00DB0CBA"/>
    <w:rsid w:val="00DB0CC3"/>
    <w:rsid w:val="00DB0D95"/>
    <w:rsid w:val="00DB0E90"/>
    <w:rsid w:val="00DB0F28"/>
    <w:rsid w:val="00DB0FE1"/>
    <w:rsid w:val="00DB100B"/>
    <w:rsid w:val="00DB1065"/>
    <w:rsid w:val="00DB1127"/>
    <w:rsid w:val="00DB1218"/>
    <w:rsid w:val="00DB1321"/>
    <w:rsid w:val="00DB1360"/>
    <w:rsid w:val="00DB1411"/>
    <w:rsid w:val="00DB14C5"/>
    <w:rsid w:val="00DB1517"/>
    <w:rsid w:val="00DB160D"/>
    <w:rsid w:val="00DB168A"/>
    <w:rsid w:val="00DB1694"/>
    <w:rsid w:val="00DB174D"/>
    <w:rsid w:val="00DB1779"/>
    <w:rsid w:val="00DB1789"/>
    <w:rsid w:val="00DB1814"/>
    <w:rsid w:val="00DB183A"/>
    <w:rsid w:val="00DB18A2"/>
    <w:rsid w:val="00DB19B2"/>
    <w:rsid w:val="00DB19D5"/>
    <w:rsid w:val="00DB19FB"/>
    <w:rsid w:val="00DB1A14"/>
    <w:rsid w:val="00DB1AB2"/>
    <w:rsid w:val="00DB1B5A"/>
    <w:rsid w:val="00DB1CA4"/>
    <w:rsid w:val="00DB1CBE"/>
    <w:rsid w:val="00DB1CCA"/>
    <w:rsid w:val="00DB1F75"/>
    <w:rsid w:val="00DB1FEB"/>
    <w:rsid w:val="00DB21C8"/>
    <w:rsid w:val="00DB2241"/>
    <w:rsid w:val="00DB23A5"/>
    <w:rsid w:val="00DB23B4"/>
    <w:rsid w:val="00DB2412"/>
    <w:rsid w:val="00DB244A"/>
    <w:rsid w:val="00DB24F4"/>
    <w:rsid w:val="00DB2606"/>
    <w:rsid w:val="00DB267F"/>
    <w:rsid w:val="00DB275C"/>
    <w:rsid w:val="00DB2788"/>
    <w:rsid w:val="00DB27A8"/>
    <w:rsid w:val="00DB285B"/>
    <w:rsid w:val="00DB28E2"/>
    <w:rsid w:val="00DB2B36"/>
    <w:rsid w:val="00DB2DC0"/>
    <w:rsid w:val="00DB2E3F"/>
    <w:rsid w:val="00DB2EC7"/>
    <w:rsid w:val="00DB2F26"/>
    <w:rsid w:val="00DB2F34"/>
    <w:rsid w:val="00DB306E"/>
    <w:rsid w:val="00DB309E"/>
    <w:rsid w:val="00DB328C"/>
    <w:rsid w:val="00DB32D6"/>
    <w:rsid w:val="00DB3531"/>
    <w:rsid w:val="00DB3570"/>
    <w:rsid w:val="00DB35F9"/>
    <w:rsid w:val="00DB36AE"/>
    <w:rsid w:val="00DB36E0"/>
    <w:rsid w:val="00DB379B"/>
    <w:rsid w:val="00DB39DE"/>
    <w:rsid w:val="00DB3AC9"/>
    <w:rsid w:val="00DB3B24"/>
    <w:rsid w:val="00DB3BAC"/>
    <w:rsid w:val="00DB3BD0"/>
    <w:rsid w:val="00DB3D97"/>
    <w:rsid w:val="00DB4129"/>
    <w:rsid w:val="00DB4313"/>
    <w:rsid w:val="00DB4395"/>
    <w:rsid w:val="00DB43B7"/>
    <w:rsid w:val="00DB43DB"/>
    <w:rsid w:val="00DB43E2"/>
    <w:rsid w:val="00DB4425"/>
    <w:rsid w:val="00DB445C"/>
    <w:rsid w:val="00DB448E"/>
    <w:rsid w:val="00DB45BE"/>
    <w:rsid w:val="00DB4769"/>
    <w:rsid w:val="00DB4816"/>
    <w:rsid w:val="00DB4830"/>
    <w:rsid w:val="00DB485E"/>
    <w:rsid w:val="00DB4877"/>
    <w:rsid w:val="00DB4997"/>
    <w:rsid w:val="00DB4BD6"/>
    <w:rsid w:val="00DB4C71"/>
    <w:rsid w:val="00DB4C81"/>
    <w:rsid w:val="00DB4D46"/>
    <w:rsid w:val="00DB4FC9"/>
    <w:rsid w:val="00DB5021"/>
    <w:rsid w:val="00DB5320"/>
    <w:rsid w:val="00DB5365"/>
    <w:rsid w:val="00DB5409"/>
    <w:rsid w:val="00DB54B0"/>
    <w:rsid w:val="00DB5546"/>
    <w:rsid w:val="00DB55AA"/>
    <w:rsid w:val="00DB584B"/>
    <w:rsid w:val="00DB5914"/>
    <w:rsid w:val="00DB59DC"/>
    <w:rsid w:val="00DB5A6B"/>
    <w:rsid w:val="00DB5BB3"/>
    <w:rsid w:val="00DB5BF4"/>
    <w:rsid w:val="00DB5BFA"/>
    <w:rsid w:val="00DB5CC4"/>
    <w:rsid w:val="00DB5E0F"/>
    <w:rsid w:val="00DB5E37"/>
    <w:rsid w:val="00DB6150"/>
    <w:rsid w:val="00DB6212"/>
    <w:rsid w:val="00DB62C4"/>
    <w:rsid w:val="00DB62E0"/>
    <w:rsid w:val="00DB642D"/>
    <w:rsid w:val="00DB65B1"/>
    <w:rsid w:val="00DB6605"/>
    <w:rsid w:val="00DB66C1"/>
    <w:rsid w:val="00DB6759"/>
    <w:rsid w:val="00DB67D0"/>
    <w:rsid w:val="00DB67F0"/>
    <w:rsid w:val="00DB6806"/>
    <w:rsid w:val="00DB6912"/>
    <w:rsid w:val="00DB69BC"/>
    <w:rsid w:val="00DB69F5"/>
    <w:rsid w:val="00DB6A33"/>
    <w:rsid w:val="00DB6A52"/>
    <w:rsid w:val="00DB6B81"/>
    <w:rsid w:val="00DB6BD3"/>
    <w:rsid w:val="00DB6BF3"/>
    <w:rsid w:val="00DB6BFA"/>
    <w:rsid w:val="00DB6D58"/>
    <w:rsid w:val="00DB6F50"/>
    <w:rsid w:val="00DB704D"/>
    <w:rsid w:val="00DB7055"/>
    <w:rsid w:val="00DB706F"/>
    <w:rsid w:val="00DB7084"/>
    <w:rsid w:val="00DB70BF"/>
    <w:rsid w:val="00DB718E"/>
    <w:rsid w:val="00DB71BB"/>
    <w:rsid w:val="00DB7301"/>
    <w:rsid w:val="00DB742A"/>
    <w:rsid w:val="00DB742F"/>
    <w:rsid w:val="00DB7504"/>
    <w:rsid w:val="00DB75E4"/>
    <w:rsid w:val="00DB7677"/>
    <w:rsid w:val="00DB767D"/>
    <w:rsid w:val="00DB789C"/>
    <w:rsid w:val="00DB78AF"/>
    <w:rsid w:val="00DB797F"/>
    <w:rsid w:val="00DB7A9E"/>
    <w:rsid w:val="00DB7B2B"/>
    <w:rsid w:val="00DB7B51"/>
    <w:rsid w:val="00DB7D62"/>
    <w:rsid w:val="00DB7D8C"/>
    <w:rsid w:val="00DB7DD7"/>
    <w:rsid w:val="00DB7EBE"/>
    <w:rsid w:val="00DB7ECE"/>
    <w:rsid w:val="00DC00C1"/>
    <w:rsid w:val="00DC00EF"/>
    <w:rsid w:val="00DC0139"/>
    <w:rsid w:val="00DC01A6"/>
    <w:rsid w:val="00DC02D6"/>
    <w:rsid w:val="00DC039A"/>
    <w:rsid w:val="00DC039B"/>
    <w:rsid w:val="00DC042A"/>
    <w:rsid w:val="00DC059D"/>
    <w:rsid w:val="00DC0684"/>
    <w:rsid w:val="00DC090E"/>
    <w:rsid w:val="00DC0A5E"/>
    <w:rsid w:val="00DC0AD5"/>
    <w:rsid w:val="00DC0AF6"/>
    <w:rsid w:val="00DC0B6D"/>
    <w:rsid w:val="00DC0C0D"/>
    <w:rsid w:val="00DC0C3A"/>
    <w:rsid w:val="00DC0CA2"/>
    <w:rsid w:val="00DC0D0A"/>
    <w:rsid w:val="00DC0D47"/>
    <w:rsid w:val="00DC0D99"/>
    <w:rsid w:val="00DC0DA5"/>
    <w:rsid w:val="00DC0E7D"/>
    <w:rsid w:val="00DC0F4E"/>
    <w:rsid w:val="00DC0F68"/>
    <w:rsid w:val="00DC0F96"/>
    <w:rsid w:val="00DC10C5"/>
    <w:rsid w:val="00DC10E6"/>
    <w:rsid w:val="00DC11BF"/>
    <w:rsid w:val="00DC12E8"/>
    <w:rsid w:val="00DC13BD"/>
    <w:rsid w:val="00DC142A"/>
    <w:rsid w:val="00DC143C"/>
    <w:rsid w:val="00DC1539"/>
    <w:rsid w:val="00DC15D9"/>
    <w:rsid w:val="00DC165E"/>
    <w:rsid w:val="00DC16AE"/>
    <w:rsid w:val="00DC1903"/>
    <w:rsid w:val="00DC197B"/>
    <w:rsid w:val="00DC19E6"/>
    <w:rsid w:val="00DC1A63"/>
    <w:rsid w:val="00DC1A73"/>
    <w:rsid w:val="00DC1C87"/>
    <w:rsid w:val="00DC1F98"/>
    <w:rsid w:val="00DC1F9B"/>
    <w:rsid w:val="00DC2151"/>
    <w:rsid w:val="00DC21A6"/>
    <w:rsid w:val="00DC234F"/>
    <w:rsid w:val="00DC249F"/>
    <w:rsid w:val="00DC24B3"/>
    <w:rsid w:val="00DC2522"/>
    <w:rsid w:val="00DC2540"/>
    <w:rsid w:val="00DC25E8"/>
    <w:rsid w:val="00DC2669"/>
    <w:rsid w:val="00DC26E8"/>
    <w:rsid w:val="00DC26F0"/>
    <w:rsid w:val="00DC27C6"/>
    <w:rsid w:val="00DC2829"/>
    <w:rsid w:val="00DC28C5"/>
    <w:rsid w:val="00DC2923"/>
    <w:rsid w:val="00DC2963"/>
    <w:rsid w:val="00DC2A09"/>
    <w:rsid w:val="00DC2A30"/>
    <w:rsid w:val="00DC2A7E"/>
    <w:rsid w:val="00DC2BEC"/>
    <w:rsid w:val="00DC2D10"/>
    <w:rsid w:val="00DC2DC0"/>
    <w:rsid w:val="00DC2DD5"/>
    <w:rsid w:val="00DC2DDD"/>
    <w:rsid w:val="00DC2E44"/>
    <w:rsid w:val="00DC2EA8"/>
    <w:rsid w:val="00DC2F4B"/>
    <w:rsid w:val="00DC3010"/>
    <w:rsid w:val="00DC30FA"/>
    <w:rsid w:val="00DC32EF"/>
    <w:rsid w:val="00DC336A"/>
    <w:rsid w:val="00DC3465"/>
    <w:rsid w:val="00DC3497"/>
    <w:rsid w:val="00DC34E3"/>
    <w:rsid w:val="00DC350B"/>
    <w:rsid w:val="00DC35BF"/>
    <w:rsid w:val="00DC35CB"/>
    <w:rsid w:val="00DC35E2"/>
    <w:rsid w:val="00DC3867"/>
    <w:rsid w:val="00DC39D1"/>
    <w:rsid w:val="00DC3B17"/>
    <w:rsid w:val="00DC3BA4"/>
    <w:rsid w:val="00DC3BC3"/>
    <w:rsid w:val="00DC3C06"/>
    <w:rsid w:val="00DC3C5E"/>
    <w:rsid w:val="00DC3CDC"/>
    <w:rsid w:val="00DC3D71"/>
    <w:rsid w:val="00DC3E7F"/>
    <w:rsid w:val="00DC3E9D"/>
    <w:rsid w:val="00DC3EB4"/>
    <w:rsid w:val="00DC3EC6"/>
    <w:rsid w:val="00DC404C"/>
    <w:rsid w:val="00DC418A"/>
    <w:rsid w:val="00DC4227"/>
    <w:rsid w:val="00DC4421"/>
    <w:rsid w:val="00DC454A"/>
    <w:rsid w:val="00DC4665"/>
    <w:rsid w:val="00DC4726"/>
    <w:rsid w:val="00DC481B"/>
    <w:rsid w:val="00DC48C1"/>
    <w:rsid w:val="00DC49B7"/>
    <w:rsid w:val="00DC4AE9"/>
    <w:rsid w:val="00DC4B00"/>
    <w:rsid w:val="00DC4B55"/>
    <w:rsid w:val="00DC4C5D"/>
    <w:rsid w:val="00DC4D7C"/>
    <w:rsid w:val="00DC4D8C"/>
    <w:rsid w:val="00DC4DA4"/>
    <w:rsid w:val="00DC4DCF"/>
    <w:rsid w:val="00DC4F4F"/>
    <w:rsid w:val="00DC4F7D"/>
    <w:rsid w:val="00DC510B"/>
    <w:rsid w:val="00DC5203"/>
    <w:rsid w:val="00DC521B"/>
    <w:rsid w:val="00DC52B7"/>
    <w:rsid w:val="00DC52B8"/>
    <w:rsid w:val="00DC52ED"/>
    <w:rsid w:val="00DC53D2"/>
    <w:rsid w:val="00DC54B4"/>
    <w:rsid w:val="00DC54C3"/>
    <w:rsid w:val="00DC54C6"/>
    <w:rsid w:val="00DC5527"/>
    <w:rsid w:val="00DC5618"/>
    <w:rsid w:val="00DC5666"/>
    <w:rsid w:val="00DC56AA"/>
    <w:rsid w:val="00DC57C6"/>
    <w:rsid w:val="00DC5849"/>
    <w:rsid w:val="00DC58D6"/>
    <w:rsid w:val="00DC59C6"/>
    <w:rsid w:val="00DC5A58"/>
    <w:rsid w:val="00DC5B56"/>
    <w:rsid w:val="00DC5B57"/>
    <w:rsid w:val="00DC5CDE"/>
    <w:rsid w:val="00DC5D41"/>
    <w:rsid w:val="00DC5D6C"/>
    <w:rsid w:val="00DC5D8B"/>
    <w:rsid w:val="00DC5DBF"/>
    <w:rsid w:val="00DC5F06"/>
    <w:rsid w:val="00DC6083"/>
    <w:rsid w:val="00DC61E7"/>
    <w:rsid w:val="00DC61E8"/>
    <w:rsid w:val="00DC64B6"/>
    <w:rsid w:val="00DC64DB"/>
    <w:rsid w:val="00DC65D9"/>
    <w:rsid w:val="00DC665C"/>
    <w:rsid w:val="00DC6670"/>
    <w:rsid w:val="00DC67CB"/>
    <w:rsid w:val="00DC6840"/>
    <w:rsid w:val="00DC6A18"/>
    <w:rsid w:val="00DC6B47"/>
    <w:rsid w:val="00DC6C18"/>
    <w:rsid w:val="00DC6CB3"/>
    <w:rsid w:val="00DC6D41"/>
    <w:rsid w:val="00DC6DB4"/>
    <w:rsid w:val="00DC6DBB"/>
    <w:rsid w:val="00DC6F56"/>
    <w:rsid w:val="00DC6FAD"/>
    <w:rsid w:val="00DC70D6"/>
    <w:rsid w:val="00DC7109"/>
    <w:rsid w:val="00DC716D"/>
    <w:rsid w:val="00DC7240"/>
    <w:rsid w:val="00DC7248"/>
    <w:rsid w:val="00DC724A"/>
    <w:rsid w:val="00DC7281"/>
    <w:rsid w:val="00DC7292"/>
    <w:rsid w:val="00DC731E"/>
    <w:rsid w:val="00DC7367"/>
    <w:rsid w:val="00DC7480"/>
    <w:rsid w:val="00DC7489"/>
    <w:rsid w:val="00DC74AD"/>
    <w:rsid w:val="00DC7584"/>
    <w:rsid w:val="00DC75A2"/>
    <w:rsid w:val="00DC75BE"/>
    <w:rsid w:val="00DC762F"/>
    <w:rsid w:val="00DC77B9"/>
    <w:rsid w:val="00DC78D3"/>
    <w:rsid w:val="00DC7A81"/>
    <w:rsid w:val="00DC7AC8"/>
    <w:rsid w:val="00DC7BAC"/>
    <w:rsid w:val="00DC7BCB"/>
    <w:rsid w:val="00DC7C5C"/>
    <w:rsid w:val="00DC7C78"/>
    <w:rsid w:val="00DC7E1D"/>
    <w:rsid w:val="00DC7E45"/>
    <w:rsid w:val="00DC7EDE"/>
    <w:rsid w:val="00DD012F"/>
    <w:rsid w:val="00DD01FE"/>
    <w:rsid w:val="00DD03B4"/>
    <w:rsid w:val="00DD03F5"/>
    <w:rsid w:val="00DD044B"/>
    <w:rsid w:val="00DD046B"/>
    <w:rsid w:val="00DD050E"/>
    <w:rsid w:val="00DD0600"/>
    <w:rsid w:val="00DD062C"/>
    <w:rsid w:val="00DD068E"/>
    <w:rsid w:val="00DD0798"/>
    <w:rsid w:val="00DD08D2"/>
    <w:rsid w:val="00DD0939"/>
    <w:rsid w:val="00DD09B1"/>
    <w:rsid w:val="00DD09C3"/>
    <w:rsid w:val="00DD0A18"/>
    <w:rsid w:val="00DD0A5F"/>
    <w:rsid w:val="00DD0A9B"/>
    <w:rsid w:val="00DD0AA6"/>
    <w:rsid w:val="00DD0ADC"/>
    <w:rsid w:val="00DD0B22"/>
    <w:rsid w:val="00DD0B41"/>
    <w:rsid w:val="00DD0B5F"/>
    <w:rsid w:val="00DD0B63"/>
    <w:rsid w:val="00DD0C9B"/>
    <w:rsid w:val="00DD0D22"/>
    <w:rsid w:val="00DD0D8E"/>
    <w:rsid w:val="00DD0DBC"/>
    <w:rsid w:val="00DD0EAD"/>
    <w:rsid w:val="00DD0F12"/>
    <w:rsid w:val="00DD0F55"/>
    <w:rsid w:val="00DD0F9C"/>
    <w:rsid w:val="00DD0FF1"/>
    <w:rsid w:val="00DD10EC"/>
    <w:rsid w:val="00DD1189"/>
    <w:rsid w:val="00DD14E2"/>
    <w:rsid w:val="00DD1597"/>
    <w:rsid w:val="00DD1605"/>
    <w:rsid w:val="00DD1691"/>
    <w:rsid w:val="00DD1818"/>
    <w:rsid w:val="00DD1899"/>
    <w:rsid w:val="00DD191D"/>
    <w:rsid w:val="00DD194A"/>
    <w:rsid w:val="00DD1967"/>
    <w:rsid w:val="00DD1C81"/>
    <w:rsid w:val="00DD1FE9"/>
    <w:rsid w:val="00DD1FFC"/>
    <w:rsid w:val="00DD20B1"/>
    <w:rsid w:val="00DD20D3"/>
    <w:rsid w:val="00DD22F1"/>
    <w:rsid w:val="00DD25D0"/>
    <w:rsid w:val="00DD25E8"/>
    <w:rsid w:val="00DD2744"/>
    <w:rsid w:val="00DD27DA"/>
    <w:rsid w:val="00DD2883"/>
    <w:rsid w:val="00DD28C3"/>
    <w:rsid w:val="00DD2984"/>
    <w:rsid w:val="00DD299F"/>
    <w:rsid w:val="00DD29F8"/>
    <w:rsid w:val="00DD2A23"/>
    <w:rsid w:val="00DD2A8C"/>
    <w:rsid w:val="00DD2C56"/>
    <w:rsid w:val="00DD2EB5"/>
    <w:rsid w:val="00DD2FBE"/>
    <w:rsid w:val="00DD3230"/>
    <w:rsid w:val="00DD3252"/>
    <w:rsid w:val="00DD32A5"/>
    <w:rsid w:val="00DD3528"/>
    <w:rsid w:val="00DD3603"/>
    <w:rsid w:val="00DD36C1"/>
    <w:rsid w:val="00DD3801"/>
    <w:rsid w:val="00DD3899"/>
    <w:rsid w:val="00DD38B6"/>
    <w:rsid w:val="00DD3903"/>
    <w:rsid w:val="00DD39AA"/>
    <w:rsid w:val="00DD3AFF"/>
    <w:rsid w:val="00DD3B71"/>
    <w:rsid w:val="00DD3C04"/>
    <w:rsid w:val="00DD3C95"/>
    <w:rsid w:val="00DD3CD3"/>
    <w:rsid w:val="00DD3D5E"/>
    <w:rsid w:val="00DD3D6E"/>
    <w:rsid w:val="00DD3E32"/>
    <w:rsid w:val="00DD3FD4"/>
    <w:rsid w:val="00DD4083"/>
    <w:rsid w:val="00DD411F"/>
    <w:rsid w:val="00DD4142"/>
    <w:rsid w:val="00DD419B"/>
    <w:rsid w:val="00DD4396"/>
    <w:rsid w:val="00DD44E3"/>
    <w:rsid w:val="00DD46A9"/>
    <w:rsid w:val="00DD46ED"/>
    <w:rsid w:val="00DD4723"/>
    <w:rsid w:val="00DD4941"/>
    <w:rsid w:val="00DD496D"/>
    <w:rsid w:val="00DD4AC3"/>
    <w:rsid w:val="00DD4AD4"/>
    <w:rsid w:val="00DD4BEF"/>
    <w:rsid w:val="00DD4D18"/>
    <w:rsid w:val="00DD4D46"/>
    <w:rsid w:val="00DD4D47"/>
    <w:rsid w:val="00DD4D85"/>
    <w:rsid w:val="00DD4DA6"/>
    <w:rsid w:val="00DD4E12"/>
    <w:rsid w:val="00DD4E29"/>
    <w:rsid w:val="00DD4E43"/>
    <w:rsid w:val="00DD4E56"/>
    <w:rsid w:val="00DD4E90"/>
    <w:rsid w:val="00DD4F1F"/>
    <w:rsid w:val="00DD4FB4"/>
    <w:rsid w:val="00DD5063"/>
    <w:rsid w:val="00DD5069"/>
    <w:rsid w:val="00DD518B"/>
    <w:rsid w:val="00DD5478"/>
    <w:rsid w:val="00DD5489"/>
    <w:rsid w:val="00DD5635"/>
    <w:rsid w:val="00DD56F3"/>
    <w:rsid w:val="00DD5783"/>
    <w:rsid w:val="00DD57B5"/>
    <w:rsid w:val="00DD5945"/>
    <w:rsid w:val="00DD59DF"/>
    <w:rsid w:val="00DD5AE4"/>
    <w:rsid w:val="00DD5AEF"/>
    <w:rsid w:val="00DD5AF6"/>
    <w:rsid w:val="00DD5B8A"/>
    <w:rsid w:val="00DD5B93"/>
    <w:rsid w:val="00DD5BA9"/>
    <w:rsid w:val="00DD5BD9"/>
    <w:rsid w:val="00DD5C8D"/>
    <w:rsid w:val="00DD5DF7"/>
    <w:rsid w:val="00DD5E77"/>
    <w:rsid w:val="00DD6071"/>
    <w:rsid w:val="00DD60EB"/>
    <w:rsid w:val="00DD60F4"/>
    <w:rsid w:val="00DD6104"/>
    <w:rsid w:val="00DD61A5"/>
    <w:rsid w:val="00DD6250"/>
    <w:rsid w:val="00DD6322"/>
    <w:rsid w:val="00DD634D"/>
    <w:rsid w:val="00DD63FD"/>
    <w:rsid w:val="00DD64A8"/>
    <w:rsid w:val="00DD65B1"/>
    <w:rsid w:val="00DD65BF"/>
    <w:rsid w:val="00DD6649"/>
    <w:rsid w:val="00DD6B43"/>
    <w:rsid w:val="00DD6E3D"/>
    <w:rsid w:val="00DD706C"/>
    <w:rsid w:val="00DD70CC"/>
    <w:rsid w:val="00DD7134"/>
    <w:rsid w:val="00DD716D"/>
    <w:rsid w:val="00DD7192"/>
    <w:rsid w:val="00DD71AA"/>
    <w:rsid w:val="00DD7208"/>
    <w:rsid w:val="00DD7234"/>
    <w:rsid w:val="00DD727F"/>
    <w:rsid w:val="00DD737B"/>
    <w:rsid w:val="00DD7387"/>
    <w:rsid w:val="00DD74AE"/>
    <w:rsid w:val="00DD74B2"/>
    <w:rsid w:val="00DD7543"/>
    <w:rsid w:val="00DD754E"/>
    <w:rsid w:val="00DD758A"/>
    <w:rsid w:val="00DD75FF"/>
    <w:rsid w:val="00DD7669"/>
    <w:rsid w:val="00DD77B1"/>
    <w:rsid w:val="00DD78FE"/>
    <w:rsid w:val="00DD79A5"/>
    <w:rsid w:val="00DD7BDC"/>
    <w:rsid w:val="00DD7BE9"/>
    <w:rsid w:val="00DD7C25"/>
    <w:rsid w:val="00DD7C38"/>
    <w:rsid w:val="00DD7CD6"/>
    <w:rsid w:val="00DD7D76"/>
    <w:rsid w:val="00DD7E91"/>
    <w:rsid w:val="00DE045C"/>
    <w:rsid w:val="00DE0532"/>
    <w:rsid w:val="00DE0541"/>
    <w:rsid w:val="00DE055A"/>
    <w:rsid w:val="00DE0567"/>
    <w:rsid w:val="00DE0647"/>
    <w:rsid w:val="00DE06A9"/>
    <w:rsid w:val="00DE080F"/>
    <w:rsid w:val="00DE0878"/>
    <w:rsid w:val="00DE09A9"/>
    <w:rsid w:val="00DE0A89"/>
    <w:rsid w:val="00DE0BE1"/>
    <w:rsid w:val="00DE0C1C"/>
    <w:rsid w:val="00DE0DD2"/>
    <w:rsid w:val="00DE0E42"/>
    <w:rsid w:val="00DE0EB3"/>
    <w:rsid w:val="00DE0F62"/>
    <w:rsid w:val="00DE106E"/>
    <w:rsid w:val="00DE118B"/>
    <w:rsid w:val="00DE11C4"/>
    <w:rsid w:val="00DE128A"/>
    <w:rsid w:val="00DE1381"/>
    <w:rsid w:val="00DE145D"/>
    <w:rsid w:val="00DE15AA"/>
    <w:rsid w:val="00DE1864"/>
    <w:rsid w:val="00DE1881"/>
    <w:rsid w:val="00DE193C"/>
    <w:rsid w:val="00DE19CC"/>
    <w:rsid w:val="00DE1BDB"/>
    <w:rsid w:val="00DE1C43"/>
    <w:rsid w:val="00DE1CD6"/>
    <w:rsid w:val="00DE1DAD"/>
    <w:rsid w:val="00DE1DD7"/>
    <w:rsid w:val="00DE1DD9"/>
    <w:rsid w:val="00DE217F"/>
    <w:rsid w:val="00DE223B"/>
    <w:rsid w:val="00DE223F"/>
    <w:rsid w:val="00DE235F"/>
    <w:rsid w:val="00DE2375"/>
    <w:rsid w:val="00DE240D"/>
    <w:rsid w:val="00DE246B"/>
    <w:rsid w:val="00DE252E"/>
    <w:rsid w:val="00DE254E"/>
    <w:rsid w:val="00DE270E"/>
    <w:rsid w:val="00DE2754"/>
    <w:rsid w:val="00DE27DC"/>
    <w:rsid w:val="00DE27F2"/>
    <w:rsid w:val="00DE2865"/>
    <w:rsid w:val="00DE2921"/>
    <w:rsid w:val="00DE29A7"/>
    <w:rsid w:val="00DE2A4D"/>
    <w:rsid w:val="00DE2B5C"/>
    <w:rsid w:val="00DE2C20"/>
    <w:rsid w:val="00DE2EAF"/>
    <w:rsid w:val="00DE2F25"/>
    <w:rsid w:val="00DE2FEE"/>
    <w:rsid w:val="00DE3168"/>
    <w:rsid w:val="00DE31CE"/>
    <w:rsid w:val="00DE31DE"/>
    <w:rsid w:val="00DE3389"/>
    <w:rsid w:val="00DE3567"/>
    <w:rsid w:val="00DE3721"/>
    <w:rsid w:val="00DE372B"/>
    <w:rsid w:val="00DE3740"/>
    <w:rsid w:val="00DE38F1"/>
    <w:rsid w:val="00DE3AB9"/>
    <w:rsid w:val="00DE3BAA"/>
    <w:rsid w:val="00DE3BC8"/>
    <w:rsid w:val="00DE3C27"/>
    <w:rsid w:val="00DE3C64"/>
    <w:rsid w:val="00DE3CEE"/>
    <w:rsid w:val="00DE3DF1"/>
    <w:rsid w:val="00DE3E15"/>
    <w:rsid w:val="00DE3EA3"/>
    <w:rsid w:val="00DE3F89"/>
    <w:rsid w:val="00DE4028"/>
    <w:rsid w:val="00DE40B7"/>
    <w:rsid w:val="00DE40D6"/>
    <w:rsid w:val="00DE41B6"/>
    <w:rsid w:val="00DE41CA"/>
    <w:rsid w:val="00DE4223"/>
    <w:rsid w:val="00DE4239"/>
    <w:rsid w:val="00DE428C"/>
    <w:rsid w:val="00DE42A7"/>
    <w:rsid w:val="00DE4313"/>
    <w:rsid w:val="00DE4405"/>
    <w:rsid w:val="00DE4527"/>
    <w:rsid w:val="00DE4557"/>
    <w:rsid w:val="00DE4616"/>
    <w:rsid w:val="00DE4679"/>
    <w:rsid w:val="00DE46DC"/>
    <w:rsid w:val="00DE4927"/>
    <w:rsid w:val="00DE4AEC"/>
    <w:rsid w:val="00DE4B0B"/>
    <w:rsid w:val="00DE4C30"/>
    <w:rsid w:val="00DE4C3F"/>
    <w:rsid w:val="00DE4C83"/>
    <w:rsid w:val="00DE4D89"/>
    <w:rsid w:val="00DE4FA4"/>
    <w:rsid w:val="00DE511E"/>
    <w:rsid w:val="00DE5155"/>
    <w:rsid w:val="00DE51DE"/>
    <w:rsid w:val="00DE5338"/>
    <w:rsid w:val="00DE5371"/>
    <w:rsid w:val="00DE538E"/>
    <w:rsid w:val="00DE5708"/>
    <w:rsid w:val="00DE57EB"/>
    <w:rsid w:val="00DE5822"/>
    <w:rsid w:val="00DE5AAE"/>
    <w:rsid w:val="00DE5B3F"/>
    <w:rsid w:val="00DE5BCA"/>
    <w:rsid w:val="00DE5DCF"/>
    <w:rsid w:val="00DE5DF3"/>
    <w:rsid w:val="00DE5EF2"/>
    <w:rsid w:val="00DE6017"/>
    <w:rsid w:val="00DE604F"/>
    <w:rsid w:val="00DE6197"/>
    <w:rsid w:val="00DE619F"/>
    <w:rsid w:val="00DE61E6"/>
    <w:rsid w:val="00DE6221"/>
    <w:rsid w:val="00DE626B"/>
    <w:rsid w:val="00DE626E"/>
    <w:rsid w:val="00DE62A1"/>
    <w:rsid w:val="00DE6397"/>
    <w:rsid w:val="00DE6411"/>
    <w:rsid w:val="00DE648C"/>
    <w:rsid w:val="00DE6531"/>
    <w:rsid w:val="00DE65F5"/>
    <w:rsid w:val="00DE66BC"/>
    <w:rsid w:val="00DE673A"/>
    <w:rsid w:val="00DE6773"/>
    <w:rsid w:val="00DE681E"/>
    <w:rsid w:val="00DE6880"/>
    <w:rsid w:val="00DE6965"/>
    <w:rsid w:val="00DE6BCE"/>
    <w:rsid w:val="00DE6C64"/>
    <w:rsid w:val="00DE6CAE"/>
    <w:rsid w:val="00DE6EA2"/>
    <w:rsid w:val="00DE6EBB"/>
    <w:rsid w:val="00DE705F"/>
    <w:rsid w:val="00DE70A3"/>
    <w:rsid w:val="00DE7178"/>
    <w:rsid w:val="00DE71D2"/>
    <w:rsid w:val="00DE7322"/>
    <w:rsid w:val="00DE736F"/>
    <w:rsid w:val="00DE738C"/>
    <w:rsid w:val="00DE73C0"/>
    <w:rsid w:val="00DE752C"/>
    <w:rsid w:val="00DE75EA"/>
    <w:rsid w:val="00DE7665"/>
    <w:rsid w:val="00DE7667"/>
    <w:rsid w:val="00DE76D1"/>
    <w:rsid w:val="00DE77BB"/>
    <w:rsid w:val="00DE77DA"/>
    <w:rsid w:val="00DE7874"/>
    <w:rsid w:val="00DE788C"/>
    <w:rsid w:val="00DE78F8"/>
    <w:rsid w:val="00DE796B"/>
    <w:rsid w:val="00DE799F"/>
    <w:rsid w:val="00DE7A24"/>
    <w:rsid w:val="00DE7A34"/>
    <w:rsid w:val="00DE7DD5"/>
    <w:rsid w:val="00DF0154"/>
    <w:rsid w:val="00DF01DA"/>
    <w:rsid w:val="00DF022F"/>
    <w:rsid w:val="00DF03B1"/>
    <w:rsid w:val="00DF0447"/>
    <w:rsid w:val="00DF04CC"/>
    <w:rsid w:val="00DF04FF"/>
    <w:rsid w:val="00DF0563"/>
    <w:rsid w:val="00DF061C"/>
    <w:rsid w:val="00DF0733"/>
    <w:rsid w:val="00DF086A"/>
    <w:rsid w:val="00DF0A2F"/>
    <w:rsid w:val="00DF0B11"/>
    <w:rsid w:val="00DF0CAC"/>
    <w:rsid w:val="00DF0CE1"/>
    <w:rsid w:val="00DF0DD9"/>
    <w:rsid w:val="00DF0DE5"/>
    <w:rsid w:val="00DF0EEF"/>
    <w:rsid w:val="00DF0F46"/>
    <w:rsid w:val="00DF0F8D"/>
    <w:rsid w:val="00DF0FE0"/>
    <w:rsid w:val="00DF10A1"/>
    <w:rsid w:val="00DF10A7"/>
    <w:rsid w:val="00DF11DB"/>
    <w:rsid w:val="00DF132E"/>
    <w:rsid w:val="00DF14A8"/>
    <w:rsid w:val="00DF14C3"/>
    <w:rsid w:val="00DF14D4"/>
    <w:rsid w:val="00DF15BA"/>
    <w:rsid w:val="00DF167A"/>
    <w:rsid w:val="00DF16E7"/>
    <w:rsid w:val="00DF1743"/>
    <w:rsid w:val="00DF1776"/>
    <w:rsid w:val="00DF18F0"/>
    <w:rsid w:val="00DF1AFF"/>
    <w:rsid w:val="00DF1B94"/>
    <w:rsid w:val="00DF1C10"/>
    <w:rsid w:val="00DF1C32"/>
    <w:rsid w:val="00DF1D29"/>
    <w:rsid w:val="00DF1D2A"/>
    <w:rsid w:val="00DF1D4A"/>
    <w:rsid w:val="00DF1E8A"/>
    <w:rsid w:val="00DF1E96"/>
    <w:rsid w:val="00DF1F67"/>
    <w:rsid w:val="00DF1F82"/>
    <w:rsid w:val="00DF1FB6"/>
    <w:rsid w:val="00DF2010"/>
    <w:rsid w:val="00DF20F0"/>
    <w:rsid w:val="00DF2302"/>
    <w:rsid w:val="00DF2484"/>
    <w:rsid w:val="00DF24AE"/>
    <w:rsid w:val="00DF24F6"/>
    <w:rsid w:val="00DF250E"/>
    <w:rsid w:val="00DF26DB"/>
    <w:rsid w:val="00DF2755"/>
    <w:rsid w:val="00DF27AF"/>
    <w:rsid w:val="00DF27C5"/>
    <w:rsid w:val="00DF2845"/>
    <w:rsid w:val="00DF2982"/>
    <w:rsid w:val="00DF2BB3"/>
    <w:rsid w:val="00DF2C5D"/>
    <w:rsid w:val="00DF2C8C"/>
    <w:rsid w:val="00DF2CBD"/>
    <w:rsid w:val="00DF2CE8"/>
    <w:rsid w:val="00DF2DB6"/>
    <w:rsid w:val="00DF3099"/>
    <w:rsid w:val="00DF3167"/>
    <w:rsid w:val="00DF319E"/>
    <w:rsid w:val="00DF321C"/>
    <w:rsid w:val="00DF322B"/>
    <w:rsid w:val="00DF327F"/>
    <w:rsid w:val="00DF3287"/>
    <w:rsid w:val="00DF33B6"/>
    <w:rsid w:val="00DF3408"/>
    <w:rsid w:val="00DF3441"/>
    <w:rsid w:val="00DF35CB"/>
    <w:rsid w:val="00DF3686"/>
    <w:rsid w:val="00DF375B"/>
    <w:rsid w:val="00DF379B"/>
    <w:rsid w:val="00DF37A4"/>
    <w:rsid w:val="00DF3818"/>
    <w:rsid w:val="00DF3827"/>
    <w:rsid w:val="00DF3849"/>
    <w:rsid w:val="00DF3893"/>
    <w:rsid w:val="00DF38B6"/>
    <w:rsid w:val="00DF393C"/>
    <w:rsid w:val="00DF39DE"/>
    <w:rsid w:val="00DF3A8E"/>
    <w:rsid w:val="00DF3C1B"/>
    <w:rsid w:val="00DF3EBC"/>
    <w:rsid w:val="00DF42D1"/>
    <w:rsid w:val="00DF434D"/>
    <w:rsid w:val="00DF4488"/>
    <w:rsid w:val="00DF4508"/>
    <w:rsid w:val="00DF4540"/>
    <w:rsid w:val="00DF457E"/>
    <w:rsid w:val="00DF4605"/>
    <w:rsid w:val="00DF4675"/>
    <w:rsid w:val="00DF4788"/>
    <w:rsid w:val="00DF482A"/>
    <w:rsid w:val="00DF4C30"/>
    <w:rsid w:val="00DF4C67"/>
    <w:rsid w:val="00DF4C7B"/>
    <w:rsid w:val="00DF4CD2"/>
    <w:rsid w:val="00DF4D27"/>
    <w:rsid w:val="00DF4E75"/>
    <w:rsid w:val="00DF4F14"/>
    <w:rsid w:val="00DF4F16"/>
    <w:rsid w:val="00DF4F46"/>
    <w:rsid w:val="00DF4F98"/>
    <w:rsid w:val="00DF4FA9"/>
    <w:rsid w:val="00DF5084"/>
    <w:rsid w:val="00DF5130"/>
    <w:rsid w:val="00DF5146"/>
    <w:rsid w:val="00DF52CE"/>
    <w:rsid w:val="00DF53D6"/>
    <w:rsid w:val="00DF5532"/>
    <w:rsid w:val="00DF553D"/>
    <w:rsid w:val="00DF5549"/>
    <w:rsid w:val="00DF55CA"/>
    <w:rsid w:val="00DF55FC"/>
    <w:rsid w:val="00DF562F"/>
    <w:rsid w:val="00DF564E"/>
    <w:rsid w:val="00DF5684"/>
    <w:rsid w:val="00DF5800"/>
    <w:rsid w:val="00DF5835"/>
    <w:rsid w:val="00DF5869"/>
    <w:rsid w:val="00DF5A40"/>
    <w:rsid w:val="00DF5B44"/>
    <w:rsid w:val="00DF5BDE"/>
    <w:rsid w:val="00DF5C60"/>
    <w:rsid w:val="00DF5D08"/>
    <w:rsid w:val="00DF5D1C"/>
    <w:rsid w:val="00DF5D22"/>
    <w:rsid w:val="00DF5DC9"/>
    <w:rsid w:val="00DF5DD7"/>
    <w:rsid w:val="00DF5FAE"/>
    <w:rsid w:val="00DF604C"/>
    <w:rsid w:val="00DF6182"/>
    <w:rsid w:val="00DF6424"/>
    <w:rsid w:val="00DF65B7"/>
    <w:rsid w:val="00DF678F"/>
    <w:rsid w:val="00DF689A"/>
    <w:rsid w:val="00DF6A66"/>
    <w:rsid w:val="00DF6C4A"/>
    <w:rsid w:val="00DF6E3A"/>
    <w:rsid w:val="00DF6E5F"/>
    <w:rsid w:val="00DF6E75"/>
    <w:rsid w:val="00DF6E8E"/>
    <w:rsid w:val="00DF6EE7"/>
    <w:rsid w:val="00DF6F7E"/>
    <w:rsid w:val="00DF6FB9"/>
    <w:rsid w:val="00DF6FEB"/>
    <w:rsid w:val="00DF713F"/>
    <w:rsid w:val="00DF7236"/>
    <w:rsid w:val="00DF726C"/>
    <w:rsid w:val="00DF7459"/>
    <w:rsid w:val="00DF754E"/>
    <w:rsid w:val="00DF75E3"/>
    <w:rsid w:val="00DF774F"/>
    <w:rsid w:val="00DF7A9F"/>
    <w:rsid w:val="00DF7AEF"/>
    <w:rsid w:val="00DF7B49"/>
    <w:rsid w:val="00DF7B7B"/>
    <w:rsid w:val="00DF7BB9"/>
    <w:rsid w:val="00DF7BDA"/>
    <w:rsid w:val="00DF7C10"/>
    <w:rsid w:val="00DF7C6E"/>
    <w:rsid w:val="00DF7F8C"/>
    <w:rsid w:val="00E00123"/>
    <w:rsid w:val="00E001E0"/>
    <w:rsid w:val="00E00226"/>
    <w:rsid w:val="00E00262"/>
    <w:rsid w:val="00E002C8"/>
    <w:rsid w:val="00E003B6"/>
    <w:rsid w:val="00E005C4"/>
    <w:rsid w:val="00E00632"/>
    <w:rsid w:val="00E006EC"/>
    <w:rsid w:val="00E0076A"/>
    <w:rsid w:val="00E00848"/>
    <w:rsid w:val="00E00880"/>
    <w:rsid w:val="00E008F6"/>
    <w:rsid w:val="00E00A7C"/>
    <w:rsid w:val="00E00B3D"/>
    <w:rsid w:val="00E0100B"/>
    <w:rsid w:val="00E011CA"/>
    <w:rsid w:val="00E01271"/>
    <w:rsid w:val="00E012B6"/>
    <w:rsid w:val="00E012D8"/>
    <w:rsid w:val="00E01409"/>
    <w:rsid w:val="00E01479"/>
    <w:rsid w:val="00E014AE"/>
    <w:rsid w:val="00E014CB"/>
    <w:rsid w:val="00E016BB"/>
    <w:rsid w:val="00E0174F"/>
    <w:rsid w:val="00E017F2"/>
    <w:rsid w:val="00E01822"/>
    <w:rsid w:val="00E018E7"/>
    <w:rsid w:val="00E01912"/>
    <w:rsid w:val="00E01A94"/>
    <w:rsid w:val="00E01B04"/>
    <w:rsid w:val="00E01C5E"/>
    <w:rsid w:val="00E01D0A"/>
    <w:rsid w:val="00E01D5C"/>
    <w:rsid w:val="00E01F80"/>
    <w:rsid w:val="00E01FCF"/>
    <w:rsid w:val="00E0212B"/>
    <w:rsid w:val="00E022A7"/>
    <w:rsid w:val="00E02333"/>
    <w:rsid w:val="00E025F5"/>
    <w:rsid w:val="00E02695"/>
    <w:rsid w:val="00E026DD"/>
    <w:rsid w:val="00E02772"/>
    <w:rsid w:val="00E0278C"/>
    <w:rsid w:val="00E02877"/>
    <w:rsid w:val="00E028F3"/>
    <w:rsid w:val="00E02902"/>
    <w:rsid w:val="00E0299E"/>
    <w:rsid w:val="00E02A11"/>
    <w:rsid w:val="00E02A6C"/>
    <w:rsid w:val="00E02B65"/>
    <w:rsid w:val="00E02BF8"/>
    <w:rsid w:val="00E02C1B"/>
    <w:rsid w:val="00E02CDC"/>
    <w:rsid w:val="00E02D24"/>
    <w:rsid w:val="00E02E92"/>
    <w:rsid w:val="00E02FEB"/>
    <w:rsid w:val="00E03029"/>
    <w:rsid w:val="00E030FC"/>
    <w:rsid w:val="00E0314F"/>
    <w:rsid w:val="00E031A1"/>
    <w:rsid w:val="00E03247"/>
    <w:rsid w:val="00E032B5"/>
    <w:rsid w:val="00E0349A"/>
    <w:rsid w:val="00E03554"/>
    <w:rsid w:val="00E0359B"/>
    <w:rsid w:val="00E0363D"/>
    <w:rsid w:val="00E0373E"/>
    <w:rsid w:val="00E03786"/>
    <w:rsid w:val="00E037FB"/>
    <w:rsid w:val="00E03A03"/>
    <w:rsid w:val="00E03A3D"/>
    <w:rsid w:val="00E03DFB"/>
    <w:rsid w:val="00E03EEB"/>
    <w:rsid w:val="00E03EED"/>
    <w:rsid w:val="00E03F51"/>
    <w:rsid w:val="00E03FC5"/>
    <w:rsid w:val="00E03FDF"/>
    <w:rsid w:val="00E03FEE"/>
    <w:rsid w:val="00E04197"/>
    <w:rsid w:val="00E04262"/>
    <w:rsid w:val="00E04278"/>
    <w:rsid w:val="00E042B3"/>
    <w:rsid w:val="00E04426"/>
    <w:rsid w:val="00E044B4"/>
    <w:rsid w:val="00E044ED"/>
    <w:rsid w:val="00E0452A"/>
    <w:rsid w:val="00E045CE"/>
    <w:rsid w:val="00E045F2"/>
    <w:rsid w:val="00E04835"/>
    <w:rsid w:val="00E04889"/>
    <w:rsid w:val="00E04935"/>
    <w:rsid w:val="00E04A2D"/>
    <w:rsid w:val="00E04A5C"/>
    <w:rsid w:val="00E04A65"/>
    <w:rsid w:val="00E04AA9"/>
    <w:rsid w:val="00E04BB2"/>
    <w:rsid w:val="00E04BE7"/>
    <w:rsid w:val="00E04BFE"/>
    <w:rsid w:val="00E04C26"/>
    <w:rsid w:val="00E04D6E"/>
    <w:rsid w:val="00E04D92"/>
    <w:rsid w:val="00E04DF0"/>
    <w:rsid w:val="00E04E00"/>
    <w:rsid w:val="00E04E35"/>
    <w:rsid w:val="00E04EC7"/>
    <w:rsid w:val="00E04F0B"/>
    <w:rsid w:val="00E04F8B"/>
    <w:rsid w:val="00E05084"/>
    <w:rsid w:val="00E050C1"/>
    <w:rsid w:val="00E050CD"/>
    <w:rsid w:val="00E050D3"/>
    <w:rsid w:val="00E051D2"/>
    <w:rsid w:val="00E05241"/>
    <w:rsid w:val="00E05251"/>
    <w:rsid w:val="00E05266"/>
    <w:rsid w:val="00E052F1"/>
    <w:rsid w:val="00E053A9"/>
    <w:rsid w:val="00E053EF"/>
    <w:rsid w:val="00E0548A"/>
    <w:rsid w:val="00E054BC"/>
    <w:rsid w:val="00E055DA"/>
    <w:rsid w:val="00E05673"/>
    <w:rsid w:val="00E0567B"/>
    <w:rsid w:val="00E0568C"/>
    <w:rsid w:val="00E056D2"/>
    <w:rsid w:val="00E056D3"/>
    <w:rsid w:val="00E05726"/>
    <w:rsid w:val="00E0573A"/>
    <w:rsid w:val="00E058CC"/>
    <w:rsid w:val="00E0599D"/>
    <w:rsid w:val="00E05B1C"/>
    <w:rsid w:val="00E05B2F"/>
    <w:rsid w:val="00E05CBD"/>
    <w:rsid w:val="00E05F4C"/>
    <w:rsid w:val="00E0608C"/>
    <w:rsid w:val="00E061F7"/>
    <w:rsid w:val="00E0633D"/>
    <w:rsid w:val="00E063A2"/>
    <w:rsid w:val="00E06419"/>
    <w:rsid w:val="00E0649B"/>
    <w:rsid w:val="00E066C6"/>
    <w:rsid w:val="00E067A2"/>
    <w:rsid w:val="00E0685F"/>
    <w:rsid w:val="00E06963"/>
    <w:rsid w:val="00E069E7"/>
    <w:rsid w:val="00E06CA5"/>
    <w:rsid w:val="00E06CAF"/>
    <w:rsid w:val="00E06CBC"/>
    <w:rsid w:val="00E06E37"/>
    <w:rsid w:val="00E06E40"/>
    <w:rsid w:val="00E06F6F"/>
    <w:rsid w:val="00E07058"/>
    <w:rsid w:val="00E071C3"/>
    <w:rsid w:val="00E07380"/>
    <w:rsid w:val="00E07393"/>
    <w:rsid w:val="00E073EB"/>
    <w:rsid w:val="00E07533"/>
    <w:rsid w:val="00E076F4"/>
    <w:rsid w:val="00E0777E"/>
    <w:rsid w:val="00E077E3"/>
    <w:rsid w:val="00E078B5"/>
    <w:rsid w:val="00E078BC"/>
    <w:rsid w:val="00E07909"/>
    <w:rsid w:val="00E079B9"/>
    <w:rsid w:val="00E079EF"/>
    <w:rsid w:val="00E07A03"/>
    <w:rsid w:val="00E07B78"/>
    <w:rsid w:val="00E07B83"/>
    <w:rsid w:val="00E07C03"/>
    <w:rsid w:val="00E07D01"/>
    <w:rsid w:val="00E07EAD"/>
    <w:rsid w:val="00E07EDB"/>
    <w:rsid w:val="00E07F18"/>
    <w:rsid w:val="00E07F2D"/>
    <w:rsid w:val="00E1003F"/>
    <w:rsid w:val="00E1013E"/>
    <w:rsid w:val="00E102AB"/>
    <w:rsid w:val="00E103C1"/>
    <w:rsid w:val="00E10458"/>
    <w:rsid w:val="00E1047F"/>
    <w:rsid w:val="00E1059E"/>
    <w:rsid w:val="00E105A0"/>
    <w:rsid w:val="00E105A8"/>
    <w:rsid w:val="00E105C0"/>
    <w:rsid w:val="00E105FA"/>
    <w:rsid w:val="00E1063F"/>
    <w:rsid w:val="00E10823"/>
    <w:rsid w:val="00E1084B"/>
    <w:rsid w:val="00E1089C"/>
    <w:rsid w:val="00E1089F"/>
    <w:rsid w:val="00E10921"/>
    <w:rsid w:val="00E10929"/>
    <w:rsid w:val="00E1093E"/>
    <w:rsid w:val="00E109A2"/>
    <w:rsid w:val="00E109E3"/>
    <w:rsid w:val="00E10A24"/>
    <w:rsid w:val="00E10A29"/>
    <w:rsid w:val="00E10B1B"/>
    <w:rsid w:val="00E10BBD"/>
    <w:rsid w:val="00E10CFE"/>
    <w:rsid w:val="00E10DAC"/>
    <w:rsid w:val="00E10E85"/>
    <w:rsid w:val="00E10F92"/>
    <w:rsid w:val="00E10F95"/>
    <w:rsid w:val="00E10FB7"/>
    <w:rsid w:val="00E11004"/>
    <w:rsid w:val="00E110F7"/>
    <w:rsid w:val="00E112CA"/>
    <w:rsid w:val="00E11324"/>
    <w:rsid w:val="00E11366"/>
    <w:rsid w:val="00E113E6"/>
    <w:rsid w:val="00E11421"/>
    <w:rsid w:val="00E1153B"/>
    <w:rsid w:val="00E11565"/>
    <w:rsid w:val="00E1170B"/>
    <w:rsid w:val="00E1171F"/>
    <w:rsid w:val="00E11804"/>
    <w:rsid w:val="00E118FF"/>
    <w:rsid w:val="00E11978"/>
    <w:rsid w:val="00E119CA"/>
    <w:rsid w:val="00E11AAF"/>
    <w:rsid w:val="00E11ABF"/>
    <w:rsid w:val="00E11B6C"/>
    <w:rsid w:val="00E11D55"/>
    <w:rsid w:val="00E11DE4"/>
    <w:rsid w:val="00E11E57"/>
    <w:rsid w:val="00E11E70"/>
    <w:rsid w:val="00E1208E"/>
    <w:rsid w:val="00E120E3"/>
    <w:rsid w:val="00E120F7"/>
    <w:rsid w:val="00E12168"/>
    <w:rsid w:val="00E121B6"/>
    <w:rsid w:val="00E12216"/>
    <w:rsid w:val="00E122B8"/>
    <w:rsid w:val="00E12336"/>
    <w:rsid w:val="00E12340"/>
    <w:rsid w:val="00E12388"/>
    <w:rsid w:val="00E1243B"/>
    <w:rsid w:val="00E124C7"/>
    <w:rsid w:val="00E12508"/>
    <w:rsid w:val="00E12514"/>
    <w:rsid w:val="00E12556"/>
    <w:rsid w:val="00E126A1"/>
    <w:rsid w:val="00E128C1"/>
    <w:rsid w:val="00E129E9"/>
    <w:rsid w:val="00E12AFA"/>
    <w:rsid w:val="00E12B1C"/>
    <w:rsid w:val="00E12B65"/>
    <w:rsid w:val="00E12B78"/>
    <w:rsid w:val="00E12BEC"/>
    <w:rsid w:val="00E12C3F"/>
    <w:rsid w:val="00E12D67"/>
    <w:rsid w:val="00E12D77"/>
    <w:rsid w:val="00E12F06"/>
    <w:rsid w:val="00E12F93"/>
    <w:rsid w:val="00E13066"/>
    <w:rsid w:val="00E13111"/>
    <w:rsid w:val="00E1326B"/>
    <w:rsid w:val="00E1335A"/>
    <w:rsid w:val="00E13373"/>
    <w:rsid w:val="00E13374"/>
    <w:rsid w:val="00E1342D"/>
    <w:rsid w:val="00E1345A"/>
    <w:rsid w:val="00E13472"/>
    <w:rsid w:val="00E13516"/>
    <w:rsid w:val="00E13548"/>
    <w:rsid w:val="00E135F7"/>
    <w:rsid w:val="00E13655"/>
    <w:rsid w:val="00E13712"/>
    <w:rsid w:val="00E137C6"/>
    <w:rsid w:val="00E13A85"/>
    <w:rsid w:val="00E13AB6"/>
    <w:rsid w:val="00E13B5C"/>
    <w:rsid w:val="00E13B6C"/>
    <w:rsid w:val="00E13C67"/>
    <w:rsid w:val="00E13DAB"/>
    <w:rsid w:val="00E13DB2"/>
    <w:rsid w:val="00E13F4F"/>
    <w:rsid w:val="00E14013"/>
    <w:rsid w:val="00E1402C"/>
    <w:rsid w:val="00E14062"/>
    <w:rsid w:val="00E14157"/>
    <w:rsid w:val="00E141E9"/>
    <w:rsid w:val="00E14252"/>
    <w:rsid w:val="00E144F6"/>
    <w:rsid w:val="00E14546"/>
    <w:rsid w:val="00E146A9"/>
    <w:rsid w:val="00E14749"/>
    <w:rsid w:val="00E14750"/>
    <w:rsid w:val="00E1475F"/>
    <w:rsid w:val="00E1481C"/>
    <w:rsid w:val="00E14A89"/>
    <w:rsid w:val="00E14A90"/>
    <w:rsid w:val="00E14AAB"/>
    <w:rsid w:val="00E14AD9"/>
    <w:rsid w:val="00E14B8B"/>
    <w:rsid w:val="00E14C1B"/>
    <w:rsid w:val="00E14DC0"/>
    <w:rsid w:val="00E14E73"/>
    <w:rsid w:val="00E14E9B"/>
    <w:rsid w:val="00E14F22"/>
    <w:rsid w:val="00E14F70"/>
    <w:rsid w:val="00E15034"/>
    <w:rsid w:val="00E15101"/>
    <w:rsid w:val="00E15151"/>
    <w:rsid w:val="00E151B1"/>
    <w:rsid w:val="00E151C7"/>
    <w:rsid w:val="00E15218"/>
    <w:rsid w:val="00E15219"/>
    <w:rsid w:val="00E1524E"/>
    <w:rsid w:val="00E15375"/>
    <w:rsid w:val="00E153AC"/>
    <w:rsid w:val="00E15514"/>
    <w:rsid w:val="00E15524"/>
    <w:rsid w:val="00E1557D"/>
    <w:rsid w:val="00E1562E"/>
    <w:rsid w:val="00E15644"/>
    <w:rsid w:val="00E15784"/>
    <w:rsid w:val="00E157CE"/>
    <w:rsid w:val="00E157E2"/>
    <w:rsid w:val="00E157E3"/>
    <w:rsid w:val="00E15909"/>
    <w:rsid w:val="00E15B4B"/>
    <w:rsid w:val="00E15BAF"/>
    <w:rsid w:val="00E15BD9"/>
    <w:rsid w:val="00E15CCB"/>
    <w:rsid w:val="00E15D90"/>
    <w:rsid w:val="00E15E9E"/>
    <w:rsid w:val="00E15FB9"/>
    <w:rsid w:val="00E160EE"/>
    <w:rsid w:val="00E162AD"/>
    <w:rsid w:val="00E162B2"/>
    <w:rsid w:val="00E162ED"/>
    <w:rsid w:val="00E16411"/>
    <w:rsid w:val="00E16507"/>
    <w:rsid w:val="00E16599"/>
    <w:rsid w:val="00E165EB"/>
    <w:rsid w:val="00E16681"/>
    <w:rsid w:val="00E1669F"/>
    <w:rsid w:val="00E166CC"/>
    <w:rsid w:val="00E166EB"/>
    <w:rsid w:val="00E167A2"/>
    <w:rsid w:val="00E167D4"/>
    <w:rsid w:val="00E168D6"/>
    <w:rsid w:val="00E1695C"/>
    <w:rsid w:val="00E1698A"/>
    <w:rsid w:val="00E16A11"/>
    <w:rsid w:val="00E16A90"/>
    <w:rsid w:val="00E16B51"/>
    <w:rsid w:val="00E16B77"/>
    <w:rsid w:val="00E16CCC"/>
    <w:rsid w:val="00E16DDE"/>
    <w:rsid w:val="00E16DE9"/>
    <w:rsid w:val="00E16EB2"/>
    <w:rsid w:val="00E16FBC"/>
    <w:rsid w:val="00E16FDD"/>
    <w:rsid w:val="00E17116"/>
    <w:rsid w:val="00E17166"/>
    <w:rsid w:val="00E17233"/>
    <w:rsid w:val="00E17261"/>
    <w:rsid w:val="00E173CA"/>
    <w:rsid w:val="00E17461"/>
    <w:rsid w:val="00E17487"/>
    <w:rsid w:val="00E1749C"/>
    <w:rsid w:val="00E17563"/>
    <w:rsid w:val="00E175EC"/>
    <w:rsid w:val="00E175FD"/>
    <w:rsid w:val="00E1761B"/>
    <w:rsid w:val="00E17622"/>
    <w:rsid w:val="00E17625"/>
    <w:rsid w:val="00E17644"/>
    <w:rsid w:val="00E176F0"/>
    <w:rsid w:val="00E17701"/>
    <w:rsid w:val="00E178E4"/>
    <w:rsid w:val="00E17943"/>
    <w:rsid w:val="00E179D7"/>
    <w:rsid w:val="00E17A92"/>
    <w:rsid w:val="00E17AF7"/>
    <w:rsid w:val="00E17BAC"/>
    <w:rsid w:val="00E17D2F"/>
    <w:rsid w:val="00E17D51"/>
    <w:rsid w:val="00E17E84"/>
    <w:rsid w:val="00E17F68"/>
    <w:rsid w:val="00E2010F"/>
    <w:rsid w:val="00E2017C"/>
    <w:rsid w:val="00E20195"/>
    <w:rsid w:val="00E20316"/>
    <w:rsid w:val="00E203B8"/>
    <w:rsid w:val="00E204F8"/>
    <w:rsid w:val="00E208FF"/>
    <w:rsid w:val="00E209E9"/>
    <w:rsid w:val="00E20A35"/>
    <w:rsid w:val="00E20A6A"/>
    <w:rsid w:val="00E20A77"/>
    <w:rsid w:val="00E20AA9"/>
    <w:rsid w:val="00E20C30"/>
    <w:rsid w:val="00E20C9D"/>
    <w:rsid w:val="00E20CAD"/>
    <w:rsid w:val="00E20CCD"/>
    <w:rsid w:val="00E20CFA"/>
    <w:rsid w:val="00E20F5A"/>
    <w:rsid w:val="00E21027"/>
    <w:rsid w:val="00E210D1"/>
    <w:rsid w:val="00E21133"/>
    <w:rsid w:val="00E21232"/>
    <w:rsid w:val="00E2132A"/>
    <w:rsid w:val="00E21331"/>
    <w:rsid w:val="00E21362"/>
    <w:rsid w:val="00E214B5"/>
    <w:rsid w:val="00E21523"/>
    <w:rsid w:val="00E2159B"/>
    <w:rsid w:val="00E21640"/>
    <w:rsid w:val="00E216CC"/>
    <w:rsid w:val="00E216DE"/>
    <w:rsid w:val="00E2197D"/>
    <w:rsid w:val="00E21A6F"/>
    <w:rsid w:val="00E21B3D"/>
    <w:rsid w:val="00E21B4A"/>
    <w:rsid w:val="00E21CA5"/>
    <w:rsid w:val="00E21E2A"/>
    <w:rsid w:val="00E21EA3"/>
    <w:rsid w:val="00E21EDC"/>
    <w:rsid w:val="00E21EDD"/>
    <w:rsid w:val="00E2215C"/>
    <w:rsid w:val="00E221CA"/>
    <w:rsid w:val="00E22201"/>
    <w:rsid w:val="00E22276"/>
    <w:rsid w:val="00E2235C"/>
    <w:rsid w:val="00E2247A"/>
    <w:rsid w:val="00E22499"/>
    <w:rsid w:val="00E225E7"/>
    <w:rsid w:val="00E22633"/>
    <w:rsid w:val="00E22689"/>
    <w:rsid w:val="00E226B7"/>
    <w:rsid w:val="00E22828"/>
    <w:rsid w:val="00E22863"/>
    <w:rsid w:val="00E228C2"/>
    <w:rsid w:val="00E22A20"/>
    <w:rsid w:val="00E22AC0"/>
    <w:rsid w:val="00E22B00"/>
    <w:rsid w:val="00E22B3C"/>
    <w:rsid w:val="00E22B5C"/>
    <w:rsid w:val="00E22BDC"/>
    <w:rsid w:val="00E22BE7"/>
    <w:rsid w:val="00E2303F"/>
    <w:rsid w:val="00E231B5"/>
    <w:rsid w:val="00E2325A"/>
    <w:rsid w:val="00E23322"/>
    <w:rsid w:val="00E2357E"/>
    <w:rsid w:val="00E23585"/>
    <w:rsid w:val="00E235A6"/>
    <w:rsid w:val="00E235FA"/>
    <w:rsid w:val="00E2363A"/>
    <w:rsid w:val="00E236BE"/>
    <w:rsid w:val="00E237E8"/>
    <w:rsid w:val="00E239CB"/>
    <w:rsid w:val="00E23CC7"/>
    <w:rsid w:val="00E23D11"/>
    <w:rsid w:val="00E23E69"/>
    <w:rsid w:val="00E23E71"/>
    <w:rsid w:val="00E23F4D"/>
    <w:rsid w:val="00E23F9D"/>
    <w:rsid w:val="00E2400C"/>
    <w:rsid w:val="00E24058"/>
    <w:rsid w:val="00E24122"/>
    <w:rsid w:val="00E24133"/>
    <w:rsid w:val="00E24192"/>
    <w:rsid w:val="00E243F7"/>
    <w:rsid w:val="00E2446F"/>
    <w:rsid w:val="00E24640"/>
    <w:rsid w:val="00E2469B"/>
    <w:rsid w:val="00E248D7"/>
    <w:rsid w:val="00E249E8"/>
    <w:rsid w:val="00E24C5B"/>
    <w:rsid w:val="00E24CB9"/>
    <w:rsid w:val="00E24CC3"/>
    <w:rsid w:val="00E24D5E"/>
    <w:rsid w:val="00E24D70"/>
    <w:rsid w:val="00E24EAE"/>
    <w:rsid w:val="00E24EDC"/>
    <w:rsid w:val="00E24F73"/>
    <w:rsid w:val="00E250D8"/>
    <w:rsid w:val="00E25141"/>
    <w:rsid w:val="00E2515F"/>
    <w:rsid w:val="00E2517F"/>
    <w:rsid w:val="00E25287"/>
    <w:rsid w:val="00E252CB"/>
    <w:rsid w:val="00E2536E"/>
    <w:rsid w:val="00E25375"/>
    <w:rsid w:val="00E25459"/>
    <w:rsid w:val="00E254CD"/>
    <w:rsid w:val="00E254DD"/>
    <w:rsid w:val="00E255A6"/>
    <w:rsid w:val="00E25914"/>
    <w:rsid w:val="00E259B7"/>
    <w:rsid w:val="00E25ABE"/>
    <w:rsid w:val="00E25BAE"/>
    <w:rsid w:val="00E25BEC"/>
    <w:rsid w:val="00E25C0F"/>
    <w:rsid w:val="00E25CCB"/>
    <w:rsid w:val="00E25CD1"/>
    <w:rsid w:val="00E25D4C"/>
    <w:rsid w:val="00E25D9E"/>
    <w:rsid w:val="00E25F36"/>
    <w:rsid w:val="00E25F65"/>
    <w:rsid w:val="00E26071"/>
    <w:rsid w:val="00E262FB"/>
    <w:rsid w:val="00E2641F"/>
    <w:rsid w:val="00E264D9"/>
    <w:rsid w:val="00E2650F"/>
    <w:rsid w:val="00E267A3"/>
    <w:rsid w:val="00E267AB"/>
    <w:rsid w:val="00E26973"/>
    <w:rsid w:val="00E269CD"/>
    <w:rsid w:val="00E26B9C"/>
    <w:rsid w:val="00E26BE6"/>
    <w:rsid w:val="00E26D49"/>
    <w:rsid w:val="00E26DDA"/>
    <w:rsid w:val="00E26EA3"/>
    <w:rsid w:val="00E26F83"/>
    <w:rsid w:val="00E26FBF"/>
    <w:rsid w:val="00E27060"/>
    <w:rsid w:val="00E27238"/>
    <w:rsid w:val="00E27244"/>
    <w:rsid w:val="00E2728E"/>
    <w:rsid w:val="00E273A0"/>
    <w:rsid w:val="00E273B8"/>
    <w:rsid w:val="00E27457"/>
    <w:rsid w:val="00E2747F"/>
    <w:rsid w:val="00E274BE"/>
    <w:rsid w:val="00E274D8"/>
    <w:rsid w:val="00E274FA"/>
    <w:rsid w:val="00E275CB"/>
    <w:rsid w:val="00E275FC"/>
    <w:rsid w:val="00E27626"/>
    <w:rsid w:val="00E2762F"/>
    <w:rsid w:val="00E27641"/>
    <w:rsid w:val="00E27785"/>
    <w:rsid w:val="00E277A7"/>
    <w:rsid w:val="00E277AF"/>
    <w:rsid w:val="00E278C0"/>
    <w:rsid w:val="00E278CD"/>
    <w:rsid w:val="00E279B8"/>
    <w:rsid w:val="00E27A49"/>
    <w:rsid w:val="00E27A6A"/>
    <w:rsid w:val="00E27B04"/>
    <w:rsid w:val="00E27B58"/>
    <w:rsid w:val="00E27B69"/>
    <w:rsid w:val="00E27B9F"/>
    <w:rsid w:val="00E27D7F"/>
    <w:rsid w:val="00E27D9F"/>
    <w:rsid w:val="00E27F47"/>
    <w:rsid w:val="00E30095"/>
    <w:rsid w:val="00E3012D"/>
    <w:rsid w:val="00E301F8"/>
    <w:rsid w:val="00E302FF"/>
    <w:rsid w:val="00E30301"/>
    <w:rsid w:val="00E3045F"/>
    <w:rsid w:val="00E3050A"/>
    <w:rsid w:val="00E30537"/>
    <w:rsid w:val="00E305C0"/>
    <w:rsid w:val="00E30600"/>
    <w:rsid w:val="00E30651"/>
    <w:rsid w:val="00E30656"/>
    <w:rsid w:val="00E307EF"/>
    <w:rsid w:val="00E30866"/>
    <w:rsid w:val="00E30874"/>
    <w:rsid w:val="00E308DE"/>
    <w:rsid w:val="00E308EF"/>
    <w:rsid w:val="00E309B5"/>
    <w:rsid w:val="00E30A79"/>
    <w:rsid w:val="00E30BC0"/>
    <w:rsid w:val="00E30BE4"/>
    <w:rsid w:val="00E30CB1"/>
    <w:rsid w:val="00E30D20"/>
    <w:rsid w:val="00E30EB2"/>
    <w:rsid w:val="00E30ED6"/>
    <w:rsid w:val="00E30F04"/>
    <w:rsid w:val="00E3110C"/>
    <w:rsid w:val="00E311D1"/>
    <w:rsid w:val="00E311F8"/>
    <w:rsid w:val="00E3125C"/>
    <w:rsid w:val="00E3128A"/>
    <w:rsid w:val="00E3136B"/>
    <w:rsid w:val="00E31405"/>
    <w:rsid w:val="00E31479"/>
    <w:rsid w:val="00E314DE"/>
    <w:rsid w:val="00E315A2"/>
    <w:rsid w:val="00E315DE"/>
    <w:rsid w:val="00E31620"/>
    <w:rsid w:val="00E316D3"/>
    <w:rsid w:val="00E3172C"/>
    <w:rsid w:val="00E317C1"/>
    <w:rsid w:val="00E317E2"/>
    <w:rsid w:val="00E31805"/>
    <w:rsid w:val="00E31815"/>
    <w:rsid w:val="00E318BC"/>
    <w:rsid w:val="00E318CD"/>
    <w:rsid w:val="00E31A2A"/>
    <w:rsid w:val="00E31A9D"/>
    <w:rsid w:val="00E31F56"/>
    <w:rsid w:val="00E32073"/>
    <w:rsid w:val="00E3209D"/>
    <w:rsid w:val="00E32193"/>
    <w:rsid w:val="00E32205"/>
    <w:rsid w:val="00E32291"/>
    <w:rsid w:val="00E3240D"/>
    <w:rsid w:val="00E325B9"/>
    <w:rsid w:val="00E32691"/>
    <w:rsid w:val="00E326FE"/>
    <w:rsid w:val="00E32774"/>
    <w:rsid w:val="00E32806"/>
    <w:rsid w:val="00E3281F"/>
    <w:rsid w:val="00E3284B"/>
    <w:rsid w:val="00E32853"/>
    <w:rsid w:val="00E32974"/>
    <w:rsid w:val="00E32A34"/>
    <w:rsid w:val="00E32C0E"/>
    <w:rsid w:val="00E32D21"/>
    <w:rsid w:val="00E32DEC"/>
    <w:rsid w:val="00E32E06"/>
    <w:rsid w:val="00E32E59"/>
    <w:rsid w:val="00E32F42"/>
    <w:rsid w:val="00E3304F"/>
    <w:rsid w:val="00E3307C"/>
    <w:rsid w:val="00E330E6"/>
    <w:rsid w:val="00E330E8"/>
    <w:rsid w:val="00E3314B"/>
    <w:rsid w:val="00E33196"/>
    <w:rsid w:val="00E33249"/>
    <w:rsid w:val="00E3329C"/>
    <w:rsid w:val="00E333A4"/>
    <w:rsid w:val="00E33795"/>
    <w:rsid w:val="00E337A5"/>
    <w:rsid w:val="00E33835"/>
    <w:rsid w:val="00E33884"/>
    <w:rsid w:val="00E338E5"/>
    <w:rsid w:val="00E3392D"/>
    <w:rsid w:val="00E33A09"/>
    <w:rsid w:val="00E33A13"/>
    <w:rsid w:val="00E33B9B"/>
    <w:rsid w:val="00E33D70"/>
    <w:rsid w:val="00E33EA3"/>
    <w:rsid w:val="00E33F11"/>
    <w:rsid w:val="00E33FF7"/>
    <w:rsid w:val="00E34043"/>
    <w:rsid w:val="00E3406C"/>
    <w:rsid w:val="00E3407B"/>
    <w:rsid w:val="00E340C1"/>
    <w:rsid w:val="00E3412E"/>
    <w:rsid w:val="00E343EE"/>
    <w:rsid w:val="00E34444"/>
    <w:rsid w:val="00E34525"/>
    <w:rsid w:val="00E346B1"/>
    <w:rsid w:val="00E346F8"/>
    <w:rsid w:val="00E3481D"/>
    <w:rsid w:val="00E3485D"/>
    <w:rsid w:val="00E34897"/>
    <w:rsid w:val="00E349A6"/>
    <w:rsid w:val="00E34A68"/>
    <w:rsid w:val="00E34F8C"/>
    <w:rsid w:val="00E35071"/>
    <w:rsid w:val="00E3513F"/>
    <w:rsid w:val="00E351BE"/>
    <w:rsid w:val="00E35223"/>
    <w:rsid w:val="00E3527F"/>
    <w:rsid w:val="00E35558"/>
    <w:rsid w:val="00E356A0"/>
    <w:rsid w:val="00E35764"/>
    <w:rsid w:val="00E359AA"/>
    <w:rsid w:val="00E35A61"/>
    <w:rsid w:val="00E35B0C"/>
    <w:rsid w:val="00E35E19"/>
    <w:rsid w:val="00E35E1D"/>
    <w:rsid w:val="00E360B4"/>
    <w:rsid w:val="00E36323"/>
    <w:rsid w:val="00E36389"/>
    <w:rsid w:val="00E36399"/>
    <w:rsid w:val="00E36456"/>
    <w:rsid w:val="00E364BA"/>
    <w:rsid w:val="00E36500"/>
    <w:rsid w:val="00E3658D"/>
    <w:rsid w:val="00E365AC"/>
    <w:rsid w:val="00E3673A"/>
    <w:rsid w:val="00E36746"/>
    <w:rsid w:val="00E3676D"/>
    <w:rsid w:val="00E3679E"/>
    <w:rsid w:val="00E36824"/>
    <w:rsid w:val="00E36844"/>
    <w:rsid w:val="00E368BC"/>
    <w:rsid w:val="00E369A4"/>
    <w:rsid w:val="00E369F8"/>
    <w:rsid w:val="00E36AF0"/>
    <w:rsid w:val="00E36B60"/>
    <w:rsid w:val="00E36BE1"/>
    <w:rsid w:val="00E36D57"/>
    <w:rsid w:val="00E36E66"/>
    <w:rsid w:val="00E36E79"/>
    <w:rsid w:val="00E36EF0"/>
    <w:rsid w:val="00E36F95"/>
    <w:rsid w:val="00E36FB9"/>
    <w:rsid w:val="00E36FC5"/>
    <w:rsid w:val="00E36FE8"/>
    <w:rsid w:val="00E37024"/>
    <w:rsid w:val="00E3705E"/>
    <w:rsid w:val="00E370E3"/>
    <w:rsid w:val="00E370EB"/>
    <w:rsid w:val="00E3714D"/>
    <w:rsid w:val="00E37264"/>
    <w:rsid w:val="00E37280"/>
    <w:rsid w:val="00E37442"/>
    <w:rsid w:val="00E374CD"/>
    <w:rsid w:val="00E3751A"/>
    <w:rsid w:val="00E37579"/>
    <w:rsid w:val="00E3766A"/>
    <w:rsid w:val="00E376EE"/>
    <w:rsid w:val="00E378FA"/>
    <w:rsid w:val="00E37920"/>
    <w:rsid w:val="00E37A72"/>
    <w:rsid w:val="00E37AD6"/>
    <w:rsid w:val="00E37B6F"/>
    <w:rsid w:val="00E37CF8"/>
    <w:rsid w:val="00E37D2F"/>
    <w:rsid w:val="00E37E05"/>
    <w:rsid w:val="00E37E30"/>
    <w:rsid w:val="00E37E48"/>
    <w:rsid w:val="00E37E83"/>
    <w:rsid w:val="00E37E96"/>
    <w:rsid w:val="00E37F53"/>
    <w:rsid w:val="00E37FE9"/>
    <w:rsid w:val="00E4005F"/>
    <w:rsid w:val="00E40120"/>
    <w:rsid w:val="00E40188"/>
    <w:rsid w:val="00E402A4"/>
    <w:rsid w:val="00E403AF"/>
    <w:rsid w:val="00E40486"/>
    <w:rsid w:val="00E4060E"/>
    <w:rsid w:val="00E4063F"/>
    <w:rsid w:val="00E4068D"/>
    <w:rsid w:val="00E406DF"/>
    <w:rsid w:val="00E40843"/>
    <w:rsid w:val="00E40849"/>
    <w:rsid w:val="00E40964"/>
    <w:rsid w:val="00E40B84"/>
    <w:rsid w:val="00E40D6B"/>
    <w:rsid w:val="00E40E0E"/>
    <w:rsid w:val="00E40E3D"/>
    <w:rsid w:val="00E40E48"/>
    <w:rsid w:val="00E40EE5"/>
    <w:rsid w:val="00E41025"/>
    <w:rsid w:val="00E41145"/>
    <w:rsid w:val="00E4117F"/>
    <w:rsid w:val="00E41212"/>
    <w:rsid w:val="00E4133D"/>
    <w:rsid w:val="00E413EE"/>
    <w:rsid w:val="00E414B0"/>
    <w:rsid w:val="00E41584"/>
    <w:rsid w:val="00E416F8"/>
    <w:rsid w:val="00E41704"/>
    <w:rsid w:val="00E41722"/>
    <w:rsid w:val="00E41749"/>
    <w:rsid w:val="00E417BB"/>
    <w:rsid w:val="00E41944"/>
    <w:rsid w:val="00E41954"/>
    <w:rsid w:val="00E41998"/>
    <w:rsid w:val="00E41A20"/>
    <w:rsid w:val="00E41A39"/>
    <w:rsid w:val="00E41A58"/>
    <w:rsid w:val="00E41A86"/>
    <w:rsid w:val="00E41B00"/>
    <w:rsid w:val="00E41B55"/>
    <w:rsid w:val="00E41BE4"/>
    <w:rsid w:val="00E41BE5"/>
    <w:rsid w:val="00E41CF8"/>
    <w:rsid w:val="00E41D4F"/>
    <w:rsid w:val="00E41DDF"/>
    <w:rsid w:val="00E41E2A"/>
    <w:rsid w:val="00E41F3A"/>
    <w:rsid w:val="00E41FE6"/>
    <w:rsid w:val="00E4213B"/>
    <w:rsid w:val="00E4215C"/>
    <w:rsid w:val="00E421E2"/>
    <w:rsid w:val="00E42219"/>
    <w:rsid w:val="00E422D6"/>
    <w:rsid w:val="00E42345"/>
    <w:rsid w:val="00E42474"/>
    <w:rsid w:val="00E424C8"/>
    <w:rsid w:val="00E424CC"/>
    <w:rsid w:val="00E42544"/>
    <w:rsid w:val="00E42550"/>
    <w:rsid w:val="00E42570"/>
    <w:rsid w:val="00E425B5"/>
    <w:rsid w:val="00E427FC"/>
    <w:rsid w:val="00E42829"/>
    <w:rsid w:val="00E4282C"/>
    <w:rsid w:val="00E428B6"/>
    <w:rsid w:val="00E42961"/>
    <w:rsid w:val="00E429BF"/>
    <w:rsid w:val="00E42A0A"/>
    <w:rsid w:val="00E42A25"/>
    <w:rsid w:val="00E42AB8"/>
    <w:rsid w:val="00E42B0A"/>
    <w:rsid w:val="00E42C17"/>
    <w:rsid w:val="00E42CDD"/>
    <w:rsid w:val="00E42DBB"/>
    <w:rsid w:val="00E42E81"/>
    <w:rsid w:val="00E42E98"/>
    <w:rsid w:val="00E4306B"/>
    <w:rsid w:val="00E430B1"/>
    <w:rsid w:val="00E43180"/>
    <w:rsid w:val="00E432C0"/>
    <w:rsid w:val="00E43341"/>
    <w:rsid w:val="00E4341E"/>
    <w:rsid w:val="00E4351D"/>
    <w:rsid w:val="00E43559"/>
    <w:rsid w:val="00E43561"/>
    <w:rsid w:val="00E435BC"/>
    <w:rsid w:val="00E43616"/>
    <w:rsid w:val="00E4365A"/>
    <w:rsid w:val="00E437A6"/>
    <w:rsid w:val="00E437BA"/>
    <w:rsid w:val="00E438FE"/>
    <w:rsid w:val="00E43973"/>
    <w:rsid w:val="00E43B3A"/>
    <w:rsid w:val="00E43BDD"/>
    <w:rsid w:val="00E43C76"/>
    <w:rsid w:val="00E43D59"/>
    <w:rsid w:val="00E43DE1"/>
    <w:rsid w:val="00E43E56"/>
    <w:rsid w:val="00E43F4A"/>
    <w:rsid w:val="00E43F5F"/>
    <w:rsid w:val="00E43F64"/>
    <w:rsid w:val="00E4402B"/>
    <w:rsid w:val="00E44120"/>
    <w:rsid w:val="00E44256"/>
    <w:rsid w:val="00E4434A"/>
    <w:rsid w:val="00E4435D"/>
    <w:rsid w:val="00E44579"/>
    <w:rsid w:val="00E445DE"/>
    <w:rsid w:val="00E4467D"/>
    <w:rsid w:val="00E4479E"/>
    <w:rsid w:val="00E44822"/>
    <w:rsid w:val="00E448AC"/>
    <w:rsid w:val="00E448B4"/>
    <w:rsid w:val="00E448DA"/>
    <w:rsid w:val="00E448F0"/>
    <w:rsid w:val="00E4492A"/>
    <w:rsid w:val="00E44968"/>
    <w:rsid w:val="00E44A82"/>
    <w:rsid w:val="00E44B23"/>
    <w:rsid w:val="00E44CB8"/>
    <w:rsid w:val="00E44CE9"/>
    <w:rsid w:val="00E44DE3"/>
    <w:rsid w:val="00E44DEB"/>
    <w:rsid w:val="00E44DEE"/>
    <w:rsid w:val="00E44E55"/>
    <w:rsid w:val="00E44E85"/>
    <w:rsid w:val="00E44E8A"/>
    <w:rsid w:val="00E44E94"/>
    <w:rsid w:val="00E44E95"/>
    <w:rsid w:val="00E44EBF"/>
    <w:rsid w:val="00E44F61"/>
    <w:rsid w:val="00E4507C"/>
    <w:rsid w:val="00E450BF"/>
    <w:rsid w:val="00E451C9"/>
    <w:rsid w:val="00E4529E"/>
    <w:rsid w:val="00E453D7"/>
    <w:rsid w:val="00E4554B"/>
    <w:rsid w:val="00E45608"/>
    <w:rsid w:val="00E45916"/>
    <w:rsid w:val="00E459C9"/>
    <w:rsid w:val="00E45A53"/>
    <w:rsid w:val="00E45BEF"/>
    <w:rsid w:val="00E45CB2"/>
    <w:rsid w:val="00E45CF9"/>
    <w:rsid w:val="00E45D3E"/>
    <w:rsid w:val="00E45DEB"/>
    <w:rsid w:val="00E45EEC"/>
    <w:rsid w:val="00E45F4B"/>
    <w:rsid w:val="00E45FA6"/>
    <w:rsid w:val="00E4617D"/>
    <w:rsid w:val="00E46214"/>
    <w:rsid w:val="00E462C6"/>
    <w:rsid w:val="00E46396"/>
    <w:rsid w:val="00E46468"/>
    <w:rsid w:val="00E4657D"/>
    <w:rsid w:val="00E465D3"/>
    <w:rsid w:val="00E46828"/>
    <w:rsid w:val="00E4687A"/>
    <w:rsid w:val="00E469B5"/>
    <w:rsid w:val="00E46A15"/>
    <w:rsid w:val="00E46AF4"/>
    <w:rsid w:val="00E46B40"/>
    <w:rsid w:val="00E46B62"/>
    <w:rsid w:val="00E46BC4"/>
    <w:rsid w:val="00E46D71"/>
    <w:rsid w:val="00E46F4A"/>
    <w:rsid w:val="00E46FDB"/>
    <w:rsid w:val="00E470C3"/>
    <w:rsid w:val="00E47124"/>
    <w:rsid w:val="00E47139"/>
    <w:rsid w:val="00E4724E"/>
    <w:rsid w:val="00E4727F"/>
    <w:rsid w:val="00E472C0"/>
    <w:rsid w:val="00E472FC"/>
    <w:rsid w:val="00E473F0"/>
    <w:rsid w:val="00E47492"/>
    <w:rsid w:val="00E4751F"/>
    <w:rsid w:val="00E4759D"/>
    <w:rsid w:val="00E475AD"/>
    <w:rsid w:val="00E477B0"/>
    <w:rsid w:val="00E479CD"/>
    <w:rsid w:val="00E479EF"/>
    <w:rsid w:val="00E47A56"/>
    <w:rsid w:val="00E47B22"/>
    <w:rsid w:val="00E47B32"/>
    <w:rsid w:val="00E47C03"/>
    <w:rsid w:val="00E47CB2"/>
    <w:rsid w:val="00E47DB8"/>
    <w:rsid w:val="00E47E39"/>
    <w:rsid w:val="00E47EC1"/>
    <w:rsid w:val="00E47F10"/>
    <w:rsid w:val="00E47F1F"/>
    <w:rsid w:val="00E47F20"/>
    <w:rsid w:val="00E47F49"/>
    <w:rsid w:val="00E47F8E"/>
    <w:rsid w:val="00E50369"/>
    <w:rsid w:val="00E503D4"/>
    <w:rsid w:val="00E50496"/>
    <w:rsid w:val="00E5057D"/>
    <w:rsid w:val="00E505CE"/>
    <w:rsid w:val="00E505D0"/>
    <w:rsid w:val="00E50636"/>
    <w:rsid w:val="00E5064B"/>
    <w:rsid w:val="00E5065F"/>
    <w:rsid w:val="00E5069E"/>
    <w:rsid w:val="00E506B1"/>
    <w:rsid w:val="00E50898"/>
    <w:rsid w:val="00E50915"/>
    <w:rsid w:val="00E50A9F"/>
    <w:rsid w:val="00E50AC3"/>
    <w:rsid w:val="00E50AF3"/>
    <w:rsid w:val="00E50C0B"/>
    <w:rsid w:val="00E50CE1"/>
    <w:rsid w:val="00E50D26"/>
    <w:rsid w:val="00E50D76"/>
    <w:rsid w:val="00E50E9B"/>
    <w:rsid w:val="00E50ED1"/>
    <w:rsid w:val="00E50F11"/>
    <w:rsid w:val="00E50F73"/>
    <w:rsid w:val="00E51168"/>
    <w:rsid w:val="00E511CB"/>
    <w:rsid w:val="00E51227"/>
    <w:rsid w:val="00E512D8"/>
    <w:rsid w:val="00E51371"/>
    <w:rsid w:val="00E514FE"/>
    <w:rsid w:val="00E51515"/>
    <w:rsid w:val="00E515BF"/>
    <w:rsid w:val="00E517AB"/>
    <w:rsid w:val="00E51844"/>
    <w:rsid w:val="00E518AE"/>
    <w:rsid w:val="00E518DE"/>
    <w:rsid w:val="00E519A2"/>
    <w:rsid w:val="00E51A0A"/>
    <w:rsid w:val="00E51A9F"/>
    <w:rsid w:val="00E51AD1"/>
    <w:rsid w:val="00E51AE0"/>
    <w:rsid w:val="00E51B1A"/>
    <w:rsid w:val="00E51B4C"/>
    <w:rsid w:val="00E51BBF"/>
    <w:rsid w:val="00E51C54"/>
    <w:rsid w:val="00E51C9B"/>
    <w:rsid w:val="00E51CF1"/>
    <w:rsid w:val="00E51D0C"/>
    <w:rsid w:val="00E51DE4"/>
    <w:rsid w:val="00E51DF4"/>
    <w:rsid w:val="00E51E67"/>
    <w:rsid w:val="00E51EEC"/>
    <w:rsid w:val="00E51F3E"/>
    <w:rsid w:val="00E51F45"/>
    <w:rsid w:val="00E520DC"/>
    <w:rsid w:val="00E5212E"/>
    <w:rsid w:val="00E5214E"/>
    <w:rsid w:val="00E52155"/>
    <w:rsid w:val="00E52271"/>
    <w:rsid w:val="00E5229B"/>
    <w:rsid w:val="00E522D5"/>
    <w:rsid w:val="00E5230B"/>
    <w:rsid w:val="00E52335"/>
    <w:rsid w:val="00E52343"/>
    <w:rsid w:val="00E52495"/>
    <w:rsid w:val="00E5254C"/>
    <w:rsid w:val="00E525D8"/>
    <w:rsid w:val="00E527D1"/>
    <w:rsid w:val="00E528A4"/>
    <w:rsid w:val="00E52906"/>
    <w:rsid w:val="00E52977"/>
    <w:rsid w:val="00E52A84"/>
    <w:rsid w:val="00E52B0C"/>
    <w:rsid w:val="00E52BAD"/>
    <w:rsid w:val="00E52BBD"/>
    <w:rsid w:val="00E52C33"/>
    <w:rsid w:val="00E52C86"/>
    <w:rsid w:val="00E52C95"/>
    <w:rsid w:val="00E52CD5"/>
    <w:rsid w:val="00E52E9E"/>
    <w:rsid w:val="00E52F40"/>
    <w:rsid w:val="00E52FAF"/>
    <w:rsid w:val="00E52FF1"/>
    <w:rsid w:val="00E53104"/>
    <w:rsid w:val="00E53139"/>
    <w:rsid w:val="00E531F8"/>
    <w:rsid w:val="00E533A8"/>
    <w:rsid w:val="00E5340E"/>
    <w:rsid w:val="00E535C6"/>
    <w:rsid w:val="00E53656"/>
    <w:rsid w:val="00E536BB"/>
    <w:rsid w:val="00E5373A"/>
    <w:rsid w:val="00E53790"/>
    <w:rsid w:val="00E5380D"/>
    <w:rsid w:val="00E538A9"/>
    <w:rsid w:val="00E539AD"/>
    <w:rsid w:val="00E53A10"/>
    <w:rsid w:val="00E53C37"/>
    <w:rsid w:val="00E53C4C"/>
    <w:rsid w:val="00E53C84"/>
    <w:rsid w:val="00E53E52"/>
    <w:rsid w:val="00E542B7"/>
    <w:rsid w:val="00E54346"/>
    <w:rsid w:val="00E54435"/>
    <w:rsid w:val="00E5445E"/>
    <w:rsid w:val="00E5454B"/>
    <w:rsid w:val="00E54571"/>
    <w:rsid w:val="00E54577"/>
    <w:rsid w:val="00E545A3"/>
    <w:rsid w:val="00E54670"/>
    <w:rsid w:val="00E546D6"/>
    <w:rsid w:val="00E54777"/>
    <w:rsid w:val="00E547F1"/>
    <w:rsid w:val="00E5484C"/>
    <w:rsid w:val="00E54C18"/>
    <w:rsid w:val="00E54C52"/>
    <w:rsid w:val="00E54CBC"/>
    <w:rsid w:val="00E54E6B"/>
    <w:rsid w:val="00E54ECD"/>
    <w:rsid w:val="00E54F01"/>
    <w:rsid w:val="00E54F6B"/>
    <w:rsid w:val="00E5502E"/>
    <w:rsid w:val="00E550F1"/>
    <w:rsid w:val="00E5513B"/>
    <w:rsid w:val="00E5513F"/>
    <w:rsid w:val="00E55179"/>
    <w:rsid w:val="00E55286"/>
    <w:rsid w:val="00E552EA"/>
    <w:rsid w:val="00E553CB"/>
    <w:rsid w:val="00E55449"/>
    <w:rsid w:val="00E5545D"/>
    <w:rsid w:val="00E55525"/>
    <w:rsid w:val="00E55592"/>
    <w:rsid w:val="00E55647"/>
    <w:rsid w:val="00E5565B"/>
    <w:rsid w:val="00E55696"/>
    <w:rsid w:val="00E5573F"/>
    <w:rsid w:val="00E5579F"/>
    <w:rsid w:val="00E55802"/>
    <w:rsid w:val="00E559E2"/>
    <w:rsid w:val="00E55ABA"/>
    <w:rsid w:val="00E55BA0"/>
    <w:rsid w:val="00E55BF4"/>
    <w:rsid w:val="00E55C8B"/>
    <w:rsid w:val="00E55D1E"/>
    <w:rsid w:val="00E55EA6"/>
    <w:rsid w:val="00E55EFA"/>
    <w:rsid w:val="00E55F2D"/>
    <w:rsid w:val="00E560E7"/>
    <w:rsid w:val="00E560F4"/>
    <w:rsid w:val="00E562A3"/>
    <w:rsid w:val="00E5634E"/>
    <w:rsid w:val="00E5647B"/>
    <w:rsid w:val="00E5665E"/>
    <w:rsid w:val="00E566A0"/>
    <w:rsid w:val="00E566AB"/>
    <w:rsid w:val="00E566C8"/>
    <w:rsid w:val="00E5685D"/>
    <w:rsid w:val="00E569D9"/>
    <w:rsid w:val="00E56A0E"/>
    <w:rsid w:val="00E56A35"/>
    <w:rsid w:val="00E56C32"/>
    <w:rsid w:val="00E56C39"/>
    <w:rsid w:val="00E56E22"/>
    <w:rsid w:val="00E56E65"/>
    <w:rsid w:val="00E56F36"/>
    <w:rsid w:val="00E56F53"/>
    <w:rsid w:val="00E56F99"/>
    <w:rsid w:val="00E56FE8"/>
    <w:rsid w:val="00E57178"/>
    <w:rsid w:val="00E5727A"/>
    <w:rsid w:val="00E572A7"/>
    <w:rsid w:val="00E5742D"/>
    <w:rsid w:val="00E57482"/>
    <w:rsid w:val="00E57546"/>
    <w:rsid w:val="00E575D5"/>
    <w:rsid w:val="00E57765"/>
    <w:rsid w:val="00E577F2"/>
    <w:rsid w:val="00E57999"/>
    <w:rsid w:val="00E57B55"/>
    <w:rsid w:val="00E57B5A"/>
    <w:rsid w:val="00E57D4A"/>
    <w:rsid w:val="00E57D88"/>
    <w:rsid w:val="00E57ECC"/>
    <w:rsid w:val="00E57ED0"/>
    <w:rsid w:val="00E57F02"/>
    <w:rsid w:val="00E57F30"/>
    <w:rsid w:val="00E57FB2"/>
    <w:rsid w:val="00E57FC8"/>
    <w:rsid w:val="00E60074"/>
    <w:rsid w:val="00E600DF"/>
    <w:rsid w:val="00E60105"/>
    <w:rsid w:val="00E602E4"/>
    <w:rsid w:val="00E6030F"/>
    <w:rsid w:val="00E603A8"/>
    <w:rsid w:val="00E603D1"/>
    <w:rsid w:val="00E603D5"/>
    <w:rsid w:val="00E60609"/>
    <w:rsid w:val="00E60623"/>
    <w:rsid w:val="00E60627"/>
    <w:rsid w:val="00E606B2"/>
    <w:rsid w:val="00E606F8"/>
    <w:rsid w:val="00E6070C"/>
    <w:rsid w:val="00E60901"/>
    <w:rsid w:val="00E60AC0"/>
    <w:rsid w:val="00E60AFA"/>
    <w:rsid w:val="00E60BFB"/>
    <w:rsid w:val="00E60C3E"/>
    <w:rsid w:val="00E60C8B"/>
    <w:rsid w:val="00E60EAE"/>
    <w:rsid w:val="00E61024"/>
    <w:rsid w:val="00E61068"/>
    <w:rsid w:val="00E61151"/>
    <w:rsid w:val="00E61276"/>
    <w:rsid w:val="00E612AF"/>
    <w:rsid w:val="00E612CF"/>
    <w:rsid w:val="00E61342"/>
    <w:rsid w:val="00E6144C"/>
    <w:rsid w:val="00E61457"/>
    <w:rsid w:val="00E61473"/>
    <w:rsid w:val="00E614A3"/>
    <w:rsid w:val="00E614B3"/>
    <w:rsid w:val="00E6153C"/>
    <w:rsid w:val="00E6167D"/>
    <w:rsid w:val="00E61772"/>
    <w:rsid w:val="00E617C9"/>
    <w:rsid w:val="00E617F0"/>
    <w:rsid w:val="00E61801"/>
    <w:rsid w:val="00E6183F"/>
    <w:rsid w:val="00E61AC6"/>
    <w:rsid w:val="00E61ADE"/>
    <w:rsid w:val="00E61B35"/>
    <w:rsid w:val="00E61B41"/>
    <w:rsid w:val="00E61B71"/>
    <w:rsid w:val="00E61D0F"/>
    <w:rsid w:val="00E61F66"/>
    <w:rsid w:val="00E61F9B"/>
    <w:rsid w:val="00E61FDA"/>
    <w:rsid w:val="00E61FDD"/>
    <w:rsid w:val="00E62149"/>
    <w:rsid w:val="00E62286"/>
    <w:rsid w:val="00E62309"/>
    <w:rsid w:val="00E62316"/>
    <w:rsid w:val="00E6237C"/>
    <w:rsid w:val="00E623A0"/>
    <w:rsid w:val="00E623B9"/>
    <w:rsid w:val="00E623F4"/>
    <w:rsid w:val="00E624E3"/>
    <w:rsid w:val="00E6251B"/>
    <w:rsid w:val="00E625B1"/>
    <w:rsid w:val="00E626BD"/>
    <w:rsid w:val="00E62716"/>
    <w:rsid w:val="00E627EC"/>
    <w:rsid w:val="00E627F6"/>
    <w:rsid w:val="00E62925"/>
    <w:rsid w:val="00E6294C"/>
    <w:rsid w:val="00E62A3B"/>
    <w:rsid w:val="00E62AF0"/>
    <w:rsid w:val="00E62B0C"/>
    <w:rsid w:val="00E62B2B"/>
    <w:rsid w:val="00E62C7A"/>
    <w:rsid w:val="00E62D35"/>
    <w:rsid w:val="00E62D67"/>
    <w:rsid w:val="00E62ED4"/>
    <w:rsid w:val="00E630C6"/>
    <w:rsid w:val="00E631A5"/>
    <w:rsid w:val="00E6327B"/>
    <w:rsid w:val="00E632D1"/>
    <w:rsid w:val="00E63302"/>
    <w:rsid w:val="00E634FE"/>
    <w:rsid w:val="00E6352A"/>
    <w:rsid w:val="00E63559"/>
    <w:rsid w:val="00E635F1"/>
    <w:rsid w:val="00E63600"/>
    <w:rsid w:val="00E639DF"/>
    <w:rsid w:val="00E63A1E"/>
    <w:rsid w:val="00E63A21"/>
    <w:rsid w:val="00E63ADE"/>
    <w:rsid w:val="00E63BD5"/>
    <w:rsid w:val="00E63D00"/>
    <w:rsid w:val="00E63DA3"/>
    <w:rsid w:val="00E63ED4"/>
    <w:rsid w:val="00E63F76"/>
    <w:rsid w:val="00E64110"/>
    <w:rsid w:val="00E641F9"/>
    <w:rsid w:val="00E64200"/>
    <w:rsid w:val="00E64203"/>
    <w:rsid w:val="00E64204"/>
    <w:rsid w:val="00E6436E"/>
    <w:rsid w:val="00E6437B"/>
    <w:rsid w:val="00E64391"/>
    <w:rsid w:val="00E64482"/>
    <w:rsid w:val="00E6448C"/>
    <w:rsid w:val="00E64593"/>
    <w:rsid w:val="00E64668"/>
    <w:rsid w:val="00E647E8"/>
    <w:rsid w:val="00E64856"/>
    <w:rsid w:val="00E648A4"/>
    <w:rsid w:val="00E648A5"/>
    <w:rsid w:val="00E648B9"/>
    <w:rsid w:val="00E648D1"/>
    <w:rsid w:val="00E64903"/>
    <w:rsid w:val="00E64907"/>
    <w:rsid w:val="00E64C23"/>
    <w:rsid w:val="00E64C6F"/>
    <w:rsid w:val="00E64D58"/>
    <w:rsid w:val="00E64DF7"/>
    <w:rsid w:val="00E64F67"/>
    <w:rsid w:val="00E64FF9"/>
    <w:rsid w:val="00E65008"/>
    <w:rsid w:val="00E651EA"/>
    <w:rsid w:val="00E652A4"/>
    <w:rsid w:val="00E652EA"/>
    <w:rsid w:val="00E65310"/>
    <w:rsid w:val="00E655B3"/>
    <w:rsid w:val="00E65622"/>
    <w:rsid w:val="00E6564C"/>
    <w:rsid w:val="00E65653"/>
    <w:rsid w:val="00E6574C"/>
    <w:rsid w:val="00E65827"/>
    <w:rsid w:val="00E65903"/>
    <w:rsid w:val="00E65A95"/>
    <w:rsid w:val="00E65B0B"/>
    <w:rsid w:val="00E65BBD"/>
    <w:rsid w:val="00E65BD9"/>
    <w:rsid w:val="00E65D9E"/>
    <w:rsid w:val="00E65E32"/>
    <w:rsid w:val="00E65E36"/>
    <w:rsid w:val="00E65ECB"/>
    <w:rsid w:val="00E65F42"/>
    <w:rsid w:val="00E65F4D"/>
    <w:rsid w:val="00E65F9D"/>
    <w:rsid w:val="00E6631A"/>
    <w:rsid w:val="00E66573"/>
    <w:rsid w:val="00E666F7"/>
    <w:rsid w:val="00E66776"/>
    <w:rsid w:val="00E668B7"/>
    <w:rsid w:val="00E669D8"/>
    <w:rsid w:val="00E66A71"/>
    <w:rsid w:val="00E66B13"/>
    <w:rsid w:val="00E66BCC"/>
    <w:rsid w:val="00E66CF0"/>
    <w:rsid w:val="00E66DA7"/>
    <w:rsid w:val="00E66E62"/>
    <w:rsid w:val="00E66EF7"/>
    <w:rsid w:val="00E66F8B"/>
    <w:rsid w:val="00E66FF8"/>
    <w:rsid w:val="00E6707E"/>
    <w:rsid w:val="00E6715A"/>
    <w:rsid w:val="00E67195"/>
    <w:rsid w:val="00E6730C"/>
    <w:rsid w:val="00E67379"/>
    <w:rsid w:val="00E67523"/>
    <w:rsid w:val="00E67560"/>
    <w:rsid w:val="00E675B1"/>
    <w:rsid w:val="00E676CF"/>
    <w:rsid w:val="00E677DA"/>
    <w:rsid w:val="00E677FA"/>
    <w:rsid w:val="00E67A89"/>
    <w:rsid w:val="00E67A8D"/>
    <w:rsid w:val="00E67AA9"/>
    <w:rsid w:val="00E67B9C"/>
    <w:rsid w:val="00E67BE6"/>
    <w:rsid w:val="00E67C9D"/>
    <w:rsid w:val="00E67D58"/>
    <w:rsid w:val="00E67DE0"/>
    <w:rsid w:val="00E67DFE"/>
    <w:rsid w:val="00E67E53"/>
    <w:rsid w:val="00E67E7A"/>
    <w:rsid w:val="00E67EB1"/>
    <w:rsid w:val="00E67F46"/>
    <w:rsid w:val="00E701DB"/>
    <w:rsid w:val="00E70324"/>
    <w:rsid w:val="00E70466"/>
    <w:rsid w:val="00E70468"/>
    <w:rsid w:val="00E70487"/>
    <w:rsid w:val="00E704C8"/>
    <w:rsid w:val="00E705B6"/>
    <w:rsid w:val="00E705FC"/>
    <w:rsid w:val="00E70624"/>
    <w:rsid w:val="00E7065E"/>
    <w:rsid w:val="00E70880"/>
    <w:rsid w:val="00E708BA"/>
    <w:rsid w:val="00E709A8"/>
    <w:rsid w:val="00E70A4C"/>
    <w:rsid w:val="00E70B2A"/>
    <w:rsid w:val="00E70EA2"/>
    <w:rsid w:val="00E70ECB"/>
    <w:rsid w:val="00E70F2C"/>
    <w:rsid w:val="00E70F4B"/>
    <w:rsid w:val="00E711BF"/>
    <w:rsid w:val="00E71268"/>
    <w:rsid w:val="00E712A9"/>
    <w:rsid w:val="00E712F1"/>
    <w:rsid w:val="00E7142B"/>
    <w:rsid w:val="00E71488"/>
    <w:rsid w:val="00E71496"/>
    <w:rsid w:val="00E71513"/>
    <w:rsid w:val="00E7158F"/>
    <w:rsid w:val="00E71594"/>
    <w:rsid w:val="00E7169C"/>
    <w:rsid w:val="00E71799"/>
    <w:rsid w:val="00E717C2"/>
    <w:rsid w:val="00E7187E"/>
    <w:rsid w:val="00E718F2"/>
    <w:rsid w:val="00E7190E"/>
    <w:rsid w:val="00E71950"/>
    <w:rsid w:val="00E71C46"/>
    <w:rsid w:val="00E71CCC"/>
    <w:rsid w:val="00E71CEB"/>
    <w:rsid w:val="00E71D5C"/>
    <w:rsid w:val="00E71E46"/>
    <w:rsid w:val="00E71E47"/>
    <w:rsid w:val="00E71ED3"/>
    <w:rsid w:val="00E72047"/>
    <w:rsid w:val="00E72058"/>
    <w:rsid w:val="00E720C4"/>
    <w:rsid w:val="00E7220D"/>
    <w:rsid w:val="00E72215"/>
    <w:rsid w:val="00E725F7"/>
    <w:rsid w:val="00E72737"/>
    <w:rsid w:val="00E7275D"/>
    <w:rsid w:val="00E7277E"/>
    <w:rsid w:val="00E72842"/>
    <w:rsid w:val="00E72899"/>
    <w:rsid w:val="00E728DF"/>
    <w:rsid w:val="00E72933"/>
    <w:rsid w:val="00E72941"/>
    <w:rsid w:val="00E72987"/>
    <w:rsid w:val="00E72A00"/>
    <w:rsid w:val="00E72A50"/>
    <w:rsid w:val="00E72A51"/>
    <w:rsid w:val="00E72B3E"/>
    <w:rsid w:val="00E72B59"/>
    <w:rsid w:val="00E72CD7"/>
    <w:rsid w:val="00E72D32"/>
    <w:rsid w:val="00E72E84"/>
    <w:rsid w:val="00E72E90"/>
    <w:rsid w:val="00E72EB8"/>
    <w:rsid w:val="00E72EBD"/>
    <w:rsid w:val="00E72ECB"/>
    <w:rsid w:val="00E72F44"/>
    <w:rsid w:val="00E72FC5"/>
    <w:rsid w:val="00E72FFC"/>
    <w:rsid w:val="00E73029"/>
    <w:rsid w:val="00E730E7"/>
    <w:rsid w:val="00E730EF"/>
    <w:rsid w:val="00E73132"/>
    <w:rsid w:val="00E7315C"/>
    <w:rsid w:val="00E73367"/>
    <w:rsid w:val="00E73413"/>
    <w:rsid w:val="00E73429"/>
    <w:rsid w:val="00E7360C"/>
    <w:rsid w:val="00E73658"/>
    <w:rsid w:val="00E7367F"/>
    <w:rsid w:val="00E736BE"/>
    <w:rsid w:val="00E73976"/>
    <w:rsid w:val="00E73989"/>
    <w:rsid w:val="00E73A0A"/>
    <w:rsid w:val="00E73A7B"/>
    <w:rsid w:val="00E73B80"/>
    <w:rsid w:val="00E73BB6"/>
    <w:rsid w:val="00E73C8B"/>
    <w:rsid w:val="00E73D3D"/>
    <w:rsid w:val="00E73E35"/>
    <w:rsid w:val="00E73E6A"/>
    <w:rsid w:val="00E73E7C"/>
    <w:rsid w:val="00E74012"/>
    <w:rsid w:val="00E7404F"/>
    <w:rsid w:val="00E740C1"/>
    <w:rsid w:val="00E74293"/>
    <w:rsid w:val="00E742D9"/>
    <w:rsid w:val="00E742E1"/>
    <w:rsid w:val="00E74327"/>
    <w:rsid w:val="00E74344"/>
    <w:rsid w:val="00E7434C"/>
    <w:rsid w:val="00E7439C"/>
    <w:rsid w:val="00E743C0"/>
    <w:rsid w:val="00E743D8"/>
    <w:rsid w:val="00E74453"/>
    <w:rsid w:val="00E744F1"/>
    <w:rsid w:val="00E74513"/>
    <w:rsid w:val="00E745F5"/>
    <w:rsid w:val="00E74655"/>
    <w:rsid w:val="00E74745"/>
    <w:rsid w:val="00E747A8"/>
    <w:rsid w:val="00E747B5"/>
    <w:rsid w:val="00E7481F"/>
    <w:rsid w:val="00E7482B"/>
    <w:rsid w:val="00E7489F"/>
    <w:rsid w:val="00E74A09"/>
    <w:rsid w:val="00E74AFB"/>
    <w:rsid w:val="00E74AFD"/>
    <w:rsid w:val="00E74C39"/>
    <w:rsid w:val="00E74CE7"/>
    <w:rsid w:val="00E74D0F"/>
    <w:rsid w:val="00E74D7D"/>
    <w:rsid w:val="00E74DCE"/>
    <w:rsid w:val="00E74DFB"/>
    <w:rsid w:val="00E75023"/>
    <w:rsid w:val="00E75063"/>
    <w:rsid w:val="00E75077"/>
    <w:rsid w:val="00E750D9"/>
    <w:rsid w:val="00E750DA"/>
    <w:rsid w:val="00E751E9"/>
    <w:rsid w:val="00E75267"/>
    <w:rsid w:val="00E7529B"/>
    <w:rsid w:val="00E752EF"/>
    <w:rsid w:val="00E752F3"/>
    <w:rsid w:val="00E753AB"/>
    <w:rsid w:val="00E75435"/>
    <w:rsid w:val="00E755E7"/>
    <w:rsid w:val="00E7569F"/>
    <w:rsid w:val="00E757A0"/>
    <w:rsid w:val="00E757E1"/>
    <w:rsid w:val="00E75815"/>
    <w:rsid w:val="00E759B5"/>
    <w:rsid w:val="00E75A10"/>
    <w:rsid w:val="00E75A22"/>
    <w:rsid w:val="00E75AC1"/>
    <w:rsid w:val="00E75AFB"/>
    <w:rsid w:val="00E75B88"/>
    <w:rsid w:val="00E75B8E"/>
    <w:rsid w:val="00E75C88"/>
    <w:rsid w:val="00E75D11"/>
    <w:rsid w:val="00E75E49"/>
    <w:rsid w:val="00E75F60"/>
    <w:rsid w:val="00E7603B"/>
    <w:rsid w:val="00E7603D"/>
    <w:rsid w:val="00E760B9"/>
    <w:rsid w:val="00E76128"/>
    <w:rsid w:val="00E7625E"/>
    <w:rsid w:val="00E763A7"/>
    <w:rsid w:val="00E763D7"/>
    <w:rsid w:val="00E7643D"/>
    <w:rsid w:val="00E764E1"/>
    <w:rsid w:val="00E7655D"/>
    <w:rsid w:val="00E76636"/>
    <w:rsid w:val="00E76751"/>
    <w:rsid w:val="00E768C9"/>
    <w:rsid w:val="00E769CB"/>
    <w:rsid w:val="00E76A0B"/>
    <w:rsid w:val="00E76B09"/>
    <w:rsid w:val="00E76BBA"/>
    <w:rsid w:val="00E76BEA"/>
    <w:rsid w:val="00E76DAF"/>
    <w:rsid w:val="00E76E00"/>
    <w:rsid w:val="00E76ECE"/>
    <w:rsid w:val="00E76EF3"/>
    <w:rsid w:val="00E76F74"/>
    <w:rsid w:val="00E77150"/>
    <w:rsid w:val="00E7720D"/>
    <w:rsid w:val="00E7722B"/>
    <w:rsid w:val="00E77597"/>
    <w:rsid w:val="00E7763E"/>
    <w:rsid w:val="00E77682"/>
    <w:rsid w:val="00E77703"/>
    <w:rsid w:val="00E77783"/>
    <w:rsid w:val="00E77795"/>
    <w:rsid w:val="00E77846"/>
    <w:rsid w:val="00E778DC"/>
    <w:rsid w:val="00E778FB"/>
    <w:rsid w:val="00E77956"/>
    <w:rsid w:val="00E779BD"/>
    <w:rsid w:val="00E779DF"/>
    <w:rsid w:val="00E77BBE"/>
    <w:rsid w:val="00E77CD7"/>
    <w:rsid w:val="00E77DAF"/>
    <w:rsid w:val="00E77FA9"/>
    <w:rsid w:val="00E77FD4"/>
    <w:rsid w:val="00E80187"/>
    <w:rsid w:val="00E8026E"/>
    <w:rsid w:val="00E802D9"/>
    <w:rsid w:val="00E803C9"/>
    <w:rsid w:val="00E8040E"/>
    <w:rsid w:val="00E8049D"/>
    <w:rsid w:val="00E80512"/>
    <w:rsid w:val="00E806B1"/>
    <w:rsid w:val="00E806DA"/>
    <w:rsid w:val="00E8071D"/>
    <w:rsid w:val="00E80977"/>
    <w:rsid w:val="00E8099B"/>
    <w:rsid w:val="00E809C3"/>
    <w:rsid w:val="00E80B98"/>
    <w:rsid w:val="00E80C56"/>
    <w:rsid w:val="00E80DFC"/>
    <w:rsid w:val="00E80EEA"/>
    <w:rsid w:val="00E80F54"/>
    <w:rsid w:val="00E80F60"/>
    <w:rsid w:val="00E80FCE"/>
    <w:rsid w:val="00E81040"/>
    <w:rsid w:val="00E811C3"/>
    <w:rsid w:val="00E81203"/>
    <w:rsid w:val="00E81237"/>
    <w:rsid w:val="00E812AC"/>
    <w:rsid w:val="00E812FC"/>
    <w:rsid w:val="00E81483"/>
    <w:rsid w:val="00E81496"/>
    <w:rsid w:val="00E814AC"/>
    <w:rsid w:val="00E814DA"/>
    <w:rsid w:val="00E81529"/>
    <w:rsid w:val="00E81594"/>
    <w:rsid w:val="00E815C5"/>
    <w:rsid w:val="00E81677"/>
    <w:rsid w:val="00E817DD"/>
    <w:rsid w:val="00E8191C"/>
    <w:rsid w:val="00E8194D"/>
    <w:rsid w:val="00E81A00"/>
    <w:rsid w:val="00E81A38"/>
    <w:rsid w:val="00E81A6A"/>
    <w:rsid w:val="00E81A78"/>
    <w:rsid w:val="00E81ADF"/>
    <w:rsid w:val="00E81AE5"/>
    <w:rsid w:val="00E81B0D"/>
    <w:rsid w:val="00E81DBB"/>
    <w:rsid w:val="00E81E98"/>
    <w:rsid w:val="00E81F68"/>
    <w:rsid w:val="00E81F73"/>
    <w:rsid w:val="00E81F9D"/>
    <w:rsid w:val="00E82028"/>
    <w:rsid w:val="00E8215F"/>
    <w:rsid w:val="00E82177"/>
    <w:rsid w:val="00E821F0"/>
    <w:rsid w:val="00E823B0"/>
    <w:rsid w:val="00E824FB"/>
    <w:rsid w:val="00E82515"/>
    <w:rsid w:val="00E825DD"/>
    <w:rsid w:val="00E825E0"/>
    <w:rsid w:val="00E827C0"/>
    <w:rsid w:val="00E8280B"/>
    <w:rsid w:val="00E82CB1"/>
    <w:rsid w:val="00E82CCB"/>
    <w:rsid w:val="00E82D47"/>
    <w:rsid w:val="00E82D56"/>
    <w:rsid w:val="00E82E64"/>
    <w:rsid w:val="00E82F01"/>
    <w:rsid w:val="00E82F37"/>
    <w:rsid w:val="00E83189"/>
    <w:rsid w:val="00E83192"/>
    <w:rsid w:val="00E83196"/>
    <w:rsid w:val="00E8335F"/>
    <w:rsid w:val="00E833C8"/>
    <w:rsid w:val="00E83422"/>
    <w:rsid w:val="00E83438"/>
    <w:rsid w:val="00E83502"/>
    <w:rsid w:val="00E83552"/>
    <w:rsid w:val="00E83575"/>
    <w:rsid w:val="00E835C8"/>
    <w:rsid w:val="00E8360A"/>
    <w:rsid w:val="00E8369F"/>
    <w:rsid w:val="00E836F5"/>
    <w:rsid w:val="00E837FF"/>
    <w:rsid w:val="00E83804"/>
    <w:rsid w:val="00E83840"/>
    <w:rsid w:val="00E838C3"/>
    <w:rsid w:val="00E839C3"/>
    <w:rsid w:val="00E83A56"/>
    <w:rsid w:val="00E83BFC"/>
    <w:rsid w:val="00E83C88"/>
    <w:rsid w:val="00E83C9C"/>
    <w:rsid w:val="00E83F37"/>
    <w:rsid w:val="00E83F42"/>
    <w:rsid w:val="00E84238"/>
    <w:rsid w:val="00E8428A"/>
    <w:rsid w:val="00E84487"/>
    <w:rsid w:val="00E844AE"/>
    <w:rsid w:val="00E844B3"/>
    <w:rsid w:val="00E844C4"/>
    <w:rsid w:val="00E844C7"/>
    <w:rsid w:val="00E8464A"/>
    <w:rsid w:val="00E846D2"/>
    <w:rsid w:val="00E8478D"/>
    <w:rsid w:val="00E8480E"/>
    <w:rsid w:val="00E84828"/>
    <w:rsid w:val="00E848D6"/>
    <w:rsid w:val="00E84905"/>
    <w:rsid w:val="00E8494A"/>
    <w:rsid w:val="00E849A2"/>
    <w:rsid w:val="00E84B40"/>
    <w:rsid w:val="00E84CE0"/>
    <w:rsid w:val="00E84DE8"/>
    <w:rsid w:val="00E84E97"/>
    <w:rsid w:val="00E84ECC"/>
    <w:rsid w:val="00E84FCF"/>
    <w:rsid w:val="00E84FFC"/>
    <w:rsid w:val="00E85044"/>
    <w:rsid w:val="00E85179"/>
    <w:rsid w:val="00E8517B"/>
    <w:rsid w:val="00E85197"/>
    <w:rsid w:val="00E851C7"/>
    <w:rsid w:val="00E8530D"/>
    <w:rsid w:val="00E85321"/>
    <w:rsid w:val="00E85355"/>
    <w:rsid w:val="00E853E6"/>
    <w:rsid w:val="00E853E8"/>
    <w:rsid w:val="00E85427"/>
    <w:rsid w:val="00E85593"/>
    <w:rsid w:val="00E85792"/>
    <w:rsid w:val="00E858F3"/>
    <w:rsid w:val="00E8597B"/>
    <w:rsid w:val="00E85AB6"/>
    <w:rsid w:val="00E85AED"/>
    <w:rsid w:val="00E85C82"/>
    <w:rsid w:val="00E85C83"/>
    <w:rsid w:val="00E85D66"/>
    <w:rsid w:val="00E85DBB"/>
    <w:rsid w:val="00E85DCC"/>
    <w:rsid w:val="00E85EB5"/>
    <w:rsid w:val="00E86005"/>
    <w:rsid w:val="00E8607A"/>
    <w:rsid w:val="00E860C5"/>
    <w:rsid w:val="00E86189"/>
    <w:rsid w:val="00E8620E"/>
    <w:rsid w:val="00E862B6"/>
    <w:rsid w:val="00E862C6"/>
    <w:rsid w:val="00E86329"/>
    <w:rsid w:val="00E863EB"/>
    <w:rsid w:val="00E86437"/>
    <w:rsid w:val="00E86483"/>
    <w:rsid w:val="00E86575"/>
    <w:rsid w:val="00E865AA"/>
    <w:rsid w:val="00E865CB"/>
    <w:rsid w:val="00E86657"/>
    <w:rsid w:val="00E867BB"/>
    <w:rsid w:val="00E86938"/>
    <w:rsid w:val="00E86984"/>
    <w:rsid w:val="00E86A5A"/>
    <w:rsid w:val="00E86AC7"/>
    <w:rsid w:val="00E86AF7"/>
    <w:rsid w:val="00E86B7E"/>
    <w:rsid w:val="00E86BCA"/>
    <w:rsid w:val="00E86C9F"/>
    <w:rsid w:val="00E86CEE"/>
    <w:rsid w:val="00E86D57"/>
    <w:rsid w:val="00E86E87"/>
    <w:rsid w:val="00E8703B"/>
    <w:rsid w:val="00E8704B"/>
    <w:rsid w:val="00E870BF"/>
    <w:rsid w:val="00E8713B"/>
    <w:rsid w:val="00E8728E"/>
    <w:rsid w:val="00E872E9"/>
    <w:rsid w:val="00E873A4"/>
    <w:rsid w:val="00E873DA"/>
    <w:rsid w:val="00E874AD"/>
    <w:rsid w:val="00E874FE"/>
    <w:rsid w:val="00E87593"/>
    <w:rsid w:val="00E87613"/>
    <w:rsid w:val="00E8765B"/>
    <w:rsid w:val="00E87712"/>
    <w:rsid w:val="00E878A2"/>
    <w:rsid w:val="00E878EB"/>
    <w:rsid w:val="00E87B09"/>
    <w:rsid w:val="00E87B56"/>
    <w:rsid w:val="00E87B92"/>
    <w:rsid w:val="00E87CD9"/>
    <w:rsid w:val="00E87D02"/>
    <w:rsid w:val="00E87DF7"/>
    <w:rsid w:val="00E87FA1"/>
    <w:rsid w:val="00E90117"/>
    <w:rsid w:val="00E90192"/>
    <w:rsid w:val="00E90214"/>
    <w:rsid w:val="00E9037F"/>
    <w:rsid w:val="00E903EE"/>
    <w:rsid w:val="00E90594"/>
    <w:rsid w:val="00E90623"/>
    <w:rsid w:val="00E90708"/>
    <w:rsid w:val="00E907CB"/>
    <w:rsid w:val="00E907D0"/>
    <w:rsid w:val="00E90817"/>
    <w:rsid w:val="00E908BA"/>
    <w:rsid w:val="00E908D1"/>
    <w:rsid w:val="00E9090D"/>
    <w:rsid w:val="00E90916"/>
    <w:rsid w:val="00E90992"/>
    <w:rsid w:val="00E909D0"/>
    <w:rsid w:val="00E90A1B"/>
    <w:rsid w:val="00E90B0C"/>
    <w:rsid w:val="00E90C4D"/>
    <w:rsid w:val="00E90D1F"/>
    <w:rsid w:val="00E90F48"/>
    <w:rsid w:val="00E9105A"/>
    <w:rsid w:val="00E910E2"/>
    <w:rsid w:val="00E9116B"/>
    <w:rsid w:val="00E91248"/>
    <w:rsid w:val="00E91373"/>
    <w:rsid w:val="00E913BE"/>
    <w:rsid w:val="00E914B3"/>
    <w:rsid w:val="00E9173C"/>
    <w:rsid w:val="00E91747"/>
    <w:rsid w:val="00E918B0"/>
    <w:rsid w:val="00E9198B"/>
    <w:rsid w:val="00E91A47"/>
    <w:rsid w:val="00E91A95"/>
    <w:rsid w:val="00E91AA9"/>
    <w:rsid w:val="00E91B55"/>
    <w:rsid w:val="00E91B66"/>
    <w:rsid w:val="00E91B76"/>
    <w:rsid w:val="00E91D0A"/>
    <w:rsid w:val="00E91D26"/>
    <w:rsid w:val="00E91D2A"/>
    <w:rsid w:val="00E91D2E"/>
    <w:rsid w:val="00E91DA2"/>
    <w:rsid w:val="00E91F1E"/>
    <w:rsid w:val="00E92156"/>
    <w:rsid w:val="00E921E6"/>
    <w:rsid w:val="00E92224"/>
    <w:rsid w:val="00E92271"/>
    <w:rsid w:val="00E9229E"/>
    <w:rsid w:val="00E922D4"/>
    <w:rsid w:val="00E9232E"/>
    <w:rsid w:val="00E9235F"/>
    <w:rsid w:val="00E923B4"/>
    <w:rsid w:val="00E92480"/>
    <w:rsid w:val="00E92481"/>
    <w:rsid w:val="00E92504"/>
    <w:rsid w:val="00E925C6"/>
    <w:rsid w:val="00E925CB"/>
    <w:rsid w:val="00E925DC"/>
    <w:rsid w:val="00E9272B"/>
    <w:rsid w:val="00E927B3"/>
    <w:rsid w:val="00E928DD"/>
    <w:rsid w:val="00E929F9"/>
    <w:rsid w:val="00E92B04"/>
    <w:rsid w:val="00E92B0F"/>
    <w:rsid w:val="00E92B19"/>
    <w:rsid w:val="00E92B64"/>
    <w:rsid w:val="00E92CB1"/>
    <w:rsid w:val="00E92CD1"/>
    <w:rsid w:val="00E92D05"/>
    <w:rsid w:val="00E92D51"/>
    <w:rsid w:val="00E92D81"/>
    <w:rsid w:val="00E92DA8"/>
    <w:rsid w:val="00E92E34"/>
    <w:rsid w:val="00E92E43"/>
    <w:rsid w:val="00E92F09"/>
    <w:rsid w:val="00E92F16"/>
    <w:rsid w:val="00E93120"/>
    <w:rsid w:val="00E93263"/>
    <w:rsid w:val="00E9329E"/>
    <w:rsid w:val="00E932C2"/>
    <w:rsid w:val="00E93400"/>
    <w:rsid w:val="00E93486"/>
    <w:rsid w:val="00E934B5"/>
    <w:rsid w:val="00E935E3"/>
    <w:rsid w:val="00E9363F"/>
    <w:rsid w:val="00E937C8"/>
    <w:rsid w:val="00E938B0"/>
    <w:rsid w:val="00E93BD6"/>
    <w:rsid w:val="00E93BF5"/>
    <w:rsid w:val="00E93DFC"/>
    <w:rsid w:val="00E93E2E"/>
    <w:rsid w:val="00E93E46"/>
    <w:rsid w:val="00E93E72"/>
    <w:rsid w:val="00E93F3E"/>
    <w:rsid w:val="00E94007"/>
    <w:rsid w:val="00E940A9"/>
    <w:rsid w:val="00E9426C"/>
    <w:rsid w:val="00E94278"/>
    <w:rsid w:val="00E94411"/>
    <w:rsid w:val="00E94418"/>
    <w:rsid w:val="00E9441D"/>
    <w:rsid w:val="00E9445B"/>
    <w:rsid w:val="00E94653"/>
    <w:rsid w:val="00E94718"/>
    <w:rsid w:val="00E94748"/>
    <w:rsid w:val="00E947E1"/>
    <w:rsid w:val="00E94A23"/>
    <w:rsid w:val="00E94A5F"/>
    <w:rsid w:val="00E94B01"/>
    <w:rsid w:val="00E94B11"/>
    <w:rsid w:val="00E94D12"/>
    <w:rsid w:val="00E94D26"/>
    <w:rsid w:val="00E94D75"/>
    <w:rsid w:val="00E94E53"/>
    <w:rsid w:val="00E94F32"/>
    <w:rsid w:val="00E94FF5"/>
    <w:rsid w:val="00E95020"/>
    <w:rsid w:val="00E95096"/>
    <w:rsid w:val="00E95123"/>
    <w:rsid w:val="00E95153"/>
    <w:rsid w:val="00E95198"/>
    <w:rsid w:val="00E951FA"/>
    <w:rsid w:val="00E9532A"/>
    <w:rsid w:val="00E9538D"/>
    <w:rsid w:val="00E953F5"/>
    <w:rsid w:val="00E9549F"/>
    <w:rsid w:val="00E954BE"/>
    <w:rsid w:val="00E954D1"/>
    <w:rsid w:val="00E95631"/>
    <w:rsid w:val="00E95649"/>
    <w:rsid w:val="00E9568C"/>
    <w:rsid w:val="00E956B8"/>
    <w:rsid w:val="00E957A2"/>
    <w:rsid w:val="00E957D3"/>
    <w:rsid w:val="00E95808"/>
    <w:rsid w:val="00E9582F"/>
    <w:rsid w:val="00E9586A"/>
    <w:rsid w:val="00E95914"/>
    <w:rsid w:val="00E95ACC"/>
    <w:rsid w:val="00E95B60"/>
    <w:rsid w:val="00E95B80"/>
    <w:rsid w:val="00E95BA3"/>
    <w:rsid w:val="00E95C2B"/>
    <w:rsid w:val="00E95D77"/>
    <w:rsid w:val="00E95D9D"/>
    <w:rsid w:val="00E95E4A"/>
    <w:rsid w:val="00E95EA5"/>
    <w:rsid w:val="00E95F1D"/>
    <w:rsid w:val="00E95F37"/>
    <w:rsid w:val="00E95FCF"/>
    <w:rsid w:val="00E9619A"/>
    <w:rsid w:val="00E961BC"/>
    <w:rsid w:val="00E961EF"/>
    <w:rsid w:val="00E9629C"/>
    <w:rsid w:val="00E962CE"/>
    <w:rsid w:val="00E9639D"/>
    <w:rsid w:val="00E963AB"/>
    <w:rsid w:val="00E963F0"/>
    <w:rsid w:val="00E9646A"/>
    <w:rsid w:val="00E967C2"/>
    <w:rsid w:val="00E968FC"/>
    <w:rsid w:val="00E96998"/>
    <w:rsid w:val="00E96A37"/>
    <w:rsid w:val="00E96C0C"/>
    <w:rsid w:val="00E96DB9"/>
    <w:rsid w:val="00E96E8B"/>
    <w:rsid w:val="00E96FCC"/>
    <w:rsid w:val="00E97002"/>
    <w:rsid w:val="00E970C4"/>
    <w:rsid w:val="00E97169"/>
    <w:rsid w:val="00E971DD"/>
    <w:rsid w:val="00E97209"/>
    <w:rsid w:val="00E97257"/>
    <w:rsid w:val="00E97285"/>
    <w:rsid w:val="00E97403"/>
    <w:rsid w:val="00E9749B"/>
    <w:rsid w:val="00E975CC"/>
    <w:rsid w:val="00E976FC"/>
    <w:rsid w:val="00E9772E"/>
    <w:rsid w:val="00E97793"/>
    <w:rsid w:val="00E977D9"/>
    <w:rsid w:val="00E9796A"/>
    <w:rsid w:val="00E979F2"/>
    <w:rsid w:val="00E97A16"/>
    <w:rsid w:val="00E97AB4"/>
    <w:rsid w:val="00E97AD3"/>
    <w:rsid w:val="00E97B33"/>
    <w:rsid w:val="00E97C8D"/>
    <w:rsid w:val="00E97CCE"/>
    <w:rsid w:val="00E97D7B"/>
    <w:rsid w:val="00E97FD8"/>
    <w:rsid w:val="00E97FDF"/>
    <w:rsid w:val="00E97FFA"/>
    <w:rsid w:val="00EA0263"/>
    <w:rsid w:val="00EA02CF"/>
    <w:rsid w:val="00EA02F7"/>
    <w:rsid w:val="00EA05F2"/>
    <w:rsid w:val="00EA067E"/>
    <w:rsid w:val="00EA087A"/>
    <w:rsid w:val="00EA08DF"/>
    <w:rsid w:val="00EA0A39"/>
    <w:rsid w:val="00EA0A42"/>
    <w:rsid w:val="00EA0AAF"/>
    <w:rsid w:val="00EA0C33"/>
    <w:rsid w:val="00EA0D0B"/>
    <w:rsid w:val="00EA0E7F"/>
    <w:rsid w:val="00EA0E98"/>
    <w:rsid w:val="00EA0F0E"/>
    <w:rsid w:val="00EA0F67"/>
    <w:rsid w:val="00EA0F71"/>
    <w:rsid w:val="00EA0FAC"/>
    <w:rsid w:val="00EA0FBE"/>
    <w:rsid w:val="00EA0FE7"/>
    <w:rsid w:val="00EA1008"/>
    <w:rsid w:val="00EA1047"/>
    <w:rsid w:val="00EA10D5"/>
    <w:rsid w:val="00EA1781"/>
    <w:rsid w:val="00EA197E"/>
    <w:rsid w:val="00EA1ADA"/>
    <w:rsid w:val="00EA1BB1"/>
    <w:rsid w:val="00EA1D39"/>
    <w:rsid w:val="00EA1EE8"/>
    <w:rsid w:val="00EA1FF6"/>
    <w:rsid w:val="00EA2085"/>
    <w:rsid w:val="00EA21C2"/>
    <w:rsid w:val="00EA2221"/>
    <w:rsid w:val="00EA2232"/>
    <w:rsid w:val="00EA22C4"/>
    <w:rsid w:val="00EA23C8"/>
    <w:rsid w:val="00EA243D"/>
    <w:rsid w:val="00EA24F8"/>
    <w:rsid w:val="00EA2521"/>
    <w:rsid w:val="00EA25A7"/>
    <w:rsid w:val="00EA25CC"/>
    <w:rsid w:val="00EA2609"/>
    <w:rsid w:val="00EA27D2"/>
    <w:rsid w:val="00EA2809"/>
    <w:rsid w:val="00EA28E8"/>
    <w:rsid w:val="00EA2A8E"/>
    <w:rsid w:val="00EA2B54"/>
    <w:rsid w:val="00EA2BBD"/>
    <w:rsid w:val="00EA2BDB"/>
    <w:rsid w:val="00EA2C32"/>
    <w:rsid w:val="00EA2D0D"/>
    <w:rsid w:val="00EA2D14"/>
    <w:rsid w:val="00EA2DBA"/>
    <w:rsid w:val="00EA2E1E"/>
    <w:rsid w:val="00EA2ECF"/>
    <w:rsid w:val="00EA2EE5"/>
    <w:rsid w:val="00EA2FDB"/>
    <w:rsid w:val="00EA3009"/>
    <w:rsid w:val="00EA309D"/>
    <w:rsid w:val="00EA3171"/>
    <w:rsid w:val="00EA31F0"/>
    <w:rsid w:val="00EA3296"/>
    <w:rsid w:val="00EA33E4"/>
    <w:rsid w:val="00EA34BC"/>
    <w:rsid w:val="00EA34E7"/>
    <w:rsid w:val="00EA34FF"/>
    <w:rsid w:val="00EA353D"/>
    <w:rsid w:val="00EA3553"/>
    <w:rsid w:val="00EA35EA"/>
    <w:rsid w:val="00EA3794"/>
    <w:rsid w:val="00EA37C3"/>
    <w:rsid w:val="00EA384C"/>
    <w:rsid w:val="00EA3888"/>
    <w:rsid w:val="00EA39D0"/>
    <w:rsid w:val="00EA3A58"/>
    <w:rsid w:val="00EA3B86"/>
    <w:rsid w:val="00EA3BE4"/>
    <w:rsid w:val="00EA3CC1"/>
    <w:rsid w:val="00EA3D2D"/>
    <w:rsid w:val="00EA3D35"/>
    <w:rsid w:val="00EA4011"/>
    <w:rsid w:val="00EA41BE"/>
    <w:rsid w:val="00EA4374"/>
    <w:rsid w:val="00EA43DC"/>
    <w:rsid w:val="00EA44D6"/>
    <w:rsid w:val="00EA4634"/>
    <w:rsid w:val="00EA47D4"/>
    <w:rsid w:val="00EA4838"/>
    <w:rsid w:val="00EA4898"/>
    <w:rsid w:val="00EA48D3"/>
    <w:rsid w:val="00EA48D7"/>
    <w:rsid w:val="00EA4938"/>
    <w:rsid w:val="00EA495D"/>
    <w:rsid w:val="00EA497D"/>
    <w:rsid w:val="00EA4A00"/>
    <w:rsid w:val="00EA4AE7"/>
    <w:rsid w:val="00EA4C3C"/>
    <w:rsid w:val="00EA4D86"/>
    <w:rsid w:val="00EA4DEE"/>
    <w:rsid w:val="00EA4E23"/>
    <w:rsid w:val="00EA4E4F"/>
    <w:rsid w:val="00EA4E56"/>
    <w:rsid w:val="00EA4FE5"/>
    <w:rsid w:val="00EA50E1"/>
    <w:rsid w:val="00EA5149"/>
    <w:rsid w:val="00EA526A"/>
    <w:rsid w:val="00EA52A3"/>
    <w:rsid w:val="00EA530B"/>
    <w:rsid w:val="00EA53B8"/>
    <w:rsid w:val="00EA53DC"/>
    <w:rsid w:val="00EA53EA"/>
    <w:rsid w:val="00EA5455"/>
    <w:rsid w:val="00EA5598"/>
    <w:rsid w:val="00EA569D"/>
    <w:rsid w:val="00EA57B2"/>
    <w:rsid w:val="00EA5A38"/>
    <w:rsid w:val="00EA5ABB"/>
    <w:rsid w:val="00EA5B97"/>
    <w:rsid w:val="00EA5BCC"/>
    <w:rsid w:val="00EA5C7E"/>
    <w:rsid w:val="00EA5F49"/>
    <w:rsid w:val="00EA5F67"/>
    <w:rsid w:val="00EA6002"/>
    <w:rsid w:val="00EA60EE"/>
    <w:rsid w:val="00EA6208"/>
    <w:rsid w:val="00EA623A"/>
    <w:rsid w:val="00EA62F9"/>
    <w:rsid w:val="00EA6413"/>
    <w:rsid w:val="00EA64C1"/>
    <w:rsid w:val="00EA6566"/>
    <w:rsid w:val="00EA666F"/>
    <w:rsid w:val="00EA66AD"/>
    <w:rsid w:val="00EA67DF"/>
    <w:rsid w:val="00EA695E"/>
    <w:rsid w:val="00EA69D9"/>
    <w:rsid w:val="00EA6ABB"/>
    <w:rsid w:val="00EA6BEE"/>
    <w:rsid w:val="00EA6C85"/>
    <w:rsid w:val="00EA6C90"/>
    <w:rsid w:val="00EA6D60"/>
    <w:rsid w:val="00EA6D9C"/>
    <w:rsid w:val="00EA6E54"/>
    <w:rsid w:val="00EA6E76"/>
    <w:rsid w:val="00EA6E80"/>
    <w:rsid w:val="00EA700B"/>
    <w:rsid w:val="00EA716F"/>
    <w:rsid w:val="00EA75FC"/>
    <w:rsid w:val="00EA7651"/>
    <w:rsid w:val="00EA78B5"/>
    <w:rsid w:val="00EA79A2"/>
    <w:rsid w:val="00EA79D9"/>
    <w:rsid w:val="00EA7A94"/>
    <w:rsid w:val="00EA7AC3"/>
    <w:rsid w:val="00EA7AED"/>
    <w:rsid w:val="00EA7C44"/>
    <w:rsid w:val="00EA7CD1"/>
    <w:rsid w:val="00EA7D94"/>
    <w:rsid w:val="00EA7E55"/>
    <w:rsid w:val="00EA7E83"/>
    <w:rsid w:val="00EA7F6D"/>
    <w:rsid w:val="00EB0130"/>
    <w:rsid w:val="00EB01AA"/>
    <w:rsid w:val="00EB02EA"/>
    <w:rsid w:val="00EB038E"/>
    <w:rsid w:val="00EB051F"/>
    <w:rsid w:val="00EB05C2"/>
    <w:rsid w:val="00EB063B"/>
    <w:rsid w:val="00EB0781"/>
    <w:rsid w:val="00EB07B8"/>
    <w:rsid w:val="00EB07D4"/>
    <w:rsid w:val="00EB07D6"/>
    <w:rsid w:val="00EB0806"/>
    <w:rsid w:val="00EB08C6"/>
    <w:rsid w:val="00EB08CD"/>
    <w:rsid w:val="00EB099C"/>
    <w:rsid w:val="00EB09DF"/>
    <w:rsid w:val="00EB0C97"/>
    <w:rsid w:val="00EB0CB6"/>
    <w:rsid w:val="00EB0CD4"/>
    <w:rsid w:val="00EB0D3D"/>
    <w:rsid w:val="00EB0D4E"/>
    <w:rsid w:val="00EB0DC3"/>
    <w:rsid w:val="00EB0E16"/>
    <w:rsid w:val="00EB0E28"/>
    <w:rsid w:val="00EB0F75"/>
    <w:rsid w:val="00EB1121"/>
    <w:rsid w:val="00EB1208"/>
    <w:rsid w:val="00EB132F"/>
    <w:rsid w:val="00EB13F7"/>
    <w:rsid w:val="00EB1416"/>
    <w:rsid w:val="00EB15D3"/>
    <w:rsid w:val="00EB16CB"/>
    <w:rsid w:val="00EB19D0"/>
    <w:rsid w:val="00EB1BBB"/>
    <w:rsid w:val="00EB1C09"/>
    <w:rsid w:val="00EB1CC5"/>
    <w:rsid w:val="00EB1D0E"/>
    <w:rsid w:val="00EB1D52"/>
    <w:rsid w:val="00EB1DC8"/>
    <w:rsid w:val="00EB1E30"/>
    <w:rsid w:val="00EB1EE7"/>
    <w:rsid w:val="00EB1F57"/>
    <w:rsid w:val="00EB2023"/>
    <w:rsid w:val="00EB202A"/>
    <w:rsid w:val="00EB2165"/>
    <w:rsid w:val="00EB21B7"/>
    <w:rsid w:val="00EB228F"/>
    <w:rsid w:val="00EB229C"/>
    <w:rsid w:val="00EB236D"/>
    <w:rsid w:val="00EB2508"/>
    <w:rsid w:val="00EB253A"/>
    <w:rsid w:val="00EB257A"/>
    <w:rsid w:val="00EB263F"/>
    <w:rsid w:val="00EB2653"/>
    <w:rsid w:val="00EB2773"/>
    <w:rsid w:val="00EB27B8"/>
    <w:rsid w:val="00EB288D"/>
    <w:rsid w:val="00EB289C"/>
    <w:rsid w:val="00EB29F2"/>
    <w:rsid w:val="00EB2A0A"/>
    <w:rsid w:val="00EB2D07"/>
    <w:rsid w:val="00EB2E3D"/>
    <w:rsid w:val="00EB2E78"/>
    <w:rsid w:val="00EB2ECD"/>
    <w:rsid w:val="00EB2F3E"/>
    <w:rsid w:val="00EB2F8B"/>
    <w:rsid w:val="00EB30CA"/>
    <w:rsid w:val="00EB30DC"/>
    <w:rsid w:val="00EB316F"/>
    <w:rsid w:val="00EB31A3"/>
    <w:rsid w:val="00EB3219"/>
    <w:rsid w:val="00EB322F"/>
    <w:rsid w:val="00EB3302"/>
    <w:rsid w:val="00EB3411"/>
    <w:rsid w:val="00EB349E"/>
    <w:rsid w:val="00EB35EA"/>
    <w:rsid w:val="00EB3607"/>
    <w:rsid w:val="00EB36A0"/>
    <w:rsid w:val="00EB3735"/>
    <w:rsid w:val="00EB3810"/>
    <w:rsid w:val="00EB3812"/>
    <w:rsid w:val="00EB38AF"/>
    <w:rsid w:val="00EB395E"/>
    <w:rsid w:val="00EB39A4"/>
    <w:rsid w:val="00EB3BD3"/>
    <w:rsid w:val="00EB3BF2"/>
    <w:rsid w:val="00EB3C08"/>
    <w:rsid w:val="00EB3D19"/>
    <w:rsid w:val="00EB3D33"/>
    <w:rsid w:val="00EB3D9F"/>
    <w:rsid w:val="00EB3DCC"/>
    <w:rsid w:val="00EB3EF2"/>
    <w:rsid w:val="00EB40B1"/>
    <w:rsid w:val="00EB40F6"/>
    <w:rsid w:val="00EB42DA"/>
    <w:rsid w:val="00EB4379"/>
    <w:rsid w:val="00EB4385"/>
    <w:rsid w:val="00EB43F0"/>
    <w:rsid w:val="00EB4410"/>
    <w:rsid w:val="00EB44DA"/>
    <w:rsid w:val="00EB458C"/>
    <w:rsid w:val="00EB4647"/>
    <w:rsid w:val="00EB469A"/>
    <w:rsid w:val="00EB476E"/>
    <w:rsid w:val="00EB47DA"/>
    <w:rsid w:val="00EB4832"/>
    <w:rsid w:val="00EB48B1"/>
    <w:rsid w:val="00EB48D8"/>
    <w:rsid w:val="00EB4953"/>
    <w:rsid w:val="00EB4B29"/>
    <w:rsid w:val="00EB4B3F"/>
    <w:rsid w:val="00EB4C41"/>
    <w:rsid w:val="00EB4D92"/>
    <w:rsid w:val="00EB4D94"/>
    <w:rsid w:val="00EB4E37"/>
    <w:rsid w:val="00EB4E60"/>
    <w:rsid w:val="00EB4F19"/>
    <w:rsid w:val="00EB5001"/>
    <w:rsid w:val="00EB509F"/>
    <w:rsid w:val="00EB50AA"/>
    <w:rsid w:val="00EB5169"/>
    <w:rsid w:val="00EB5313"/>
    <w:rsid w:val="00EB536A"/>
    <w:rsid w:val="00EB538F"/>
    <w:rsid w:val="00EB543E"/>
    <w:rsid w:val="00EB54B4"/>
    <w:rsid w:val="00EB552B"/>
    <w:rsid w:val="00EB556A"/>
    <w:rsid w:val="00EB5606"/>
    <w:rsid w:val="00EB56CD"/>
    <w:rsid w:val="00EB56D9"/>
    <w:rsid w:val="00EB5761"/>
    <w:rsid w:val="00EB5797"/>
    <w:rsid w:val="00EB57AC"/>
    <w:rsid w:val="00EB57EB"/>
    <w:rsid w:val="00EB580B"/>
    <w:rsid w:val="00EB581D"/>
    <w:rsid w:val="00EB58B7"/>
    <w:rsid w:val="00EB5B2E"/>
    <w:rsid w:val="00EB5BC0"/>
    <w:rsid w:val="00EB5C0B"/>
    <w:rsid w:val="00EB5C3E"/>
    <w:rsid w:val="00EB5D5F"/>
    <w:rsid w:val="00EB5E96"/>
    <w:rsid w:val="00EB5E98"/>
    <w:rsid w:val="00EB5F42"/>
    <w:rsid w:val="00EB5FFD"/>
    <w:rsid w:val="00EB6113"/>
    <w:rsid w:val="00EB6183"/>
    <w:rsid w:val="00EB622D"/>
    <w:rsid w:val="00EB6387"/>
    <w:rsid w:val="00EB63B5"/>
    <w:rsid w:val="00EB6416"/>
    <w:rsid w:val="00EB647C"/>
    <w:rsid w:val="00EB6520"/>
    <w:rsid w:val="00EB6627"/>
    <w:rsid w:val="00EB665A"/>
    <w:rsid w:val="00EB667F"/>
    <w:rsid w:val="00EB67AC"/>
    <w:rsid w:val="00EB6928"/>
    <w:rsid w:val="00EB695F"/>
    <w:rsid w:val="00EB6B06"/>
    <w:rsid w:val="00EB6CDD"/>
    <w:rsid w:val="00EB6D7A"/>
    <w:rsid w:val="00EB6DCD"/>
    <w:rsid w:val="00EB6E1F"/>
    <w:rsid w:val="00EB6E5D"/>
    <w:rsid w:val="00EB7016"/>
    <w:rsid w:val="00EB70CF"/>
    <w:rsid w:val="00EB70FE"/>
    <w:rsid w:val="00EB7155"/>
    <w:rsid w:val="00EB71C1"/>
    <w:rsid w:val="00EB7263"/>
    <w:rsid w:val="00EB7408"/>
    <w:rsid w:val="00EB743E"/>
    <w:rsid w:val="00EB74A2"/>
    <w:rsid w:val="00EB74F3"/>
    <w:rsid w:val="00EB7518"/>
    <w:rsid w:val="00EB7588"/>
    <w:rsid w:val="00EB777D"/>
    <w:rsid w:val="00EB7844"/>
    <w:rsid w:val="00EB784D"/>
    <w:rsid w:val="00EB78DD"/>
    <w:rsid w:val="00EB799F"/>
    <w:rsid w:val="00EB7CB5"/>
    <w:rsid w:val="00EB7E64"/>
    <w:rsid w:val="00EB7F30"/>
    <w:rsid w:val="00EC0041"/>
    <w:rsid w:val="00EC00F7"/>
    <w:rsid w:val="00EC0280"/>
    <w:rsid w:val="00EC02B8"/>
    <w:rsid w:val="00EC03D8"/>
    <w:rsid w:val="00EC0419"/>
    <w:rsid w:val="00EC0468"/>
    <w:rsid w:val="00EC048F"/>
    <w:rsid w:val="00EC04E7"/>
    <w:rsid w:val="00EC04F0"/>
    <w:rsid w:val="00EC0597"/>
    <w:rsid w:val="00EC066B"/>
    <w:rsid w:val="00EC078E"/>
    <w:rsid w:val="00EC084F"/>
    <w:rsid w:val="00EC08AA"/>
    <w:rsid w:val="00EC0975"/>
    <w:rsid w:val="00EC09A6"/>
    <w:rsid w:val="00EC09B9"/>
    <w:rsid w:val="00EC0A39"/>
    <w:rsid w:val="00EC0B8E"/>
    <w:rsid w:val="00EC0CBD"/>
    <w:rsid w:val="00EC0D11"/>
    <w:rsid w:val="00EC0D57"/>
    <w:rsid w:val="00EC0D66"/>
    <w:rsid w:val="00EC0D7A"/>
    <w:rsid w:val="00EC0DD2"/>
    <w:rsid w:val="00EC0DFD"/>
    <w:rsid w:val="00EC0E1A"/>
    <w:rsid w:val="00EC0E76"/>
    <w:rsid w:val="00EC118E"/>
    <w:rsid w:val="00EC11D5"/>
    <w:rsid w:val="00EC1304"/>
    <w:rsid w:val="00EC132F"/>
    <w:rsid w:val="00EC1378"/>
    <w:rsid w:val="00EC15C3"/>
    <w:rsid w:val="00EC15E5"/>
    <w:rsid w:val="00EC1747"/>
    <w:rsid w:val="00EC1852"/>
    <w:rsid w:val="00EC1887"/>
    <w:rsid w:val="00EC19ED"/>
    <w:rsid w:val="00EC19EE"/>
    <w:rsid w:val="00EC1B73"/>
    <w:rsid w:val="00EC1C3F"/>
    <w:rsid w:val="00EC1D22"/>
    <w:rsid w:val="00EC1D8A"/>
    <w:rsid w:val="00EC1DC1"/>
    <w:rsid w:val="00EC1E57"/>
    <w:rsid w:val="00EC1F32"/>
    <w:rsid w:val="00EC1F82"/>
    <w:rsid w:val="00EC1FA7"/>
    <w:rsid w:val="00EC2007"/>
    <w:rsid w:val="00EC2011"/>
    <w:rsid w:val="00EC2035"/>
    <w:rsid w:val="00EC20EE"/>
    <w:rsid w:val="00EC216D"/>
    <w:rsid w:val="00EC233E"/>
    <w:rsid w:val="00EC23EC"/>
    <w:rsid w:val="00EC2425"/>
    <w:rsid w:val="00EC2452"/>
    <w:rsid w:val="00EC24BC"/>
    <w:rsid w:val="00EC25D3"/>
    <w:rsid w:val="00EC29AF"/>
    <w:rsid w:val="00EC29B5"/>
    <w:rsid w:val="00EC2A47"/>
    <w:rsid w:val="00EC2B17"/>
    <w:rsid w:val="00EC2BF6"/>
    <w:rsid w:val="00EC2BF7"/>
    <w:rsid w:val="00EC2C00"/>
    <w:rsid w:val="00EC2C19"/>
    <w:rsid w:val="00EC2C34"/>
    <w:rsid w:val="00EC2E35"/>
    <w:rsid w:val="00EC30E3"/>
    <w:rsid w:val="00EC3199"/>
    <w:rsid w:val="00EC319E"/>
    <w:rsid w:val="00EC3326"/>
    <w:rsid w:val="00EC33EB"/>
    <w:rsid w:val="00EC3491"/>
    <w:rsid w:val="00EC34F7"/>
    <w:rsid w:val="00EC3539"/>
    <w:rsid w:val="00EC3571"/>
    <w:rsid w:val="00EC35DB"/>
    <w:rsid w:val="00EC3604"/>
    <w:rsid w:val="00EC36E5"/>
    <w:rsid w:val="00EC385A"/>
    <w:rsid w:val="00EC38D5"/>
    <w:rsid w:val="00EC391C"/>
    <w:rsid w:val="00EC3970"/>
    <w:rsid w:val="00EC3A73"/>
    <w:rsid w:val="00EC3C4E"/>
    <w:rsid w:val="00EC3C5A"/>
    <w:rsid w:val="00EC3CB8"/>
    <w:rsid w:val="00EC3D8F"/>
    <w:rsid w:val="00EC3DCB"/>
    <w:rsid w:val="00EC3DD0"/>
    <w:rsid w:val="00EC3E4F"/>
    <w:rsid w:val="00EC3E7C"/>
    <w:rsid w:val="00EC3FE7"/>
    <w:rsid w:val="00EC40E7"/>
    <w:rsid w:val="00EC40F8"/>
    <w:rsid w:val="00EC4279"/>
    <w:rsid w:val="00EC439E"/>
    <w:rsid w:val="00EC43F1"/>
    <w:rsid w:val="00EC4429"/>
    <w:rsid w:val="00EC468B"/>
    <w:rsid w:val="00EC4719"/>
    <w:rsid w:val="00EC473C"/>
    <w:rsid w:val="00EC4892"/>
    <w:rsid w:val="00EC4952"/>
    <w:rsid w:val="00EC4A58"/>
    <w:rsid w:val="00EC4B01"/>
    <w:rsid w:val="00EC4B86"/>
    <w:rsid w:val="00EC4BCC"/>
    <w:rsid w:val="00EC4BEE"/>
    <w:rsid w:val="00EC4C0B"/>
    <w:rsid w:val="00EC4C5A"/>
    <w:rsid w:val="00EC4CAC"/>
    <w:rsid w:val="00EC4EC2"/>
    <w:rsid w:val="00EC4ECD"/>
    <w:rsid w:val="00EC4F8C"/>
    <w:rsid w:val="00EC50CF"/>
    <w:rsid w:val="00EC51D2"/>
    <w:rsid w:val="00EC5223"/>
    <w:rsid w:val="00EC5244"/>
    <w:rsid w:val="00EC526F"/>
    <w:rsid w:val="00EC52F4"/>
    <w:rsid w:val="00EC530E"/>
    <w:rsid w:val="00EC53D1"/>
    <w:rsid w:val="00EC54C6"/>
    <w:rsid w:val="00EC54C7"/>
    <w:rsid w:val="00EC551F"/>
    <w:rsid w:val="00EC559A"/>
    <w:rsid w:val="00EC55EB"/>
    <w:rsid w:val="00EC5783"/>
    <w:rsid w:val="00EC579D"/>
    <w:rsid w:val="00EC57F3"/>
    <w:rsid w:val="00EC57F4"/>
    <w:rsid w:val="00EC58B2"/>
    <w:rsid w:val="00EC595D"/>
    <w:rsid w:val="00EC59E9"/>
    <w:rsid w:val="00EC5A60"/>
    <w:rsid w:val="00EC5ADA"/>
    <w:rsid w:val="00EC5AF4"/>
    <w:rsid w:val="00EC5B36"/>
    <w:rsid w:val="00EC5C71"/>
    <w:rsid w:val="00EC5D04"/>
    <w:rsid w:val="00EC5D7E"/>
    <w:rsid w:val="00EC5E19"/>
    <w:rsid w:val="00EC5E22"/>
    <w:rsid w:val="00EC5ED6"/>
    <w:rsid w:val="00EC5FB0"/>
    <w:rsid w:val="00EC5FCE"/>
    <w:rsid w:val="00EC62BF"/>
    <w:rsid w:val="00EC636B"/>
    <w:rsid w:val="00EC6382"/>
    <w:rsid w:val="00EC638D"/>
    <w:rsid w:val="00EC638E"/>
    <w:rsid w:val="00EC6494"/>
    <w:rsid w:val="00EC6497"/>
    <w:rsid w:val="00EC6544"/>
    <w:rsid w:val="00EC65F5"/>
    <w:rsid w:val="00EC66B0"/>
    <w:rsid w:val="00EC66D0"/>
    <w:rsid w:val="00EC671F"/>
    <w:rsid w:val="00EC673E"/>
    <w:rsid w:val="00EC6845"/>
    <w:rsid w:val="00EC690A"/>
    <w:rsid w:val="00EC694E"/>
    <w:rsid w:val="00EC69D7"/>
    <w:rsid w:val="00EC6B70"/>
    <w:rsid w:val="00EC6CF5"/>
    <w:rsid w:val="00EC6D29"/>
    <w:rsid w:val="00EC6D79"/>
    <w:rsid w:val="00EC6D7C"/>
    <w:rsid w:val="00EC6EB8"/>
    <w:rsid w:val="00EC6FAE"/>
    <w:rsid w:val="00EC7025"/>
    <w:rsid w:val="00EC707F"/>
    <w:rsid w:val="00EC7207"/>
    <w:rsid w:val="00EC720B"/>
    <w:rsid w:val="00EC72D1"/>
    <w:rsid w:val="00EC7508"/>
    <w:rsid w:val="00EC7634"/>
    <w:rsid w:val="00EC7722"/>
    <w:rsid w:val="00EC77FF"/>
    <w:rsid w:val="00EC78BA"/>
    <w:rsid w:val="00EC78F2"/>
    <w:rsid w:val="00EC793F"/>
    <w:rsid w:val="00EC7AB0"/>
    <w:rsid w:val="00EC7B39"/>
    <w:rsid w:val="00EC7CE6"/>
    <w:rsid w:val="00EC7D2B"/>
    <w:rsid w:val="00EC7D35"/>
    <w:rsid w:val="00EC7D36"/>
    <w:rsid w:val="00EC7DA5"/>
    <w:rsid w:val="00EC7DAD"/>
    <w:rsid w:val="00EC7E39"/>
    <w:rsid w:val="00EC7EBA"/>
    <w:rsid w:val="00EC7EE5"/>
    <w:rsid w:val="00EC7F6F"/>
    <w:rsid w:val="00EC7FAA"/>
    <w:rsid w:val="00EC7FCC"/>
    <w:rsid w:val="00ED0213"/>
    <w:rsid w:val="00ED022C"/>
    <w:rsid w:val="00ED02E0"/>
    <w:rsid w:val="00ED02EF"/>
    <w:rsid w:val="00ED0579"/>
    <w:rsid w:val="00ED0659"/>
    <w:rsid w:val="00ED0675"/>
    <w:rsid w:val="00ED06B9"/>
    <w:rsid w:val="00ED072F"/>
    <w:rsid w:val="00ED08BA"/>
    <w:rsid w:val="00ED0944"/>
    <w:rsid w:val="00ED0A9A"/>
    <w:rsid w:val="00ED0B8C"/>
    <w:rsid w:val="00ED0B9F"/>
    <w:rsid w:val="00ED0BBE"/>
    <w:rsid w:val="00ED0BDB"/>
    <w:rsid w:val="00ED0BF2"/>
    <w:rsid w:val="00ED0C21"/>
    <w:rsid w:val="00ED0CB6"/>
    <w:rsid w:val="00ED0E13"/>
    <w:rsid w:val="00ED0E38"/>
    <w:rsid w:val="00ED0ED7"/>
    <w:rsid w:val="00ED0F2E"/>
    <w:rsid w:val="00ED1170"/>
    <w:rsid w:val="00ED11BE"/>
    <w:rsid w:val="00ED11EE"/>
    <w:rsid w:val="00ED1253"/>
    <w:rsid w:val="00ED147E"/>
    <w:rsid w:val="00ED1595"/>
    <w:rsid w:val="00ED16BC"/>
    <w:rsid w:val="00ED170A"/>
    <w:rsid w:val="00ED1747"/>
    <w:rsid w:val="00ED176D"/>
    <w:rsid w:val="00ED1784"/>
    <w:rsid w:val="00ED18C7"/>
    <w:rsid w:val="00ED19EA"/>
    <w:rsid w:val="00ED1B4B"/>
    <w:rsid w:val="00ED1B9E"/>
    <w:rsid w:val="00ED1B9F"/>
    <w:rsid w:val="00ED1DD6"/>
    <w:rsid w:val="00ED1E43"/>
    <w:rsid w:val="00ED1F1E"/>
    <w:rsid w:val="00ED20B0"/>
    <w:rsid w:val="00ED20CE"/>
    <w:rsid w:val="00ED21FF"/>
    <w:rsid w:val="00ED2275"/>
    <w:rsid w:val="00ED22B1"/>
    <w:rsid w:val="00ED239A"/>
    <w:rsid w:val="00ED23D2"/>
    <w:rsid w:val="00ED2419"/>
    <w:rsid w:val="00ED247C"/>
    <w:rsid w:val="00ED24D6"/>
    <w:rsid w:val="00ED272D"/>
    <w:rsid w:val="00ED276F"/>
    <w:rsid w:val="00ED2A17"/>
    <w:rsid w:val="00ED2B43"/>
    <w:rsid w:val="00ED2BF1"/>
    <w:rsid w:val="00ED2C05"/>
    <w:rsid w:val="00ED2C8B"/>
    <w:rsid w:val="00ED2D16"/>
    <w:rsid w:val="00ED2DEF"/>
    <w:rsid w:val="00ED2E30"/>
    <w:rsid w:val="00ED2EBB"/>
    <w:rsid w:val="00ED303F"/>
    <w:rsid w:val="00ED30E1"/>
    <w:rsid w:val="00ED3113"/>
    <w:rsid w:val="00ED3119"/>
    <w:rsid w:val="00ED3141"/>
    <w:rsid w:val="00ED3157"/>
    <w:rsid w:val="00ED321A"/>
    <w:rsid w:val="00ED3278"/>
    <w:rsid w:val="00ED3457"/>
    <w:rsid w:val="00ED3542"/>
    <w:rsid w:val="00ED355D"/>
    <w:rsid w:val="00ED36AA"/>
    <w:rsid w:val="00ED375D"/>
    <w:rsid w:val="00ED37BD"/>
    <w:rsid w:val="00ED380A"/>
    <w:rsid w:val="00ED3853"/>
    <w:rsid w:val="00ED386C"/>
    <w:rsid w:val="00ED38E7"/>
    <w:rsid w:val="00ED395D"/>
    <w:rsid w:val="00ED3A6D"/>
    <w:rsid w:val="00ED3AA9"/>
    <w:rsid w:val="00ED3ABE"/>
    <w:rsid w:val="00ED3B34"/>
    <w:rsid w:val="00ED3C48"/>
    <w:rsid w:val="00ED3C77"/>
    <w:rsid w:val="00ED3C8D"/>
    <w:rsid w:val="00ED3EFE"/>
    <w:rsid w:val="00ED3FEA"/>
    <w:rsid w:val="00ED42F1"/>
    <w:rsid w:val="00ED4741"/>
    <w:rsid w:val="00ED47CC"/>
    <w:rsid w:val="00ED4892"/>
    <w:rsid w:val="00ED492D"/>
    <w:rsid w:val="00ED49C7"/>
    <w:rsid w:val="00ED4B05"/>
    <w:rsid w:val="00ED4B3A"/>
    <w:rsid w:val="00ED4B51"/>
    <w:rsid w:val="00ED4B5F"/>
    <w:rsid w:val="00ED4BE4"/>
    <w:rsid w:val="00ED4D03"/>
    <w:rsid w:val="00ED4E2F"/>
    <w:rsid w:val="00ED4E3B"/>
    <w:rsid w:val="00ED4E65"/>
    <w:rsid w:val="00ED5052"/>
    <w:rsid w:val="00ED50BE"/>
    <w:rsid w:val="00ED51DF"/>
    <w:rsid w:val="00ED5235"/>
    <w:rsid w:val="00ED53FC"/>
    <w:rsid w:val="00ED5564"/>
    <w:rsid w:val="00ED5675"/>
    <w:rsid w:val="00ED56A1"/>
    <w:rsid w:val="00ED572A"/>
    <w:rsid w:val="00ED5732"/>
    <w:rsid w:val="00ED5780"/>
    <w:rsid w:val="00ED5819"/>
    <w:rsid w:val="00ED5830"/>
    <w:rsid w:val="00ED5847"/>
    <w:rsid w:val="00ED5908"/>
    <w:rsid w:val="00ED598A"/>
    <w:rsid w:val="00ED5B8A"/>
    <w:rsid w:val="00ED5BDB"/>
    <w:rsid w:val="00ED5BE1"/>
    <w:rsid w:val="00ED5DC7"/>
    <w:rsid w:val="00ED5E97"/>
    <w:rsid w:val="00ED5EF6"/>
    <w:rsid w:val="00ED5F57"/>
    <w:rsid w:val="00ED5FDA"/>
    <w:rsid w:val="00ED62D6"/>
    <w:rsid w:val="00ED6313"/>
    <w:rsid w:val="00ED6385"/>
    <w:rsid w:val="00ED63BC"/>
    <w:rsid w:val="00ED6499"/>
    <w:rsid w:val="00ED64A3"/>
    <w:rsid w:val="00ED64F6"/>
    <w:rsid w:val="00ED6505"/>
    <w:rsid w:val="00ED653D"/>
    <w:rsid w:val="00ED65D2"/>
    <w:rsid w:val="00ED65FA"/>
    <w:rsid w:val="00ED681D"/>
    <w:rsid w:val="00ED69EA"/>
    <w:rsid w:val="00ED6A1D"/>
    <w:rsid w:val="00ED6A45"/>
    <w:rsid w:val="00ED6AB3"/>
    <w:rsid w:val="00ED6ACB"/>
    <w:rsid w:val="00ED6B10"/>
    <w:rsid w:val="00ED6B35"/>
    <w:rsid w:val="00ED6C10"/>
    <w:rsid w:val="00ED6C53"/>
    <w:rsid w:val="00ED6D0D"/>
    <w:rsid w:val="00ED6D53"/>
    <w:rsid w:val="00ED6D5B"/>
    <w:rsid w:val="00ED6D6B"/>
    <w:rsid w:val="00ED6D94"/>
    <w:rsid w:val="00ED6D9D"/>
    <w:rsid w:val="00ED6DE8"/>
    <w:rsid w:val="00ED6E4D"/>
    <w:rsid w:val="00ED6E75"/>
    <w:rsid w:val="00ED6E9C"/>
    <w:rsid w:val="00ED6F89"/>
    <w:rsid w:val="00ED6FCE"/>
    <w:rsid w:val="00ED700F"/>
    <w:rsid w:val="00ED7179"/>
    <w:rsid w:val="00ED7226"/>
    <w:rsid w:val="00ED72A5"/>
    <w:rsid w:val="00ED72FB"/>
    <w:rsid w:val="00ED7350"/>
    <w:rsid w:val="00ED73A5"/>
    <w:rsid w:val="00ED73F7"/>
    <w:rsid w:val="00ED7626"/>
    <w:rsid w:val="00ED765E"/>
    <w:rsid w:val="00ED7661"/>
    <w:rsid w:val="00ED7683"/>
    <w:rsid w:val="00ED76F2"/>
    <w:rsid w:val="00ED777C"/>
    <w:rsid w:val="00ED77AD"/>
    <w:rsid w:val="00ED78BE"/>
    <w:rsid w:val="00ED7A0B"/>
    <w:rsid w:val="00ED7AAF"/>
    <w:rsid w:val="00ED7ADC"/>
    <w:rsid w:val="00ED7B19"/>
    <w:rsid w:val="00ED7BDA"/>
    <w:rsid w:val="00ED7D54"/>
    <w:rsid w:val="00ED7D58"/>
    <w:rsid w:val="00ED7E38"/>
    <w:rsid w:val="00ED7EC3"/>
    <w:rsid w:val="00ED7F11"/>
    <w:rsid w:val="00EE0026"/>
    <w:rsid w:val="00EE003D"/>
    <w:rsid w:val="00EE00AD"/>
    <w:rsid w:val="00EE00C1"/>
    <w:rsid w:val="00EE00C7"/>
    <w:rsid w:val="00EE01B1"/>
    <w:rsid w:val="00EE0276"/>
    <w:rsid w:val="00EE0281"/>
    <w:rsid w:val="00EE030B"/>
    <w:rsid w:val="00EE0586"/>
    <w:rsid w:val="00EE05A4"/>
    <w:rsid w:val="00EE05E9"/>
    <w:rsid w:val="00EE05F4"/>
    <w:rsid w:val="00EE0645"/>
    <w:rsid w:val="00EE069A"/>
    <w:rsid w:val="00EE0772"/>
    <w:rsid w:val="00EE08B6"/>
    <w:rsid w:val="00EE08C4"/>
    <w:rsid w:val="00EE08D8"/>
    <w:rsid w:val="00EE0A31"/>
    <w:rsid w:val="00EE0A50"/>
    <w:rsid w:val="00EE0AAB"/>
    <w:rsid w:val="00EE0B0C"/>
    <w:rsid w:val="00EE0BBF"/>
    <w:rsid w:val="00EE0CA0"/>
    <w:rsid w:val="00EE0D26"/>
    <w:rsid w:val="00EE0D29"/>
    <w:rsid w:val="00EE0DAF"/>
    <w:rsid w:val="00EE0F36"/>
    <w:rsid w:val="00EE0FAB"/>
    <w:rsid w:val="00EE0FAC"/>
    <w:rsid w:val="00EE0FE5"/>
    <w:rsid w:val="00EE103B"/>
    <w:rsid w:val="00EE1043"/>
    <w:rsid w:val="00EE108C"/>
    <w:rsid w:val="00EE10D4"/>
    <w:rsid w:val="00EE1122"/>
    <w:rsid w:val="00EE1142"/>
    <w:rsid w:val="00EE11DD"/>
    <w:rsid w:val="00EE1243"/>
    <w:rsid w:val="00EE1373"/>
    <w:rsid w:val="00EE13BB"/>
    <w:rsid w:val="00EE1404"/>
    <w:rsid w:val="00EE142B"/>
    <w:rsid w:val="00EE14AC"/>
    <w:rsid w:val="00EE1580"/>
    <w:rsid w:val="00EE169D"/>
    <w:rsid w:val="00EE16B6"/>
    <w:rsid w:val="00EE16DF"/>
    <w:rsid w:val="00EE179B"/>
    <w:rsid w:val="00EE183D"/>
    <w:rsid w:val="00EE186C"/>
    <w:rsid w:val="00EE1903"/>
    <w:rsid w:val="00EE1A87"/>
    <w:rsid w:val="00EE1B83"/>
    <w:rsid w:val="00EE1C05"/>
    <w:rsid w:val="00EE1DF9"/>
    <w:rsid w:val="00EE1E17"/>
    <w:rsid w:val="00EE1EE8"/>
    <w:rsid w:val="00EE1EEC"/>
    <w:rsid w:val="00EE1FEA"/>
    <w:rsid w:val="00EE2025"/>
    <w:rsid w:val="00EE2056"/>
    <w:rsid w:val="00EE21C7"/>
    <w:rsid w:val="00EE21D1"/>
    <w:rsid w:val="00EE22F4"/>
    <w:rsid w:val="00EE23D8"/>
    <w:rsid w:val="00EE24F5"/>
    <w:rsid w:val="00EE2671"/>
    <w:rsid w:val="00EE2752"/>
    <w:rsid w:val="00EE2847"/>
    <w:rsid w:val="00EE29D9"/>
    <w:rsid w:val="00EE2A9B"/>
    <w:rsid w:val="00EE2B81"/>
    <w:rsid w:val="00EE2BC6"/>
    <w:rsid w:val="00EE2BEA"/>
    <w:rsid w:val="00EE2D76"/>
    <w:rsid w:val="00EE2DCA"/>
    <w:rsid w:val="00EE2DDB"/>
    <w:rsid w:val="00EE2E91"/>
    <w:rsid w:val="00EE2EFE"/>
    <w:rsid w:val="00EE2F50"/>
    <w:rsid w:val="00EE2F64"/>
    <w:rsid w:val="00EE2F8A"/>
    <w:rsid w:val="00EE305E"/>
    <w:rsid w:val="00EE30A9"/>
    <w:rsid w:val="00EE317B"/>
    <w:rsid w:val="00EE31E4"/>
    <w:rsid w:val="00EE3285"/>
    <w:rsid w:val="00EE32A7"/>
    <w:rsid w:val="00EE32DD"/>
    <w:rsid w:val="00EE32EF"/>
    <w:rsid w:val="00EE342C"/>
    <w:rsid w:val="00EE350F"/>
    <w:rsid w:val="00EE35B1"/>
    <w:rsid w:val="00EE35FB"/>
    <w:rsid w:val="00EE35FF"/>
    <w:rsid w:val="00EE367D"/>
    <w:rsid w:val="00EE36E0"/>
    <w:rsid w:val="00EE387F"/>
    <w:rsid w:val="00EE39B4"/>
    <w:rsid w:val="00EE3AB7"/>
    <w:rsid w:val="00EE3C10"/>
    <w:rsid w:val="00EE3C92"/>
    <w:rsid w:val="00EE3CC3"/>
    <w:rsid w:val="00EE3CEA"/>
    <w:rsid w:val="00EE3D68"/>
    <w:rsid w:val="00EE3D6D"/>
    <w:rsid w:val="00EE3DDB"/>
    <w:rsid w:val="00EE3DE5"/>
    <w:rsid w:val="00EE3F47"/>
    <w:rsid w:val="00EE404D"/>
    <w:rsid w:val="00EE409E"/>
    <w:rsid w:val="00EE4115"/>
    <w:rsid w:val="00EE41AA"/>
    <w:rsid w:val="00EE42F1"/>
    <w:rsid w:val="00EE44A0"/>
    <w:rsid w:val="00EE4527"/>
    <w:rsid w:val="00EE4534"/>
    <w:rsid w:val="00EE47DF"/>
    <w:rsid w:val="00EE487A"/>
    <w:rsid w:val="00EE4BB7"/>
    <w:rsid w:val="00EE4BBD"/>
    <w:rsid w:val="00EE4BD7"/>
    <w:rsid w:val="00EE4BED"/>
    <w:rsid w:val="00EE4D0A"/>
    <w:rsid w:val="00EE4D2D"/>
    <w:rsid w:val="00EE4D83"/>
    <w:rsid w:val="00EE4DC9"/>
    <w:rsid w:val="00EE4DDD"/>
    <w:rsid w:val="00EE4E0B"/>
    <w:rsid w:val="00EE4E5E"/>
    <w:rsid w:val="00EE4ECB"/>
    <w:rsid w:val="00EE4EDE"/>
    <w:rsid w:val="00EE4EEC"/>
    <w:rsid w:val="00EE502D"/>
    <w:rsid w:val="00EE5162"/>
    <w:rsid w:val="00EE5255"/>
    <w:rsid w:val="00EE554A"/>
    <w:rsid w:val="00EE5634"/>
    <w:rsid w:val="00EE5695"/>
    <w:rsid w:val="00EE56D1"/>
    <w:rsid w:val="00EE5710"/>
    <w:rsid w:val="00EE57DB"/>
    <w:rsid w:val="00EE5801"/>
    <w:rsid w:val="00EE5879"/>
    <w:rsid w:val="00EE5ABB"/>
    <w:rsid w:val="00EE5B05"/>
    <w:rsid w:val="00EE5C91"/>
    <w:rsid w:val="00EE5D13"/>
    <w:rsid w:val="00EE5D86"/>
    <w:rsid w:val="00EE5F0F"/>
    <w:rsid w:val="00EE6010"/>
    <w:rsid w:val="00EE6081"/>
    <w:rsid w:val="00EE6168"/>
    <w:rsid w:val="00EE6181"/>
    <w:rsid w:val="00EE627F"/>
    <w:rsid w:val="00EE6351"/>
    <w:rsid w:val="00EE65A3"/>
    <w:rsid w:val="00EE65B7"/>
    <w:rsid w:val="00EE6951"/>
    <w:rsid w:val="00EE69BC"/>
    <w:rsid w:val="00EE69D2"/>
    <w:rsid w:val="00EE69FC"/>
    <w:rsid w:val="00EE6A25"/>
    <w:rsid w:val="00EE6AC1"/>
    <w:rsid w:val="00EE6AC5"/>
    <w:rsid w:val="00EE6B11"/>
    <w:rsid w:val="00EE6B46"/>
    <w:rsid w:val="00EE6B4A"/>
    <w:rsid w:val="00EE6BE3"/>
    <w:rsid w:val="00EE6CE9"/>
    <w:rsid w:val="00EE6F6E"/>
    <w:rsid w:val="00EE7060"/>
    <w:rsid w:val="00EE7062"/>
    <w:rsid w:val="00EE7236"/>
    <w:rsid w:val="00EE723C"/>
    <w:rsid w:val="00EE7310"/>
    <w:rsid w:val="00EE743C"/>
    <w:rsid w:val="00EE7505"/>
    <w:rsid w:val="00EE76A4"/>
    <w:rsid w:val="00EE77B2"/>
    <w:rsid w:val="00EE7805"/>
    <w:rsid w:val="00EE79B3"/>
    <w:rsid w:val="00EE79DD"/>
    <w:rsid w:val="00EE7A7E"/>
    <w:rsid w:val="00EE7B9F"/>
    <w:rsid w:val="00EE7D02"/>
    <w:rsid w:val="00EE7D81"/>
    <w:rsid w:val="00EE7F87"/>
    <w:rsid w:val="00EE7F89"/>
    <w:rsid w:val="00EE7F9E"/>
    <w:rsid w:val="00EF0091"/>
    <w:rsid w:val="00EF00D5"/>
    <w:rsid w:val="00EF0188"/>
    <w:rsid w:val="00EF01DC"/>
    <w:rsid w:val="00EF028B"/>
    <w:rsid w:val="00EF0294"/>
    <w:rsid w:val="00EF0354"/>
    <w:rsid w:val="00EF03D5"/>
    <w:rsid w:val="00EF03EA"/>
    <w:rsid w:val="00EF0490"/>
    <w:rsid w:val="00EF0530"/>
    <w:rsid w:val="00EF05F1"/>
    <w:rsid w:val="00EF0667"/>
    <w:rsid w:val="00EF06A5"/>
    <w:rsid w:val="00EF06AF"/>
    <w:rsid w:val="00EF0823"/>
    <w:rsid w:val="00EF096A"/>
    <w:rsid w:val="00EF0982"/>
    <w:rsid w:val="00EF0BC9"/>
    <w:rsid w:val="00EF0C26"/>
    <w:rsid w:val="00EF0CDF"/>
    <w:rsid w:val="00EF0D00"/>
    <w:rsid w:val="00EF0D67"/>
    <w:rsid w:val="00EF0E59"/>
    <w:rsid w:val="00EF0EEE"/>
    <w:rsid w:val="00EF0F12"/>
    <w:rsid w:val="00EF1045"/>
    <w:rsid w:val="00EF10BC"/>
    <w:rsid w:val="00EF10FC"/>
    <w:rsid w:val="00EF1317"/>
    <w:rsid w:val="00EF13AE"/>
    <w:rsid w:val="00EF1442"/>
    <w:rsid w:val="00EF1509"/>
    <w:rsid w:val="00EF1526"/>
    <w:rsid w:val="00EF170B"/>
    <w:rsid w:val="00EF17FD"/>
    <w:rsid w:val="00EF1804"/>
    <w:rsid w:val="00EF1842"/>
    <w:rsid w:val="00EF1AC9"/>
    <w:rsid w:val="00EF1B34"/>
    <w:rsid w:val="00EF1CBC"/>
    <w:rsid w:val="00EF1DDC"/>
    <w:rsid w:val="00EF1DF8"/>
    <w:rsid w:val="00EF1E0A"/>
    <w:rsid w:val="00EF1F53"/>
    <w:rsid w:val="00EF1FBA"/>
    <w:rsid w:val="00EF1FBD"/>
    <w:rsid w:val="00EF1FD1"/>
    <w:rsid w:val="00EF21DA"/>
    <w:rsid w:val="00EF2291"/>
    <w:rsid w:val="00EF2305"/>
    <w:rsid w:val="00EF239A"/>
    <w:rsid w:val="00EF285D"/>
    <w:rsid w:val="00EF2893"/>
    <w:rsid w:val="00EF2977"/>
    <w:rsid w:val="00EF2D43"/>
    <w:rsid w:val="00EF2E44"/>
    <w:rsid w:val="00EF2F54"/>
    <w:rsid w:val="00EF305E"/>
    <w:rsid w:val="00EF307E"/>
    <w:rsid w:val="00EF316B"/>
    <w:rsid w:val="00EF31A0"/>
    <w:rsid w:val="00EF3262"/>
    <w:rsid w:val="00EF3313"/>
    <w:rsid w:val="00EF33A6"/>
    <w:rsid w:val="00EF3652"/>
    <w:rsid w:val="00EF36E3"/>
    <w:rsid w:val="00EF3732"/>
    <w:rsid w:val="00EF3977"/>
    <w:rsid w:val="00EF39A0"/>
    <w:rsid w:val="00EF3A52"/>
    <w:rsid w:val="00EF3A66"/>
    <w:rsid w:val="00EF3A71"/>
    <w:rsid w:val="00EF3AA4"/>
    <w:rsid w:val="00EF3B13"/>
    <w:rsid w:val="00EF3C15"/>
    <w:rsid w:val="00EF3E13"/>
    <w:rsid w:val="00EF3EDC"/>
    <w:rsid w:val="00EF4000"/>
    <w:rsid w:val="00EF40BB"/>
    <w:rsid w:val="00EF4189"/>
    <w:rsid w:val="00EF446A"/>
    <w:rsid w:val="00EF45B5"/>
    <w:rsid w:val="00EF45BF"/>
    <w:rsid w:val="00EF45C7"/>
    <w:rsid w:val="00EF45FE"/>
    <w:rsid w:val="00EF4662"/>
    <w:rsid w:val="00EF47EE"/>
    <w:rsid w:val="00EF4829"/>
    <w:rsid w:val="00EF48A5"/>
    <w:rsid w:val="00EF4926"/>
    <w:rsid w:val="00EF49E5"/>
    <w:rsid w:val="00EF4A66"/>
    <w:rsid w:val="00EF4C17"/>
    <w:rsid w:val="00EF4C99"/>
    <w:rsid w:val="00EF4CEF"/>
    <w:rsid w:val="00EF4F21"/>
    <w:rsid w:val="00EF4F55"/>
    <w:rsid w:val="00EF5041"/>
    <w:rsid w:val="00EF50CD"/>
    <w:rsid w:val="00EF5146"/>
    <w:rsid w:val="00EF514E"/>
    <w:rsid w:val="00EF52E2"/>
    <w:rsid w:val="00EF52F3"/>
    <w:rsid w:val="00EF53F0"/>
    <w:rsid w:val="00EF56D8"/>
    <w:rsid w:val="00EF58F6"/>
    <w:rsid w:val="00EF5979"/>
    <w:rsid w:val="00EF59FB"/>
    <w:rsid w:val="00EF5A33"/>
    <w:rsid w:val="00EF5ADB"/>
    <w:rsid w:val="00EF5B53"/>
    <w:rsid w:val="00EF5BBF"/>
    <w:rsid w:val="00EF5C3A"/>
    <w:rsid w:val="00EF5CE9"/>
    <w:rsid w:val="00EF5DDA"/>
    <w:rsid w:val="00EF5E02"/>
    <w:rsid w:val="00EF5E0A"/>
    <w:rsid w:val="00EF5EA5"/>
    <w:rsid w:val="00EF5EFE"/>
    <w:rsid w:val="00EF5F7B"/>
    <w:rsid w:val="00EF5F81"/>
    <w:rsid w:val="00EF620A"/>
    <w:rsid w:val="00EF622A"/>
    <w:rsid w:val="00EF6255"/>
    <w:rsid w:val="00EF63E1"/>
    <w:rsid w:val="00EF641B"/>
    <w:rsid w:val="00EF641C"/>
    <w:rsid w:val="00EF65AF"/>
    <w:rsid w:val="00EF662C"/>
    <w:rsid w:val="00EF66DC"/>
    <w:rsid w:val="00EF6720"/>
    <w:rsid w:val="00EF6729"/>
    <w:rsid w:val="00EF68FD"/>
    <w:rsid w:val="00EF6A4F"/>
    <w:rsid w:val="00EF6AD3"/>
    <w:rsid w:val="00EF6B69"/>
    <w:rsid w:val="00EF6BF1"/>
    <w:rsid w:val="00EF6C85"/>
    <w:rsid w:val="00EF6D3F"/>
    <w:rsid w:val="00EF6DD0"/>
    <w:rsid w:val="00EF6E34"/>
    <w:rsid w:val="00EF6E4B"/>
    <w:rsid w:val="00EF6F54"/>
    <w:rsid w:val="00EF6F84"/>
    <w:rsid w:val="00EF7089"/>
    <w:rsid w:val="00EF70C5"/>
    <w:rsid w:val="00EF7123"/>
    <w:rsid w:val="00EF7133"/>
    <w:rsid w:val="00EF71E3"/>
    <w:rsid w:val="00EF737B"/>
    <w:rsid w:val="00EF74B1"/>
    <w:rsid w:val="00EF7529"/>
    <w:rsid w:val="00EF755C"/>
    <w:rsid w:val="00EF7572"/>
    <w:rsid w:val="00EF75D7"/>
    <w:rsid w:val="00EF7685"/>
    <w:rsid w:val="00EF7899"/>
    <w:rsid w:val="00EF789B"/>
    <w:rsid w:val="00EF7A65"/>
    <w:rsid w:val="00EF7A7E"/>
    <w:rsid w:val="00EF7C02"/>
    <w:rsid w:val="00EF7C6F"/>
    <w:rsid w:val="00EF7D24"/>
    <w:rsid w:val="00EF7D51"/>
    <w:rsid w:val="00EF7E7A"/>
    <w:rsid w:val="00EF7E8E"/>
    <w:rsid w:val="00EF7EE7"/>
    <w:rsid w:val="00EF7F1F"/>
    <w:rsid w:val="00F000EE"/>
    <w:rsid w:val="00F00151"/>
    <w:rsid w:val="00F001C7"/>
    <w:rsid w:val="00F00372"/>
    <w:rsid w:val="00F003DB"/>
    <w:rsid w:val="00F003EB"/>
    <w:rsid w:val="00F00517"/>
    <w:rsid w:val="00F005AC"/>
    <w:rsid w:val="00F0062E"/>
    <w:rsid w:val="00F00667"/>
    <w:rsid w:val="00F0073C"/>
    <w:rsid w:val="00F0076C"/>
    <w:rsid w:val="00F00875"/>
    <w:rsid w:val="00F00959"/>
    <w:rsid w:val="00F009FB"/>
    <w:rsid w:val="00F00A05"/>
    <w:rsid w:val="00F00BB3"/>
    <w:rsid w:val="00F00BB8"/>
    <w:rsid w:val="00F00C63"/>
    <w:rsid w:val="00F00E80"/>
    <w:rsid w:val="00F00F9A"/>
    <w:rsid w:val="00F01340"/>
    <w:rsid w:val="00F01345"/>
    <w:rsid w:val="00F0138D"/>
    <w:rsid w:val="00F01441"/>
    <w:rsid w:val="00F01466"/>
    <w:rsid w:val="00F01497"/>
    <w:rsid w:val="00F014F2"/>
    <w:rsid w:val="00F015F2"/>
    <w:rsid w:val="00F01682"/>
    <w:rsid w:val="00F01771"/>
    <w:rsid w:val="00F01819"/>
    <w:rsid w:val="00F01822"/>
    <w:rsid w:val="00F018AA"/>
    <w:rsid w:val="00F018D2"/>
    <w:rsid w:val="00F019D9"/>
    <w:rsid w:val="00F01A5E"/>
    <w:rsid w:val="00F01C70"/>
    <w:rsid w:val="00F01CBA"/>
    <w:rsid w:val="00F01CCB"/>
    <w:rsid w:val="00F01CF5"/>
    <w:rsid w:val="00F01D61"/>
    <w:rsid w:val="00F01DA0"/>
    <w:rsid w:val="00F01DE1"/>
    <w:rsid w:val="00F01E42"/>
    <w:rsid w:val="00F01E88"/>
    <w:rsid w:val="00F0225F"/>
    <w:rsid w:val="00F022AF"/>
    <w:rsid w:val="00F022E3"/>
    <w:rsid w:val="00F0233C"/>
    <w:rsid w:val="00F02431"/>
    <w:rsid w:val="00F0246F"/>
    <w:rsid w:val="00F024A9"/>
    <w:rsid w:val="00F0256F"/>
    <w:rsid w:val="00F0259A"/>
    <w:rsid w:val="00F026F4"/>
    <w:rsid w:val="00F02716"/>
    <w:rsid w:val="00F02732"/>
    <w:rsid w:val="00F0293D"/>
    <w:rsid w:val="00F02A5B"/>
    <w:rsid w:val="00F02ABF"/>
    <w:rsid w:val="00F02BD4"/>
    <w:rsid w:val="00F02C69"/>
    <w:rsid w:val="00F02D49"/>
    <w:rsid w:val="00F02EB2"/>
    <w:rsid w:val="00F02F4C"/>
    <w:rsid w:val="00F03140"/>
    <w:rsid w:val="00F0314B"/>
    <w:rsid w:val="00F03189"/>
    <w:rsid w:val="00F032B3"/>
    <w:rsid w:val="00F03388"/>
    <w:rsid w:val="00F03614"/>
    <w:rsid w:val="00F0362D"/>
    <w:rsid w:val="00F03657"/>
    <w:rsid w:val="00F036A1"/>
    <w:rsid w:val="00F0370D"/>
    <w:rsid w:val="00F03766"/>
    <w:rsid w:val="00F037C5"/>
    <w:rsid w:val="00F0391F"/>
    <w:rsid w:val="00F03961"/>
    <w:rsid w:val="00F03C14"/>
    <w:rsid w:val="00F03CB4"/>
    <w:rsid w:val="00F03D05"/>
    <w:rsid w:val="00F03DE7"/>
    <w:rsid w:val="00F04018"/>
    <w:rsid w:val="00F040DE"/>
    <w:rsid w:val="00F0416D"/>
    <w:rsid w:val="00F042EA"/>
    <w:rsid w:val="00F043C2"/>
    <w:rsid w:val="00F04415"/>
    <w:rsid w:val="00F04564"/>
    <w:rsid w:val="00F04582"/>
    <w:rsid w:val="00F0467C"/>
    <w:rsid w:val="00F04753"/>
    <w:rsid w:val="00F04803"/>
    <w:rsid w:val="00F04921"/>
    <w:rsid w:val="00F04951"/>
    <w:rsid w:val="00F04994"/>
    <w:rsid w:val="00F04A5F"/>
    <w:rsid w:val="00F04AA1"/>
    <w:rsid w:val="00F04C13"/>
    <w:rsid w:val="00F04C9D"/>
    <w:rsid w:val="00F04CAC"/>
    <w:rsid w:val="00F04CF5"/>
    <w:rsid w:val="00F04D0A"/>
    <w:rsid w:val="00F04D79"/>
    <w:rsid w:val="00F04DA3"/>
    <w:rsid w:val="00F04EF1"/>
    <w:rsid w:val="00F05078"/>
    <w:rsid w:val="00F05141"/>
    <w:rsid w:val="00F051DE"/>
    <w:rsid w:val="00F05211"/>
    <w:rsid w:val="00F053B3"/>
    <w:rsid w:val="00F053B7"/>
    <w:rsid w:val="00F054BE"/>
    <w:rsid w:val="00F054C6"/>
    <w:rsid w:val="00F0551B"/>
    <w:rsid w:val="00F05528"/>
    <w:rsid w:val="00F05563"/>
    <w:rsid w:val="00F05566"/>
    <w:rsid w:val="00F055F2"/>
    <w:rsid w:val="00F055FF"/>
    <w:rsid w:val="00F0577E"/>
    <w:rsid w:val="00F05846"/>
    <w:rsid w:val="00F05861"/>
    <w:rsid w:val="00F058CD"/>
    <w:rsid w:val="00F05951"/>
    <w:rsid w:val="00F05B61"/>
    <w:rsid w:val="00F05C36"/>
    <w:rsid w:val="00F05E25"/>
    <w:rsid w:val="00F05EEB"/>
    <w:rsid w:val="00F05EFD"/>
    <w:rsid w:val="00F05F16"/>
    <w:rsid w:val="00F05F94"/>
    <w:rsid w:val="00F060A5"/>
    <w:rsid w:val="00F060F1"/>
    <w:rsid w:val="00F0612D"/>
    <w:rsid w:val="00F06143"/>
    <w:rsid w:val="00F06146"/>
    <w:rsid w:val="00F06158"/>
    <w:rsid w:val="00F062F3"/>
    <w:rsid w:val="00F0635B"/>
    <w:rsid w:val="00F06394"/>
    <w:rsid w:val="00F06502"/>
    <w:rsid w:val="00F0658A"/>
    <w:rsid w:val="00F065A1"/>
    <w:rsid w:val="00F066E1"/>
    <w:rsid w:val="00F06708"/>
    <w:rsid w:val="00F06733"/>
    <w:rsid w:val="00F06735"/>
    <w:rsid w:val="00F06740"/>
    <w:rsid w:val="00F06747"/>
    <w:rsid w:val="00F069E5"/>
    <w:rsid w:val="00F06A32"/>
    <w:rsid w:val="00F06B1E"/>
    <w:rsid w:val="00F06BB8"/>
    <w:rsid w:val="00F06BE4"/>
    <w:rsid w:val="00F06C6B"/>
    <w:rsid w:val="00F06D03"/>
    <w:rsid w:val="00F06D76"/>
    <w:rsid w:val="00F06E1E"/>
    <w:rsid w:val="00F06F04"/>
    <w:rsid w:val="00F06F4D"/>
    <w:rsid w:val="00F06F70"/>
    <w:rsid w:val="00F06F99"/>
    <w:rsid w:val="00F07074"/>
    <w:rsid w:val="00F07096"/>
    <w:rsid w:val="00F0721D"/>
    <w:rsid w:val="00F0734D"/>
    <w:rsid w:val="00F0735A"/>
    <w:rsid w:val="00F074A3"/>
    <w:rsid w:val="00F074C1"/>
    <w:rsid w:val="00F0754C"/>
    <w:rsid w:val="00F07553"/>
    <w:rsid w:val="00F07661"/>
    <w:rsid w:val="00F0770C"/>
    <w:rsid w:val="00F07758"/>
    <w:rsid w:val="00F077CA"/>
    <w:rsid w:val="00F077E7"/>
    <w:rsid w:val="00F078E6"/>
    <w:rsid w:val="00F0790D"/>
    <w:rsid w:val="00F07929"/>
    <w:rsid w:val="00F0797C"/>
    <w:rsid w:val="00F0798A"/>
    <w:rsid w:val="00F07A87"/>
    <w:rsid w:val="00F07AC7"/>
    <w:rsid w:val="00F07B11"/>
    <w:rsid w:val="00F07BCB"/>
    <w:rsid w:val="00F07C1C"/>
    <w:rsid w:val="00F07DD9"/>
    <w:rsid w:val="00F07E61"/>
    <w:rsid w:val="00F07F74"/>
    <w:rsid w:val="00F07FE6"/>
    <w:rsid w:val="00F07FF1"/>
    <w:rsid w:val="00F10000"/>
    <w:rsid w:val="00F10021"/>
    <w:rsid w:val="00F100E1"/>
    <w:rsid w:val="00F10148"/>
    <w:rsid w:val="00F101F9"/>
    <w:rsid w:val="00F102A7"/>
    <w:rsid w:val="00F102E8"/>
    <w:rsid w:val="00F10338"/>
    <w:rsid w:val="00F10358"/>
    <w:rsid w:val="00F104D0"/>
    <w:rsid w:val="00F106D5"/>
    <w:rsid w:val="00F107AC"/>
    <w:rsid w:val="00F107BC"/>
    <w:rsid w:val="00F107BD"/>
    <w:rsid w:val="00F10828"/>
    <w:rsid w:val="00F1095C"/>
    <w:rsid w:val="00F10A38"/>
    <w:rsid w:val="00F10A55"/>
    <w:rsid w:val="00F10A68"/>
    <w:rsid w:val="00F10B2D"/>
    <w:rsid w:val="00F10BA9"/>
    <w:rsid w:val="00F10C2F"/>
    <w:rsid w:val="00F10CF4"/>
    <w:rsid w:val="00F10D8D"/>
    <w:rsid w:val="00F10DEB"/>
    <w:rsid w:val="00F10E6A"/>
    <w:rsid w:val="00F10F5C"/>
    <w:rsid w:val="00F10F6F"/>
    <w:rsid w:val="00F10FC9"/>
    <w:rsid w:val="00F11066"/>
    <w:rsid w:val="00F11090"/>
    <w:rsid w:val="00F110C7"/>
    <w:rsid w:val="00F110EF"/>
    <w:rsid w:val="00F11317"/>
    <w:rsid w:val="00F1134D"/>
    <w:rsid w:val="00F113CA"/>
    <w:rsid w:val="00F113EB"/>
    <w:rsid w:val="00F1143B"/>
    <w:rsid w:val="00F11447"/>
    <w:rsid w:val="00F1144F"/>
    <w:rsid w:val="00F11459"/>
    <w:rsid w:val="00F11551"/>
    <w:rsid w:val="00F1158F"/>
    <w:rsid w:val="00F11690"/>
    <w:rsid w:val="00F119D5"/>
    <w:rsid w:val="00F11AD9"/>
    <w:rsid w:val="00F11BBC"/>
    <w:rsid w:val="00F11CEC"/>
    <w:rsid w:val="00F11EE8"/>
    <w:rsid w:val="00F11F6C"/>
    <w:rsid w:val="00F11F76"/>
    <w:rsid w:val="00F120A3"/>
    <w:rsid w:val="00F1210D"/>
    <w:rsid w:val="00F12125"/>
    <w:rsid w:val="00F12137"/>
    <w:rsid w:val="00F122A4"/>
    <w:rsid w:val="00F122B7"/>
    <w:rsid w:val="00F122C6"/>
    <w:rsid w:val="00F1234F"/>
    <w:rsid w:val="00F12364"/>
    <w:rsid w:val="00F12435"/>
    <w:rsid w:val="00F1248C"/>
    <w:rsid w:val="00F124B7"/>
    <w:rsid w:val="00F125B8"/>
    <w:rsid w:val="00F12699"/>
    <w:rsid w:val="00F1270F"/>
    <w:rsid w:val="00F127F5"/>
    <w:rsid w:val="00F12867"/>
    <w:rsid w:val="00F129D8"/>
    <w:rsid w:val="00F12BCB"/>
    <w:rsid w:val="00F12FD3"/>
    <w:rsid w:val="00F1313A"/>
    <w:rsid w:val="00F132B8"/>
    <w:rsid w:val="00F13301"/>
    <w:rsid w:val="00F13347"/>
    <w:rsid w:val="00F1339E"/>
    <w:rsid w:val="00F13460"/>
    <w:rsid w:val="00F13598"/>
    <w:rsid w:val="00F1360F"/>
    <w:rsid w:val="00F13629"/>
    <w:rsid w:val="00F13665"/>
    <w:rsid w:val="00F137C0"/>
    <w:rsid w:val="00F1385F"/>
    <w:rsid w:val="00F139A8"/>
    <w:rsid w:val="00F139DF"/>
    <w:rsid w:val="00F13A6F"/>
    <w:rsid w:val="00F13A91"/>
    <w:rsid w:val="00F13BF0"/>
    <w:rsid w:val="00F13C39"/>
    <w:rsid w:val="00F13C4A"/>
    <w:rsid w:val="00F13C4D"/>
    <w:rsid w:val="00F13C8F"/>
    <w:rsid w:val="00F13D40"/>
    <w:rsid w:val="00F14055"/>
    <w:rsid w:val="00F14131"/>
    <w:rsid w:val="00F141C7"/>
    <w:rsid w:val="00F14338"/>
    <w:rsid w:val="00F1434A"/>
    <w:rsid w:val="00F1445E"/>
    <w:rsid w:val="00F14521"/>
    <w:rsid w:val="00F14533"/>
    <w:rsid w:val="00F145FB"/>
    <w:rsid w:val="00F14645"/>
    <w:rsid w:val="00F146D9"/>
    <w:rsid w:val="00F1478A"/>
    <w:rsid w:val="00F148AC"/>
    <w:rsid w:val="00F148AD"/>
    <w:rsid w:val="00F149B0"/>
    <w:rsid w:val="00F14B75"/>
    <w:rsid w:val="00F14BFC"/>
    <w:rsid w:val="00F14D44"/>
    <w:rsid w:val="00F14DFB"/>
    <w:rsid w:val="00F14E25"/>
    <w:rsid w:val="00F14EA2"/>
    <w:rsid w:val="00F14F5E"/>
    <w:rsid w:val="00F150CB"/>
    <w:rsid w:val="00F15155"/>
    <w:rsid w:val="00F151A9"/>
    <w:rsid w:val="00F151CD"/>
    <w:rsid w:val="00F1522E"/>
    <w:rsid w:val="00F15231"/>
    <w:rsid w:val="00F1532D"/>
    <w:rsid w:val="00F153C7"/>
    <w:rsid w:val="00F153CD"/>
    <w:rsid w:val="00F1541A"/>
    <w:rsid w:val="00F15475"/>
    <w:rsid w:val="00F154F3"/>
    <w:rsid w:val="00F1557F"/>
    <w:rsid w:val="00F1579B"/>
    <w:rsid w:val="00F157DF"/>
    <w:rsid w:val="00F1585B"/>
    <w:rsid w:val="00F1586B"/>
    <w:rsid w:val="00F1587A"/>
    <w:rsid w:val="00F15892"/>
    <w:rsid w:val="00F158EC"/>
    <w:rsid w:val="00F15A52"/>
    <w:rsid w:val="00F15AFB"/>
    <w:rsid w:val="00F15CEA"/>
    <w:rsid w:val="00F15D3B"/>
    <w:rsid w:val="00F15D79"/>
    <w:rsid w:val="00F15E47"/>
    <w:rsid w:val="00F15F46"/>
    <w:rsid w:val="00F15FD3"/>
    <w:rsid w:val="00F15FE7"/>
    <w:rsid w:val="00F16035"/>
    <w:rsid w:val="00F1610C"/>
    <w:rsid w:val="00F1634F"/>
    <w:rsid w:val="00F163CD"/>
    <w:rsid w:val="00F165D2"/>
    <w:rsid w:val="00F166B0"/>
    <w:rsid w:val="00F16890"/>
    <w:rsid w:val="00F168CC"/>
    <w:rsid w:val="00F168E1"/>
    <w:rsid w:val="00F16928"/>
    <w:rsid w:val="00F16A1C"/>
    <w:rsid w:val="00F16AED"/>
    <w:rsid w:val="00F16C73"/>
    <w:rsid w:val="00F16D64"/>
    <w:rsid w:val="00F16E57"/>
    <w:rsid w:val="00F16E8E"/>
    <w:rsid w:val="00F16F77"/>
    <w:rsid w:val="00F17024"/>
    <w:rsid w:val="00F1702E"/>
    <w:rsid w:val="00F171B9"/>
    <w:rsid w:val="00F171C0"/>
    <w:rsid w:val="00F1722D"/>
    <w:rsid w:val="00F1734E"/>
    <w:rsid w:val="00F17360"/>
    <w:rsid w:val="00F173EB"/>
    <w:rsid w:val="00F17468"/>
    <w:rsid w:val="00F175D0"/>
    <w:rsid w:val="00F17687"/>
    <w:rsid w:val="00F17712"/>
    <w:rsid w:val="00F177C0"/>
    <w:rsid w:val="00F17896"/>
    <w:rsid w:val="00F178DA"/>
    <w:rsid w:val="00F179AA"/>
    <w:rsid w:val="00F17A37"/>
    <w:rsid w:val="00F17A82"/>
    <w:rsid w:val="00F17BFE"/>
    <w:rsid w:val="00F17C0F"/>
    <w:rsid w:val="00F17E32"/>
    <w:rsid w:val="00F17E8A"/>
    <w:rsid w:val="00F17F96"/>
    <w:rsid w:val="00F200A6"/>
    <w:rsid w:val="00F200F1"/>
    <w:rsid w:val="00F202BE"/>
    <w:rsid w:val="00F202E4"/>
    <w:rsid w:val="00F20306"/>
    <w:rsid w:val="00F2053A"/>
    <w:rsid w:val="00F20554"/>
    <w:rsid w:val="00F20653"/>
    <w:rsid w:val="00F2073C"/>
    <w:rsid w:val="00F2074E"/>
    <w:rsid w:val="00F2078F"/>
    <w:rsid w:val="00F20846"/>
    <w:rsid w:val="00F209A3"/>
    <w:rsid w:val="00F209C3"/>
    <w:rsid w:val="00F209DF"/>
    <w:rsid w:val="00F20A63"/>
    <w:rsid w:val="00F20AEC"/>
    <w:rsid w:val="00F20AF7"/>
    <w:rsid w:val="00F20B28"/>
    <w:rsid w:val="00F20B9B"/>
    <w:rsid w:val="00F20CB4"/>
    <w:rsid w:val="00F20CDB"/>
    <w:rsid w:val="00F20D82"/>
    <w:rsid w:val="00F20D97"/>
    <w:rsid w:val="00F20E95"/>
    <w:rsid w:val="00F20FCE"/>
    <w:rsid w:val="00F21208"/>
    <w:rsid w:val="00F21228"/>
    <w:rsid w:val="00F21296"/>
    <w:rsid w:val="00F212AC"/>
    <w:rsid w:val="00F21384"/>
    <w:rsid w:val="00F214D3"/>
    <w:rsid w:val="00F2166D"/>
    <w:rsid w:val="00F216AF"/>
    <w:rsid w:val="00F21724"/>
    <w:rsid w:val="00F21767"/>
    <w:rsid w:val="00F217E4"/>
    <w:rsid w:val="00F21BDE"/>
    <w:rsid w:val="00F21BE7"/>
    <w:rsid w:val="00F21C09"/>
    <w:rsid w:val="00F21CD4"/>
    <w:rsid w:val="00F21D4E"/>
    <w:rsid w:val="00F21EB0"/>
    <w:rsid w:val="00F21ED3"/>
    <w:rsid w:val="00F21EF0"/>
    <w:rsid w:val="00F21F8D"/>
    <w:rsid w:val="00F220DE"/>
    <w:rsid w:val="00F22221"/>
    <w:rsid w:val="00F22281"/>
    <w:rsid w:val="00F222D9"/>
    <w:rsid w:val="00F22331"/>
    <w:rsid w:val="00F22436"/>
    <w:rsid w:val="00F22553"/>
    <w:rsid w:val="00F22574"/>
    <w:rsid w:val="00F225A3"/>
    <w:rsid w:val="00F225DA"/>
    <w:rsid w:val="00F22658"/>
    <w:rsid w:val="00F22874"/>
    <w:rsid w:val="00F22876"/>
    <w:rsid w:val="00F228C7"/>
    <w:rsid w:val="00F22961"/>
    <w:rsid w:val="00F229EE"/>
    <w:rsid w:val="00F22A20"/>
    <w:rsid w:val="00F22B0A"/>
    <w:rsid w:val="00F22BCF"/>
    <w:rsid w:val="00F22C2B"/>
    <w:rsid w:val="00F22DA9"/>
    <w:rsid w:val="00F22DD0"/>
    <w:rsid w:val="00F22E0B"/>
    <w:rsid w:val="00F22EA1"/>
    <w:rsid w:val="00F230AA"/>
    <w:rsid w:val="00F2311B"/>
    <w:rsid w:val="00F23167"/>
    <w:rsid w:val="00F23180"/>
    <w:rsid w:val="00F232AC"/>
    <w:rsid w:val="00F23367"/>
    <w:rsid w:val="00F233C3"/>
    <w:rsid w:val="00F233D6"/>
    <w:rsid w:val="00F233F1"/>
    <w:rsid w:val="00F23474"/>
    <w:rsid w:val="00F237C3"/>
    <w:rsid w:val="00F2390C"/>
    <w:rsid w:val="00F239A6"/>
    <w:rsid w:val="00F23B86"/>
    <w:rsid w:val="00F23B90"/>
    <w:rsid w:val="00F23BFB"/>
    <w:rsid w:val="00F23C27"/>
    <w:rsid w:val="00F23D60"/>
    <w:rsid w:val="00F23DCC"/>
    <w:rsid w:val="00F23E39"/>
    <w:rsid w:val="00F23E45"/>
    <w:rsid w:val="00F23F4C"/>
    <w:rsid w:val="00F23FE1"/>
    <w:rsid w:val="00F2402C"/>
    <w:rsid w:val="00F24118"/>
    <w:rsid w:val="00F242B6"/>
    <w:rsid w:val="00F24300"/>
    <w:rsid w:val="00F2433D"/>
    <w:rsid w:val="00F243C5"/>
    <w:rsid w:val="00F244B2"/>
    <w:rsid w:val="00F24541"/>
    <w:rsid w:val="00F24660"/>
    <w:rsid w:val="00F246A6"/>
    <w:rsid w:val="00F2470F"/>
    <w:rsid w:val="00F2483B"/>
    <w:rsid w:val="00F24866"/>
    <w:rsid w:val="00F248A6"/>
    <w:rsid w:val="00F248AF"/>
    <w:rsid w:val="00F24929"/>
    <w:rsid w:val="00F2495E"/>
    <w:rsid w:val="00F24A6F"/>
    <w:rsid w:val="00F24A92"/>
    <w:rsid w:val="00F24ABF"/>
    <w:rsid w:val="00F24B15"/>
    <w:rsid w:val="00F24C7A"/>
    <w:rsid w:val="00F24D21"/>
    <w:rsid w:val="00F24DCB"/>
    <w:rsid w:val="00F24F35"/>
    <w:rsid w:val="00F24F65"/>
    <w:rsid w:val="00F25032"/>
    <w:rsid w:val="00F25040"/>
    <w:rsid w:val="00F2513D"/>
    <w:rsid w:val="00F251A8"/>
    <w:rsid w:val="00F252D9"/>
    <w:rsid w:val="00F25494"/>
    <w:rsid w:val="00F2571B"/>
    <w:rsid w:val="00F257EB"/>
    <w:rsid w:val="00F25845"/>
    <w:rsid w:val="00F258C5"/>
    <w:rsid w:val="00F25913"/>
    <w:rsid w:val="00F2597F"/>
    <w:rsid w:val="00F25A38"/>
    <w:rsid w:val="00F25A42"/>
    <w:rsid w:val="00F25A65"/>
    <w:rsid w:val="00F25B64"/>
    <w:rsid w:val="00F25BC5"/>
    <w:rsid w:val="00F25C1E"/>
    <w:rsid w:val="00F25C2A"/>
    <w:rsid w:val="00F25E61"/>
    <w:rsid w:val="00F25F7F"/>
    <w:rsid w:val="00F25FF2"/>
    <w:rsid w:val="00F2600A"/>
    <w:rsid w:val="00F2605B"/>
    <w:rsid w:val="00F260B0"/>
    <w:rsid w:val="00F261DD"/>
    <w:rsid w:val="00F263B0"/>
    <w:rsid w:val="00F263C2"/>
    <w:rsid w:val="00F263FF"/>
    <w:rsid w:val="00F26511"/>
    <w:rsid w:val="00F2661F"/>
    <w:rsid w:val="00F26718"/>
    <w:rsid w:val="00F2676E"/>
    <w:rsid w:val="00F267BC"/>
    <w:rsid w:val="00F268CE"/>
    <w:rsid w:val="00F2691C"/>
    <w:rsid w:val="00F26A5A"/>
    <w:rsid w:val="00F26AB6"/>
    <w:rsid w:val="00F26B2C"/>
    <w:rsid w:val="00F26C6A"/>
    <w:rsid w:val="00F26C9D"/>
    <w:rsid w:val="00F26CC7"/>
    <w:rsid w:val="00F26D81"/>
    <w:rsid w:val="00F26F82"/>
    <w:rsid w:val="00F270F2"/>
    <w:rsid w:val="00F270FD"/>
    <w:rsid w:val="00F2712B"/>
    <w:rsid w:val="00F27247"/>
    <w:rsid w:val="00F27254"/>
    <w:rsid w:val="00F27299"/>
    <w:rsid w:val="00F2732C"/>
    <w:rsid w:val="00F27383"/>
    <w:rsid w:val="00F2744D"/>
    <w:rsid w:val="00F27450"/>
    <w:rsid w:val="00F27478"/>
    <w:rsid w:val="00F27487"/>
    <w:rsid w:val="00F276C5"/>
    <w:rsid w:val="00F27749"/>
    <w:rsid w:val="00F2779C"/>
    <w:rsid w:val="00F277D8"/>
    <w:rsid w:val="00F27B14"/>
    <w:rsid w:val="00F27B17"/>
    <w:rsid w:val="00F27BAA"/>
    <w:rsid w:val="00F27CAA"/>
    <w:rsid w:val="00F27D30"/>
    <w:rsid w:val="00F27D82"/>
    <w:rsid w:val="00F27DAE"/>
    <w:rsid w:val="00F27DB2"/>
    <w:rsid w:val="00F27DCF"/>
    <w:rsid w:val="00F27E5B"/>
    <w:rsid w:val="00F27ED4"/>
    <w:rsid w:val="00F27FB4"/>
    <w:rsid w:val="00F30020"/>
    <w:rsid w:val="00F3002C"/>
    <w:rsid w:val="00F30043"/>
    <w:rsid w:val="00F300E8"/>
    <w:rsid w:val="00F301A3"/>
    <w:rsid w:val="00F301C5"/>
    <w:rsid w:val="00F30204"/>
    <w:rsid w:val="00F30260"/>
    <w:rsid w:val="00F30290"/>
    <w:rsid w:val="00F30552"/>
    <w:rsid w:val="00F30725"/>
    <w:rsid w:val="00F30893"/>
    <w:rsid w:val="00F30947"/>
    <w:rsid w:val="00F30A99"/>
    <w:rsid w:val="00F30C21"/>
    <w:rsid w:val="00F30C3A"/>
    <w:rsid w:val="00F30CD5"/>
    <w:rsid w:val="00F30DDB"/>
    <w:rsid w:val="00F30E17"/>
    <w:rsid w:val="00F30E61"/>
    <w:rsid w:val="00F30E6E"/>
    <w:rsid w:val="00F30E98"/>
    <w:rsid w:val="00F30FEB"/>
    <w:rsid w:val="00F310A5"/>
    <w:rsid w:val="00F31121"/>
    <w:rsid w:val="00F311FE"/>
    <w:rsid w:val="00F31416"/>
    <w:rsid w:val="00F314AF"/>
    <w:rsid w:val="00F314D9"/>
    <w:rsid w:val="00F315AE"/>
    <w:rsid w:val="00F317BA"/>
    <w:rsid w:val="00F31929"/>
    <w:rsid w:val="00F319C0"/>
    <w:rsid w:val="00F31A8F"/>
    <w:rsid w:val="00F31AB1"/>
    <w:rsid w:val="00F31D92"/>
    <w:rsid w:val="00F31DDB"/>
    <w:rsid w:val="00F31E53"/>
    <w:rsid w:val="00F31EA0"/>
    <w:rsid w:val="00F31F43"/>
    <w:rsid w:val="00F31FBC"/>
    <w:rsid w:val="00F32049"/>
    <w:rsid w:val="00F3208E"/>
    <w:rsid w:val="00F32090"/>
    <w:rsid w:val="00F3212F"/>
    <w:rsid w:val="00F3218C"/>
    <w:rsid w:val="00F3220B"/>
    <w:rsid w:val="00F32302"/>
    <w:rsid w:val="00F32391"/>
    <w:rsid w:val="00F325DA"/>
    <w:rsid w:val="00F325DC"/>
    <w:rsid w:val="00F32626"/>
    <w:rsid w:val="00F327C4"/>
    <w:rsid w:val="00F32836"/>
    <w:rsid w:val="00F32879"/>
    <w:rsid w:val="00F328C2"/>
    <w:rsid w:val="00F32926"/>
    <w:rsid w:val="00F32A34"/>
    <w:rsid w:val="00F32BA5"/>
    <w:rsid w:val="00F32C17"/>
    <w:rsid w:val="00F32C6D"/>
    <w:rsid w:val="00F32C80"/>
    <w:rsid w:val="00F32D06"/>
    <w:rsid w:val="00F32DC1"/>
    <w:rsid w:val="00F32DD3"/>
    <w:rsid w:val="00F32DF7"/>
    <w:rsid w:val="00F32E36"/>
    <w:rsid w:val="00F32EE9"/>
    <w:rsid w:val="00F33011"/>
    <w:rsid w:val="00F331BC"/>
    <w:rsid w:val="00F331C3"/>
    <w:rsid w:val="00F331DE"/>
    <w:rsid w:val="00F332D6"/>
    <w:rsid w:val="00F33346"/>
    <w:rsid w:val="00F33388"/>
    <w:rsid w:val="00F33432"/>
    <w:rsid w:val="00F3344F"/>
    <w:rsid w:val="00F3347A"/>
    <w:rsid w:val="00F335CC"/>
    <w:rsid w:val="00F3370A"/>
    <w:rsid w:val="00F338DE"/>
    <w:rsid w:val="00F338EB"/>
    <w:rsid w:val="00F339B6"/>
    <w:rsid w:val="00F33AB4"/>
    <w:rsid w:val="00F33B5F"/>
    <w:rsid w:val="00F33B83"/>
    <w:rsid w:val="00F33C17"/>
    <w:rsid w:val="00F33C34"/>
    <w:rsid w:val="00F33C6C"/>
    <w:rsid w:val="00F33D3B"/>
    <w:rsid w:val="00F33FC5"/>
    <w:rsid w:val="00F33FCC"/>
    <w:rsid w:val="00F33FF7"/>
    <w:rsid w:val="00F34077"/>
    <w:rsid w:val="00F34081"/>
    <w:rsid w:val="00F341BC"/>
    <w:rsid w:val="00F3424A"/>
    <w:rsid w:val="00F3425C"/>
    <w:rsid w:val="00F342B3"/>
    <w:rsid w:val="00F342C3"/>
    <w:rsid w:val="00F34370"/>
    <w:rsid w:val="00F3442D"/>
    <w:rsid w:val="00F34436"/>
    <w:rsid w:val="00F34465"/>
    <w:rsid w:val="00F344B3"/>
    <w:rsid w:val="00F344BB"/>
    <w:rsid w:val="00F344E9"/>
    <w:rsid w:val="00F34574"/>
    <w:rsid w:val="00F345A2"/>
    <w:rsid w:val="00F345C0"/>
    <w:rsid w:val="00F34682"/>
    <w:rsid w:val="00F3477A"/>
    <w:rsid w:val="00F348A2"/>
    <w:rsid w:val="00F34922"/>
    <w:rsid w:val="00F34B03"/>
    <w:rsid w:val="00F34B4E"/>
    <w:rsid w:val="00F34C88"/>
    <w:rsid w:val="00F34C9B"/>
    <w:rsid w:val="00F34DB1"/>
    <w:rsid w:val="00F34F5D"/>
    <w:rsid w:val="00F34F65"/>
    <w:rsid w:val="00F350BE"/>
    <w:rsid w:val="00F350E6"/>
    <w:rsid w:val="00F35485"/>
    <w:rsid w:val="00F354C6"/>
    <w:rsid w:val="00F35579"/>
    <w:rsid w:val="00F356B8"/>
    <w:rsid w:val="00F3581E"/>
    <w:rsid w:val="00F35925"/>
    <w:rsid w:val="00F35B2D"/>
    <w:rsid w:val="00F35BC3"/>
    <w:rsid w:val="00F35E8F"/>
    <w:rsid w:val="00F35E97"/>
    <w:rsid w:val="00F35E9D"/>
    <w:rsid w:val="00F35F7C"/>
    <w:rsid w:val="00F35F7E"/>
    <w:rsid w:val="00F36053"/>
    <w:rsid w:val="00F36065"/>
    <w:rsid w:val="00F3617A"/>
    <w:rsid w:val="00F3617E"/>
    <w:rsid w:val="00F361EB"/>
    <w:rsid w:val="00F362D8"/>
    <w:rsid w:val="00F362EE"/>
    <w:rsid w:val="00F3635A"/>
    <w:rsid w:val="00F36465"/>
    <w:rsid w:val="00F3648A"/>
    <w:rsid w:val="00F364D1"/>
    <w:rsid w:val="00F364F5"/>
    <w:rsid w:val="00F3650D"/>
    <w:rsid w:val="00F36596"/>
    <w:rsid w:val="00F365F2"/>
    <w:rsid w:val="00F3662D"/>
    <w:rsid w:val="00F36633"/>
    <w:rsid w:val="00F36855"/>
    <w:rsid w:val="00F3686F"/>
    <w:rsid w:val="00F3690B"/>
    <w:rsid w:val="00F36913"/>
    <w:rsid w:val="00F36921"/>
    <w:rsid w:val="00F36AF7"/>
    <w:rsid w:val="00F36BE5"/>
    <w:rsid w:val="00F36CE5"/>
    <w:rsid w:val="00F36EDB"/>
    <w:rsid w:val="00F36F94"/>
    <w:rsid w:val="00F36FAB"/>
    <w:rsid w:val="00F36FD5"/>
    <w:rsid w:val="00F37109"/>
    <w:rsid w:val="00F37427"/>
    <w:rsid w:val="00F374B9"/>
    <w:rsid w:val="00F3756C"/>
    <w:rsid w:val="00F3765B"/>
    <w:rsid w:val="00F376E6"/>
    <w:rsid w:val="00F376F8"/>
    <w:rsid w:val="00F3777A"/>
    <w:rsid w:val="00F377F6"/>
    <w:rsid w:val="00F3781A"/>
    <w:rsid w:val="00F3793A"/>
    <w:rsid w:val="00F37B8B"/>
    <w:rsid w:val="00F37BE2"/>
    <w:rsid w:val="00F37D23"/>
    <w:rsid w:val="00F37DD4"/>
    <w:rsid w:val="00F37E0D"/>
    <w:rsid w:val="00F37ED5"/>
    <w:rsid w:val="00F37EEB"/>
    <w:rsid w:val="00F40058"/>
    <w:rsid w:val="00F40065"/>
    <w:rsid w:val="00F40310"/>
    <w:rsid w:val="00F40428"/>
    <w:rsid w:val="00F4049B"/>
    <w:rsid w:val="00F4065B"/>
    <w:rsid w:val="00F40713"/>
    <w:rsid w:val="00F40807"/>
    <w:rsid w:val="00F40851"/>
    <w:rsid w:val="00F408CD"/>
    <w:rsid w:val="00F40954"/>
    <w:rsid w:val="00F409C4"/>
    <w:rsid w:val="00F40A49"/>
    <w:rsid w:val="00F40B61"/>
    <w:rsid w:val="00F40D01"/>
    <w:rsid w:val="00F40D04"/>
    <w:rsid w:val="00F41057"/>
    <w:rsid w:val="00F4108F"/>
    <w:rsid w:val="00F4122D"/>
    <w:rsid w:val="00F412D0"/>
    <w:rsid w:val="00F41441"/>
    <w:rsid w:val="00F4145D"/>
    <w:rsid w:val="00F4155D"/>
    <w:rsid w:val="00F4157D"/>
    <w:rsid w:val="00F4159F"/>
    <w:rsid w:val="00F41678"/>
    <w:rsid w:val="00F416A1"/>
    <w:rsid w:val="00F416D7"/>
    <w:rsid w:val="00F41816"/>
    <w:rsid w:val="00F4191F"/>
    <w:rsid w:val="00F41947"/>
    <w:rsid w:val="00F41983"/>
    <w:rsid w:val="00F419E0"/>
    <w:rsid w:val="00F41A63"/>
    <w:rsid w:val="00F41B2B"/>
    <w:rsid w:val="00F41BD9"/>
    <w:rsid w:val="00F41C8C"/>
    <w:rsid w:val="00F41D6B"/>
    <w:rsid w:val="00F41DBD"/>
    <w:rsid w:val="00F41DE2"/>
    <w:rsid w:val="00F42081"/>
    <w:rsid w:val="00F42283"/>
    <w:rsid w:val="00F42292"/>
    <w:rsid w:val="00F422AC"/>
    <w:rsid w:val="00F42346"/>
    <w:rsid w:val="00F423D0"/>
    <w:rsid w:val="00F4248E"/>
    <w:rsid w:val="00F42532"/>
    <w:rsid w:val="00F425BB"/>
    <w:rsid w:val="00F425CE"/>
    <w:rsid w:val="00F4269B"/>
    <w:rsid w:val="00F427B8"/>
    <w:rsid w:val="00F427F5"/>
    <w:rsid w:val="00F42A7E"/>
    <w:rsid w:val="00F42B76"/>
    <w:rsid w:val="00F42C21"/>
    <w:rsid w:val="00F42C49"/>
    <w:rsid w:val="00F42CCF"/>
    <w:rsid w:val="00F42D5B"/>
    <w:rsid w:val="00F42DDF"/>
    <w:rsid w:val="00F4312D"/>
    <w:rsid w:val="00F431E7"/>
    <w:rsid w:val="00F432D3"/>
    <w:rsid w:val="00F4331C"/>
    <w:rsid w:val="00F4334D"/>
    <w:rsid w:val="00F4338F"/>
    <w:rsid w:val="00F433AE"/>
    <w:rsid w:val="00F43545"/>
    <w:rsid w:val="00F435C1"/>
    <w:rsid w:val="00F4363C"/>
    <w:rsid w:val="00F4372F"/>
    <w:rsid w:val="00F4379F"/>
    <w:rsid w:val="00F4396B"/>
    <w:rsid w:val="00F43A4B"/>
    <w:rsid w:val="00F43AA3"/>
    <w:rsid w:val="00F43ACC"/>
    <w:rsid w:val="00F43B73"/>
    <w:rsid w:val="00F43BD8"/>
    <w:rsid w:val="00F43C17"/>
    <w:rsid w:val="00F43C2E"/>
    <w:rsid w:val="00F43C57"/>
    <w:rsid w:val="00F43EA4"/>
    <w:rsid w:val="00F44057"/>
    <w:rsid w:val="00F441DC"/>
    <w:rsid w:val="00F442B0"/>
    <w:rsid w:val="00F442EF"/>
    <w:rsid w:val="00F44308"/>
    <w:rsid w:val="00F4447D"/>
    <w:rsid w:val="00F445DF"/>
    <w:rsid w:val="00F4462A"/>
    <w:rsid w:val="00F44891"/>
    <w:rsid w:val="00F448B6"/>
    <w:rsid w:val="00F448D6"/>
    <w:rsid w:val="00F448F8"/>
    <w:rsid w:val="00F44991"/>
    <w:rsid w:val="00F449E8"/>
    <w:rsid w:val="00F44A00"/>
    <w:rsid w:val="00F44B58"/>
    <w:rsid w:val="00F44B7C"/>
    <w:rsid w:val="00F44B8E"/>
    <w:rsid w:val="00F44C5E"/>
    <w:rsid w:val="00F44C9D"/>
    <w:rsid w:val="00F44D8B"/>
    <w:rsid w:val="00F44DCA"/>
    <w:rsid w:val="00F44E3D"/>
    <w:rsid w:val="00F44F17"/>
    <w:rsid w:val="00F44F7F"/>
    <w:rsid w:val="00F45022"/>
    <w:rsid w:val="00F4512F"/>
    <w:rsid w:val="00F4517A"/>
    <w:rsid w:val="00F452BF"/>
    <w:rsid w:val="00F45589"/>
    <w:rsid w:val="00F455D5"/>
    <w:rsid w:val="00F45621"/>
    <w:rsid w:val="00F456B7"/>
    <w:rsid w:val="00F457EA"/>
    <w:rsid w:val="00F458EC"/>
    <w:rsid w:val="00F4595D"/>
    <w:rsid w:val="00F45ABB"/>
    <w:rsid w:val="00F45B5F"/>
    <w:rsid w:val="00F45BE4"/>
    <w:rsid w:val="00F45BE7"/>
    <w:rsid w:val="00F45BEA"/>
    <w:rsid w:val="00F45C02"/>
    <w:rsid w:val="00F45C2E"/>
    <w:rsid w:val="00F45C97"/>
    <w:rsid w:val="00F45CF0"/>
    <w:rsid w:val="00F45D81"/>
    <w:rsid w:val="00F45DAB"/>
    <w:rsid w:val="00F45DBD"/>
    <w:rsid w:val="00F45E4D"/>
    <w:rsid w:val="00F45E93"/>
    <w:rsid w:val="00F4609C"/>
    <w:rsid w:val="00F46131"/>
    <w:rsid w:val="00F4623F"/>
    <w:rsid w:val="00F4627F"/>
    <w:rsid w:val="00F462CC"/>
    <w:rsid w:val="00F46314"/>
    <w:rsid w:val="00F4633E"/>
    <w:rsid w:val="00F46444"/>
    <w:rsid w:val="00F46465"/>
    <w:rsid w:val="00F46503"/>
    <w:rsid w:val="00F4652B"/>
    <w:rsid w:val="00F46694"/>
    <w:rsid w:val="00F467D5"/>
    <w:rsid w:val="00F468A0"/>
    <w:rsid w:val="00F469FD"/>
    <w:rsid w:val="00F46AE2"/>
    <w:rsid w:val="00F46B39"/>
    <w:rsid w:val="00F46C96"/>
    <w:rsid w:val="00F46D6C"/>
    <w:rsid w:val="00F46D70"/>
    <w:rsid w:val="00F46F7F"/>
    <w:rsid w:val="00F47079"/>
    <w:rsid w:val="00F47346"/>
    <w:rsid w:val="00F473E9"/>
    <w:rsid w:val="00F47750"/>
    <w:rsid w:val="00F47790"/>
    <w:rsid w:val="00F477EC"/>
    <w:rsid w:val="00F47A6B"/>
    <w:rsid w:val="00F47C78"/>
    <w:rsid w:val="00F47D60"/>
    <w:rsid w:val="00F47E22"/>
    <w:rsid w:val="00F47F10"/>
    <w:rsid w:val="00F47F53"/>
    <w:rsid w:val="00F47F96"/>
    <w:rsid w:val="00F500D1"/>
    <w:rsid w:val="00F5010A"/>
    <w:rsid w:val="00F5011B"/>
    <w:rsid w:val="00F5012A"/>
    <w:rsid w:val="00F501FF"/>
    <w:rsid w:val="00F50217"/>
    <w:rsid w:val="00F504D6"/>
    <w:rsid w:val="00F50512"/>
    <w:rsid w:val="00F505CA"/>
    <w:rsid w:val="00F5082D"/>
    <w:rsid w:val="00F50888"/>
    <w:rsid w:val="00F508F9"/>
    <w:rsid w:val="00F50A2C"/>
    <w:rsid w:val="00F50A32"/>
    <w:rsid w:val="00F50B2B"/>
    <w:rsid w:val="00F50B52"/>
    <w:rsid w:val="00F50B5B"/>
    <w:rsid w:val="00F50B6C"/>
    <w:rsid w:val="00F50C15"/>
    <w:rsid w:val="00F50C7D"/>
    <w:rsid w:val="00F50CD1"/>
    <w:rsid w:val="00F50CDB"/>
    <w:rsid w:val="00F50CF6"/>
    <w:rsid w:val="00F50CFA"/>
    <w:rsid w:val="00F50D43"/>
    <w:rsid w:val="00F50F77"/>
    <w:rsid w:val="00F5101B"/>
    <w:rsid w:val="00F5114A"/>
    <w:rsid w:val="00F511DA"/>
    <w:rsid w:val="00F5125F"/>
    <w:rsid w:val="00F51348"/>
    <w:rsid w:val="00F513DC"/>
    <w:rsid w:val="00F514A1"/>
    <w:rsid w:val="00F514E0"/>
    <w:rsid w:val="00F5152F"/>
    <w:rsid w:val="00F51650"/>
    <w:rsid w:val="00F5168D"/>
    <w:rsid w:val="00F5182D"/>
    <w:rsid w:val="00F518D8"/>
    <w:rsid w:val="00F51A51"/>
    <w:rsid w:val="00F51B96"/>
    <w:rsid w:val="00F51B99"/>
    <w:rsid w:val="00F51BAC"/>
    <w:rsid w:val="00F51BDE"/>
    <w:rsid w:val="00F51E0E"/>
    <w:rsid w:val="00F51EB5"/>
    <w:rsid w:val="00F51ED9"/>
    <w:rsid w:val="00F5202F"/>
    <w:rsid w:val="00F52057"/>
    <w:rsid w:val="00F5206C"/>
    <w:rsid w:val="00F52083"/>
    <w:rsid w:val="00F52186"/>
    <w:rsid w:val="00F52331"/>
    <w:rsid w:val="00F52381"/>
    <w:rsid w:val="00F523D3"/>
    <w:rsid w:val="00F523F8"/>
    <w:rsid w:val="00F524CA"/>
    <w:rsid w:val="00F52576"/>
    <w:rsid w:val="00F52637"/>
    <w:rsid w:val="00F529BE"/>
    <w:rsid w:val="00F529F3"/>
    <w:rsid w:val="00F52A45"/>
    <w:rsid w:val="00F52AEC"/>
    <w:rsid w:val="00F52AF3"/>
    <w:rsid w:val="00F52BCF"/>
    <w:rsid w:val="00F52BFF"/>
    <w:rsid w:val="00F52D55"/>
    <w:rsid w:val="00F52E63"/>
    <w:rsid w:val="00F530DE"/>
    <w:rsid w:val="00F530E1"/>
    <w:rsid w:val="00F530E8"/>
    <w:rsid w:val="00F5313F"/>
    <w:rsid w:val="00F53161"/>
    <w:rsid w:val="00F5325D"/>
    <w:rsid w:val="00F532EE"/>
    <w:rsid w:val="00F5349D"/>
    <w:rsid w:val="00F5371A"/>
    <w:rsid w:val="00F5373D"/>
    <w:rsid w:val="00F53824"/>
    <w:rsid w:val="00F5388D"/>
    <w:rsid w:val="00F53927"/>
    <w:rsid w:val="00F53931"/>
    <w:rsid w:val="00F539C3"/>
    <w:rsid w:val="00F539D1"/>
    <w:rsid w:val="00F53AC6"/>
    <w:rsid w:val="00F53CFB"/>
    <w:rsid w:val="00F53DE9"/>
    <w:rsid w:val="00F53DF3"/>
    <w:rsid w:val="00F53EF5"/>
    <w:rsid w:val="00F53F1F"/>
    <w:rsid w:val="00F53F64"/>
    <w:rsid w:val="00F53FA8"/>
    <w:rsid w:val="00F53FED"/>
    <w:rsid w:val="00F53FF4"/>
    <w:rsid w:val="00F5400F"/>
    <w:rsid w:val="00F5403E"/>
    <w:rsid w:val="00F540E2"/>
    <w:rsid w:val="00F54335"/>
    <w:rsid w:val="00F54355"/>
    <w:rsid w:val="00F543E0"/>
    <w:rsid w:val="00F5446B"/>
    <w:rsid w:val="00F5453B"/>
    <w:rsid w:val="00F5454F"/>
    <w:rsid w:val="00F54648"/>
    <w:rsid w:val="00F546C8"/>
    <w:rsid w:val="00F5482F"/>
    <w:rsid w:val="00F548A0"/>
    <w:rsid w:val="00F54933"/>
    <w:rsid w:val="00F54A42"/>
    <w:rsid w:val="00F54BC8"/>
    <w:rsid w:val="00F54C32"/>
    <w:rsid w:val="00F54D30"/>
    <w:rsid w:val="00F54E40"/>
    <w:rsid w:val="00F54E4B"/>
    <w:rsid w:val="00F54E6B"/>
    <w:rsid w:val="00F54F8A"/>
    <w:rsid w:val="00F54FB4"/>
    <w:rsid w:val="00F55003"/>
    <w:rsid w:val="00F552A8"/>
    <w:rsid w:val="00F552BC"/>
    <w:rsid w:val="00F552BF"/>
    <w:rsid w:val="00F552FE"/>
    <w:rsid w:val="00F5535E"/>
    <w:rsid w:val="00F5538D"/>
    <w:rsid w:val="00F5546E"/>
    <w:rsid w:val="00F554A9"/>
    <w:rsid w:val="00F55515"/>
    <w:rsid w:val="00F556A2"/>
    <w:rsid w:val="00F55768"/>
    <w:rsid w:val="00F5584E"/>
    <w:rsid w:val="00F55886"/>
    <w:rsid w:val="00F558C9"/>
    <w:rsid w:val="00F5593A"/>
    <w:rsid w:val="00F559AE"/>
    <w:rsid w:val="00F559D8"/>
    <w:rsid w:val="00F559EE"/>
    <w:rsid w:val="00F55A66"/>
    <w:rsid w:val="00F55B23"/>
    <w:rsid w:val="00F55C4A"/>
    <w:rsid w:val="00F55C8A"/>
    <w:rsid w:val="00F55C8E"/>
    <w:rsid w:val="00F55D24"/>
    <w:rsid w:val="00F55D5F"/>
    <w:rsid w:val="00F55E71"/>
    <w:rsid w:val="00F55EBC"/>
    <w:rsid w:val="00F55F17"/>
    <w:rsid w:val="00F55F80"/>
    <w:rsid w:val="00F55FB6"/>
    <w:rsid w:val="00F56013"/>
    <w:rsid w:val="00F560F3"/>
    <w:rsid w:val="00F561F6"/>
    <w:rsid w:val="00F56338"/>
    <w:rsid w:val="00F56455"/>
    <w:rsid w:val="00F564B1"/>
    <w:rsid w:val="00F56567"/>
    <w:rsid w:val="00F566AF"/>
    <w:rsid w:val="00F566DD"/>
    <w:rsid w:val="00F56700"/>
    <w:rsid w:val="00F5678E"/>
    <w:rsid w:val="00F567A0"/>
    <w:rsid w:val="00F567A5"/>
    <w:rsid w:val="00F56883"/>
    <w:rsid w:val="00F568EC"/>
    <w:rsid w:val="00F56A11"/>
    <w:rsid w:val="00F56A35"/>
    <w:rsid w:val="00F56B37"/>
    <w:rsid w:val="00F56B84"/>
    <w:rsid w:val="00F56BF1"/>
    <w:rsid w:val="00F56E6D"/>
    <w:rsid w:val="00F56E9B"/>
    <w:rsid w:val="00F56EEB"/>
    <w:rsid w:val="00F56F84"/>
    <w:rsid w:val="00F5731C"/>
    <w:rsid w:val="00F573AA"/>
    <w:rsid w:val="00F573DA"/>
    <w:rsid w:val="00F5746D"/>
    <w:rsid w:val="00F574D9"/>
    <w:rsid w:val="00F57510"/>
    <w:rsid w:val="00F57592"/>
    <w:rsid w:val="00F575AB"/>
    <w:rsid w:val="00F575CF"/>
    <w:rsid w:val="00F575DD"/>
    <w:rsid w:val="00F57613"/>
    <w:rsid w:val="00F57640"/>
    <w:rsid w:val="00F57678"/>
    <w:rsid w:val="00F576E7"/>
    <w:rsid w:val="00F57708"/>
    <w:rsid w:val="00F5770C"/>
    <w:rsid w:val="00F5773C"/>
    <w:rsid w:val="00F577C0"/>
    <w:rsid w:val="00F579D2"/>
    <w:rsid w:val="00F57AF8"/>
    <w:rsid w:val="00F57B21"/>
    <w:rsid w:val="00F57B78"/>
    <w:rsid w:val="00F57BA7"/>
    <w:rsid w:val="00F57BCA"/>
    <w:rsid w:val="00F57CAA"/>
    <w:rsid w:val="00F57D09"/>
    <w:rsid w:val="00F57E21"/>
    <w:rsid w:val="00F57E5E"/>
    <w:rsid w:val="00F57E93"/>
    <w:rsid w:val="00F57EAB"/>
    <w:rsid w:val="00F57F91"/>
    <w:rsid w:val="00F60041"/>
    <w:rsid w:val="00F600BB"/>
    <w:rsid w:val="00F60197"/>
    <w:rsid w:val="00F601DF"/>
    <w:rsid w:val="00F6026E"/>
    <w:rsid w:val="00F6031D"/>
    <w:rsid w:val="00F6037B"/>
    <w:rsid w:val="00F6038F"/>
    <w:rsid w:val="00F603C8"/>
    <w:rsid w:val="00F6047E"/>
    <w:rsid w:val="00F604EB"/>
    <w:rsid w:val="00F605F3"/>
    <w:rsid w:val="00F60606"/>
    <w:rsid w:val="00F60747"/>
    <w:rsid w:val="00F6083E"/>
    <w:rsid w:val="00F60886"/>
    <w:rsid w:val="00F6092F"/>
    <w:rsid w:val="00F60939"/>
    <w:rsid w:val="00F60971"/>
    <w:rsid w:val="00F609A8"/>
    <w:rsid w:val="00F60B8B"/>
    <w:rsid w:val="00F60C1F"/>
    <w:rsid w:val="00F60C47"/>
    <w:rsid w:val="00F60CD0"/>
    <w:rsid w:val="00F60E00"/>
    <w:rsid w:val="00F60E9F"/>
    <w:rsid w:val="00F60EF8"/>
    <w:rsid w:val="00F61116"/>
    <w:rsid w:val="00F61212"/>
    <w:rsid w:val="00F61253"/>
    <w:rsid w:val="00F61432"/>
    <w:rsid w:val="00F61569"/>
    <w:rsid w:val="00F615AB"/>
    <w:rsid w:val="00F615D5"/>
    <w:rsid w:val="00F61668"/>
    <w:rsid w:val="00F617DD"/>
    <w:rsid w:val="00F61819"/>
    <w:rsid w:val="00F61887"/>
    <w:rsid w:val="00F61894"/>
    <w:rsid w:val="00F618A1"/>
    <w:rsid w:val="00F618F1"/>
    <w:rsid w:val="00F61944"/>
    <w:rsid w:val="00F619AA"/>
    <w:rsid w:val="00F61A7B"/>
    <w:rsid w:val="00F61A96"/>
    <w:rsid w:val="00F61BF4"/>
    <w:rsid w:val="00F61C50"/>
    <w:rsid w:val="00F61D12"/>
    <w:rsid w:val="00F61F29"/>
    <w:rsid w:val="00F6200F"/>
    <w:rsid w:val="00F62032"/>
    <w:rsid w:val="00F62058"/>
    <w:rsid w:val="00F62119"/>
    <w:rsid w:val="00F62152"/>
    <w:rsid w:val="00F621C9"/>
    <w:rsid w:val="00F62216"/>
    <w:rsid w:val="00F6246B"/>
    <w:rsid w:val="00F624FA"/>
    <w:rsid w:val="00F62540"/>
    <w:rsid w:val="00F62595"/>
    <w:rsid w:val="00F625B5"/>
    <w:rsid w:val="00F62790"/>
    <w:rsid w:val="00F62944"/>
    <w:rsid w:val="00F62A12"/>
    <w:rsid w:val="00F62AA2"/>
    <w:rsid w:val="00F62B69"/>
    <w:rsid w:val="00F62C2C"/>
    <w:rsid w:val="00F62C3D"/>
    <w:rsid w:val="00F62C52"/>
    <w:rsid w:val="00F62D40"/>
    <w:rsid w:val="00F62DEA"/>
    <w:rsid w:val="00F62E07"/>
    <w:rsid w:val="00F62F66"/>
    <w:rsid w:val="00F62FB2"/>
    <w:rsid w:val="00F6302B"/>
    <w:rsid w:val="00F63038"/>
    <w:rsid w:val="00F63041"/>
    <w:rsid w:val="00F630FF"/>
    <w:rsid w:val="00F6310C"/>
    <w:rsid w:val="00F63163"/>
    <w:rsid w:val="00F632F1"/>
    <w:rsid w:val="00F63439"/>
    <w:rsid w:val="00F63464"/>
    <w:rsid w:val="00F634C2"/>
    <w:rsid w:val="00F6352A"/>
    <w:rsid w:val="00F635CD"/>
    <w:rsid w:val="00F6368D"/>
    <w:rsid w:val="00F637AC"/>
    <w:rsid w:val="00F6393A"/>
    <w:rsid w:val="00F63A06"/>
    <w:rsid w:val="00F63AD9"/>
    <w:rsid w:val="00F63B6E"/>
    <w:rsid w:val="00F63C50"/>
    <w:rsid w:val="00F63DAE"/>
    <w:rsid w:val="00F63EEB"/>
    <w:rsid w:val="00F63FF7"/>
    <w:rsid w:val="00F64047"/>
    <w:rsid w:val="00F64181"/>
    <w:rsid w:val="00F641D0"/>
    <w:rsid w:val="00F64222"/>
    <w:rsid w:val="00F64226"/>
    <w:rsid w:val="00F64478"/>
    <w:rsid w:val="00F64487"/>
    <w:rsid w:val="00F645DC"/>
    <w:rsid w:val="00F64692"/>
    <w:rsid w:val="00F646B5"/>
    <w:rsid w:val="00F646D0"/>
    <w:rsid w:val="00F6482D"/>
    <w:rsid w:val="00F6484D"/>
    <w:rsid w:val="00F64882"/>
    <w:rsid w:val="00F64929"/>
    <w:rsid w:val="00F64A17"/>
    <w:rsid w:val="00F64ADE"/>
    <w:rsid w:val="00F64BD5"/>
    <w:rsid w:val="00F64C79"/>
    <w:rsid w:val="00F64F1C"/>
    <w:rsid w:val="00F64F9F"/>
    <w:rsid w:val="00F64FAE"/>
    <w:rsid w:val="00F65027"/>
    <w:rsid w:val="00F6502D"/>
    <w:rsid w:val="00F65155"/>
    <w:rsid w:val="00F65162"/>
    <w:rsid w:val="00F65230"/>
    <w:rsid w:val="00F65254"/>
    <w:rsid w:val="00F652A0"/>
    <w:rsid w:val="00F6556A"/>
    <w:rsid w:val="00F6557A"/>
    <w:rsid w:val="00F65585"/>
    <w:rsid w:val="00F655D8"/>
    <w:rsid w:val="00F6564D"/>
    <w:rsid w:val="00F65695"/>
    <w:rsid w:val="00F656B8"/>
    <w:rsid w:val="00F656D1"/>
    <w:rsid w:val="00F6578F"/>
    <w:rsid w:val="00F657BB"/>
    <w:rsid w:val="00F658CD"/>
    <w:rsid w:val="00F659AE"/>
    <w:rsid w:val="00F65A80"/>
    <w:rsid w:val="00F65BB2"/>
    <w:rsid w:val="00F65C1C"/>
    <w:rsid w:val="00F65D7A"/>
    <w:rsid w:val="00F65EA5"/>
    <w:rsid w:val="00F65F2D"/>
    <w:rsid w:val="00F65F7D"/>
    <w:rsid w:val="00F65FBD"/>
    <w:rsid w:val="00F660BC"/>
    <w:rsid w:val="00F660D4"/>
    <w:rsid w:val="00F661A9"/>
    <w:rsid w:val="00F66225"/>
    <w:rsid w:val="00F6623F"/>
    <w:rsid w:val="00F662B7"/>
    <w:rsid w:val="00F662E7"/>
    <w:rsid w:val="00F66363"/>
    <w:rsid w:val="00F6638B"/>
    <w:rsid w:val="00F663EA"/>
    <w:rsid w:val="00F664FF"/>
    <w:rsid w:val="00F665D4"/>
    <w:rsid w:val="00F665DB"/>
    <w:rsid w:val="00F6662F"/>
    <w:rsid w:val="00F666F9"/>
    <w:rsid w:val="00F66966"/>
    <w:rsid w:val="00F66A57"/>
    <w:rsid w:val="00F66B29"/>
    <w:rsid w:val="00F66C8B"/>
    <w:rsid w:val="00F66D75"/>
    <w:rsid w:val="00F66EE3"/>
    <w:rsid w:val="00F67044"/>
    <w:rsid w:val="00F67062"/>
    <w:rsid w:val="00F6708F"/>
    <w:rsid w:val="00F670DE"/>
    <w:rsid w:val="00F6712E"/>
    <w:rsid w:val="00F67151"/>
    <w:rsid w:val="00F67193"/>
    <w:rsid w:val="00F671DB"/>
    <w:rsid w:val="00F67203"/>
    <w:rsid w:val="00F67227"/>
    <w:rsid w:val="00F6728D"/>
    <w:rsid w:val="00F672A1"/>
    <w:rsid w:val="00F672CB"/>
    <w:rsid w:val="00F672FA"/>
    <w:rsid w:val="00F67303"/>
    <w:rsid w:val="00F674A9"/>
    <w:rsid w:val="00F675DD"/>
    <w:rsid w:val="00F675E4"/>
    <w:rsid w:val="00F67637"/>
    <w:rsid w:val="00F67667"/>
    <w:rsid w:val="00F6786E"/>
    <w:rsid w:val="00F6789C"/>
    <w:rsid w:val="00F678B9"/>
    <w:rsid w:val="00F678D4"/>
    <w:rsid w:val="00F678DB"/>
    <w:rsid w:val="00F67907"/>
    <w:rsid w:val="00F6793C"/>
    <w:rsid w:val="00F679D0"/>
    <w:rsid w:val="00F67A11"/>
    <w:rsid w:val="00F67A41"/>
    <w:rsid w:val="00F67AC2"/>
    <w:rsid w:val="00F67AF0"/>
    <w:rsid w:val="00F67B27"/>
    <w:rsid w:val="00F67B98"/>
    <w:rsid w:val="00F67BA7"/>
    <w:rsid w:val="00F67CDF"/>
    <w:rsid w:val="00F67ED0"/>
    <w:rsid w:val="00F67F5E"/>
    <w:rsid w:val="00F70121"/>
    <w:rsid w:val="00F70170"/>
    <w:rsid w:val="00F701B2"/>
    <w:rsid w:val="00F70289"/>
    <w:rsid w:val="00F702BC"/>
    <w:rsid w:val="00F703C0"/>
    <w:rsid w:val="00F7043A"/>
    <w:rsid w:val="00F704B2"/>
    <w:rsid w:val="00F704E5"/>
    <w:rsid w:val="00F7053E"/>
    <w:rsid w:val="00F70647"/>
    <w:rsid w:val="00F70751"/>
    <w:rsid w:val="00F708AC"/>
    <w:rsid w:val="00F70958"/>
    <w:rsid w:val="00F709CC"/>
    <w:rsid w:val="00F70BAC"/>
    <w:rsid w:val="00F70CD1"/>
    <w:rsid w:val="00F70D09"/>
    <w:rsid w:val="00F70DBF"/>
    <w:rsid w:val="00F70F2D"/>
    <w:rsid w:val="00F70F60"/>
    <w:rsid w:val="00F70F77"/>
    <w:rsid w:val="00F71063"/>
    <w:rsid w:val="00F710DA"/>
    <w:rsid w:val="00F71114"/>
    <w:rsid w:val="00F712A3"/>
    <w:rsid w:val="00F7141B"/>
    <w:rsid w:val="00F71423"/>
    <w:rsid w:val="00F71452"/>
    <w:rsid w:val="00F7151F"/>
    <w:rsid w:val="00F716AB"/>
    <w:rsid w:val="00F716D7"/>
    <w:rsid w:val="00F71722"/>
    <w:rsid w:val="00F7174D"/>
    <w:rsid w:val="00F71873"/>
    <w:rsid w:val="00F718AE"/>
    <w:rsid w:val="00F7197A"/>
    <w:rsid w:val="00F719EC"/>
    <w:rsid w:val="00F719F2"/>
    <w:rsid w:val="00F71A21"/>
    <w:rsid w:val="00F71CCB"/>
    <w:rsid w:val="00F71D9D"/>
    <w:rsid w:val="00F71E56"/>
    <w:rsid w:val="00F71F09"/>
    <w:rsid w:val="00F71F60"/>
    <w:rsid w:val="00F72117"/>
    <w:rsid w:val="00F72145"/>
    <w:rsid w:val="00F721DC"/>
    <w:rsid w:val="00F72290"/>
    <w:rsid w:val="00F7229F"/>
    <w:rsid w:val="00F72347"/>
    <w:rsid w:val="00F723B7"/>
    <w:rsid w:val="00F723D7"/>
    <w:rsid w:val="00F7243C"/>
    <w:rsid w:val="00F724DC"/>
    <w:rsid w:val="00F72531"/>
    <w:rsid w:val="00F7263E"/>
    <w:rsid w:val="00F72652"/>
    <w:rsid w:val="00F7277E"/>
    <w:rsid w:val="00F727F2"/>
    <w:rsid w:val="00F72866"/>
    <w:rsid w:val="00F728F0"/>
    <w:rsid w:val="00F72948"/>
    <w:rsid w:val="00F729BE"/>
    <w:rsid w:val="00F729C4"/>
    <w:rsid w:val="00F72C03"/>
    <w:rsid w:val="00F72C52"/>
    <w:rsid w:val="00F72C9A"/>
    <w:rsid w:val="00F72CFE"/>
    <w:rsid w:val="00F72DB7"/>
    <w:rsid w:val="00F72E49"/>
    <w:rsid w:val="00F72F6E"/>
    <w:rsid w:val="00F72F7F"/>
    <w:rsid w:val="00F72FBD"/>
    <w:rsid w:val="00F73049"/>
    <w:rsid w:val="00F7317C"/>
    <w:rsid w:val="00F73243"/>
    <w:rsid w:val="00F73255"/>
    <w:rsid w:val="00F73392"/>
    <w:rsid w:val="00F733E3"/>
    <w:rsid w:val="00F733F0"/>
    <w:rsid w:val="00F735AB"/>
    <w:rsid w:val="00F73816"/>
    <w:rsid w:val="00F73B20"/>
    <w:rsid w:val="00F73B2B"/>
    <w:rsid w:val="00F73B3D"/>
    <w:rsid w:val="00F73B71"/>
    <w:rsid w:val="00F73BAB"/>
    <w:rsid w:val="00F73D6D"/>
    <w:rsid w:val="00F73EAD"/>
    <w:rsid w:val="00F73ED4"/>
    <w:rsid w:val="00F73ED8"/>
    <w:rsid w:val="00F73F0C"/>
    <w:rsid w:val="00F74003"/>
    <w:rsid w:val="00F74195"/>
    <w:rsid w:val="00F741F1"/>
    <w:rsid w:val="00F742C2"/>
    <w:rsid w:val="00F743E5"/>
    <w:rsid w:val="00F7445A"/>
    <w:rsid w:val="00F74572"/>
    <w:rsid w:val="00F745E2"/>
    <w:rsid w:val="00F7471D"/>
    <w:rsid w:val="00F749E5"/>
    <w:rsid w:val="00F74A15"/>
    <w:rsid w:val="00F74AAD"/>
    <w:rsid w:val="00F74B19"/>
    <w:rsid w:val="00F74B9E"/>
    <w:rsid w:val="00F74C71"/>
    <w:rsid w:val="00F74C99"/>
    <w:rsid w:val="00F74E5A"/>
    <w:rsid w:val="00F74E98"/>
    <w:rsid w:val="00F751D6"/>
    <w:rsid w:val="00F751D9"/>
    <w:rsid w:val="00F752A6"/>
    <w:rsid w:val="00F752FA"/>
    <w:rsid w:val="00F75353"/>
    <w:rsid w:val="00F75467"/>
    <w:rsid w:val="00F75611"/>
    <w:rsid w:val="00F75613"/>
    <w:rsid w:val="00F75616"/>
    <w:rsid w:val="00F7578C"/>
    <w:rsid w:val="00F757B6"/>
    <w:rsid w:val="00F75827"/>
    <w:rsid w:val="00F7582E"/>
    <w:rsid w:val="00F758F8"/>
    <w:rsid w:val="00F7591A"/>
    <w:rsid w:val="00F75954"/>
    <w:rsid w:val="00F75ACD"/>
    <w:rsid w:val="00F75B0A"/>
    <w:rsid w:val="00F75BA3"/>
    <w:rsid w:val="00F75D2B"/>
    <w:rsid w:val="00F75D70"/>
    <w:rsid w:val="00F75D76"/>
    <w:rsid w:val="00F75DF3"/>
    <w:rsid w:val="00F75E62"/>
    <w:rsid w:val="00F75E8F"/>
    <w:rsid w:val="00F76150"/>
    <w:rsid w:val="00F7621A"/>
    <w:rsid w:val="00F76321"/>
    <w:rsid w:val="00F7635B"/>
    <w:rsid w:val="00F76429"/>
    <w:rsid w:val="00F76436"/>
    <w:rsid w:val="00F7643C"/>
    <w:rsid w:val="00F76453"/>
    <w:rsid w:val="00F76518"/>
    <w:rsid w:val="00F76781"/>
    <w:rsid w:val="00F76826"/>
    <w:rsid w:val="00F76926"/>
    <w:rsid w:val="00F76A8D"/>
    <w:rsid w:val="00F76CDD"/>
    <w:rsid w:val="00F76EF3"/>
    <w:rsid w:val="00F76F0E"/>
    <w:rsid w:val="00F76F2B"/>
    <w:rsid w:val="00F76F77"/>
    <w:rsid w:val="00F77024"/>
    <w:rsid w:val="00F770D6"/>
    <w:rsid w:val="00F7715B"/>
    <w:rsid w:val="00F77176"/>
    <w:rsid w:val="00F77185"/>
    <w:rsid w:val="00F77306"/>
    <w:rsid w:val="00F77423"/>
    <w:rsid w:val="00F77579"/>
    <w:rsid w:val="00F77614"/>
    <w:rsid w:val="00F77646"/>
    <w:rsid w:val="00F77664"/>
    <w:rsid w:val="00F776FA"/>
    <w:rsid w:val="00F77754"/>
    <w:rsid w:val="00F777EF"/>
    <w:rsid w:val="00F778B6"/>
    <w:rsid w:val="00F7790A"/>
    <w:rsid w:val="00F77934"/>
    <w:rsid w:val="00F77ACD"/>
    <w:rsid w:val="00F77B7D"/>
    <w:rsid w:val="00F77B89"/>
    <w:rsid w:val="00F77BC0"/>
    <w:rsid w:val="00F77C6F"/>
    <w:rsid w:val="00F77CAD"/>
    <w:rsid w:val="00F77CF4"/>
    <w:rsid w:val="00F77CFB"/>
    <w:rsid w:val="00F77DD0"/>
    <w:rsid w:val="00F77E1C"/>
    <w:rsid w:val="00F77F4A"/>
    <w:rsid w:val="00F80025"/>
    <w:rsid w:val="00F80046"/>
    <w:rsid w:val="00F8014C"/>
    <w:rsid w:val="00F80180"/>
    <w:rsid w:val="00F801CE"/>
    <w:rsid w:val="00F801ED"/>
    <w:rsid w:val="00F80231"/>
    <w:rsid w:val="00F8029A"/>
    <w:rsid w:val="00F802B6"/>
    <w:rsid w:val="00F8050B"/>
    <w:rsid w:val="00F80587"/>
    <w:rsid w:val="00F80636"/>
    <w:rsid w:val="00F806EE"/>
    <w:rsid w:val="00F80779"/>
    <w:rsid w:val="00F807DE"/>
    <w:rsid w:val="00F80816"/>
    <w:rsid w:val="00F80959"/>
    <w:rsid w:val="00F80A15"/>
    <w:rsid w:val="00F80A17"/>
    <w:rsid w:val="00F80AF2"/>
    <w:rsid w:val="00F80BC1"/>
    <w:rsid w:val="00F80C91"/>
    <w:rsid w:val="00F80C94"/>
    <w:rsid w:val="00F80DF5"/>
    <w:rsid w:val="00F80EAD"/>
    <w:rsid w:val="00F80EF5"/>
    <w:rsid w:val="00F80F14"/>
    <w:rsid w:val="00F80FC7"/>
    <w:rsid w:val="00F8104A"/>
    <w:rsid w:val="00F8119D"/>
    <w:rsid w:val="00F8126A"/>
    <w:rsid w:val="00F81418"/>
    <w:rsid w:val="00F81442"/>
    <w:rsid w:val="00F8148B"/>
    <w:rsid w:val="00F8156F"/>
    <w:rsid w:val="00F8165F"/>
    <w:rsid w:val="00F81706"/>
    <w:rsid w:val="00F8175A"/>
    <w:rsid w:val="00F8180E"/>
    <w:rsid w:val="00F8190F"/>
    <w:rsid w:val="00F81935"/>
    <w:rsid w:val="00F81962"/>
    <w:rsid w:val="00F81A64"/>
    <w:rsid w:val="00F81AA1"/>
    <w:rsid w:val="00F81B35"/>
    <w:rsid w:val="00F81D6C"/>
    <w:rsid w:val="00F81D6D"/>
    <w:rsid w:val="00F81E51"/>
    <w:rsid w:val="00F81E63"/>
    <w:rsid w:val="00F81E6B"/>
    <w:rsid w:val="00F81FEC"/>
    <w:rsid w:val="00F82152"/>
    <w:rsid w:val="00F82294"/>
    <w:rsid w:val="00F822FA"/>
    <w:rsid w:val="00F823B2"/>
    <w:rsid w:val="00F824B6"/>
    <w:rsid w:val="00F826CA"/>
    <w:rsid w:val="00F826F6"/>
    <w:rsid w:val="00F8279A"/>
    <w:rsid w:val="00F8279B"/>
    <w:rsid w:val="00F827CD"/>
    <w:rsid w:val="00F82B20"/>
    <w:rsid w:val="00F82B64"/>
    <w:rsid w:val="00F82C19"/>
    <w:rsid w:val="00F82C23"/>
    <w:rsid w:val="00F82CA2"/>
    <w:rsid w:val="00F82DE7"/>
    <w:rsid w:val="00F82E2D"/>
    <w:rsid w:val="00F82E9C"/>
    <w:rsid w:val="00F82F28"/>
    <w:rsid w:val="00F82F6A"/>
    <w:rsid w:val="00F8300B"/>
    <w:rsid w:val="00F830B7"/>
    <w:rsid w:val="00F830C6"/>
    <w:rsid w:val="00F830F3"/>
    <w:rsid w:val="00F83109"/>
    <w:rsid w:val="00F8329D"/>
    <w:rsid w:val="00F8335A"/>
    <w:rsid w:val="00F8340F"/>
    <w:rsid w:val="00F834D9"/>
    <w:rsid w:val="00F8361E"/>
    <w:rsid w:val="00F836DF"/>
    <w:rsid w:val="00F83773"/>
    <w:rsid w:val="00F83853"/>
    <w:rsid w:val="00F83887"/>
    <w:rsid w:val="00F83B8A"/>
    <w:rsid w:val="00F83C24"/>
    <w:rsid w:val="00F83CBF"/>
    <w:rsid w:val="00F83CC3"/>
    <w:rsid w:val="00F83DCA"/>
    <w:rsid w:val="00F83E44"/>
    <w:rsid w:val="00F83E81"/>
    <w:rsid w:val="00F83F96"/>
    <w:rsid w:val="00F8406A"/>
    <w:rsid w:val="00F84079"/>
    <w:rsid w:val="00F84110"/>
    <w:rsid w:val="00F84179"/>
    <w:rsid w:val="00F8419A"/>
    <w:rsid w:val="00F8424B"/>
    <w:rsid w:val="00F8425B"/>
    <w:rsid w:val="00F842EC"/>
    <w:rsid w:val="00F8430A"/>
    <w:rsid w:val="00F8431A"/>
    <w:rsid w:val="00F8443E"/>
    <w:rsid w:val="00F844AF"/>
    <w:rsid w:val="00F84545"/>
    <w:rsid w:val="00F84651"/>
    <w:rsid w:val="00F8466F"/>
    <w:rsid w:val="00F846B1"/>
    <w:rsid w:val="00F846FB"/>
    <w:rsid w:val="00F84796"/>
    <w:rsid w:val="00F8479D"/>
    <w:rsid w:val="00F84917"/>
    <w:rsid w:val="00F84973"/>
    <w:rsid w:val="00F849B0"/>
    <w:rsid w:val="00F84A07"/>
    <w:rsid w:val="00F84A17"/>
    <w:rsid w:val="00F84AAA"/>
    <w:rsid w:val="00F84BB7"/>
    <w:rsid w:val="00F84C5D"/>
    <w:rsid w:val="00F84CD3"/>
    <w:rsid w:val="00F84D11"/>
    <w:rsid w:val="00F84D19"/>
    <w:rsid w:val="00F84E5B"/>
    <w:rsid w:val="00F8506B"/>
    <w:rsid w:val="00F8506D"/>
    <w:rsid w:val="00F85108"/>
    <w:rsid w:val="00F852CF"/>
    <w:rsid w:val="00F853E7"/>
    <w:rsid w:val="00F85454"/>
    <w:rsid w:val="00F854D1"/>
    <w:rsid w:val="00F854DA"/>
    <w:rsid w:val="00F85508"/>
    <w:rsid w:val="00F85522"/>
    <w:rsid w:val="00F855FF"/>
    <w:rsid w:val="00F85719"/>
    <w:rsid w:val="00F8576D"/>
    <w:rsid w:val="00F85862"/>
    <w:rsid w:val="00F8589D"/>
    <w:rsid w:val="00F8591A"/>
    <w:rsid w:val="00F8597D"/>
    <w:rsid w:val="00F8599A"/>
    <w:rsid w:val="00F859E2"/>
    <w:rsid w:val="00F859F1"/>
    <w:rsid w:val="00F85A32"/>
    <w:rsid w:val="00F85A34"/>
    <w:rsid w:val="00F85A57"/>
    <w:rsid w:val="00F85AB0"/>
    <w:rsid w:val="00F85ABF"/>
    <w:rsid w:val="00F85B16"/>
    <w:rsid w:val="00F85BC2"/>
    <w:rsid w:val="00F85C6A"/>
    <w:rsid w:val="00F85CFB"/>
    <w:rsid w:val="00F85D57"/>
    <w:rsid w:val="00F85D74"/>
    <w:rsid w:val="00F85D82"/>
    <w:rsid w:val="00F85F61"/>
    <w:rsid w:val="00F8612A"/>
    <w:rsid w:val="00F8614C"/>
    <w:rsid w:val="00F862A9"/>
    <w:rsid w:val="00F863DA"/>
    <w:rsid w:val="00F8649A"/>
    <w:rsid w:val="00F8651F"/>
    <w:rsid w:val="00F86534"/>
    <w:rsid w:val="00F86535"/>
    <w:rsid w:val="00F867F6"/>
    <w:rsid w:val="00F86823"/>
    <w:rsid w:val="00F86986"/>
    <w:rsid w:val="00F869EC"/>
    <w:rsid w:val="00F869FC"/>
    <w:rsid w:val="00F86AAC"/>
    <w:rsid w:val="00F86AB0"/>
    <w:rsid w:val="00F86BBB"/>
    <w:rsid w:val="00F86BCE"/>
    <w:rsid w:val="00F86C49"/>
    <w:rsid w:val="00F86D15"/>
    <w:rsid w:val="00F86EA8"/>
    <w:rsid w:val="00F86EEF"/>
    <w:rsid w:val="00F86F78"/>
    <w:rsid w:val="00F8708A"/>
    <w:rsid w:val="00F87094"/>
    <w:rsid w:val="00F8737B"/>
    <w:rsid w:val="00F873BC"/>
    <w:rsid w:val="00F87405"/>
    <w:rsid w:val="00F87457"/>
    <w:rsid w:val="00F874F6"/>
    <w:rsid w:val="00F8750C"/>
    <w:rsid w:val="00F8756A"/>
    <w:rsid w:val="00F8756B"/>
    <w:rsid w:val="00F875B4"/>
    <w:rsid w:val="00F875B7"/>
    <w:rsid w:val="00F875BE"/>
    <w:rsid w:val="00F87671"/>
    <w:rsid w:val="00F8784D"/>
    <w:rsid w:val="00F8788E"/>
    <w:rsid w:val="00F878AA"/>
    <w:rsid w:val="00F87ABC"/>
    <w:rsid w:val="00F87CB8"/>
    <w:rsid w:val="00F87E73"/>
    <w:rsid w:val="00F87EA9"/>
    <w:rsid w:val="00F87EEB"/>
    <w:rsid w:val="00F87F6D"/>
    <w:rsid w:val="00F87FF0"/>
    <w:rsid w:val="00F9002D"/>
    <w:rsid w:val="00F901CB"/>
    <w:rsid w:val="00F902A4"/>
    <w:rsid w:val="00F902CC"/>
    <w:rsid w:val="00F90436"/>
    <w:rsid w:val="00F9045E"/>
    <w:rsid w:val="00F905C1"/>
    <w:rsid w:val="00F90707"/>
    <w:rsid w:val="00F9095C"/>
    <w:rsid w:val="00F9099B"/>
    <w:rsid w:val="00F90A7A"/>
    <w:rsid w:val="00F90C3F"/>
    <w:rsid w:val="00F90D7A"/>
    <w:rsid w:val="00F90E00"/>
    <w:rsid w:val="00F90E49"/>
    <w:rsid w:val="00F90E8E"/>
    <w:rsid w:val="00F90F10"/>
    <w:rsid w:val="00F90F61"/>
    <w:rsid w:val="00F9117B"/>
    <w:rsid w:val="00F911FB"/>
    <w:rsid w:val="00F91234"/>
    <w:rsid w:val="00F9127D"/>
    <w:rsid w:val="00F912B4"/>
    <w:rsid w:val="00F9144B"/>
    <w:rsid w:val="00F9147B"/>
    <w:rsid w:val="00F9156A"/>
    <w:rsid w:val="00F91694"/>
    <w:rsid w:val="00F9174B"/>
    <w:rsid w:val="00F917B9"/>
    <w:rsid w:val="00F917C2"/>
    <w:rsid w:val="00F917F5"/>
    <w:rsid w:val="00F9187C"/>
    <w:rsid w:val="00F91A55"/>
    <w:rsid w:val="00F91AFC"/>
    <w:rsid w:val="00F91B22"/>
    <w:rsid w:val="00F91C53"/>
    <w:rsid w:val="00F91C60"/>
    <w:rsid w:val="00F91CBA"/>
    <w:rsid w:val="00F91DEF"/>
    <w:rsid w:val="00F91E8E"/>
    <w:rsid w:val="00F91F65"/>
    <w:rsid w:val="00F92132"/>
    <w:rsid w:val="00F92165"/>
    <w:rsid w:val="00F921A3"/>
    <w:rsid w:val="00F921A4"/>
    <w:rsid w:val="00F923B8"/>
    <w:rsid w:val="00F92427"/>
    <w:rsid w:val="00F92605"/>
    <w:rsid w:val="00F926CB"/>
    <w:rsid w:val="00F9271B"/>
    <w:rsid w:val="00F92745"/>
    <w:rsid w:val="00F927A3"/>
    <w:rsid w:val="00F92842"/>
    <w:rsid w:val="00F9285E"/>
    <w:rsid w:val="00F92968"/>
    <w:rsid w:val="00F92A63"/>
    <w:rsid w:val="00F92BE7"/>
    <w:rsid w:val="00F92C72"/>
    <w:rsid w:val="00F92CF9"/>
    <w:rsid w:val="00F92D22"/>
    <w:rsid w:val="00F92E02"/>
    <w:rsid w:val="00F92E3A"/>
    <w:rsid w:val="00F92EC2"/>
    <w:rsid w:val="00F92EE1"/>
    <w:rsid w:val="00F92F4B"/>
    <w:rsid w:val="00F92F70"/>
    <w:rsid w:val="00F930E5"/>
    <w:rsid w:val="00F930FD"/>
    <w:rsid w:val="00F931D4"/>
    <w:rsid w:val="00F93563"/>
    <w:rsid w:val="00F935ED"/>
    <w:rsid w:val="00F9364A"/>
    <w:rsid w:val="00F936C2"/>
    <w:rsid w:val="00F936DE"/>
    <w:rsid w:val="00F9377D"/>
    <w:rsid w:val="00F937DE"/>
    <w:rsid w:val="00F939F3"/>
    <w:rsid w:val="00F93B48"/>
    <w:rsid w:val="00F93D4C"/>
    <w:rsid w:val="00F93DA5"/>
    <w:rsid w:val="00F93DBB"/>
    <w:rsid w:val="00F93E5E"/>
    <w:rsid w:val="00F93F2A"/>
    <w:rsid w:val="00F93F2F"/>
    <w:rsid w:val="00F93F5B"/>
    <w:rsid w:val="00F94009"/>
    <w:rsid w:val="00F940EE"/>
    <w:rsid w:val="00F94175"/>
    <w:rsid w:val="00F941D6"/>
    <w:rsid w:val="00F94252"/>
    <w:rsid w:val="00F94255"/>
    <w:rsid w:val="00F9429D"/>
    <w:rsid w:val="00F942C6"/>
    <w:rsid w:val="00F9431A"/>
    <w:rsid w:val="00F94437"/>
    <w:rsid w:val="00F944A8"/>
    <w:rsid w:val="00F94578"/>
    <w:rsid w:val="00F94637"/>
    <w:rsid w:val="00F9486D"/>
    <w:rsid w:val="00F94911"/>
    <w:rsid w:val="00F94A5E"/>
    <w:rsid w:val="00F94B43"/>
    <w:rsid w:val="00F94BF5"/>
    <w:rsid w:val="00F94C73"/>
    <w:rsid w:val="00F94CCC"/>
    <w:rsid w:val="00F94DC8"/>
    <w:rsid w:val="00F94E06"/>
    <w:rsid w:val="00F94EAA"/>
    <w:rsid w:val="00F94EFD"/>
    <w:rsid w:val="00F94F9A"/>
    <w:rsid w:val="00F94FD1"/>
    <w:rsid w:val="00F95006"/>
    <w:rsid w:val="00F95061"/>
    <w:rsid w:val="00F95080"/>
    <w:rsid w:val="00F953B6"/>
    <w:rsid w:val="00F95561"/>
    <w:rsid w:val="00F95697"/>
    <w:rsid w:val="00F95765"/>
    <w:rsid w:val="00F957C5"/>
    <w:rsid w:val="00F9593F"/>
    <w:rsid w:val="00F95AC3"/>
    <w:rsid w:val="00F95CAA"/>
    <w:rsid w:val="00F95D10"/>
    <w:rsid w:val="00F95DAD"/>
    <w:rsid w:val="00F95F03"/>
    <w:rsid w:val="00F95F16"/>
    <w:rsid w:val="00F95F7E"/>
    <w:rsid w:val="00F96062"/>
    <w:rsid w:val="00F96077"/>
    <w:rsid w:val="00F96128"/>
    <w:rsid w:val="00F961DC"/>
    <w:rsid w:val="00F96239"/>
    <w:rsid w:val="00F96253"/>
    <w:rsid w:val="00F96261"/>
    <w:rsid w:val="00F9630F"/>
    <w:rsid w:val="00F96411"/>
    <w:rsid w:val="00F96502"/>
    <w:rsid w:val="00F96614"/>
    <w:rsid w:val="00F96657"/>
    <w:rsid w:val="00F966DE"/>
    <w:rsid w:val="00F968F5"/>
    <w:rsid w:val="00F96969"/>
    <w:rsid w:val="00F96A09"/>
    <w:rsid w:val="00F96A85"/>
    <w:rsid w:val="00F96ACA"/>
    <w:rsid w:val="00F96AFA"/>
    <w:rsid w:val="00F96B7C"/>
    <w:rsid w:val="00F96BA0"/>
    <w:rsid w:val="00F96DE9"/>
    <w:rsid w:val="00F970F6"/>
    <w:rsid w:val="00F97155"/>
    <w:rsid w:val="00F97264"/>
    <w:rsid w:val="00F97365"/>
    <w:rsid w:val="00F9737C"/>
    <w:rsid w:val="00F974D8"/>
    <w:rsid w:val="00F975A8"/>
    <w:rsid w:val="00F97703"/>
    <w:rsid w:val="00F978EC"/>
    <w:rsid w:val="00F978EE"/>
    <w:rsid w:val="00F979FA"/>
    <w:rsid w:val="00F97B35"/>
    <w:rsid w:val="00F97C9D"/>
    <w:rsid w:val="00F97E2B"/>
    <w:rsid w:val="00F97F25"/>
    <w:rsid w:val="00F97F71"/>
    <w:rsid w:val="00F97FC6"/>
    <w:rsid w:val="00FA0107"/>
    <w:rsid w:val="00FA031E"/>
    <w:rsid w:val="00FA0359"/>
    <w:rsid w:val="00FA044C"/>
    <w:rsid w:val="00FA0621"/>
    <w:rsid w:val="00FA06E5"/>
    <w:rsid w:val="00FA0701"/>
    <w:rsid w:val="00FA073D"/>
    <w:rsid w:val="00FA0757"/>
    <w:rsid w:val="00FA079A"/>
    <w:rsid w:val="00FA0839"/>
    <w:rsid w:val="00FA09A5"/>
    <w:rsid w:val="00FA0A66"/>
    <w:rsid w:val="00FA0BAA"/>
    <w:rsid w:val="00FA0BB8"/>
    <w:rsid w:val="00FA0C5C"/>
    <w:rsid w:val="00FA0C5F"/>
    <w:rsid w:val="00FA0D0F"/>
    <w:rsid w:val="00FA0D7B"/>
    <w:rsid w:val="00FA0DBE"/>
    <w:rsid w:val="00FA0E4D"/>
    <w:rsid w:val="00FA0FC5"/>
    <w:rsid w:val="00FA107C"/>
    <w:rsid w:val="00FA10C9"/>
    <w:rsid w:val="00FA10F8"/>
    <w:rsid w:val="00FA1130"/>
    <w:rsid w:val="00FA11BF"/>
    <w:rsid w:val="00FA1270"/>
    <w:rsid w:val="00FA12B7"/>
    <w:rsid w:val="00FA12D0"/>
    <w:rsid w:val="00FA152B"/>
    <w:rsid w:val="00FA1578"/>
    <w:rsid w:val="00FA169F"/>
    <w:rsid w:val="00FA1769"/>
    <w:rsid w:val="00FA1778"/>
    <w:rsid w:val="00FA18E9"/>
    <w:rsid w:val="00FA194B"/>
    <w:rsid w:val="00FA1986"/>
    <w:rsid w:val="00FA19ED"/>
    <w:rsid w:val="00FA1A3A"/>
    <w:rsid w:val="00FA1A3C"/>
    <w:rsid w:val="00FA1B62"/>
    <w:rsid w:val="00FA1EBB"/>
    <w:rsid w:val="00FA1FCA"/>
    <w:rsid w:val="00FA2036"/>
    <w:rsid w:val="00FA203C"/>
    <w:rsid w:val="00FA208E"/>
    <w:rsid w:val="00FA20FD"/>
    <w:rsid w:val="00FA2116"/>
    <w:rsid w:val="00FA21A2"/>
    <w:rsid w:val="00FA21F2"/>
    <w:rsid w:val="00FA22DB"/>
    <w:rsid w:val="00FA237F"/>
    <w:rsid w:val="00FA23C3"/>
    <w:rsid w:val="00FA248D"/>
    <w:rsid w:val="00FA28E2"/>
    <w:rsid w:val="00FA2B1F"/>
    <w:rsid w:val="00FA2BEA"/>
    <w:rsid w:val="00FA2CBC"/>
    <w:rsid w:val="00FA2CBF"/>
    <w:rsid w:val="00FA2E7E"/>
    <w:rsid w:val="00FA2F9C"/>
    <w:rsid w:val="00FA303F"/>
    <w:rsid w:val="00FA30D5"/>
    <w:rsid w:val="00FA3181"/>
    <w:rsid w:val="00FA3190"/>
    <w:rsid w:val="00FA3357"/>
    <w:rsid w:val="00FA3418"/>
    <w:rsid w:val="00FA3486"/>
    <w:rsid w:val="00FA34E8"/>
    <w:rsid w:val="00FA3501"/>
    <w:rsid w:val="00FA356A"/>
    <w:rsid w:val="00FA36A4"/>
    <w:rsid w:val="00FA36D3"/>
    <w:rsid w:val="00FA3749"/>
    <w:rsid w:val="00FA3A5E"/>
    <w:rsid w:val="00FA3BF0"/>
    <w:rsid w:val="00FA3D37"/>
    <w:rsid w:val="00FA3E4B"/>
    <w:rsid w:val="00FA3E7F"/>
    <w:rsid w:val="00FA4207"/>
    <w:rsid w:val="00FA420E"/>
    <w:rsid w:val="00FA4276"/>
    <w:rsid w:val="00FA4289"/>
    <w:rsid w:val="00FA42D5"/>
    <w:rsid w:val="00FA436B"/>
    <w:rsid w:val="00FA4495"/>
    <w:rsid w:val="00FA4499"/>
    <w:rsid w:val="00FA4595"/>
    <w:rsid w:val="00FA467A"/>
    <w:rsid w:val="00FA486F"/>
    <w:rsid w:val="00FA493F"/>
    <w:rsid w:val="00FA4A56"/>
    <w:rsid w:val="00FA4B4A"/>
    <w:rsid w:val="00FA4C6B"/>
    <w:rsid w:val="00FA4C7F"/>
    <w:rsid w:val="00FA4C87"/>
    <w:rsid w:val="00FA4DBB"/>
    <w:rsid w:val="00FA4E27"/>
    <w:rsid w:val="00FA4E4E"/>
    <w:rsid w:val="00FA4E92"/>
    <w:rsid w:val="00FA4F27"/>
    <w:rsid w:val="00FA4F6F"/>
    <w:rsid w:val="00FA4F92"/>
    <w:rsid w:val="00FA4F95"/>
    <w:rsid w:val="00FA4FD6"/>
    <w:rsid w:val="00FA4FF3"/>
    <w:rsid w:val="00FA51D2"/>
    <w:rsid w:val="00FA51F3"/>
    <w:rsid w:val="00FA52F3"/>
    <w:rsid w:val="00FA53E7"/>
    <w:rsid w:val="00FA53F0"/>
    <w:rsid w:val="00FA5491"/>
    <w:rsid w:val="00FA549E"/>
    <w:rsid w:val="00FA555E"/>
    <w:rsid w:val="00FA557D"/>
    <w:rsid w:val="00FA55D9"/>
    <w:rsid w:val="00FA564F"/>
    <w:rsid w:val="00FA5685"/>
    <w:rsid w:val="00FA5740"/>
    <w:rsid w:val="00FA58C2"/>
    <w:rsid w:val="00FA5924"/>
    <w:rsid w:val="00FA5A08"/>
    <w:rsid w:val="00FA5AE8"/>
    <w:rsid w:val="00FA5B8E"/>
    <w:rsid w:val="00FA5C25"/>
    <w:rsid w:val="00FA5DC3"/>
    <w:rsid w:val="00FA5E44"/>
    <w:rsid w:val="00FA5EC6"/>
    <w:rsid w:val="00FA5F49"/>
    <w:rsid w:val="00FA5FD6"/>
    <w:rsid w:val="00FA5FF5"/>
    <w:rsid w:val="00FA60BE"/>
    <w:rsid w:val="00FA60EE"/>
    <w:rsid w:val="00FA6128"/>
    <w:rsid w:val="00FA624B"/>
    <w:rsid w:val="00FA625C"/>
    <w:rsid w:val="00FA642E"/>
    <w:rsid w:val="00FA6573"/>
    <w:rsid w:val="00FA65CD"/>
    <w:rsid w:val="00FA661F"/>
    <w:rsid w:val="00FA6645"/>
    <w:rsid w:val="00FA672A"/>
    <w:rsid w:val="00FA682B"/>
    <w:rsid w:val="00FA686B"/>
    <w:rsid w:val="00FA68CC"/>
    <w:rsid w:val="00FA6955"/>
    <w:rsid w:val="00FA69A6"/>
    <w:rsid w:val="00FA69F2"/>
    <w:rsid w:val="00FA6A23"/>
    <w:rsid w:val="00FA6AA3"/>
    <w:rsid w:val="00FA6AEE"/>
    <w:rsid w:val="00FA6B06"/>
    <w:rsid w:val="00FA6B71"/>
    <w:rsid w:val="00FA6D99"/>
    <w:rsid w:val="00FA6E6E"/>
    <w:rsid w:val="00FA7032"/>
    <w:rsid w:val="00FA7059"/>
    <w:rsid w:val="00FA70A3"/>
    <w:rsid w:val="00FA714D"/>
    <w:rsid w:val="00FA7208"/>
    <w:rsid w:val="00FA725D"/>
    <w:rsid w:val="00FA72F1"/>
    <w:rsid w:val="00FA73F8"/>
    <w:rsid w:val="00FA7445"/>
    <w:rsid w:val="00FA75EA"/>
    <w:rsid w:val="00FA764B"/>
    <w:rsid w:val="00FA76CB"/>
    <w:rsid w:val="00FA7748"/>
    <w:rsid w:val="00FA77BE"/>
    <w:rsid w:val="00FA799F"/>
    <w:rsid w:val="00FA79B0"/>
    <w:rsid w:val="00FA79B1"/>
    <w:rsid w:val="00FA7A8C"/>
    <w:rsid w:val="00FA7ABB"/>
    <w:rsid w:val="00FA7C02"/>
    <w:rsid w:val="00FA7E43"/>
    <w:rsid w:val="00FA7F0D"/>
    <w:rsid w:val="00FA7F3C"/>
    <w:rsid w:val="00FA7F5A"/>
    <w:rsid w:val="00FB00F7"/>
    <w:rsid w:val="00FB018D"/>
    <w:rsid w:val="00FB03BE"/>
    <w:rsid w:val="00FB05D7"/>
    <w:rsid w:val="00FB063B"/>
    <w:rsid w:val="00FB06EB"/>
    <w:rsid w:val="00FB0786"/>
    <w:rsid w:val="00FB07D0"/>
    <w:rsid w:val="00FB091E"/>
    <w:rsid w:val="00FB0A22"/>
    <w:rsid w:val="00FB0B54"/>
    <w:rsid w:val="00FB0B7A"/>
    <w:rsid w:val="00FB0CA2"/>
    <w:rsid w:val="00FB0D10"/>
    <w:rsid w:val="00FB0D75"/>
    <w:rsid w:val="00FB0DD5"/>
    <w:rsid w:val="00FB0DFA"/>
    <w:rsid w:val="00FB0E36"/>
    <w:rsid w:val="00FB0F12"/>
    <w:rsid w:val="00FB0F85"/>
    <w:rsid w:val="00FB0F94"/>
    <w:rsid w:val="00FB0FCB"/>
    <w:rsid w:val="00FB103F"/>
    <w:rsid w:val="00FB109E"/>
    <w:rsid w:val="00FB10B2"/>
    <w:rsid w:val="00FB1127"/>
    <w:rsid w:val="00FB1160"/>
    <w:rsid w:val="00FB1528"/>
    <w:rsid w:val="00FB15E6"/>
    <w:rsid w:val="00FB15FC"/>
    <w:rsid w:val="00FB1603"/>
    <w:rsid w:val="00FB166A"/>
    <w:rsid w:val="00FB16C3"/>
    <w:rsid w:val="00FB179E"/>
    <w:rsid w:val="00FB17B7"/>
    <w:rsid w:val="00FB184B"/>
    <w:rsid w:val="00FB1B08"/>
    <w:rsid w:val="00FB1B2C"/>
    <w:rsid w:val="00FB1BDB"/>
    <w:rsid w:val="00FB1C9E"/>
    <w:rsid w:val="00FB1CDF"/>
    <w:rsid w:val="00FB1CFE"/>
    <w:rsid w:val="00FB1D46"/>
    <w:rsid w:val="00FB1D80"/>
    <w:rsid w:val="00FB1D81"/>
    <w:rsid w:val="00FB1E64"/>
    <w:rsid w:val="00FB1E9C"/>
    <w:rsid w:val="00FB1EDA"/>
    <w:rsid w:val="00FB1F42"/>
    <w:rsid w:val="00FB1F72"/>
    <w:rsid w:val="00FB1F7D"/>
    <w:rsid w:val="00FB1F96"/>
    <w:rsid w:val="00FB200C"/>
    <w:rsid w:val="00FB20C1"/>
    <w:rsid w:val="00FB2223"/>
    <w:rsid w:val="00FB2281"/>
    <w:rsid w:val="00FB2327"/>
    <w:rsid w:val="00FB23CB"/>
    <w:rsid w:val="00FB24C3"/>
    <w:rsid w:val="00FB26A8"/>
    <w:rsid w:val="00FB26AC"/>
    <w:rsid w:val="00FB27C1"/>
    <w:rsid w:val="00FB27D9"/>
    <w:rsid w:val="00FB286E"/>
    <w:rsid w:val="00FB2968"/>
    <w:rsid w:val="00FB296F"/>
    <w:rsid w:val="00FB2ADD"/>
    <w:rsid w:val="00FB2AE1"/>
    <w:rsid w:val="00FB2BB9"/>
    <w:rsid w:val="00FB2BEF"/>
    <w:rsid w:val="00FB2C26"/>
    <w:rsid w:val="00FB2CE9"/>
    <w:rsid w:val="00FB2E09"/>
    <w:rsid w:val="00FB2E24"/>
    <w:rsid w:val="00FB2F06"/>
    <w:rsid w:val="00FB2FAD"/>
    <w:rsid w:val="00FB2FBA"/>
    <w:rsid w:val="00FB30D2"/>
    <w:rsid w:val="00FB31A1"/>
    <w:rsid w:val="00FB31B3"/>
    <w:rsid w:val="00FB31C4"/>
    <w:rsid w:val="00FB31F6"/>
    <w:rsid w:val="00FB3260"/>
    <w:rsid w:val="00FB3457"/>
    <w:rsid w:val="00FB349E"/>
    <w:rsid w:val="00FB34AF"/>
    <w:rsid w:val="00FB3656"/>
    <w:rsid w:val="00FB3671"/>
    <w:rsid w:val="00FB36EE"/>
    <w:rsid w:val="00FB376A"/>
    <w:rsid w:val="00FB37F0"/>
    <w:rsid w:val="00FB3858"/>
    <w:rsid w:val="00FB3860"/>
    <w:rsid w:val="00FB3972"/>
    <w:rsid w:val="00FB3A2E"/>
    <w:rsid w:val="00FB3A84"/>
    <w:rsid w:val="00FB3D33"/>
    <w:rsid w:val="00FB3D96"/>
    <w:rsid w:val="00FB3E5E"/>
    <w:rsid w:val="00FB3E80"/>
    <w:rsid w:val="00FB3EEC"/>
    <w:rsid w:val="00FB3F00"/>
    <w:rsid w:val="00FB3F21"/>
    <w:rsid w:val="00FB407D"/>
    <w:rsid w:val="00FB40AE"/>
    <w:rsid w:val="00FB419B"/>
    <w:rsid w:val="00FB426A"/>
    <w:rsid w:val="00FB4338"/>
    <w:rsid w:val="00FB43A0"/>
    <w:rsid w:val="00FB4463"/>
    <w:rsid w:val="00FB4589"/>
    <w:rsid w:val="00FB46AB"/>
    <w:rsid w:val="00FB46B6"/>
    <w:rsid w:val="00FB483E"/>
    <w:rsid w:val="00FB489A"/>
    <w:rsid w:val="00FB48DB"/>
    <w:rsid w:val="00FB4907"/>
    <w:rsid w:val="00FB4C16"/>
    <w:rsid w:val="00FB4C2E"/>
    <w:rsid w:val="00FB4C4A"/>
    <w:rsid w:val="00FB4CCE"/>
    <w:rsid w:val="00FB4D58"/>
    <w:rsid w:val="00FB4D85"/>
    <w:rsid w:val="00FB4DA7"/>
    <w:rsid w:val="00FB4EBF"/>
    <w:rsid w:val="00FB4F15"/>
    <w:rsid w:val="00FB5137"/>
    <w:rsid w:val="00FB519F"/>
    <w:rsid w:val="00FB51E4"/>
    <w:rsid w:val="00FB5254"/>
    <w:rsid w:val="00FB53E0"/>
    <w:rsid w:val="00FB53F1"/>
    <w:rsid w:val="00FB54BC"/>
    <w:rsid w:val="00FB55D7"/>
    <w:rsid w:val="00FB5644"/>
    <w:rsid w:val="00FB5664"/>
    <w:rsid w:val="00FB56F6"/>
    <w:rsid w:val="00FB5807"/>
    <w:rsid w:val="00FB5836"/>
    <w:rsid w:val="00FB5864"/>
    <w:rsid w:val="00FB5878"/>
    <w:rsid w:val="00FB5893"/>
    <w:rsid w:val="00FB58D9"/>
    <w:rsid w:val="00FB58ED"/>
    <w:rsid w:val="00FB592E"/>
    <w:rsid w:val="00FB5970"/>
    <w:rsid w:val="00FB59AF"/>
    <w:rsid w:val="00FB59CB"/>
    <w:rsid w:val="00FB5A63"/>
    <w:rsid w:val="00FB5C9B"/>
    <w:rsid w:val="00FB5CAA"/>
    <w:rsid w:val="00FB5D59"/>
    <w:rsid w:val="00FB5E09"/>
    <w:rsid w:val="00FB5E1A"/>
    <w:rsid w:val="00FB5ED6"/>
    <w:rsid w:val="00FB5ED8"/>
    <w:rsid w:val="00FB5EDE"/>
    <w:rsid w:val="00FB5EFE"/>
    <w:rsid w:val="00FB5F4A"/>
    <w:rsid w:val="00FB5F7B"/>
    <w:rsid w:val="00FB60BD"/>
    <w:rsid w:val="00FB6151"/>
    <w:rsid w:val="00FB6234"/>
    <w:rsid w:val="00FB6258"/>
    <w:rsid w:val="00FB6294"/>
    <w:rsid w:val="00FB629B"/>
    <w:rsid w:val="00FB62A3"/>
    <w:rsid w:val="00FB62C6"/>
    <w:rsid w:val="00FB62E2"/>
    <w:rsid w:val="00FB62FC"/>
    <w:rsid w:val="00FB631B"/>
    <w:rsid w:val="00FB649B"/>
    <w:rsid w:val="00FB64A8"/>
    <w:rsid w:val="00FB664B"/>
    <w:rsid w:val="00FB66A8"/>
    <w:rsid w:val="00FB66CC"/>
    <w:rsid w:val="00FB66EE"/>
    <w:rsid w:val="00FB6999"/>
    <w:rsid w:val="00FB6A25"/>
    <w:rsid w:val="00FB6B49"/>
    <w:rsid w:val="00FB6B7A"/>
    <w:rsid w:val="00FB6DB4"/>
    <w:rsid w:val="00FB6DFF"/>
    <w:rsid w:val="00FB6EBF"/>
    <w:rsid w:val="00FB6F0F"/>
    <w:rsid w:val="00FB6FA1"/>
    <w:rsid w:val="00FB6FD1"/>
    <w:rsid w:val="00FB70BB"/>
    <w:rsid w:val="00FB7140"/>
    <w:rsid w:val="00FB71BD"/>
    <w:rsid w:val="00FB725B"/>
    <w:rsid w:val="00FB73DD"/>
    <w:rsid w:val="00FB7492"/>
    <w:rsid w:val="00FB753F"/>
    <w:rsid w:val="00FB75D2"/>
    <w:rsid w:val="00FB7631"/>
    <w:rsid w:val="00FB7682"/>
    <w:rsid w:val="00FB7727"/>
    <w:rsid w:val="00FB7831"/>
    <w:rsid w:val="00FB78B6"/>
    <w:rsid w:val="00FB7A1B"/>
    <w:rsid w:val="00FB7A54"/>
    <w:rsid w:val="00FB7AD4"/>
    <w:rsid w:val="00FB7CCD"/>
    <w:rsid w:val="00FB7E1E"/>
    <w:rsid w:val="00FB7E23"/>
    <w:rsid w:val="00FB7E30"/>
    <w:rsid w:val="00FB7E35"/>
    <w:rsid w:val="00FB7E61"/>
    <w:rsid w:val="00FB7F02"/>
    <w:rsid w:val="00FB7FBA"/>
    <w:rsid w:val="00FB7FC4"/>
    <w:rsid w:val="00FC006F"/>
    <w:rsid w:val="00FC00D0"/>
    <w:rsid w:val="00FC0128"/>
    <w:rsid w:val="00FC0178"/>
    <w:rsid w:val="00FC0193"/>
    <w:rsid w:val="00FC025D"/>
    <w:rsid w:val="00FC027D"/>
    <w:rsid w:val="00FC0281"/>
    <w:rsid w:val="00FC03B1"/>
    <w:rsid w:val="00FC03C6"/>
    <w:rsid w:val="00FC0447"/>
    <w:rsid w:val="00FC047F"/>
    <w:rsid w:val="00FC0687"/>
    <w:rsid w:val="00FC06F4"/>
    <w:rsid w:val="00FC0717"/>
    <w:rsid w:val="00FC07DC"/>
    <w:rsid w:val="00FC0811"/>
    <w:rsid w:val="00FC0822"/>
    <w:rsid w:val="00FC084D"/>
    <w:rsid w:val="00FC0886"/>
    <w:rsid w:val="00FC0969"/>
    <w:rsid w:val="00FC098C"/>
    <w:rsid w:val="00FC0A79"/>
    <w:rsid w:val="00FC0CA3"/>
    <w:rsid w:val="00FC0CA4"/>
    <w:rsid w:val="00FC0D78"/>
    <w:rsid w:val="00FC0D94"/>
    <w:rsid w:val="00FC0EAF"/>
    <w:rsid w:val="00FC0F10"/>
    <w:rsid w:val="00FC0F58"/>
    <w:rsid w:val="00FC0F9C"/>
    <w:rsid w:val="00FC112B"/>
    <w:rsid w:val="00FC11A7"/>
    <w:rsid w:val="00FC120A"/>
    <w:rsid w:val="00FC1222"/>
    <w:rsid w:val="00FC137B"/>
    <w:rsid w:val="00FC13AD"/>
    <w:rsid w:val="00FC1413"/>
    <w:rsid w:val="00FC14A8"/>
    <w:rsid w:val="00FC1685"/>
    <w:rsid w:val="00FC175E"/>
    <w:rsid w:val="00FC1854"/>
    <w:rsid w:val="00FC18AB"/>
    <w:rsid w:val="00FC198D"/>
    <w:rsid w:val="00FC1B82"/>
    <w:rsid w:val="00FC1BC6"/>
    <w:rsid w:val="00FC1D47"/>
    <w:rsid w:val="00FC1D5C"/>
    <w:rsid w:val="00FC1DA5"/>
    <w:rsid w:val="00FC1E19"/>
    <w:rsid w:val="00FC1E20"/>
    <w:rsid w:val="00FC1E8F"/>
    <w:rsid w:val="00FC1EF0"/>
    <w:rsid w:val="00FC1F61"/>
    <w:rsid w:val="00FC2056"/>
    <w:rsid w:val="00FC233B"/>
    <w:rsid w:val="00FC23DD"/>
    <w:rsid w:val="00FC23E6"/>
    <w:rsid w:val="00FC2448"/>
    <w:rsid w:val="00FC2468"/>
    <w:rsid w:val="00FC2634"/>
    <w:rsid w:val="00FC289C"/>
    <w:rsid w:val="00FC2928"/>
    <w:rsid w:val="00FC2959"/>
    <w:rsid w:val="00FC2CB8"/>
    <w:rsid w:val="00FC2D68"/>
    <w:rsid w:val="00FC2E22"/>
    <w:rsid w:val="00FC2E74"/>
    <w:rsid w:val="00FC2EA4"/>
    <w:rsid w:val="00FC2EC0"/>
    <w:rsid w:val="00FC2F00"/>
    <w:rsid w:val="00FC2F6E"/>
    <w:rsid w:val="00FC3027"/>
    <w:rsid w:val="00FC3049"/>
    <w:rsid w:val="00FC31DD"/>
    <w:rsid w:val="00FC32BC"/>
    <w:rsid w:val="00FC32E3"/>
    <w:rsid w:val="00FC3631"/>
    <w:rsid w:val="00FC363B"/>
    <w:rsid w:val="00FC36BA"/>
    <w:rsid w:val="00FC36E9"/>
    <w:rsid w:val="00FC383F"/>
    <w:rsid w:val="00FC3A66"/>
    <w:rsid w:val="00FC3C02"/>
    <w:rsid w:val="00FC3C6B"/>
    <w:rsid w:val="00FC3E65"/>
    <w:rsid w:val="00FC3F06"/>
    <w:rsid w:val="00FC3FCC"/>
    <w:rsid w:val="00FC3FEF"/>
    <w:rsid w:val="00FC40E6"/>
    <w:rsid w:val="00FC4101"/>
    <w:rsid w:val="00FC41B8"/>
    <w:rsid w:val="00FC439B"/>
    <w:rsid w:val="00FC43D7"/>
    <w:rsid w:val="00FC45B2"/>
    <w:rsid w:val="00FC480D"/>
    <w:rsid w:val="00FC4915"/>
    <w:rsid w:val="00FC4A2B"/>
    <w:rsid w:val="00FC4A47"/>
    <w:rsid w:val="00FC4ACF"/>
    <w:rsid w:val="00FC4AE7"/>
    <w:rsid w:val="00FC4B2B"/>
    <w:rsid w:val="00FC4B9B"/>
    <w:rsid w:val="00FC4CA9"/>
    <w:rsid w:val="00FC4CBF"/>
    <w:rsid w:val="00FC4D1D"/>
    <w:rsid w:val="00FC4EE2"/>
    <w:rsid w:val="00FC4FC5"/>
    <w:rsid w:val="00FC4FFD"/>
    <w:rsid w:val="00FC5042"/>
    <w:rsid w:val="00FC5120"/>
    <w:rsid w:val="00FC51FB"/>
    <w:rsid w:val="00FC5204"/>
    <w:rsid w:val="00FC5269"/>
    <w:rsid w:val="00FC535A"/>
    <w:rsid w:val="00FC543A"/>
    <w:rsid w:val="00FC54B9"/>
    <w:rsid w:val="00FC5578"/>
    <w:rsid w:val="00FC55A6"/>
    <w:rsid w:val="00FC55EF"/>
    <w:rsid w:val="00FC5805"/>
    <w:rsid w:val="00FC580C"/>
    <w:rsid w:val="00FC58EF"/>
    <w:rsid w:val="00FC59A7"/>
    <w:rsid w:val="00FC59BF"/>
    <w:rsid w:val="00FC5DD8"/>
    <w:rsid w:val="00FC5F02"/>
    <w:rsid w:val="00FC5F80"/>
    <w:rsid w:val="00FC60FA"/>
    <w:rsid w:val="00FC611D"/>
    <w:rsid w:val="00FC613C"/>
    <w:rsid w:val="00FC61C4"/>
    <w:rsid w:val="00FC6220"/>
    <w:rsid w:val="00FC6229"/>
    <w:rsid w:val="00FC626A"/>
    <w:rsid w:val="00FC6299"/>
    <w:rsid w:val="00FC62DE"/>
    <w:rsid w:val="00FC65D0"/>
    <w:rsid w:val="00FC66D1"/>
    <w:rsid w:val="00FC6773"/>
    <w:rsid w:val="00FC6804"/>
    <w:rsid w:val="00FC68AF"/>
    <w:rsid w:val="00FC6A6E"/>
    <w:rsid w:val="00FC6A86"/>
    <w:rsid w:val="00FC6A88"/>
    <w:rsid w:val="00FC6ABE"/>
    <w:rsid w:val="00FC6B49"/>
    <w:rsid w:val="00FC6B7F"/>
    <w:rsid w:val="00FC6B83"/>
    <w:rsid w:val="00FC6BB7"/>
    <w:rsid w:val="00FC6C55"/>
    <w:rsid w:val="00FC6C8A"/>
    <w:rsid w:val="00FC6CE5"/>
    <w:rsid w:val="00FC6E39"/>
    <w:rsid w:val="00FC6EA6"/>
    <w:rsid w:val="00FC6EF5"/>
    <w:rsid w:val="00FC6F8A"/>
    <w:rsid w:val="00FC6FF3"/>
    <w:rsid w:val="00FC715C"/>
    <w:rsid w:val="00FC72E6"/>
    <w:rsid w:val="00FC73EA"/>
    <w:rsid w:val="00FC748B"/>
    <w:rsid w:val="00FC7550"/>
    <w:rsid w:val="00FC7652"/>
    <w:rsid w:val="00FC77FB"/>
    <w:rsid w:val="00FC7919"/>
    <w:rsid w:val="00FC7A7A"/>
    <w:rsid w:val="00FC7A9B"/>
    <w:rsid w:val="00FC7B20"/>
    <w:rsid w:val="00FC7BEA"/>
    <w:rsid w:val="00FC7BF0"/>
    <w:rsid w:val="00FC7F0A"/>
    <w:rsid w:val="00FD0013"/>
    <w:rsid w:val="00FD0075"/>
    <w:rsid w:val="00FD00A8"/>
    <w:rsid w:val="00FD00C1"/>
    <w:rsid w:val="00FD01F0"/>
    <w:rsid w:val="00FD023A"/>
    <w:rsid w:val="00FD02FC"/>
    <w:rsid w:val="00FD03EC"/>
    <w:rsid w:val="00FD04B6"/>
    <w:rsid w:val="00FD0779"/>
    <w:rsid w:val="00FD086C"/>
    <w:rsid w:val="00FD08F8"/>
    <w:rsid w:val="00FD0942"/>
    <w:rsid w:val="00FD0A03"/>
    <w:rsid w:val="00FD0AD7"/>
    <w:rsid w:val="00FD0B7B"/>
    <w:rsid w:val="00FD0B90"/>
    <w:rsid w:val="00FD0BA8"/>
    <w:rsid w:val="00FD0D5D"/>
    <w:rsid w:val="00FD0DBC"/>
    <w:rsid w:val="00FD0E5C"/>
    <w:rsid w:val="00FD0EFB"/>
    <w:rsid w:val="00FD1023"/>
    <w:rsid w:val="00FD11FF"/>
    <w:rsid w:val="00FD13A1"/>
    <w:rsid w:val="00FD1456"/>
    <w:rsid w:val="00FD1505"/>
    <w:rsid w:val="00FD1715"/>
    <w:rsid w:val="00FD1811"/>
    <w:rsid w:val="00FD181B"/>
    <w:rsid w:val="00FD1859"/>
    <w:rsid w:val="00FD1989"/>
    <w:rsid w:val="00FD1A1D"/>
    <w:rsid w:val="00FD1A2D"/>
    <w:rsid w:val="00FD1C02"/>
    <w:rsid w:val="00FD1C51"/>
    <w:rsid w:val="00FD1CB2"/>
    <w:rsid w:val="00FD1CDD"/>
    <w:rsid w:val="00FD1CF2"/>
    <w:rsid w:val="00FD1D9C"/>
    <w:rsid w:val="00FD1E88"/>
    <w:rsid w:val="00FD1EEC"/>
    <w:rsid w:val="00FD1FA7"/>
    <w:rsid w:val="00FD2017"/>
    <w:rsid w:val="00FD202C"/>
    <w:rsid w:val="00FD21BF"/>
    <w:rsid w:val="00FD2367"/>
    <w:rsid w:val="00FD2493"/>
    <w:rsid w:val="00FD24D0"/>
    <w:rsid w:val="00FD2568"/>
    <w:rsid w:val="00FD2719"/>
    <w:rsid w:val="00FD291B"/>
    <w:rsid w:val="00FD2934"/>
    <w:rsid w:val="00FD299A"/>
    <w:rsid w:val="00FD2A5C"/>
    <w:rsid w:val="00FD2AEB"/>
    <w:rsid w:val="00FD2B1E"/>
    <w:rsid w:val="00FD2B95"/>
    <w:rsid w:val="00FD2E97"/>
    <w:rsid w:val="00FD2EA2"/>
    <w:rsid w:val="00FD2FAD"/>
    <w:rsid w:val="00FD2FC9"/>
    <w:rsid w:val="00FD2FCB"/>
    <w:rsid w:val="00FD304E"/>
    <w:rsid w:val="00FD305B"/>
    <w:rsid w:val="00FD3096"/>
    <w:rsid w:val="00FD30A3"/>
    <w:rsid w:val="00FD3137"/>
    <w:rsid w:val="00FD3194"/>
    <w:rsid w:val="00FD3383"/>
    <w:rsid w:val="00FD33E6"/>
    <w:rsid w:val="00FD3428"/>
    <w:rsid w:val="00FD37F1"/>
    <w:rsid w:val="00FD3814"/>
    <w:rsid w:val="00FD3A88"/>
    <w:rsid w:val="00FD3A9B"/>
    <w:rsid w:val="00FD3AC0"/>
    <w:rsid w:val="00FD3B11"/>
    <w:rsid w:val="00FD3B53"/>
    <w:rsid w:val="00FD3CAA"/>
    <w:rsid w:val="00FD3CE1"/>
    <w:rsid w:val="00FD3F63"/>
    <w:rsid w:val="00FD3F65"/>
    <w:rsid w:val="00FD4073"/>
    <w:rsid w:val="00FD40E1"/>
    <w:rsid w:val="00FD4113"/>
    <w:rsid w:val="00FD4306"/>
    <w:rsid w:val="00FD4369"/>
    <w:rsid w:val="00FD43D7"/>
    <w:rsid w:val="00FD4490"/>
    <w:rsid w:val="00FD45DA"/>
    <w:rsid w:val="00FD4641"/>
    <w:rsid w:val="00FD482D"/>
    <w:rsid w:val="00FD48B6"/>
    <w:rsid w:val="00FD48CE"/>
    <w:rsid w:val="00FD4911"/>
    <w:rsid w:val="00FD4964"/>
    <w:rsid w:val="00FD4AC4"/>
    <w:rsid w:val="00FD4BDF"/>
    <w:rsid w:val="00FD4C59"/>
    <w:rsid w:val="00FD4CCB"/>
    <w:rsid w:val="00FD4DB1"/>
    <w:rsid w:val="00FD4DCF"/>
    <w:rsid w:val="00FD4EA3"/>
    <w:rsid w:val="00FD4EFC"/>
    <w:rsid w:val="00FD5018"/>
    <w:rsid w:val="00FD502D"/>
    <w:rsid w:val="00FD51F7"/>
    <w:rsid w:val="00FD5338"/>
    <w:rsid w:val="00FD5350"/>
    <w:rsid w:val="00FD53CD"/>
    <w:rsid w:val="00FD5475"/>
    <w:rsid w:val="00FD54CB"/>
    <w:rsid w:val="00FD54CC"/>
    <w:rsid w:val="00FD556D"/>
    <w:rsid w:val="00FD57B6"/>
    <w:rsid w:val="00FD58CB"/>
    <w:rsid w:val="00FD593A"/>
    <w:rsid w:val="00FD5AC5"/>
    <w:rsid w:val="00FD5B8A"/>
    <w:rsid w:val="00FD5BD2"/>
    <w:rsid w:val="00FD5C43"/>
    <w:rsid w:val="00FD5CBA"/>
    <w:rsid w:val="00FD5DD7"/>
    <w:rsid w:val="00FD5E02"/>
    <w:rsid w:val="00FD5EE1"/>
    <w:rsid w:val="00FD5F00"/>
    <w:rsid w:val="00FD609A"/>
    <w:rsid w:val="00FD60D9"/>
    <w:rsid w:val="00FD60FC"/>
    <w:rsid w:val="00FD6402"/>
    <w:rsid w:val="00FD643A"/>
    <w:rsid w:val="00FD6481"/>
    <w:rsid w:val="00FD65B6"/>
    <w:rsid w:val="00FD6623"/>
    <w:rsid w:val="00FD6804"/>
    <w:rsid w:val="00FD68CC"/>
    <w:rsid w:val="00FD6941"/>
    <w:rsid w:val="00FD69E9"/>
    <w:rsid w:val="00FD6A0B"/>
    <w:rsid w:val="00FD6A3E"/>
    <w:rsid w:val="00FD6B18"/>
    <w:rsid w:val="00FD6C24"/>
    <w:rsid w:val="00FD6C5D"/>
    <w:rsid w:val="00FD6DB8"/>
    <w:rsid w:val="00FD6DEB"/>
    <w:rsid w:val="00FD6E93"/>
    <w:rsid w:val="00FD6E9C"/>
    <w:rsid w:val="00FD6FEE"/>
    <w:rsid w:val="00FD7049"/>
    <w:rsid w:val="00FD70DE"/>
    <w:rsid w:val="00FD718B"/>
    <w:rsid w:val="00FD73BF"/>
    <w:rsid w:val="00FD7430"/>
    <w:rsid w:val="00FD76A9"/>
    <w:rsid w:val="00FD76B5"/>
    <w:rsid w:val="00FD76BC"/>
    <w:rsid w:val="00FD7A23"/>
    <w:rsid w:val="00FD7A6B"/>
    <w:rsid w:val="00FD7BAA"/>
    <w:rsid w:val="00FD7BF4"/>
    <w:rsid w:val="00FD7C3E"/>
    <w:rsid w:val="00FD7C56"/>
    <w:rsid w:val="00FD7CCF"/>
    <w:rsid w:val="00FD7D37"/>
    <w:rsid w:val="00FD7DBE"/>
    <w:rsid w:val="00FD7E37"/>
    <w:rsid w:val="00FD7EAC"/>
    <w:rsid w:val="00FD7F78"/>
    <w:rsid w:val="00FE0056"/>
    <w:rsid w:val="00FE0093"/>
    <w:rsid w:val="00FE00DF"/>
    <w:rsid w:val="00FE00EC"/>
    <w:rsid w:val="00FE024F"/>
    <w:rsid w:val="00FE028D"/>
    <w:rsid w:val="00FE02C0"/>
    <w:rsid w:val="00FE037D"/>
    <w:rsid w:val="00FE0415"/>
    <w:rsid w:val="00FE0560"/>
    <w:rsid w:val="00FE0566"/>
    <w:rsid w:val="00FE0722"/>
    <w:rsid w:val="00FE0816"/>
    <w:rsid w:val="00FE0828"/>
    <w:rsid w:val="00FE0859"/>
    <w:rsid w:val="00FE08B2"/>
    <w:rsid w:val="00FE09F1"/>
    <w:rsid w:val="00FE09F3"/>
    <w:rsid w:val="00FE0A4C"/>
    <w:rsid w:val="00FE0AB5"/>
    <w:rsid w:val="00FE0B88"/>
    <w:rsid w:val="00FE0BCB"/>
    <w:rsid w:val="00FE0CE9"/>
    <w:rsid w:val="00FE0DE9"/>
    <w:rsid w:val="00FE0E78"/>
    <w:rsid w:val="00FE0EA5"/>
    <w:rsid w:val="00FE0ED9"/>
    <w:rsid w:val="00FE0F66"/>
    <w:rsid w:val="00FE0FD2"/>
    <w:rsid w:val="00FE1053"/>
    <w:rsid w:val="00FE11EB"/>
    <w:rsid w:val="00FE1212"/>
    <w:rsid w:val="00FE128E"/>
    <w:rsid w:val="00FE1384"/>
    <w:rsid w:val="00FE1512"/>
    <w:rsid w:val="00FE1545"/>
    <w:rsid w:val="00FE1667"/>
    <w:rsid w:val="00FE1686"/>
    <w:rsid w:val="00FE16D2"/>
    <w:rsid w:val="00FE1746"/>
    <w:rsid w:val="00FE178C"/>
    <w:rsid w:val="00FE17CA"/>
    <w:rsid w:val="00FE180E"/>
    <w:rsid w:val="00FE18B3"/>
    <w:rsid w:val="00FE1A89"/>
    <w:rsid w:val="00FE1AA5"/>
    <w:rsid w:val="00FE1BD0"/>
    <w:rsid w:val="00FE1E97"/>
    <w:rsid w:val="00FE206D"/>
    <w:rsid w:val="00FE2083"/>
    <w:rsid w:val="00FE20DE"/>
    <w:rsid w:val="00FE2134"/>
    <w:rsid w:val="00FE220B"/>
    <w:rsid w:val="00FE2256"/>
    <w:rsid w:val="00FE228C"/>
    <w:rsid w:val="00FE231F"/>
    <w:rsid w:val="00FE2418"/>
    <w:rsid w:val="00FE2442"/>
    <w:rsid w:val="00FE24ED"/>
    <w:rsid w:val="00FE2511"/>
    <w:rsid w:val="00FE25BA"/>
    <w:rsid w:val="00FE25C6"/>
    <w:rsid w:val="00FE2642"/>
    <w:rsid w:val="00FE2688"/>
    <w:rsid w:val="00FE26B6"/>
    <w:rsid w:val="00FE2718"/>
    <w:rsid w:val="00FE277A"/>
    <w:rsid w:val="00FE27D6"/>
    <w:rsid w:val="00FE2852"/>
    <w:rsid w:val="00FE289A"/>
    <w:rsid w:val="00FE2A6E"/>
    <w:rsid w:val="00FE2A7D"/>
    <w:rsid w:val="00FE2AAE"/>
    <w:rsid w:val="00FE2ABC"/>
    <w:rsid w:val="00FE2BE8"/>
    <w:rsid w:val="00FE2BF5"/>
    <w:rsid w:val="00FE2D03"/>
    <w:rsid w:val="00FE2D37"/>
    <w:rsid w:val="00FE2D47"/>
    <w:rsid w:val="00FE2D5D"/>
    <w:rsid w:val="00FE2DCF"/>
    <w:rsid w:val="00FE2E15"/>
    <w:rsid w:val="00FE2E3C"/>
    <w:rsid w:val="00FE2F19"/>
    <w:rsid w:val="00FE2F77"/>
    <w:rsid w:val="00FE2FF1"/>
    <w:rsid w:val="00FE3031"/>
    <w:rsid w:val="00FE3239"/>
    <w:rsid w:val="00FE3250"/>
    <w:rsid w:val="00FE33D4"/>
    <w:rsid w:val="00FE3538"/>
    <w:rsid w:val="00FE356A"/>
    <w:rsid w:val="00FE3635"/>
    <w:rsid w:val="00FE3795"/>
    <w:rsid w:val="00FE381A"/>
    <w:rsid w:val="00FE3825"/>
    <w:rsid w:val="00FE3950"/>
    <w:rsid w:val="00FE398C"/>
    <w:rsid w:val="00FE3A16"/>
    <w:rsid w:val="00FE3CF4"/>
    <w:rsid w:val="00FE3EB3"/>
    <w:rsid w:val="00FE3EC8"/>
    <w:rsid w:val="00FE3F78"/>
    <w:rsid w:val="00FE41E5"/>
    <w:rsid w:val="00FE4273"/>
    <w:rsid w:val="00FE42EE"/>
    <w:rsid w:val="00FE4370"/>
    <w:rsid w:val="00FE46A8"/>
    <w:rsid w:val="00FE47FC"/>
    <w:rsid w:val="00FE4813"/>
    <w:rsid w:val="00FE4822"/>
    <w:rsid w:val="00FE48B8"/>
    <w:rsid w:val="00FE4920"/>
    <w:rsid w:val="00FE4932"/>
    <w:rsid w:val="00FE4A97"/>
    <w:rsid w:val="00FE4B40"/>
    <w:rsid w:val="00FE4B46"/>
    <w:rsid w:val="00FE4C07"/>
    <w:rsid w:val="00FE4C3E"/>
    <w:rsid w:val="00FE4C68"/>
    <w:rsid w:val="00FE4F4C"/>
    <w:rsid w:val="00FE4FEE"/>
    <w:rsid w:val="00FE51B3"/>
    <w:rsid w:val="00FE51D9"/>
    <w:rsid w:val="00FE52DA"/>
    <w:rsid w:val="00FE544A"/>
    <w:rsid w:val="00FE54DD"/>
    <w:rsid w:val="00FE561E"/>
    <w:rsid w:val="00FE5692"/>
    <w:rsid w:val="00FE573B"/>
    <w:rsid w:val="00FE5787"/>
    <w:rsid w:val="00FE57BB"/>
    <w:rsid w:val="00FE5800"/>
    <w:rsid w:val="00FE58C4"/>
    <w:rsid w:val="00FE5924"/>
    <w:rsid w:val="00FE59A9"/>
    <w:rsid w:val="00FE59F8"/>
    <w:rsid w:val="00FE5A84"/>
    <w:rsid w:val="00FE5AC8"/>
    <w:rsid w:val="00FE5BD4"/>
    <w:rsid w:val="00FE5C7E"/>
    <w:rsid w:val="00FE5C8C"/>
    <w:rsid w:val="00FE5D15"/>
    <w:rsid w:val="00FE5DD4"/>
    <w:rsid w:val="00FE5FE5"/>
    <w:rsid w:val="00FE6032"/>
    <w:rsid w:val="00FE62AC"/>
    <w:rsid w:val="00FE62DA"/>
    <w:rsid w:val="00FE6448"/>
    <w:rsid w:val="00FE646D"/>
    <w:rsid w:val="00FE64DF"/>
    <w:rsid w:val="00FE64F0"/>
    <w:rsid w:val="00FE6551"/>
    <w:rsid w:val="00FE65C8"/>
    <w:rsid w:val="00FE67AC"/>
    <w:rsid w:val="00FE67C9"/>
    <w:rsid w:val="00FE6965"/>
    <w:rsid w:val="00FE69EC"/>
    <w:rsid w:val="00FE6A0F"/>
    <w:rsid w:val="00FE6BA3"/>
    <w:rsid w:val="00FE6BB6"/>
    <w:rsid w:val="00FE6C31"/>
    <w:rsid w:val="00FE6DEB"/>
    <w:rsid w:val="00FE6DFD"/>
    <w:rsid w:val="00FE6E5F"/>
    <w:rsid w:val="00FE6F47"/>
    <w:rsid w:val="00FE6FA5"/>
    <w:rsid w:val="00FE6FEB"/>
    <w:rsid w:val="00FE7012"/>
    <w:rsid w:val="00FE7141"/>
    <w:rsid w:val="00FE7211"/>
    <w:rsid w:val="00FE722B"/>
    <w:rsid w:val="00FE7347"/>
    <w:rsid w:val="00FE734E"/>
    <w:rsid w:val="00FE7356"/>
    <w:rsid w:val="00FE73BF"/>
    <w:rsid w:val="00FE7477"/>
    <w:rsid w:val="00FE74A2"/>
    <w:rsid w:val="00FE74C2"/>
    <w:rsid w:val="00FE74E8"/>
    <w:rsid w:val="00FE7550"/>
    <w:rsid w:val="00FE756D"/>
    <w:rsid w:val="00FE75D6"/>
    <w:rsid w:val="00FE770B"/>
    <w:rsid w:val="00FE7801"/>
    <w:rsid w:val="00FE782C"/>
    <w:rsid w:val="00FE78F0"/>
    <w:rsid w:val="00FE7996"/>
    <w:rsid w:val="00FE79D0"/>
    <w:rsid w:val="00FE7B29"/>
    <w:rsid w:val="00FE7B51"/>
    <w:rsid w:val="00FE7B54"/>
    <w:rsid w:val="00FE7CA3"/>
    <w:rsid w:val="00FE7E42"/>
    <w:rsid w:val="00FE7F41"/>
    <w:rsid w:val="00FE7FB2"/>
    <w:rsid w:val="00FE7FEB"/>
    <w:rsid w:val="00FF0006"/>
    <w:rsid w:val="00FF0039"/>
    <w:rsid w:val="00FF008F"/>
    <w:rsid w:val="00FF0134"/>
    <w:rsid w:val="00FF021B"/>
    <w:rsid w:val="00FF0379"/>
    <w:rsid w:val="00FF045C"/>
    <w:rsid w:val="00FF04C1"/>
    <w:rsid w:val="00FF0550"/>
    <w:rsid w:val="00FF05DB"/>
    <w:rsid w:val="00FF0623"/>
    <w:rsid w:val="00FF064B"/>
    <w:rsid w:val="00FF07E2"/>
    <w:rsid w:val="00FF07EF"/>
    <w:rsid w:val="00FF0822"/>
    <w:rsid w:val="00FF089C"/>
    <w:rsid w:val="00FF08F3"/>
    <w:rsid w:val="00FF09BD"/>
    <w:rsid w:val="00FF0ADE"/>
    <w:rsid w:val="00FF0B2E"/>
    <w:rsid w:val="00FF0B7E"/>
    <w:rsid w:val="00FF0BD6"/>
    <w:rsid w:val="00FF0C1A"/>
    <w:rsid w:val="00FF0C5C"/>
    <w:rsid w:val="00FF0C6A"/>
    <w:rsid w:val="00FF0CC1"/>
    <w:rsid w:val="00FF0DC8"/>
    <w:rsid w:val="00FF0DDC"/>
    <w:rsid w:val="00FF0EAC"/>
    <w:rsid w:val="00FF0EC0"/>
    <w:rsid w:val="00FF0FA0"/>
    <w:rsid w:val="00FF0FE2"/>
    <w:rsid w:val="00FF117B"/>
    <w:rsid w:val="00FF1214"/>
    <w:rsid w:val="00FF12A6"/>
    <w:rsid w:val="00FF13F6"/>
    <w:rsid w:val="00FF14C6"/>
    <w:rsid w:val="00FF14CB"/>
    <w:rsid w:val="00FF14DB"/>
    <w:rsid w:val="00FF1587"/>
    <w:rsid w:val="00FF1592"/>
    <w:rsid w:val="00FF15A2"/>
    <w:rsid w:val="00FF16F1"/>
    <w:rsid w:val="00FF172D"/>
    <w:rsid w:val="00FF1839"/>
    <w:rsid w:val="00FF18BD"/>
    <w:rsid w:val="00FF19FF"/>
    <w:rsid w:val="00FF1B4F"/>
    <w:rsid w:val="00FF1B7E"/>
    <w:rsid w:val="00FF1B88"/>
    <w:rsid w:val="00FF1B8F"/>
    <w:rsid w:val="00FF1E6D"/>
    <w:rsid w:val="00FF1E6E"/>
    <w:rsid w:val="00FF1F8C"/>
    <w:rsid w:val="00FF1F92"/>
    <w:rsid w:val="00FF2165"/>
    <w:rsid w:val="00FF21E6"/>
    <w:rsid w:val="00FF238E"/>
    <w:rsid w:val="00FF23F6"/>
    <w:rsid w:val="00FF24AC"/>
    <w:rsid w:val="00FF2617"/>
    <w:rsid w:val="00FF2890"/>
    <w:rsid w:val="00FF28B7"/>
    <w:rsid w:val="00FF28F4"/>
    <w:rsid w:val="00FF28FA"/>
    <w:rsid w:val="00FF2B10"/>
    <w:rsid w:val="00FF2B20"/>
    <w:rsid w:val="00FF2C38"/>
    <w:rsid w:val="00FF2D01"/>
    <w:rsid w:val="00FF2D4F"/>
    <w:rsid w:val="00FF2D9C"/>
    <w:rsid w:val="00FF2DB5"/>
    <w:rsid w:val="00FF2F4F"/>
    <w:rsid w:val="00FF331D"/>
    <w:rsid w:val="00FF34F3"/>
    <w:rsid w:val="00FF3688"/>
    <w:rsid w:val="00FF36C5"/>
    <w:rsid w:val="00FF36FD"/>
    <w:rsid w:val="00FF3714"/>
    <w:rsid w:val="00FF3791"/>
    <w:rsid w:val="00FF3849"/>
    <w:rsid w:val="00FF3895"/>
    <w:rsid w:val="00FF38D2"/>
    <w:rsid w:val="00FF390A"/>
    <w:rsid w:val="00FF3987"/>
    <w:rsid w:val="00FF3AA2"/>
    <w:rsid w:val="00FF3BBF"/>
    <w:rsid w:val="00FF3C55"/>
    <w:rsid w:val="00FF3D58"/>
    <w:rsid w:val="00FF3EC2"/>
    <w:rsid w:val="00FF40D7"/>
    <w:rsid w:val="00FF41B8"/>
    <w:rsid w:val="00FF41C8"/>
    <w:rsid w:val="00FF4475"/>
    <w:rsid w:val="00FF448C"/>
    <w:rsid w:val="00FF44A2"/>
    <w:rsid w:val="00FF450B"/>
    <w:rsid w:val="00FF482C"/>
    <w:rsid w:val="00FF4913"/>
    <w:rsid w:val="00FF4959"/>
    <w:rsid w:val="00FF4A07"/>
    <w:rsid w:val="00FF4A19"/>
    <w:rsid w:val="00FF4A50"/>
    <w:rsid w:val="00FF4AF0"/>
    <w:rsid w:val="00FF4AFE"/>
    <w:rsid w:val="00FF4B69"/>
    <w:rsid w:val="00FF4E5A"/>
    <w:rsid w:val="00FF4EA8"/>
    <w:rsid w:val="00FF4F93"/>
    <w:rsid w:val="00FF4FA7"/>
    <w:rsid w:val="00FF4FDB"/>
    <w:rsid w:val="00FF5008"/>
    <w:rsid w:val="00FF50E0"/>
    <w:rsid w:val="00FF5159"/>
    <w:rsid w:val="00FF515C"/>
    <w:rsid w:val="00FF51E3"/>
    <w:rsid w:val="00FF53B0"/>
    <w:rsid w:val="00FF5483"/>
    <w:rsid w:val="00FF562A"/>
    <w:rsid w:val="00FF5675"/>
    <w:rsid w:val="00FF57FE"/>
    <w:rsid w:val="00FF5804"/>
    <w:rsid w:val="00FF589A"/>
    <w:rsid w:val="00FF59C2"/>
    <w:rsid w:val="00FF5A23"/>
    <w:rsid w:val="00FF5AEF"/>
    <w:rsid w:val="00FF5B3C"/>
    <w:rsid w:val="00FF5C5B"/>
    <w:rsid w:val="00FF5CE0"/>
    <w:rsid w:val="00FF5D97"/>
    <w:rsid w:val="00FF5F39"/>
    <w:rsid w:val="00FF6006"/>
    <w:rsid w:val="00FF6013"/>
    <w:rsid w:val="00FF6030"/>
    <w:rsid w:val="00FF6088"/>
    <w:rsid w:val="00FF60BE"/>
    <w:rsid w:val="00FF610C"/>
    <w:rsid w:val="00FF614F"/>
    <w:rsid w:val="00FF61FE"/>
    <w:rsid w:val="00FF626C"/>
    <w:rsid w:val="00FF62D3"/>
    <w:rsid w:val="00FF6319"/>
    <w:rsid w:val="00FF637C"/>
    <w:rsid w:val="00FF63E2"/>
    <w:rsid w:val="00FF6407"/>
    <w:rsid w:val="00FF652E"/>
    <w:rsid w:val="00FF6572"/>
    <w:rsid w:val="00FF65D4"/>
    <w:rsid w:val="00FF65EE"/>
    <w:rsid w:val="00FF6658"/>
    <w:rsid w:val="00FF66F6"/>
    <w:rsid w:val="00FF689E"/>
    <w:rsid w:val="00FF68CA"/>
    <w:rsid w:val="00FF68E2"/>
    <w:rsid w:val="00FF6A9F"/>
    <w:rsid w:val="00FF6C2E"/>
    <w:rsid w:val="00FF6C5F"/>
    <w:rsid w:val="00FF6E30"/>
    <w:rsid w:val="00FF6E75"/>
    <w:rsid w:val="00FF6E7F"/>
    <w:rsid w:val="00FF6E8E"/>
    <w:rsid w:val="00FF6EA4"/>
    <w:rsid w:val="00FF6EDE"/>
    <w:rsid w:val="00FF6FAD"/>
    <w:rsid w:val="00FF6FD3"/>
    <w:rsid w:val="00FF712A"/>
    <w:rsid w:val="00FF7194"/>
    <w:rsid w:val="00FF731C"/>
    <w:rsid w:val="00FF7389"/>
    <w:rsid w:val="00FF7548"/>
    <w:rsid w:val="00FF75D0"/>
    <w:rsid w:val="00FF760B"/>
    <w:rsid w:val="00FF7621"/>
    <w:rsid w:val="00FF7762"/>
    <w:rsid w:val="00FF78B8"/>
    <w:rsid w:val="00FF7962"/>
    <w:rsid w:val="00FF79B4"/>
    <w:rsid w:val="00FF7A62"/>
    <w:rsid w:val="00FF7A63"/>
    <w:rsid w:val="00FF7BBD"/>
    <w:rsid w:val="00FF7C6F"/>
    <w:rsid w:val="00FF7CBC"/>
    <w:rsid w:val="00FF7CD3"/>
    <w:rsid w:val="00FF7D09"/>
    <w:rsid w:val="00FF7DBB"/>
    <w:rsid w:val="00FF7E2F"/>
    <w:rsid w:val="00FF7E82"/>
    <w:rsid w:val="06D2C3A9"/>
    <w:rsid w:val="0A6E0E48"/>
    <w:rsid w:val="0C5FF377"/>
    <w:rsid w:val="0C6595FD"/>
    <w:rsid w:val="0D77EB50"/>
    <w:rsid w:val="0D8EFFB4"/>
    <w:rsid w:val="0E6E6417"/>
    <w:rsid w:val="0E6F115C"/>
    <w:rsid w:val="104C14A7"/>
    <w:rsid w:val="138CB3FB"/>
    <w:rsid w:val="138D04E1"/>
    <w:rsid w:val="13FCB000"/>
    <w:rsid w:val="15078A26"/>
    <w:rsid w:val="16D17DFE"/>
    <w:rsid w:val="1943ACDC"/>
    <w:rsid w:val="1BE69FD6"/>
    <w:rsid w:val="1C02F5F2"/>
    <w:rsid w:val="1D157688"/>
    <w:rsid w:val="219359DB"/>
    <w:rsid w:val="2350B2C7"/>
    <w:rsid w:val="2442E707"/>
    <w:rsid w:val="24BEF189"/>
    <w:rsid w:val="26AA07CD"/>
    <w:rsid w:val="272A7181"/>
    <w:rsid w:val="284D2F11"/>
    <w:rsid w:val="28ECCAB9"/>
    <w:rsid w:val="2948E8F2"/>
    <w:rsid w:val="2979990E"/>
    <w:rsid w:val="299BDBED"/>
    <w:rsid w:val="29C7954D"/>
    <w:rsid w:val="2A535F62"/>
    <w:rsid w:val="2B0695B8"/>
    <w:rsid w:val="30FF1879"/>
    <w:rsid w:val="31D79EF2"/>
    <w:rsid w:val="33AAEA88"/>
    <w:rsid w:val="3621D8C3"/>
    <w:rsid w:val="36719C91"/>
    <w:rsid w:val="388F3660"/>
    <w:rsid w:val="395CFAF6"/>
    <w:rsid w:val="39EC07AA"/>
    <w:rsid w:val="3E87550E"/>
    <w:rsid w:val="4024F8E4"/>
    <w:rsid w:val="435CD4D1"/>
    <w:rsid w:val="47FE0987"/>
    <w:rsid w:val="4873891B"/>
    <w:rsid w:val="48C140C4"/>
    <w:rsid w:val="4920528E"/>
    <w:rsid w:val="4A4B69F8"/>
    <w:rsid w:val="4B43D29A"/>
    <w:rsid w:val="4BA3A5F4"/>
    <w:rsid w:val="4BB62057"/>
    <w:rsid w:val="4C962BE5"/>
    <w:rsid w:val="539E856C"/>
    <w:rsid w:val="55CEC3A0"/>
    <w:rsid w:val="58E09F4E"/>
    <w:rsid w:val="597D3948"/>
    <w:rsid w:val="5B4DFF45"/>
    <w:rsid w:val="5FE94E88"/>
    <w:rsid w:val="62EA001E"/>
    <w:rsid w:val="6352065B"/>
    <w:rsid w:val="67A7E62B"/>
    <w:rsid w:val="697BF44B"/>
    <w:rsid w:val="69F936DB"/>
    <w:rsid w:val="6A338E50"/>
    <w:rsid w:val="6A56D3AF"/>
    <w:rsid w:val="6C6ADF50"/>
    <w:rsid w:val="6ED4E38B"/>
    <w:rsid w:val="72EDF575"/>
    <w:rsid w:val="746A4658"/>
    <w:rsid w:val="76E23036"/>
    <w:rsid w:val="7905A42E"/>
    <w:rsid w:val="794AAB5B"/>
    <w:rsid w:val="7C6DEA8B"/>
    <w:rsid w:val="7E012978"/>
    <w:rsid w:val="7E1C6D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6CD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BBF"/>
  </w:style>
  <w:style w:type="paragraph" w:styleId="Heading1">
    <w:name w:val="heading 1"/>
    <w:basedOn w:val="Normal"/>
    <w:next w:val="Normal"/>
    <w:link w:val="Heading1Char"/>
    <w:qFormat/>
    <w:rsid w:val="00640771"/>
    <w:pPr>
      <w:keepNext/>
      <w:spacing w:before="600" w:after="120" w:line="460" w:lineRule="exact"/>
      <w:outlineLvl w:val="0"/>
    </w:pPr>
    <w:rPr>
      <w:rFonts w:ascii="Calibri" w:eastAsia="Times New Roman" w:hAnsi="Calibri" w:cs="Arial"/>
      <w:b/>
      <w:color w:val="5D779D" w:themeColor="accent3"/>
      <w:kern w:val="32"/>
      <w:sz w:val="44"/>
      <w:szCs w:val="36"/>
      <w:lang w:eastAsia="en-AU"/>
      <w14:ligatures w14:val="none"/>
    </w:rPr>
  </w:style>
  <w:style w:type="paragraph" w:styleId="Heading2">
    <w:name w:val="heading 2"/>
    <w:basedOn w:val="Normal"/>
    <w:next w:val="Normal"/>
    <w:link w:val="Heading2Char"/>
    <w:uiPriority w:val="9"/>
    <w:unhideWhenUsed/>
    <w:qFormat/>
    <w:rsid w:val="00793FE4"/>
    <w:pPr>
      <w:keepNext/>
      <w:spacing w:before="360" w:after="120" w:line="460" w:lineRule="exact"/>
      <w:outlineLvl w:val="1"/>
    </w:pPr>
    <w:rPr>
      <w:rFonts w:ascii="Calibri" w:eastAsia="Times New Roman" w:hAnsi="Calibri" w:cs="Arial"/>
      <w:iCs/>
      <w:color w:val="2C384A" w:themeColor="accent1"/>
      <w:kern w:val="32"/>
      <w:sz w:val="36"/>
      <w:szCs w:val="28"/>
      <w:lang w:eastAsia="en-AU"/>
      <w14:ligatures w14:val="none"/>
    </w:rPr>
  </w:style>
  <w:style w:type="paragraph" w:styleId="Heading3">
    <w:name w:val="heading 3"/>
    <w:basedOn w:val="Normal"/>
    <w:next w:val="Normal"/>
    <w:link w:val="Heading3Char"/>
    <w:uiPriority w:val="9"/>
    <w:unhideWhenUsed/>
    <w:qFormat/>
    <w:rsid w:val="005526A7"/>
    <w:pPr>
      <w:keepNext/>
      <w:spacing w:before="320" w:after="0" w:line="276" w:lineRule="auto"/>
      <w:outlineLvl w:val="2"/>
    </w:pPr>
    <w:rPr>
      <w:rFonts w:ascii="Calibri" w:eastAsia="Times New Roman" w:hAnsi="Calibri" w:cs="Arial"/>
      <w:b/>
      <w:color w:val="4D7861" w:themeColor="accent2"/>
      <w:kern w:val="32"/>
      <w:sz w:val="28"/>
      <w:szCs w:val="26"/>
      <w:lang w:eastAsia="en-AU"/>
      <w14:ligatures w14:val="none"/>
    </w:rPr>
  </w:style>
  <w:style w:type="paragraph" w:styleId="Heading4">
    <w:name w:val="heading 4"/>
    <w:basedOn w:val="Normal"/>
    <w:next w:val="Normal"/>
    <w:link w:val="Heading4Char"/>
    <w:uiPriority w:val="9"/>
    <w:unhideWhenUsed/>
    <w:qFormat/>
    <w:rsid w:val="007274CB"/>
    <w:pPr>
      <w:keepNext/>
      <w:spacing w:before="120" w:after="120" w:line="240" w:lineRule="auto"/>
      <w:outlineLvl w:val="3"/>
    </w:pPr>
    <w:rPr>
      <w:rFonts w:ascii="Calibri Light" w:eastAsia="Times New Roman" w:hAnsi="Calibri Light" w:cs="Arial"/>
      <w:color w:val="4D7861" w:themeColor="accent2"/>
      <w:kern w:val="32"/>
      <w:sz w:val="24"/>
      <w:szCs w:val="26"/>
      <w:lang w:eastAsia="en-AU"/>
      <w14:ligatures w14:val="none"/>
    </w:rPr>
  </w:style>
  <w:style w:type="paragraph" w:styleId="Heading5">
    <w:name w:val="heading 5"/>
    <w:basedOn w:val="HeadingBase"/>
    <w:next w:val="Normal"/>
    <w:link w:val="Heading5Char"/>
    <w:rsid w:val="00385612"/>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385612"/>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Normal"/>
    <w:next w:val="Normal"/>
    <w:link w:val="Heading7Char"/>
    <w:uiPriority w:val="9"/>
    <w:unhideWhenUsed/>
    <w:qFormat/>
    <w:rsid w:val="00714F79"/>
    <w:pPr>
      <w:keepNext/>
      <w:keepLines/>
      <w:spacing w:before="40" w:after="0"/>
      <w:outlineLvl w:val="6"/>
    </w:pPr>
    <w:rPr>
      <w:rFonts w:asciiTheme="majorHAnsi" w:eastAsiaTheme="majorEastAsia" w:hAnsiTheme="majorHAnsi" w:cstheme="majorBidi"/>
      <w:i/>
      <w:iCs/>
      <w:color w:val="161B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A81"/>
    <w:pPr>
      <w:ind w:left="720"/>
      <w:contextualSpacing/>
    </w:p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6A1C63"/>
    <w:pPr>
      <w:numPr>
        <w:numId w:val="12"/>
      </w:numPr>
      <w:tabs>
        <w:tab w:val="left" w:pos="720"/>
      </w:tabs>
      <w:spacing w:after="120" w:line="276" w:lineRule="auto"/>
    </w:pPr>
    <w:rPr>
      <w:rFonts w:ascii="Calibri Light" w:eastAsia="Times New Roman" w:hAnsi="Calibri Light" w:cs="Times New Roman"/>
      <w:kern w:val="0"/>
      <w:szCs w:val="20"/>
      <w:lang w:eastAsia="en-AU"/>
      <w14:ligatures w14:val="none"/>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ParagraphFont"/>
    <w:link w:val="Bullet"/>
    <w:qFormat/>
    <w:rsid w:val="007F6F27"/>
    <w:rPr>
      <w:rFonts w:ascii="Calibri Light" w:eastAsia="Times New Roman" w:hAnsi="Calibri Light" w:cs="Times New Roman"/>
      <w:kern w:val="0"/>
      <w:szCs w:val="20"/>
      <w:lang w:eastAsia="en-AU"/>
      <w14:ligatures w14:val="none"/>
    </w:rPr>
  </w:style>
  <w:style w:type="paragraph" w:customStyle="1" w:styleId="Dash">
    <w:name w:val="Dash"/>
    <w:basedOn w:val="Bullet"/>
    <w:link w:val="DashChar"/>
    <w:qFormat/>
    <w:rsid w:val="006D7FD8"/>
    <w:pPr>
      <w:numPr>
        <w:ilvl w:val="1"/>
      </w:numPr>
      <w:tabs>
        <w:tab w:val="clear" w:pos="720"/>
      </w:tabs>
      <w:spacing w:line="240" w:lineRule="auto"/>
    </w:pPr>
  </w:style>
  <w:style w:type="character" w:customStyle="1" w:styleId="DashChar">
    <w:name w:val="Dash Char"/>
    <w:basedOn w:val="DefaultParagraphFont"/>
    <w:link w:val="Dash"/>
    <w:rsid w:val="006D7FD8"/>
    <w:rPr>
      <w:rFonts w:ascii="Calibri Light" w:eastAsia="Times New Roman" w:hAnsi="Calibri Light" w:cs="Times New Roman"/>
      <w:kern w:val="0"/>
      <w:szCs w:val="20"/>
      <w:lang w:eastAsia="en-AU"/>
      <w14:ligatures w14:val="none"/>
    </w:rPr>
  </w:style>
  <w:style w:type="paragraph" w:customStyle="1" w:styleId="DoubleDot">
    <w:name w:val="Double Dot"/>
    <w:basedOn w:val="Bullet"/>
    <w:link w:val="DoubleDotChar"/>
    <w:qFormat/>
    <w:rsid w:val="00CA3524"/>
    <w:pPr>
      <w:numPr>
        <w:ilvl w:val="2"/>
        <w:numId w:val="2"/>
      </w:numPr>
      <w:tabs>
        <w:tab w:val="clear" w:pos="720"/>
      </w:tabs>
    </w:pPr>
  </w:style>
  <w:style w:type="character" w:customStyle="1" w:styleId="DoubleDotChar">
    <w:name w:val="Double Dot Char"/>
    <w:basedOn w:val="DefaultParagraphFont"/>
    <w:link w:val="DoubleDot"/>
    <w:rsid w:val="00CA3524"/>
    <w:rPr>
      <w:rFonts w:ascii="Calibri Light" w:eastAsia="Times New Roman" w:hAnsi="Calibri Light" w:cs="Times New Roman"/>
      <w:kern w:val="0"/>
      <w:szCs w:val="20"/>
      <w:lang w:eastAsia="en-AU"/>
      <w14:ligatures w14:val="none"/>
    </w:rPr>
  </w:style>
  <w:style w:type="paragraph" w:styleId="FootnoteText">
    <w:name w:val="footnote text"/>
    <w:basedOn w:val="Normal"/>
    <w:link w:val="FootnoteTextChar"/>
    <w:uiPriority w:val="99"/>
    <w:unhideWhenUsed/>
    <w:qFormat/>
    <w:rsid w:val="008762BA"/>
    <w:pPr>
      <w:spacing w:after="0" w:line="240" w:lineRule="auto"/>
    </w:pPr>
    <w:rPr>
      <w:sz w:val="20"/>
      <w:szCs w:val="20"/>
    </w:rPr>
  </w:style>
  <w:style w:type="character" w:customStyle="1" w:styleId="FootnoteTextChar">
    <w:name w:val="Footnote Text Char"/>
    <w:basedOn w:val="DefaultParagraphFont"/>
    <w:link w:val="FootnoteText"/>
    <w:uiPriority w:val="99"/>
    <w:rsid w:val="008762BA"/>
    <w:rPr>
      <w:sz w:val="20"/>
      <w:szCs w:val="20"/>
    </w:rPr>
  </w:style>
  <w:style w:type="character" w:styleId="FootnoteReference">
    <w:name w:val="footnote reference"/>
    <w:basedOn w:val="DefaultParagraphFont"/>
    <w:uiPriority w:val="99"/>
    <w:unhideWhenUsed/>
    <w:rsid w:val="008762BA"/>
    <w:rPr>
      <w:vertAlign w:val="superscript"/>
    </w:rPr>
  </w:style>
  <w:style w:type="paragraph" w:styleId="Header">
    <w:name w:val="header"/>
    <w:basedOn w:val="Normal"/>
    <w:link w:val="HeaderChar"/>
    <w:rsid w:val="00AD3328"/>
    <w:pPr>
      <w:spacing w:before="120" w:after="200" w:line="240" w:lineRule="auto"/>
      <w:jc w:val="center"/>
    </w:pPr>
    <w:rPr>
      <w:rFonts w:eastAsia="Times New Roman" w:cs="Times New Roman"/>
      <w:b/>
      <w:caps/>
      <w:kern w:val="0"/>
      <w:sz w:val="28"/>
      <w:szCs w:val="28"/>
      <w:lang w:eastAsia="en-AU"/>
      <w14:ligatures w14:val="none"/>
    </w:rPr>
  </w:style>
  <w:style w:type="character" w:customStyle="1" w:styleId="HeaderChar">
    <w:name w:val="Header Char"/>
    <w:basedOn w:val="DefaultParagraphFont"/>
    <w:link w:val="Header"/>
    <w:rsid w:val="00AD3328"/>
    <w:rPr>
      <w:rFonts w:eastAsia="Times New Roman" w:cs="Times New Roman"/>
      <w:b/>
      <w:caps/>
      <w:kern w:val="0"/>
      <w:sz w:val="28"/>
      <w:szCs w:val="28"/>
      <w:lang w:eastAsia="en-AU"/>
      <w14:ligatures w14:val="none"/>
    </w:rPr>
  </w:style>
  <w:style w:type="table" w:styleId="TableGrid">
    <w:name w:val="Table Grid"/>
    <w:basedOn w:val="TableNormal"/>
    <w:rsid w:val="006C2CA0"/>
    <w:pPr>
      <w:spacing w:before="40" w:after="40" w:line="240" w:lineRule="auto"/>
    </w:pPr>
    <w:rPr>
      <w:rFonts w:ascii="Calibri Light" w:eastAsia="Times New Roman" w:hAnsi="Calibri Light" w:cs="Times New Roman"/>
      <w:kern w:val="0"/>
      <w:sz w:val="18"/>
      <w:szCs w:val="20"/>
      <w:lang w:eastAsia="en-AU"/>
      <w14:ligatures w14:val="none"/>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character" w:styleId="Hyperlink">
    <w:name w:val="Hyperlink"/>
    <w:basedOn w:val="DefaultParagraphFont"/>
    <w:uiPriority w:val="99"/>
    <w:unhideWhenUsed/>
    <w:rsid w:val="00C06C40"/>
    <w:rPr>
      <w:rFonts w:ascii="Calibri Light" w:hAnsi="Calibri Light"/>
      <w:color w:val="3A6FAF"/>
      <w:u w:val="none"/>
    </w:rPr>
  </w:style>
  <w:style w:type="paragraph" w:styleId="Title">
    <w:name w:val="Title"/>
    <w:basedOn w:val="Normal"/>
    <w:next w:val="Normal"/>
    <w:link w:val="TitleChar"/>
    <w:uiPriority w:val="18"/>
    <w:rsid w:val="00E61772"/>
    <w:pPr>
      <w:spacing w:after="240" w:line="240" w:lineRule="auto"/>
      <w:contextualSpacing/>
    </w:pPr>
    <w:rPr>
      <w:rFonts w:asciiTheme="majorHAnsi" w:eastAsiaTheme="majorEastAsia" w:hAnsiTheme="majorHAnsi" w:cstheme="majorBidi"/>
      <w:noProof/>
      <w:spacing w:val="-15"/>
      <w:kern w:val="0"/>
      <w:sz w:val="56"/>
      <w:szCs w:val="96"/>
      <w14:ligatures w14:val="none"/>
    </w:rPr>
  </w:style>
  <w:style w:type="character" w:customStyle="1" w:styleId="TitleChar">
    <w:name w:val="Title Char"/>
    <w:basedOn w:val="DefaultParagraphFont"/>
    <w:link w:val="Title"/>
    <w:uiPriority w:val="18"/>
    <w:rsid w:val="00E61772"/>
    <w:rPr>
      <w:rFonts w:asciiTheme="majorHAnsi" w:eastAsiaTheme="majorEastAsia" w:hAnsiTheme="majorHAnsi" w:cstheme="majorBidi"/>
      <w:noProof/>
      <w:spacing w:val="-15"/>
      <w:kern w:val="0"/>
      <w:sz w:val="56"/>
      <w:szCs w:val="96"/>
      <w14:ligatures w14:val="none"/>
    </w:rPr>
  </w:style>
  <w:style w:type="character" w:customStyle="1" w:styleId="Heading1Char">
    <w:name w:val="Heading 1 Char"/>
    <w:basedOn w:val="DefaultParagraphFont"/>
    <w:link w:val="Heading1"/>
    <w:rsid w:val="00640771"/>
    <w:rPr>
      <w:rFonts w:ascii="Calibri" w:eastAsia="Times New Roman" w:hAnsi="Calibri" w:cs="Arial"/>
      <w:b/>
      <w:color w:val="5D779D" w:themeColor="accent3"/>
      <w:kern w:val="32"/>
      <w:sz w:val="44"/>
      <w:szCs w:val="36"/>
      <w:lang w:eastAsia="en-AU"/>
      <w14:ligatures w14:val="none"/>
    </w:rPr>
  </w:style>
  <w:style w:type="paragraph" w:styleId="Footer">
    <w:name w:val="footer"/>
    <w:basedOn w:val="Normal"/>
    <w:link w:val="FooterChar"/>
    <w:uiPriority w:val="99"/>
    <w:unhideWhenUsed/>
    <w:rsid w:val="00CC2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F72"/>
  </w:style>
  <w:style w:type="paragraph" w:customStyle="1" w:styleId="SecurityClassificationHeader">
    <w:name w:val="Security Classification Header"/>
    <w:link w:val="SecurityClassificationHeaderChar"/>
    <w:rsid w:val="00CC2F72"/>
    <w:pPr>
      <w:spacing w:before="360" w:after="60"/>
      <w:jc w:val="center"/>
    </w:pPr>
    <w:rPr>
      <w:rFonts w:eastAsia="Times New Roman" w:cs="Times New Roman"/>
      <w:b/>
      <w:color w:val="FF0000"/>
      <w:kern w:val="0"/>
      <w:sz w:val="24"/>
      <w:szCs w:val="28"/>
      <w:lang w:eastAsia="en-AU"/>
      <w14:ligatures w14:val="none"/>
    </w:rPr>
  </w:style>
  <w:style w:type="character" w:customStyle="1" w:styleId="SecurityClassificationHeaderChar">
    <w:name w:val="Security Classification Header Char"/>
    <w:basedOn w:val="HeaderChar"/>
    <w:link w:val="SecurityClassificationHeader"/>
    <w:rsid w:val="00CC2F72"/>
    <w:rPr>
      <w:rFonts w:eastAsia="Times New Roman" w:cs="Times New Roman"/>
      <w:b/>
      <w:caps w:val="0"/>
      <w:color w:val="FF0000"/>
      <w:kern w:val="0"/>
      <w:sz w:val="24"/>
      <w:szCs w:val="28"/>
      <w:lang w:eastAsia="en-AU"/>
      <w14:ligatures w14:val="none"/>
    </w:rPr>
  </w:style>
  <w:style w:type="paragraph" w:customStyle="1" w:styleId="SecurityClassificationFooter">
    <w:name w:val="Security Classification Footer"/>
    <w:link w:val="SecurityClassificationFooterChar"/>
    <w:rsid w:val="00CC2F72"/>
    <w:pPr>
      <w:spacing w:before="360" w:after="60"/>
      <w:jc w:val="center"/>
    </w:pPr>
    <w:rPr>
      <w:rFonts w:eastAsia="Times New Roman" w:cs="Times New Roman"/>
      <w:b/>
      <w:color w:val="FF0000"/>
      <w:kern w:val="0"/>
      <w:sz w:val="24"/>
      <w:szCs w:val="28"/>
      <w:lang w:eastAsia="en-AU"/>
      <w14:ligatures w14:val="none"/>
    </w:rPr>
  </w:style>
  <w:style w:type="character" w:customStyle="1" w:styleId="SecurityClassificationFooterChar">
    <w:name w:val="Security Classification Footer Char"/>
    <w:basedOn w:val="HeaderChar"/>
    <w:link w:val="SecurityClassificationFooter"/>
    <w:rsid w:val="00CC2F72"/>
    <w:rPr>
      <w:rFonts w:eastAsia="Times New Roman" w:cs="Times New Roman"/>
      <w:b/>
      <w:caps w:val="0"/>
      <w:color w:val="FF0000"/>
      <w:kern w:val="0"/>
      <w:sz w:val="24"/>
      <w:szCs w:val="28"/>
      <w:lang w:eastAsia="en-AU"/>
      <w14:ligatures w14:val="none"/>
    </w:rPr>
  </w:style>
  <w:style w:type="paragraph" w:customStyle="1" w:styleId="DLMSecurityHeader">
    <w:name w:val="DLM Security Header"/>
    <w:link w:val="DLMSecurityHeaderChar"/>
    <w:rsid w:val="00CC2F72"/>
    <w:pPr>
      <w:spacing w:before="360" w:after="60"/>
      <w:jc w:val="center"/>
    </w:pPr>
    <w:rPr>
      <w:rFonts w:eastAsia="Times New Roman" w:cs="Times New Roman"/>
      <w:b/>
      <w:color w:val="FF0000"/>
      <w:kern w:val="0"/>
      <w:sz w:val="24"/>
      <w:szCs w:val="28"/>
      <w:lang w:eastAsia="en-AU"/>
      <w14:ligatures w14:val="none"/>
    </w:rPr>
  </w:style>
  <w:style w:type="character" w:customStyle="1" w:styleId="DLMSecurityHeaderChar">
    <w:name w:val="DLM Security Header Char"/>
    <w:basedOn w:val="HeaderChar"/>
    <w:link w:val="DLMSecurityHeader"/>
    <w:rsid w:val="00CC2F72"/>
    <w:rPr>
      <w:rFonts w:eastAsia="Times New Roman" w:cs="Times New Roman"/>
      <w:b/>
      <w:caps w:val="0"/>
      <w:color w:val="FF0000"/>
      <w:kern w:val="0"/>
      <w:sz w:val="24"/>
      <w:szCs w:val="28"/>
      <w:lang w:eastAsia="en-AU"/>
      <w14:ligatures w14:val="none"/>
    </w:rPr>
  </w:style>
  <w:style w:type="paragraph" w:customStyle="1" w:styleId="DLMSecurityFooter">
    <w:name w:val="DLM Security Footer"/>
    <w:link w:val="DLMSecurityFooterChar"/>
    <w:rsid w:val="00CC2F72"/>
    <w:pPr>
      <w:spacing w:before="360" w:after="60"/>
      <w:jc w:val="center"/>
    </w:pPr>
    <w:rPr>
      <w:rFonts w:eastAsia="Times New Roman" w:cs="Times New Roman"/>
      <w:b/>
      <w:color w:val="FF0000"/>
      <w:kern w:val="0"/>
      <w:sz w:val="24"/>
      <w:szCs w:val="28"/>
      <w:lang w:eastAsia="en-AU"/>
      <w14:ligatures w14:val="none"/>
    </w:rPr>
  </w:style>
  <w:style w:type="character" w:customStyle="1" w:styleId="DLMSecurityFooterChar">
    <w:name w:val="DLM Security Footer Char"/>
    <w:basedOn w:val="HeaderChar"/>
    <w:link w:val="DLMSecurityFooter"/>
    <w:rsid w:val="00CC2F72"/>
    <w:rPr>
      <w:rFonts w:eastAsia="Times New Roman" w:cs="Times New Roman"/>
      <w:b/>
      <w:caps w:val="0"/>
      <w:color w:val="FF0000"/>
      <w:kern w:val="0"/>
      <w:sz w:val="24"/>
      <w:szCs w:val="28"/>
      <w:lang w:eastAsia="en-AU"/>
      <w14:ligatures w14:val="none"/>
    </w:rPr>
  </w:style>
  <w:style w:type="character" w:styleId="CommentReference">
    <w:name w:val="annotation reference"/>
    <w:basedOn w:val="DefaultParagraphFont"/>
    <w:uiPriority w:val="99"/>
    <w:semiHidden/>
    <w:unhideWhenUsed/>
    <w:rsid w:val="00D551B0"/>
    <w:rPr>
      <w:sz w:val="16"/>
      <w:szCs w:val="16"/>
    </w:rPr>
  </w:style>
  <w:style w:type="paragraph" w:styleId="CommentText">
    <w:name w:val="annotation text"/>
    <w:basedOn w:val="Normal"/>
    <w:link w:val="CommentTextChar"/>
    <w:uiPriority w:val="99"/>
    <w:unhideWhenUsed/>
    <w:rsid w:val="00D551B0"/>
    <w:pPr>
      <w:spacing w:line="240" w:lineRule="auto"/>
    </w:pPr>
    <w:rPr>
      <w:sz w:val="20"/>
      <w:szCs w:val="20"/>
    </w:rPr>
  </w:style>
  <w:style w:type="character" w:customStyle="1" w:styleId="CommentTextChar">
    <w:name w:val="Comment Text Char"/>
    <w:basedOn w:val="DefaultParagraphFont"/>
    <w:link w:val="CommentText"/>
    <w:uiPriority w:val="99"/>
    <w:rsid w:val="00D551B0"/>
    <w:rPr>
      <w:sz w:val="20"/>
      <w:szCs w:val="20"/>
    </w:rPr>
  </w:style>
  <w:style w:type="paragraph" w:styleId="CommentSubject">
    <w:name w:val="annotation subject"/>
    <w:basedOn w:val="CommentText"/>
    <w:next w:val="CommentText"/>
    <w:link w:val="CommentSubjectChar"/>
    <w:uiPriority w:val="99"/>
    <w:semiHidden/>
    <w:unhideWhenUsed/>
    <w:rsid w:val="00D551B0"/>
    <w:rPr>
      <w:b/>
      <w:bCs/>
    </w:rPr>
  </w:style>
  <w:style w:type="character" w:customStyle="1" w:styleId="CommentSubjectChar">
    <w:name w:val="Comment Subject Char"/>
    <w:basedOn w:val="CommentTextChar"/>
    <w:link w:val="CommentSubject"/>
    <w:uiPriority w:val="99"/>
    <w:semiHidden/>
    <w:rsid w:val="00D551B0"/>
    <w:rPr>
      <w:b/>
      <w:bCs/>
      <w:sz w:val="20"/>
      <w:szCs w:val="20"/>
    </w:rPr>
  </w:style>
  <w:style w:type="paragraph" w:styleId="BalloonText">
    <w:name w:val="Balloon Text"/>
    <w:basedOn w:val="Normal"/>
    <w:link w:val="BalloonTextChar"/>
    <w:uiPriority w:val="99"/>
    <w:semiHidden/>
    <w:unhideWhenUsed/>
    <w:rsid w:val="00D55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B0"/>
    <w:rPr>
      <w:rFonts w:ascii="Segoe UI" w:hAnsi="Segoe UI" w:cs="Segoe UI"/>
      <w:sz w:val="18"/>
      <w:szCs w:val="18"/>
    </w:rPr>
  </w:style>
  <w:style w:type="character" w:customStyle="1" w:styleId="Heading3Char">
    <w:name w:val="Heading 3 Char"/>
    <w:basedOn w:val="DefaultParagraphFont"/>
    <w:link w:val="Heading3"/>
    <w:uiPriority w:val="9"/>
    <w:rsid w:val="005526A7"/>
    <w:rPr>
      <w:rFonts w:ascii="Calibri" w:eastAsia="Times New Roman" w:hAnsi="Calibri" w:cs="Arial"/>
      <w:b/>
      <w:color w:val="4D7861" w:themeColor="accent2"/>
      <w:kern w:val="32"/>
      <w:sz w:val="28"/>
      <w:szCs w:val="26"/>
      <w:lang w:eastAsia="en-AU"/>
      <w14:ligatures w14:val="none"/>
    </w:rPr>
  </w:style>
  <w:style w:type="paragraph" w:styleId="Revision">
    <w:name w:val="Revision"/>
    <w:hidden/>
    <w:uiPriority w:val="99"/>
    <w:semiHidden/>
    <w:rsid w:val="007347AD"/>
    <w:pPr>
      <w:spacing w:after="0" w:line="240" w:lineRule="auto"/>
    </w:pPr>
  </w:style>
  <w:style w:type="character" w:customStyle="1" w:styleId="UnresolvedMention1">
    <w:name w:val="Unresolved Mention1"/>
    <w:basedOn w:val="DefaultParagraphFont"/>
    <w:uiPriority w:val="99"/>
    <w:semiHidden/>
    <w:unhideWhenUsed/>
    <w:rsid w:val="00D4532F"/>
    <w:rPr>
      <w:color w:val="605E5C"/>
      <w:shd w:val="clear" w:color="auto" w:fill="E1DFDD"/>
    </w:rPr>
  </w:style>
  <w:style w:type="paragraph" w:styleId="NormalWeb">
    <w:name w:val="Normal (Web)"/>
    <w:basedOn w:val="Normal"/>
    <w:uiPriority w:val="99"/>
    <w:semiHidden/>
    <w:unhideWhenUsed/>
    <w:rsid w:val="00BE700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ui-provider">
    <w:name w:val="ui-provider"/>
    <w:basedOn w:val="DefaultParagraphFont"/>
    <w:rsid w:val="00066D2E"/>
    <w:rPr>
      <w:rFonts w:ascii="Times New Roman" w:hAnsi="Times New Roman" w:cs="Times New Roman" w:hint="default"/>
    </w:rPr>
  </w:style>
  <w:style w:type="character" w:styleId="Strong">
    <w:name w:val="Strong"/>
    <w:basedOn w:val="DefaultParagraphFont"/>
    <w:qFormat/>
    <w:rsid w:val="000D772C"/>
    <w:rPr>
      <w:b/>
      <w:bCs/>
    </w:rPr>
  </w:style>
  <w:style w:type="character" w:customStyle="1" w:styleId="Mention1">
    <w:name w:val="Mention1"/>
    <w:basedOn w:val="DefaultParagraphFont"/>
    <w:uiPriority w:val="99"/>
    <w:unhideWhenUsed/>
    <w:rsid w:val="009F1B30"/>
    <w:rPr>
      <w:color w:val="2B579A"/>
      <w:shd w:val="clear" w:color="auto" w:fill="E1DFDD"/>
    </w:rPr>
  </w:style>
  <w:style w:type="character" w:customStyle="1" w:styleId="normaltextrun">
    <w:name w:val="normaltextrun"/>
    <w:basedOn w:val="DefaultParagraphFont"/>
    <w:rsid w:val="006B4E68"/>
  </w:style>
  <w:style w:type="character" w:customStyle="1" w:styleId="Heading2Char">
    <w:name w:val="Heading 2 Char"/>
    <w:basedOn w:val="DefaultParagraphFont"/>
    <w:link w:val="Heading2"/>
    <w:uiPriority w:val="9"/>
    <w:rsid w:val="00793FE4"/>
    <w:rPr>
      <w:rFonts w:ascii="Calibri" w:eastAsia="Times New Roman" w:hAnsi="Calibri" w:cs="Arial"/>
      <w:iCs/>
      <w:color w:val="2C384A" w:themeColor="accent1"/>
      <w:kern w:val="32"/>
      <w:sz w:val="36"/>
      <w:szCs w:val="28"/>
      <w:lang w:eastAsia="en-AU"/>
      <w14:ligatures w14:val="none"/>
    </w:rPr>
  </w:style>
  <w:style w:type="character" w:customStyle="1" w:styleId="cf01">
    <w:name w:val="cf01"/>
    <w:basedOn w:val="DefaultParagraphFont"/>
    <w:rsid w:val="00285550"/>
    <w:rPr>
      <w:rFonts w:ascii="Segoe UI" w:hAnsi="Segoe UI" w:cs="Segoe UI" w:hint="default"/>
      <w:sz w:val="18"/>
      <w:szCs w:val="18"/>
    </w:rPr>
  </w:style>
  <w:style w:type="character" w:styleId="FollowedHyperlink">
    <w:name w:val="FollowedHyperlink"/>
    <w:basedOn w:val="DefaultParagraphFont"/>
    <w:uiPriority w:val="99"/>
    <w:semiHidden/>
    <w:unhideWhenUsed/>
    <w:rsid w:val="008D2B2C"/>
    <w:rPr>
      <w:color w:val="844D9E" w:themeColor="followedHyperlink"/>
      <w:u w:val="single"/>
    </w:rPr>
  </w:style>
  <w:style w:type="paragraph" w:customStyle="1" w:styleId="ChartMainHeading">
    <w:name w:val="Chart Main Heading"/>
    <w:basedOn w:val="Normal"/>
    <w:next w:val="Normal"/>
    <w:qFormat/>
    <w:rsid w:val="00F34081"/>
    <w:pPr>
      <w:keepNext/>
      <w:spacing w:before="120" w:after="0" w:line="276" w:lineRule="auto"/>
      <w:jc w:val="center"/>
      <w:outlineLvl w:val="2"/>
    </w:pPr>
    <w:rPr>
      <w:rFonts w:ascii="Calibri" w:eastAsia="Times New Roman" w:hAnsi="Calibri" w:cs="Arial"/>
      <w:color w:val="4D7861" w:themeColor="accent2"/>
      <w:kern w:val="32"/>
      <w:sz w:val="26"/>
      <w:szCs w:val="26"/>
      <w:lang w:eastAsia="en-AU"/>
      <w14:ligatures w14:val="none"/>
    </w:rPr>
  </w:style>
  <w:style w:type="paragraph" w:customStyle="1" w:styleId="ChartorTableNote">
    <w:name w:val="Chart or Table Note"/>
    <w:next w:val="Normal"/>
    <w:qFormat/>
    <w:rsid w:val="00F34081"/>
    <w:pPr>
      <w:spacing w:after="0" w:line="240" w:lineRule="auto"/>
      <w:jc w:val="both"/>
    </w:pPr>
    <w:rPr>
      <w:rFonts w:ascii="Calibri" w:eastAsia="Times New Roman" w:hAnsi="Calibri" w:cs="Times New Roman"/>
      <w:color w:val="000000"/>
      <w:kern w:val="0"/>
      <w:sz w:val="18"/>
      <w:szCs w:val="20"/>
      <w:lang w:eastAsia="en-AU"/>
      <w14:ligatures w14:val="none"/>
    </w:rPr>
  </w:style>
  <w:style w:type="paragraph" w:customStyle="1" w:styleId="CABNETParagraph">
    <w:name w:val="CABNET Paragraph."/>
    <w:basedOn w:val="Normal"/>
    <w:link w:val="CABNETParagraphChar"/>
    <w:uiPriority w:val="98"/>
    <w:qFormat/>
    <w:rsid w:val="00AB4F66"/>
    <w:pPr>
      <w:spacing w:before="120" w:after="120" w:line="240" w:lineRule="auto"/>
    </w:pPr>
    <w:rPr>
      <w:rFonts w:ascii="Arial" w:hAnsi="Arial" w:cstheme="minorHAnsi"/>
      <w:kern w:val="0"/>
      <w14:ligatures w14:val="none"/>
    </w:rPr>
  </w:style>
  <w:style w:type="character" w:customStyle="1" w:styleId="CABNETParagraphChar">
    <w:name w:val="CABNET Paragraph. Char"/>
    <w:basedOn w:val="DefaultParagraphFont"/>
    <w:link w:val="CABNETParagraph"/>
    <w:uiPriority w:val="98"/>
    <w:rsid w:val="00AB4F66"/>
    <w:rPr>
      <w:rFonts w:ascii="Arial" w:hAnsi="Arial" w:cstheme="minorHAnsi"/>
      <w:kern w:val="0"/>
      <w14:ligatures w14:val="none"/>
    </w:rPr>
  </w:style>
  <w:style w:type="character" w:customStyle="1" w:styleId="Heading4Char">
    <w:name w:val="Heading 4 Char"/>
    <w:basedOn w:val="DefaultParagraphFont"/>
    <w:link w:val="Heading4"/>
    <w:uiPriority w:val="9"/>
    <w:rsid w:val="0040243B"/>
    <w:rPr>
      <w:rFonts w:ascii="Calibri Light" w:eastAsia="Times New Roman" w:hAnsi="Calibri Light" w:cs="Arial"/>
      <w:color w:val="4D7861" w:themeColor="accent2"/>
      <w:kern w:val="32"/>
      <w:sz w:val="24"/>
      <w:szCs w:val="26"/>
      <w:lang w:eastAsia="en-AU"/>
      <w14:ligatures w14:val="none"/>
    </w:rPr>
  </w:style>
  <w:style w:type="paragraph" w:styleId="Quote">
    <w:name w:val="Quote"/>
    <w:basedOn w:val="Normal"/>
    <w:next w:val="Normal"/>
    <w:link w:val="QuoteChar"/>
    <w:uiPriority w:val="29"/>
    <w:qFormat/>
    <w:rsid w:val="0040243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0243B"/>
    <w:rPr>
      <w:i/>
      <w:iCs/>
      <w:color w:val="404040" w:themeColor="text1" w:themeTint="BF"/>
    </w:rPr>
  </w:style>
  <w:style w:type="character" w:customStyle="1" w:styleId="Heading5Char">
    <w:name w:val="Heading 5 Char"/>
    <w:basedOn w:val="DefaultParagraphFont"/>
    <w:link w:val="Heading5"/>
    <w:rsid w:val="00385612"/>
    <w:rPr>
      <w:rFonts w:asciiTheme="majorHAnsi" w:eastAsia="Times New Roman" w:hAnsiTheme="majorHAnsi" w:cs="Arial"/>
      <w:b/>
      <w:iCs/>
      <w:color w:val="000000" w:themeColor="text1"/>
      <w:kern w:val="32"/>
      <w:szCs w:val="36"/>
      <w:lang w:eastAsia="en-AU"/>
      <w14:ligatures w14:val="none"/>
    </w:rPr>
  </w:style>
  <w:style w:type="character" w:customStyle="1" w:styleId="Heading6Char">
    <w:name w:val="Heading 6 Char"/>
    <w:basedOn w:val="DefaultParagraphFont"/>
    <w:link w:val="Heading6"/>
    <w:rsid w:val="00385612"/>
    <w:rPr>
      <w:rFonts w:ascii="Calibri Light" w:eastAsia="Times New Roman" w:hAnsi="Calibri Light" w:cs="Arial"/>
      <w:color w:val="000000" w:themeColor="text1"/>
      <w:kern w:val="32"/>
      <w:lang w:eastAsia="en-AU"/>
      <w14:ligatures w14:val="none"/>
    </w:rPr>
  </w:style>
  <w:style w:type="paragraph" w:customStyle="1" w:styleId="ChartGraphic">
    <w:name w:val="Chart Graphic"/>
    <w:basedOn w:val="Normal"/>
    <w:next w:val="Normal"/>
    <w:rsid w:val="00385612"/>
    <w:pPr>
      <w:keepNext/>
      <w:spacing w:after="0" w:line="240" w:lineRule="auto"/>
      <w:jc w:val="center"/>
    </w:pPr>
    <w:rPr>
      <w:rFonts w:ascii="Calibri Light" w:eastAsia="Times New Roman" w:hAnsi="Calibri Light" w:cs="Times New Roman"/>
      <w:color w:val="004A7F"/>
      <w:kern w:val="0"/>
      <w:sz w:val="20"/>
      <w:szCs w:val="20"/>
      <w:lang w:eastAsia="en-AU"/>
      <w14:ligatures w14:val="none"/>
    </w:rPr>
  </w:style>
  <w:style w:type="paragraph" w:customStyle="1" w:styleId="AlphaParagraph">
    <w:name w:val="Alpha Paragraph"/>
    <w:basedOn w:val="Normal"/>
    <w:qFormat/>
    <w:rsid w:val="00385612"/>
    <w:pPr>
      <w:numPr>
        <w:ilvl w:val="1"/>
        <w:numId w:val="9"/>
      </w:numPr>
      <w:spacing w:after="120" w:line="240" w:lineRule="auto"/>
    </w:pPr>
    <w:rPr>
      <w:rFonts w:ascii="Calibri Light" w:eastAsia="Times New Roman" w:hAnsi="Calibri Light" w:cs="Times New Roman"/>
      <w:kern w:val="0"/>
      <w:szCs w:val="20"/>
      <w:lang w:eastAsia="en-AU"/>
      <w14:ligatures w14:val="none"/>
    </w:rPr>
  </w:style>
  <w:style w:type="paragraph" w:customStyle="1" w:styleId="BoxHeading">
    <w:name w:val="Box Heading"/>
    <w:basedOn w:val="Normal"/>
    <w:next w:val="Normal"/>
    <w:rsid w:val="00385612"/>
    <w:pPr>
      <w:keepNext/>
      <w:spacing w:before="240" w:after="120" w:line="240" w:lineRule="auto"/>
    </w:pPr>
    <w:rPr>
      <w:rFonts w:ascii="Calibri Light" w:eastAsia="Times New Roman" w:hAnsi="Calibri Light" w:cs="Times New Roman"/>
      <w:b/>
      <w:color w:val="2C384A" w:themeColor="accent1"/>
      <w:kern w:val="0"/>
      <w:sz w:val="26"/>
      <w:szCs w:val="26"/>
      <w:lang w:eastAsia="en-AU"/>
      <w14:ligatures w14:val="none"/>
    </w:rPr>
  </w:style>
  <w:style w:type="paragraph" w:customStyle="1" w:styleId="BoxText">
    <w:name w:val="Box Text"/>
    <w:basedOn w:val="Normal"/>
    <w:link w:val="BoxTextChar"/>
    <w:rsid w:val="00385612"/>
    <w:pPr>
      <w:spacing w:before="120" w:after="120" w:line="240" w:lineRule="auto"/>
    </w:pPr>
    <w:rPr>
      <w:rFonts w:ascii="Calibri Light" w:eastAsia="Times New Roman" w:hAnsi="Calibri Light" w:cs="Times New Roman"/>
      <w:kern w:val="0"/>
      <w:szCs w:val="20"/>
      <w:lang w:eastAsia="en-AU"/>
      <w14:ligatures w14:val="none"/>
    </w:rPr>
  </w:style>
  <w:style w:type="paragraph" w:customStyle="1" w:styleId="ChartandTableFootnoteAlpha">
    <w:name w:val="Chart and Table Footnote Alpha"/>
    <w:rsid w:val="00385612"/>
    <w:pPr>
      <w:numPr>
        <w:numId w:val="7"/>
      </w:numPr>
      <w:spacing w:after="0" w:line="240" w:lineRule="auto"/>
      <w:jc w:val="both"/>
    </w:pPr>
    <w:rPr>
      <w:rFonts w:ascii="Calibri" w:eastAsia="Times New Roman" w:hAnsi="Calibri" w:cs="Times New Roman"/>
      <w:color w:val="000000"/>
      <w:kern w:val="0"/>
      <w:sz w:val="18"/>
      <w:szCs w:val="16"/>
      <w:lang w:eastAsia="en-AU"/>
      <w14:ligatures w14:val="none"/>
    </w:rPr>
  </w:style>
  <w:style w:type="paragraph" w:customStyle="1" w:styleId="ChartSecondHeading">
    <w:name w:val="Chart Second Heading"/>
    <w:basedOn w:val="TableSecondHeading"/>
    <w:next w:val="ChartGraphic"/>
    <w:rsid w:val="00385612"/>
    <w:pPr>
      <w:jc w:val="center"/>
    </w:pPr>
    <w:rPr>
      <w:b w:val="0"/>
      <w:bCs/>
    </w:rPr>
  </w:style>
  <w:style w:type="paragraph" w:customStyle="1" w:styleId="ReportDate">
    <w:name w:val="Report Date"/>
    <w:basedOn w:val="Normal"/>
    <w:link w:val="ReportDateChar"/>
    <w:rsid w:val="00385612"/>
    <w:pPr>
      <w:keepNext/>
      <w:spacing w:after="360" w:line="240" w:lineRule="auto"/>
    </w:pPr>
    <w:rPr>
      <w:rFonts w:ascii="Calibri Light" w:eastAsia="Times New Roman" w:hAnsi="Calibri Light" w:cs="Times New Roman"/>
      <w:color w:val="455875" w:themeColor="accent3" w:themeShade="BF"/>
      <w:kern w:val="0"/>
      <w:sz w:val="32"/>
      <w:szCs w:val="20"/>
      <w:lang w:eastAsia="en-AU"/>
      <w14:ligatures w14:val="none"/>
    </w:rPr>
  </w:style>
  <w:style w:type="paragraph" w:customStyle="1" w:styleId="TableMainHeading">
    <w:name w:val="Table Main Heading"/>
    <w:basedOn w:val="Heading3"/>
    <w:next w:val="Normal"/>
    <w:rsid w:val="00385612"/>
    <w:rPr>
      <w:b w:val="0"/>
      <w:sz w:val="26"/>
    </w:rPr>
  </w:style>
  <w:style w:type="paragraph" w:customStyle="1" w:styleId="FooterEven">
    <w:name w:val="Footer Even"/>
    <w:basedOn w:val="Footer"/>
    <w:rsid w:val="00385612"/>
    <w:pPr>
      <w:keepNext/>
      <w:tabs>
        <w:tab w:val="clear" w:pos="4513"/>
        <w:tab w:val="clear" w:pos="9026"/>
        <w:tab w:val="right" w:pos="9072"/>
      </w:tabs>
    </w:pPr>
    <w:rPr>
      <w:rFonts w:ascii="Calibri Light" w:eastAsia="Times New Roman" w:hAnsi="Calibri Light" w:cs="Times New Roman"/>
      <w:noProof/>
      <w:color w:val="2C384A" w:themeColor="accent1"/>
      <w:kern w:val="0"/>
      <w:sz w:val="20"/>
      <w:szCs w:val="20"/>
      <w:lang w:eastAsia="en-AU"/>
      <w14:ligatures w14:val="none"/>
    </w:rPr>
  </w:style>
  <w:style w:type="paragraph" w:customStyle="1" w:styleId="FooterOdd">
    <w:name w:val="Footer Odd"/>
    <w:basedOn w:val="Footer"/>
    <w:rsid w:val="00385612"/>
    <w:pPr>
      <w:keepNext/>
      <w:tabs>
        <w:tab w:val="clear" w:pos="4513"/>
        <w:tab w:val="clear" w:pos="9026"/>
        <w:tab w:val="right" w:pos="9072"/>
      </w:tabs>
      <w:jc w:val="right"/>
    </w:pPr>
    <w:rPr>
      <w:rFonts w:ascii="Calibri Light" w:eastAsia="Times New Roman" w:hAnsi="Calibri Light" w:cs="Times New Roman"/>
      <w:color w:val="2C384A" w:themeColor="accent1"/>
      <w:kern w:val="0"/>
      <w:sz w:val="20"/>
      <w:szCs w:val="20"/>
      <w:lang w:eastAsia="en-AU"/>
      <w14:ligatures w14:val="none"/>
    </w:rPr>
  </w:style>
  <w:style w:type="paragraph" w:customStyle="1" w:styleId="OutlineNumbered1">
    <w:name w:val="Outline Numbered 1"/>
    <w:basedOn w:val="Normal"/>
    <w:rsid w:val="00385612"/>
    <w:pPr>
      <w:tabs>
        <w:tab w:val="num" w:pos="851"/>
      </w:tabs>
      <w:spacing w:after="120" w:line="240" w:lineRule="auto"/>
      <w:ind w:left="851" w:hanging="851"/>
    </w:pPr>
    <w:rPr>
      <w:rFonts w:ascii="Calibri Light" w:eastAsia="Times New Roman" w:hAnsi="Calibri Light" w:cs="Times New Roman"/>
      <w:kern w:val="0"/>
      <w:szCs w:val="20"/>
      <w:lang w:eastAsia="en-AU"/>
      <w14:ligatures w14:val="none"/>
    </w:rPr>
  </w:style>
  <w:style w:type="paragraph" w:customStyle="1" w:styleId="OutlineNumbered2">
    <w:name w:val="Outline Numbered 2"/>
    <w:basedOn w:val="Normal"/>
    <w:rsid w:val="00385612"/>
    <w:pPr>
      <w:numPr>
        <w:ilvl w:val="1"/>
        <w:numId w:val="6"/>
      </w:numPr>
      <w:spacing w:after="120" w:line="240" w:lineRule="auto"/>
    </w:pPr>
    <w:rPr>
      <w:rFonts w:ascii="Calibri Light" w:eastAsia="Times New Roman" w:hAnsi="Calibri Light" w:cs="Times New Roman"/>
      <w:kern w:val="0"/>
      <w:szCs w:val="20"/>
      <w:lang w:eastAsia="en-AU"/>
      <w14:ligatures w14:val="none"/>
    </w:rPr>
  </w:style>
  <w:style w:type="paragraph" w:customStyle="1" w:styleId="OutlineNumbered3">
    <w:name w:val="Outline Numbered 3"/>
    <w:basedOn w:val="Normal"/>
    <w:rsid w:val="00385612"/>
    <w:pPr>
      <w:numPr>
        <w:ilvl w:val="2"/>
        <w:numId w:val="6"/>
      </w:numPr>
      <w:spacing w:after="120" w:line="240" w:lineRule="auto"/>
    </w:pPr>
    <w:rPr>
      <w:rFonts w:ascii="Calibri Light" w:eastAsia="Times New Roman" w:hAnsi="Calibri Light" w:cs="Times New Roman"/>
      <w:kern w:val="0"/>
      <w:szCs w:val="20"/>
      <w:lang w:eastAsia="en-AU"/>
      <w14:ligatures w14:val="none"/>
    </w:rPr>
  </w:style>
  <w:style w:type="paragraph" w:customStyle="1" w:styleId="SingleParagraph">
    <w:name w:val="Single Paragraph"/>
    <w:basedOn w:val="Normal"/>
    <w:next w:val="Normal"/>
    <w:link w:val="SingleParagraphChar"/>
    <w:rsid w:val="00385612"/>
    <w:pPr>
      <w:spacing w:after="0" w:line="240" w:lineRule="auto"/>
    </w:pPr>
    <w:rPr>
      <w:rFonts w:ascii="Calibri Light" w:eastAsia="Times New Roman" w:hAnsi="Calibri Light" w:cs="Times New Roman"/>
      <w:kern w:val="0"/>
      <w:szCs w:val="20"/>
      <w:lang w:eastAsia="en-AU"/>
      <w14:ligatures w14:val="none"/>
    </w:rPr>
  </w:style>
  <w:style w:type="paragraph" w:customStyle="1" w:styleId="TableSecondHeading">
    <w:name w:val="Table Second Heading"/>
    <w:basedOn w:val="Normal"/>
    <w:next w:val="Normal"/>
    <w:rsid w:val="00385612"/>
    <w:pPr>
      <w:keepNext/>
      <w:spacing w:after="20" w:line="240" w:lineRule="auto"/>
    </w:pPr>
    <w:rPr>
      <w:rFonts w:ascii="Calibri Light" w:eastAsia="Times New Roman" w:hAnsi="Calibri Light" w:cs="Times New Roman"/>
      <w:b/>
      <w:color w:val="004A7F"/>
      <w:kern w:val="0"/>
      <w:szCs w:val="20"/>
      <w:lang w:eastAsia="en-AU"/>
      <w14:ligatures w14:val="none"/>
    </w:rPr>
  </w:style>
  <w:style w:type="paragraph" w:customStyle="1" w:styleId="TableColumnHeadingCentred">
    <w:name w:val="Table Column Heading Centred"/>
    <w:basedOn w:val="TableTextLeft"/>
    <w:rsid w:val="00385612"/>
    <w:pPr>
      <w:jc w:val="center"/>
    </w:pPr>
    <w:rPr>
      <w:b/>
      <w:color w:val="2C384A" w:themeColor="accent1"/>
      <w:sz w:val="20"/>
    </w:rPr>
  </w:style>
  <w:style w:type="paragraph" w:customStyle="1" w:styleId="TableColumnHeadingLeft">
    <w:name w:val="Table Column Heading Left"/>
    <w:basedOn w:val="TableTextLeft"/>
    <w:rsid w:val="00385612"/>
    <w:rPr>
      <w:b/>
      <w:color w:val="2C384A" w:themeColor="accent1"/>
      <w:sz w:val="20"/>
    </w:rPr>
  </w:style>
  <w:style w:type="paragraph" w:customStyle="1" w:styleId="TableColumnHeadingRight">
    <w:name w:val="Table Column Heading Right"/>
    <w:basedOn w:val="TableTextLeft"/>
    <w:rsid w:val="00385612"/>
    <w:pPr>
      <w:jc w:val="right"/>
    </w:pPr>
    <w:rPr>
      <w:b/>
      <w:color w:val="2C384A" w:themeColor="accent1"/>
      <w:sz w:val="20"/>
    </w:rPr>
  </w:style>
  <w:style w:type="paragraph" w:customStyle="1" w:styleId="TableTextCentered">
    <w:name w:val="Table Text Centered"/>
    <w:basedOn w:val="TableTextRight"/>
    <w:rsid w:val="00385612"/>
    <w:pPr>
      <w:jc w:val="center"/>
    </w:pPr>
  </w:style>
  <w:style w:type="paragraph" w:customStyle="1" w:styleId="TableTextLeft">
    <w:name w:val="Table Text Left"/>
    <w:basedOn w:val="TableTextRight"/>
    <w:rsid w:val="00385612"/>
    <w:pPr>
      <w:jc w:val="left"/>
    </w:pPr>
  </w:style>
  <w:style w:type="paragraph" w:customStyle="1" w:styleId="TableTextRight">
    <w:name w:val="Table Text Right"/>
    <w:basedOn w:val="Normal"/>
    <w:rsid w:val="00385612"/>
    <w:pPr>
      <w:spacing w:before="40" w:after="40" w:line="240" w:lineRule="auto"/>
      <w:jc w:val="right"/>
    </w:pPr>
    <w:rPr>
      <w:rFonts w:ascii="Calibri Light" w:eastAsia="Times New Roman" w:hAnsi="Calibri Light" w:cs="Times New Roman"/>
      <w:color w:val="000000"/>
      <w:kern w:val="0"/>
      <w:sz w:val="18"/>
      <w:szCs w:val="20"/>
      <w:lang w:eastAsia="en-AU"/>
      <w14:ligatures w14:val="none"/>
    </w:rPr>
  </w:style>
  <w:style w:type="paragraph" w:styleId="TOC1">
    <w:name w:val="toc 1"/>
    <w:basedOn w:val="Normal"/>
    <w:next w:val="Normal"/>
    <w:uiPriority w:val="39"/>
    <w:rsid w:val="00385612"/>
    <w:pPr>
      <w:keepNext/>
      <w:tabs>
        <w:tab w:val="right" w:leader="dot" w:pos="9072"/>
      </w:tabs>
      <w:spacing w:before="180" w:after="0" w:line="240" w:lineRule="auto"/>
      <w:ind w:right="-2"/>
    </w:pPr>
    <w:rPr>
      <w:rFonts w:ascii="Calibri Light" w:eastAsia="Times New Roman" w:hAnsi="Calibri Light" w:cs="Times New Roman"/>
      <w:b/>
      <w:noProof/>
      <w:color w:val="2C384A" w:themeColor="accent1"/>
      <w:kern w:val="0"/>
      <w:lang w:eastAsia="en-AU"/>
      <w14:ligatures w14:val="none"/>
    </w:rPr>
  </w:style>
  <w:style w:type="paragraph" w:styleId="TOC2">
    <w:name w:val="toc 2"/>
    <w:basedOn w:val="Normal"/>
    <w:next w:val="Normal"/>
    <w:uiPriority w:val="39"/>
    <w:rsid w:val="00385612"/>
    <w:pPr>
      <w:keepNext/>
      <w:tabs>
        <w:tab w:val="right" w:leader="dot" w:pos="9072"/>
      </w:tabs>
      <w:spacing w:before="40" w:after="20" w:line="240" w:lineRule="auto"/>
      <w:ind w:right="-2"/>
    </w:pPr>
    <w:rPr>
      <w:rFonts w:ascii="Calibri Light" w:eastAsia="Times New Roman" w:hAnsi="Calibri Light" w:cs="Times New Roman"/>
      <w:noProof/>
      <w:color w:val="5D779D" w:themeColor="accent3"/>
      <w:kern w:val="0"/>
      <w:szCs w:val="20"/>
      <w:lang w:eastAsia="en-AU"/>
      <w14:ligatures w14:val="none"/>
    </w:rPr>
  </w:style>
  <w:style w:type="paragraph" w:styleId="TOC3">
    <w:name w:val="toc 3"/>
    <w:basedOn w:val="Normal"/>
    <w:next w:val="Normal"/>
    <w:uiPriority w:val="39"/>
    <w:rsid w:val="00385612"/>
    <w:pPr>
      <w:tabs>
        <w:tab w:val="right" w:leader="dot" w:pos="9072"/>
      </w:tabs>
      <w:spacing w:before="20" w:after="0" w:line="240" w:lineRule="auto"/>
      <w:ind w:left="284" w:right="-2"/>
    </w:pPr>
    <w:rPr>
      <w:rFonts w:ascii="Calibri Light" w:eastAsia="Times New Roman" w:hAnsi="Calibri Light" w:cs="Calibri"/>
      <w:noProof/>
      <w:kern w:val="0"/>
      <w:szCs w:val="20"/>
      <w:lang w:eastAsia="en-AU"/>
      <w14:ligatures w14:val="none"/>
    </w:rPr>
  </w:style>
  <w:style w:type="numbering" w:customStyle="1" w:styleId="OutlineList">
    <w:name w:val="OutlineList"/>
    <w:uiPriority w:val="99"/>
    <w:rsid w:val="00385612"/>
    <w:pPr>
      <w:numPr>
        <w:numId w:val="6"/>
      </w:numPr>
    </w:pPr>
  </w:style>
  <w:style w:type="numbering" w:customStyle="1" w:styleId="BulletedList">
    <w:name w:val="Bulleted List"/>
    <w:uiPriority w:val="99"/>
    <w:rsid w:val="00385612"/>
    <w:pPr>
      <w:numPr>
        <w:numId w:val="3"/>
      </w:numPr>
    </w:pPr>
  </w:style>
  <w:style w:type="numbering" w:customStyle="1" w:styleId="BoxBulletedList">
    <w:name w:val="Box Bulleted List"/>
    <w:uiPriority w:val="99"/>
    <w:rsid w:val="00385612"/>
    <w:pPr>
      <w:numPr>
        <w:numId w:val="4"/>
      </w:numPr>
    </w:pPr>
  </w:style>
  <w:style w:type="numbering" w:customStyle="1" w:styleId="OneLevelList">
    <w:name w:val="OneLevelList"/>
    <w:uiPriority w:val="99"/>
    <w:rsid w:val="00385612"/>
    <w:pPr>
      <w:numPr>
        <w:numId w:val="5"/>
      </w:numPr>
    </w:pPr>
  </w:style>
  <w:style w:type="numbering" w:customStyle="1" w:styleId="ChartandTableFootnoteAlphaList">
    <w:name w:val="ChartandTableFootnoteAlphaList"/>
    <w:uiPriority w:val="99"/>
    <w:rsid w:val="00385612"/>
    <w:pPr>
      <w:numPr>
        <w:numId w:val="11"/>
      </w:numPr>
    </w:pPr>
  </w:style>
  <w:style w:type="paragraph" w:customStyle="1" w:styleId="Heading1Numbered">
    <w:name w:val="Heading 1 Numbered"/>
    <w:basedOn w:val="Heading1"/>
    <w:next w:val="Normal"/>
    <w:rsid w:val="00385612"/>
    <w:pPr>
      <w:numPr>
        <w:numId w:val="8"/>
      </w:numPr>
    </w:pPr>
  </w:style>
  <w:style w:type="character" w:customStyle="1" w:styleId="SingleParagraphChar">
    <w:name w:val="Single Paragraph Char"/>
    <w:basedOn w:val="DefaultParagraphFont"/>
    <w:link w:val="SingleParagraph"/>
    <w:rsid w:val="00385612"/>
    <w:rPr>
      <w:rFonts w:ascii="Calibri Light" w:eastAsia="Times New Roman" w:hAnsi="Calibri Light" w:cs="Times New Roman"/>
      <w:kern w:val="0"/>
      <w:szCs w:val="20"/>
      <w:lang w:eastAsia="en-AU"/>
      <w14:ligatures w14:val="none"/>
    </w:rPr>
  </w:style>
  <w:style w:type="paragraph" w:customStyle="1" w:styleId="Heading2Numbered">
    <w:name w:val="Heading 2 Numbered"/>
    <w:basedOn w:val="Heading2"/>
    <w:next w:val="Normal"/>
    <w:rsid w:val="00385612"/>
    <w:pPr>
      <w:numPr>
        <w:ilvl w:val="1"/>
        <w:numId w:val="8"/>
      </w:numPr>
      <w:ind w:left="284"/>
    </w:pPr>
    <w:rPr>
      <w:b/>
      <w:iCs w:val="0"/>
    </w:rPr>
  </w:style>
  <w:style w:type="paragraph" w:customStyle="1" w:styleId="Heading3Numbered">
    <w:name w:val="Heading 3 Numbered"/>
    <w:basedOn w:val="Heading3"/>
    <w:rsid w:val="00385612"/>
    <w:pPr>
      <w:numPr>
        <w:ilvl w:val="2"/>
        <w:numId w:val="8"/>
      </w:numPr>
      <w:ind w:left="284"/>
    </w:pPr>
  </w:style>
  <w:style w:type="paragraph" w:styleId="Subtitle">
    <w:name w:val="Subtitle"/>
    <w:basedOn w:val="Normal"/>
    <w:next w:val="Normal"/>
    <w:link w:val="SubtitleChar"/>
    <w:uiPriority w:val="11"/>
    <w:rsid w:val="00385612"/>
    <w:pPr>
      <w:numPr>
        <w:ilvl w:val="1"/>
      </w:numPr>
      <w:spacing w:before="120" w:after="120" w:line="240" w:lineRule="auto"/>
    </w:pPr>
    <w:rPr>
      <w:rFonts w:ascii="Calibri Light" w:eastAsiaTheme="majorEastAsia" w:hAnsi="Calibri Light" w:cstheme="majorBidi"/>
      <w:iCs/>
      <w:color w:val="EEEEEE"/>
      <w:kern w:val="0"/>
      <w:sz w:val="44"/>
      <w:szCs w:val="44"/>
      <w:lang w:eastAsia="en-AU"/>
      <w14:ligatures w14:val="none"/>
    </w:rPr>
  </w:style>
  <w:style w:type="character" w:customStyle="1" w:styleId="SubtitleChar">
    <w:name w:val="Subtitle Char"/>
    <w:basedOn w:val="DefaultParagraphFont"/>
    <w:link w:val="Subtitle"/>
    <w:uiPriority w:val="11"/>
    <w:rsid w:val="00385612"/>
    <w:rPr>
      <w:rFonts w:ascii="Calibri Light" w:eastAsiaTheme="majorEastAsia" w:hAnsi="Calibri Light" w:cstheme="majorBidi"/>
      <w:iCs/>
      <w:color w:val="EEEEEE"/>
      <w:kern w:val="0"/>
      <w:sz w:val="44"/>
      <w:szCs w:val="44"/>
      <w:lang w:eastAsia="en-AU"/>
      <w14:ligatures w14:val="none"/>
    </w:rPr>
  </w:style>
  <w:style w:type="character" w:styleId="SubtleEmphasis">
    <w:name w:val="Subtle Emphasis"/>
    <w:basedOn w:val="DefaultParagraphFont"/>
    <w:uiPriority w:val="19"/>
    <w:rsid w:val="00385612"/>
    <w:rPr>
      <w:i/>
      <w:iCs/>
      <w:color w:val="808080" w:themeColor="text1" w:themeTint="7F"/>
    </w:rPr>
  </w:style>
  <w:style w:type="character" w:styleId="PlaceholderText">
    <w:name w:val="Placeholder Text"/>
    <w:basedOn w:val="DefaultParagraphFont"/>
    <w:uiPriority w:val="99"/>
    <w:semiHidden/>
    <w:rsid w:val="00385612"/>
    <w:rPr>
      <w:color w:val="808080"/>
    </w:rPr>
  </w:style>
  <w:style w:type="paragraph" w:customStyle="1" w:styleId="AppendixHeading">
    <w:name w:val="Appendix Heading"/>
    <w:basedOn w:val="Heading1"/>
    <w:next w:val="Normal"/>
    <w:rsid w:val="00385612"/>
  </w:style>
  <w:style w:type="paragraph" w:customStyle="1" w:styleId="HeadingBase">
    <w:name w:val="Heading Base"/>
    <w:rsid w:val="00385612"/>
    <w:pPr>
      <w:keepNext/>
      <w:spacing w:after="120" w:line="240" w:lineRule="auto"/>
    </w:pPr>
    <w:rPr>
      <w:rFonts w:ascii="Calibri" w:eastAsia="Times New Roman" w:hAnsi="Calibri" w:cs="Arial"/>
      <w:bCs/>
      <w:color w:val="002C4A"/>
      <w:kern w:val="32"/>
      <w:sz w:val="48"/>
      <w:szCs w:val="36"/>
      <w:lang w:eastAsia="en-AU"/>
      <w14:ligatures w14:val="none"/>
    </w:rPr>
  </w:style>
  <w:style w:type="character" w:customStyle="1" w:styleId="ReportDateChar">
    <w:name w:val="Report Date Char"/>
    <w:basedOn w:val="DefaultParagraphFont"/>
    <w:link w:val="ReportDate"/>
    <w:rsid w:val="00385612"/>
    <w:rPr>
      <w:rFonts w:ascii="Calibri Light" w:eastAsia="Times New Roman" w:hAnsi="Calibri Light" w:cs="Times New Roman"/>
      <w:color w:val="455875" w:themeColor="accent3" w:themeShade="BF"/>
      <w:kern w:val="0"/>
      <w:sz w:val="32"/>
      <w:szCs w:val="20"/>
      <w:lang w:eastAsia="en-AU"/>
      <w14:ligatures w14:val="none"/>
    </w:rPr>
  </w:style>
  <w:style w:type="paragraph" w:customStyle="1" w:styleId="NotesHeading">
    <w:name w:val="Notes Heading"/>
    <w:basedOn w:val="Normal"/>
    <w:rsid w:val="00385612"/>
    <w:pPr>
      <w:keepNext/>
      <w:spacing w:before="240" w:after="360" w:line="240" w:lineRule="auto"/>
      <w:jc w:val="center"/>
    </w:pPr>
    <w:rPr>
      <w:rFonts w:ascii="Century Gothic" w:eastAsia="Times New Roman" w:hAnsi="Century Gothic" w:cs="Times New Roman"/>
      <w:smallCaps/>
      <w:color w:val="5F5F5F" w:themeColor="text2"/>
      <w:kern w:val="0"/>
      <w:sz w:val="36"/>
      <w:szCs w:val="36"/>
      <w:lang w:eastAsia="en-AU"/>
      <w14:ligatures w14:val="none"/>
    </w:rPr>
  </w:style>
  <w:style w:type="paragraph" w:customStyle="1" w:styleId="TableTextIndented">
    <w:name w:val="Table Text Indented"/>
    <w:basedOn w:val="TableTextLeft"/>
    <w:rsid w:val="00385612"/>
    <w:pPr>
      <w:ind w:left="284"/>
    </w:pPr>
  </w:style>
  <w:style w:type="paragraph" w:customStyle="1" w:styleId="TableHeadingContinued">
    <w:name w:val="Table Heading Continued"/>
    <w:basedOn w:val="TableMainHeading"/>
    <w:next w:val="TableGraphic"/>
    <w:rsid w:val="00385612"/>
  </w:style>
  <w:style w:type="paragraph" w:customStyle="1" w:styleId="TableGraphic">
    <w:name w:val="Table Graphic"/>
    <w:basedOn w:val="HeadingBase"/>
    <w:next w:val="Normal"/>
    <w:rsid w:val="00385612"/>
    <w:pPr>
      <w:spacing w:after="0"/>
    </w:pPr>
  </w:style>
  <w:style w:type="paragraph" w:customStyle="1" w:styleId="HeaderEven">
    <w:name w:val="Header Even"/>
    <w:basedOn w:val="Header"/>
    <w:qFormat/>
    <w:rsid w:val="00385612"/>
    <w:pPr>
      <w:keepNext/>
      <w:spacing w:before="0" w:after="0"/>
      <w:jc w:val="left"/>
    </w:pPr>
    <w:rPr>
      <w:rFonts w:ascii="Calibri Light" w:hAnsi="Calibri Light"/>
      <w:b w:val="0"/>
      <w:caps w:val="0"/>
      <w:color w:val="002C47"/>
      <w:sz w:val="20"/>
      <w:szCs w:val="20"/>
    </w:rPr>
  </w:style>
  <w:style w:type="paragraph" w:customStyle="1" w:styleId="HeaderOdd">
    <w:name w:val="Header Odd"/>
    <w:basedOn w:val="Header"/>
    <w:qFormat/>
    <w:rsid w:val="00385612"/>
    <w:pPr>
      <w:keepNext/>
      <w:spacing w:before="0" w:after="0"/>
      <w:jc w:val="right"/>
    </w:pPr>
    <w:rPr>
      <w:rFonts w:ascii="Calibri Light" w:hAnsi="Calibri Light"/>
      <w:b w:val="0"/>
      <w:caps w:val="0"/>
      <w:color w:val="002C47"/>
      <w:sz w:val="20"/>
      <w:szCs w:val="20"/>
    </w:rPr>
  </w:style>
  <w:style w:type="character" w:customStyle="1" w:styleId="BoxTextChar">
    <w:name w:val="Box Text Char"/>
    <w:basedOn w:val="DefaultParagraphFont"/>
    <w:link w:val="BoxText"/>
    <w:locked/>
    <w:rsid w:val="00385612"/>
    <w:rPr>
      <w:rFonts w:ascii="Calibri Light" w:eastAsia="Times New Roman" w:hAnsi="Calibri Light" w:cs="Times New Roman"/>
      <w:kern w:val="0"/>
      <w:szCs w:val="20"/>
      <w:lang w:eastAsia="en-AU"/>
      <w14:ligatures w14:val="none"/>
    </w:rPr>
  </w:style>
  <w:style w:type="paragraph" w:customStyle="1" w:styleId="Boxbullet">
    <w:name w:val="Box bullet"/>
    <w:basedOn w:val="Bullet"/>
    <w:rsid w:val="00385612"/>
    <w:pPr>
      <w:numPr>
        <w:numId w:val="10"/>
      </w:numPr>
      <w:tabs>
        <w:tab w:val="clear" w:pos="283"/>
        <w:tab w:val="num" w:pos="284"/>
      </w:tabs>
      <w:spacing w:before="60"/>
    </w:pPr>
    <w:rPr>
      <w:color w:val="0D0D0D" w:themeColor="text1" w:themeTint="F2"/>
    </w:rPr>
  </w:style>
  <w:style w:type="paragraph" w:customStyle="1" w:styleId="Boxdash">
    <w:name w:val="Box dash"/>
    <w:basedOn w:val="Dash"/>
    <w:rsid w:val="00385612"/>
    <w:pPr>
      <w:numPr>
        <w:numId w:val="10"/>
      </w:numPr>
      <w:spacing w:before="60" w:after="0" w:line="276" w:lineRule="auto"/>
    </w:pPr>
    <w:rPr>
      <w:color w:val="0D0D0D" w:themeColor="text1" w:themeTint="F2"/>
    </w:rPr>
  </w:style>
  <w:style w:type="paragraph" w:customStyle="1" w:styleId="Boxdoubledot">
    <w:name w:val="Box double dot"/>
    <w:basedOn w:val="DoubleDot"/>
    <w:rsid w:val="00385612"/>
    <w:pPr>
      <w:numPr>
        <w:numId w:val="10"/>
      </w:numPr>
      <w:tabs>
        <w:tab w:val="left" w:pos="567"/>
        <w:tab w:val="left" w:pos="720"/>
      </w:tabs>
      <w:spacing w:before="60" w:after="0"/>
    </w:pPr>
    <w:rPr>
      <w:color w:val="0D0D0D" w:themeColor="text1" w:themeTint="F2"/>
    </w:rPr>
  </w:style>
  <w:style w:type="paragraph" w:customStyle="1" w:styleId="Instructions">
    <w:name w:val="Instructions"/>
    <w:basedOn w:val="Normal"/>
    <w:uiPriority w:val="1"/>
    <w:qFormat/>
    <w:rsid w:val="00385612"/>
    <w:pPr>
      <w:shd w:val="clear" w:color="auto" w:fill="FFFF00"/>
      <w:spacing w:before="120" w:after="120" w:line="240" w:lineRule="auto"/>
      <w:ind w:left="170" w:hanging="170"/>
    </w:pPr>
    <w:rPr>
      <w:rFonts w:eastAsia="Times New Roman" w:cs="Times New Roman"/>
      <w:kern w:val="0"/>
      <w:sz w:val="20"/>
      <w:szCs w:val="24"/>
      <w:lang w:eastAsia="en-AU"/>
      <w14:ligatures w14:val="none"/>
    </w:rPr>
  </w:style>
  <w:style w:type="numbering" w:customStyle="1" w:styleId="NoList1">
    <w:name w:val="No List1"/>
    <w:next w:val="NoList"/>
    <w:uiPriority w:val="99"/>
    <w:semiHidden/>
    <w:unhideWhenUsed/>
    <w:rsid w:val="0080416A"/>
  </w:style>
  <w:style w:type="numbering" w:customStyle="1" w:styleId="OutlineList1">
    <w:name w:val="OutlineList1"/>
    <w:uiPriority w:val="99"/>
    <w:rsid w:val="0080416A"/>
  </w:style>
  <w:style w:type="numbering" w:customStyle="1" w:styleId="BulletedList1">
    <w:name w:val="Bulleted List1"/>
    <w:uiPriority w:val="99"/>
    <w:rsid w:val="0080416A"/>
  </w:style>
  <w:style w:type="numbering" w:customStyle="1" w:styleId="BoxBulletedList1">
    <w:name w:val="Box Bulleted List1"/>
    <w:uiPriority w:val="99"/>
    <w:rsid w:val="0080416A"/>
  </w:style>
  <w:style w:type="numbering" w:customStyle="1" w:styleId="OneLevelList1">
    <w:name w:val="OneLevelList1"/>
    <w:uiPriority w:val="99"/>
    <w:rsid w:val="0080416A"/>
  </w:style>
  <w:style w:type="numbering" w:customStyle="1" w:styleId="ChartandTableFootnoteAlphaList1">
    <w:name w:val="ChartandTableFootnoteAlphaList1"/>
    <w:uiPriority w:val="99"/>
    <w:rsid w:val="0080416A"/>
  </w:style>
  <w:style w:type="paragraph" w:styleId="NoSpacing">
    <w:name w:val="No Spacing"/>
    <w:uiPriority w:val="1"/>
    <w:qFormat/>
    <w:rsid w:val="009857F0"/>
    <w:pPr>
      <w:spacing w:after="0" w:line="240" w:lineRule="auto"/>
    </w:pPr>
  </w:style>
  <w:style w:type="character" w:customStyle="1" w:styleId="Heading7Char">
    <w:name w:val="Heading 7 Char"/>
    <w:basedOn w:val="DefaultParagraphFont"/>
    <w:link w:val="Heading7"/>
    <w:uiPriority w:val="9"/>
    <w:rsid w:val="00714F79"/>
    <w:rPr>
      <w:rFonts w:asciiTheme="majorHAnsi" w:eastAsiaTheme="majorEastAsia" w:hAnsiTheme="majorHAnsi" w:cstheme="majorBidi"/>
      <w:i/>
      <w:iCs/>
      <w:color w:val="161B24" w:themeColor="accent1" w:themeShade="7F"/>
    </w:rPr>
  </w:style>
  <w:style w:type="character" w:customStyle="1" w:styleId="UnresolvedMention2">
    <w:name w:val="Unresolved Mention2"/>
    <w:basedOn w:val="DefaultParagraphFont"/>
    <w:uiPriority w:val="99"/>
    <w:unhideWhenUsed/>
    <w:rsid w:val="00992F32"/>
    <w:rPr>
      <w:color w:val="605E5C"/>
      <w:shd w:val="clear" w:color="auto" w:fill="E1DFDD"/>
    </w:rPr>
  </w:style>
  <w:style w:type="character" w:customStyle="1" w:styleId="Mention2">
    <w:name w:val="Mention2"/>
    <w:basedOn w:val="DefaultParagraphFont"/>
    <w:uiPriority w:val="99"/>
    <w:unhideWhenUsed/>
    <w:rsid w:val="00992F32"/>
    <w:rPr>
      <w:color w:val="2B579A"/>
      <w:shd w:val="clear" w:color="auto" w:fill="E1DFDD"/>
    </w:rPr>
  </w:style>
  <w:style w:type="paragraph" w:styleId="TOCHeading">
    <w:name w:val="TOC Heading"/>
    <w:basedOn w:val="Heading1"/>
    <w:next w:val="Normal"/>
    <w:uiPriority w:val="39"/>
    <w:unhideWhenUsed/>
    <w:qFormat/>
    <w:rsid w:val="004273B7"/>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TOC4">
    <w:name w:val="toc 4"/>
    <w:basedOn w:val="Normal"/>
    <w:next w:val="Normal"/>
    <w:autoRedefine/>
    <w:uiPriority w:val="39"/>
    <w:unhideWhenUsed/>
    <w:rsid w:val="00F670DE"/>
    <w:pPr>
      <w:spacing w:after="100"/>
      <w:ind w:left="660"/>
    </w:pPr>
  </w:style>
  <w:style w:type="paragraph" w:styleId="EndnoteText">
    <w:name w:val="endnote text"/>
    <w:basedOn w:val="Normal"/>
    <w:link w:val="EndnoteTextChar"/>
    <w:uiPriority w:val="99"/>
    <w:semiHidden/>
    <w:unhideWhenUsed/>
    <w:rsid w:val="00847F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7F5E"/>
    <w:rPr>
      <w:sz w:val="20"/>
      <w:szCs w:val="20"/>
    </w:rPr>
  </w:style>
  <w:style w:type="character" w:styleId="EndnoteReference">
    <w:name w:val="endnote reference"/>
    <w:basedOn w:val="DefaultParagraphFont"/>
    <w:uiPriority w:val="99"/>
    <w:semiHidden/>
    <w:unhideWhenUsed/>
    <w:rsid w:val="00847F5E"/>
    <w:rPr>
      <w:vertAlign w:val="superscript"/>
    </w:rPr>
  </w:style>
  <w:style w:type="paragraph" w:styleId="BodyText">
    <w:name w:val="Body Text"/>
    <w:basedOn w:val="Normal"/>
    <w:link w:val="BodyTextChar"/>
    <w:qFormat/>
    <w:rsid w:val="00587D71"/>
    <w:pPr>
      <w:spacing w:after="120" w:line="264" w:lineRule="auto"/>
    </w:pPr>
    <w:rPr>
      <w:color w:val="262626" w:themeColor="text1" w:themeTint="D9"/>
      <w:kern w:val="0"/>
      <w:sz w:val="20"/>
      <w:szCs w:val="20"/>
      <w14:ligatures w14:val="none"/>
    </w:rPr>
  </w:style>
  <w:style w:type="character" w:customStyle="1" w:styleId="BodyTextChar">
    <w:name w:val="Body Text Char"/>
    <w:basedOn w:val="DefaultParagraphFont"/>
    <w:link w:val="BodyText"/>
    <w:rsid w:val="00587D71"/>
    <w:rPr>
      <w:color w:val="262626" w:themeColor="text1" w:themeTint="D9"/>
      <w:kern w:val="0"/>
      <w:sz w:val="20"/>
      <w:szCs w:val="20"/>
      <w14:ligatures w14:val="none"/>
    </w:rPr>
  </w:style>
  <w:style w:type="paragraph" w:customStyle="1" w:styleId="pf0">
    <w:name w:val="pf0"/>
    <w:basedOn w:val="Normal"/>
    <w:rsid w:val="0096684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GridTable5Dark-Accent1">
    <w:name w:val="Grid Table 5 Dark Accent 1"/>
    <w:basedOn w:val="TableNormal"/>
    <w:uiPriority w:val="50"/>
    <w:rsid w:val="00492D37"/>
    <w:pPr>
      <w:spacing w:after="0" w:line="240" w:lineRule="auto"/>
    </w:pPr>
    <w:rPr>
      <w:color w:val="262626" w:themeColor="text1" w:themeTint="D9"/>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D5E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84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84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84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84A" w:themeFill="accent1"/>
      </w:tcPr>
    </w:tblStylePr>
    <w:tblStylePr w:type="band1Vert">
      <w:tblPr/>
      <w:tcPr>
        <w:shd w:val="clear" w:color="auto" w:fill="9CACC4" w:themeFill="accent1" w:themeFillTint="66"/>
      </w:tcPr>
    </w:tblStylePr>
    <w:tblStylePr w:type="band1Horz">
      <w:tblPr/>
      <w:tcPr>
        <w:shd w:val="clear" w:color="auto" w:fill="9CACC4" w:themeFill="accent1" w:themeFillTint="66"/>
      </w:tcPr>
    </w:tblStylePr>
  </w:style>
  <w:style w:type="paragraph" w:customStyle="1" w:styleId="paragraph">
    <w:name w:val="paragraph"/>
    <w:basedOn w:val="Normal"/>
    <w:link w:val="paragraphChar"/>
    <w:rsid w:val="00E92F1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paragraphChar">
    <w:name w:val="paragraph Char"/>
    <w:basedOn w:val="DefaultParagraphFont"/>
    <w:link w:val="paragraph"/>
    <w:locked/>
    <w:rsid w:val="00E92F16"/>
    <w:rPr>
      <w:rFonts w:ascii="Times New Roman" w:eastAsia="Times New Roman" w:hAnsi="Times New Roman" w:cs="Times New Roman"/>
      <w:kern w:val="0"/>
      <w:sz w:val="24"/>
      <w:szCs w:val="24"/>
      <w:lang w:eastAsia="en-AU"/>
      <w14:ligatures w14:val="none"/>
    </w:rPr>
  </w:style>
  <w:style w:type="character" w:customStyle="1" w:styleId="UnresolvedMention3">
    <w:name w:val="Unresolved Mention3"/>
    <w:basedOn w:val="DefaultParagraphFont"/>
    <w:uiPriority w:val="99"/>
    <w:unhideWhenUsed/>
    <w:rsid w:val="001514F2"/>
    <w:rPr>
      <w:color w:val="605E5C"/>
      <w:shd w:val="clear" w:color="auto" w:fill="E1DFDD"/>
    </w:rPr>
  </w:style>
  <w:style w:type="character" w:customStyle="1" w:styleId="Mention3">
    <w:name w:val="Mention3"/>
    <w:basedOn w:val="DefaultParagraphFont"/>
    <w:uiPriority w:val="99"/>
    <w:unhideWhenUsed/>
    <w:rsid w:val="001514F2"/>
    <w:rPr>
      <w:color w:val="2B579A"/>
      <w:shd w:val="clear" w:color="auto" w:fill="E1DFDD"/>
    </w:rPr>
  </w:style>
  <w:style w:type="table" w:styleId="GridTable1Light">
    <w:name w:val="Grid Table 1 Light"/>
    <w:basedOn w:val="TableNormal"/>
    <w:uiPriority w:val="46"/>
    <w:rsid w:val="001514F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igure">
    <w:name w:val="Figure"/>
    <w:basedOn w:val="Normal"/>
    <w:uiPriority w:val="2"/>
    <w:qFormat/>
    <w:rsid w:val="00587336"/>
    <w:pPr>
      <w:numPr>
        <w:numId w:val="6"/>
      </w:numPr>
      <w:spacing w:before="240" w:line="264" w:lineRule="auto"/>
    </w:pPr>
    <w:rPr>
      <w:rFonts w:asciiTheme="majorHAnsi" w:eastAsiaTheme="minorEastAsia" w:hAnsiTheme="majorHAnsi" w:cs="Segoe UI"/>
      <w:color w:val="5F5F5F" w:themeColor="text2"/>
      <w:kern w:val="0"/>
      <w:szCs w:val="21"/>
      <w14:ligatures w14:val="none"/>
    </w:rPr>
  </w:style>
  <w:style w:type="character" w:customStyle="1" w:styleId="UnresolvedMention">
    <w:name w:val="Unresolved Mention"/>
    <w:basedOn w:val="DefaultParagraphFont"/>
    <w:uiPriority w:val="99"/>
    <w:unhideWhenUsed/>
    <w:rsid w:val="004839E5"/>
    <w:rPr>
      <w:color w:val="605E5C"/>
      <w:shd w:val="clear" w:color="auto" w:fill="E1DFDD"/>
    </w:rPr>
  </w:style>
  <w:style w:type="character" w:customStyle="1" w:styleId="cf11">
    <w:name w:val="cf11"/>
    <w:basedOn w:val="DefaultParagraphFont"/>
    <w:rsid w:val="00F508F9"/>
    <w:rPr>
      <w:rFonts w:ascii="Segoe UI" w:hAnsi="Segoe UI" w:cs="Segoe UI" w:hint="default"/>
      <w:b/>
      <w:bCs/>
      <w:sz w:val="18"/>
      <w:szCs w:val="18"/>
    </w:rPr>
  </w:style>
  <w:style w:type="character" w:customStyle="1" w:styleId="Mention">
    <w:name w:val="Mention"/>
    <w:basedOn w:val="DefaultParagraphFont"/>
    <w:uiPriority w:val="99"/>
    <w:unhideWhenUsed/>
    <w:rsid w:val="00C608C5"/>
    <w:rPr>
      <w:color w:val="2B579A"/>
      <w:shd w:val="clear" w:color="auto" w:fill="E1DFDD"/>
    </w:rPr>
  </w:style>
  <w:style w:type="character" w:customStyle="1" w:styleId="cf21">
    <w:name w:val="cf21"/>
    <w:basedOn w:val="DefaultParagraphFont"/>
    <w:rsid w:val="00A7557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708">
      <w:bodyDiv w:val="1"/>
      <w:marLeft w:val="0"/>
      <w:marRight w:val="0"/>
      <w:marTop w:val="0"/>
      <w:marBottom w:val="0"/>
      <w:divBdr>
        <w:top w:val="none" w:sz="0" w:space="0" w:color="auto"/>
        <w:left w:val="none" w:sz="0" w:space="0" w:color="auto"/>
        <w:bottom w:val="none" w:sz="0" w:space="0" w:color="auto"/>
        <w:right w:val="none" w:sz="0" w:space="0" w:color="auto"/>
      </w:divBdr>
    </w:div>
    <w:div w:id="172570816">
      <w:bodyDiv w:val="1"/>
      <w:marLeft w:val="0"/>
      <w:marRight w:val="0"/>
      <w:marTop w:val="0"/>
      <w:marBottom w:val="0"/>
      <w:divBdr>
        <w:top w:val="none" w:sz="0" w:space="0" w:color="auto"/>
        <w:left w:val="none" w:sz="0" w:space="0" w:color="auto"/>
        <w:bottom w:val="none" w:sz="0" w:space="0" w:color="auto"/>
        <w:right w:val="none" w:sz="0" w:space="0" w:color="auto"/>
      </w:divBdr>
    </w:div>
    <w:div w:id="200677048">
      <w:bodyDiv w:val="1"/>
      <w:marLeft w:val="0"/>
      <w:marRight w:val="0"/>
      <w:marTop w:val="0"/>
      <w:marBottom w:val="0"/>
      <w:divBdr>
        <w:top w:val="none" w:sz="0" w:space="0" w:color="auto"/>
        <w:left w:val="none" w:sz="0" w:space="0" w:color="auto"/>
        <w:bottom w:val="none" w:sz="0" w:space="0" w:color="auto"/>
        <w:right w:val="none" w:sz="0" w:space="0" w:color="auto"/>
      </w:divBdr>
    </w:div>
    <w:div w:id="224804971">
      <w:bodyDiv w:val="1"/>
      <w:marLeft w:val="0"/>
      <w:marRight w:val="0"/>
      <w:marTop w:val="0"/>
      <w:marBottom w:val="0"/>
      <w:divBdr>
        <w:top w:val="none" w:sz="0" w:space="0" w:color="auto"/>
        <w:left w:val="none" w:sz="0" w:space="0" w:color="auto"/>
        <w:bottom w:val="none" w:sz="0" w:space="0" w:color="auto"/>
        <w:right w:val="none" w:sz="0" w:space="0" w:color="auto"/>
      </w:divBdr>
    </w:div>
    <w:div w:id="330833513">
      <w:bodyDiv w:val="1"/>
      <w:marLeft w:val="0"/>
      <w:marRight w:val="0"/>
      <w:marTop w:val="0"/>
      <w:marBottom w:val="0"/>
      <w:divBdr>
        <w:top w:val="none" w:sz="0" w:space="0" w:color="auto"/>
        <w:left w:val="none" w:sz="0" w:space="0" w:color="auto"/>
        <w:bottom w:val="none" w:sz="0" w:space="0" w:color="auto"/>
        <w:right w:val="none" w:sz="0" w:space="0" w:color="auto"/>
      </w:divBdr>
    </w:div>
    <w:div w:id="384256796">
      <w:bodyDiv w:val="1"/>
      <w:marLeft w:val="0"/>
      <w:marRight w:val="0"/>
      <w:marTop w:val="0"/>
      <w:marBottom w:val="0"/>
      <w:divBdr>
        <w:top w:val="none" w:sz="0" w:space="0" w:color="auto"/>
        <w:left w:val="none" w:sz="0" w:space="0" w:color="auto"/>
        <w:bottom w:val="none" w:sz="0" w:space="0" w:color="auto"/>
        <w:right w:val="none" w:sz="0" w:space="0" w:color="auto"/>
      </w:divBdr>
    </w:div>
    <w:div w:id="394204316">
      <w:bodyDiv w:val="1"/>
      <w:marLeft w:val="0"/>
      <w:marRight w:val="0"/>
      <w:marTop w:val="0"/>
      <w:marBottom w:val="0"/>
      <w:divBdr>
        <w:top w:val="none" w:sz="0" w:space="0" w:color="auto"/>
        <w:left w:val="none" w:sz="0" w:space="0" w:color="auto"/>
        <w:bottom w:val="none" w:sz="0" w:space="0" w:color="auto"/>
        <w:right w:val="none" w:sz="0" w:space="0" w:color="auto"/>
      </w:divBdr>
    </w:div>
    <w:div w:id="484510492">
      <w:bodyDiv w:val="1"/>
      <w:marLeft w:val="0"/>
      <w:marRight w:val="0"/>
      <w:marTop w:val="0"/>
      <w:marBottom w:val="0"/>
      <w:divBdr>
        <w:top w:val="none" w:sz="0" w:space="0" w:color="auto"/>
        <w:left w:val="none" w:sz="0" w:space="0" w:color="auto"/>
        <w:bottom w:val="none" w:sz="0" w:space="0" w:color="auto"/>
        <w:right w:val="none" w:sz="0" w:space="0" w:color="auto"/>
      </w:divBdr>
    </w:div>
    <w:div w:id="494994474">
      <w:bodyDiv w:val="1"/>
      <w:marLeft w:val="0"/>
      <w:marRight w:val="0"/>
      <w:marTop w:val="0"/>
      <w:marBottom w:val="0"/>
      <w:divBdr>
        <w:top w:val="none" w:sz="0" w:space="0" w:color="auto"/>
        <w:left w:val="none" w:sz="0" w:space="0" w:color="auto"/>
        <w:bottom w:val="none" w:sz="0" w:space="0" w:color="auto"/>
        <w:right w:val="none" w:sz="0" w:space="0" w:color="auto"/>
      </w:divBdr>
    </w:div>
    <w:div w:id="520247580">
      <w:bodyDiv w:val="1"/>
      <w:marLeft w:val="0"/>
      <w:marRight w:val="0"/>
      <w:marTop w:val="0"/>
      <w:marBottom w:val="0"/>
      <w:divBdr>
        <w:top w:val="none" w:sz="0" w:space="0" w:color="auto"/>
        <w:left w:val="none" w:sz="0" w:space="0" w:color="auto"/>
        <w:bottom w:val="none" w:sz="0" w:space="0" w:color="auto"/>
        <w:right w:val="none" w:sz="0" w:space="0" w:color="auto"/>
      </w:divBdr>
    </w:div>
    <w:div w:id="539631528">
      <w:bodyDiv w:val="1"/>
      <w:marLeft w:val="0"/>
      <w:marRight w:val="0"/>
      <w:marTop w:val="0"/>
      <w:marBottom w:val="0"/>
      <w:divBdr>
        <w:top w:val="none" w:sz="0" w:space="0" w:color="auto"/>
        <w:left w:val="none" w:sz="0" w:space="0" w:color="auto"/>
        <w:bottom w:val="none" w:sz="0" w:space="0" w:color="auto"/>
        <w:right w:val="none" w:sz="0" w:space="0" w:color="auto"/>
      </w:divBdr>
    </w:div>
    <w:div w:id="590164928">
      <w:bodyDiv w:val="1"/>
      <w:marLeft w:val="0"/>
      <w:marRight w:val="0"/>
      <w:marTop w:val="0"/>
      <w:marBottom w:val="0"/>
      <w:divBdr>
        <w:top w:val="none" w:sz="0" w:space="0" w:color="auto"/>
        <w:left w:val="none" w:sz="0" w:space="0" w:color="auto"/>
        <w:bottom w:val="none" w:sz="0" w:space="0" w:color="auto"/>
        <w:right w:val="none" w:sz="0" w:space="0" w:color="auto"/>
      </w:divBdr>
    </w:div>
    <w:div w:id="597761506">
      <w:bodyDiv w:val="1"/>
      <w:marLeft w:val="0"/>
      <w:marRight w:val="0"/>
      <w:marTop w:val="0"/>
      <w:marBottom w:val="0"/>
      <w:divBdr>
        <w:top w:val="none" w:sz="0" w:space="0" w:color="auto"/>
        <w:left w:val="none" w:sz="0" w:space="0" w:color="auto"/>
        <w:bottom w:val="none" w:sz="0" w:space="0" w:color="auto"/>
        <w:right w:val="none" w:sz="0" w:space="0" w:color="auto"/>
      </w:divBdr>
    </w:div>
    <w:div w:id="599917938">
      <w:bodyDiv w:val="1"/>
      <w:marLeft w:val="0"/>
      <w:marRight w:val="0"/>
      <w:marTop w:val="0"/>
      <w:marBottom w:val="0"/>
      <w:divBdr>
        <w:top w:val="none" w:sz="0" w:space="0" w:color="auto"/>
        <w:left w:val="none" w:sz="0" w:space="0" w:color="auto"/>
        <w:bottom w:val="none" w:sz="0" w:space="0" w:color="auto"/>
        <w:right w:val="none" w:sz="0" w:space="0" w:color="auto"/>
      </w:divBdr>
    </w:div>
    <w:div w:id="615874489">
      <w:bodyDiv w:val="1"/>
      <w:marLeft w:val="0"/>
      <w:marRight w:val="0"/>
      <w:marTop w:val="0"/>
      <w:marBottom w:val="0"/>
      <w:divBdr>
        <w:top w:val="none" w:sz="0" w:space="0" w:color="auto"/>
        <w:left w:val="none" w:sz="0" w:space="0" w:color="auto"/>
        <w:bottom w:val="none" w:sz="0" w:space="0" w:color="auto"/>
        <w:right w:val="none" w:sz="0" w:space="0" w:color="auto"/>
      </w:divBdr>
    </w:div>
    <w:div w:id="659236640">
      <w:bodyDiv w:val="1"/>
      <w:marLeft w:val="0"/>
      <w:marRight w:val="0"/>
      <w:marTop w:val="0"/>
      <w:marBottom w:val="0"/>
      <w:divBdr>
        <w:top w:val="none" w:sz="0" w:space="0" w:color="auto"/>
        <w:left w:val="none" w:sz="0" w:space="0" w:color="auto"/>
        <w:bottom w:val="none" w:sz="0" w:space="0" w:color="auto"/>
        <w:right w:val="none" w:sz="0" w:space="0" w:color="auto"/>
      </w:divBdr>
    </w:div>
    <w:div w:id="685139714">
      <w:bodyDiv w:val="1"/>
      <w:marLeft w:val="0"/>
      <w:marRight w:val="0"/>
      <w:marTop w:val="0"/>
      <w:marBottom w:val="0"/>
      <w:divBdr>
        <w:top w:val="none" w:sz="0" w:space="0" w:color="auto"/>
        <w:left w:val="none" w:sz="0" w:space="0" w:color="auto"/>
        <w:bottom w:val="none" w:sz="0" w:space="0" w:color="auto"/>
        <w:right w:val="none" w:sz="0" w:space="0" w:color="auto"/>
      </w:divBdr>
    </w:div>
    <w:div w:id="695934138">
      <w:bodyDiv w:val="1"/>
      <w:marLeft w:val="0"/>
      <w:marRight w:val="0"/>
      <w:marTop w:val="0"/>
      <w:marBottom w:val="0"/>
      <w:divBdr>
        <w:top w:val="none" w:sz="0" w:space="0" w:color="auto"/>
        <w:left w:val="none" w:sz="0" w:space="0" w:color="auto"/>
        <w:bottom w:val="none" w:sz="0" w:space="0" w:color="auto"/>
        <w:right w:val="none" w:sz="0" w:space="0" w:color="auto"/>
      </w:divBdr>
    </w:div>
    <w:div w:id="716126826">
      <w:bodyDiv w:val="1"/>
      <w:marLeft w:val="0"/>
      <w:marRight w:val="0"/>
      <w:marTop w:val="0"/>
      <w:marBottom w:val="0"/>
      <w:divBdr>
        <w:top w:val="none" w:sz="0" w:space="0" w:color="auto"/>
        <w:left w:val="none" w:sz="0" w:space="0" w:color="auto"/>
        <w:bottom w:val="none" w:sz="0" w:space="0" w:color="auto"/>
        <w:right w:val="none" w:sz="0" w:space="0" w:color="auto"/>
      </w:divBdr>
    </w:div>
    <w:div w:id="767583094">
      <w:bodyDiv w:val="1"/>
      <w:marLeft w:val="0"/>
      <w:marRight w:val="0"/>
      <w:marTop w:val="0"/>
      <w:marBottom w:val="0"/>
      <w:divBdr>
        <w:top w:val="none" w:sz="0" w:space="0" w:color="auto"/>
        <w:left w:val="none" w:sz="0" w:space="0" w:color="auto"/>
        <w:bottom w:val="none" w:sz="0" w:space="0" w:color="auto"/>
        <w:right w:val="none" w:sz="0" w:space="0" w:color="auto"/>
      </w:divBdr>
    </w:div>
    <w:div w:id="789670480">
      <w:bodyDiv w:val="1"/>
      <w:marLeft w:val="0"/>
      <w:marRight w:val="0"/>
      <w:marTop w:val="0"/>
      <w:marBottom w:val="0"/>
      <w:divBdr>
        <w:top w:val="none" w:sz="0" w:space="0" w:color="auto"/>
        <w:left w:val="none" w:sz="0" w:space="0" w:color="auto"/>
        <w:bottom w:val="none" w:sz="0" w:space="0" w:color="auto"/>
        <w:right w:val="none" w:sz="0" w:space="0" w:color="auto"/>
      </w:divBdr>
    </w:div>
    <w:div w:id="823470306">
      <w:bodyDiv w:val="1"/>
      <w:marLeft w:val="0"/>
      <w:marRight w:val="0"/>
      <w:marTop w:val="0"/>
      <w:marBottom w:val="0"/>
      <w:divBdr>
        <w:top w:val="none" w:sz="0" w:space="0" w:color="auto"/>
        <w:left w:val="none" w:sz="0" w:space="0" w:color="auto"/>
        <w:bottom w:val="none" w:sz="0" w:space="0" w:color="auto"/>
        <w:right w:val="none" w:sz="0" w:space="0" w:color="auto"/>
      </w:divBdr>
    </w:div>
    <w:div w:id="875433736">
      <w:bodyDiv w:val="1"/>
      <w:marLeft w:val="0"/>
      <w:marRight w:val="0"/>
      <w:marTop w:val="0"/>
      <w:marBottom w:val="0"/>
      <w:divBdr>
        <w:top w:val="none" w:sz="0" w:space="0" w:color="auto"/>
        <w:left w:val="none" w:sz="0" w:space="0" w:color="auto"/>
        <w:bottom w:val="none" w:sz="0" w:space="0" w:color="auto"/>
        <w:right w:val="none" w:sz="0" w:space="0" w:color="auto"/>
      </w:divBdr>
    </w:div>
    <w:div w:id="1016735744">
      <w:bodyDiv w:val="1"/>
      <w:marLeft w:val="0"/>
      <w:marRight w:val="0"/>
      <w:marTop w:val="0"/>
      <w:marBottom w:val="0"/>
      <w:divBdr>
        <w:top w:val="none" w:sz="0" w:space="0" w:color="auto"/>
        <w:left w:val="none" w:sz="0" w:space="0" w:color="auto"/>
        <w:bottom w:val="none" w:sz="0" w:space="0" w:color="auto"/>
        <w:right w:val="none" w:sz="0" w:space="0" w:color="auto"/>
      </w:divBdr>
    </w:div>
    <w:div w:id="1034236944">
      <w:bodyDiv w:val="1"/>
      <w:marLeft w:val="0"/>
      <w:marRight w:val="0"/>
      <w:marTop w:val="0"/>
      <w:marBottom w:val="0"/>
      <w:divBdr>
        <w:top w:val="none" w:sz="0" w:space="0" w:color="auto"/>
        <w:left w:val="none" w:sz="0" w:space="0" w:color="auto"/>
        <w:bottom w:val="none" w:sz="0" w:space="0" w:color="auto"/>
        <w:right w:val="none" w:sz="0" w:space="0" w:color="auto"/>
      </w:divBdr>
    </w:div>
    <w:div w:id="1164128879">
      <w:bodyDiv w:val="1"/>
      <w:marLeft w:val="0"/>
      <w:marRight w:val="0"/>
      <w:marTop w:val="0"/>
      <w:marBottom w:val="0"/>
      <w:divBdr>
        <w:top w:val="none" w:sz="0" w:space="0" w:color="auto"/>
        <w:left w:val="none" w:sz="0" w:space="0" w:color="auto"/>
        <w:bottom w:val="none" w:sz="0" w:space="0" w:color="auto"/>
        <w:right w:val="none" w:sz="0" w:space="0" w:color="auto"/>
      </w:divBdr>
    </w:div>
    <w:div w:id="1169053994">
      <w:bodyDiv w:val="1"/>
      <w:marLeft w:val="0"/>
      <w:marRight w:val="0"/>
      <w:marTop w:val="0"/>
      <w:marBottom w:val="0"/>
      <w:divBdr>
        <w:top w:val="none" w:sz="0" w:space="0" w:color="auto"/>
        <w:left w:val="none" w:sz="0" w:space="0" w:color="auto"/>
        <w:bottom w:val="none" w:sz="0" w:space="0" w:color="auto"/>
        <w:right w:val="none" w:sz="0" w:space="0" w:color="auto"/>
      </w:divBdr>
    </w:div>
    <w:div w:id="1219046986">
      <w:bodyDiv w:val="1"/>
      <w:marLeft w:val="0"/>
      <w:marRight w:val="0"/>
      <w:marTop w:val="0"/>
      <w:marBottom w:val="0"/>
      <w:divBdr>
        <w:top w:val="none" w:sz="0" w:space="0" w:color="auto"/>
        <w:left w:val="none" w:sz="0" w:space="0" w:color="auto"/>
        <w:bottom w:val="none" w:sz="0" w:space="0" w:color="auto"/>
        <w:right w:val="none" w:sz="0" w:space="0" w:color="auto"/>
      </w:divBdr>
    </w:div>
    <w:div w:id="1245795409">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64534283">
      <w:bodyDiv w:val="1"/>
      <w:marLeft w:val="0"/>
      <w:marRight w:val="0"/>
      <w:marTop w:val="0"/>
      <w:marBottom w:val="0"/>
      <w:divBdr>
        <w:top w:val="none" w:sz="0" w:space="0" w:color="auto"/>
        <w:left w:val="none" w:sz="0" w:space="0" w:color="auto"/>
        <w:bottom w:val="none" w:sz="0" w:space="0" w:color="auto"/>
        <w:right w:val="none" w:sz="0" w:space="0" w:color="auto"/>
      </w:divBdr>
    </w:div>
    <w:div w:id="1351222849">
      <w:bodyDiv w:val="1"/>
      <w:marLeft w:val="0"/>
      <w:marRight w:val="0"/>
      <w:marTop w:val="0"/>
      <w:marBottom w:val="0"/>
      <w:divBdr>
        <w:top w:val="none" w:sz="0" w:space="0" w:color="auto"/>
        <w:left w:val="none" w:sz="0" w:space="0" w:color="auto"/>
        <w:bottom w:val="none" w:sz="0" w:space="0" w:color="auto"/>
        <w:right w:val="none" w:sz="0" w:space="0" w:color="auto"/>
      </w:divBdr>
    </w:div>
    <w:div w:id="1361861912">
      <w:bodyDiv w:val="1"/>
      <w:marLeft w:val="0"/>
      <w:marRight w:val="0"/>
      <w:marTop w:val="0"/>
      <w:marBottom w:val="0"/>
      <w:divBdr>
        <w:top w:val="none" w:sz="0" w:space="0" w:color="auto"/>
        <w:left w:val="none" w:sz="0" w:space="0" w:color="auto"/>
        <w:bottom w:val="none" w:sz="0" w:space="0" w:color="auto"/>
        <w:right w:val="none" w:sz="0" w:space="0" w:color="auto"/>
      </w:divBdr>
    </w:div>
    <w:div w:id="1572036798">
      <w:bodyDiv w:val="1"/>
      <w:marLeft w:val="0"/>
      <w:marRight w:val="0"/>
      <w:marTop w:val="0"/>
      <w:marBottom w:val="0"/>
      <w:divBdr>
        <w:top w:val="none" w:sz="0" w:space="0" w:color="auto"/>
        <w:left w:val="none" w:sz="0" w:space="0" w:color="auto"/>
        <w:bottom w:val="none" w:sz="0" w:space="0" w:color="auto"/>
        <w:right w:val="none" w:sz="0" w:space="0" w:color="auto"/>
      </w:divBdr>
    </w:div>
    <w:div w:id="1603145909">
      <w:bodyDiv w:val="1"/>
      <w:marLeft w:val="0"/>
      <w:marRight w:val="0"/>
      <w:marTop w:val="0"/>
      <w:marBottom w:val="0"/>
      <w:divBdr>
        <w:top w:val="none" w:sz="0" w:space="0" w:color="auto"/>
        <w:left w:val="none" w:sz="0" w:space="0" w:color="auto"/>
        <w:bottom w:val="none" w:sz="0" w:space="0" w:color="auto"/>
        <w:right w:val="none" w:sz="0" w:space="0" w:color="auto"/>
      </w:divBdr>
    </w:div>
    <w:div w:id="1717704510">
      <w:bodyDiv w:val="1"/>
      <w:marLeft w:val="0"/>
      <w:marRight w:val="0"/>
      <w:marTop w:val="0"/>
      <w:marBottom w:val="0"/>
      <w:divBdr>
        <w:top w:val="none" w:sz="0" w:space="0" w:color="auto"/>
        <w:left w:val="none" w:sz="0" w:space="0" w:color="auto"/>
        <w:bottom w:val="none" w:sz="0" w:space="0" w:color="auto"/>
        <w:right w:val="none" w:sz="0" w:space="0" w:color="auto"/>
      </w:divBdr>
    </w:div>
    <w:div w:id="1726291245">
      <w:bodyDiv w:val="1"/>
      <w:marLeft w:val="0"/>
      <w:marRight w:val="0"/>
      <w:marTop w:val="0"/>
      <w:marBottom w:val="0"/>
      <w:divBdr>
        <w:top w:val="none" w:sz="0" w:space="0" w:color="auto"/>
        <w:left w:val="none" w:sz="0" w:space="0" w:color="auto"/>
        <w:bottom w:val="none" w:sz="0" w:space="0" w:color="auto"/>
        <w:right w:val="none" w:sz="0" w:space="0" w:color="auto"/>
      </w:divBdr>
    </w:div>
    <w:div w:id="1793862708">
      <w:bodyDiv w:val="1"/>
      <w:marLeft w:val="0"/>
      <w:marRight w:val="0"/>
      <w:marTop w:val="0"/>
      <w:marBottom w:val="0"/>
      <w:divBdr>
        <w:top w:val="none" w:sz="0" w:space="0" w:color="auto"/>
        <w:left w:val="none" w:sz="0" w:space="0" w:color="auto"/>
        <w:bottom w:val="none" w:sz="0" w:space="0" w:color="auto"/>
        <w:right w:val="none" w:sz="0" w:space="0" w:color="auto"/>
      </w:divBdr>
    </w:div>
    <w:div w:id="1960524142">
      <w:bodyDiv w:val="1"/>
      <w:marLeft w:val="0"/>
      <w:marRight w:val="0"/>
      <w:marTop w:val="0"/>
      <w:marBottom w:val="0"/>
      <w:divBdr>
        <w:top w:val="none" w:sz="0" w:space="0" w:color="auto"/>
        <w:left w:val="none" w:sz="0" w:space="0" w:color="auto"/>
        <w:bottom w:val="none" w:sz="0" w:space="0" w:color="auto"/>
        <w:right w:val="none" w:sz="0" w:space="0" w:color="auto"/>
      </w:divBdr>
    </w:div>
    <w:div w:id="1989900482">
      <w:bodyDiv w:val="1"/>
      <w:marLeft w:val="0"/>
      <w:marRight w:val="0"/>
      <w:marTop w:val="0"/>
      <w:marBottom w:val="0"/>
      <w:divBdr>
        <w:top w:val="none" w:sz="0" w:space="0" w:color="auto"/>
        <w:left w:val="none" w:sz="0" w:space="0" w:color="auto"/>
        <w:bottom w:val="none" w:sz="0" w:space="0" w:color="auto"/>
        <w:right w:val="none" w:sz="0" w:space="0" w:color="auto"/>
      </w:divBdr>
    </w:div>
    <w:div w:id="2066098157">
      <w:bodyDiv w:val="1"/>
      <w:marLeft w:val="0"/>
      <w:marRight w:val="0"/>
      <w:marTop w:val="0"/>
      <w:marBottom w:val="0"/>
      <w:divBdr>
        <w:top w:val="none" w:sz="0" w:space="0" w:color="auto"/>
        <w:left w:val="none" w:sz="0" w:space="0" w:color="auto"/>
        <w:bottom w:val="none" w:sz="0" w:space="0" w:color="auto"/>
        <w:right w:val="none" w:sz="0" w:space="0" w:color="auto"/>
      </w:divBdr>
    </w:div>
    <w:div w:id="2081900728">
      <w:bodyDiv w:val="1"/>
      <w:marLeft w:val="0"/>
      <w:marRight w:val="0"/>
      <w:marTop w:val="0"/>
      <w:marBottom w:val="0"/>
      <w:divBdr>
        <w:top w:val="none" w:sz="0" w:space="0" w:color="auto"/>
        <w:left w:val="none" w:sz="0" w:space="0" w:color="auto"/>
        <w:bottom w:val="none" w:sz="0" w:space="0" w:color="auto"/>
        <w:right w:val="none" w:sz="0" w:space="0" w:color="auto"/>
      </w:divBdr>
    </w:div>
    <w:div w:id="2083484132">
      <w:bodyDiv w:val="1"/>
      <w:marLeft w:val="0"/>
      <w:marRight w:val="0"/>
      <w:marTop w:val="0"/>
      <w:marBottom w:val="0"/>
      <w:divBdr>
        <w:top w:val="none" w:sz="0" w:space="0" w:color="auto"/>
        <w:left w:val="none" w:sz="0" w:space="0" w:color="auto"/>
        <w:bottom w:val="none" w:sz="0" w:space="0" w:color="auto"/>
        <w:right w:val="none" w:sz="0" w:space="0" w:color="auto"/>
      </w:divBdr>
    </w:div>
    <w:div w:id="2102142846">
      <w:bodyDiv w:val="1"/>
      <w:marLeft w:val="0"/>
      <w:marRight w:val="0"/>
      <w:marTop w:val="0"/>
      <w:marBottom w:val="0"/>
      <w:divBdr>
        <w:top w:val="none" w:sz="0" w:space="0" w:color="auto"/>
        <w:left w:val="none" w:sz="0" w:space="0" w:color="auto"/>
        <w:bottom w:val="none" w:sz="0" w:space="0" w:color="auto"/>
        <w:right w:val="none" w:sz="0" w:space="0" w:color="auto"/>
      </w:divBdr>
    </w:div>
    <w:div w:id="211852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deed.en" TargetMode="External"/><Relationship Id="rId13" Type="http://schemas.openxmlformats.org/officeDocument/2006/relationships/hyperlink" Target="mailto:media@treasury.gov.au" TargetMode="Externa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pmc.gov.au/honours-and-symbols/commonwealth-coat-arms" TargetMode="Externa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footer" Target="footer5.xml"/><Relationship Id="rId32" Type="http://schemas.openxmlformats.org/officeDocument/2006/relationships/image" Target="media/image6.emf"/><Relationship Id="rId37" Type="http://schemas.openxmlformats.org/officeDocument/2006/relationships/header" Target="header12.xml"/><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footer" Target="footer10.xml"/><Relationship Id="rId10" Type="http://schemas.openxmlformats.org/officeDocument/2006/relationships/image" Target="media/image2.wmf"/><Relationship Id="rId19" Type="http://schemas.openxmlformats.org/officeDocument/2006/relationships/footer" Target="footer3.xml"/><Relationship Id="rId31"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http://creativecommons.org/licenses/by/3.0/au/legalcode"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1.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6" Type="http://schemas.openxmlformats.org/officeDocument/2006/relationships/hyperlink" Target="https://www.accc.gov.au/inquiries-and-consultations/accc-submissions-to-external-consultations" TargetMode="External"/><Relationship Id="rId117" Type="http://schemas.openxmlformats.org/officeDocument/2006/relationships/hyperlink" Target="https://publications.parliament.uk/pa/bills/cbill/58-03/0294/ImpactAssessmentAnnex3.pdf" TargetMode="External"/><Relationship Id="rId21" Type="http://schemas.openxmlformats.org/officeDocument/2006/relationships/hyperlink" Target="https://www.accc.gov.au/inquiries-and-consultations/accc-submissions-to-external-consultations" TargetMode="External"/><Relationship Id="rId42" Type="http://schemas.openxmlformats.org/officeDocument/2006/relationships/hyperlink" Target="https://treasury.gov.au/sites/default/files/2022-10/p2022-325290-productivity-growth.pdf" TargetMode="External"/><Relationship Id="rId47" Type="http://schemas.openxmlformats.org/officeDocument/2006/relationships/hyperlink" Target="https://www.mgaiba.org.au/public/212/files/Submissions/MGA%20Independent%20Businesses%20Australia%20submission%20on%20merger%20reform.pdf" TargetMode="External"/><Relationship Id="rId63" Type="http://schemas.openxmlformats.org/officeDocument/2006/relationships/hyperlink" Target="https://assets.nationbuilder.com/bca/pages/7481/attachments/original/1708035312/BCA_Merger_Submission_January_2024-compressed.pdf?1708035312" TargetMode="External"/><Relationship Id="rId68" Type="http://schemas.openxmlformats.org/officeDocument/2006/relationships/hyperlink" Target="https://assets.nationbuilder.com/bca/pages/7481/attachments/original/1708035312/BCA_Merger_Submission_January_2024-compressed.pdf?1708035312" TargetMode="External"/><Relationship Id="rId84" Type="http://schemas.openxmlformats.org/officeDocument/2006/relationships/hyperlink" Target="https://www.choice.com.au/consumer-advocacy/policy/policy-submissions/2024/merger-reform" TargetMode="External"/><Relationship Id="rId89" Type="http://schemas.openxmlformats.org/officeDocument/2006/relationships/hyperlink" Target="https://www.choice.com.au/consumer-advocacy/policy/policy-submissions/2024/merger-reform" TargetMode="External"/><Relationship Id="rId112" Type="http://schemas.openxmlformats.org/officeDocument/2006/relationships/hyperlink" Target="https://www.accc.gov.au/about-us/publications/accc-and-aer-annual-reports" TargetMode="External"/><Relationship Id="rId16" Type="http://schemas.openxmlformats.org/officeDocument/2006/relationships/hyperlink" Target="https://treasury.gov.au/sites/default/files/2024-01/Competition-Review-Mergers-FA.pdf" TargetMode="External"/><Relationship Id="rId107" Type="http://schemas.openxmlformats.org/officeDocument/2006/relationships/hyperlink" Target="https://assets.nationbuilder.com/bca/pages/7481/attachments/original/1708035312/BCA_Merger_Submission_January_2024-compressed.pdf?1708035312" TargetMode="External"/><Relationship Id="rId11" Type="http://schemas.openxmlformats.org/officeDocument/2006/relationships/hyperlink" Target="https://parlinfo.aph.gov.au/parlInfo/download/committees/reportrep/RB000263/toc_pdf/BetterCompetition,BetterPrices.pdf" TargetMode="External"/><Relationship Id="rId24" Type="http://schemas.openxmlformats.org/officeDocument/2006/relationships/hyperlink" Target="https://treasury.gov.au/consultation/c2023-463361" TargetMode="External"/><Relationship Id="rId32" Type="http://schemas.openxmlformats.org/officeDocument/2006/relationships/hyperlink" Target="https://www.accc.gov.au/system/files/ACCC%20AER%20Annual%20Report%202022-23.pdf" TargetMode="External"/><Relationship Id="rId37" Type="http://schemas.openxmlformats.org/officeDocument/2006/relationships/hyperlink" Target="https://treasury.gov.au/consultation/c2023-463361" TargetMode="External"/><Relationship Id="rId40" Type="http://schemas.openxmlformats.org/officeDocument/2006/relationships/hyperlink" Target="https://www.accc.gov.au/system/files/accc-submission-on-preliminary-views-on-options-for-merger-control-process.pdf" TargetMode="External"/><Relationship Id="rId45" Type="http://schemas.openxmlformats.org/officeDocument/2006/relationships/hyperlink" Target="https://www.mgaiba.org.au/public/212/files/Submissions/MGA%20Independent%20Businesses%20Australia%20submission%20on%20merger%20reform.pdf" TargetMode="External"/><Relationship Id="rId53" Type="http://schemas.openxmlformats.org/officeDocument/2006/relationships/hyperlink" Target="https://treasury.gov.au/sites/default/files/2023-11/c2023-463361-cp-app.pdf" TargetMode="External"/><Relationship Id="rId58" Type="http://schemas.openxmlformats.org/officeDocument/2006/relationships/hyperlink" Target="https://assets.publishing.service.gov.uk/media/64a6ddb84dd8b3000c7fa5f9/CMA_Impact_Assessment_Report_2022_to_2023.pdf" TargetMode="External"/><Relationship Id="rId66" Type="http://schemas.openxmlformats.org/officeDocument/2006/relationships/hyperlink" Target="https://treasury.gov.au/sites/default/files/2024-01/Competition-Review-Mergers-FA.pdf" TargetMode="External"/><Relationship Id="rId74" Type="http://schemas.openxmlformats.org/officeDocument/2006/relationships/hyperlink" Target="https://treasury.gov.au/consultation/c2023-463361" TargetMode="External"/><Relationship Id="rId79" Type="http://schemas.openxmlformats.org/officeDocument/2006/relationships/hyperlink" Target="https://assets.nationbuilder.com/bca/pages/7481/attachments/original/1708035312/BCA_Merger_Submission_January_2024-compressed.pdf?1708035312" TargetMode="External"/><Relationship Id="rId87" Type="http://schemas.openxmlformats.org/officeDocument/2006/relationships/hyperlink" Target="https://treasury.gov.au/consultation/c2023-463361" TargetMode="External"/><Relationship Id="rId102" Type="http://schemas.openxmlformats.org/officeDocument/2006/relationships/hyperlink" Target="https://treasury.gov.au/consultation/c2023-463361" TargetMode="External"/><Relationship Id="rId110" Type="http://schemas.openxmlformats.org/officeDocument/2006/relationships/hyperlink" Target="https://www.accc.gov.au/about-us/accc-role-and-structure/statement-of-expectations-and-statement-of-intent" TargetMode="External"/><Relationship Id="rId115" Type="http://schemas.openxmlformats.org/officeDocument/2006/relationships/hyperlink" Target="https://www.accc.gov.au/about-us/accc-role-and-structure/statement-of-expectations-and-statement-of-intent" TargetMode="External"/><Relationship Id="rId5" Type="http://schemas.openxmlformats.org/officeDocument/2006/relationships/hyperlink" Target="https://treasury.gov.au/sites/default/files/2023-11/c2023-463361-cp-app.pdf" TargetMode="External"/><Relationship Id="rId61" Type="http://schemas.openxmlformats.org/officeDocument/2006/relationships/hyperlink" Target="https://assets.nationbuilder.com/bca/pages/7481/attachments/original/1708035312/BCA_Merger_Submission_January_2024-compressed.pdf?1708035312" TargetMode="External"/><Relationship Id="rId82" Type="http://schemas.openxmlformats.org/officeDocument/2006/relationships/hyperlink" Target="https://treasury.gov.au/consultation/c2023-463361" TargetMode="External"/><Relationship Id="rId90" Type="http://schemas.openxmlformats.org/officeDocument/2006/relationships/hyperlink" Target="https://treasury.gov.au/consultation/c2023-463361" TargetMode="External"/><Relationship Id="rId95" Type="http://schemas.openxmlformats.org/officeDocument/2006/relationships/hyperlink" Target="https://treasury.gov.au/consultation/c2023-463361" TargetMode="External"/><Relationship Id="rId19" Type="http://schemas.openxmlformats.org/officeDocument/2006/relationships/hyperlink" Target="https://treasury.gov.au/consultation/c2023-463361" TargetMode="External"/><Relationship Id="rId14" Type="http://schemas.openxmlformats.org/officeDocument/2006/relationships/hyperlink" Target="https://www.accc.gov.au/inquiries-and-consultations/accc-submissions-to-external-consultations" TargetMode="External"/><Relationship Id="rId22" Type="http://schemas.openxmlformats.org/officeDocument/2006/relationships/hyperlink" Target="https://www.accc.gov.au/inquiries-and-consultations/accc-submissions-to-external-consultations" TargetMode="External"/><Relationship Id="rId27" Type="http://schemas.openxmlformats.org/officeDocument/2006/relationships/hyperlink" Target="https://www.accc.gov.au/inquiries-and-consultations/accc-submissions-to-external-consultations" TargetMode="External"/><Relationship Id="rId30" Type="http://schemas.openxmlformats.org/officeDocument/2006/relationships/hyperlink" Target="https://www.accc.gov.au/inquiries-and-consultations/accc-submissions-to-external-consultations" TargetMode="External"/><Relationship Id="rId35" Type="http://schemas.openxmlformats.org/officeDocument/2006/relationships/hyperlink" Target="https://treasury.gov.au/consultation/c2023-463361" TargetMode="External"/><Relationship Id="rId43" Type="http://schemas.openxmlformats.org/officeDocument/2006/relationships/hyperlink" Target="https://www.oecd-ilibrary.org/economics/oecd-economic-surveys-australia_19990146" TargetMode="External"/><Relationship Id="rId48" Type="http://schemas.openxmlformats.org/officeDocument/2006/relationships/hyperlink" Target="https://www.oaic.gov.au/engage-with-us/submissions/oaic-submission-to-merger-reform-consultation-paper" TargetMode="External"/><Relationship Id="rId56" Type="http://schemas.openxmlformats.org/officeDocument/2006/relationships/hyperlink" Target="https://www.accc.gov.au/inquiries-and-consultations/accc-submissions-to-external-consultations" TargetMode="External"/><Relationship Id="rId64" Type="http://schemas.openxmlformats.org/officeDocument/2006/relationships/hyperlink" Target="https://assets.publishing.service.gov.uk/media/64a6ddb84dd8b3000c7fa5f9/CMA_Impact_Assessment_Report_2022_to_2023.pdf" TargetMode="External"/><Relationship Id="rId69" Type="http://schemas.openxmlformats.org/officeDocument/2006/relationships/hyperlink" Target="https://www.accc.gov.au/public-registers/mergers-registers/public-informal-merger-reviews-register/australian-finance-group-ltd-connective-group-pty-ltd" TargetMode="External"/><Relationship Id="rId77" Type="http://schemas.openxmlformats.org/officeDocument/2006/relationships/hyperlink" Target="https://assets.nationbuilder.com/bca/pages/7481/attachments/original/1708035312/BCA_Merger_Submission_January_2024-compressed.pdf?1708035312" TargetMode="External"/><Relationship Id="rId100" Type="http://schemas.openxmlformats.org/officeDocument/2006/relationships/hyperlink" Target="https://treasury.gov.au/consultation/c2023-463361" TargetMode="External"/><Relationship Id="rId105" Type="http://schemas.openxmlformats.org/officeDocument/2006/relationships/hyperlink" Target="https://assets.nationbuilder.com/bca/pages/7481/attachments/original/1708035312/BCA_Merger_Submission_January_2024-compressed.pdf?1708035312" TargetMode="External"/><Relationship Id="rId113" Type="http://schemas.openxmlformats.org/officeDocument/2006/relationships/hyperlink" Target="https://www.accc.gov.au/system/files/Ex%20post%20review%20of%20merger%20decisions2022.pdf" TargetMode="External"/><Relationship Id="rId118" Type="http://schemas.openxmlformats.org/officeDocument/2006/relationships/hyperlink" Target="https://publications.parliament.uk/pa/bills/cbill/58-03/0294/ImpactAssessmentAnnex3.pdf" TargetMode="External"/><Relationship Id="rId8" Type="http://schemas.openxmlformats.org/officeDocument/2006/relationships/hyperlink" Target="https://ministers.treasury.gov.au/ministers/jim-chalmers-2022/media-releases/more-dynamic-and-competitive-economy" TargetMode="External"/><Relationship Id="rId51" Type="http://schemas.openxmlformats.org/officeDocument/2006/relationships/hyperlink" Target="https://treasury.gov.au/publication/p2022-243535" TargetMode="External"/><Relationship Id="rId72" Type="http://schemas.openxmlformats.org/officeDocument/2006/relationships/hyperlink" Target="https://treasury.gov.au/sites/default/files/2024-05/drkennedy-abeaddress-240530.pdf" TargetMode="External"/><Relationship Id="rId80" Type="http://schemas.openxmlformats.org/officeDocument/2006/relationships/hyperlink" Target="https://treasury.gov.au/consultation/c2023-463361" TargetMode="External"/><Relationship Id="rId85" Type="http://schemas.openxmlformats.org/officeDocument/2006/relationships/hyperlink" Target="https://treasury.gov.au/consultation/c2023-463361" TargetMode="External"/><Relationship Id="rId93" Type="http://schemas.openxmlformats.org/officeDocument/2006/relationships/hyperlink" Target="https://treasury.gov.au/consultation/c2023-463361" TargetMode="External"/><Relationship Id="rId98" Type="http://schemas.openxmlformats.org/officeDocument/2006/relationships/hyperlink" Target="https://www.choice.com.au/consumer-advocacy/policy/policy-submissions/2024/merger-reform" TargetMode="External"/><Relationship Id="rId3" Type="http://schemas.openxmlformats.org/officeDocument/2006/relationships/hyperlink" Target="https://treasury.gov.au/sites/default/files/2023-11/c2023-463361-cp-app.pdf" TargetMode="External"/><Relationship Id="rId12" Type="http://schemas.openxmlformats.org/officeDocument/2006/relationships/hyperlink" Target="https://treasury.gov.au/consultation/c2023-463361" TargetMode="External"/><Relationship Id="rId17" Type="http://schemas.openxmlformats.org/officeDocument/2006/relationships/hyperlink" Target="https://treasury.gov.au/sites/default/files/2024-01/Competition-Review-Mergers-FA.pdf" TargetMode="External"/><Relationship Id="rId25" Type="http://schemas.openxmlformats.org/officeDocument/2006/relationships/hyperlink" Target="https://www.accc.gov.au/system/files/Ex%20post%20review%20of%20merger%20decisions2022.pdf" TargetMode="External"/><Relationship Id="rId33" Type="http://schemas.openxmlformats.org/officeDocument/2006/relationships/hyperlink" Target="https://treasury.gov.au/consultation/c2023-463361" TargetMode="External"/><Relationship Id="rId38" Type="http://schemas.openxmlformats.org/officeDocument/2006/relationships/hyperlink" Target="https://www.choice.com.au/consumer-advocacy/policy/policy-submissions/2024/merger-reform" TargetMode="External"/><Relationship Id="rId46" Type="http://schemas.openxmlformats.org/officeDocument/2006/relationships/hyperlink" Target="https://www.choice.com.au/consumer-advocacy/policy/policy-submissions/2024/merger-reform" TargetMode="External"/><Relationship Id="rId59" Type="http://schemas.openxmlformats.org/officeDocument/2006/relationships/hyperlink" Target="https://www.ftc.gov/system/files/ftc_gov/pdf/p859900fy22apr_fy23-24app.pdf" TargetMode="External"/><Relationship Id="rId67" Type="http://schemas.openxmlformats.org/officeDocument/2006/relationships/hyperlink" Target="https://assets.nationbuilder.com/bca/pages/7481/attachments/original/1708035312/BCA_Merger_Submission_January_2024-compressed.pdf?1708035312" TargetMode="External"/><Relationship Id="rId103" Type="http://schemas.openxmlformats.org/officeDocument/2006/relationships/hyperlink" Target="https://treasury.gov.au/consultation/c2023-463361" TargetMode="External"/><Relationship Id="rId108" Type="http://schemas.openxmlformats.org/officeDocument/2006/relationships/hyperlink" Target="https://assets.nationbuilder.com/bca/pages/7481/attachments/original/1708035312/BCA_Merger_Submission_January_2024-compressed.pdf?1708035312" TargetMode="External"/><Relationship Id="rId116" Type="http://schemas.openxmlformats.org/officeDocument/2006/relationships/hyperlink" Target="https://www.accc.gov.au/about-us/accc-role-and-structure/governance-and-accountability/regulator-performance-guide" TargetMode="External"/><Relationship Id="rId20" Type="http://schemas.openxmlformats.org/officeDocument/2006/relationships/hyperlink" Target="https://treasury.gov.au/consultation/c2023-463361" TargetMode="External"/><Relationship Id="rId41" Type="http://schemas.openxmlformats.org/officeDocument/2006/relationships/hyperlink" Target="https://www.finance.gov.au/government/managing-commonwealth-resources/implementing-charging-framework-rmg-302" TargetMode="External"/><Relationship Id="rId54" Type="http://schemas.openxmlformats.org/officeDocument/2006/relationships/hyperlink" Target="https://treasury.gov.au/consultation/c2024-562395" TargetMode="External"/><Relationship Id="rId62" Type="http://schemas.openxmlformats.org/officeDocument/2006/relationships/hyperlink" Target="https://www.accc.gov.au/public-registers/mergers-registers/public-informal-merger-reviews-register/australian-finance-group-ltd-connective-group-pty-ltd" TargetMode="External"/><Relationship Id="rId70" Type="http://schemas.openxmlformats.org/officeDocument/2006/relationships/hyperlink" Target="https://www.gov.uk/government/publications/cma-impact-assessment-2022-to-2023/impact-assessment-2022-to-2023" TargetMode="External"/><Relationship Id="rId75" Type="http://schemas.openxmlformats.org/officeDocument/2006/relationships/hyperlink" Target="https://assets.nationbuilder.com/bca/pages/7481/attachments/original/1708035312/BCA_Merger_Submission_January_2024-compressed.pdf?1708035312" TargetMode="External"/><Relationship Id="rId83" Type="http://schemas.openxmlformats.org/officeDocument/2006/relationships/hyperlink" Target="https://treasury.gov.au/consultation/c2023-463361" TargetMode="External"/><Relationship Id="rId88" Type="http://schemas.openxmlformats.org/officeDocument/2006/relationships/hyperlink" Target="https://treasury.gov.au/publication/p2024-517964" TargetMode="External"/><Relationship Id="rId91" Type="http://schemas.openxmlformats.org/officeDocument/2006/relationships/hyperlink" Target="https://treasury.gov.au/consultation/c2023-463361" TargetMode="External"/><Relationship Id="rId96" Type="http://schemas.openxmlformats.org/officeDocument/2006/relationships/hyperlink" Target="https://treasury.gov.au/consultation/c2023-463361" TargetMode="External"/><Relationship Id="rId111" Type="http://schemas.openxmlformats.org/officeDocument/2006/relationships/hyperlink" Target="https://www.accc.gov.au/about-us/accc-role-and-structure/statement-of-expectations-and-statement-of-intent" TargetMode="External"/><Relationship Id="rId1" Type="http://schemas.openxmlformats.org/officeDocument/2006/relationships/hyperlink" Target="https://treasury.gov.au/consultation/c2023-463361" TargetMode="External"/><Relationship Id="rId6" Type="http://schemas.openxmlformats.org/officeDocument/2006/relationships/hyperlink" Target="https://www.accc.gov.au/system/files/D17-156292%20Informal%20Merger%20Review%20Process%20Guidelines%20-%20updated%20November%202017_0.PDF" TargetMode="External"/><Relationship Id="rId15" Type="http://schemas.openxmlformats.org/officeDocument/2006/relationships/hyperlink" Target="https://www.accc.gov.au/inquiries-and-consultations/accc-submissions-to-external-consultations" TargetMode="External"/><Relationship Id="rId23" Type="http://schemas.openxmlformats.org/officeDocument/2006/relationships/hyperlink" Target="https://www.accc.gov.au/inquiries-and-consultations/accc-submissions-to-external-consultations" TargetMode="External"/><Relationship Id="rId28" Type="http://schemas.openxmlformats.org/officeDocument/2006/relationships/hyperlink" Target="https://www.accc.gov.au/inquiries-and-consultations/accc-submissions-to-external-consultations" TargetMode="External"/><Relationship Id="rId36" Type="http://schemas.openxmlformats.org/officeDocument/2006/relationships/hyperlink" Target="https://www.choice.com.au/consumer-advocacy/policy/policy-submissions/2024/merger-reform" TargetMode="External"/><Relationship Id="rId49" Type="http://schemas.openxmlformats.org/officeDocument/2006/relationships/hyperlink" Target="https://www.oaic.gov.au/__data/assets/pdf_file/0025/74482/OAIC-Australian-Community-Attitudes-to-Privacy-Survey-2023.pdf" TargetMode="External"/><Relationship Id="rId57" Type="http://schemas.openxmlformats.org/officeDocument/2006/relationships/hyperlink" Target="https://www.oecd.org/daf/competition/Guide-competition-impact-assessmentEN.pdf" TargetMode="External"/><Relationship Id="rId106" Type="http://schemas.openxmlformats.org/officeDocument/2006/relationships/hyperlink" Target="https://treasury.gov.au/consultation/c2023-463361" TargetMode="External"/><Relationship Id="rId114" Type="http://schemas.openxmlformats.org/officeDocument/2006/relationships/hyperlink" Target="https://www.accc.gov.au/system/files/Ex%20post%20review%20-%20February%202024.pdf" TargetMode="External"/><Relationship Id="rId119" Type="http://schemas.openxmlformats.org/officeDocument/2006/relationships/hyperlink" Target="https://treasury.gov.au/sites/default/files/2024-01/Competition-Review-Mergers-FA.pdf" TargetMode="External"/><Relationship Id="rId10" Type="http://schemas.openxmlformats.org/officeDocument/2006/relationships/hyperlink" Target="https://treasury.gov.au/sites/default/files/2023-11/competition-review-mergers-background-note.pdf" TargetMode="External"/><Relationship Id="rId31" Type="http://schemas.openxmlformats.org/officeDocument/2006/relationships/hyperlink" Target="https://assets.nationbuilder.com/bca/pages/7481/attachments/original/1708035312/BCA_Merger_Submission_January_2024-compressed.pdf?1708035312" TargetMode="External"/><Relationship Id="rId44" Type="http://schemas.openxmlformats.org/officeDocument/2006/relationships/hyperlink" Target="https://www.accc.gov.au/inquiries-and-consultations/accc-submissions-to-external-consultations" TargetMode="External"/><Relationship Id="rId52" Type="http://schemas.openxmlformats.org/officeDocument/2006/relationships/hyperlink" Target="https://www.pc.gov.au/research/supporting/efficiency-effectiveness" TargetMode="External"/><Relationship Id="rId60" Type="http://schemas.openxmlformats.org/officeDocument/2006/relationships/hyperlink" Target="https://www.accc.gov.au/system/files/accc-submission-on-preliminary-views-on-options-for-merger-control-process.pdf" TargetMode="External"/><Relationship Id="rId65" Type="http://schemas.openxmlformats.org/officeDocument/2006/relationships/hyperlink" Target="https://treasury.gov.au/sites/default/files/2024-05/drkennedy-abeaddress-240530.pdf" TargetMode="External"/><Relationship Id="rId73" Type="http://schemas.openxmlformats.org/officeDocument/2006/relationships/hyperlink" Target="https://www.australiansuper.com/-/media/australian-super/files/about-us/policy-submissions/2024/merger-reform---january-2024.pdf" TargetMode="External"/><Relationship Id="rId78" Type="http://schemas.openxmlformats.org/officeDocument/2006/relationships/hyperlink" Target="https://treasury.gov.au/consultation/c2023-463361" TargetMode="External"/><Relationship Id="rId81" Type="http://schemas.openxmlformats.org/officeDocument/2006/relationships/hyperlink" Target="https://treasury.gov.au/sites/default/files/2024-05/p2024-518262-merger-reforms-paper.pdf" TargetMode="External"/><Relationship Id="rId86" Type="http://schemas.openxmlformats.org/officeDocument/2006/relationships/hyperlink" Target="https://www.oecd.org/competition/oecd-competition-trends.htm" TargetMode="External"/><Relationship Id="rId94" Type="http://schemas.openxmlformats.org/officeDocument/2006/relationships/hyperlink" Target="https://www.mgaiba.org.au/public/212/files/Submissions/MGA%20Independent%20Businesses%20Australia%20submission%20on%20merger%20reform.pdf" TargetMode="External"/><Relationship Id="rId99" Type="http://schemas.openxmlformats.org/officeDocument/2006/relationships/hyperlink" Target="https://treasury.gov.au/consultation/c2023-463361" TargetMode="External"/><Relationship Id="rId101" Type="http://schemas.openxmlformats.org/officeDocument/2006/relationships/hyperlink" Target="https://treasury.gov.au/consultation/c2023-463361" TargetMode="External"/><Relationship Id="rId4" Type="http://schemas.openxmlformats.org/officeDocument/2006/relationships/hyperlink" Target="https://treasury.gov.au/sites/default/files/2023-11/c2023-463361-cp-app.pdf" TargetMode="External"/><Relationship Id="rId9" Type="http://schemas.openxmlformats.org/officeDocument/2006/relationships/hyperlink" Target="https://treasury.gov.au/consultation/c2023-463361" TargetMode="External"/><Relationship Id="rId13" Type="http://schemas.openxmlformats.org/officeDocument/2006/relationships/hyperlink" Target="https://treasury.gov.au/consultation/c2023-463361" TargetMode="External"/><Relationship Id="rId18" Type="http://schemas.openxmlformats.org/officeDocument/2006/relationships/hyperlink" Target="https://treasury.gov.au/consultation/c2023-463361" TargetMode="External"/><Relationship Id="rId39" Type="http://schemas.openxmlformats.org/officeDocument/2006/relationships/hyperlink" Target="https://www.accc.gov.au/public-registers/mergers-registers/public-informal-merger-reviews-register/australian-finance-group-ltd-connective-group-pty-ltd" TargetMode="External"/><Relationship Id="rId109" Type="http://schemas.openxmlformats.org/officeDocument/2006/relationships/hyperlink" Target="https://treasury.gov.au/consultation/c2024-554547" TargetMode="External"/><Relationship Id="rId34" Type="http://schemas.openxmlformats.org/officeDocument/2006/relationships/hyperlink" Target="https://www.accc.gov.au/inquiries-and-consultations/accc-submissions-to-external-consultations" TargetMode="External"/><Relationship Id="rId50" Type="http://schemas.openxmlformats.org/officeDocument/2006/relationships/hyperlink" Target="https://www.aeaweb.org/articles?id=10.1257/jep.33.3.69" TargetMode="External"/><Relationship Id="rId55" Type="http://schemas.openxmlformats.org/officeDocument/2006/relationships/hyperlink" Target="https://www.finance.gov.au/government/managing-commonwealth-resources/implementing-charging-framework-rmg-302/australian-government-cost-recovery-policy" TargetMode="External"/><Relationship Id="rId76" Type="http://schemas.openxmlformats.org/officeDocument/2006/relationships/hyperlink" Target="https://assets.nationbuilder.com/bca/pages/7481/attachments/original/1708035312/BCA_Merger_Submission_January_2024-compressed.pdf?1708035312" TargetMode="External"/><Relationship Id="rId97" Type="http://schemas.openxmlformats.org/officeDocument/2006/relationships/hyperlink" Target="https://www.choice.com.au/consumer-advocacy/policy/policy-submissions/2024/merger-reform" TargetMode="External"/><Relationship Id="rId104" Type="http://schemas.openxmlformats.org/officeDocument/2006/relationships/hyperlink" Target="https://treasury.gov.au/consultation/c2023-463361" TargetMode="External"/><Relationship Id="rId7" Type="http://schemas.openxmlformats.org/officeDocument/2006/relationships/hyperlink" Target="https://treasury.gov.au/sites/default/files/2023-11/c2023-463361-cp-app.pdf" TargetMode="External"/><Relationship Id="rId71" Type="http://schemas.openxmlformats.org/officeDocument/2006/relationships/hyperlink" Target="https://budget.gov.au/content/bp2/download/bp2_2024-25.pdf" TargetMode="External"/><Relationship Id="rId92" Type="http://schemas.openxmlformats.org/officeDocument/2006/relationships/hyperlink" Target="https://treasury.gov.au/consultation/c2023-463361" TargetMode="External"/><Relationship Id="rId2" Type="http://schemas.openxmlformats.org/officeDocument/2006/relationships/hyperlink" Target="https://treasury.gov.au/sites/default/files/2024-05/drkennedy-abeaddress-240530.pdf" TargetMode="External"/><Relationship Id="rId29" Type="http://schemas.openxmlformats.org/officeDocument/2006/relationships/hyperlink" Target="https://www.accc.gov.au/inquiries-and-consultations/accc-submissions-to-external-consultations"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23357</Words>
  <Characters>133140</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2024-10-15T23:22:00Z</dcterms:created>
  <dcterms:modified xsi:type="dcterms:W3CDTF">2024-10-15T23:23:00Z</dcterms:modified>
</cp:coreProperties>
</file>