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3A948" w14:textId="7851749D" w:rsidR="005F6F02" w:rsidRPr="00CF624C" w:rsidRDefault="00437881">
      <w:pPr>
        <w:pStyle w:val="SinglePara"/>
        <w:jc w:val="right"/>
        <w:rPr>
          <w:rFonts w:asciiTheme="minorHAnsi" w:hAnsiTheme="minorHAnsi" w:cstheme="minorHAnsi"/>
          <w:szCs w:val="22"/>
        </w:rPr>
      </w:pPr>
      <w:r w:rsidRPr="00CF624C">
        <w:rPr>
          <w:rFonts w:asciiTheme="minorHAnsi" w:hAnsiTheme="minorHAnsi" w:cstheme="minorHAnsi"/>
          <w:szCs w:val="22"/>
        </w:rPr>
        <w:fldChar w:fldCharType="begin"/>
      </w:r>
      <w:r w:rsidRPr="00CF624C">
        <w:rPr>
          <w:rFonts w:asciiTheme="minorHAnsi" w:hAnsiTheme="minorHAnsi" w:cstheme="minorHAnsi"/>
          <w:szCs w:val="22"/>
        </w:rPr>
        <w:instrText xml:space="preserve"> CREATEDATE \@ "d MMMM, yyyy" \* MERGEFORMAT </w:instrText>
      </w:r>
      <w:r w:rsidRPr="00CF624C">
        <w:rPr>
          <w:rFonts w:asciiTheme="minorHAnsi" w:hAnsiTheme="minorHAnsi" w:cstheme="minorHAnsi"/>
          <w:szCs w:val="22"/>
        </w:rPr>
        <w:fldChar w:fldCharType="separate"/>
      </w:r>
      <w:r w:rsidR="00380AF2">
        <w:rPr>
          <w:rFonts w:asciiTheme="minorHAnsi" w:hAnsiTheme="minorHAnsi" w:cstheme="minorHAnsi"/>
          <w:noProof/>
          <w:szCs w:val="22"/>
        </w:rPr>
        <w:t>2</w:t>
      </w:r>
      <w:r w:rsidR="00EA7C39" w:rsidRPr="00CF624C">
        <w:rPr>
          <w:rFonts w:asciiTheme="minorHAnsi" w:hAnsiTheme="minorHAnsi" w:cstheme="minorHAnsi"/>
          <w:noProof/>
          <w:szCs w:val="22"/>
        </w:rPr>
        <w:t xml:space="preserve"> </w:t>
      </w:r>
      <w:r w:rsidR="00081AC8" w:rsidRPr="00CF624C">
        <w:rPr>
          <w:rFonts w:asciiTheme="minorHAnsi" w:hAnsiTheme="minorHAnsi" w:cstheme="minorHAnsi"/>
          <w:noProof/>
          <w:szCs w:val="22"/>
        </w:rPr>
        <w:t>September</w:t>
      </w:r>
      <w:r w:rsidR="00C5759B" w:rsidRPr="00CF624C">
        <w:rPr>
          <w:rFonts w:asciiTheme="minorHAnsi" w:hAnsiTheme="minorHAnsi" w:cstheme="minorHAnsi"/>
          <w:noProof/>
          <w:szCs w:val="22"/>
        </w:rPr>
        <w:t xml:space="preserve"> 2024</w:t>
      </w:r>
      <w:r w:rsidRPr="00CF624C">
        <w:rPr>
          <w:rFonts w:asciiTheme="minorHAnsi" w:hAnsiTheme="minorHAnsi" w:cstheme="minorHAnsi"/>
          <w:noProof/>
          <w:szCs w:val="22"/>
        </w:rPr>
        <w:fldChar w:fldCharType="end"/>
      </w:r>
    </w:p>
    <w:p w14:paraId="0AD7F2B6" w14:textId="77777777" w:rsidR="003A58B1" w:rsidRPr="00CF624C" w:rsidRDefault="003A58B1" w:rsidP="00C5759B">
      <w:pPr>
        <w:spacing w:after="0"/>
        <w:rPr>
          <w:rFonts w:asciiTheme="minorHAnsi" w:hAnsiTheme="minorHAnsi" w:cstheme="minorHAnsi"/>
          <w:b/>
          <w:szCs w:val="22"/>
        </w:rPr>
      </w:pPr>
    </w:p>
    <w:sdt>
      <w:sdtPr>
        <w:rPr>
          <w:rFonts w:asciiTheme="minorHAnsi" w:hAnsiTheme="minorHAnsi" w:cstheme="minorBidi"/>
        </w:rPr>
        <w:id w:val="-1200163859"/>
        <w:placeholder>
          <w:docPart w:val="D433B90CE38D4DD8BFD5B618D02EE0C1"/>
        </w:placeholder>
      </w:sdtPr>
      <w:sdtEndPr/>
      <w:sdtContent>
        <w:p w14:paraId="407F1B5E" w14:textId="36D450C9" w:rsidR="00C5759B" w:rsidRPr="00CF624C" w:rsidRDefault="00C5759B" w:rsidP="003A58B1">
          <w:pPr>
            <w:spacing w:after="0"/>
            <w:rPr>
              <w:rFonts w:asciiTheme="minorHAnsi" w:hAnsiTheme="minorHAnsi" w:cstheme="minorHAnsi"/>
              <w:szCs w:val="22"/>
            </w:rPr>
          </w:pPr>
          <w:r w:rsidRPr="00CF624C">
            <w:rPr>
              <w:rFonts w:asciiTheme="minorHAnsi" w:hAnsiTheme="minorHAnsi" w:cstheme="minorHAnsi"/>
              <w:szCs w:val="22"/>
            </w:rPr>
            <w:t xml:space="preserve">Ms </w:t>
          </w:r>
          <w:r w:rsidR="00BE753D" w:rsidRPr="00BE753D">
            <w:rPr>
              <w:rFonts w:asciiTheme="minorHAnsi" w:hAnsiTheme="minorHAnsi" w:cstheme="minorHAnsi"/>
              <w:szCs w:val="22"/>
            </w:rPr>
            <w:t>Joanna Abhayaratna</w:t>
          </w:r>
        </w:p>
        <w:p w14:paraId="6749BE50" w14:textId="162B27D8" w:rsidR="00C5759B" w:rsidRPr="00CF624C" w:rsidRDefault="00C5759B" w:rsidP="003A58B1">
          <w:pPr>
            <w:spacing w:after="0"/>
            <w:rPr>
              <w:rFonts w:asciiTheme="minorHAnsi" w:hAnsiTheme="minorHAnsi" w:cstheme="minorHAnsi"/>
              <w:szCs w:val="22"/>
            </w:rPr>
          </w:pPr>
          <w:r w:rsidRPr="00CF624C">
            <w:rPr>
              <w:rFonts w:asciiTheme="minorHAnsi" w:hAnsiTheme="minorHAnsi" w:cstheme="minorHAnsi"/>
              <w:szCs w:val="22"/>
            </w:rPr>
            <w:t xml:space="preserve">Executive Director </w:t>
          </w:r>
        </w:p>
        <w:p w14:paraId="1316E2C0" w14:textId="77777777" w:rsidR="00C5759B" w:rsidRPr="00CF624C" w:rsidRDefault="00C5759B" w:rsidP="003A58B1">
          <w:pPr>
            <w:spacing w:after="0"/>
            <w:rPr>
              <w:rFonts w:asciiTheme="minorHAnsi" w:hAnsiTheme="minorHAnsi" w:cstheme="minorHAnsi"/>
              <w:szCs w:val="22"/>
            </w:rPr>
          </w:pPr>
          <w:r w:rsidRPr="00CF624C">
            <w:rPr>
              <w:rFonts w:asciiTheme="minorHAnsi" w:hAnsiTheme="minorHAnsi" w:cstheme="minorHAnsi"/>
              <w:szCs w:val="22"/>
            </w:rPr>
            <w:t>Office of Impact Analysis</w:t>
          </w:r>
        </w:p>
        <w:p w14:paraId="70059180" w14:textId="77777777" w:rsidR="00C5759B" w:rsidRPr="00CF624C" w:rsidRDefault="00C5759B" w:rsidP="003A58B1">
          <w:pPr>
            <w:spacing w:after="0"/>
            <w:rPr>
              <w:rFonts w:asciiTheme="minorHAnsi" w:hAnsiTheme="minorHAnsi" w:cstheme="minorHAnsi"/>
              <w:szCs w:val="22"/>
            </w:rPr>
          </w:pPr>
          <w:r w:rsidRPr="00CF624C">
            <w:rPr>
              <w:rFonts w:asciiTheme="minorHAnsi" w:hAnsiTheme="minorHAnsi" w:cstheme="minorHAnsi"/>
              <w:szCs w:val="22"/>
            </w:rPr>
            <w:t xml:space="preserve">Department of the Prime Minister and Cabinet </w:t>
          </w:r>
        </w:p>
        <w:p w14:paraId="20ABCCB8" w14:textId="77777777" w:rsidR="00C5759B" w:rsidRPr="00CF624C" w:rsidRDefault="00C5759B" w:rsidP="003A58B1">
          <w:pPr>
            <w:spacing w:after="0"/>
            <w:rPr>
              <w:rFonts w:asciiTheme="minorHAnsi" w:hAnsiTheme="minorHAnsi" w:cstheme="minorHAnsi"/>
              <w:szCs w:val="22"/>
            </w:rPr>
          </w:pPr>
          <w:r w:rsidRPr="00CF624C">
            <w:rPr>
              <w:rFonts w:asciiTheme="minorHAnsi" w:hAnsiTheme="minorHAnsi" w:cstheme="minorHAnsi"/>
              <w:szCs w:val="22"/>
            </w:rPr>
            <w:t>1 National Circuit</w:t>
          </w:r>
        </w:p>
        <w:p w14:paraId="79D97400" w14:textId="77777777" w:rsidR="00C5759B" w:rsidRPr="00CF624C" w:rsidRDefault="00C5759B" w:rsidP="003A58B1">
          <w:pPr>
            <w:spacing w:after="0"/>
            <w:rPr>
              <w:rFonts w:asciiTheme="minorHAnsi" w:hAnsiTheme="minorHAnsi" w:cstheme="minorHAnsi"/>
              <w:szCs w:val="22"/>
            </w:rPr>
          </w:pPr>
          <w:r w:rsidRPr="00CF624C">
            <w:rPr>
              <w:rFonts w:asciiTheme="minorHAnsi" w:hAnsiTheme="minorHAnsi" w:cstheme="minorHAnsi"/>
              <w:szCs w:val="22"/>
            </w:rPr>
            <w:t>BARTON ACT 2600</w:t>
          </w:r>
          <w:bookmarkStart w:id="0" w:name="_GoBack"/>
          <w:bookmarkEnd w:id="0"/>
        </w:p>
        <w:p w14:paraId="264416F1" w14:textId="77777777" w:rsidR="00C5759B" w:rsidRPr="00CF624C" w:rsidRDefault="00C5759B" w:rsidP="003A58B1">
          <w:pPr>
            <w:spacing w:after="0"/>
            <w:rPr>
              <w:rFonts w:asciiTheme="minorHAnsi" w:hAnsiTheme="minorHAnsi" w:cstheme="minorHAnsi"/>
              <w:szCs w:val="22"/>
            </w:rPr>
          </w:pPr>
        </w:p>
        <w:p w14:paraId="19A6790D" w14:textId="16CD8414" w:rsidR="005F6F02" w:rsidRPr="00CF624C" w:rsidRDefault="00C5759B" w:rsidP="003A58B1">
          <w:pPr>
            <w:spacing w:after="0"/>
            <w:rPr>
              <w:rFonts w:asciiTheme="minorHAnsi" w:hAnsiTheme="minorHAnsi" w:cstheme="minorHAnsi"/>
              <w:szCs w:val="22"/>
            </w:rPr>
          </w:pPr>
          <w:r w:rsidRPr="00CF624C">
            <w:rPr>
              <w:rFonts w:asciiTheme="minorHAnsi" w:hAnsiTheme="minorHAnsi" w:cstheme="minorHAnsi"/>
              <w:szCs w:val="22"/>
            </w:rPr>
            <w:t xml:space="preserve">Email: </w:t>
          </w:r>
          <w:hyperlink r:id="rId8" w:history="1">
            <w:r w:rsidRPr="00CF624C">
              <w:rPr>
                <w:rStyle w:val="Hyperlink"/>
                <w:rFonts w:asciiTheme="minorHAnsi" w:hAnsiTheme="minorHAnsi" w:cstheme="minorHAnsi"/>
                <w:szCs w:val="22"/>
              </w:rPr>
              <w:t>Helpdesk-OIA@pmc.gov.au</w:t>
            </w:r>
          </w:hyperlink>
        </w:p>
        <w:p w14:paraId="227E9488" w14:textId="5F6D26A9" w:rsidR="005F6F02" w:rsidRPr="00CF624C" w:rsidRDefault="00195989" w:rsidP="003A58B1">
          <w:pPr>
            <w:spacing w:after="0"/>
            <w:rPr>
              <w:rFonts w:asciiTheme="minorHAnsi" w:hAnsiTheme="minorHAnsi" w:cstheme="minorHAnsi"/>
              <w:szCs w:val="22"/>
            </w:rPr>
          </w:pPr>
        </w:p>
      </w:sdtContent>
    </w:sdt>
    <w:p w14:paraId="6D14F0B5" w14:textId="0DAB9188" w:rsidR="005F6F02" w:rsidRPr="00CF624C" w:rsidRDefault="005F6F02" w:rsidP="003A58B1">
      <w:pPr>
        <w:rPr>
          <w:rFonts w:asciiTheme="minorHAnsi" w:hAnsiTheme="minorHAnsi" w:cstheme="minorHAnsi"/>
          <w:szCs w:val="22"/>
        </w:rPr>
      </w:pPr>
      <w:r w:rsidRPr="00CF624C">
        <w:rPr>
          <w:rFonts w:asciiTheme="minorHAnsi" w:hAnsiTheme="minorHAnsi" w:cstheme="minorHAnsi"/>
          <w:szCs w:val="22"/>
        </w:rPr>
        <w:t xml:space="preserve">Dear </w:t>
      </w:r>
      <w:r w:rsidR="00C5759B" w:rsidRPr="00CF624C">
        <w:rPr>
          <w:rFonts w:asciiTheme="minorHAnsi" w:hAnsiTheme="minorHAnsi" w:cstheme="minorHAnsi"/>
          <w:szCs w:val="22"/>
        </w:rPr>
        <w:t>Ms Abhayaratna</w:t>
      </w:r>
    </w:p>
    <w:p w14:paraId="57633EA6" w14:textId="33A7A820" w:rsidR="005F6F02" w:rsidRPr="00CF624C" w:rsidRDefault="006466B1" w:rsidP="003A58B1">
      <w:pPr>
        <w:rPr>
          <w:rFonts w:asciiTheme="minorHAnsi" w:hAnsiTheme="minorHAnsi" w:cstheme="minorHAnsi"/>
          <w:b/>
          <w:caps/>
          <w:szCs w:val="22"/>
        </w:rPr>
      </w:pPr>
      <w:r w:rsidRPr="00CF624C">
        <w:rPr>
          <w:rFonts w:asciiTheme="minorHAnsi" w:hAnsiTheme="minorHAnsi" w:cstheme="minorHAnsi"/>
          <w:b/>
          <w:szCs w:val="22"/>
        </w:rPr>
        <w:t xml:space="preserve">Impact Analysis – Merger Reform – Second Pass Final Assessment </w:t>
      </w:r>
    </w:p>
    <w:p w14:paraId="7EF20F24" w14:textId="4A10E657" w:rsidR="00C5759B" w:rsidRPr="00CF624C" w:rsidRDefault="00C5759B" w:rsidP="003A58B1">
      <w:pPr>
        <w:spacing w:after="120"/>
        <w:rPr>
          <w:rFonts w:asciiTheme="minorHAnsi" w:hAnsiTheme="minorHAnsi" w:cstheme="minorHAnsi"/>
          <w:szCs w:val="22"/>
        </w:rPr>
      </w:pPr>
      <w:r w:rsidRPr="00CF624C">
        <w:rPr>
          <w:rFonts w:asciiTheme="minorHAnsi" w:hAnsiTheme="minorHAnsi" w:cstheme="minorHAnsi"/>
          <w:szCs w:val="22"/>
        </w:rPr>
        <w:t xml:space="preserve">I am writing in relation to the attached Impact Analysis (IA) prepared for </w:t>
      </w:r>
      <w:r w:rsidR="0026388D" w:rsidRPr="00CF624C">
        <w:rPr>
          <w:rFonts w:asciiTheme="minorHAnsi" w:hAnsiTheme="minorHAnsi" w:cstheme="minorHAnsi"/>
          <w:szCs w:val="22"/>
        </w:rPr>
        <w:t>Merger Reform</w:t>
      </w:r>
      <w:r w:rsidRPr="00CF624C">
        <w:rPr>
          <w:rFonts w:asciiTheme="minorHAnsi" w:hAnsiTheme="minorHAnsi" w:cstheme="minorHAnsi"/>
          <w:szCs w:val="22"/>
        </w:rPr>
        <w:t>.</w:t>
      </w:r>
    </w:p>
    <w:p w14:paraId="273BDA3B" w14:textId="48800E6A" w:rsidR="00C5759B" w:rsidRDefault="0C7C6ACE" w:rsidP="10B5DEE9">
      <w:pPr>
        <w:spacing w:after="120"/>
        <w:rPr>
          <w:rFonts w:asciiTheme="minorHAnsi" w:hAnsiTheme="minorHAnsi" w:cstheme="minorBidi"/>
        </w:rPr>
      </w:pPr>
      <w:r w:rsidRPr="745D948D">
        <w:rPr>
          <w:rFonts w:asciiTheme="minorHAnsi" w:hAnsiTheme="minorHAnsi" w:cstheme="minorBidi"/>
        </w:rPr>
        <w:t xml:space="preserve">I </w:t>
      </w:r>
      <w:r w:rsidR="6B83AFDA" w:rsidRPr="745D948D">
        <w:rPr>
          <w:rFonts w:asciiTheme="minorHAnsi" w:hAnsiTheme="minorHAnsi" w:cstheme="minorBidi"/>
        </w:rPr>
        <w:t xml:space="preserve">am satisfied that the IA addresses the </w:t>
      </w:r>
      <w:r w:rsidR="618E3088" w:rsidRPr="745D948D">
        <w:rPr>
          <w:rFonts w:asciiTheme="minorHAnsi" w:hAnsiTheme="minorHAnsi" w:cstheme="minorBidi"/>
        </w:rPr>
        <w:t>points</w:t>
      </w:r>
      <w:r w:rsidR="6B83AFDA" w:rsidRPr="745D948D">
        <w:rPr>
          <w:rFonts w:asciiTheme="minorHAnsi" w:hAnsiTheme="minorHAnsi" w:cstheme="minorBidi"/>
        </w:rPr>
        <w:t xml:space="preserve"> raised </w:t>
      </w:r>
      <w:r w:rsidR="29E60A8F" w:rsidRPr="745D948D">
        <w:rPr>
          <w:rFonts w:asciiTheme="minorHAnsi" w:hAnsiTheme="minorHAnsi" w:cstheme="minorBidi"/>
        </w:rPr>
        <w:t xml:space="preserve">by the Office of Impact Analysis (OIA) </w:t>
      </w:r>
      <w:r w:rsidR="6B83AFDA" w:rsidRPr="745D948D">
        <w:rPr>
          <w:rFonts w:asciiTheme="minorHAnsi" w:hAnsiTheme="minorHAnsi" w:cstheme="minorBidi"/>
        </w:rPr>
        <w:t xml:space="preserve">in your letter of </w:t>
      </w:r>
      <w:r w:rsidR="53337A3A" w:rsidRPr="745D948D">
        <w:rPr>
          <w:rFonts w:asciiTheme="minorHAnsi" w:hAnsiTheme="minorHAnsi" w:cstheme="minorBidi"/>
        </w:rPr>
        <w:t xml:space="preserve">27 June 2024. Specifically, </w:t>
      </w:r>
      <w:r w:rsidR="0A9E4D46" w:rsidRPr="745D948D">
        <w:rPr>
          <w:rFonts w:asciiTheme="minorHAnsi" w:hAnsiTheme="minorHAnsi" w:cstheme="minorBidi"/>
        </w:rPr>
        <w:t xml:space="preserve">the IA now </w:t>
      </w:r>
      <w:r w:rsidR="6A039FBD" w:rsidRPr="745D948D">
        <w:rPr>
          <w:rFonts w:asciiTheme="minorHAnsi" w:hAnsiTheme="minorHAnsi" w:cstheme="minorBidi"/>
        </w:rPr>
        <w:t xml:space="preserve">expands on identified case studies </w:t>
      </w:r>
      <w:r w:rsidR="5EB239E7" w:rsidRPr="745D948D">
        <w:rPr>
          <w:rFonts w:asciiTheme="minorHAnsi" w:hAnsiTheme="minorHAnsi" w:cstheme="minorBidi"/>
        </w:rPr>
        <w:t>to evidence the magnitude of the problem and costs of inaction</w:t>
      </w:r>
      <w:r w:rsidR="475189DA" w:rsidRPr="745D948D">
        <w:rPr>
          <w:rFonts w:asciiTheme="minorHAnsi" w:hAnsiTheme="minorHAnsi" w:cstheme="minorBidi"/>
        </w:rPr>
        <w:t xml:space="preserve">, </w:t>
      </w:r>
      <w:r w:rsidR="2CC1AC56" w:rsidRPr="745D948D">
        <w:rPr>
          <w:rFonts w:asciiTheme="minorHAnsi" w:hAnsiTheme="minorHAnsi" w:cstheme="minorBidi"/>
        </w:rPr>
        <w:t xml:space="preserve">provides </w:t>
      </w:r>
      <w:r w:rsidR="323BF8B8" w:rsidRPr="745D948D">
        <w:rPr>
          <w:rFonts w:asciiTheme="minorHAnsi" w:hAnsiTheme="minorHAnsi" w:cstheme="minorBidi"/>
        </w:rPr>
        <w:t>added</w:t>
      </w:r>
      <w:r w:rsidR="485905F8" w:rsidRPr="745D948D">
        <w:rPr>
          <w:rFonts w:asciiTheme="minorHAnsi" w:hAnsiTheme="minorHAnsi" w:cstheme="minorBidi"/>
        </w:rPr>
        <w:t xml:space="preserve"> </w:t>
      </w:r>
      <w:r w:rsidR="12CAC70F" w:rsidRPr="745D948D">
        <w:rPr>
          <w:rFonts w:asciiTheme="minorHAnsi" w:hAnsiTheme="minorHAnsi" w:cstheme="minorBidi"/>
        </w:rPr>
        <w:t>measurable targets and their metrics (noting data limitations)</w:t>
      </w:r>
      <w:r w:rsidR="68FFDFFF" w:rsidRPr="745D948D">
        <w:rPr>
          <w:rFonts w:asciiTheme="minorHAnsi" w:hAnsiTheme="minorHAnsi" w:cstheme="minorBidi"/>
        </w:rPr>
        <w:t>,</w:t>
      </w:r>
      <w:r w:rsidR="03DFF0A3" w:rsidRPr="745D948D">
        <w:rPr>
          <w:rFonts w:asciiTheme="minorHAnsi" w:hAnsiTheme="minorHAnsi" w:cstheme="minorBidi"/>
        </w:rPr>
        <w:t xml:space="preserve"> </w:t>
      </w:r>
      <w:r w:rsidR="7C8D7ABC" w:rsidRPr="745D948D">
        <w:rPr>
          <w:rFonts w:asciiTheme="minorHAnsi" w:hAnsiTheme="minorHAnsi" w:cstheme="minorBidi"/>
        </w:rPr>
        <w:t xml:space="preserve">describes the </w:t>
      </w:r>
      <w:r w:rsidR="68FFDFFF" w:rsidRPr="745D948D">
        <w:rPr>
          <w:rFonts w:asciiTheme="minorHAnsi" w:hAnsiTheme="minorHAnsi" w:cstheme="minorBidi"/>
        </w:rPr>
        <w:t>constraints/barriers to achie</w:t>
      </w:r>
      <w:r w:rsidR="79B1AE98" w:rsidRPr="745D948D">
        <w:rPr>
          <w:rFonts w:asciiTheme="minorHAnsi" w:hAnsiTheme="minorHAnsi" w:cstheme="minorBidi"/>
        </w:rPr>
        <w:t xml:space="preserve">ving the goal, </w:t>
      </w:r>
      <w:r w:rsidR="5670F13E" w:rsidRPr="745D948D">
        <w:rPr>
          <w:rFonts w:asciiTheme="minorHAnsi" w:hAnsiTheme="minorHAnsi" w:cstheme="minorBidi"/>
        </w:rPr>
        <w:t xml:space="preserve">and </w:t>
      </w:r>
      <w:r w:rsidR="05CD6E3D" w:rsidRPr="745D948D">
        <w:rPr>
          <w:rFonts w:asciiTheme="minorHAnsi" w:hAnsiTheme="minorHAnsi" w:cstheme="minorBidi"/>
        </w:rPr>
        <w:t>outlines</w:t>
      </w:r>
      <w:r w:rsidR="22E7596E" w:rsidRPr="745D948D">
        <w:rPr>
          <w:rFonts w:asciiTheme="minorHAnsi" w:hAnsiTheme="minorHAnsi" w:cstheme="minorBidi"/>
        </w:rPr>
        <w:t xml:space="preserve"> </w:t>
      </w:r>
      <w:r w:rsidR="77F43DC4" w:rsidRPr="745D948D">
        <w:rPr>
          <w:rFonts w:asciiTheme="minorHAnsi" w:hAnsiTheme="minorHAnsi" w:cstheme="minorBidi"/>
        </w:rPr>
        <w:t>the implementation risks</w:t>
      </w:r>
      <w:r w:rsidR="3AAC8633" w:rsidRPr="745D948D">
        <w:rPr>
          <w:rFonts w:asciiTheme="minorHAnsi" w:hAnsiTheme="minorHAnsi" w:cstheme="minorBidi"/>
        </w:rPr>
        <w:t>.</w:t>
      </w:r>
      <w:r w:rsidR="16830967" w:rsidRPr="745D948D">
        <w:rPr>
          <w:rFonts w:asciiTheme="minorHAnsi" w:hAnsiTheme="minorHAnsi" w:cstheme="minorBidi"/>
        </w:rPr>
        <w:t xml:space="preserve"> </w:t>
      </w:r>
    </w:p>
    <w:p w14:paraId="4550768B" w14:textId="354EE8CD" w:rsidR="00CD1F12" w:rsidRDefault="00330578" w:rsidP="003A58B1">
      <w:pPr>
        <w:spacing w:after="120"/>
        <w:rPr>
          <w:rFonts w:asciiTheme="minorHAnsi" w:hAnsiTheme="minorHAnsi" w:cstheme="minorHAnsi"/>
          <w:szCs w:val="22"/>
        </w:rPr>
      </w:pPr>
      <w:r w:rsidRPr="003558C9">
        <w:rPr>
          <w:rFonts w:asciiTheme="minorHAnsi" w:hAnsiTheme="minorHAnsi" w:cstheme="minorHAnsi"/>
          <w:szCs w:val="22"/>
          <w:u w:val="single"/>
        </w:rPr>
        <w:t>In relation to Question 1</w:t>
      </w:r>
      <w:r w:rsidR="002F4A8D">
        <w:rPr>
          <w:rFonts w:asciiTheme="minorHAnsi" w:hAnsiTheme="minorHAnsi" w:cstheme="minorHAnsi"/>
          <w:szCs w:val="22"/>
        </w:rPr>
        <w:t xml:space="preserve"> </w:t>
      </w:r>
      <w:r w:rsidR="00620008">
        <w:rPr>
          <w:rFonts w:asciiTheme="minorHAnsi" w:hAnsiTheme="minorHAnsi" w:cstheme="minorHAnsi"/>
          <w:szCs w:val="22"/>
        </w:rPr>
        <w:t>(</w:t>
      </w:r>
      <w:r w:rsidR="00620008" w:rsidRPr="00620008">
        <w:rPr>
          <w:rFonts w:asciiTheme="minorHAnsi" w:hAnsiTheme="minorHAnsi" w:cstheme="minorHAnsi"/>
          <w:i/>
          <w:iCs/>
          <w:szCs w:val="22"/>
        </w:rPr>
        <w:t>What is the policy problem you are trying to solve</w:t>
      </w:r>
      <w:r w:rsidR="00620008">
        <w:rPr>
          <w:rFonts w:asciiTheme="minorHAnsi" w:hAnsiTheme="minorHAnsi" w:cstheme="minorHAnsi"/>
          <w:szCs w:val="22"/>
        </w:rPr>
        <w:t>)</w:t>
      </w:r>
      <w:r w:rsidR="002F4A8D">
        <w:rPr>
          <w:rFonts w:asciiTheme="minorHAnsi" w:hAnsiTheme="minorHAnsi" w:cstheme="minorHAnsi"/>
          <w:szCs w:val="22"/>
        </w:rPr>
        <w:t xml:space="preserve">, </w:t>
      </w:r>
      <w:r w:rsidR="00B25E92">
        <w:rPr>
          <w:rFonts w:asciiTheme="minorHAnsi" w:hAnsiTheme="minorHAnsi" w:cstheme="minorHAnsi"/>
          <w:szCs w:val="22"/>
        </w:rPr>
        <w:t xml:space="preserve">case study boxes have been </w:t>
      </w:r>
      <w:r w:rsidR="00664269">
        <w:rPr>
          <w:rFonts w:asciiTheme="minorHAnsi" w:hAnsiTheme="minorHAnsi" w:cstheme="minorHAnsi"/>
          <w:szCs w:val="22"/>
        </w:rPr>
        <w:t>included</w:t>
      </w:r>
      <w:r w:rsidR="00834D75">
        <w:rPr>
          <w:rFonts w:asciiTheme="minorHAnsi" w:hAnsiTheme="minorHAnsi" w:cstheme="minorHAnsi"/>
          <w:szCs w:val="22"/>
        </w:rPr>
        <w:t xml:space="preserve"> to provide further details of the identified matter</w:t>
      </w:r>
      <w:r w:rsidR="00817976">
        <w:rPr>
          <w:rFonts w:asciiTheme="minorHAnsi" w:hAnsiTheme="minorHAnsi" w:cstheme="minorHAnsi"/>
          <w:szCs w:val="22"/>
        </w:rPr>
        <w:t xml:space="preserve"> to draw out the implications of the case examples</w:t>
      </w:r>
      <w:r w:rsidR="00CD1F12">
        <w:rPr>
          <w:rFonts w:asciiTheme="minorHAnsi" w:hAnsiTheme="minorHAnsi" w:cstheme="minorHAnsi"/>
          <w:szCs w:val="22"/>
        </w:rPr>
        <w:t>, noting limitation</w:t>
      </w:r>
      <w:r w:rsidR="00FE0B3A">
        <w:rPr>
          <w:rFonts w:asciiTheme="minorHAnsi" w:hAnsiTheme="minorHAnsi" w:cstheme="minorHAnsi"/>
          <w:szCs w:val="22"/>
        </w:rPr>
        <w:t>s</w:t>
      </w:r>
      <w:r w:rsidR="00CD1F12">
        <w:rPr>
          <w:rFonts w:asciiTheme="minorHAnsi" w:hAnsiTheme="minorHAnsi" w:cstheme="minorHAnsi"/>
          <w:szCs w:val="22"/>
        </w:rPr>
        <w:t xml:space="preserve"> with </w:t>
      </w:r>
      <w:r w:rsidR="00FE0B3A">
        <w:rPr>
          <w:rFonts w:asciiTheme="minorHAnsi" w:hAnsiTheme="minorHAnsi" w:cstheme="minorHAnsi"/>
          <w:szCs w:val="22"/>
        </w:rPr>
        <w:t xml:space="preserve">the </w:t>
      </w:r>
      <w:r w:rsidR="00CD1F12">
        <w:rPr>
          <w:rFonts w:asciiTheme="minorHAnsi" w:hAnsiTheme="minorHAnsi" w:cstheme="minorHAnsi"/>
          <w:szCs w:val="22"/>
        </w:rPr>
        <w:t xml:space="preserve">available data </w:t>
      </w:r>
      <w:r w:rsidR="007816A2">
        <w:rPr>
          <w:rFonts w:asciiTheme="minorHAnsi" w:hAnsiTheme="minorHAnsi" w:cstheme="minorHAnsi"/>
          <w:szCs w:val="22"/>
        </w:rPr>
        <w:t>t</w:t>
      </w:r>
      <w:r w:rsidR="00CD1F12">
        <w:rPr>
          <w:rFonts w:asciiTheme="minorHAnsi" w:hAnsiTheme="minorHAnsi" w:cstheme="minorHAnsi"/>
          <w:szCs w:val="22"/>
        </w:rPr>
        <w:t xml:space="preserve">o </w:t>
      </w:r>
      <w:r w:rsidR="00147370">
        <w:rPr>
          <w:rFonts w:asciiTheme="minorHAnsi" w:hAnsiTheme="minorHAnsi" w:cstheme="minorHAnsi"/>
          <w:szCs w:val="22"/>
        </w:rPr>
        <w:t xml:space="preserve">undertake </w:t>
      </w:r>
      <w:r w:rsidR="00CD1F12">
        <w:rPr>
          <w:rFonts w:asciiTheme="minorHAnsi" w:hAnsiTheme="minorHAnsi" w:cstheme="minorHAnsi"/>
          <w:szCs w:val="22"/>
        </w:rPr>
        <w:t>further quantitative analysis.</w:t>
      </w:r>
    </w:p>
    <w:p w14:paraId="0AEFB44B" w14:textId="3E104A6F" w:rsidR="007816A2" w:rsidRDefault="007816A2" w:rsidP="7471D3C1">
      <w:pPr>
        <w:spacing w:after="120"/>
        <w:rPr>
          <w:rFonts w:asciiTheme="minorHAnsi" w:hAnsiTheme="minorHAnsi" w:cstheme="minorBidi"/>
        </w:rPr>
      </w:pPr>
      <w:r w:rsidRPr="7471D3C1">
        <w:rPr>
          <w:rFonts w:asciiTheme="minorHAnsi" w:hAnsiTheme="minorHAnsi" w:cstheme="minorBidi"/>
          <w:u w:val="single"/>
        </w:rPr>
        <w:t>In relation to Question 2</w:t>
      </w:r>
      <w:r w:rsidRPr="7471D3C1">
        <w:rPr>
          <w:rFonts w:asciiTheme="minorHAnsi" w:hAnsiTheme="minorHAnsi" w:cstheme="minorBidi"/>
        </w:rPr>
        <w:t xml:space="preserve"> </w:t>
      </w:r>
      <w:r w:rsidR="0047347C" w:rsidRPr="7471D3C1">
        <w:rPr>
          <w:rFonts w:asciiTheme="minorHAnsi" w:hAnsiTheme="minorHAnsi" w:cstheme="minorBidi"/>
        </w:rPr>
        <w:t>(</w:t>
      </w:r>
      <w:r w:rsidR="0047347C" w:rsidRPr="7471D3C1">
        <w:rPr>
          <w:rFonts w:asciiTheme="minorHAnsi" w:hAnsiTheme="minorHAnsi" w:cstheme="minorBidi"/>
          <w:i/>
          <w:iCs/>
        </w:rPr>
        <w:t>What is the objective of Government action</w:t>
      </w:r>
      <w:r w:rsidR="0047347C" w:rsidRPr="7471D3C1">
        <w:rPr>
          <w:rFonts w:asciiTheme="minorHAnsi" w:hAnsiTheme="minorHAnsi" w:cstheme="minorBidi"/>
        </w:rPr>
        <w:t>)</w:t>
      </w:r>
      <w:r w:rsidRPr="7471D3C1">
        <w:rPr>
          <w:rFonts w:asciiTheme="minorHAnsi" w:hAnsiTheme="minorHAnsi" w:cstheme="minorBidi"/>
        </w:rPr>
        <w:t xml:space="preserve">, </w:t>
      </w:r>
      <w:r w:rsidR="00A41E7D" w:rsidRPr="7471D3C1">
        <w:rPr>
          <w:rFonts w:asciiTheme="minorHAnsi" w:hAnsiTheme="minorHAnsi" w:cstheme="minorBidi"/>
        </w:rPr>
        <w:t xml:space="preserve">measurable statutory </w:t>
      </w:r>
      <w:r w:rsidR="00CF3A5C" w:rsidRPr="7471D3C1">
        <w:rPr>
          <w:rFonts w:asciiTheme="minorHAnsi" w:hAnsiTheme="minorHAnsi" w:cstheme="minorBidi"/>
        </w:rPr>
        <w:t>timeline targets have been added</w:t>
      </w:r>
      <w:r w:rsidR="00344B15" w:rsidRPr="7471D3C1">
        <w:rPr>
          <w:rFonts w:asciiTheme="minorHAnsi" w:hAnsiTheme="minorHAnsi" w:cstheme="minorBidi"/>
        </w:rPr>
        <w:t xml:space="preserve">, noting development of </w:t>
      </w:r>
      <w:r w:rsidR="000B2E76" w:rsidRPr="7471D3C1">
        <w:rPr>
          <w:rFonts w:asciiTheme="minorHAnsi" w:hAnsiTheme="minorHAnsi" w:cstheme="minorBidi"/>
        </w:rPr>
        <w:t xml:space="preserve">the new database </w:t>
      </w:r>
      <w:r w:rsidR="32477581" w:rsidRPr="7471D3C1">
        <w:rPr>
          <w:rFonts w:asciiTheme="minorHAnsi" w:hAnsiTheme="minorHAnsi" w:cstheme="minorBidi"/>
        </w:rPr>
        <w:t>to</w:t>
      </w:r>
      <w:r w:rsidR="000B2E76" w:rsidRPr="7471D3C1">
        <w:rPr>
          <w:rFonts w:asciiTheme="minorHAnsi" w:hAnsiTheme="minorHAnsi" w:cstheme="minorBidi"/>
        </w:rPr>
        <w:t xml:space="preserve"> track</w:t>
      </w:r>
      <w:r w:rsidR="7CF92F65" w:rsidRPr="7471D3C1">
        <w:rPr>
          <w:rFonts w:asciiTheme="minorHAnsi" w:hAnsiTheme="minorHAnsi" w:cstheme="minorBidi"/>
        </w:rPr>
        <w:t xml:space="preserve"> </w:t>
      </w:r>
      <w:r w:rsidR="000B2E76" w:rsidRPr="7471D3C1">
        <w:rPr>
          <w:rFonts w:asciiTheme="minorHAnsi" w:hAnsiTheme="minorHAnsi" w:cstheme="minorBidi"/>
        </w:rPr>
        <w:t>the impact of mergers and acquisitions</w:t>
      </w:r>
      <w:r w:rsidR="00E2709D" w:rsidRPr="7471D3C1">
        <w:rPr>
          <w:rFonts w:asciiTheme="minorHAnsi" w:hAnsiTheme="minorHAnsi" w:cstheme="minorBidi"/>
        </w:rPr>
        <w:t xml:space="preserve"> will inform </w:t>
      </w:r>
      <w:r w:rsidR="0034460D" w:rsidRPr="7471D3C1">
        <w:rPr>
          <w:rFonts w:asciiTheme="minorHAnsi" w:hAnsiTheme="minorHAnsi" w:cstheme="minorBidi"/>
        </w:rPr>
        <w:t xml:space="preserve">further </w:t>
      </w:r>
      <w:r w:rsidR="006A3D37" w:rsidRPr="7471D3C1">
        <w:rPr>
          <w:rFonts w:asciiTheme="minorHAnsi" w:hAnsiTheme="minorHAnsi" w:cstheme="minorBidi"/>
        </w:rPr>
        <w:t>implementation and evaluation plan</w:t>
      </w:r>
      <w:r w:rsidR="0034460D" w:rsidRPr="7471D3C1">
        <w:rPr>
          <w:rFonts w:asciiTheme="minorHAnsi" w:hAnsiTheme="minorHAnsi" w:cstheme="minorBidi"/>
        </w:rPr>
        <w:t>ning</w:t>
      </w:r>
      <w:r w:rsidR="000B2E76" w:rsidRPr="7471D3C1">
        <w:rPr>
          <w:rFonts w:asciiTheme="minorHAnsi" w:hAnsiTheme="minorHAnsi" w:cstheme="minorBidi"/>
        </w:rPr>
        <w:t xml:space="preserve">. </w:t>
      </w:r>
      <w:r w:rsidR="00C478F1" w:rsidRPr="7471D3C1">
        <w:rPr>
          <w:rFonts w:asciiTheme="minorHAnsi" w:hAnsiTheme="minorHAnsi" w:cstheme="minorBidi"/>
        </w:rPr>
        <w:t>Further details on constrain</w:t>
      </w:r>
      <w:r w:rsidR="00076552" w:rsidRPr="7471D3C1">
        <w:rPr>
          <w:rFonts w:asciiTheme="minorHAnsi" w:hAnsiTheme="minorHAnsi" w:cstheme="minorBidi"/>
        </w:rPr>
        <w:t>t</w:t>
      </w:r>
      <w:r w:rsidR="00C478F1" w:rsidRPr="7471D3C1">
        <w:rPr>
          <w:rFonts w:asciiTheme="minorHAnsi" w:hAnsiTheme="minorHAnsi" w:cstheme="minorBidi"/>
        </w:rPr>
        <w:t>s and barriers to achieving the goal</w:t>
      </w:r>
      <w:r w:rsidR="0034460D" w:rsidRPr="7471D3C1">
        <w:rPr>
          <w:rFonts w:asciiTheme="minorHAnsi" w:hAnsiTheme="minorHAnsi" w:cstheme="minorBidi"/>
        </w:rPr>
        <w:t>s</w:t>
      </w:r>
      <w:r w:rsidR="00C478F1" w:rsidRPr="7471D3C1">
        <w:rPr>
          <w:rFonts w:asciiTheme="minorHAnsi" w:hAnsiTheme="minorHAnsi" w:cstheme="minorBidi"/>
        </w:rPr>
        <w:t xml:space="preserve"> ha</w:t>
      </w:r>
      <w:r w:rsidR="39495470" w:rsidRPr="7471D3C1">
        <w:rPr>
          <w:rFonts w:asciiTheme="minorHAnsi" w:hAnsiTheme="minorHAnsi" w:cstheme="minorBidi"/>
        </w:rPr>
        <w:t>ve</w:t>
      </w:r>
      <w:r w:rsidR="00C478F1" w:rsidRPr="7471D3C1">
        <w:rPr>
          <w:rFonts w:asciiTheme="minorHAnsi" w:hAnsiTheme="minorHAnsi" w:cstheme="minorBidi"/>
        </w:rPr>
        <w:t xml:space="preserve"> also been </w:t>
      </w:r>
      <w:r w:rsidR="137F2876" w:rsidRPr="7471D3C1">
        <w:rPr>
          <w:rFonts w:asciiTheme="minorHAnsi" w:hAnsiTheme="minorHAnsi" w:cstheme="minorBidi"/>
        </w:rPr>
        <w:t>included</w:t>
      </w:r>
      <w:r w:rsidR="00C478F1" w:rsidRPr="7471D3C1">
        <w:rPr>
          <w:rFonts w:asciiTheme="minorHAnsi" w:hAnsiTheme="minorHAnsi" w:cstheme="minorBidi"/>
        </w:rPr>
        <w:t>.</w:t>
      </w:r>
    </w:p>
    <w:p w14:paraId="15A779C3" w14:textId="04002766" w:rsidR="00C478F1" w:rsidRDefault="00C478F1" w:rsidP="003A58B1">
      <w:pPr>
        <w:spacing w:after="120"/>
        <w:rPr>
          <w:rFonts w:asciiTheme="minorHAnsi" w:hAnsiTheme="minorHAnsi" w:cstheme="minorHAnsi"/>
          <w:szCs w:val="22"/>
        </w:rPr>
      </w:pPr>
      <w:r w:rsidRPr="00A92F3C">
        <w:rPr>
          <w:rFonts w:asciiTheme="minorHAnsi" w:hAnsiTheme="minorHAnsi" w:cstheme="minorHAnsi"/>
          <w:szCs w:val="22"/>
          <w:u w:val="single"/>
        </w:rPr>
        <w:t xml:space="preserve">In relation to </w:t>
      </w:r>
      <w:r w:rsidR="006F790F" w:rsidRPr="00A92F3C">
        <w:rPr>
          <w:rFonts w:asciiTheme="minorHAnsi" w:hAnsiTheme="minorHAnsi" w:cstheme="minorHAnsi"/>
          <w:szCs w:val="22"/>
          <w:u w:val="single"/>
        </w:rPr>
        <w:t>Question 4</w:t>
      </w:r>
      <w:r w:rsidR="006F790F">
        <w:rPr>
          <w:rFonts w:asciiTheme="minorHAnsi" w:hAnsiTheme="minorHAnsi" w:cstheme="minorHAnsi"/>
          <w:szCs w:val="22"/>
        </w:rPr>
        <w:t xml:space="preserve"> (</w:t>
      </w:r>
      <w:r w:rsidR="006F790F" w:rsidRPr="00AE2515">
        <w:rPr>
          <w:rFonts w:asciiTheme="minorHAnsi" w:hAnsiTheme="minorHAnsi" w:cstheme="minorHAnsi"/>
          <w:i/>
          <w:iCs/>
          <w:szCs w:val="22"/>
        </w:rPr>
        <w:t>What is the likely net benefit of each option</w:t>
      </w:r>
      <w:r w:rsidR="006F790F">
        <w:rPr>
          <w:rFonts w:asciiTheme="minorHAnsi" w:hAnsiTheme="minorHAnsi" w:cstheme="minorHAnsi"/>
          <w:szCs w:val="22"/>
        </w:rPr>
        <w:t xml:space="preserve">), </w:t>
      </w:r>
      <w:r w:rsidR="00A803C8">
        <w:rPr>
          <w:rFonts w:asciiTheme="minorHAnsi" w:hAnsiTheme="minorHAnsi" w:cstheme="minorHAnsi"/>
          <w:szCs w:val="22"/>
        </w:rPr>
        <w:t xml:space="preserve">further caveats have been added </w:t>
      </w:r>
      <w:r w:rsidR="00027057">
        <w:rPr>
          <w:rFonts w:asciiTheme="minorHAnsi" w:hAnsiTheme="minorHAnsi" w:cstheme="minorHAnsi"/>
          <w:szCs w:val="22"/>
        </w:rPr>
        <w:t xml:space="preserve">in </w:t>
      </w:r>
      <w:r w:rsidR="000B1A77">
        <w:rPr>
          <w:rFonts w:asciiTheme="minorHAnsi" w:hAnsiTheme="minorHAnsi" w:cstheme="minorHAnsi"/>
          <w:szCs w:val="22"/>
        </w:rPr>
        <w:t xml:space="preserve">the footnote </w:t>
      </w:r>
      <w:r w:rsidR="00340C23">
        <w:rPr>
          <w:rFonts w:asciiTheme="minorHAnsi" w:hAnsiTheme="minorHAnsi" w:cstheme="minorHAnsi"/>
          <w:szCs w:val="22"/>
        </w:rPr>
        <w:t xml:space="preserve">to explain the constraints </w:t>
      </w:r>
      <w:r w:rsidR="0098707D">
        <w:rPr>
          <w:rFonts w:asciiTheme="minorHAnsi" w:hAnsiTheme="minorHAnsi" w:cstheme="minorHAnsi"/>
          <w:szCs w:val="22"/>
        </w:rPr>
        <w:t>(differing population size, consumer spending</w:t>
      </w:r>
      <w:r w:rsidR="00BC1AAC">
        <w:rPr>
          <w:rFonts w:asciiTheme="minorHAnsi" w:hAnsiTheme="minorHAnsi" w:cstheme="minorHAnsi"/>
          <w:szCs w:val="22"/>
        </w:rPr>
        <w:t xml:space="preserve">, </w:t>
      </w:r>
      <w:r w:rsidR="00A4619D" w:rsidRPr="00A4619D">
        <w:rPr>
          <w:rFonts w:asciiTheme="minorHAnsi" w:hAnsiTheme="minorHAnsi" w:cstheme="minorHAnsi"/>
          <w:szCs w:val="22"/>
        </w:rPr>
        <w:t>market structure and concentration, regulatory approach</w:t>
      </w:r>
      <w:r w:rsidR="00A4619D">
        <w:rPr>
          <w:rFonts w:asciiTheme="minorHAnsi" w:hAnsiTheme="minorHAnsi" w:cstheme="minorHAnsi"/>
          <w:szCs w:val="22"/>
        </w:rPr>
        <w:t>)</w:t>
      </w:r>
      <w:r w:rsidR="00A4619D" w:rsidRPr="00A4619D">
        <w:rPr>
          <w:rFonts w:asciiTheme="minorHAnsi" w:hAnsiTheme="minorHAnsi" w:cstheme="minorHAnsi"/>
          <w:szCs w:val="22"/>
        </w:rPr>
        <w:t xml:space="preserve"> </w:t>
      </w:r>
      <w:r w:rsidR="00340C23">
        <w:rPr>
          <w:rFonts w:asciiTheme="minorHAnsi" w:hAnsiTheme="minorHAnsi" w:cstheme="minorHAnsi"/>
          <w:szCs w:val="22"/>
        </w:rPr>
        <w:t>in providing equivalent Australian estimates of overseas estimation of the benefits from preventing anti-competitive mergers and acquisitions.</w:t>
      </w:r>
    </w:p>
    <w:p w14:paraId="30785B3E" w14:textId="34EC2A54" w:rsidR="00AF6D96" w:rsidRDefault="007F1A45" w:rsidP="2DA95D4D">
      <w:pPr>
        <w:spacing w:after="120"/>
        <w:rPr>
          <w:rFonts w:asciiTheme="minorHAnsi" w:hAnsiTheme="minorHAnsi" w:cstheme="minorBidi"/>
        </w:rPr>
      </w:pPr>
      <w:r w:rsidRPr="00E25E23">
        <w:rPr>
          <w:rFonts w:asciiTheme="minorHAnsi" w:hAnsiTheme="minorHAnsi" w:cstheme="minorBidi"/>
        </w:rPr>
        <w:t xml:space="preserve">In relation to </w:t>
      </w:r>
      <w:r w:rsidR="00AF6D96" w:rsidRPr="00E25E23">
        <w:rPr>
          <w:rFonts w:asciiTheme="minorHAnsi" w:hAnsiTheme="minorHAnsi" w:cstheme="minorBidi"/>
        </w:rPr>
        <w:t xml:space="preserve">consultation conducted to </w:t>
      </w:r>
      <w:r w:rsidR="00A86E34" w:rsidRPr="00E25E23">
        <w:rPr>
          <w:rFonts w:asciiTheme="minorHAnsi" w:hAnsiTheme="minorHAnsi" w:cstheme="minorBidi"/>
        </w:rPr>
        <w:t xml:space="preserve">confirm the accuracy/reasonableness of the regulatory compliance cost estimates, </w:t>
      </w:r>
      <w:r w:rsidR="00EC7128" w:rsidRPr="00E25E23">
        <w:rPr>
          <w:rFonts w:asciiTheme="minorHAnsi" w:hAnsiTheme="minorHAnsi" w:cstheme="minorBidi"/>
        </w:rPr>
        <w:t xml:space="preserve">Treasury </w:t>
      </w:r>
      <w:r w:rsidR="004625FE" w:rsidRPr="00E25E23">
        <w:rPr>
          <w:rFonts w:asciiTheme="minorHAnsi" w:hAnsiTheme="minorHAnsi" w:cstheme="minorBidi"/>
        </w:rPr>
        <w:t>has</w:t>
      </w:r>
      <w:r w:rsidR="00A86E34" w:rsidRPr="00E25E23">
        <w:rPr>
          <w:rFonts w:asciiTheme="minorHAnsi" w:hAnsiTheme="minorHAnsi" w:cstheme="minorBidi"/>
        </w:rPr>
        <w:t xml:space="preserve"> undertaken targeted consultation with </w:t>
      </w:r>
      <w:r w:rsidR="001E28B8" w:rsidRPr="00E25E23">
        <w:rPr>
          <w:rFonts w:asciiTheme="minorHAnsi" w:hAnsiTheme="minorHAnsi" w:cstheme="minorBidi"/>
        </w:rPr>
        <w:t xml:space="preserve">competition </w:t>
      </w:r>
      <w:r w:rsidR="00AF01EC" w:rsidRPr="00E25E23">
        <w:t>practitioners</w:t>
      </w:r>
      <w:r w:rsidR="00832070" w:rsidRPr="00E25E23">
        <w:t xml:space="preserve"> who have private practice experience and insight into the costs incurred by merger parties.</w:t>
      </w:r>
      <w:r w:rsidR="00930DAD" w:rsidRPr="00E25E23">
        <w:t xml:space="preserve"> Further,</w:t>
      </w:r>
      <w:r w:rsidR="00930DAD" w:rsidRPr="00E25E23">
        <w:rPr>
          <w:rFonts w:cs="Calibri"/>
        </w:rPr>
        <w:t xml:space="preserve"> the </w:t>
      </w:r>
      <w:r w:rsidR="00930DAD" w:rsidRPr="00E25E23">
        <w:t>estimates</w:t>
      </w:r>
      <w:r w:rsidR="00930DAD" w:rsidRPr="00E25E23">
        <w:rPr>
          <w:rFonts w:cs="Calibri"/>
        </w:rPr>
        <w:t xml:space="preserve"> </w:t>
      </w:r>
      <w:r w:rsidR="00F561F4" w:rsidRPr="00E25E23">
        <w:rPr>
          <w:rFonts w:cs="Calibri"/>
        </w:rPr>
        <w:t>are informed</w:t>
      </w:r>
      <w:r w:rsidR="00E459A0" w:rsidRPr="00E25E23">
        <w:rPr>
          <w:rFonts w:cs="Calibri"/>
        </w:rPr>
        <w:t xml:space="preserve"> by </w:t>
      </w:r>
      <w:r w:rsidR="00E459A0" w:rsidRPr="00E25E23">
        <w:rPr>
          <w:rFonts w:asciiTheme="minorHAnsi" w:hAnsiTheme="minorHAnsi" w:cstheme="minorBidi"/>
        </w:rPr>
        <w:t xml:space="preserve">existing analysis of publicly available data (such as federal court costs incurred by merger parties), confidential cost data </w:t>
      </w:r>
      <w:r w:rsidR="00E459A0" w:rsidRPr="00E25E23">
        <w:rPr>
          <w:rFonts w:asciiTheme="minorHAnsi" w:hAnsiTheme="minorHAnsi" w:cstheme="minorBidi"/>
        </w:rPr>
        <w:lastRenderedPageBreak/>
        <w:t xml:space="preserve">supplied by ACCC, benchmark analysis </w:t>
      </w:r>
      <w:r w:rsidR="0048015D" w:rsidRPr="00E25E23">
        <w:rPr>
          <w:rFonts w:asciiTheme="minorHAnsi" w:hAnsiTheme="minorHAnsi" w:cstheme="minorBidi"/>
        </w:rPr>
        <w:t xml:space="preserve">against </w:t>
      </w:r>
      <w:r w:rsidR="00E459A0" w:rsidRPr="00E25E23">
        <w:rPr>
          <w:rFonts w:asciiTheme="minorHAnsi" w:hAnsiTheme="minorHAnsi" w:cstheme="minorBidi"/>
        </w:rPr>
        <w:t xml:space="preserve">the UK and </w:t>
      </w:r>
      <w:r w:rsidR="45FD78A2" w:rsidRPr="00E25E23">
        <w:rPr>
          <w:rFonts w:asciiTheme="minorHAnsi" w:hAnsiTheme="minorHAnsi" w:cstheme="minorBidi"/>
        </w:rPr>
        <w:t xml:space="preserve">the </w:t>
      </w:r>
      <w:r w:rsidR="00E459A0" w:rsidRPr="00E25E23">
        <w:rPr>
          <w:rFonts w:asciiTheme="minorHAnsi" w:hAnsiTheme="minorHAnsi" w:cstheme="minorBidi"/>
        </w:rPr>
        <w:t>Foreign Investment Review Board</w:t>
      </w:r>
      <w:r w:rsidR="00EF2BE4" w:rsidRPr="00E25E23">
        <w:rPr>
          <w:rFonts w:asciiTheme="minorHAnsi" w:hAnsiTheme="minorHAnsi" w:cstheme="minorBidi"/>
        </w:rPr>
        <w:t>’s</w:t>
      </w:r>
      <w:r w:rsidR="00E459A0" w:rsidRPr="00E25E23">
        <w:rPr>
          <w:rFonts w:asciiTheme="minorHAnsi" w:hAnsiTheme="minorHAnsi" w:cstheme="minorBidi"/>
        </w:rPr>
        <w:t xml:space="preserve"> </w:t>
      </w:r>
      <w:r w:rsidR="008C7841" w:rsidRPr="00E25E23">
        <w:rPr>
          <w:rFonts w:asciiTheme="minorHAnsi" w:hAnsiTheme="minorHAnsi" w:cstheme="minorBidi"/>
        </w:rPr>
        <w:t xml:space="preserve">regulatory </w:t>
      </w:r>
      <w:r w:rsidR="00E459A0" w:rsidRPr="00E25E23">
        <w:rPr>
          <w:rFonts w:asciiTheme="minorHAnsi" w:hAnsiTheme="minorHAnsi" w:cstheme="minorBidi"/>
        </w:rPr>
        <w:t>burden of the different assessment stages (</w:t>
      </w:r>
      <w:r w:rsidR="01F602C7" w:rsidRPr="00E25E23">
        <w:rPr>
          <w:rFonts w:asciiTheme="minorHAnsi" w:hAnsiTheme="minorHAnsi" w:cstheme="minorBidi"/>
        </w:rPr>
        <w:t xml:space="preserve">taking account of </w:t>
      </w:r>
      <w:r w:rsidR="00E459A0" w:rsidRPr="00E25E23">
        <w:rPr>
          <w:rFonts w:asciiTheme="minorHAnsi" w:hAnsiTheme="minorHAnsi" w:cstheme="minorBidi"/>
        </w:rPr>
        <w:t>the difference</w:t>
      </w:r>
      <w:r w:rsidR="2D8B2668" w:rsidRPr="00E25E23">
        <w:rPr>
          <w:rFonts w:asciiTheme="minorHAnsi" w:hAnsiTheme="minorHAnsi" w:cstheme="minorBidi"/>
        </w:rPr>
        <w:t xml:space="preserve"> between </w:t>
      </w:r>
      <w:r w:rsidR="00E459A0" w:rsidRPr="00E25E23">
        <w:rPr>
          <w:rFonts w:asciiTheme="minorHAnsi" w:hAnsiTheme="minorHAnsi" w:cstheme="minorBidi"/>
        </w:rPr>
        <w:t xml:space="preserve">mandatory </w:t>
      </w:r>
      <w:r w:rsidR="35168014" w:rsidRPr="00E25E23">
        <w:rPr>
          <w:rFonts w:asciiTheme="minorHAnsi" w:hAnsiTheme="minorHAnsi" w:cstheme="minorBidi"/>
        </w:rPr>
        <w:t>and</w:t>
      </w:r>
      <w:r w:rsidR="00E459A0" w:rsidRPr="00E25E23">
        <w:rPr>
          <w:rFonts w:asciiTheme="minorHAnsi" w:hAnsiTheme="minorHAnsi" w:cstheme="minorBidi"/>
        </w:rPr>
        <w:t xml:space="preserve"> voluntary systems, and the focus of the reform options on upfront information requirements), and </w:t>
      </w:r>
      <w:r w:rsidR="19E2B1B0" w:rsidRPr="00E25E23">
        <w:rPr>
          <w:rFonts w:asciiTheme="minorHAnsi" w:hAnsiTheme="minorHAnsi" w:cstheme="minorBidi"/>
        </w:rPr>
        <w:t xml:space="preserve">the </w:t>
      </w:r>
      <w:r w:rsidR="00E459A0" w:rsidRPr="00E25E23">
        <w:rPr>
          <w:rFonts w:asciiTheme="minorHAnsi" w:hAnsiTheme="minorHAnsi" w:cstheme="minorBidi"/>
        </w:rPr>
        <w:t xml:space="preserve">professional </w:t>
      </w:r>
      <w:r w:rsidR="00163C45" w:rsidRPr="00E25E23">
        <w:rPr>
          <w:rFonts w:asciiTheme="minorHAnsi" w:hAnsiTheme="minorHAnsi" w:cstheme="minorBidi"/>
        </w:rPr>
        <w:t>knowledge</w:t>
      </w:r>
      <w:r w:rsidR="00E459A0" w:rsidRPr="00E25E23">
        <w:rPr>
          <w:rFonts w:asciiTheme="minorHAnsi" w:hAnsiTheme="minorHAnsi" w:cstheme="minorBidi"/>
        </w:rPr>
        <w:t xml:space="preserve"> of </w:t>
      </w:r>
      <w:r w:rsidR="00EF4626" w:rsidRPr="00E25E23">
        <w:rPr>
          <w:rFonts w:asciiTheme="minorHAnsi" w:hAnsiTheme="minorHAnsi" w:cstheme="minorBidi"/>
        </w:rPr>
        <w:t xml:space="preserve">Competition </w:t>
      </w:r>
      <w:r w:rsidR="00C57F27" w:rsidRPr="00E25E23">
        <w:rPr>
          <w:rFonts w:asciiTheme="minorHAnsi" w:hAnsiTheme="minorHAnsi" w:cstheme="minorBidi"/>
        </w:rPr>
        <w:t>Taskforce</w:t>
      </w:r>
      <w:r w:rsidR="4F6ECBC8" w:rsidRPr="00E25E23">
        <w:rPr>
          <w:rFonts w:asciiTheme="minorHAnsi" w:hAnsiTheme="minorHAnsi" w:cstheme="minorBidi"/>
        </w:rPr>
        <w:t xml:space="preserve"> staff</w:t>
      </w:r>
      <w:r w:rsidR="00E459A0" w:rsidRPr="00E25E23">
        <w:rPr>
          <w:rFonts w:asciiTheme="minorHAnsi" w:hAnsiTheme="minorHAnsi" w:cstheme="minorBidi"/>
        </w:rPr>
        <w:t xml:space="preserve"> </w:t>
      </w:r>
      <w:r w:rsidR="00176346" w:rsidRPr="00E25E23">
        <w:rPr>
          <w:rFonts w:asciiTheme="minorHAnsi" w:hAnsiTheme="minorHAnsi" w:cstheme="minorBidi"/>
        </w:rPr>
        <w:t>with</w:t>
      </w:r>
      <w:r w:rsidR="00096FAF" w:rsidRPr="00E25E23">
        <w:rPr>
          <w:rFonts w:asciiTheme="minorHAnsi" w:hAnsiTheme="minorHAnsi" w:cstheme="minorBidi"/>
        </w:rPr>
        <w:t xml:space="preserve"> </w:t>
      </w:r>
      <w:r w:rsidR="2E7F7ADA" w:rsidRPr="00E25E23">
        <w:rPr>
          <w:rFonts w:asciiTheme="minorHAnsi" w:hAnsiTheme="minorHAnsi" w:cstheme="minorBidi"/>
        </w:rPr>
        <w:t xml:space="preserve">extensive experience in </w:t>
      </w:r>
      <w:r w:rsidR="00096FAF" w:rsidRPr="00E25E23">
        <w:rPr>
          <w:rFonts w:asciiTheme="minorHAnsi" w:hAnsiTheme="minorHAnsi" w:cstheme="minorBidi"/>
        </w:rPr>
        <w:t>legal</w:t>
      </w:r>
      <w:r w:rsidR="00BB721C" w:rsidRPr="00E25E23">
        <w:rPr>
          <w:rFonts w:asciiTheme="minorHAnsi" w:hAnsiTheme="minorHAnsi" w:cstheme="minorBidi"/>
        </w:rPr>
        <w:t xml:space="preserve"> practice</w:t>
      </w:r>
      <w:r w:rsidR="00E459A0" w:rsidRPr="00E25E23">
        <w:rPr>
          <w:rFonts w:asciiTheme="minorHAnsi" w:hAnsiTheme="minorHAnsi" w:cstheme="minorBidi"/>
        </w:rPr>
        <w:t>.</w:t>
      </w:r>
      <w:r w:rsidR="00CC2FFD" w:rsidRPr="2DA95D4D">
        <w:rPr>
          <w:rFonts w:cs="Calibri"/>
        </w:rPr>
        <w:t xml:space="preserve"> </w:t>
      </w:r>
      <w:r w:rsidR="00EC098B" w:rsidRPr="2DA95D4D">
        <w:rPr>
          <w:rFonts w:asciiTheme="minorHAnsi" w:hAnsiTheme="minorHAnsi" w:cstheme="minorBidi"/>
        </w:rPr>
        <w:t xml:space="preserve"> </w:t>
      </w:r>
    </w:p>
    <w:p w14:paraId="7830B87B" w14:textId="3729DD33" w:rsidR="00140A58" w:rsidRDefault="00EB208D" w:rsidP="1ADFD903">
      <w:pPr>
        <w:spacing w:after="120"/>
        <w:rPr>
          <w:rFonts w:asciiTheme="minorHAnsi" w:hAnsiTheme="minorHAnsi" w:cstheme="minorBidi"/>
        </w:rPr>
      </w:pPr>
      <w:r w:rsidRPr="1ADFD903">
        <w:rPr>
          <w:rFonts w:asciiTheme="minorHAnsi" w:hAnsiTheme="minorHAnsi" w:cstheme="minorBidi"/>
          <w:u w:val="single"/>
        </w:rPr>
        <w:t>In relation to Question 6</w:t>
      </w:r>
      <w:r w:rsidRPr="1ADFD903">
        <w:rPr>
          <w:rFonts w:asciiTheme="minorHAnsi" w:hAnsiTheme="minorHAnsi" w:cstheme="minorBidi"/>
        </w:rPr>
        <w:t xml:space="preserve"> (</w:t>
      </w:r>
      <w:r w:rsidRPr="1ADFD903">
        <w:rPr>
          <w:rFonts w:asciiTheme="minorHAnsi" w:hAnsiTheme="minorHAnsi" w:cstheme="minorBidi"/>
          <w:i/>
          <w:iCs/>
        </w:rPr>
        <w:t>What is the best option from those you have considered and how will it be implemented</w:t>
      </w:r>
      <w:r w:rsidRPr="1ADFD903">
        <w:rPr>
          <w:rFonts w:asciiTheme="minorHAnsi" w:hAnsiTheme="minorHAnsi" w:cstheme="minorBidi"/>
        </w:rPr>
        <w:t xml:space="preserve">), </w:t>
      </w:r>
      <w:r w:rsidR="00212DA3" w:rsidRPr="1ADFD903">
        <w:rPr>
          <w:rFonts w:asciiTheme="minorHAnsi" w:hAnsiTheme="minorHAnsi" w:cstheme="minorBidi"/>
        </w:rPr>
        <w:t>potential implementation risks</w:t>
      </w:r>
      <w:r w:rsidR="00C804D3" w:rsidRPr="1ADFD903">
        <w:rPr>
          <w:rFonts w:asciiTheme="minorHAnsi" w:hAnsiTheme="minorHAnsi" w:cstheme="minorBidi"/>
        </w:rPr>
        <w:t>/mitigating strategies</w:t>
      </w:r>
      <w:r w:rsidR="00212DA3" w:rsidRPr="1ADFD903">
        <w:rPr>
          <w:rFonts w:asciiTheme="minorHAnsi" w:hAnsiTheme="minorHAnsi" w:cstheme="minorBidi"/>
        </w:rPr>
        <w:t xml:space="preserve"> have been added </w:t>
      </w:r>
      <w:r w:rsidR="00E50F68" w:rsidRPr="1ADFD903">
        <w:rPr>
          <w:rFonts w:asciiTheme="minorHAnsi" w:hAnsiTheme="minorHAnsi" w:cstheme="minorBidi"/>
        </w:rPr>
        <w:t xml:space="preserve">regarding </w:t>
      </w:r>
      <w:r w:rsidR="6276EBA5" w:rsidRPr="1ADFD903">
        <w:rPr>
          <w:rFonts w:asciiTheme="minorHAnsi" w:hAnsiTheme="minorHAnsi" w:cstheme="minorBidi"/>
        </w:rPr>
        <w:t xml:space="preserve">the </w:t>
      </w:r>
      <w:r w:rsidR="00E50F68" w:rsidRPr="1ADFD903">
        <w:rPr>
          <w:rFonts w:asciiTheme="minorHAnsi" w:hAnsiTheme="minorHAnsi" w:cstheme="minorBidi"/>
        </w:rPr>
        <w:t>setting of appropriate thresholds (</w:t>
      </w:r>
      <w:r w:rsidR="00DD0534" w:rsidRPr="1ADFD903">
        <w:rPr>
          <w:rFonts w:asciiTheme="minorHAnsi" w:hAnsiTheme="minorHAnsi" w:cstheme="minorBidi"/>
        </w:rPr>
        <w:t xml:space="preserve">to avoid over-capture or under-capture), </w:t>
      </w:r>
      <w:r w:rsidR="00E33B19" w:rsidRPr="1ADFD903">
        <w:rPr>
          <w:rFonts w:asciiTheme="minorHAnsi" w:hAnsiTheme="minorHAnsi" w:cstheme="minorBidi"/>
        </w:rPr>
        <w:t xml:space="preserve">implementation of the new system </w:t>
      </w:r>
      <w:r w:rsidR="6D62A49F" w:rsidRPr="1ADFD903">
        <w:rPr>
          <w:rFonts w:asciiTheme="minorHAnsi" w:hAnsiTheme="minorHAnsi" w:cstheme="minorBidi"/>
        </w:rPr>
        <w:t>(</w:t>
      </w:r>
      <w:r w:rsidR="1FD07DD1" w:rsidRPr="1ADFD903">
        <w:rPr>
          <w:rFonts w:asciiTheme="minorHAnsi" w:hAnsiTheme="minorHAnsi" w:cstheme="minorBidi"/>
        </w:rPr>
        <w:t>including</w:t>
      </w:r>
      <w:r w:rsidR="002532CF" w:rsidRPr="1ADFD903">
        <w:rPr>
          <w:rFonts w:asciiTheme="minorHAnsi" w:hAnsiTheme="minorHAnsi" w:cstheme="minorBidi"/>
        </w:rPr>
        <w:t xml:space="preserve"> new policies, procedures and guidance), and required </w:t>
      </w:r>
      <w:r w:rsidR="001B30BB" w:rsidRPr="1ADFD903">
        <w:rPr>
          <w:rFonts w:asciiTheme="minorHAnsi" w:hAnsiTheme="minorHAnsi" w:cstheme="minorBidi"/>
        </w:rPr>
        <w:t xml:space="preserve">capabilities, culture, practice and resourcing for </w:t>
      </w:r>
      <w:r w:rsidR="007758C2" w:rsidRPr="1ADFD903">
        <w:rPr>
          <w:rFonts w:asciiTheme="minorHAnsi" w:hAnsiTheme="minorHAnsi" w:cstheme="minorBidi"/>
        </w:rPr>
        <w:t xml:space="preserve">the </w:t>
      </w:r>
      <w:r w:rsidR="001B30BB" w:rsidRPr="1ADFD903">
        <w:rPr>
          <w:rFonts w:asciiTheme="minorHAnsi" w:hAnsiTheme="minorHAnsi" w:cstheme="minorBidi"/>
        </w:rPr>
        <w:t xml:space="preserve">ACCC. </w:t>
      </w:r>
    </w:p>
    <w:p w14:paraId="1C1B54E0" w14:textId="77777777" w:rsidR="007D0E9E" w:rsidRDefault="007D0E9E" w:rsidP="00085559">
      <w:pPr>
        <w:spacing w:after="120"/>
        <w:rPr>
          <w:szCs w:val="24"/>
        </w:rPr>
      </w:pPr>
      <w:r w:rsidRPr="00085559">
        <w:rPr>
          <w:rFonts w:asciiTheme="minorHAnsi" w:hAnsiTheme="minorHAnsi" w:cstheme="minorHAnsi"/>
          <w:szCs w:val="22"/>
        </w:rPr>
        <w:t>The</w:t>
      </w:r>
      <w:r w:rsidRPr="00E82EEF">
        <w:t xml:space="preserve"> </w:t>
      </w:r>
      <w:r w:rsidRPr="00E82EEF">
        <w:rPr>
          <w:szCs w:val="24"/>
        </w:rPr>
        <w:t xml:space="preserve">regulatory burden to business, community organisations or individuals is quantified using the Australian Government’s </w:t>
      </w:r>
      <w:r w:rsidRPr="00E82EEF">
        <w:rPr>
          <w:i/>
          <w:szCs w:val="24"/>
        </w:rPr>
        <w:t xml:space="preserve">Regulatory Burden Measurement </w:t>
      </w:r>
      <w:r w:rsidRPr="00E82EEF">
        <w:rPr>
          <w:szCs w:val="24"/>
        </w:rPr>
        <w:t>framework and is provided below.</w:t>
      </w:r>
    </w:p>
    <w:p w14:paraId="39D652CA" w14:textId="77777777" w:rsidR="007B48F5" w:rsidRPr="0001654E" w:rsidRDefault="007B48F5" w:rsidP="007B48F5">
      <w:pPr>
        <w:keepNext/>
        <w:keepLines/>
        <w:spacing w:before="40"/>
        <w:outlineLvl w:val="1"/>
        <w:rPr>
          <w:rFonts w:asciiTheme="minorHAnsi" w:hAnsiTheme="minorHAnsi" w:cstheme="minorHAnsi"/>
          <w:b/>
          <w:color w:val="000000"/>
          <w:szCs w:val="22"/>
        </w:rPr>
      </w:pPr>
      <w:r w:rsidRPr="0001654E">
        <w:rPr>
          <w:rFonts w:asciiTheme="minorHAnsi" w:hAnsiTheme="minorHAnsi" w:cstheme="minorHAnsi"/>
          <w:b/>
          <w:color w:val="000000"/>
          <w:szCs w:val="22"/>
        </w:rPr>
        <w:t>Regulatory burden estimate table</w:t>
      </w:r>
    </w:p>
    <w:tbl>
      <w:tblPr>
        <w:tblStyle w:val="LightGrid-Accent21"/>
        <w:tblW w:w="93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Caption w:val="Regulatory burden and cost offset estimate table"/>
        <w:tblDescription w:val="Template for the Regulatory burden and cost offset estimate table"/>
      </w:tblPr>
      <w:tblGrid>
        <w:gridCol w:w="1871"/>
        <w:gridCol w:w="1871"/>
        <w:gridCol w:w="1871"/>
        <w:gridCol w:w="1871"/>
        <w:gridCol w:w="1872"/>
      </w:tblGrid>
      <w:tr w:rsidR="007B48F5" w:rsidRPr="007B48F5" w14:paraId="33E78D56" w14:textId="77777777" w:rsidTr="00482F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5"/>
            <w:shd w:val="clear" w:color="auto" w:fill="0F243E"/>
            <w:noWrap/>
          </w:tcPr>
          <w:p w14:paraId="6E32F4D5" w14:textId="77777777" w:rsidR="007B48F5" w:rsidRPr="007B48F5" w:rsidRDefault="007B48F5" w:rsidP="00482F7B">
            <w:pPr>
              <w:spacing w:before="120" w:after="120"/>
              <w:rPr>
                <w:rFonts w:asciiTheme="minorHAnsi" w:hAnsiTheme="minorHAnsi" w:cstheme="minorHAnsi"/>
                <w:szCs w:val="22"/>
              </w:rPr>
            </w:pPr>
            <w:r w:rsidRPr="007B48F5">
              <w:rPr>
                <w:rFonts w:asciiTheme="minorHAnsi" w:hAnsiTheme="minorHAnsi" w:cstheme="minorHAnsi"/>
                <w:szCs w:val="22"/>
              </w:rPr>
              <w:t>Average annual regulatory costs (from business as usual)</w:t>
            </w:r>
          </w:p>
        </w:tc>
      </w:tr>
      <w:tr w:rsidR="007B48F5" w:rsidRPr="007B48F5" w14:paraId="1279DC12" w14:textId="77777777" w:rsidTr="00482F7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</w:tcPr>
          <w:p w14:paraId="5525DCC1" w14:textId="77777777" w:rsidR="007B48F5" w:rsidRPr="007B48F5" w:rsidRDefault="007B48F5" w:rsidP="00482F7B">
            <w:pPr>
              <w:spacing w:before="120" w:after="120"/>
              <w:rPr>
                <w:rFonts w:asciiTheme="minorHAnsi" w:hAnsiTheme="minorHAnsi" w:cstheme="minorHAnsi"/>
                <w:szCs w:val="22"/>
              </w:rPr>
            </w:pPr>
            <w:r w:rsidRPr="007B48F5">
              <w:rPr>
                <w:rFonts w:asciiTheme="minorHAnsi" w:hAnsiTheme="minorHAnsi" w:cstheme="minorHAnsi"/>
                <w:szCs w:val="22"/>
              </w:rPr>
              <w:t>Change in costs ($ million)</w:t>
            </w:r>
          </w:p>
        </w:tc>
        <w:tc>
          <w:tcPr>
            <w:tcW w:w="1871" w:type="dxa"/>
            <w:noWrap/>
          </w:tcPr>
          <w:p w14:paraId="2892C104" w14:textId="77777777" w:rsidR="007B48F5" w:rsidRPr="007B48F5" w:rsidRDefault="007B48F5" w:rsidP="00482F7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2"/>
              </w:rPr>
            </w:pPr>
            <w:r w:rsidRPr="007B48F5">
              <w:rPr>
                <w:rFonts w:asciiTheme="minorHAnsi" w:hAnsiTheme="minorHAnsi" w:cstheme="minorHAnsi"/>
                <w:bCs/>
                <w:szCs w:val="22"/>
              </w:rPr>
              <w:t>Business</w:t>
            </w:r>
          </w:p>
        </w:tc>
        <w:tc>
          <w:tcPr>
            <w:tcW w:w="1871" w:type="dxa"/>
            <w:noWrap/>
          </w:tcPr>
          <w:p w14:paraId="21037552" w14:textId="77777777" w:rsidR="007B48F5" w:rsidRPr="007B48F5" w:rsidRDefault="007B48F5" w:rsidP="00482F7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B48F5">
              <w:rPr>
                <w:rFonts w:asciiTheme="minorHAnsi" w:hAnsiTheme="minorHAnsi" w:cstheme="minorHAnsi"/>
                <w:szCs w:val="22"/>
              </w:rPr>
              <w:t>Community organisations</w:t>
            </w:r>
          </w:p>
        </w:tc>
        <w:tc>
          <w:tcPr>
            <w:tcW w:w="1871" w:type="dxa"/>
            <w:noWrap/>
          </w:tcPr>
          <w:p w14:paraId="1CB88D7A" w14:textId="77777777" w:rsidR="007B48F5" w:rsidRPr="007B48F5" w:rsidRDefault="007B48F5" w:rsidP="00482F7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B48F5">
              <w:rPr>
                <w:rFonts w:asciiTheme="minorHAnsi" w:hAnsiTheme="minorHAnsi" w:cstheme="minorHAnsi"/>
                <w:szCs w:val="22"/>
              </w:rPr>
              <w:t>Individuals</w:t>
            </w:r>
          </w:p>
        </w:tc>
        <w:tc>
          <w:tcPr>
            <w:tcW w:w="1872" w:type="dxa"/>
            <w:noWrap/>
          </w:tcPr>
          <w:p w14:paraId="6F184E1F" w14:textId="77777777" w:rsidR="007B48F5" w:rsidRPr="007B48F5" w:rsidRDefault="007B48F5" w:rsidP="00482F7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B48F5">
              <w:rPr>
                <w:rFonts w:asciiTheme="minorHAnsi" w:hAnsiTheme="minorHAnsi" w:cstheme="minorHAnsi"/>
                <w:szCs w:val="22"/>
              </w:rPr>
              <w:t>Total change in costs</w:t>
            </w:r>
          </w:p>
        </w:tc>
      </w:tr>
      <w:tr w:rsidR="007B48F5" w:rsidRPr="007B48F5" w14:paraId="1BE9C627" w14:textId="77777777" w:rsidTr="00482F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67FC6C16" w14:textId="77777777" w:rsidR="007B48F5" w:rsidRPr="007B48F5" w:rsidRDefault="007B48F5" w:rsidP="00482F7B">
            <w:pPr>
              <w:spacing w:before="120" w:after="120"/>
              <w:rPr>
                <w:rFonts w:asciiTheme="minorHAnsi" w:hAnsiTheme="minorHAnsi" w:cstheme="minorHAnsi"/>
                <w:szCs w:val="22"/>
              </w:rPr>
            </w:pPr>
            <w:r w:rsidRPr="007B48F5">
              <w:rPr>
                <w:rFonts w:asciiTheme="minorHAnsi" w:hAnsiTheme="minorHAnsi" w:cstheme="minorHAnsi"/>
                <w:szCs w:val="22"/>
              </w:rPr>
              <w:t>Total, by sector</w:t>
            </w:r>
          </w:p>
        </w:tc>
        <w:tc>
          <w:tcPr>
            <w:tcW w:w="18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59CB881E" w14:textId="6F560019" w:rsidR="007B48F5" w:rsidRPr="007B48F5" w:rsidRDefault="007B48F5" w:rsidP="00482F7B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B48F5">
              <w:rPr>
                <w:rFonts w:asciiTheme="minorHAnsi" w:hAnsiTheme="minorHAnsi" w:cstheme="minorHAnsi"/>
                <w:szCs w:val="22"/>
              </w:rPr>
              <w:t>$11</w:t>
            </w:r>
          </w:p>
        </w:tc>
        <w:tc>
          <w:tcPr>
            <w:tcW w:w="18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7031D7F6" w14:textId="78F035F7" w:rsidR="007B48F5" w:rsidRPr="007B48F5" w:rsidRDefault="007B48F5" w:rsidP="00482F7B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B48F5">
              <w:rPr>
                <w:rFonts w:asciiTheme="minorHAnsi" w:hAnsiTheme="minorHAnsi" w:cstheme="minorHAnsi"/>
                <w:szCs w:val="22"/>
              </w:rPr>
              <w:t>NIL</w:t>
            </w:r>
          </w:p>
        </w:tc>
        <w:tc>
          <w:tcPr>
            <w:tcW w:w="18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4336FC3E" w14:textId="4C82B923" w:rsidR="007B48F5" w:rsidRPr="007B48F5" w:rsidRDefault="007B48F5" w:rsidP="00482F7B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B48F5">
              <w:rPr>
                <w:rFonts w:asciiTheme="minorHAnsi" w:hAnsiTheme="minorHAnsi" w:cstheme="minorHAnsi"/>
                <w:szCs w:val="22"/>
              </w:rPr>
              <w:t>NIL</w:t>
            </w:r>
          </w:p>
        </w:tc>
        <w:tc>
          <w:tcPr>
            <w:tcW w:w="18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2F77A460" w14:textId="544F6DCD" w:rsidR="007B48F5" w:rsidRPr="007B48F5" w:rsidRDefault="007B48F5" w:rsidP="00482F7B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B48F5">
              <w:rPr>
                <w:rFonts w:asciiTheme="minorHAnsi" w:hAnsiTheme="minorHAnsi" w:cstheme="minorHAnsi"/>
                <w:szCs w:val="22"/>
              </w:rPr>
              <w:t>$11</w:t>
            </w:r>
          </w:p>
        </w:tc>
      </w:tr>
    </w:tbl>
    <w:p w14:paraId="5813A93D" w14:textId="64A54140" w:rsidR="00EF0EC2" w:rsidRPr="00225611" w:rsidRDefault="00EF0EC2" w:rsidP="00EF0EC2">
      <w:pPr>
        <w:pStyle w:val="BodyText"/>
        <w:spacing w:before="120" w:after="120"/>
        <w:jc w:val="left"/>
        <w:rPr>
          <w:rFonts w:asciiTheme="minorHAnsi" w:hAnsiTheme="minorHAnsi" w:cstheme="minorHAnsi"/>
          <w:sz w:val="22"/>
          <w:szCs w:val="22"/>
        </w:rPr>
      </w:pPr>
      <w:r w:rsidRPr="00C3196F">
        <w:rPr>
          <w:rFonts w:asciiTheme="minorHAnsi" w:hAnsiTheme="minorHAnsi" w:cstheme="minorHAnsi"/>
          <w:sz w:val="22"/>
          <w:szCs w:val="22"/>
        </w:rPr>
        <w:t xml:space="preserve">Accordingly, I am satisfied that the IA is now consistent with the six principles for Australian Government policy makers </w:t>
      </w:r>
      <w:r w:rsidRPr="00225611">
        <w:rPr>
          <w:rFonts w:asciiTheme="minorHAnsi" w:hAnsiTheme="minorHAnsi" w:cstheme="minorHAnsi"/>
          <w:sz w:val="22"/>
          <w:szCs w:val="22"/>
        </w:rPr>
        <w:t xml:space="preserve">as specified in the </w:t>
      </w:r>
      <w:r w:rsidRPr="00225611">
        <w:rPr>
          <w:rFonts w:asciiTheme="minorHAnsi" w:hAnsiTheme="minorHAnsi" w:cstheme="minorHAnsi"/>
          <w:i/>
          <w:sz w:val="22"/>
          <w:szCs w:val="22"/>
        </w:rPr>
        <w:t>Australian Government Guide to Policy Impact Analysis</w:t>
      </w:r>
      <w:r w:rsidRPr="00225611">
        <w:rPr>
          <w:rFonts w:asciiTheme="minorHAnsi" w:hAnsiTheme="minorHAnsi" w:cstheme="minorHAnsi"/>
          <w:sz w:val="22"/>
          <w:szCs w:val="22"/>
        </w:rPr>
        <w:t>.</w:t>
      </w:r>
    </w:p>
    <w:p w14:paraId="05506CF8" w14:textId="77777777" w:rsidR="00EF0EC2" w:rsidRPr="00CF624C" w:rsidRDefault="00EF0EC2" w:rsidP="00EF0EC2">
      <w:pPr>
        <w:pStyle w:val="BodyText"/>
        <w:spacing w:before="120" w:after="120"/>
        <w:jc w:val="left"/>
        <w:rPr>
          <w:rFonts w:asciiTheme="minorHAnsi" w:hAnsiTheme="minorHAnsi" w:cstheme="minorHAnsi"/>
          <w:sz w:val="22"/>
          <w:szCs w:val="22"/>
        </w:rPr>
      </w:pPr>
      <w:r w:rsidRPr="00CF624C">
        <w:rPr>
          <w:rFonts w:asciiTheme="minorHAnsi" w:hAnsiTheme="minorHAnsi" w:cstheme="minorHAnsi"/>
          <w:sz w:val="22"/>
          <w:szCs w:val="22"/>
        </w:rPr>
        <w:t>I submit the IA to the Office of Impact Analysis for formal final assessment.</w:t>
      </w:r>
    </w:p>
    <w:p w14:paraId="79711778" w14:textId="77777777" w:rsidR="00EF0EC2" w:rsidRPr="00CF624C" w:rsidRDefault="00EF0EC2" w:rsidP="00EF0EC2">
      <w:pPr>
        <w:spacing w:before="120" w:after="120" w:line="300" w:lineRule="exact"/>
        <w:rPr>
          <w:rFonts w:asciiTheme="minorHAnsi" w:hAnsiTheme="minorHAnsi" w:cstheme="minorHAnsi"/>
          <w:szCs w:val="22"/>
        </w:rPr>
      </w:pPr>
    </w:p>
    <w:p w14:paraId="029E4B56" w14:textId="77777777" w:rsidR="00EF0EC2" w:rsidRPr="009430C4" w:rsidRDefault="00EF0EC2" w:rsidP="00EF0EC2">
      <w:pPr>
        <w:pStyle w:val="Header"/>
        <w:spacing w:before="120" w:after="120"/>
        <w:rPr>
          <w:rFonts w:asciiTheme="minorHAnsi" w:hAnsiTheme="minorHAnsi" w:cstheme="minorHAnsi"/>
          <w:b w:val="0"/>
          <w:bCs/>
          <w:szCs w:val="22"/>
        </w:rPr>
      </w:pPr>
      <w:r w:rsidRPr="009430C4">
        <w:rPr>
          <w:rFonts w:asciiTheme="minorHAnsi" w:hAnsiTheme="minorHAnsi" w:cstheme="minorHAnsi"/>
          <w:b w:val="0"/>
          <w:bCs/>
          <w:szCs w:val="22"/>
        </w:rPr>
        <w:t>Yours sincerely</w:t>
      </w:r>
    </w:p>
    <w:p w14:paraId="0DBCD5B9" w14:textId="77777777" w:rsidR="00EF0EC2" w:rsidRPr="009430C4" w:rsidRDefault="00EF0EC2" w:rsidP="00EF0EC2">
      <w:pPr>
        <w:pStyle w:val="Header"/>
        <w:spacing w:before="120" w:after="120"/>
        <w:rPr>
          <w:rFonts w:asciiTheme="minorHAnsi" w:hAnsiTheme="minorHAnsi" w:cstheme="minorHAnsi"/>
          <w:b w:val="0"/>
          <w:bCs/>
          <w:szCs w:val="22"/>
        </w:rPr>
      </w:pPr>
    </w:p>
    <w:p w14:paraId="205FC585" w14:textId="77777777" w:rsidR="00EF0EC2" w:rsidRDefault="00EF0EC2" w:rsidP="00EF0EC2">
      <w:pPr>
        <w:pStyle w:val="Header"/>
        <w:spacing w:before="120" w:after="120"/>
        <w:rPr>
          <w:rFonts w:asciiTheme="minorHAnsi" w:hAnsiTheme="minorHAnsi" w:cstheme="minorHAnsi"/>
          <w:b w:val="0"/>
          <w:bCs/>
          <w:szCs w:val="22"/>
        </w:rPr>
      </w:pPr>
    </w:p>
    <w:p w14:paraId="6818C35E" w14:textId="77777777" w:rsidR="00044BEE" w:rsidRPr="009430C4" w:rsidRDefault="00044BEE" w:rsidP="00EF0EC2">
      <w:pPr>
        <w:pStyle w:val="Header"/>
        <w:spacing w:before="120" w:after="120"/>
        <w:rPr>
          <w:rFonts w:asciiTheme="minorHAnsi" w:hAnsiTheme="minorHAnsi" w:cstheme="minorHAnsi"/>
          <w:b w:val="0"/>
          <w:bCs/>
          <w:szCs w:val="22"/>
        </w:rPr>
      </w:pPr>
    </w:p>
    <w:p w14:paraId="60DB4C86" w14:textId="1F30A312" w:rsidR="00EF0EC2" w:rsidRPr="00085559" w:rsidRDefault="00D8030E" w:rsidP="00085559">
      <w:pPr>
        <w:pStyle w:val="Header"/>
        <w:spacing w:before="120" w:after="120"/>
        <w:rPr>
          <w:rFonts w:asciiTheme="minorHAnsi" w:hAnsiTheme="minorHAnsi" w:cstheme="minorHAnsi"/>
          <w:b w:val="0"/>
          <w:bCs/>
          <w:szCs w:val="22"/>
        </w:rPr>
      </w:pPr>
      <w:r w:rsidRPr="009430C4">
        <w:rPr>
          <w:b w:val="0"/>
          <w:bCs/>
        </w:rPr>
        <w:t xml:space="preserve">Brenton Philp </w:t>
      </w:r>
      <w:r w:rsidR="00A41CDA" w:rsidRPr="009430C4">
        <w:rPr>
          <w:b w:val="0"/>
          <w:bCs/>
        </w:rPr>
        <w:br/>
      </w:r>
      <w:r w:rsidRPr="009430C4">
        <w:rPr>
          <w:b w:val="0"/>
          <w:bCs/>
        </w:rPr>
        <w:t>Deputy Secretary</w:t>
      </w:r>
      <w:r w:rsidR="00A41CDA" w:rsidRPr="009430C4">
        <w:rPr>
          <w:b w:val="0"/>
          <w:bCs/>
        </w:rPr>
        <w:br/>
        <w:t>The Treasury</w:t>
      </w:r>
      <w:r w:rsidR="00A41CDA" w:rsidRPr="009430C4">
        <w:rPr>
          <w:b w:val="0"/>
          <w:bCs/>
        </w:rPr>
        <w:br/>
      </w:r>
    </w:p>
    <w:sectPr w:rsidR="00EF0EC2" w:rsidRPr="00085559" w:rsidSect="008724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701" w:bottom="1134" w:left="1701" w:header="425" w:footer="51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5EE51" w14:textId="77777777" w:rsidR="00B76DEB" w:rsidRDefault="00B76DEB">
      <w:r>
        <w:separator/>
      </w:r>
    </w:p>
  </w:endnote>
  <w:endnote w:type="continuationSeparator" w:id="0">
    <w:p w14:paraId="67EA5122" w14:textId="77777777" w:rsidR="00B76DEB" w:rsidRDefault="00B76DEB">
      <w:r>
        <w:continuationSeparator/>
      </w:r>
    </w:p>
  </w:endnote>
  <w:endnote w:type="continuationNotice" w:id="1">
    <w:p w14:paraId="20C9CFC4" w14:textId="77777777" w:rsidR="00B76DEB" w:rsidRDefault="00B76DE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65428" w14:textId="4F5B32A9" w:rsidR="002B692A" w:rsidRDefault="00475D2D" w:rsidP="002B692A">
    <w:pPr>
      <w:pStyle w:val="SecurityClassificationFoot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78B35715" wp14:editId="4A406EB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5" name="Text Box 5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B02F5D" w14:textId="6B15FBF1" w:rsidR="00475D2D" w:rsidRPr="00475D2D" w:rsidRDefault="00475D2D" w:rsidP="00475D2D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75D2D"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8B3571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: Sensitive" style="position:absolute;left:0;text-align:left;margin-left:0;margin-top:0;width:34.95pt;height:34.95pt;z-index:25165824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DB02F5D" w14:textId="6B15FBF1" w:rsidR="00475D2D" w:rsidRPr="00475D2D" w:rsidRDefault="00475D2D" w:rsidP="00475D2D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75D2D"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3F74152" w14:textId="53A853CA" w:rsidR="002B692A" w:rsidRDefault="00C8731A" w:rsidP="002B692A">
    <w:pPr>
      <w:pStyle w:val="SecurityClassificationFooter"/>
    </w:pPr>
    <w:r>
      <w:fldChar w:fldCharType="begin"/>
    </w:r>
    <w:r>
      <w:instrText xml:space="preserve"> DOCPROPERTY WorkingDocStatus \* MERGEFORMAT </w:instrText>
    </w:r>
    <w:r>
      <w:fldChar w:fldCharType="end"/>
    </w:r>
    <w:r w:rsidR="00195989">
      <w:fldChar w:fldCharType="begin"/>
    </w:r>
    <w:r w:rsidR="00195989">
      <w:instrText>DOCPROPERTY SecurityClassification \* MERGEFORMAT</w:instrText>
    </w:r>
    <w:r w:rsidR="00195989">
      <w:fldChar w:fldCharType="separate"/>
    </w:r>
    <w:r w:rsidR="00C5759B">
      <w:t>For Official Use Only</w:t>
    </w:r>
    <w:r w:rsidR="00195989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3E3F0" w14:textId="25E23F26" w:rsidR="002B692A" w:rsidRPr="004A5077" w:rsidRDefault="004A5077" w:rsidP="004A5077">
    <w:pPr>
      <w:pStyle w:val="FooterAddress"/>
      <w:rPr>
        <w:b/>
      </w:rPr>
    </w:pPr>
    <w:r>
      <w:fldChar w:fldCharType="begin"/>
    </w:r>
    <w:r>
      <w:instrText xml:space="preserve"> PAGE </w:instrText>
    </w:r>
    <w:r>
      <w:fldChar w:fldCharType="separate"/>
    </w:r>
    <w:r w:rsidR="00195989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045C3" w14:textId="5220F5FF" w:rsidR="005F6F02" w:rsidRPr="00A23E22" w:rsidRDefault="005755DF" w:rsidP="00240E21">
    <w:pPr>
      <w:pStyle w:val="FooterAddress"/>
      <w:spacing w:before="840"/>
      <w:rPr>
        <w:sz w:val="2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4C72BD75" wp14:editId="558A0FE7">
          <wp:simplePos x="0" y="0"/>
          <wp:positionH relativeFrom="margin">
            <wp:align>left</wp:align>
          </wp:positionH>
          <wp:positionV relativeFrom="page">
            <wp:posOffset>9523095</wp:posOffset>
          </wp:positionV>
          <wp:extent cx="1620000" cy="8460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84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2138F6" w14:textId="77777777" w:rsidR="001F6841" w:rsidRPr="001F6841" w:rsidRDefault="001F6841" w:rsidP="00A36607">
    <w:pPr>
      <w:pStyle w:val="FooterAddress"/>
      <w:spacing w:before="60" w:after="120"/>
    </w:pPr>
    <w:r>
      <w:t>Langton Crescent</w:t>
    </w:r>
    <w:r>
      <w:br/>
      <w:t>Parkes ACT 2600</w:t>
    </w:r>
    <w:r w:rsidR="00B457FE">
      <w:br/>
      <w:t>Australia</w:t>
    </w:r>
  </w:p>
  <w:p w14:paraId="1592F728" w14:textId="77777777" w:rsidR="005F6F02" w:rsidRDefault="00021A7F" w:rsidP="008741F9">
    <w:pPr>
      <w:pStyle w:val="FooterAddress"/>
      <w:tabs>
        <w:tab w:val="clear" w:pos="4820"/>
        <w:tab w:val="center" w:pos="9639"/>
      </w:tabs>
    </w:pPr>
    <w:r>
      <w:t>P</w:t>
    </w:r>
    <w:r w:rsidR="00AD44A4">
      <w:t>:</w:t>
    </w:r>
    <w:r w:rsidR="005F6F02">
      <w:t xml:space="preserve">  </w:t>
    </w:r>
    <w:r w:rsidR="001F6841">
      <w:t xml:space="preserve">+61 2 6263 2111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D59E5" w14:textId="77777777" w:rsidR="00B76DEB" w:rsidRDefault="00B76DEB">
      <w:r>
        <w:separator/>
      </w:r>
    </w:p>
  </w:footnote>
  <w:footnote w:type="continuationSeparator" w:id="0">
    <w:p w14:paraId="1899DA91" w14:textId="77777777" w:rsidR="00B76DEB" w:rsidRDefault="00B76DEB">
      <w:r>
        <w:continuationSeparator/>
      </w:r>
    </w:p>
  </w:footnote>
  <w:footnote w:type="continuationNotice" w:id="1">
    <w:p w14:paraId="2116B94A" w14:textId="77777777" w:rsidR="00B76DEB" w:rsidRDefault="00B76DE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2EC7C" w14:textId="60383EE7" w:rsidR="00B457FE" w:rsidRDefault="00475D2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8D22072" wp14:editId="7455367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3175" b="4445"/>
              <wp:wrapNone/>
              <wp:docPr id="2" name="Text Box 2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71CE46" w14:textId="77030BEC" w:rsidR="00475D2D" w:rsidRPr="00475D2D" w:rsidRDefault="00475D2D" w:rsidP="00475D2D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75D2D"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8D220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: Sensitive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2671CE46" w14:textId="77030BEC" w:rsidR="00475D2D" w:rsidRPr="00475D2D" w:rsidRDefault="00475D2D" w:rsidP="00475D2D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75D2D"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77E4C" w14:textId="77777777" w:rsidR="001E2495" w:rsidRDefault="001E24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13D0C" w14:textId="1AEF104C" w:rsidR="005F6F02" w:rsidRPr="006A320D" w:rsidRDefault="00B87DE1" w:rsidP="00F36BED">
    <w:pPr>
      <w:spacing w:after="480"/>
      <w:rPr>
        <w:color w:val="000000" w:themeColor="text1"/>
      </w:rPr>
    </w:pPr>
    <w:r>
      <w:rPr>
        <w:noProof/>
        <w:color w:val="000000" w:themeColor="text1"/>
      </w:rPr>
      <w:drawing>
        <wp:anchor distT="0" distB="0" distL="114300" distR="114300" simplePos="0" relativeHeight="251658240" behindDoc="0" locked="0" layoutInCell="1" allowOverlap="1" wp14:anchorId="0A138DC5" wp14:editId="6050E56F">
          <wp:simplePos x="723900" y="266700"/>
          <wp:positionH relativeFrom="page">
            <wp:align>center</wp:align>
          </wp:positionH>
          <wp:positionV relativeFrom="page">
            <wp:align>top</wp:align>
          </wp:positionV>
          <wp:extent cx="7560000" cy="1512000"/>
          <wp:effectExtent l="0" t="0" r="3175" b="0"/>
          <wp:wrapTopAndBottom/>
          <wp:docPr id="7" name="Picture 7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10280"/>
    <w:multiLevelType w:val="hybridMultilevel"/>
    <w:tmpl w:val="B98CCC60"/>
    <w:lvl w:ilvl="0" w:tplc="68E6AEB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color w:val="auto"/>
      </w:rPr>
    </w:lvl>
    <w:lvl w:ilvl="1" w:tplc="2682AE3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CC91C09"/>
    <w:multiLevelType w:val="hybridMultilevel"/>
    <w:tmpl w:val="73E0EF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SystemFonts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BottomSpacing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IClassificationInHeader" w:val="False"/>
    <w:docVar w:name="SecurityClassificationInHeader" w:val="False"/>
    <w:docVar w:name="SecurityDLMInHeader" w:val="False"/>
  </w:docVars>
  <w:rsids>
    <w:rsidRoot w:val="00C5759B"/>
    <w:rsid w:val="000033C7"/>
    <w:rsid w:val="00010558"/>
    <w:rsid w:val="00010798"/>
    <w:rsid w:val="00013C16"/>
    <w:rsid w:val="00013F2F"/>
    <w:rsid w:val="0001654E"/>
    <w:rsid w:val="00021A7F"/>
    <w:rsid w:val="00025DD6"/>
    <w:rsid w:val="00026A89"/>
    <w:rsid w:val="00027057"/>
    <w:rsid w:val="00034132"/>
    <w:rsid w:val="00037FB0"/>
    <w:rsid w:val="00041147"/>
    <w:rsid w:val="00042267"/>
    <w:rsid w:val="00044BEE"/>
    <w:rsid w:val="00047C8D"/>
    <w:rsid w:val="00051E1A"/>
    <w:rsid w:val="00055DAE"/>
    <w:rsid w:val="000651BF"/>
    <w:rsid w:val="00070A45"/>
    <w:rsid w:val="00075E10"/>
    <w:rsid w:val="00076552"/>
    <w:rsid w:val="00081AC8"/>
    <w:rsid w:val="00082E2C"/>
    <w:rsid w:val="000833DC"/>
    <w:rsid w:val="00085559"/>
    <w:rsid w:val="00085A5D"/>
    <w:rsid w:val="00090786"/>
    <w:rsid w:val="00091697"/>
    <w:rsid w:val="000960DA"/>
    <w:rsid w:val="00096FAF"/>
    <w:rsid w:val="0009743D"/>
    <w:rsid w:val="000A3973"/>
    <w:rsid w:val="000A48F5"/>
    <w:rsid w:val="000A6DF7"/>
    <w:rsid w:val="000B17E0"/>
    <w:rsid w:val="000B1A77"/>
    <w:rsid w:val="000B2E76"/>
    <w:rsid w:val="000B3DF3"/>
    <w:rsid w:val="000C0374"/>
    <w:rsid w:val="000C3D77"/>
    <w:rsid w:val="000C4418"/>
    <w:rsid w:val="000C5A81"/>
    <w:rsid w:val="000C6F80"/>
    <w:rsid w:val="000D151B"/>
    <w:rsid w:val="000D2226"/>
    <w:rsid w:val="000D2875"/>
    <w:rsid w:val="000D2C72"/>
    <w:rsid w:val="000D41D7"/>
    <w:rsid w:val="000E70A5"/>
    <w:rsid w:val="000E7DF0"/>
    <w:rsid w:val="000F1871"/>
    <w:rsid w:val="000F2D8A"/>
    <w:rsid w:val="001042E0"/>
    <w:rsid w:val="001063F5"/>
    <w:rsid w:val="0011203A"/>
    <w:rsid w:val="001152D7"/>
    <w:rsid w:val="001246C9"/>
    <w:rsid w:val="00136105"/>
    <w:rsid w:val="00137869"/>
    <w:rsid w:val="00140A58"/>
    <w:rsid w:val="0014238E"/>
    <w:rsid w:val="00147370"/>
    <w:rsid w:val="00147C42"/>
    <w:rsid w:val="00147EDC"/>
    <w:rsid w:val="00151FA6"/>
    <w:rsid w:val="00157E71"/>
    <w:rsid w:val="00163C45"/>
    <w:rsid w:val="001734B5"/>
    <w:rsid w:val="00174D1E"/>
    <w:rsid w:val="001756C0"/>
    <w:rsid w:val="00176346"/>
    <w:rsid w:val="0018040F"/>
    <w:rsid w:val="00181118"/>
    <w:rsid w:val="00181BCD"/>
    <w:rsid w:val="00182D08"/>
    <w:rsid w:val="00187181"/>
    <w:rsid w:val="00195989"/>
    <w:rsid w:val="001A4742"/>
    <w:rsid w:val="001A6272"/>
    <w:rsid w:val="001B0984"/>
    <w:rsid w:val="001B30BB"/>
    <w:rsid w:val="001B3B1C"/>
    <w:rsid w:val="001C3461"/>
    <w:rsid w:val="001C5B10"/>
    <w:rsid w:val="001D3982"/>
    <w:rsid w:val="001E08B6"/>
    <w:rsid w:val="001E2495"/>
    <w:rsid w:val="001E28B8"/>
    <w:rsid w:val="001F4A93"/>
    <w:rsid w:val="001F4DE9"/>
    <w:rsid w:val="001F5439"/>
    <w:rsid w:val="001F6841"/>
    <w:rsid w:val="00200659"/>
    <w:rsid w:val="00200E36"/>
    <w:rsid w:val="002102C9"/>
    <w:rsid w:val="00212DA3"/>
    <w:rsid w:val="002140AA"/>
    <w:rsid w:val="00217B98"/>
    <w:rsid w:val="00225611"/>
    <w:rsid w:val="002316A7"/>
    <w:rsid w:val="00236113"/>
    <w:rsid w:val="00236225"/>
    <w:rsid w:val="00237A6A"/>
    <w:rsid w:val="00240E21"/>
    <w:rsid w:val="00242A32"/>
    <w:rsid w:val="00242B1A"/>
    <w:rsid w:val="002532CF"/>
    <w:rsid w:val="00254BB4"/>
    <w:rsid w:val="002554F2"/>
    <w:rsid w:val="0025699A"/>
    <w:rsid w:val="00261855"/>
    <w:rsid w:val="0026388D"/>
    <w:rsid w:val="00267A37"/>
    <w:rsid w:val="00283184"/>
    <w:rsid w:val="00294851"/>
    <w:rsid w:val="002A4987"/>
    <w:rsid w:val="002A498D"/>
    <w:rsid w:val="002B2DF5"/>
    <w:rsid w:val="002B4ACE"/>
    <w:rsid w:val="002B4EEE"/>
    <w:rsid w:val="002B4F26"/>
    <w:rsid w:val="002B692A"/>
    <w:rsid w:val="002B767E"/>
    <w:rsid w:val="002C735D"/>
    <w:rsid w:val="002D1ED5"/>
    <w:rsid w:val="002E1F4E"/>
    <w:rsid w:val="002F26A5"/>
    <w:rsid w:val="002F4A8D"/>
    <w:rsid w:val="002F767C"/>
    <w:rsid w:val="00303757"/>
    <w:rsid w:val="00315E32"/>
    <w:rsid w:val="00316DCB"/>
    <w:rsid w:val="00317A9B"/>
    <w:rsid w:val="0032041C"/>
    <w:rsid w:val="0032531B"/>
    <w:rsid w:val="0032741F"/>
    <w:rsid w:val="00330578"/>
    <w:rsid w:val="00330B35"/>
    <w:rsid w:val="00334474"/>
    <w:rsid w:val="00337317"/>
    <w:rsid w:val="00340C23"/>
    <w:rsid w:val="003413D6"/>
    <w:rsid w:val="0034460D"/>
    <w:rsid w:val="00344B15"/>
    <w:rsid w:val="0035341F"/>
    <w:rsid w:val="00353D9D"/>
    <w:rsid w:val="003558C9"/>
    <w:rsid w:val="00357A65"/>
    <w:rsid w:val="00370842"/>
    <w:rsid w:val="003715DB"/>
    <w:rsid w:val="003749E9"/>
    <w:rsid w:val="00375702"/>
    <w:rsid w:val="00375CB3"/>
    <w:rsid w:val="003777C7"/>
    <w:rsid w:val="003806A8"/>
    <w:rsid w:val="00380AF2"/>
    <w:rsid w:val="0038536C"/>
    <w:rsid w:val="00394610"/>
    <w:rsid w:val="003947EB"/>
    <w:rsid w:val="003A23FE"/>
    <w:rsid w:val="003A4D13"/>
    <w:rsid w:val="003A58B1"/>
    <w:rsid w:val="003A6402"/>
    <w:rsid w:val="003B131F"/>
    <w:rsid w:val="003B271C"/>
    <w:rsid w:val="003B5B5E"/>
    <w:rsid w:val="003C3A01"/>
    <w:rsid w:val="003E5F22"/>
    <w:rsid w:val="003E6AA2"/>
    <w:rsid w:val="003E720D"/>
    <w:rsid w:val="003E7F2C"/>
    <w:rsid w:val="003F2092"/>
    <w:rsid w:val="003F2AD8"/>
    <w:rsid w:val="003F62FD"/>
    <w:rsid w:val="003F693F"/>
    <w:rsid w:val="00400364"/>
    <w:rsid w:val="00413FCC"/>
    <w:rsid w:val="00414358"/>
    <w:rsid w:val="00417678"/>
    <w:rsid w:val="00431D69"/>
    <w:rsid w:val="00436184"/>
    <w:rsid w:val="00436CCC"/>
    <w:rsid w:val="00437881"/>
    <w:rsid w:val="00441FB0"/>
    <w:rsid w:val="00444ADC"/>
    <w:rsid w:val="00446E02"/>
    <w:rsid w:val="00450F65"/>
    <w:rsid w:val="0045392F"/>
    <w:rsid w:val="004625FE"/>
    <w:rsid w:val="00470849"/>
    <w:rsid w:val="0047347C"/>
    <w:rsid w:val="00475D2D"/>
    <w:rsid w:val="0048015D"/>
    <w:rsid w:val="00481E3C"/>
    <w:rsid w:val="00485E79"/>
    <w:rsid w:val="00492756"/>
    <w:rsid w:val="00495B98"/>
    <w:rsid w:val="00496EB7"/>
    <w:rsid w:val="004A1235"/>
    <w:rsid w:val="004A2CD5"/>
    <w:rsid w:val="004A5077"/>
    <w:rsid w:val="004D59F6"/>
    <w:rsid w:val="004F1EB7"/>
    <w:rsid w:val="004F3E37"/>
    <w:rsid w:val="004F6AD0"/>
    <w:rsid w:val="004F6BEB"/>
    <w:rsid w:val="005055BF"/>
    <w:rsid w:val="00505682"/>
    <w:rsid w:val="00517909"/>
    <w:rsid w:val="00521728"/>
    <w:rsid w:val="00521D21"/>
    <w:rsid w:val="005239DE"/>
    <w:rsid w:val="0052425A"/>
    <w:rsid w:val="005330F4"/>
    <w:rsid w:val="0053589D"/>
    <w:rsid w:val="00545A89"/>
    <w:rsid w:val="0055203B"/>
    <w:rsid w:val="00565075"/>
    <w:rsid w:val="005734A5"/>
    <w:rsid w:val="005755DF"/>
    <w:rsid w:val="005800E7"/>
    <w:rsid w:val="0058454C"/>
    <w:rsid w:val="00585D8B"/>
    <w:rsid w:val="005940A8"/>
    <w:rsid w:val="005A2EED"/>
    <w:rsid w:val="005C0B72"/>
    <w:rsid w:val="005D3314"/>
    <w:rsid w:val="005D3FFF"/>
    <w:rsid w:val="005D7522"/>
    <w:rsid w:val="005E0B43"/>
    <w:rsid w:val="005F01D5"/>
    <w:rsid w:val="005F5A05"/>
    <w:rsid w:val="005F6441"/>
    <w:rsid w:val="005F6F02"/>
    <w:rsid w:val="005F6F7D"/>
    <w:rsid w:val="0060255D"/>
    <w:rsid w:val="0060366D"/>
    <w:rsid w:val="0060523E"/>
    <w:rsid w:val="00607D24"/>
    <w:rsid w:val="00610879"/>
    <w:rsid w:val="0061757F"/>
    <w:rsid w:val="00620008"/>
    <w:rsid w:val="0062299A"/>
    <w:rsid w:val="00626394"/>
    <w:rsid w:val="00627665"/>
    <w:rsid w:val="00630CC7"/>
    <w:rsid w:val="0064088A"/>
    <w:rsid w:val="00640F23"/>
    <w:rsid w:val="00641244"/>
    <w:rsid w:val="00644556"/>
    <w:rsid w:val="006466B1"/>
    <w:rsid w:val="00655591"/>
    <w:rsid w:val="006608D2"/>
    <w:rsid w:val="00664269"/>
    <w:rsid w:val="006741A9"/>
    <w:rsid w:val="00686891"/>
    <w:rsid w:val="006877D5"/>
    <w:rsid w:val="0069358D"/>
    <w:rsid w:val="006A0B8C"/>
    <w:rsid w:val="006A1A29"/>
    <w:rsid w:val="006A320D"/>
    <w:rsid w:val="006A3D37"/>
    <w:rsid w:val="006A3F55"/>
    <w:rsid w:val="006A446E"/>
    <w:rsid w:val="006A5C48"/>
    <w:rsid w:val="006A6D54"/>
    <w:rsid w:val="006B2510"/>
    <w:rsid w:val="006D5064"/>
    <w:rsid w:val="006E26CA"/>
    <w:rsid w:val="006E5051"/>
    <w:rsid w:val="006E7380"/>
    <w:rsid w:val="006E7E4A"/>
    <w:rsid w:val="006F2190"/>
    <w:rsid w:val="006F21C1"/>
    <w:rsid w:val="006F5322"/>
    <w:rsid w:val="006F790F"/>
    <w:rsid w:val="00700461"/>
    <w:rsid w:val="00710CD0"/>
    <w:rsid w:val="0071320D"/>
    <w:rsid w:val="00714C87"/>
    <w:rsid w:val="007177D1"/>
    <w:rsid w:val="007178E6"/>
    <w:rsid w:val="007232C5"/>
    <w:rsid w:val="007349BB"/>
    <w:rsid w:val="00743A3E"/>
    <w:rsid w:val="0075493F"/>
    <w:rsid w:val="007554AB"/>
    <w:rsid w:val="00755ACE"/>
    <w:rsid w:val="00766A1C"/>
    <w:rsid w:val="007758C2"/>
    <w:rsid w:val="007816A2"/>
    <w:rsid w:val="00793454"/>
    <w:rsid w:val="007B3E46"/>
    <w:rsid w:val="007B48F5"/>
    <w:rsid w:val="007B6566"/>
    <w:rsid w:val="007C55EF"/>
    <w:rsid w:val="007D0E9E"/>
    <w:rsid w:val="007D3D91"/>
    <w:rsid w:val="007D4865"/>
    <w:rsid w:val="007E2B62"/>
    <w:rsid w:val="007F1A45"/>
    <w:rsid w:val="008075C6"/>
    <w:rsid w:val="00811EC2"/>
    <w:rsid w:val="00817976"/>
    <w:rsid w:val="0082658A"/>
    <w:rsid w:val="008300EB"/>
    <w:rsid w:val="00832070"/>
    <w:rsid w:val="00834D75"/>
    <w:rsid w:val="00847466"/>
    <w:rsid w:val="00850FA8"/>
    <w:rsid w:val="008541B6"/>
    <w:rsid w:val="00857F46"/>
    <w:rsid w:val="008636B3"/>
    <w:rsid w:val="00865536"/>
    <w:rsid w:val="00872434"/>
    <w:rsid w:val="00873024"/>
    <w:rsid w:val="008741F9"/>
    <w:rsid w:val="0087539D"/>
    <w:rsid w:val="00875431"/>
    <w:rsid w:val="0088282C"/>
    <w:rsid w:val="00884BA9"/>
    <w:rsid w:val="00884D71"/>
    <w:rsid w:val="00891D54"/>
    <w:rsid w:val="00891E5A"/>
    <w:rsid w:val="00893C05"/>
    <w:rsid w:val="00894A8F"/>
    <w:rsid w:val="00895901"/>
    <w:rsid w:val="008A644B"/>
    <w:rsid w:val="008B1BAE"/>
    <w:rsid w:val="008C7841"/>
    <w:rsid w:val="008D1DEE"/>
    <w:rsid w:val="008D2000"/>
    <w:rsid w:val="008D25F6"/>
    <w:rsid w:val="008D4282"/>
    <w:rsid w:val="008D602D"/>
    <w:rsid w:val="008D71D1"/>
    <w:rsid w:val="008F5DDD"/>
    <w:rsid w:val="00900E8C"/>
    <w:rsid w:val="009068E5"/>
    <w:rsid w:val="00911145"/>
    <w:rsid w:val="0092186E"/>
    <w:rsid w:val="009253B0"/>
    <w:rsid w:val="00930DAD"/>
    <w:rsid w:val="00930FDF"/>
    <w:rsid w:val="009352E3"/>
    <w:rsid w:val="009430C4"/>
    <w:rsid w:val="009464BB"/>
    <w:rsid w:val="00966361"/>
    <w:rsid w:val="00976D14"/>
    <w:rsid w:val="0098034D"/>
    <w:rsid w:val="00982FEA"/>
    <w:rsid w:val="009845A9"/>
    <w:rsid w:val="0098490B"/>
    <w:rsid w:val="0098707D"/>
    <w:rsid w:val="00987413"/>
    <w:rsid w:val="009902DE"/>
    <w:rsid w:val="00994C2B"/>
    <w:rsid w:val="009A2FBB"/>
    <w:rsid w:val="009B1509"/>
    <w:rsid w:val="009B6D10"/>
    <w:rsid w:val="009D1C16"/>
    <w:rsid w:val="009E2CC5"/>
    <w:rsid w:val="009E32E7"/>
    <w:rsid w:val="009E33E6"/>
    <w:rsid w:val="009E49E4"/>
    <w:rsid w:val="009F54A4"/>
    <w:rsid w:val="009F5872"/>
    <w:rsid w:val="00A01F37"/>
    <w:rsid w:val="00A031B7"/>
    <w:rsid w:val="00A116AE"/>
    <w:rsid w:val="00A13F1C"/>
    <w:rsid w:val="00A14E5B"/>
    <w:rsid w:val="00A221DD"/>
    <w:rsid w:val="00A22766"/>
    <w:rsid w:val="00A23691"/>
    <w:rsid w:val="00A23E22"/>
    <w:rsid w:val="00A24156"/>
    <w:rsid w:val="00A257CD"/>
    <w:rsid w:val="00A26306"/>
    <w:rsid w:val="00A2751A"/>
    <w:rsid w:val="00A2787D"/>
    <w:rsid w:val="00A27883"/>
    <w:rsid w:val="00A30429"/>
    <w:rsid w:val="00A31567"/>
    <w:rsid w:val="00A35CE8"/>
    <w:rsid w:val="00A36607"/>
    <w:rsid w:val="00A403DB"/>
    <w:rsid w:val="00A4080C"/>
    <w:rsid w:val="00A41B5B"/>
    <w:rsid w:val="00A41CDA"/>
    <w:rsid w:val="00A41E7D"/>
    <w:rsid w:val="00A450E2"/>
    <w:rsid w:val="00A4619D"/>
    <w:rsid w:val="00A52AB2"/>
    <w:rsid w:val="00A65D9E"/>
    <w:rsid w:val="00A803C8"/>
    <w:rsid w:val="00A84E3B"/>
    <w:rsid w:val="00A86E34"/>
    <w:rsid w:val="00A87BC3"/>
    <w:rsid w:val="00A90639"/>
    <w:rsid w:val="00A9236A"/>
    <w:rsid w:val="00A92F3C"/>
    <w:rsid w:val="00A9418E"/>
    <w:rsid w:val="00AA6A24"/>
    <w:rsid w:val="00AA7871"/>
    <w:rsid w:val="00AC6E9E"/>
    <w:rsid w:val="00AD44A4"/>
    <w:rsid w:val="00AE2515"/>
    <w:rsid w:val="00AE30D9"/>
    <w:rsid w:val="00AF0058"/>
    <w:rsid w:val="00AF01EC"/>
    <w:rsid w:val="00AF2DE7"/>
    <w:rsid w:val="00AF6D96"/>
    <w:rsid w:val="00B02DE5"/>
    <w:rsid w:val="00B112A0"/>
    <w:rsid w:val="00B12939"/>
    <w:rsid w:val="00B225F2"/>
    <w:rsid w:val="00B22BD8"/>
    <w:rsid w:val="00B240BC"/>
    <w:rsid w:val="00B25E92"/>
    <w:rsid w:val="00B30241"/>
    <w:rsid w:val="00B30A74"/>
    <w:rsid w:val="00B315A0"/>
    <w:rsid w:val="00B31C87"/>
    <w:rsid w:val="00B3606B"/>
    <w:rsid w:val="00B37514"/>
    <w:rsid w:val="00B4198D"/>
    <w:rsid w:val="00B41C19"/>
    <w:rsid w:val="00B457FE"/>
    <w:rsid w:val="00B503D2"/>
    <w:rsid w:val="00B50B27"/>
    <w:rsid w:val="00B50BDE"/>
    <w:rsid w:val="00B523DF"/>
    <w:rsid w:val="00B62A37"/>
    <w:rsid w:val="00B6390A"/>
    <w:rsid w:val="00B640A0"/>
    <w:rsid w:val="00B76DEB"/>
    <w:rsid w:val="00B8256A"/>
    <w:rsid w:val="00B83923"/>
    <w:rsid w:val="00B84E7B"/>
    <w:rsid w:val="00B866EC"/>
    <w:rsid w:val="00B86B14"/>
    <w:rsid w:val="00B87DE1"/>
    <w:rsid w:val="00BA15E5"/>
    <w:rsid w:val="00BA69A4"/>
    <w:rsid w:val="00BA6AB0"/>
    <w:rsid w:val="00BA7B9E"/>
    <w:rsid w:val="00BB4FA0"/>
    <w:rsid w:val="00BB721C"/>
    <w:rsid w:val="00BC1AAC"/>
    <w:rsid w:val="00BD6BDD"/>
    <w:rsid w:val="00BE089D"/>
    <w:rsid w:val="00BE3F6C"/>
    <w:rsid w:val="00BE753D"/>
    <w:rsid w:val="00BF7C65"/>
    <w:rsid w:val="00C0176C"/>
    <w:rsid w:val="00C03111"/>
    <w:rsid w:val="00C06B4C"/>
    <w:rsid w:val="00C07BFD"/>
    <w:rsid w:val="00C22F0D"/>
    <w:rsid w:val="00C24F26"/>
    <w:rsid w:val="00C3196F"/>
    <w:rsid w:val="00C31AFB"/>
    <w:rsid w:val="00C40089"/>
    <w:rsid w:val="00C4569F"/>
    <w:rsid w:val="00C478F1"/>
    <w:rsid w:val="00C5140B"/>
    <w:rsid w:val="00C51785"/>
    <w:rsid w:val="00C5759B"/>
    <w:rsid w:val="00C57F27"/>
    <w:rsid w:val="00C64DF2"/>
    <w:rsid w:val="00C7381D"/>
    <w:rsid w:val="00C773AA"/>
    <w:rsid w:val="00C804D3"/>
    <w:rsid w:val="00C82F58"/>
    <w:rsid w:val="00C840A9"/>
    <w:rsid w:val="00C8731A"/>
    <w:rsid w:val="00C9071F"/>
    <w:rsid w:val="00CA030C"/>
    <w:rsid w:val="00CA2502"/>
    <w:rsid w:val="00CA430C"/>
    <w:rsid w:val="00CA62A6"/>
    <w:rsid w:val="00CB594F"/>
    <w:rsid w:val="00CC2FFD"/>
    <w:rsid w:val="00CC46EF"/>
    <w:rsid w:val="00CD1F12"/>
    <w:rsid w:val="00CD497E"/>
    <w:rsid w:val="00CD4B18"/>
    <w:rsid w:val="00CD57BE"/>
    <w:rsid w:val="00CE1609"/>
    <w:rsid w:val="00CF175F"/>
    <w:rsid w:val="00CF3A5C"/>
    <w:rsid w:val="00CF5533"/>
    <w:rsid w:val="00CF624C"/>
    <w:rsid w:val="00CF64A6"/>
    <w:rsid w:val="00CF7296"/>
    <w:rsid w:val="00D04D60"/>
    <w:rsid w:val="00D25221"/>
    <w:rsid w:val="00D31291"/>
    <w:rsid w:val="00D33064"/>
    <w:rsid w:val="00D51926"/>
    <w:rsid w:val="00D5274E"/>
    <w:rsid w:val="00D534F8"/>
    <w:rsid w:val="00D55B06"/>
    <w:rsid w:val="00D63367"/>
    <w:rsid w:val="00D63E37"/>
    <w:rsid w:val="00D71C09"/>
    <w:rsid w:val="00D77025"/>
    <w:rsid w:val="00D8030E"/>
    <w:rsid w:val="00D81EA6"/>
    <w:rsid w:val="00D86EA9"/>
    <w:rsid w:val="00D8706D"/>
    <w:rsid w:val="00D96326"/>
    <w:rsid w:val="00DA183E"/>
    <w:rsid w:val="00DA19C1"/>
    <w:rsid w:val="00DA54C5"/>
    <w:rsid w:val="00DA57F9"/>
    <w:rsid w:val="00DB38E8"/>
    <w:rsid w:val="00DB7765"/>
    <w:rsid w:val="00DC76B2"/>
    <w:rsid w:val="00DD0099"/>
    <w:rsid w:val="00DD0534"/>
    <w:rsid w:val="00DE2F37"/>
    <w:rsid w:val="00DF6977"/>
    <w:rsid w:val="00E00D27"/>
    <w:rsid w:val="00E033A4"/>
    <w:rsid w:val="00E117E4"/>
    <w:rsid w:val="00E120FE"/>
    <w:rsid w:val="00E12DF4"/>
    <w:rsid w:val="00E14E5C"/>
    <w:rsid w:val="00E217CF"/>
    <w:rsid w:val="00E25E23"/>
    <w:rsid w:val="00E26A77"/>
    <w:rsid w:val="00E26DEE"/>
    <w:rsid w:val="00E2709D"/>
    <w:rsid w:val="00E33B19"/>
    <w:rsid w:val="00E34135"/>
    <w:rsid w:val="00E36F37"/>
    <w:rsid w:val="00E459A0"/>
    <w:rsid w:val="00E50F68"/>
    <w:rsid w:val="00E5182D"/>
    <w:rsid w:val="00E51C9D"/>
    <w:rsid w:val="00E51F58"/>
    <w:rsid w:val="00E55831"/>
    <w:rsid w:val="00E56051"/>
    <w:rsid w:val="00E5741F"/>
    <w:rsid w:val="00E601ED"/>
    <w:rsid w:val="00E6447A"/>
    <w:rsid w:val="00E7199E"/>
    <w:rsid w:val="00E76DD9"/>
    <w:rsid w:val="00E90177"/>
    <w:rsid w:val="00EA64CE"/>
    <w:rsid w:val="00EA7C39"/>
    <w:rsid w:val="00EB0895"/>
    <w:rsid w:val="00EB15B9"/>
    <w:rsid w:val="00EB208D"/>
    <w:rsid w:val="00EB239D"/>
    <w:rsid w:val="00EB366B"/>
    <w:rsid w:val="00EB4487"/>
    <w:rsid w:val="00EB5FC7"/>
    <w:rsid w:val="00EB76FE"/>
    <w:rsid w:val="00EC098B"/>
    <w:rsid w:val="00EC2956"/>
    <w:rsid w:val="00EC5544"/>
    <w:rsid w:val="00EC6EE5"/>
    <w:rsid w:val="00EC7083"/>
    <w:rsid w:val="00EC7128"/>
    <w:rsid w:val="00EE20B0"/>
    <w:rsid w:val="00EE594F"/>
    <w:rsid w:val="00EF0EC2"/>
    <w:rsid w:val="00EF2BE4"/>
    <w:rsid w:val="00EF4626"/>
    <w:rsid w:val="00EF4F1D"/>
    <w:rsid w:val="00EF5AAD"/>
    <w:rsid w:val="00EF6365"/>
    <w:rsid w:val="00F1277D"/>
    <w:rsid w:val="00F200AC"/>
    <w:rsid w:val="00F222D3"/>
    <w:rsid w:val="00F241D5"/>
    <w:rsid w:val="00F324D3"/>
    <w:rsid w:val="00F34410"/>
    <w:rsid w:val="00F36BED"/>
    <w:rsid w:val="00F36FE7"/>
    <w:rsid w:val="00F40D66"/>
    <w:rsid w:val="00F4455F"/>
    <w:rsid w:val="00F4562A"/>
    <w:rsid w:val="00F5164B"/>
    <w:rsid w:val="00F55408"/>
    <w:rsid w:val="00F55EEB"/>
    <w:rsid w:val="00F561F4"/>
    <w:rsid w:val="00F635F6"/>
    <w:rsid w:val="00F770CC"/>
    <w:rsid w:val="00F814D5"/>
    <w:rsid w:val="00F86342"/>
    <w:rsid w:val="00F95DF3"/>
    <w:rsid w:val="00FA57DE"/>
    <w:rsid w:val="00FB44D5"/>
    <w:rsid w:val="00FB7A5D"/>
    <w:rsid w:val="00FC2331"/>
    <w:rsid w:val="00FC413C"/>
    <w:rsid w:val="00FD15B8"/>
    <w:rsid w:val="00FD1DFD"/>
    <w:rsid w:val="00FD53CC"/>
    <w:rsid w:val="00FD5963"/>
    <w:rsid w:val="00FE0085"/>
    <w:rsid w:val="00FE0B3A"/>
    <w:rsid w:val="00FF0172"/>
    <w:rsid w:val="00FF2B91"/>
    <w:rsid w:val="00FF31B3"/>
    <w:rsid w:val="00FF7EB9"/>
    <w:rsid w:val="01F602C7"/>
    <w:rsid w:val="03DFF0A3"/>
    <w:rsid w:val="05CD6E3D"/>
    <w:rsid w:val="0A9E4D46"/>
    <w:rsid w:val="0C7C6ACE"/>
    <w:rsid w:val="10B5DEE9"/>
    <w:rsid w:val="12CAC70F"/>
    <w:rsid w:val="137F2876"/>
    <w:rsid w:val="16830967"/>
    <w:rsid w:val="17A43FE6"/>
    <w:rsid w:val="180AB15D"/>
    <w:rsid w:val="19777C0B"/>
    <w:rsid w:val="19E2B1B0"/>
    <w:rsid w:val="1ADFD903"/>
    <w:rsid w:val="1CF6741E"/>
    <w:rsid w:val="1D19AD9F"/>
    <w:rsid w:val="1D8E5E19"/>
    <w:rsid w:val="1FD07DD1"/>
    <w:rsid w:val="211B35F5"/>
    <w:rsid w:val="22E7596E"/>
    <w:rsid w:val="267D95A9"/>
    <w:rsid w:val="27DB6287"/>
    <w:rsid w:val="29D71D46"/>
    <w:rsid w:val="29E60A8F"/>
    <w:rsid w:val="2CC1AC56"/>
    <w:rsid w:val="2D8B2668"/>
    <w:rsid w:val="2DA95D4D"/>
    <w:rsid w:val="2E7F7ADA"/>
    <w:rsid w:val="316898AB"/>
    <w:rsid w:val="323BF8B8"/>
    <w:rsid w:val="32477581"/>
    <w:rsid w:val="35168014"/>
    <w:rsid w:val="3799BC20"/>
    <w:rsid w:val="39495470"/>
    <w:rsid w:val="3AAC8633"/>
    <w:rsid w:val="3E8D68E7"/>
    <w:rsid w:val="3FF89862"/>
    <w:rsid w:val="45FD78A2"/>
    <w:rsid w:val="475189DA"/>
    <w:rsid w:val="485905F8"/>
    <w:rsid w:val="4A11CF5D"/>
    <w:rsid w:val="4A4FE262"/>
    <w:rsid w:val="4D930C67"/>
    <w:rsid w:val="4F6ECBC8"/>
    <w:rsid w:val="53337A3A"/>
    <w:rsid w:val="5670F13E"/>
    <w:rsid w:val="56CFA709"/>
    <w:rsid w:val="5E3B95A9"/>
    <w:rsid w:val="5EB239E7"/>
    <w:rsid w:val="617D0297"/>
    <w:rsid w:val="618E3088"/>
    <w:rsid w:val="6276EBA5"/>
    <w:rsid w:val="62DAC3BE"/>
    <w:rsid w:val="63ED8ADB"/>
    <w:rsid w:val="68FFDFFF"/>
    <w:rsid w:val="6A039FBD"/>
    <w:rsid w:val="6A343402"/>
    <w:rsid w:val="6B83AFDA"/>
    <w:rsid w:val="6D5C3AB1"/>
    <w:rsid w:val="6D62A49F"/>
    <w:rsid w:val="70D328A3"/>
    <w:rsid w:val="745D948D"/>
    <w:rsid w:val="7471D3C1"/>
    <w:rsid w:val="77F43DC4"/>
    <w:rsid w:val="78E0816B"/>
    <w:rsid w:val="79B1AE98"/>
    <w:rsid w:val="7B48678D"/>
    <w:rsid w:val="7C310EA2"/>
    <w:rsid w:val="7C8D7ABC"/>
    <w:rsid w:val="7CF9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3165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2A0"/>
    <w:pPr>
      <w:spacing w:after="240"/>
    </w:pPr>
    <w:rPr>
      <w:rFonts w:ascii="Calibri" w:hAnsi="Calibri"/>
      <w:sz w:val="22"/>
    </w:rPr>
  </w:style>
  <w:style w:type="paragraph" w:styleId="Heading1">
    <w:name w:val="heading 1"/>
    <w:basedOn w:val="Normal"/>
    <w:next w:val="Normal"/>
    <w:qFormat/>
    <w:rsid w:val="00E51C9D"/>
    <w:pPr>
      <w:keepNext/>
      <w:spacing w:before="240" w:after="36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E51C9D"/>
    <w:pPr>
      <w:keepNext/>
      <w:spacing w:before="12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E51C9D"/>
    <w:pPr>
      <w:keepNext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51C9D"/>
    <w:pPr>
      <w:keepNext/>
      <w:outlineLvl w:val="3"/>
    </w:pPr>
    <w:rPr>
      <w:i/>
      <w:szCs w:val="24"/>
    </w:rPr>
  </w:style>
  <w:style w:type="paragraph" w:styleId="Heading5">
    <w:name w:val="heading 5"/>
    <w:basedOn w:val="Normal"/>
    <w:next w:val="Normal"/>
    <w:qFormat/>
    <w:rsid w:val="006A1A29"/>
    <w:pPr>
      <w:spacing w:before="24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A1A29"/>
    <w:pPr>
      <w:spacing w:before="24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6A1A29"/>
    <w:pPr>
      <w:keepNext/>
      <w:tabs>
        <w:tab w:val="right" w:pos="2835"/>
        <w:tab w:val="center" w:pos="4820"/>
      </w:tabs>
      <w:spacing w:after="0"/>
      <w:outlineLvl w:val="6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6A1A29"/>
    <w:pPr>
      <w:framePr w:w="7920" w:h="1980" w:hRule="exact" w:hSpace="180" w:wrap="auto" w:hAnchor="page" w:xAlign="center" w:yAlign="bottom"/>
      <w:spacing w:after="0"/>
      <w:ind w:left="2880"/>
    </w:pPr>
  </w:style>
  <w:style w:type="paragraph" w:styleId="Footer">
    <w:name w:val="footer"/>
    <w:basedOn w:val="Normal"/>
    <w:rsid w:val="006A1A29"/>
    <w:pPr>
      <w:tabs>
        <w:tab w:val="center" w:pos="4819"/>
        <w:tab w:val="right" w:pos="9639"/>
      </w:tabs>
    </w:pPr>
  </w:style>
  <w:style w:type="paragraph" w:styleId="Header">
    <w:name w:val="header"/>
    <w:basedOn w:val="Normal"/>
    <w:link w:val="HeaderChar"/>
    <w:uiPriority w:val="99"/>
    <w:rsid w:val="006A1A29"/>
    <w:pPr>
      <w:tabs>
        <w:tab w:val="center" w:pos="4819"/>
        <w:tab w:val="right" w:pos="9639"/>
      </w:tabs>
    </w:pPr>
    <w:rPr>
      <w:b/>
    </w:rPr>
  </w:style>
  <w:style w:type="paragraph" w:styleId="MacroText">
    <w:name w:val="macro"/>
    <w:semiHidden/>
    <w:rsid w:val="006A1A2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60"/>
    </w:pPr>
    <w:rPr>
      <w:rFonts w:ascii="Arial" w:hAnsi="Arial"/>
      <w:kern w:val="16"/>
    </w:rPr>
  </w:style>
  <w:style w:type="paragraph" w:styleId="NormalIndent">
    <w:name w:val="Normal Indent"/>
    <w:basedOn w:val="Normal"/>
    <w:rsid w:val="006A1A29"/>
    <w:pPr>
      <w:ind w:left="720"/>
    </w:pPr>
  </w:style>
  <w:style w:type="paragraph" w:customStyle="1" w:styleId="SinglePara">
    <w:name w:val="Single Para"/>
    <w:basedOn w:val="Normal"/>
    <w:rsid w:val="006A1A29"/>
    <w:pPr>
      <w:spacing w:after="0"/>
    </w:pPr>
  </w:style>
  <w:style w:type="paragraph" w:customStyle="1" w:styleId="Footerbase">
    <w:name w:val="Footerbase"/>
    <w:link w:val="FooterbaseChar"/>
    <w:rsid w:val="006A1A29"/>
    <w:pPr>
      <w:tabs>
        <w:tab w:val="center" w:pos="4820"/>
      </w:tabs>
    </w:pPr>
    <w:rPr>
      <w:b/>
      <w:sz w:val="16"/>
    </w:rPr>
  </w:style>
  <w:style w:type="paragraph" w:customStyle="1" w:styleId="FooterAddress">
    <w:name w:val="FooterAddress"/>
    <w:basedOn w:val="Footerbase"/>
    <w:next w:val="Normal"/>
    <w:link w:val="FooterAddressChar"/>
    <w:rsid w:val="004A5077"/>
    <w:pPr>
      <w:jc w:val="right"/>
    </w:pPr>
    <w:rPr>
      <w:rFonts w:asciiTheme="minorHAnsi" w:hAnsiTheme="minorHAnsi"/>
      <w:b w:val="0"/>
      <w:color w:val="2C384A" w:themeColor="accent1"/>
    </w:rPr>
  </w:style>
  <w:style w:type="paragraph" w:customStyle="1" w:styleId="FooterCopies">
    <w:name w:val="FooterCopies"/>
    <w:basedOn w:val="Footer"/>
    <w:rsid w:val="006A1A29"/>
    <w:pPr>
      <w:tabs>
        <w:tab w:val="clear" w:pos="4819"/>
        <w:tab w:val="clear" w:pos="9639"/>
      </w:tabs>
      <w:spacing w:after="120"/>
    </w:pPr>
    <w:rPr>
      <w:vanish/>
      <w:sz w:val="20"/>
    </w:rPr>
  </w:style>
  <w:style w:type="paragraph" w:customStyle="1" w:styleId="FooterFilename">
    <w:name w:val="FooterFilename"/>
    <w:basedOn w:val="Footerbase"/>
    <w:next w:val="FooterAddress"/>
    <w:rsid w:val="00021A7F"/>
    <w:pPr>
      <w:widowControl w:val="0"/>
      <w:spacing w:before="120" w:after="120"/>
    </w:pPr>
    <w:rPr>
      <w:b w:val="0"/>
      <w:vanish/>
      <w:sz w:val="12"/>
    </w:rPr>
  </w:style>
  <w:style w:type="paragraph" w:customStyle="1" w:styleId="Graphic">
    <w:name w:val="Graphic"/>
    <w:basedOn w:val="Normal"/>
    <w:next w:val="Normal"/>
    <w:rsid w:val="006A1A29"/>
    <w:pPr>
      <w:jc w:val="center"/>
    </w:pPr>
  </w:style>
  <w:style w:type="character" w:styleId="Hyperlink">
    <w:name w:val="Hyperlink"/>
    <w:basedOn w:val="DefaultParagraphFont"/>
    <w:rsid w:val="0004114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57F4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46"/>
    <w:rPr>
      <w:rFonts w:ascii="Tahoma" w:hAnsi="Tahoma" w:cs="Tahoma"/>
      <w:sz w:val="16"/>
      <w:szCs w:val="16"/>
    </w:rPr>
  </w:style>
  <w:style w:type="character" w:customStyle="1" w:styleId="FooterbaseChar">
    <w:name w:val="Footerbase Char"/>
    <w:basedOn w:val="DefaultParagraphFont"/>
    <w:link w:val="Footerbase"/>
    <w:rsid w:val="000C3D77"/>
    <w:rPr>
      <w:b/>
      <w:sz w:val="16"/>
    </w:rPr>
  </w:style>
  <w:style w:type="character" w:customStyle="1" w:styleId="FooterAddressChar">
    <w:name w:val="FooterAddress Char"/>
    <w:basedOn w:val="FooterbaseChar"/>
    <w:link w:val="FooterAddress"/>
    <w:rsid w:val="004A5077"/>
    <w:rPr>
      <w:rFonts w:asciiTheme="minorHAnsi" w:hAnsiTheme="minorHAnsi"/>
      <w:b w:val="0"/>
      <w:color w:val="2C384A" w:themeColor="accent1"/>
      <w:sz w:val="16"/>
    </w:rPr>
  </w:style>
  <w:style w:type="paragraph" w:customStyle="1" w:styleId="SecurityClassificationHeader">
    <w:name w:val="Security Classification Header"/>
    <w:link w:val="SecurityClassificationHeaderChar"/>
    <w:rsid w:val="002B692A"/>
    <w:pPr>
      <w:spacing w:before="240" w:after="60"/>
      <w:jc w:val="center"/>
    </w:pPr>
    <w:rPr>
      <w:rFonts w:ascii="Calibri" w:hAnsi="Calibri"/>
      <w:b/>
      <w:caps/>
      <w:color w:val="000000" w:themeColor="text1"/>
      <w:sz w:val="24"/>
    </w:rPr>
  </w:style>
  <w:style w:type="character" w:customStyle="1" w:styleId="SecurityClassificationHeaderChar">
    <w:name w:val="Security Classification Header Char"/>
    <w:basedOn w:val="DefaultParagraphFont"/>
    <w:link w:val="SecurityClassificationHeader"/>
    <w:rsid w:val="002B692A"/>
    <w:rPr>
      <w:rFonts w:ascii="Calibri" w:hAnsi="Calibri"/>
      <w:b/>
      <w:caps/>
      <w:color w:val="000000" w:themeColor="text1"/>
      <w:sz w:val="24"/>
    </w:rPr>
  </w:style>
  <w:style w:type="paragraph" w:customStyle="1" w:styleId="SecurityClassificationFooter">
    <w:name w:val="Security Classification Footer"/>
    <w:link w:val="SecurityClassificationFooterChar"/>
    <w:rsid w:val="002B692A"/>
    <w:pPr>
      <w:spacing w:before="60" w:after="240"/>
      <w:jc w:val="center"/>
    </w:pPr>
    <w:rPr>
      <w:rFonts w:ascii="Calibri" w:hAnsi="Calibri"/>
      <w:b/>
      <w:caps/>
      <w:color w:val="000000" w:themeColor="text1"/>
      <w:sz w:val="24"/>
    </w:rPr>
  </w:style>
  <w:style w:type="character" w:customStyle="1" w:styleId="SecurityClassificationFooterChar">
    <w:name w:val="Security Classification Footer Char"/>
    <w:basedOn w:val="DefaultParagraphFont"/>
    <w:link w:val="SecurityClassificationFooter"/>
    <w:rsid w:val="002B692A"/>
    <w:rPr>
      <w:rFonts w:ascii="Calibri" w:hAnsi="Calibri"/>
      <w:b/>
      <w:caps/>
      <w:color w:val="000000" w:themeColor="text1"/>
      <w:sz w:val="24"/>
    </w:rPr>
  </w:style>
  <w:style w:type="paragraph" w:customStyle="1" w:styleId="Address">
    <w:name w:val="Address"/>
    <w:basedOn w:val="Normal"/>
    <w:qFormat/>
    <w:rsid w:val="00A36607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A36607"/>
    <w:rPr>
      <w:color w:val="808080"/>
    </w:rPr>
  </w:style>
  <w:style w:type="paragraph" w:styleId="ListParagraph">
    <w:name w:val="List Paragraph"/>
    <w:basedOn w:val="Normal"/>
    <w:uiPriority w:val="34"/>
    <w:qFormat/>
    <w:rsid w:val="00C575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759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F5A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5A05"/>
    <w:pPr>
      <w:spacing w:after="160"/>
    </w:pPr>
    <w:rPr>
      <w:rFonts w:asciiTheme="minorHAnsi" w:eastAsiaTheme="minorHAnsi" w:hAnsiTheme="minorHAnsi" w:cstheme="minorBidi"/>
      <w:kern w:val="2"/>
      <w:sz w:val="20"/>
      <w:lang w:eastAsia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5A05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ui-provider">
    <w:name w:val="ui-provider"/>
    <w:basedOn w:val="DefaultParagraphFont"/>
    <w:rsid w:val="00EB4487"/>
    <w:rPr>
      <w:rFonts w:ascii="Times New Roman" w:hAnsi="Times New Roman" w:cs="Times New Roman" w:hint="default"/>
    </w:rPr>
  </w:style>
  <w:style w:type="paragraph" w:styleId="Revision">
    <w:name w:val="Revision"/>
    <w:hidden/>
    <w:uiPriority w:val="99"/>
    <w:semiHidden/>
    <w:rsid w:val="00294851"/>
    <w:rPr>
      <w:rFonts w:ascii="Calibri" w:hAnsi="Calibri"/>
      <w:sz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F0EC2"/>
    <w:rPr>
      <w:rFonts w:ascii="Calibri" w:hAnsi="Calibri"/>
      <w:b/>
      <w:sz w:val="22"/>
    </w:rPr>
  </w:style>
  <w:style w:type="paragraph" w:styleId="BodyText">
    <w:name w:val="Body Text"/>
    <w:basedOn w:val="Normal"/>
    <w:link w:val="BodyTextChar"/>
    <w:uiPriority w:val="99"/>
    <w:rsid w:val="00EF0EC2"/>
    <w:pPr>
      <w:spacing w:before="240" w:after="0" w:line="300" w:lineRule="exact"/>
      <w:jc w:val="both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F0EC2"/>
    <w:rPr>
      <w:sz w:val="24"/>
    </w:rPr>
  </w:style>
  <w:style w:type="table" w:customStyle="1" w:styleId="LightGrid-Accent21">
    <w:name w:val="Light Grid - Accent 21"/>
    <w:basedOn w:val="TableNormal"/>
    <w:next w:val="LightGrid-Accent2"/>
    <w:uiPriority w:val="62"/>
    <w:rsid w:val="00E601ED"/>
    <w:rPr>
      <w:rFonts w:asciiTheme="minorHAnsi" w:hAnsiTheme="minorHAnsi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Bahnschrift Light SemiCondensed" w:eastAsia="Times New Roman" w:hAnsi="Bahnschrift Light SemiCondensed" w:cs="Times New Roman"/>
        <w:b/>
        <w:bCs/>
      </w:rPr>
      <w:tblPr/>
      <w:tcPr>
        <w:shd w:val="clear" w:color="auto" w:fill="CD0920"/>
      </w:tcPr>
    </w:tblStylePr>
    <w:tblStylePr w:type="lastRow">
      <w:pPr>
        <w:spacing w:before="0" w:after="0" w:line="240" w:lineRule="auto"/>
      </w:pPr>
      <w:rPr>
        <w:rFonts w:ascii="Bahnschrift Light SemiCondensed" w:eastAsia="Times New Roman" w:hAnsi="Bahnschrift Light SemiCondensed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Light SemiCondensed" w:eastAsia="Times New Roman" w:hAnsi="Bahnschrift Light SemiCondensed" w:cs="Times New Roman"/>
        <w:b/>
        <w:bCs/>
      </w:rPr>
    </w:tblStylePr>
    <w:tblStylePr w:type="lastCol">
      <w:rPr>
        <w:rFonts w:ascii="Bahnschrift Light SemiCondensed" w:eastAsia="Times New Roman" w:hAnsi="Bahnschrift Ligh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601ED"/>
    <w:tblPr>
      <w:tblStyleRowBandSize w:val="1"/>
      <w:tblStyleColBandSize w:val="1"/>
      <w:tblBorders>
        <w:top w:val="single" w:sz="8" w:space="0" w:color="4D7861" w:themeColor="accent2"/>
        <w:left w:val="single" w:sz="8" w:space="0" w:color="4D7861" w:themeColor="accent2"/>
        <w:bottom w:val="single" w:sz="8" w:space="0" w:color="4D7861" w:themeColor="accent2"/>
        <w:right w:val="single" w:sz="8" w:space="0" w:color="4D7861" w:themeColor="accent2"/>
        <w:insideH w:val="single" w:sz="8" w:space="0" w:color="4D7861" w:themeColor="accent2"/>
        <w:insideV w:val="single" w:sz="8" w:space="0" w:color="4D78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7861" w:themeColor="accent2"/>
          <w:left w:val="single" w:sz="8" w:space="0" w:color="4D7861" w:themeColor="accent2"/>
          <w:bottom w:val="single" w:sz="18" w:space="0" w:color="4D7861" w:themeColor="accent2"/>
          <w:right w:val="single" w:sz="8" w:space="0" w:color="4D7861" w:themeColor="accent2"/>
          <w:insideH w:val="nil"/>
          <w:insideV w:val="single" w:sz="8" w:space="0" w:color="4D78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7861" w:themeColor="accent2"/>
          <w:left w:val="single" w:sz="8" w:space="0" w:color="4D7861" w:themeColor="accent2"/>
          <w:bottom w:val="single" w:sz="8" w:space="0" w:color="4D7861" w:themeColor="accent2"/>
          <w:right w:val="single" w:sz="8" w:space="0" w:color="4D7861" w:themeColor="accent2"/>
          <w:insideH w:val="nil"/>
          <w:insideV w:val="single" w:sz="8" w:space="0" w:color="4D78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7861" w:themeColor="accent2"/>
          <w:left w:val="single" w:sz="8" w:space="0" w:color="4D7861" w:themeColor="accent2"/>
          <w:bottom w:val="single" w:sz="8" w:space="0" w:color="4D7861" w:themeColor="accent2"/>
          <w:right w:val="single" w:sz="8" w:space="0" w:color="4D7861" w:themeColor="accent2"/>
        </w:tcBorders>
      </w:tcPr>
    </w:tblStylePr>
    <w:tblStylePr w:type="band1Vert">
      <w:tblPr/>
      <w:tcPr>
        <w:tcBorders>
          <w:top w:val="single" w:sz="8" w:space="0" w:color="4D7861" w:themeColor="accent2"/>
          <w:left w:val="single" w:sz="8" w:space="0" w:color="4D7861" w:themeColor="accent2"/>
          <w:bottom w:val="single" w:sz="8" w:space="0" w:color="4D7861" w:themeColor="accent2"/>
          <w:right w:val="single" w:sz="8" w:space="0" w:color="4D7861" w:themeColor="accent2"/>
        </w:tcBorders>
        <w:shd w:val="clear" w:color="auto" w:fill="CFE0D7" w:themeFill="accent2" w:themeFillTint="3F"/>
      </w:tcPr>
    </w:tblStylePr>
    <w:tblStylePr w:type="band1Horz">
      <w:tblPr/>
      <w:tcPr>
        <w:tcBorders>
          <w:top w:val="single" w:sz="8" w:space="0" w:color="4D7861" w:themeColor="accent2"/>
          <w:left w:val="single" w:sz="8" w:space="0" w:color="4D7861" w:themeColor="accent2"/>
          <w:bottom w:val="single" w:sz="8" w:space="0" w:color="4D7861" w:themeColor="accent2"/>
          <w:right w:val="single" w:sz="8" w:space="0" w:color="4D7861" w:themeColor="accent2"/>
          <w:insideV w:val="single" w:sz="8" w:space="0" w:color="4D7861" w:themeColor="accent2"/>
        </w:tcBorders>
        <w:shd w:val="clear" w:color="auto" w:fill="CFE0D7" w:themeFill="accent2" w:themeFillTint="3F"/>
      </w:tcPr>
    </w:tblStylePr>
    <w:tblStylePr w:type="band2Horz">
      <w:tblPr/>
      <w:tcPr>
        <w:tcBorders>
          <w:top w:val="single" w:sz="8" w:space="0" w:color="4D7861" w:themeColor="accent2"/>
          <w:left w:val="single" w:sz="8" w:space="0" w:color="4D7861" w:themeColor="accent2"/>
          <w:bottom w:val="single" w:sz="8" w:space="0" w:color="4D7861" w:themeColor="accent2"/>
          <w:right w:val="single" w:sz="8" w:space="0" w:color="4D7861" w:themeColor="accent2"/>
          <w:insideV w:val="single" w:sz="8" w:space="0" w:color="4D7861" w:themeColor="accent2"/>
        </w:tcBorders>
      </w:tcPr>
    </w:tblStylePr>
  </w:style>
  <w:style w:type="table" w:styleId="TableGrid">
    <w:name w:val="Table Grid"/>
    <w:basedOn w:val="TableNormal"/>
    <w:rsid w:val="00CE1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desk-OIA@pmc.gov.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433B90CE38D4DD8BFD5B618D02EE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6D6BB-EFE8-491E-B585-7C7FCEEB48B4}"/>
      </w:docPartPr>
      <w:docPartBody>
        <w:p w:rsidR="00400364" w:rsidRDefault="00400364">
          <w:pPr>
            <w:pStyle w:val="D433B90CE38D4DD8BFD5B618D02EE0C1"/>
          </w:pPr>
          <w:r w:rsidRPr="00EB394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BB"/>
    <w:rsid w:val="000A7BF0"/>
    <w:rsid w:val="000D2287"/>
    <w:rsid w:val="000D5D81"/>
    <w:rsid w:val="000F41BA"/>
    <w:rsid w:val="00140967"/>
    <w:rsid w:val="00157E71"/>
    <w:rsid w:val="00303FD0"/>
    <w:rsid w:val="00307DEF"/>
    <w:rsid w:val="00326585"/>
    <w:rsid w:val="003B61BF"/>
    <w:rsid w:val="003E7F2C"/>
    <w:rsid w:val="00400364"/>
    <w:rsid w:val="004047BF"/>
    <w:rsid w:val="0042477E"/>
    <w:rsid w:val="00557B7D"/>
    <w:rsid w:val="005D3314"/>
    <w:rsid w:val="006A6D54"/>
    <w:rsid w:val="006F2FB5"/>
    <w:rsid w:val="00776B97"/>
    <w:rsid w:val="00777EBB"/>
    <w:rsid w:val="0082658A"/>
    <w:rsid w:val="009330DB"/>
    <w:rsid w:val="00983CFF"/>
    <w:rsid w:val="00A31567"/>
    <w:rsid w:val="00AE30D9"/>
    <w:rsid w:val="00B640A0"/>
    <w:rsid w:val="00C3327F"/>
    <w:rsid w:val="00DA3EC7"/>
    <w:rsid w:val="00DE338D"/>
    <w:rsid w:val="00E5182D"/>
    <w:rsid w:val="00E7199E"/>
    <w:rsid w:val="00E92202"/>
    <w:rsid w:val="00EB6CDB"/>
    <w:rsid w:val="00EC7083"/>
    <w:rsid w:val="00FD7DFB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433B90CE38D4DD8BFD5B618D02EE0C1">
    <w:name w:val="D433B90CE38D4DD8BFD5B618D02EE0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SY Corporate">
      <a:dk1>
        <a:sysClr val="windowText" lastClr="000000"/>
      </a:dk1>
      <a:lt1>
        <a:sysClr val="window" lastClr="FFFFFF"/>
      </a:lt1>
      <a:dk2>
        <a:srgbClr val="5F5F5F"/>
      </a:dk2>
      <a:lt2>
        <a:srgbClr val="EEEEEE"/>
      </a:lt2>
      <a:accent1>
        <a:srgbClr val="2C384A"/>
      </a:accent1>
      <a:accent2>
        <a:srgbClr val="4D7861"/>
      </a:accent2>
      <a:accent3>
        <a:srgbClr val="5D779D"/>
      </a:accent3>
      <a:accent4>
        <a:srgbClr val="B1F0CF"/>
      </a:accent4>
      <a:accent5>
        <a:srgbClr val="90B6F0"/>
      </a:accent5>
      <a:accent6>
        <a:srgbClr val="F0AE81"/>
      </a:accent6>
      <a:hlink>
        <a:srgbClr val="3A6FAF"/>
      </a:hlink>
      <a:folHlink>
        <a:srgbClr val="844D9E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67976-860F-4EC9-99B5-E48D37610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3448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2024-10-15T23:21:00Z</dcterms:created>
  <dcterms:modified xsi:type="dcterms:W3CDTF">2024-10-15T23:22:00Z</dcterms:modified>
</cp:coreProperties>
</file>