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23" w:rsidRPr="00AB4923" w:rsidRDefault="00AB4923" w:rsidP="70B62E60">
      <w:pPr>
        <w:contextualSpacing/>
        <w:jc w:val="right"/>
        <w:rPr>
          <w:sz w:val="18"/>
          <w:szCs w:val="18"/>
          <w:highlight w:val="yellow"/>
        </w:rPr>
      </w:pPr>
      <w:bookmarkStart w:id="0" w:name="_GoBack"/>
      <w:bookmarkEnd w:id="0"/>
      <w:r w:rsidRPr="70B62E60">
        <w:rPr>
          <w:sz w:val="18"/>
          <w:szCs w:val="18"/>
        </w:rPr>
        <w:t>Reference: O</w:t>
      </w:r>
      <w:r w:rsidR="35C38DEB" w:rsidRPr="70B62E60">
        <w:rPr>
          <w:sz w:val="18"/>
          <w:szCs w:val="18"/>
        </w:rPr>
        <w:t>BPR22</w:t>
      </w:r>
      <w:r w:rsidRPr="70B62E60">
        <w:rPr>
          <w:sz w:val="18"/>
          <w:szCs w:val="18"/>
        </w:rPr>
        <w:t>-0</w:t>
      </w:r>
      <w:r w:rsidR="4F031C98" w:rsidRPr="70B62E60">
        <w:rPr>
          <w:sz w:val="18"/>
          <w:szCs w:val="18"/>
        </w:rPr>
        <w:t>3647</w:t>
      </w:r>
    </w:p>
    <w:p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:rsidR="00AB4923" w:rsidRDefault="00AB4923" w:rsidP="00AB4923">
      <w:pPr>
        <w:spacing w:after="240"/>
        <w:jc w:val="right"/>
      </w:pPr>
      <w:r w:rsidRPr="00AB4923">
        <w:rPr>
          <w:sz w:val="18"/>
        </w:rPr>
        <w:t xml:space="preserve">e-mail: </w:t>
      </w:r>
      <w:hyperlink r:id="rId7" w:history="1">
        <w:r w:rsidRPr="00F061CC">
          <w:rPr>
            <w:rStyle w:val="Hyperlink"/>
            <w:sz w:val="18"/>
          </w:rPr>
          <w:t>helpdesk-oia@pmc.gov.au</w:t>
        </w:r>
      </w:hyperlink>
    </w:p>
    <w:p w:rsidR="00655158" w:rsidRDefault="00655158" w:rsidP="00AC76B7">
      <w:pPr>
        <w:spacing w:line="240" w:lineRule="auto"/>
        <w:contextualSpacing/>
      </w:pPr>
    </w:p>
    <w:p w:rsidR="00AB4923" w:rsidRDefault="00AB4923" w:rsidP="00AC76B7">
      <w:pPr>
        <w:spacing w:line="240" w:lineRule="auto"/>
        <w:contextualSpacing/>
      </w:pPr>
      <w:r>
        <w:t>M</w:t>
      </w:r>
      <w:r w:rsidR="466D79C9">
        <w:t>s Sarah Chidgey</w:t>
      </w:r>
    </w:p>
    <w:p w:rsidR="00AB4923" w:rsidRDefault="466D79C9" w:rsidP="70B62E60">
      <w:pPr>
        <w:spacing w:line="240" w:lineRule="auto"/>
        <w:contextualSpacing/>
      </w:pPr>
      <w:r>
        <w:t>Deputy Secretary</w:t>
      </w:r>
    </w:p>
    <w:p w:rsidR="02D69816" w:rsidRDefault="02D69816" w:rsidP="70B62E60">
      <w:pPr>
        <w:spacing w:line="240" w:lineRule="auto"/>
        <w:contextualSpacing/>
      </w:pPr>
      <w:r>
        <w:t>National Security and Criminal Justice Group</w:t>
      </w:r>
    </w:p>
    <w:p w:rsidR="02D69816" w:rsidRDefault="02D69816" w:rsidP="70B62E60">
      <w:pPr>
        <w:spacing w:line="240" w:lineRule="auto"/>
        <w:contextualSpacing/>
      </w:pPr>
      <w:r>
        <w:t>Attorney-General's Department</w:t>
      </w:r>
    </w:p>
    <w:p w:rsidR="00AB4923" w:rsidRDefault="00AB4923" w:rsidP="00AC76B7">
      <w:pPr>
        <w:spacing w:line="240" w:lineRule="auto"/>
        <w:contextualSpacing/>
      </w:pPr>
    </w:p>
    <w:p w:rsidR="00AB4923" w:rsidRDefault="00AB4923" w:rsidP="70B62E60">
      <w:pPr>
        <w:spacing w:before="360"/>
      </w:pPr>
      <w:r>
        <w:t>Dear Ms</w:t>
      </w:r>
      <w:r w:rsidR="78CEFCFE">
        <w:t xml:space="preserve"> Chidgey</w:t>
      </w:r>
    </w:p>
    <w:p w:rsidR="00AB4923" w:rsidRDefault="00AB4923" w:rsidP="70B62E60">
      <w:pPr>
        <w:pStyle w:val="Heading3"/>
        <w:rPr>
          <w:highlight w:val="yellow"/>
        </w:rPr>
      </w:pPr>
      <w:r>
        <w:t xml:space="preserve">Impact Analysis – Second Pass Final Assessment – </w:t>
      </w:r>
      <w:r w:rsidR="3882E724">
        <w:t xml:space="preserve">Reforming Australia’s </w:t>
      </w:r>
      <w:r w:rsidR="1E549D73">
        <w:t>A</w:t>
      </w:r>
      <w:r w:rsidR="3882E724">
        <w:t>nti-</w:t>
      </w:r>
      <w:r w:rsidR="3D0603C6">
        <w:t>M</w:t>
      </w:r>
      <w:r w:rsidR="3882E724">
        <w:t xml:space="preserve">oney </w:t>
      </w:r>
      <w:r w:rsidR="2F37B826">
        <w:t>L</w:t>
      </w:r>
      <w:r w:rsidR="3882E724">
        <w:t xml:space="preserve">aundering and </w:t>
      </w:r>
      <w:r w:rsidR="03CFB12E">
        <w:t>C</w:t>
      </w:r>
      <w:r w:rsidR="3882E724">
        <w:t>ounter-</w:t>
      </w:r>
      <w:r w:rsidR="0ACF2776">
        <w:t>T</w:t>
      </w:r>
      <w:r w:rsidR="3882E724">
        <w:t xml:space="preserve">errorism </w:t>
      </w:r>
      <w:r w:rsidR="74907B5B">
        <w:t>F</w:t>
      </w:r>
      <w:r w:rsidR="3882E724">
        <w:t xml:space="preserve">inancing (AML/CTF) </w:t>
      </w:r>
      <w:r w:rsidR="00652FFC">
        <w:t>R</w:t>
      </w:r>
      <w:r w:rsidR="3882E724">
        <w:t>egime</w:t>
      </w:r>
    </w:p>
    <w:p w:rsidR="00AB4923" w:rsidRDefault="00AB4923" w:rsidP="00AB4923">
      <w:r>
        <w:t xml:space="preserve">Thank you for your letter </w:t>
      </w:r>
      <w:r w:rsidR="00BC05EA">
        <w:t>of</w:t>
      </w:r>
      <w:r w:rsidR="00671AA3">
        <w:t xml:space="preserve"> </w:t>
      </w:r>
      <w:r w:rsidR="1F999683">
        <w:t xml:space="preserve">22 August 2024 </w:t>
      </w:r>
      <w:r>
        <w:t xml:space="preserve">submitting an Impact Analysis (IA) for formal Second Pass Assessment. I note the IA has been formally certified at the Deputy Secretary level consistent with the </w:t>
      </w:r>
      <w:r w:rsidRPr="00F908FE">
        <w:rPr>
          <w:i/>
        </w:rPr>
        <w:t>Australian Government Guide to Policy Impact Analysis</w:t>
      </w:r>
      <w:r>
        <w:t>.</w:t>
      </w:r>
    </w:p>
    <w:p w:rsidR="007766C8" w:rsidRDefault="00AB4923" w:rsidP="01632E5C">
      <w:r>
        <w:t xml:space="preserve">I appreciate the </w:t>
      </w:r>
      <w:r w:rsidR="540039D8">
        <w:t>Attorney-General</w:t>
      </w:r>
      <w:r>
        <w:t>’s</w:t>
      </w:r>
      <w:r w:rsidR="7FA9A8ED">
        <w:t xml:space="preserve"> Department’s</w:t>
      </w:r>
      <w:r>
        <w:t xml:space="preserve"> constructive engagement on the IA. </w:t>
      </w:r>
    </w:p>
    <w:p w:rsidR="003E193E" w:rsidRDefault="00AB4923" w:rsidP="01632E5C">
      <w:r>
        <w:t>The Office of Impact Analysis’ (OIA) assessment is that the qualit</w:t>
      </w:r>
      <w:r w:rsidR="004A6996">
        <w:t xml:space="preserve">y of the analysis in the IA is </w:t>
      </w:r>
      <w:r w:rsidR="004A6996" w:rsidRPr="00F908FE">
        <w:t>Exemplary</w:t>
      </w:r>
      <w:r>
        <w:t>. The process to de</w:t>
      </w:r>
      <w:r w:rsidR="003E193E">
        <w:t>velop the</w:t>
      </w:r>
      <w:r>
        <w:t xml:space="preserve"> IA </w:t>
      </w:r>
      <w:r w:rsidR="000D3A9C">
        <w:rPr>
          <w:rFonts w:ascii="Segoe UI Symbol" w:eastAsia="Segoe UI Symbol" w:hAnsi="Segoe UI Symbol" w:cs="Segoe UI Symbol"/>
          <w:szCs w:val="22"/>
        </w:rPr>
        <w:t xml:space="preserve">and the </w:t>
      </w:r>
      <w:r w:rsidR="003E193E">
        <w:t xml:space="preserve">analysis </w:t>
      </w:r>
      <w:r w:rsidR="000D3A9C">
        <w:t>across t</w:t>
      </w:r>
      <w:r w:rsidR="003E193E">
        <w:t>he seven IA questions</w:t>
      </w:r>
      <w:r w:rsidR="000D3A9C">
        <w:t xml:space="preserve"> was of</w:t>
      </w:r>
      <w:r w:rsidR="000D3A9C" w:rsidRPr="000D3A9C">
        <w:rPr>
          <w:rFonts w:ascii="Segoe UI Symbol" w:eastAsia="Segoe UI Symbol" w:hAnsi="Segoe UI Symbol" w:cs="Segoe UI Symbol"/>
          <w:szCs w:val="22"/>
        </w:rPr>
        <w:t xml:space="preserve"> </w:t>
      </w:r>
      <w:r w:rsidR="000D3A9C" w:rsidRPr="01632E5C">
        <w:rPr>
          <w:rFonts w:ascii="Segoe UI Symbol" w:eastAsia="Segoe UI Symbol" w:hAnsi="Segoe UI Symbol" w:cs="Segoe UI Symbol"/>
          <w:szCs w:val="22"/>
        </w:rPr>
        <w:t>particularly high standard</w:t>
      </w:r>
      <w:r w:rsidR="2447B78F">
        <w:t>. Of</w:t>
      </w:r>
      <w:r>
        <w:t xml:space="preserve"> parti</w:t>
      </w:r>
      <w:r w:rsidR="003E193E">
        <w:t>cular note, the IA included:</w:t>
      </w:r>
    </w:p>
    <w:p w:rsidR="00A34676" w:rsidRDefault="00E27AAB" w:rsidP="003E193E">
      <w:pPr>
        <w:pStyle w:val="ListParagraph"/>
        <w:numPr>
          <w:ilvl w:val="0"/>
          <w:numId w:val="38"/>
        </w:numPr>
      </w:pPr>
      <w:r>
        <w:t>a</w:t>
      </w:r>
      <w:r w:rsidR="003E193E">
        <w:t xml:space="preserve"> well-defined and clearly </w:t>
      </w:r>
      <w:r w:rsidR="00A34676">
        <w:t xml:space="preserve">structured problem section, which provided a detailed explanation of the complexities and gaps in the </w:t>
      </w:r>
      <w:r w:rsidR="009B4190">
        <w:t xml:space="preserve">existing </w:t>
      </w:r>
      <w:r w:rsidR="00A34676">
        <w:t>AML/CTF regime</w:t>
      </w:r>
    </w:p>
    <w:p w:rsidR="003E193E" w:rsidRDefault="00E27AAB" w:rsidP="003E193E">
      <w:pPr>
        <w:pStyle w:val="ListParagraph"/>
        <w:numPr>
          <w:ilvl w:val="0"/>
          <w:numId w:val="38"/>
        </w:numPr>
      </w:pPr>
      <w:r>
        <w:t>r</w:t>
      </w:r>
      <w:r w:rsidR="00A34676">
        <w:t xml:space="preserve">obust analysis of the benefits and costs of each </w:t>
      </w:r>
      <w:r w:rsidR="008D5C8B">
        <w:t xml:space="preserve">policy </w:t>
      </w:r>
      <w:r w:rsidR="00A34676">
        <w:t xml:space="preserve">option, including the </w:t>
      </w:r>
      <w:r w:rsidR="54EC511F">
        <w:t xml:space="preserve">underpinning </w:t>
      </w:r>
      <w:r w:rsidR="00A34676">
        <w:t>assumptions</w:t>
      </w:r>
    </w:p>
    <w:p w:rsidR="00F60C5D" w:rsidRDefault="00E27AAB" w:rsidP="003E193E">
      <w:pPr>
        <w:pStyle w:val="ListParagraph"/>
        <w:numPr>
          <w:ilvl w:val="0"/>
          <w:numId w:val="38"/>
        </w:numPr>
      </w:pPr>
      <w:r>
        <w:t>a</w:t>
      </w:r>
      <w:r w:rsidR="00F60C5D">
        <w:t xml:space="preserve"> detailed explanation of the consultation process</w:t>
      </w:r>
      <w:r w:rsidR="72249D70">
        <w:t xml:space="preserve">, </w:t>
      </w:r>
      <w:r w:rsidR="00F60C5D">
        <w:t>how stakeholder views shaped the options</w:t>
      </w:r>
      <w:r w:rsidR="58EDF3DF">
        <w:t>,</w:t>
      </w:r>
      <w:r w:rsidR="00F60C5D">
        <w:t xml:space="preserve"> and </w:t>
      </w:r>
      <w:r w:rsidR="478E5FA0">
        <w:t>how the preferred option would be implemented</w:t>
      </w:r>
      <w:r w:rsidR="00F60C5D">
        <w:t>.</w:t>
      </w:r>
    </w:p>
    <w:p w:rsidR="007D5C35" w:rsidRDefault="007D5C35" w:rsidP="007D5C35">
      <w:r>
        <w:t>The IA may now be provided to the decision-maker to inform their decision.</w:t>
      </w:r>
    </w:p>
    <w:p w:rsidR="00AB4923" w:rsidRDefault="00AB4923" w:rsidP="00AC76B7">
      <w:pPr>
        <w:pStyle w:val="Heading3"/>
      </w:pPr>
      <w:r>
        <w:t>Next steps</w:t>
      </w:r>
    </w:p>
    <w:p w:rsidR="00261ACC" w:rsidRDefault="00AB4923" w:rsidP="00AB4923">
      <w:r>
        <w:t xml:space="preserve">After a final decision has been announced, I ask that your agency work with </w:t>
      </w:r>
      <w:r w:rsidR="00012C6B">
        <w:t xml:space="preserve">the </w:t>
      </w:r>
      <w:r>
        <w:t>OIA to finalise this material for</w:t>
      </w:r>
      <w:r w:rsidR="00AD0887">
        <w:t xml:space="preserve"> </w:t>
      </w:r>
      <w:r>
        <w:t>release</w:t>
      </w:r>
      <w:r w:rsidR="00AD0887">
        <w:t xml:space="preserve"> </w:t>
      </w:r>
      <w:r w:rsidR="00AD0887" w:rsidRPr="00F908FE">
        <w:t>on the OIA’s website at oia.pmc.gov.au</w:t>
      </w:r>
      <w:r>
        <w:t xml:space="preserve">. This includes providing a copy of the IA in Word and PDF format for web accessibility purposes. </w:t>
      </w:r>
    </w:p>
    <w:p w:rsidR="00AB4923" w:rsidRDefault="00AB4923" w:rsidP="00AB4923">
      <w:r>
        <w:t>The IA must</w:t>
      </w:r>
      <w:r w:rsidR="00EF3495">
        <w:t xml:space="preserve"> also</w:t>
      </w:r>
      <w:r>
        <w:t xml:space="preserve"> be included in any Explanatory Memorandum or Statement giving effect to the proposals in the IA.</w:t>
      </w:r>
    </w:p>
    <w:p w:rsidR="00AB4923" w:rsidRDefault="00AB4923" w:rsidP="00AB4923">
      <w:r>
        <w:lastRenderedPageBreak/>
        <w:t>If you have any further queries, please do not hesitate to contact me.</w:t>
      </w:r>
    </w:p>
    <w:p w:rsidR="00AB4923" w:rsidRDefault="00AB4923" w:rsidP="00A8030E">
      <w:pPr>
        <w:spacing w:before="240" w:after="120"/>
      </w:pPr>
      <w:r>
        <w:t>Yours sincerely</w:t>
      </w:r>
    </w:p>
    <w:p w:rsidR="00A8030E" w:rsidRDefault="00A8030E" w:rsidP="00A8030E">
      <w:pPr>
        <w:spacing w:after="0"/>
      </w:pPr>
    </w:p>
    <w:p w:rsidR="00A8030E" w:rsidRDefault="00A8030E" w:rsidP="00A8030E">
      <w:pPr>
        <w:spacing w:after="0"/>
      </w:pPr>
    </w:p>
    <w:p w:rsidR="00A8030E" w:rsidRDefault="00A8030E" w:rsidP="00A8030E">
      <w:pPr>
        <w:spacing w:after="0"/>
      </w:pPr>
    </w:p>
    <w:p w:rsidR="00937E4B" w:rsidRDefault="00937E4B" w:rsidP="00937E4B">
      <w:pPr>
        <w:spacing w:line="240" w:lineRule="auto"/>
        <w:contextualSpacing/>
      </w:pPr>
      <w:r>
        <w:t>Joanna Abhayaratna</w:t>
      </w:r>
    </w:p>
    <w:p w:rsidR="00AB4923" w:rsidRDefault="00937E4B" w:rsidP="00937E4B">
      <w:pPr>
        <w:spacing w:line="240" w:lineRule="auto"/>
        <w:contextualSpacing/>
      </w:pPr>
      <w:r>
        <w:t>Executive Director</w:t>
      </w:r>
    </w:p>
    <w:p w:rsidR="00AB4923" w:rsidRPr="00DF7E40" w:rsidRDefault="00AB4923" w:rsidP="00AC76B7">
      <w:pPr>
        <w:spacing w:line="240" w:lineRule="auto"/>
        <w:contextualSpacing/>
      </w:pPr>
      <w:r w:rsidRPr="00DF7E40">
        <w:t>Office of Impact Analysis</w:t>
      </w:r>
    </w:p>
    <w:p w:rsidR="52797833" w:rsidRDefault="0079286B" w:rsidP="70B62E60">
      <w:pPr>
        <w:spacing w:line="240" w:lineRule="auto"/>
        <w:contextualSpacing/>
      </w:pPr>
      <w:r w:rsidRPr="00F908FE">
        <w:t>29</w:t>
      </w:r>
      <w:r w:rsidR="52797833" w:rsidRPr="00DF7E40">
        <w:t xml:space="preserve"> August 2024</w:t>
      </w:r>
    </w:p>
    <w:sectPr w:rsidR="52797833" w:rsidSect="00D8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A7" w:rsidRDefault="007C5EA7" w:rsidP="00F957C6">
      <w:pPr>
        <w:spacing w:after="0" w:line="240" w:lineRule="auto"/>
      </w:pPr>
      <w:r>
        <w:separator/>
      </w:r>
    </w:p>
  </w:endnote>
  <w:endnote w:type="continuationSeparator" w:id="0">
    <w:p w:rsidR="007C5EA7" w:rsidRDefault="007C5EA7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6A" w:rsidRDefault="003A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A7" w:rsidRDefault="007C5EA7" w:rsidP="00F957C6">
      <w:pPr>
        <w:spacing w:after="0" w:line="240" w:lineRule="auto"/>
      </w:pPr>
      <w:r>
        <w:separator/>
      </w:r>
    </w:p>
  </w:footnote>
  <w:footnote w:type="continuationSeparator" w:id="0">
    <w:p w:rsidR="007C5EA7" w:rsidRDefault="007C5EA7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6A" w:rsidRDefault="003A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6A" w:rsidRDefault="003A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E1E32"/>
    <w:multiLevelType w:val="hybridMultilevel"/>
    <w:tmpl w:val="75408E4A"/>
    <w:lvl w:ilvl="0" w:tplc="D8249A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6627F"/>
    <w:rsid w:val="000673ED"/>
    <w:rsid w:val="00090D35"/>
    <w:rsid w:val="000B3417"/>
    <w:rsid w:val="000B6A28"/>
    <w:rsid w:val="000D3A9C"/>
    <w:rsid w:val="000D749D"/>
    <w:rsid w:val="000F5F7A"/>
    <w:rsid w:val="00115264"/>
    <w:rsid w:val="00117A77"/>
    <w:rsid w:val="001611BF"/>
    <w:rsid w:val="0016139C"/>
    <w:rsid w:val="0017436A"/>
    <w:rsid w:val="001954B4"/>
    <w:rsid w:val="001B2D56"/>
    <w:rsid w:val="00212443"/>
    <w:rsid w:val="00220DDA"/>
    <w:rsid w:val="00227DB5"/>
    <w:rsid w:val="00261ACC"/>
    <w:rsid w:val="00266CCC"/>
    <w:rsid w:val="00274D42"/>
    <w:rsid w:val="00285CAF"/>
    <w:rsid w:val="00292BFC"/>
    <w:rsid w:val="002B661A"/>
    <w:rsid w:val="002C7A05"/>
    <w:rsid w:val="002D6B3D"/>
    <w:rsid w:val="002E5916"/>
    <w:rsid w:val="00303C55"/>
    <w:rsid w:val="00311C2D"/>
    <w:rsid w:val="00317030"/>
    <w:rsid w:val="00322E7E"/>
    <w:rsid w:val="00333C8F"/>
    <w:rsid w:val="00334EB0"/>
    <w:rsid w:val="00353E5E"/>
    <w:rsid w:val="00361020"/>
    <w:rsid w:val="00370B8B"/>
    <w:rsid w:val="00374D2A"/>
    <w:rsid w:val="00376FE6"/>
    <w:rsid w:val="00385BD5"/>
    <w:rsid w:val="00391B2E"/>
    <w:rsid w:val="003A516A"/>
    <w:rsid w:val="003C181D"/>
    <w:rsid w:val="003D676D"/>
    <w:rsid w:val="003E193E"/>
    <w:rsid w:val="003F23E9"/>
    <w:rsid w:val="00443F97"/>
    <w:rsid w:val="00446B02"/>
    <w:rsid w:val="0046280F"/>
    <w:rsid w:val="00464D89"/>
    <w:rsid w:val="00490B90"/>
    <w:rsid w:val="004A6996"/>
    <w:rsid w:val="004B2C90"/>
    <w:rsid w:val="004C17DE"/>
    <w:rsid w:val="004C3F06"/>
    <w:rsid w:val="004E5759"/>
    <w:rsid w:val="004F4C4F"/>
    <w:rsid w:val="0050683A"/>
    <w:rsid w:val="005226B9"/>
    <w:rsid w:val="00534803"/>
    <w:rsid w:val="005575FF"/>
    <w:rsid w:val="00561FB9"/>
    <w:rsid w:val="00591288"/>
    <w:rsid w:val="005917FD"/>
    <w:rsid w:val="005A4AA1"/>
    <w:rsid w:val="005B3358"/>
    <w:rsid w:val="005C0F15"/>
    <w:rsid w:val="005C3C13"/>
    <w:rsid w:val="005C4C81"/>
    <w:rsid w:val="005D4706"/>
    <w:rsid w:val="0060011C"/>
    <w:rsid w:val="006147EB"/>
    <w:rsid w:val="006200EB"/>
    <w:rsid w:val="00621EA3"/>
    <w:rsid w:val="00640234"/>
    <w:rsid w:val="0064343A"/>
    <w:rsid w:val="00652FFC"/>
    <w:rsid w:val="00655158"/>
    <w:rsid w:val="00665FB6"/>
    <w:rsid w:val="00671AA3"/>
    <w:rsid w:val="00693385"/>
    <w:rsid w:val="006A008F"/>
    <w:rsid w:val="006A5AA6"/>
    <w:rsid w:val="006E170D"/>
    <w:rsid w:val="006E698B"/>
    <w:rsid w:val="0071548B"/>
    <w:rsid w:val="007203E4"/>
    <w:rsid w:val="007204A9"/>
    <w:rsid w:val="007279C1"/>
    <w:rsid w:val="00756929"/>
    <w:rsid w:val="00767DBB"/>
    <w:rsid w:val="00774646"/>
    <w:rsid w:val="007766C8"/>
    <w:rsid w:val="00781695"/>
    <w:rsid w:val="0079286B"/>
    <w:rsid w:val="007A02A7"/>
    <w:rsid w:val="007C0935"/>
    <w:rsid w:val="007C5EA7"/>
    <w:rsid w:val="007D5C35"/>
    <w:rsid w:val="007F4E93"/>
    <w:rsid w:val="008046D4"/>
    <w:rsid w:val="00815583"/>
    <w:rsid w:val="00826C51"/>
    <w:rsid w:val="00833792"/>
    <w:rsid w:val="00834A63"/>
    <w:rsid w:val="00852F35"/>
    <w:rsid w:val="00857363"/>
    <w:rsid w:val="00880485"/>
    <w:rsid w:val="00883248"/>
    <w:rsid w:val="008A0614"/>
    <w:rsid w:val="008B44F5"/>
    <w:rsid w:val="008C30B9"/>
    <w:rsid w:val="008C47A1"/>
    <w:rsid w:val="008C738F"/>
    <w:rsid w:val="008D5C8B"/>
    <w:rsid w:val="008D6B9E"/>
    <w:rsid w:val="008E1024"/>
    <w:rsid w:val="00912C03"/>
    <w:rsid w:val="00913ED0"/>
    <w:rsid w:val="00927650"/>
    <w:rsid w:val="00937E4B"/>
    <w:rsid w:val="00942CB6"/>
    <w:rsid w:val="00942CE9"/>
    <w:rsid w:val="00954FF2"/>
    <w:rsid w:val="009615D2"/>
    <w:rsid w:val="00962EE8"/>
    <w:rsid w:val="009675D4"/>
    <w:rsid w:val="00976EE9"/>
    <w:rsid w:val="00984376"/>
    <w:rsid w:val="009A6D9C"/>
    <w:rsid w:val="009B4190"/>
    <w:rsid w:val="009B4666"/>
    <w:rsid w:val="009C60F6"/>
    <w:rsid w:val="009D2DBC"/>
    <w:rsid w:val="009F0889"/>
    <w:rsid w:val="009F53B7"/>
    <w:rsid w:val="009F6A0F"/>
    <w:rsid w:val="00A008E6"/>
    <w:rsid w:val="00A03874"/>
    <w:rsid w:val="00A12C83"/>
    <w:rsid w:val="00A34676"/>
    <w:rsid w:val="00A41872"/>
    <w:rsid w:val="00A62EF3"/>
    <w:rsid w:val="00A77F7A"/>
    <w:rsid w:val="00A8030E"/>
    <w:rsid w:val="00A918A7"/>
    <w:rsid w:val="00AA12EC"/>
    <w:rsid w:val="00AA700B"/>
    <w:rsid w:val="00AA705F"/>
    <w:rsid w:val="00AB0931"/>
    <w:rsid w:val="00AB4923"/>
    <w:rsid w:val="00AB5A45"/>
    <w:rsid w:val="00AC2CDC"/>
    <w:rsid w:val="00AC76B7"/>
    <w:rsid w:val="00AD0887"/>
    <w:rsid w:val="00AD7805"/>
    <w:rsid w:val="00AE3168"/>
    <w:rsid w:val="00B56736"/>
    <w:rsid w:val="00B6596F"/>
    <w:rsid w:val="00BB1526"/>
    <w:rsid w:val="00BC05EA"/>
    <w:rsid w:val="00BC7D4B"/>
    <w:rsid w:val="00BD171D"/>
    <w:rsid w:val="00BD57F5"/>
    <w:rsid w:val="00BE48A4"/>
    <w:rsid w:val="00BE56F0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500C1"/>
    <w:rsid w:val="00D525B8"/>
    <w:rsid w:val="00D55354"/>
    <w:rsid w:val="00D647BA"/>
    <w:rsid w:val="00D74E7D"/>
    <w:rsid w:val="00D83264"/>
    <w:rsid w:val="00DA18A2"/>
    <w:rsid w:val="00DB43F6"/>
    <w:rsid w:val="00DF2F8D"/>
    <w:rsid w:val="00DF7E40"/>
    <w:rsid w:val="00E023DA"/>
    <w:rsid w:val="00E03030"/>
    <w:rsid w:val="00E05FA4"/>
    <w:rsid w:val="00E224F4"/>
    <w:rsid w:val="00E2753F"/>
    <w:rsid w:val="00E27AAB"/>
    <w:rsid w:val="00E4781A"/>
    <w:rsid w:val="00E52DAA"/>
    <w:rsid w:val="00E84F06"/>
    <w:rsid w:val="00E92551"/>
    <w:rsid w:val="00E9516C"/>
    <w:rsid w:val="00EA558C"/>
    <w:rsid w:val="00ED0697"/>
    <w:rsid w:val="00EE5E8A"/>
    <w:rsid w:val="00EF3495"/>
    <w:rsid w:val="00F03073"/>
    <w:rsid w:val="00F050CC"/>
    <w:rsid w:val="00F05263"/>
    <w:rsid w:val="00F4464D"/>
    <w:rsid w:val="00F60C5D"/>
    <w:rsid w:val="00F630E3"/>
    <w:rsid w:val="00F66078"/>
    <w:rsid w:val="00F8025E"/>
    <w:rsid w:val="00F86700"/>
    <w:rsid w:val="00F87586"/>
    <w:rsid w:val="00F908FE"/>
    <w:rsid w:val="00F957C6"/>
    <w:rsid w:val="00FA78DE"/>
    <w:rsid w:val="00FD20A5"/>
    <w:rsid w:val="00FD2C22"/>
    <w:rsid w:val="00FE2C7F"/>
    <w:rsid w:val="00FF75BA"/>
    <w:rsid w:val="01342386"/>
    <w:rsid w:val="01632E5C"/>
    <w:rsid w:val="02D69816"/>
    <w:rsid w:val="02EEC83B"/>
    <w:rsid w:val="03766F5D"/>
    <w:rsid w:val="03CFB12E"/>
    <w:rsid w:val="0ACF2776"/>
    <w:rsid w:val="12973995"/>
    <w:rsid w:val="170F234C"/>
    <w:rsid w:val="1E549D73"/>
    <w:rsid w:val="1F999683"/>
    <w:rsid w:val="2447B78F"/>
    <w:rsid w:val="245C3ED5"/>
    <w:rsid w:val="27C8D2C3"/>
    <w:rsid w:val="28243514"/>
    <w:rsid w:val="2F37B826"/>
    <w:rsid w:val="35C38DEB"/>
    <w:rsid w:val="3882E724"/>
    <w:rsid w:val="3CE94ABA"/>
    <w:rsid w:val="3D0603C6"/>
    <w:rsid w:val="466D79C9"/>
    <w:rsid w:val="478E5FA0"/>
    <w:rsid w:val="4B821A6F"/>
    <w:rsid w:val="4F031C98"/>
    <w:rsid w:val="52797833"/>
    <w:rsid w:val="5283E7D5"/>
    <w:rsid w:val="534F27F6"/>
    <w:rsid w:val="540039D8"/>
    <w:rsid w:val="54EC511F"/>
    <w:rsid w:val="58EDF3DF"/>
    <w:rsid w:val="5EC9B0AC"/>
    <w:rsid w:val="69FAF33F"/>
    <w:rsid w:val="70B62E60"/>
    <w:rsid w:val="71C621C5"/>
    <w:rsid w:val="72249D70"/>
    <w:rsid w:val="72B1CDCF"/>
    <w:rsid w:val="74907B5B"/>
    <w:rsid w:val="78CEFCFE"/>
    <w:rsid w:val="7FA9A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2024-09-11T02:50:00Z</dcterms:created>
  <dcterms:modified xsi:type="dcterms:W3CDTF">2024-09-11T02:50:00Z</dcterms:modified>
  <cp:category/>
</cp:coreProperties>
</file>