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56398271" w:displacedByCustomXml="next"/>
    <w:bookmarkStart w:id="1" w:name="_Toc175312075" w:displacedByCustomXml="next"/>
    <w:sdt>
      <w:sdtPr>
        <w:rPr>
          <w:rFonts w:asciiTheme="minorHAnsi" w:hAnsiTheme="minorHAnsi"/>
          <w:b w:val="0"/>
          <w:color w:val="262626" w:themeColor="text1" w:themeTint="D9"/>
          <w:sz w:val="20"/>
          <w:szCs w:val="20"/>
        </w:rPr>
        <w:id w:val="-1921086760"/>
        <w:docPartObj>
          <w:docPartGallery w:val="Cover Pages"/>
          <w:docPartUnique/>
        </w:docPartObj>
      </w:sdtPr>
      <w:sdtEndPr/>
      <w:sdtContent>
        <w:p w14:paraId="2D5833AD" w14:textId="06BBF438" w:rsidR="0095241D" w:rsidRPr="00877FEF" w:rsidRDefault="0095241D">
          <w:pPr>
            <w:pStyle w:val="Heading1"/>
            <w:spacing w:before="1300"/>
            <w:rPr>
              <w:rFonts w:asciiTheme="minorHAnsi" w:hAnsiTheme="minorHAnsi"/>
              <w:sz w:val="72"/>
              <w:szCs w:val="72"/>
            </w:rPr>
          </w:pPr>
          <w:r w:rsidRPr="00877FEF">
            <w:rPr>
              <w:rFonts w:asciiTheme="minorHAnsi" w:hAnsiTheme="minorHAnsi"/>
              <w:sz w:val="72"/>
              <w:szCs w:val="72"/>
            </w:rPr>
            <w:t>Implementing a Guarantee of Origin Scheme</w:t>
          </w:r>
          <w:bookmarkEnd w:id="1"/>
          <w:bookmarkEnd w:id="0"/>
        </w:p>
        <w:p w14:paraId="2BC33111" w14:textId="490FD14B" w:rsidR="0095241D" w:rsidRPr="00877FEF" w:rsidRDefault="0095241D">
          <w:pPr>
            <w:pStyle w:val="Subtitle"/>
            <w:rPr>
              <w:rFonts w:asciiTheme="minorHAnsi" w:hAnsiTheme="minorHAnsi"/>
              <w:sz w:val="56"/>
              <w:szCs w:val="56"/>
            </w:rPr>
          </w:pPr>
          <w:bookmarkStart w:id="2" w:name="_Toc500519047"/>
          <w:r w:rsidRPr="00877FEF">
            <w:rPr>
              <w:rFonts w:asciiTheme="minorHAnsi" w:hAnsiTheme="minorHAnsi"/>
              <w:sz w:val="56"/>
              <w:szCs w:val="56"/>
            </w:rPr>
            <w:t>Impact Analysis</w:t>
          </w:r>
          <w:bookmarkEnd w:id="2"/>
        </w:p>
        <w:p w14:paraId="3BC579D4" w14:textId="69CC431F" w:rsidR="0095241D" w:rsidRPr="00CC4BC4" w:rsidRDefault="00B16092">
          <w:pPr>
            <w:pStyle w:val="AuthorOrganisationAffiliation"/>
            <w:tabs>
              <w:tab w:val="left" w:pos="7995"/>
            </w:tabs>
            <w:spacing w:after="500"/>
            <w:rPr>
              <w:rFonts w:cstheme="minorHAnsi"/>
            </w:rPr>
          </w:pPr>
          <w:r w:rsidRPr="00877FEF">
            <w:rPr>
              <w:rFonts w:cstheme="minorHAnsi"/>
              <w:color w:val="014463" w:themeColor="accent2"/>
            </w:rPr>
            <w:t xml:space="preserve">Department of Climate Change, Energy, the Environment and Water </w:t>
          </w:r>
        </w:p>
        <w:p w14:paraId="21DF92A8" w14:textId="77777777" w:rsidR="0095241D" w:rsidRPr="005D3790" w:rsidRDefault="0095241D"/>
        <w:p w14:paraId="190A0C4D" w14:textId="77777777" w:rsidR="0095241D" w:rsidRDefault="0095241D">
          <w:pPr>
            <w:pStyle w:val="Normalsmall"/>
          </w:pPr>
        </w:p>
        <w:p w14:paraId="353B5750" w14:textId="259A3D71" w:rsidR="0095241D" w:rsidRDefault="0095241D">
          <w:r>
            <w:br w:type="page"/>
          </w:r>
        </w:p>
      </w:sdtContent>
    </w:sdt>
    <w:p w14:paraId="6AD3304F" w14:textId="7B062160" w:rsidR="006F6419" w:rsidRPr="00450EDD" w:rsidRDefault="006F6419" w:rsidP="006F6419">
      <w:pPr>
        <w:rPr>
          <w:b/>
          <w:bCs/>
        </w:rPr>
      </w:pPr>
      <w:r w:rsidRPr="00450EDD">
        <w:rPr>
          <w:b/>
          <w:bCs/>
        </w:rPr>
        <w:lastRenderedPageBreak/>
        <w:t>Disclaimer</w:t>
      </w:r>
    </w:p>
    <w:p w14:paraId="42F136CB" w14:textId="636C6CF6" w:rsidR="006F6419" w:rsidRDefault="006F6419" w:rsidP="006F6419">
      <w:r>
        <w:t xml:space="preserve">While DCCEEW makes every effort to ensure information is accurate and </w:t>
      </w:r>
      <w:r w:rsidR="00AF109B">
        <w:t>current</w:t>
      </w:r>
      <w:r>
        <w:t xml:space="preserve">, DCCEEW does not provide any warranty regarding the accuracy, currency or completeness of the information contained in this publication and will not be held liable for any loss, damage, </w:t>
      </w:r>
      <w:r w:rsidR="005D03C7">
        <w:t>cost,</w:t>
      </w:r>
      <w:r>
        <w:t xml:space="preserve"> or expense incurred or arising by reason of any person using or relying on the information in this publication.</w:t>
      </w:r>
    </w:p>
    <w:p w14:paraId="3ACFD965" w14:textId="0D4AA882" w:rsidR="006F6419" w:rsidRDefault="006F6419" w:rsidP="006F6419">
      <w:r>
        <w:t xml:space="preserve">This publication may incorporate views or information from third parties, which do not necessarily reflect the views of DCCEEW. The inclusion of such material does not indicate an endorsement of that material or a commitment to any </w:t>
      </w:r>
      <w:r w:rsidR="005D03C7">
        <w:t>course</w:t>
      </w:r>
      <w:r>
        <w:t xml:space="preserve"> of action. The views in this publication should not be taken to represent the views of DCCEEW unless otherwise expressly stated.</w:t>
      </w:r>
    </w:p>
    <w:p w14:paraId="52D3D4C0" w14:textId="12285BCD" w:rsidR="006F6419" w:rsidRDefault="00CE16D7" w:rsidP="006F6419">
      <w:r>
        <w:t>Copyright</w:t>
      </w:r>
      <w:r w:rsidR="003C6001">
        <w:t>, 202</w:t>
      </w:r>
      <w:r w:rsidR="00F65A08">
        <w:t>4</w:t>
      </w:r>
      <w:r w:rsidR="003C6001">
        <w:t>.</w:t>
      </w:r>
    </w:p>
    <w:p w14:paraId="2395BA85" w14:textId="77777777" w:rsidR="00CE16D7" w:rsidRDefault="00CE16D7" w:rsidP="006F6419">
      <w:r>
        <w:rPr>
          <w:rFonts w:cstheme="minorHAnsi"/>
        </w:rPr>
        <w:t>©</w:t>
      </w:r>
      <w:r>
        <w:t xml:space="preserve"> Commonwealth of Australia</w:t>
      </w:r>
    </w:p>
    <w:p w14:paraId="39DA16CD" w14:textId="76BD3487" w:rsidR="00B11A7E" w:rsidRDefault="00CE16D7" w:rsidP="006F6419">
      <w:r>
        <w:t xml:space="preserve">Department of Climate Change, Energy, the Environment and Water | </w:t>
      </w:r>
      <w:hyperlink r:id="rId7" w:history="1">
        <w:r w:rsidRPr="00FA71C4">
          <w:rPr>
            <w:rStyle w:val="Hyperlink"/>
          </w:rPr>
          <w:t>www.dcceew.gov.au</w:t>
        </w:r>
      </w:hyperlink>
    </w:p>
    <w:p w14:paraId="44E5452B" w14:textId="61441061" w:rsidR="0011200A" w:rsidRDefault="0011200A">
      <w:pPr>
        <w:rPr>
          <w:rFonts w:asciiTheme="majorHAnsi" w:hAnsiTheme="majorHAnsi"/>
          <w:b/>
          <w:color w:val="014463" w:themeColor="text2"/>
          <w:sz w:val="60"/>
          <w:szCs w:val="60"/>
        </w:rPr>
      </w:pPr>
      <w:r>
        <w:br w:type="page"/>
      </w:r>
    </w:p>
    <w:bookmarkStart w:id="3" w:name="_Toc113736240" w:displacedByCustomXml="next"/>
    <w:sdt>
      <w:sdtPr>
        <w:rPr>
          <w:rFonts w:asciiTheme="minorHAnsi" w:eastAsiaTheme="minorEastAsia" w:hAnsiTheme="minorHAnsi" w:cstheme="minorBidi"/>
          <w:b/>
          <w:bCs/>
          <w:noProof/>
          <w:color w:val="262626" w:themeColor="text1" w:themeTint="D9"/>
          <w:sz w:val="20"/>
          <w:szCs w:val="20"/>
          <w:lang w:val="en-AU"/>
        </w:rPr>
        <w:id w:val="-131027194"/>
        <w:docPartObj>
          <w:docPartGallery w:val="Table of Contents"/>
          <w:docPartUnique/>
        </w:docPartObj>
      </w:sdtPr>
      <w:sdtEndPr>
        <w:rPr>
          <w:b w:val="0"/>
          <w:bCs w:val="0"/>
        </w:rPr>
      </w:sdtEndPr>
      <w:sdtContent>
        <w:p w14:paraId="16D89534" w14:textId="23162CAA" w:rsidR="00B704FA" w:rsidRDefault="0016798E" w:rsidP="00400EE7">
          <w:pPr>
            <w:pStyle w:val="TOCHeading"/>
            <w:spacing w:after="240"/>
          </w:pPr>
          <w:r w:rsidRPr="001C64AA">
            <w:rPr>
              <w:b/>
              <w:bCs/>
              <w:sz w:val="36"/>
              <w:szCs w:val="36"/>
            </w:rPr>
            <w:t>Table of Contents</w:t>
          </w:r>
          <w:r>
            <w:fldChar w:fldCharType="begin"/>
          </w:r>
          <w:r>
            <w:instrText xml:space="preserve"> TOC \o "1-3" \h \z \u </w:instrText>
          </w:r>
          <w:r>
            <w:fldChar w:fldCharType="separate"/>
          </w:r>
        </w:p>
        <w:p w14:paraId="7CCA87C5" w14:textId="41326E2A"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76" w:history="1">
            <w:r w:rsidR="00B704FA" w:rsidRPr="00BF5630">
              <w:rPr>
                <w:rStyle w:val="Hyperlink"/>
              </w:rPr>
              <w:t>Key terms</w:t>
            </w:r>
            <w:r w:rsidR="00B704FA">
              <w:rPr>
                <w:webHidden/>
              </w:rPr>
              <w:tab/>
            </w:r>
            <w:r w:rsidR="00B704FA">
              <w:rPr>
                <w:webHidden/>
              </w:rPr>
              <w:fldChar w:fldCharType="begin"/>
            </w:r>
            <w:r w:rsidR="00B704FA">
              <w:rPr>
                <w:webHidden/>
              </w:rPr>
              <w:instrText xml:space="preserve"> PAGEREF _Toc175312076 \h </w:instrText>
            </w:r>
            <w:r w:rsidR="00B704FA">
              <w:rPr>
                <w:webHidden/>
              </w:rPr>
            </w:r>
            <w:r w:rsidR="00B704FA">
              <w:rPr>
                <w:webHidden/>
              </w:rPr>
              <w:fldChar w:fldCharType="separate"/>
            </w:r>
            <w:r w:rsidR="00290A84">
              <w:rPr>
                <w:webHidden/>
              </w:rPr>
              <w:t>4</w:t>
            </w:r>
            <w:r w:rsidR="00B704FA">
              <w:rPr>
                <w:webHidden/>
              </w:rPr>
              <w:fldChar w:fldCharType="end"/>
            </w:r>
          </w:hyperlink>
        </w:p>
        <w:p w14:paraId="00C78502" w14:textId="204CDF51"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77" w:history="1">
            <w:r w:rsidR="00B704FA" w:rsidRPr="00BF5630">
              <w:rPr>
                <w:rStyle w:val="Hyperlink"/>
              </w:rPr>
              <w:t>Executive Summary</w:t>
            </w:r>
            <w:r w:rsidR="00B704FA">
              <w:rPr>
                <w:webHidden/>
              </w:rPr>
              <w:tab/>
            </w:r>
            <w:r w:rsidR="00B704FA">
              <w:rPr>
                <w:webHidden/>
              </w:rPr>
              <w:fldChar w:fldCharType="begin"/>
            </w:r>
            <w:r w:rsidR="00B704FA">
              <w:rPr>
                <w:webHidden/>
              </w:rPr>
              <w:instrText xml:space="preserve"> PAGEREF _Toc175312077 \h </w:instrText>
            </w:r>
            <w:r w:rsidR="00B704FA">
              <w:rPr>
                <w:webHidden/>
              </w:rPr>
            </w:r>
            <w:r w:rsidR="00B704FA">
              <w:rPr>
                <w:webHidden/>
              </w:rPr>
              <w:fldChar w:fldCharType="separate"/>
            </w:r>
            <w:r w:rsidR="00290A84">
              <w:rPr>
                <w:webHidden/>
              </w:rPr>
              <w:t>6</w:t>
            </w:r>
            <w:r w:rsidR="00B704FA">
              <w:rPr>
                <w:webHidden/>
              </w:rPr>
              <w:fldChar w:fldCharType="end"/>
            </w:r>
          </w:hyperlink>
        </w:p>
        <w:p w14:paraId="01465BB2" w14:textId="22029891"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78" w:history="1">
            <w:r w:rsidR="00B704FA" w:rsidRPr="00BF5630">
              <w:rPr>
                <w:rStyle w:val="Hyperlink"/>
              </w:rPr>
              <w:t>1. What is the problem you are trying to solve?</w:t>
            </w:r>
            <w:r w:rsidR="00B704FA">
              <w:rPr>
                <w:webHidden/>
              </w:rPr>
              <w:tab/>
            </w:r>
            <w:r w:rsidR="00B704FA">
              <w:rPr>
                <w:webHidden/>
              </w:rPr>
              <w:fldChar w:fldCharType="begin"/>
            </w:r>
            <w:r w:rsidR="00B704FA">
              <w:rPr>
                <w:webHidden/>
              </w:rPr>
              <w:instrText xml:space="preserve"> PAGEREF _Toc175312078 \h </w:instrText>
            </w:r>
            <w:r w:rsidR="00B704FA">
              <w:rPr>
                <w:webHidden/>
              </w:rPr>
            </w:r>
            <w:r w:rsidR="00B704FA">
              <w:rPr>
                <w:webHidden/>
              </w:rPr>
              <w:fldChar w:fldCharType="separate"/>
            </w:r>
            <w:r w:rsidR="00290A84">
              <w:rPr>
                <w:webHidden/>
              </w:rPr>
              <w:t>8</w:t>
            </w:r>
            <w:r w:rsidR="00B704FA">
              <w:rPr>
                <w:webHidden/>
              </w:rPr>
              <w:fldChar w:fldCharType="end"/>
            </w:r>
          </w:hyperlink>
        </w:p>
        <w:p w14:paraId="03387776" w14:textId="192717F9"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79" w:history="1">
            <w:r w:rsidR="00B704FA" w:rsidRPr="00BF5630">
              <w:rPr>
                <w:rStyle w:val="Hyperlink"/>
              </w:rPr>
              <w:t>2. Why is government action needed?</w:t>
            </w:r>
            <w:r w:rsidR="00B704FA">
              <w:rPr>
                <w:webHidden/>
              </w:rPr>
              <w:tab/>
            </w:r>
            <w:r w:rsidR="00B704FA">
              <w:rPr>
                <w:webHidden/>
              </w:rPr>
              <w:fldChar w:fldCharType="begin"/>
            </w:r>
            <w:r w:rsidR="00B704FA">
              <w:rPr>
                <w:webHidden/>
              </w:rPr>
              <w:instrText xml:space="preserve"> PAGEREF _Toc175312079 \h </w:instrText>
            </w:r>
            <w:r w:rsidR="00B704FA">
              <w:rPr>
                <w:webHidden/>
              </w:rPr>
            </w:r>
            <w:r w:rsidR="00B704FA">
              <w:rPr>
                <w:webHidden/>
              </w:rPr>
              <w:fldChar w:fldCharType="separate"/>
            </w:r>
            <w:r w:rsidR="00290A84">
              <w:rPr>
                <w:webHidden/>
              </w:rPr>
              <w:t>10</w:t>
            </w:r>
            <w:r w:rsidR="00B704FA">
              <w:rPr>
                <w:webHidden/>
              </w:rPr>
              <w:fldChar w:fldCharType="end"/>
            </w:r>
          </w:hyperlink>
        </w:p>
        <w:p w14:paraId="284BA6E5" w14:textId="2E06A229"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80" w:history="1">
            <w:r w:rsidR="00B704FA" w:rsidRPr="00BF5630">
              <w:rPr>
                <w:rStyle w:val="Hyperlink"/>
              </w:rPr>
              <w:t>3. What policy options are you considering?</w:t>
            </w:r>
            <w:r w:rsidR="00B704FA">
              <w:rPr>
                <w:webHidden/>
              </w:rPr>
              <w:tab/>
            </w:r>
            <w:r w:rsidR="00B704FA">
              <w:rPr>
                <w:webHidden/>
              </w:rPr>
              <w:fldChar w:fldCharType="begin"/>
            </w:r>
            <w:r w:rsidR="00B704FA">
              <w:rPr>
                <w:webHidden/>
              </w:rPr>
              <w:instrText xml:space="preserve"> PAGEREF _Toc175312080 \h </w:instrText>
            </w:r>
            <w:r w:rsidR="00B704FA">
              <w:rPr>
                <w:webHidden/>
              </w:rPr>
            </w:r>
            <w:r w:rsidR="00B704FA">
              <w:rPr>
                <w:webHidden/>
              </w:rPr>
              <w:fldChar w:fldCharType="separate"/>
            </w:r>
            <w:r w:rsidR="00290A84">
              <w:rPr>
                <w:webHidden/>
              </w:rPr>
              <w:t>13</w:t>
            </w:r>
            <w:r w:rsidR="00B704FA">
              <w:rPr>
                <w:webHidden/>
              </w:rPr>
              <w:fldChar w:fldCharType="end"/>
            </w:r>
          </w:hyperlink>
        </w:p>
        <w:p w14:paraId="794E7328" w14:textId="27FD2835" w:rsidR="00B704FA" w:rsidRDefault="00150571">
          <w:pPr>
            <w:pStyle w:val="TOC2"/>
            <w:rPr>
              <w:rFonts w:eastAsiaTheme="minorEastAsia"/>
              <w:noProof/>
              <w:color w:val="auto"/>
              <w:kern w:val="2"/>
              <w:sz w:val="24"/>
              <w:szCs w:val="24"/>
              <w:lang w:eastAsia="en-AU"/>
              <w14:ligatures w14:val="standardContextual"/>
            </w:rPr>
          </w:pPr>
          <w:hyperlink w:anchor="_Toc175312081" w:history="1">
            <w:r w:rsidR="00B704FA" w:rsidRPr="00BF5630">
              <w:rPr>
                <w:rStyle w:val="Hyperlink"/>
                <w:noProof/>
              </w:rPr>
              <w:t>Option 1 – Non-regulatory approach</w:t>
            </w:r>
            <w:r w:rsidR="00B704FA">
              <w:rPr>
                <w:noProof/>
                <w:webHidden/>
              </w:rPr>
              <w:tab/>
            </w:r>
            <w:r w:rsidR="00B704FA">
              <w:rPr>
                <w:noProof/>
                <w:webHidden/>
              </w:rPr>
              <w:fldChar w:fldCharType="begin"/>
            </w:r>
            <w:r w:rsidR="00B704FA">
              <w:rPr>
                <w:noProof/>
                <w:webHidden/>
              </w:rPr>
              <w:instrText xml:space="preserve"> PAGEREF _Toc175312081 \h </w:instrText>
            </w:r>
            <w:r w:rsidR="00B704FA">
              <w:rPr>
                <w:noProof/>
                <w:webHidden/>
              </w:rPr>
            </w:r>
            <w:r w:rsidR="00B704FA">
              <w:rPr>
                <w:noProof/>
                <w:webHidden/>
              </w:rPr>
              <w:fldChar w:fldCharType="separate"/>
            </w:r>
            <w:r w:rsidR="00290A84">
              <w:rPr>
                <w:noProof/>
                <w:webHidden/>
              </w:rPr>
              <w:t>13</w:t>
            </w:r>
            <w:r w:rsidR="00B704FA">
              <w:rPr>
                <w:noProof/>
                <w:webHidden/>
              </w:rPr>
              <w:fldChar w:fldCharType="end"/>
            </w:r>
          </w:hyperlink>
        </w:p>
        <w:p w14:paraId="51A4AFB4" w14:textId="27132AAF" w:rsidR="00B704FA" w:rsidRDefault="00150571">
          <w:pPr>
            <w:pStyle w:val="TOC2"/>
            <w:rPr>
              <w:rFonts w:eastAsiaTheme="minorEastAsia"/>
              <w:noProof/>
              <w:color w:val="auto"/>
              <w:kern w:val="2"/>
              <w:sz w:val="24"/>
              <w:szCs w:val="24"/>
              <w:lang w:eastAsia="en-AU"/>
              <w14:ligatures w14:val="standardContextual"/>
            </w:rPr>
          </w:pPr>
          <w:hyperlink w:anchor="_Toc175312082" w:history="1">
            <w:r w:rsidR="00B704FA" w:rsidRPr="00BF5630">
              <w:rPr>
                <w:rStyle w:val="Hyperlink"/>
                <w:noProof/>
              </w:rPr>
              <w:t>Option 2 – Quasi-regulatory approach</w:t>
            </w:r>
            <w:r w:rsidR="00B704FA">
              <w:rPr>
                <w:noProof/>
                <w:webHidden/>
              </w:rPr>
              <w:tab/>
            </w:r>
            <w:r w:rsidR="00B704FA">
              <w:rPr>
                <w:noProof/>
                <w:webHidden/>
              </w:rPr>
              <w:fldChar w:fldCharType="begin"/>
            </w:r>
            <w:r w:rsidR="00B704FA">
              <w:rPr>
                <w:noProof/>
                <w:webHidden/>
              </w:rPr>
              <w:instrText xml:space="preserve"> PAGEREF _Toc175312082 \h </w:instrText>
            </w:r>
            <w:r w:rsidR="00B704FA">
              <w:rPr>
                <w:noProof/>
                <w:webHidden/>
              </w:rPr>
            </w:r>
            <w:r w:rsidR="00B704FA">
              <w:rPr>
                <w:noProof/>
                <w:webHidden/>
              </w:rPr>
              <w:fldChar w:fldCharType="separate"/>
            </w:r>
            <w:r w:rsidR="00290A84">
              <w:rPr>
                <w:noProof/>
                <w:webHidden/>
              </w:rPr>
              <w:t>13</w:t>
            </w:r>
            <w:r w:rsidR="00B704FA">
              <w:rPr>
                <w:noProof/>
                <w:webHidden/>
              </w:rPr>
              <w:fldChar w:fldCharType="end"/>
            </w:r>
          </w:hyperlink>
        </w:p>
        <w:p w14:paraId="35F57511" w14:textId="6CBED13E" w:rsidR="00B704FA" w:rsidRDefault="00150571">
          <w:pPr>
            <w:pStyle w:val="TOC2"/>
            <w:rPr>
              <w:rFonts w:eastAsiaTheme="minorEastAsia"/>
              <w:noProof/>
              <w:color w:val="auto"/>
              <w:kern w:val="2"/>
              <w:sz w:val="24"/>
              <w:szCs w:val="24"/>
              <w:lang w:eastAsia="en-AU"/>
              <w14:ligatures w14:val="standardContextual"/>
            </w:rPr>
          </w:pPr>
          <w:hyperlink w:anchor="_Toc175312083" w:history="1">
            <w:r w:rsidR="00B704FA" w:rsidRPr="00BF5630">
              <w:rPr>
                <w:rStyle w:val="Hyperlink"/>
                <w:noProof/>
              </w:rPr>
              <w:t>Option 3 –</w:t>
            </w:r>
            <w:r w:rsidR="0084395C">
              <w:rPr>
                <w:rStyle w:val="Hyperlink"/>
                <w:noProof/>
              </w:rPr>
              <w:t xml:space="preserve"> </w:t>
            </w:r>
            <w:r w:rsidR="00B704FA" w:rsidRPr="00BF5630">
              <w:rPr>
                <w:rStyle w:val="Hyperlink"/>
                <w:noProof/>
              </w:rPr>
              <w:t>Regulatory approach to voluntary certification</w:t>
            </w:r>
            <w:r w:rsidR="00B704FA">
              <w:rPr>
                <w:noProof/>
                <w:webHidden/>
              </w:rPr>
              <w:tab/>
            </w:r>
            <w:r w:rsidR="00B704FA">
              <w:rPr>
                <w:noProof/>
                <w:webHidden/>
              </w:rPr>
              <w:fldChar w:fldCharType="begin"/>
            </w:r>
            <w:r w:rsidR="00B704FA">
              <w:rPr>
                <w:noProof/>
                <w:webHidden/>
              </w:rPr>
              <w:instrText xml:space="preserve"> PAGEREF _Toc175312083 \h </w:instrText>
            </w:r>
            <w:r w:rsidR="00B704FA">
              <w:rPr>
                <w:noProof/>
                <w:webHidden/>
              </w:rPr>
            </w:r>
            <w:r w:rsidR="00B704FA">
              <w:rPr>
                <w:noProof/>
                <w:webHidden/>
              </w:rPr>
              <w:fldChar w:fldCharType="separate"/>
            </w:r>
            <w:r w:rsidR="00290A84">
              <w:rPr>
                <w:noProof/>
                <w:webHidden/>
              </w:rPr>
              <w:t>14</w:t>
            </w:r>
            <w:r w:rsidR="00B704FA">
              <w:rPr>
                <w:noProof/>
                <w:webHidden/>
              </w:rPr>
              <w:fldChar w:fldCharType="end"/>
            </w:r>
          </w:hyperlink>
        </w:p>
        <w:p w14:paraId="2498DD80" w14:textId="6E54BAAB"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84" w:history="1">
            <w:r w:rsidR="00B704FA" w:rsidRPr="00BF5630">
              <w:rPr>
                <w:rStyle w:val="Hyperlink"/>
              </w:rPr>
              <w:t>4. What is the likely net benefit of each option?</w:t>
            </w:r>
            <w:r w:rsidR="00B704FA">
              <w:rPr>
                <w:webHidden/>
              </w:rPr>
              <w:tab/>
            </w:r>
            <w:r w:rsidR="00B704FA">
              <w:rPr>
                <w:webHidden/>
              </w:rPr>
              <w:fldChar w:fldCharType="begin"/>
            </w:r>
            <w:r w:rsidR="00B704FA">
              <w:rPr>
                <w:webHidden/>
              </w:rPr>
              <w:instrText xml:space="preserve"> PAGEREF _Toc175312084 \h </w:instrText>
            </w:r>
            <w:r w:rsidR="00B704FA">
              <w:rPr>
                <w:webHidden/>
              </w:rPr>
            </w:r>
            <w:r w:rsidR="00B704FA">
              <w:rPr>
                <w:webHidden/>
              </w:rPr>
              <w:fldChar w:fldCharType="separate"/>
            </w:r>
            <w:r w:rsidR="00290A84">
              <w:rPr>
                <w:webHidden/>
              </w:rPr>
              <w:t>15</w:t>
            </w:r>
            <w:r w:rsidR="00B704FA">
              <w:rPr>
                <w:webHidden/>
              </w:rPr>
              <w:fldChar w:fldCharType="end"/>
            </w:r>
          </w:hyperlink>
        </w:p>
        <w:p w14:paraId="1776468D" w14:textId="252A0963" w:rsidR="00B704FA" w:rsidRDefault="00150571">
          <w:pPr>
            <w:pStyle w:val="TOC2"/>
            <w:rPr>
              <w:rFonts w:eastAsiaTheme="minorEastAsia"/>
              <w:noProof/>
              <w:color w:val="auto"/>
              <w:kern w:val="2"/>
              <w:sz w:val="24"/>
              <w:szCs w:val="24"/>
              <w:lang w:eastAsia="en-AU"/>
              <w14:ligatures w14:val="standardContextual"/>
            </w:rPr>
          </w:pPr>
          <w:hyperlink w:anchor="_Toc175312085" w:history="1">
            <w:r w:rsidR="00B704FA" w:rsidRPr="00BF5630">
              <w:rPr>
                <w:rStyle w:val="Hyperlink"/>
                <w:noProof/>
              </w:rPr>
              <w:t>Net Benefit for Option 1 – Non-regulatory approach</w:t>
            </w:r>
            <w:r w:rsidR="00B704FA">
              <w:rPr>
                <w:noProof/>
                <w:webHidden/>
              </w:rPr>
              <w:tab/>
            </w:r>
            <w:r w:rsidR="00B704FA">
              <w:rPr>
                <w:noProof/>
                <w:webHidden/>
              </w:rPr>
              <w:fldChar w:fldCharType="begin"/>
            </w:r>
            <w:r w:rsidR="00B704FA">
              <w:rPr>
                <w:noProof/>
                <w:webHidden/>
              </w:rPr>
              <w:instrText xml:space="preserve"> PAGEREF _Toc175312085 \h </w:instrText>
            </w:r>
            <w:r w:rsidR="00B704FA">
              <w:rPr>
                <w:noProof/>
                <w:webHidden/>
              </w:rPr>
            </w:r>
            <w:r w:rsidR="00B704FA">
              <w:rPr>
                <w:noProof/>
                <w:webHidden/>
              </w:rPr>
              <w:fldChar w:fldCharType="separate"/>
            </w:r>
            <w:r w:rsidR="00290A84">
              <w:rPr>
                <w:noProof/>
                <w:webHidden/>
              </w:rPr>
              <w:t>17</w:t>
            </w:r>
            <w:r w:rsidR="00B704FA">
              <w:rPr>
                <w:noProof/>
                <w:webHidden/>
              </w:rPr>
              <w:fldChar w:fldCharType="end"/>
            </w:r>
          </w:hyperlink>
        </w:p>
        <w:p w14:paraId="2F7D5AE7" w14:textId="7BE90AE1" w:rsidR="00B704FA" w:rsidRDefault="00150571">
          <w:pPr>
            <w:pStyle w:val="TOC2"/>
            <w:rPr>
              <w:rFonts w:eastAsiaTheme="minorEastAsia"/>
              <w:noProof/>
              <w:color w:val="auto"/>
              <w:kern w:val="2"/>
              <w:sz w:val="24"/>
              <w:szCs w:val="24"/>
              <w:lang w:eastAsia="en-AU"/>
              <w14:ligatures w14:val="standardContextual"/>
            </w:rPr>
          </w:pPr>
          <w:hyperlink w:anchor="_Toc175312086" w:history="1">
            <w:r w:rsidR="00B704FA" w:rsidRPr="00BF5630">
              <w:rPr>
                <w:rStyle w:val="Hyperlink"/>
                <w:noProof/>
              </w:rPr>
              <w:t>Net Benefit for Option 2 – Quasi-regulatory approach</w:t>
            </w:r>
            <w:r w:rsidR="00B704FA">
              <w:rPr>
                <w:noProof/>
                <w:webHidden/>
              </w:rPr>
              <w:tab/>
            </w:r>
            <w:r w:rsidR="00B704FA">
              <w:rPr>
                <w:noProof/>
                <w:webHidden/>
              </w:rPr>
              <w:fldChar w:fldCharType="begin"/>
            </w:r>
            <w:r w:rsidR="00B704FA">
              <w:rPr>
                <w:noProof/>
                <w:webHidden/>
              </w:rPr>
              <w:instrText xml:space="preserve"> PAGEREF _Toc175312086 \h </w:instrText>
            </w:r>
            <w:r w:rsidR="00B704FA">
              <w:rPr>
                <w:noProof/>
                <w:webHidden/>
              </w:rPr>
            </w:r>
            <w:r w:rsidR="00B704FA">
              <w:rPr>
                <w:noProof/>
                <w:webHidden/>
              </w:rPr>
              <w:fldChar w:fldCharType="separate"/>
            </w:r>
            <w:r w:rsidR="00290A84">
              <w:rPr>
                <w:noProof/>
                <w:webHidden/>
              </w:rPr>
              <w:t>18</w:t>
            </w:r>
            <w:r w:rsidR="00B704FA">
              <w:rPr>
                <w:noProof/>
                <w:webHidden/>
              </w:rPr>
              <w:fldChar w:fldCharType="end"/>
            </w:r>
          </w:hyperlink>
        </w:p>
        <w:p w14:paraId="771514ED" w14:textId="3438C08C" w:rsidR="00B704FA" w:rsidRDefault="00150571">
          <w:pPr>
            <w:pStyle w:val="TOC2"/>
            <w:rPr>
              <w:rFonts w:eastAsiaTheme="minorEastAsia"/>
              <w:noProof/>
              <w:color w:val="auto"/>
              <w:kern w:val="2"/>
              <w:sz w:val="24"/>
              <w:szCs w:val="24"/>
              <w:lang w:eastAsia="en-AU"/>
              <w14:ligatures w14:val="standardContextual"/>
            </w:rPr>
          </w:pPr>
          <w:hyperlink w:anchor="_Toc175312087" w:history="1">
            <w:r w:rsidR="00B704FA" w:rsidRPr="00BF5630">
              <w:rPr>
                <w:rStyle w:val="Hyperlink"/>
                <w:noProof/>
              </w:rPr>
              <w:t>Net Benefit for Option 3 – Regulatory approach</w:t>
            </w:r>
            <w:r w:rsidR="00B704FA">
              <w:rPr>
                <w:noProof/>
                <w:webHidden/>
              </w:rPr>
              <w:tab/>
            </w:r>
            <w:r w:rsidR="00B704FA">
              <w:rPr>
                <w:noProof/>
                <w:webHidden/>
              </w:rPr>
              <w:fldChar w:fldCharType="begin"/>
            </w:r>
            <w:r w:rsidR="00B704FA">
              <w:rPr>
                <w:noProof/>
                <w:webHidden/>
              </w:rPr>
              <w:instrText xml:space="preserve"> PAGEREF _Toc175312087 \h </w:instrText>
            </w:r>
            <w:r w:rsidR="00B704FA">
              <w:rPr>
                <w:noProof/>
                <w:webHidden/>
              </w:rPr>
            </w:r>
            <w:r w:rsidR="00B704FA">
              <w:rPr>
                <w:noProof/>
                <w:webHidden/>
              </w:rPr>
              <w:fldChar w:fldCharType="separate"/>
            </w:r>
            <w:r w:rsidR="00290A84">
              <w:rPr>
                <w:noProof/>
                <w:webHidden/>
              </w:rPr>
              <w:t>20</w:t>
            </w:r>
            <w:r w:rsidR="00B704FA">
              <w:rPr>
                <w:noProof/>
                <w:webHidden/>
              </w:rPr>
              <w:fldChar w:fldCharType="end"/>
            </w:r>
          </w:hyperlink>
        </w:p>
        <w:p w14:paraId="7ED0AD19" w14:textId="1F6CA8E7"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88" w:history="1">
            <w:r w:rsidR="00B704FA" w:rsidRPr="00BF5630">
              <w:rPr>
                <w:rStyle w:val="Hyperlink"/>
              </w:rPr>
              <w:t>5. Who did you consult and how did you incorporate their feedback?</w:t>
            </w:r>
            <w:r w:rsidR="00B704FA">
              <w:rPr>
                <w:webHidden/>
              </w:rPr>
              <w:tab/>
            </w:r>
            <w:r w:rsidR="00B704FA">
              <w:rPr>
                <w:webHidden/>
              </w:rPr>
              <w:fldChar w:fldCharType="begin"/>
            </w:r>
            <w:r w:rsidR="00B704FA">
              <w:rPr>
                <w:webHidden/>
              </w:rPr>
              <w:instrText xml:space="preserve"> PAGEREF _Toc175312088 \h </w:instrText>
            </w:r>
            <w:r w:rsidR="00B704FA">
              <w:rPr>
                <w:webHidden/>
              </w:rPr>
            </w:r>
            <w:r w:rsidR="00B704FA">
              <w:rPr>
                <w:webHidden/>
              </w:rPr>
              <w:fldChar w:fldCharType="separate"/>
            </w:r>
            <w:r w:rsidR="00290A84">
              <w:rPr>
                <w:webHidden/>
              </w:rPr>
              <w:t>25</w:t>
            </w:r>
            <w:r w:rsidR="00B704FA">
              <w:rPr>
                <w:webHidden/>
              </w:rPr>
              <w:fldChar w:fldCharType="end"/>
            </w:r>
          </w:hyperlink>
        </w:p>
        <w:p w14:paraId="268D9297" w14:textId="41E606FE" w:rsidR="00B704FA" w:rsidRDefault="00150571">
          <w:pPr>
            <w:pStyle w:val="TOC1"/>
            <w:tabs>
              <w:tab w:val="left" w:pos="720"/>
            </w:tabs>
            <w:rPr>
              <w:rFonts w:asciiTheme="minorHAnsi" w:eastAsiaTheme="minorEastAsia" w:hAnsiTheme="minorHAnsi" w:cstheme="minorBidi"/>
              <w:color w:val="auto"/>
              <w:kern w:val="2"/>
              <w:sz w:val="24"/>
              <w:szCs w:val="24"/>
              <w:lang w:eastAsia="en-AU"/>
              <w14:ligatures w14:val="standardContextual"/>
            </w:rPr>
          </w:pPr>
          <w:hyperlink w:anchor="_Toc175312089" w:history="1">
            <w:r w:rsidR="00B704FA" w:rsidRPr="00BF5630">
              <w:rPr>
                <w:rStyle w:val="Hyperlink"/>
              </w:rPr>
              <w:t>6.</w:t>
            </w:r>
            <w:r w:rsidR="0084395C">
              <w:rPr>
                <w:rStyle w:val="Hyperlink"/>
              </w:rPr>
              <w:t xml:space="preserve"> </w:t>
            </w:r>
            <w:r w:rsidR="00B704FA" w:rsidRPr="00BF5630">
              <w:rPr>
                <w:rStyle w:val="Hyperlink"/>
              </w:rPr>
              <w:t>What is the best option from those you have considered?</w:t>
            </w:r>
            <w:r w:rsidR="00B704FA">
              <w:rPr>
                <w:webHidden/>
              </w:rPr>
              <w:tab/>
            </w:r>
            <w:r w:rsidR="00B704FA">
              <w:rPr>
                <w:webHidden/>
              </w:rPr>
              <w:fldChar w:fldCharType="begin"/>
            </w:r>
            <w:r w:rsidR="00B704FA">
              <w:rPr>
                <w:webHidden/>
              </w:rPr>
              <w:instrText xml:space="preserve"> PAGEREF _Toc175312089 \h </w:instrText>
            </w:r>
            <w:r w:rsidR="00B704FA">
              <w:rPr>
                <w:webHidden/>
              </w:rPr>
            </w:r>
            <w:r w:rsidR="00B704FA">
              <w:rPr>
                <w:webHidden/>
              </w:rPr>
              <w:fldChar w:fldCharType="separate"/>
            </w:r>
            <w:r w:rsidR="00290A84">
              <w:rPr>
                <w:webHidden/>
              </w:rPr>
              <w:t>30</w:t>
            </w:r>
            <w:r w:rsidR="00B704FA">
              <w:rPr>
                <w:webHidden/>
              </w:rPr>
              <w:fldChar w:fldCharType="end"/>
            </w:r>
          </w:hyperlink>
        </w:p>
        <w:p w14:paraId="203D8419" w14:textId="176E6A07"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90" w:history="1">
            <w:r w:rsidR="00B704FA" w:rsidRPr="00BF5630">
              <w:rPr>
                <w:rStyle w:val="Hyperlink"/>
              </w:rPr>
              <w:t>7. How will you implement and evaluate your chosen option?</w:t>
            </w:r>
            <w:r w:rsidR="00B704FA">
              <w:rPr>
                <w:webHidden/>
              </w:rPr>
              <w:tab/>
            </w:r>
            <w:r w:rsidR="00B704FA">
              <w:rPr>
                <w:webHidden/>
              </w:rPr>
              <w:fldChar w:fldCharType="begin"/>
            </w:r>
            <w:r w:rsidR="00B704FA">
              <w:rPr>
                <w:webHidden/>
              </w:rPr>
              <w:instrText xml:space="preserve"> PAGEREF _Toc175312090 \h </w:instrText>
            </w:r>
            <w:r w:rsidR="00B704FA">
              <w:rPr>
                <w:webHidden/>
              </w:rPr>
            </w:r>
            <w:r w:rsidR="00B704FA">
              <w:rPr>
                <w:webHidden/>
              </w:rPr>
              <w:fldChar w:fldCharType="separate"/>
            </w:r>
            <w:r w:rsidR="00290A84">
              <w:rPr>
                <w:webHidden/>
              </w:rPr>
              <w:t>32</w:t>
            </w:r>
            <w:r w:rsidR="00B704FA">
              <w:rPr>
                <w:webHidden/>
              </w:rPr>
              <w:fldChar w:fldCharType="end"/>
            </w:r>
          </w:hyperlink>
        </w:p>
        <w:p w14:paraId="7301735E" w14:textId="78ECF215"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91" w:history="1">
            <w:r w:rsidR="00B704FA" w:rsidRPr="00BF5630">
              <w:rPr>
                <w:rStyle w:val="Hyperlink"/>
                <w:bCs/>
              </w:rPr>
              <w:t xml:space="preserve">Appendix (i) </w:t>
            </w:r>
            <w:r w:rsidR="00B704FA" w:rsidRPr="00BF5630">
              <w:rPr>
                <w:rStyle w:val="Hyperlink"/>
              </w:rPr>
              <w:t>- Comparison and interactions between Australian Government GO Scheme and other schemes</w:t>
            </w:r>
            <w:r w:rsidR="00B704FA">
              <w:rPr>
                <w:webHidden/>
              </w:rPr>
              <w:tab/>
            </w:r>
            <w:r w:rsidR="00B704FA">
              <w:rPr>
                <w:webHidden/>
              </w:rPr>
              <w:fldChar w:fldCharType="begin"/>
            </w:r>
            <w:r w:rsidR="00B704FA">
              <w:rPr>
                <w:webHidden/>
              </w:rPr>
              <w:instrText xml:space="preserve"> PAGEREF _Toc175312091 \h </w:instrText>
            </w:r>
            <w:r w:rsidR="00B704FA">
              <w:rPr>
                <w:webHidden/>
              </w:rPr>
            </w:r>
            <w:r w:rsidR="00B704FA">
              <w:rPr>
                <w:webHidden/>
              </w:rPr>
              <w:fldChar w:fldCharType="separate"/>
            </w:r>
            <w:r w:rsidR="00290A84">
              <w:rPr>
                <w:webHidden/>
              </w:rPr>
              <w:t>36</w:t>
            </w:r>
            <w:r w:rsidR="00B704FA">
              <w:rPr>
                <w:webHidden/>
              </w:rPr>
              <w:fldChar w:fldCharType="end"/>
            </w:r>
          </w:hyperlink>
        </w:p>
        <w:p w14:paraId="19B3D782" w14:textId="412B8A6F" w:rsidR="00B704FA" w:rsidRDefault="00150571">
          <w:pPr>
            <w:pStyle w:val="TOC1"/>
            <w:rPr>
              <w:rFonts w:asciiTheme="minorHAnsi" w:eastAsiaTheme="minorEastAsia" w:hAnsiTheme="minorHAnsi" w:cstheme="minorBidi"/>
              <w:color w:val="auto"/>
              <w:kern w:val="2"/>
              <w:sz w:val="24"/>
              <w:szCs w:val="24"/>
              <w:lang w:eastAsia="en-AU"/>
              <w14:ligatures w14:val="standardContextual"/>
            </w:rPr>
          </w:pPr>
          <w:hyperlink w:anchor="_Toc175312092" w:history="1">
            <w:r w:rsidR="00DC3E50">
              <w:rPr>
                <w:rStyle w:val="Hyperlink"/>
                <w:bCs/>
              </w:rPr>
              <w:t>Ap</w:t>
            </w:r>
            <w:r w:rsidR="00B704FA" w:rsidRPr="00DC3E50">
              <w:rPr>
                <w:rStyle w:val="Hyperlink"/>
                <w:bCs/>
              </w:rPr>
              <w:t>pendix (ii) – Regulatory burden estimate</w:t>
            </w:r>
            <w:r w:rsidR="00B704FA">
              <w:rPr>
                <w:webHidden/>
              </w:rPr>
              <w:tab/>
            </w:r>
            <w:r w:rsidR="00B704FA">
              <w:rPr>
                <w:webHidden/>
              </w:rPr>
              <w:fldChar w:fldCharType="begin"/>
            </w:r>
            <w:r w:rsidR="00B704FA">
              <w:rPr>
                <w:webHidden/>
              </w:rPr>
              <w:instrText xml:space="preserve"> PAGEREF _Toc175312092 \h </w:instrText>
            </w:r>
            <w:r w:rsidR="00B704FA">
              <w:rPr>
                <w:webHidden/>
              </w:rPr>
            </w:r>
            <w:r w:rsidR="00B704FA">
              <w:rPr>
                <w:webHidden/>
              </w:rPr>
              <w:fldChar w:fldCharType="separate"/>
            </w:r>
            <w:r w:rsidR="00290A84">
              <w:rPr>
                <w:webHidden/>
              </w:rPr>
              <w:t>40</w:t>
            </w:r>
            <w:r w:rsidR="00B704FA">
              <w:rPr>
                <w:webHidden/>
              </w:rPr>
              <w:fldChar w:fldCharType="end"/>
            </w:r>
          </w:hyperlink>
        </w:p>
        <w:p w14:paraId="1FD59554" w14:textId="326FB25F" w:rsidR="0016798E" w:rsidRDefault="0016798E" w:rsidP="00E04467">
          <w:pPr>
            <w:pStyle w:val="TOC1"/>
          </w:pPr>
          <w:r>
            <w:fldChar w:fldCharType="end"/>
          </w:r>
        </w:p>
      </w:sdtContent>
    </w:sdt>
    <w:p w14:paraId="2EF2BEE3" w14:textId="3DC2AF09" w:rsidR="0016798E" w:rsidRDefault="0016798E">
      <w:pPr>
        <w:rPr>
          <w:rFonts w:asciiTheme="majorHAnsi" w:hAnsiTheme="majorHAnsi"/>
          <w:b/>
          <w:color w:val="014463" w:themeColor="text2"/>
          <w:sz w:val="40"/>
          <w:szCs w:val="40"/>
        </w:rPr>
      </w:pPr>
      <w:r>
        <w:rPr>
          <w:sz w:val="40"/>
          <w:szCs w:val="40"/>
        </w:rPr>
        <w:br w:type="page"/>
      </w:r>
    </w:p>
    <w:p w14:paraId="10C6DC1A" w14:textId="38BEA22A" w:rsidR="005F7DB5" w:rsidRPr="00582168" w:rsidRDefault="005F7DB5" w:rsidP="005F7DB5">
      <w:pPr>
        <w:pStyle w:val="Title"/>
        <w:rPr>
          <w:sz w:val="36"/>
          <w:szCs w:val="36"/>
        </w:rPr>
      </w:pPr>
      <w:bookmarkStart w:id="4" w:name="_Toc1256911754"/>
      <w:bookmarkStart w:id="5" w:name="_Toc175312076"/>
      <w:r w:rsidRPr="00582168">
        <w:rPr>
          <w:sz w:val="36"/>
          <w:szCs w:val="36"/>
        </w:rPr>
        <w:lastRenderedPageBreak/>
        <w:t xml:space="preserve">Key </w:t>
      </w:r>
      <w:r>
        <w:rPr>
          <w:sz w:val="36"/>
          <w:szCs w:val="36"/>
        </w:rPr>
        <w:t>t</w:t>
      </w:r>
      <w:r w:rsidRPr="00582168">
        <w:rPr>
          <w:sz w:val="36"/>
          <w:szCs w:val="36"/>
        </w:rPr>
        <w:t>erms</w:t>
      </w:r>
      <w:bookmarkEnd w:id="4"/>
      <w:bookmarkEnd w:id="5"/>
    </w:p>
    <w:p w14:paraId="07306B08" w14:textId="4CAE3F88" w:rsidR="00997D18" w:rsidRDefault="00997D18" w:rsidP="00E57058">
      <w:pPr>
        <w:pStyle w:val="Caption"/>
        <w:ind w:left="0" w:firstLine="0"/>
      </w:pPr>
    </w:p>
    <w:tbl>
      <w:tblPr>
        <w:tblStyle w:val="EPLTableStandard"/>
        <w:tblW w:w="0" w:type="auto"/>
        <w:tblLook w:val="04A0" w:firstRow="1" w:lastRow="0" w:firstColumn="1" w:lastColumn="0" w:noHBand="0" w:noVBand="1"/>
        <w:tblCaption w:val="Glossary of terms"/>
        <w:tblDescription w:val="Provides a brief description of all terms included within the paper in alphabetical order."/>
      </w:tblPr>
      <w:tblGrid>
        <w:gridCol w:w="1411"/>
        <w:gridCol w:w="8787"/>
      </w:tblGrid>
      <w:tr w:rsidR="005F7DB5" w14:paraId="4999B1CC" w14:textId="77777777" w:rsidTr="00E76953">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hideMark/>
          </w:tcPr>
          <w:p w14:paraId="37F687EB" w14:textId="77777777" w:rsidR="005F7DB5" w:rsidRPr="00DC3E50" w:rsidRDefault="005F7DB5">
            <w:pPr>
              <w:rPr>
                <w:rFonts w:asciiTheme="minorHAnsi" w:hAnsiTheme="minorHAnsi" w:cstheme="minorHAnsi"/>
                <w:b w:val="0"/>
                <w:sz w:val="20"/>
                <w:szCs w:val="20"/>
              </w:rPr>
            </w:pPr>
            <w:r w:rsidRPr="00DC3E50">
              <w:rPr>
                <w:rFonts w:asciiTheme="minorHAnsi" w:hAnsiTheme="minorHAnsi" w:cstheme="minorHAnsi"/>
                <w:sz w:val="20"/>
                <w:szCs w:val="20"/>
              </w:rPr>
              <w:t xml:space="preserve">Term </w:t>
            </w:r>
          </w:p>
        </w:tc>
        <w:tc>
          <w:tcPr>
            <w:tcW w:w="8793" w:type="dxa"/>
            <w:hideMark/>
          </w:tcPr>
          <w:p w14:paraId="07C91E3D" w14:textId="77777777" w:rsidR="005F7DB5" w:rsidRPr="00DC3E50" w:rsidRDefault="005F7DB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C3E50">
              <w:rPr>
                <w:rFonts w:asciiTheme="minorHAnsi" w:hAnsiTheme="minorHAnsi" w:cstheme="minorHAnsi"/>
                <w:sz w:val="20"/>
                <w:szCs w:val="20"/>
              </w:rPr>
              <w:t>Definition</w:t>
            </w:r>
          </w:p>
        </w:tc>
      </w:tr>
      <w:tr w:rsidR="005F7DB5" w:rsidRPr="00822A8F" w14:paraId="4A94C7BF" w14:textId="77777777" w:rsidTr="00E76953">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11" w:type="dxa"/>
          </w:tcPr>
          <w:p w14:paraId="2846BC52"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ACCUs</w:t>
            </w:r>
          </w:p>
        </w:tc>
        <w:tc>
          <w:tcPr>
            <w:tcW w:w="8793" w:type="dxa"/>
          </w:tcPr>
          <w:p w14:paraId="3CB36E21"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Australian Carbon Credit Units</w:t>
            </w:r>
            <w:r w:rsidRPr="00DC3E50">
              <w:rPr>
                <w:rFonts w:asciiTheme="minorHAnsi" w:hAnsiTheme="minorHAnsi" w:cstheme="minorHAnsi"/>
                <w:sz w:val="20"/>
                <w:szCs w:val="20"/>
              </w:rPr>
              <w:t xml:space="preserve"> – a unit representing one tonne of carbon dioxide equivalent (tCO2-e) stored or avoided by eligible activities undertaken as part of the Australian Government’s Emissions Reduction Fund.</w:t>
            </w:r>
          </w:p>
        </w:tc>
      </w:tr>
      <w:tr w:rsidR="005F7DB5" w:rsidRPr="00822A8F" w14:paraId="38CB64C3" w14:textId="77777777" w:rsidTr="00E76953">
        <w:trPr>
          <w:cnfStyle w:val="000000010000" w:firstRow="0" w:lastRow="0" w:firstColumn="0" w:lastColumn="0" w:oddVBand="0" w:evenVBand="0" w:oddHBand="0" w:evenHBand="1"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411" w:type="dxa"/>
          </w:tcPr>
          <w:p w14:paraId="48BFC978"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ARC</w:t>
            </w:r>
          </w:p>
        </w:tc>
        <w:tc>
          <w:tcPr>
            <w:tcW w:w="8793" w:type="dxa"/>
          </w:tcPr>
          <w:p w14:paraId="00A0EDB2"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 xml:space="preserve">Annual Reconciliation Check </w:t>
            </w:r>
            <w:r w:rsidRPr="00DC3E50">
              <w:rPr>
                <w:rFonts w:asciiTheme="minorHAnsi" w:hAnsiTheme="minorHAnsi" w:cstheme="minorHAnsi"/>
                <w:sz w:val="20"/>
                <w:szCs w:val="20"/>
              </w:rPr>
              <w:t>is an electronic report submitted through the CER GO system to confirm or correct all reported information from the previous year.</w:t>
            </w:r>
          </w:p>
        </w:tc>
      </w:tr>
      <w:tr w:rsidR="005F7DB5" w14:paraId="60860A5A" w14:textId="77777777" w:rsidTr="00992F58">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411" w:type="dxa"/>
          </w:tcPr>
          <w:p w14:paraId="4FE5E5BC"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Carbon Offsets</w:t>
            </w:r>
          </w:p>
        </w:tc>
        <w:tc>
          <w:tcPr>
            <w:tcW w:w="8793" w:type="dxa"/>
          </w:tcPr>
          <w:p w14:paraId="41AB37BC" w14:textId="295A710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lang w:val="en"/>
              </w:rPr>
              <w:t xml:space="preserve">Units </w:t>
            </w:r>
            <w:r w:rsidRPr="00DC3E50">
              <w:rPr>
                <w:rFonts w:asciiTheme="minorHAnsi" w:hAnsiTheme="minorHAnsi" w:cstheme="minorHAnsi"/>
                <w:sz w:val="20"/>
                <w:szCs w:val="20"/>
              </w:rPr>
              <w:t>representing carbon dioxide equivalent net abatement generated</w:t>
            </w:r>
            <w:r w:rsidRPr="00DC3E50">
              <w:rPr>
                <w:rFonts w:asciiTheme="minorHAnsi" w:hAnsiTheme="minorHAnsi" w:cstheme="minorHAnsi"/>
                <w:sz w:val="20"/>
                <w:szCs w:val="20"/>
                <w:lang w:val="en"/>
              </w:rPr>
              <w:t xml:space="preserve"> by projects that reduce, remove or capture emissions from the atmosphere such as reforestation, renewable </w:t>
            </w:r>
            <w:r w:rsidR="005D03C7" w:rsidRPr="00DC3E50">
              <w:rPr>
                <w:rFonts w:asciiTheme="minorHAnsi" w:hAnsiTheme="minorHAnsi" w:cstheme="minorHAnsi"/>
                <w:sz w:val="20"/>
                <w:szCs w:val="20"/>
                <w:lang w:val="en"/>
              </w:rPr>
              <w:t>energy,</w:t>
            </w:r>
            <w:r w:rsidRPr="00DC3E50">
              <w:rPr>
                <w:rFonts w:asciiTheme="minorHAnsi" w:hAnsiTheme="minorHAnsi" w:cstheme="minorHAnsi"/>
                <w:sz w:val="20"/>
                <w:szCs w:val="20"/>
                <w:lang w:val="en"/>
              </w:rPr>
              <w:t xml:space="preserve"> or energy efficiency.</w:t>
            </w:r>
          </w:p>
        </w:tc>
      </w:tr>
      <w:tr w:rsidR="005F7DB5" w:rsidRPr="00822A8F" w14:paraId="1332223A" w14:textId="77777777" w:rsidTr="00E76953">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411" w:type="dxa"/>
          </w:tcPr>
          <w:p w14:paraId="1147FD7C"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CCS</w:t>
            </w:r>
          </w:p>
        </w:tc>
        <w:tc>
          <w:tcPr>
            <w:tcW w:w="8793" w:type="dxa"/>
          </w:tcPr>
          <w:p w14:paraId="11D428E9"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 xml:space="preserve">Carbon Capture and Storage - </w:t>
            </w:r>
            <w:r w:rsidRPr="00DC3E50">
              <w:rPr>
                <w:rFonts w:asciiTheme="minorHAnsi" w:hAnsiTheme="minorHAnsi" w:cstheme="minorHAnsi"/>
                <w:sz w:val="20"/>
                <w:szCs w:val="20"/>
              </w:rPr>
              <w:t xml:space="preserve">the process of capturing and permanently storing carbon emissions </w:t>
            </w:r>
          </w:p>
        </w:tc>
      </w:tr>
      <w:tr w:rsidR="005F7DB5" w:rsidRPr="001C410B" w14:paraId="17FCE7AA"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0557CBAA"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CER</w:t>
            </w:r>
          </w:p>
        </w:tc>
        <w:tc>
          <w:tcPr>
            <w:tcW w:w="8793" w:type="dxa"/>
          </w:tcPr>
          <w:p w14:paraId="142CDBE7" w14:textId="09DE89CB"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Clean Energy Regulator</w:t>
            </w:r>
            <w:r w:rsidR="003F77D9" w:rsidRPr="00DC3E50">
              <w:rPr>
                <w:rFonts w:asciiTheme="minorHAnsi" w:hAnsiTheme="minorHAnsi" w:cstheme="minorHAnsi"/>
                <w:b/>
                <w:sz w:val="20"/>
                <w:szCs w:val="20"/>
              </w:rPr>
              <w:t xml:space="preserve"> </w:t>
            </w:r>
            <w:r w:rsidR="003F77D9" w:rsidRPr="00DC3E50">
              <w:rPr>
                <w:rFonts w:asciiTheme="minorHAnsi" w:hAnsiTheme="minorHAnsi" w:cstheme="minorHAnsi"/>
                <w:bCs/>
                <w:sz w:val="20"/>
                <w:szCs w:val="20"/>
              </w:rPr>
              <w:t>is an independent statutory authority</w:t>
            </w:r>
            <w:r w:rsidR="00E22241" w:rsidRPr="00DC3E50">
              <w:rPr>
                <w:rFonts w:asciiTheme="minorHAnsi" w:hAnsiTheme="minorHAnsi" w:cstheme="minorHAnsi"/>
                <w:bCs/>
                <w:sz w:val="20"/>
                <w:szCs w:val="20"/>
              </w:rPr>
              <w:t xml:space="preserve"> established by the </w:t>
            </w:r>
            <w:r w:rsidR="00E22241" w:rsidRPr="00DC3E50">
              <w:rPr>
                <w:rFonts w:asciiTheme="minorHAnsi" w:hAnsiTheme="minorHAnsi" w:cstheme="minorHAnsi"/>
                <w:bCs/>
                <w:i/>
                <w:iCs/>
                <w:sz w:val="20"/>
                <w:szCs w:val="20"/>
              </w:rPr>
              <w:t xml:space="preserve">Clean Energy Regulator Act 2011 </w:t>
            </w:r>
            <w:r w:rsidR="008155F6" w:rsidRPr="00DC3E50">
              <w:rPr>
                <w:rFonts w:asciiTheme="minorHAnsi" w:hAnsiTheme="minorHAnsi" w:cstheme="minorHAnsi"/>
                <w:bCs/>
                <w:sz w:val="20"/>
                <w:szCs w:val="20"/>
              </w:rPr>
              <w:t>that administer</w:t>
            </w:r>
            <w:r w:rsidR="00FB2C63" w:rsidRPr="00DC3E50">
              <w:rPr>
                <w:rFonts w:asciiTheme="minorHAnsi" w:hAnsiTheme="minorHAnsi" w:cstheme="minorHAnsi"/>
                <w:bCs/>
                <w:sz w:val="20"/>
                <w:szCs w:val="20"/>
              </w:rPr>
              <w:t>s</w:t>
            </w:r>
            <w:r w:rsidR="008155F6" w:rsidRPr="00DC3E50">
              <w:rPr>
                <w:rFonts w:asciiTheme="minorHAnsi" w:hAnsiTheme="minorHAnsi" w:cstheme="minorHAnsi"/>
                <w:bCs/>
                <w:sz w:val="20"/>
                <w:szCs w:val="20"/>
              </w:rPr>
              <w:t xml:space="preserve"> clean energy </w:t>
            </w:r>
            <w:r w:rsidR="003C5F8A" w:rsidRPr="00DC3E50">
              <w:rPr>
                <w:rFonts w:asciiTheme="minorHAnsi" w:hAnsiTheme="minorHAnsi" w:cstheme="minorHAnsi"/>
                <w:bCs/>
                <w:sz w:val="20"/>
                <w:szCs w:val="20"/>
              </w:rPr>
              <w:t xml:space="preserve">related </w:t>
            </w:r>
            <w:r w:rsidR="008155F6" w:rsidRPr="00DC3E50">
              <w:rPr>
                <w:rFonts w:asciiTheme="minorHAnsi" w:hAnsiTheme="minorHAnsi" w:cstheme="minorHAnsi"/>
                <w:bCs/>
                <w:sz w:val="20"/>
                <w:szCs w:val="20"/>
              </w:rPr>
              <w:t>regulatory schemes</w:t>
            </w:r>
            <w:r w:rsidR="00FB2C63" w:rsidRPr="00DC3E50">
              <w:rPr>
                <w:rFonts w:asciiTheme="minorHAnsi" w:hAnsiTheme="minorHAnsi" w:cstheme="minorHAnsi"/>
                <w:bCs/>
                <w:sz w:val="20"/>
                <w:szCs w:val="20"/>
              </w:rPr>
              <w:t xml:space="preserve"> for the Australian Government.</w:t>
            </w:r>
          </w:p>
        </w:tc>
      </w:tr>
      <w:tr w:rsidR="005F7DB5" w:rsidRPr="001C410B" w14:paraId="4C95E93E" w14:textId="77777777" w:rsidTr="00E76953">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411" w:type="dxa"/>
          </w:tcPr>
          <w:p w14:paraId="5C5027D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CERT</w:t>
            </w:r>
          </w:p>
        </w:tc>
        <w:tc>
          <w:tcPr>
            <w:tcW w:w="8793" w:type="dxa"/>
          </w:tcPr>
          <w:p w14:paraId="0A146C93" w14:textId="4C09E9E8"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sz w:val="20"/>
                <w:szCs w:val="20"/>
              </w:rPr>
              <w:t>The</w:t>
            </w:r>
            <w:r w:rsidRPr="00DC3E50">
              <w:rPr>
                <w:rFonts w:asciiTheme="minorHAnsi" w:hAnsiTheme="minorHAnsi" w:cstheme="minorHAnsi"/>
                <w:b/>
                <w:sz w:val="20"/>
                <w:szCs w:val="20"/>
              </w:rPr>
              <w:t xml:space="preserve"> Corporate Emissions Reduction Transparency </w:t>
            </w:r>
            <w:r w:rsidRPr="00DC3E50">
              <w:rPr>
                <w:rFonts w:asciiTheme="minorHAnsi" w:hAnsiTheme="minorHAnsi" w:cstheme="minorHAnsi"/>
                <w:sz w:val="20"/>
                <w:szCs w:val="20"/>
              </w:rPr>
              <w:t xml:space="preserve">report is a voluntary initiative for eligible companies to present a snapshot of their climate-related commitments, </w:t>
            </w:r>
            <w:r w:rsidR="005D03C7" w:rsidRPr="00DC3E50">
              <w:rPr>
                <w:rFonts w:asciiTheme="minorHAnsi" w:hAnsiTheme="minorHAnsi" w:cstheme="minorHAnsi"/>
                <w:sz w:val="20"/>
                <w:szCs w:val="20"/>
              </w:rPr>
              <w:t>progress,</w:t>
            </w:r>
            <w:r w:rsidRPr="00DC3E50">
              <w:rPr>
                <w:rFonts w:asciiTheme="minorHAnsi" w:hAnsiTheme="minorHAnsi" w:cstheme="minorHAnsi"/>
                <w:sz w:val="20"/>
                <w:szCs w:val="20"/>
              </w:rPr>
              <w:t xml:space="preserve"> and net emissions position, published by the CER.</w:t>
            </w:r>
          </w:p>
        </w:tc>
      </w:tr>
      <w:tr w:rsidR="00AF4C9A" w:rsidRPr="001C410B" w14:paraId="57838AED" w14:textId="77777777" w:rsidTr="00E7695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411" w:type="dxa"/>
          </w:tcPr>
          <w:p w14:paraId="15576A1D" w14:textId="17B725E4" w:rsidR="00AF4C9A" w:rsidRPr="00DC3E50" w:rsidRDefault="00566016">
            <w:pPr>
              <w:rPr>
                <w:rFonts w:asciiTheme="minorHAnsi" w:hAnsiTheme="minorHAnsi" w:cstheme="minorHAnsi"/>
                <w:sz w:val="20"/>
                <w:szCs w:val="20"/>
              </w:rPr>
            </w:pPr>
            <w:r w:rsidRPr="00DC3E50">
              <w:rPr>
                <w:rFonts w:asciiTheme="minorHAnsi" w:hAnsiTheme="minorHAnsi" w:cstheme="minorHAnsi"/>
                <w:sz w:val="20"/>
                <w:szCs w:val="20"/>
              </w:rPr>
              <w:t>Chain of custody</w:t>
            </w:r>
          </w:p>
        </w:tc>
        <w:tc>
          <w:tcPr>
            <w:tcW w:w="8793" w:type="dxa"/>
          </w:tcPr>
          <w:p w14:paraId="558E84A5" w14:textId="239975D0" w:rsidR="00AF4C9A" w:rsidRPr="00DC3E50" w:rsidRDefault="00822D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Refers to how </w:t>
            </w:r>
            <w:r w:rsidR="00D30A8C" w:rsidRPr="00DC3E50">
              <w:rPr>
                <w:rFonts w:asciiTheme="minorHAnsi" w:hAnsiTheme="minorHAnsi" w:cstheme="minorHAnsi"/>
                <w:sz w:val="20"/>
                <w:szCs w:val="20"/>
              </w:rPr>
              <w:t>a</w:t>
            </w:r>
            <w:r w:rsidRPr="00DC3E50">
              <w:rPr>
                <w:rFonts w:asciiTheme="minorHAnsi" w:hAnsiTheme="minorHAnsi" w:cstheme="minorHAnsi"/>
                <w:sz w:val="20"/>
                <w:szCs w:val="20"/>
              </w:rPr>
              <w:t xml:space="preserve"> GO certificate is allowed to be transferred relative to the transfer of the associated product or renewable electricity throughout the supply chain. There are two main certificate chain of custody approaches facilitated under the GO </w:t>
            </w:r>
            <w:r w:rsidR="005D03C7" w:rsidRPr="00DC3E50">
              <w:rPr>
                <w:rFonts w:asciiTheme="minorHAnsi" w:hAnsiTheme="minorHAnsi" w:cstheme="minorHAnsi"/>
                <w:sz w:val="20"/>
                <w:szCs w:val="20"/>
              </w:rPr>
              <w:t>scheme:</w:t>
            </w:r>
            <w:r w:rsidRPr="00DC3E50">
              <w:rPr>
                <w:rFonts w:asciiTheme="minorHAnsi" w:hAnsiTheme="minorHAnsi" w:cstheme="minorHAnsi"/>
                <w:sz w:val="20"/>
                <w:szCs w:val="20"/>
              </w:rPr>
              <w:t xml:space="preserve"> mass-balance and book-and-claim. Mass-balance certification tracks products through the physical supply chain, including when the product is </w:t>
            </w:r>
            <w:r w:rsidR="00D4566D" w:rsidRPr="00DC3E50">
              <w:rPr>
                <w:rFonts w:asciiTheme="minorHAnsi" w:hAnsiTheme="minorHAnsi" w:cstheme="minorHAnsi"/>
                <w:sz w:val="20"/>
                <w:szCs w:val="20"/>
              </w:rPr>
              <w:t>b</w:t>
            </w:r>
            <w:r w:rsidR="00D53D56" w:rsidRPr="00DC3E50">
              <w:rPr>
                <w:rFonts w:asciiTheme="minorHAnsi" w:hAnsiTheme="minorHAnsi" w:cstheme="minorHAnsi"/>
                <w:sz w:val="20"/>
                <w:szCs w:val="20"/>
              </w:rPr>
              <w:t>lended</w:t>
            </w:r>
            <w:r w:rsidRPr="00DC3E50">
              <w:rPr>
                <w:rFonts w:asciiTheme="minorHAnsi" w:hAnsiTheme="minorHAnsi" w:cstheme="minorHAnsi"/>
                <w:sz w:val="20"/>
                <w:szCs w:val="20"/>
              </w:rPr>
              <w:t>, to ensure emissions and other attributes are allocated appropriately. Book-and-claim allows certification of certain attributes disconnected from the physical flow of the goods themselves (e.g. electricity in a network).</w:t>
            </w:r>
          </w:p>
        </w:tc>
      </w:tr>
      <w:tr w:rsidR="005F7DB5" w14:paraId="0D33581C" w14:textId="77777777" w:rsidTr="00E76953">
        <w:trPr>
          <w:cnfStyle w:val="000000010000" w:firstRow="0" w:lastRow="0" w:firstColumn="0" w:lastColumn="0" w:oddVBand="0" w:evenVBand="0" w:oddHBand="0" w:evenHBand="1"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1411" w:type="dxa"/>
          </w:tcPr>
          <w:p w14:paraId="2B5E463C"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Climate Active</w:t>
            </w:r>
          </w:p>
        </w:tc>
        <w:tc>
          <w:tcPr>
            <w:tcW w:w="8793" w:type="dxa"/>
          </w:tcPr>
          <w:p w14:paraId="5AB92E55" w14:textId="28404642" w:rsidR="005F7DB5" w:rsidRPr="00DC3E50" w:rsidRDefault="005762E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Style w:val="Strong"/>
                <w:rFonts w:asciiTheme="minorHAnsi" w:eastAsiaTheme="minorEastAsia" w:hAnsiTheme="minorHAnsi" w:cstheme="minorHAnsi"/>
                <w:color w:val="262626" w:themeColor="text1" w:themeTint="D9"/>
                <w:sz w:val="20"/>
                <w:szCs w:val="20"/>
                <w:lang w:eastAsia="en-US"/>
              </w:rPr>
              <w:t>Climate Active</w:t>
            </w:r>
            <w:r w:rsidRPr="00DC3E50">
              <w:rPr>
                <w:rStyle w:val="Strong"/>
                <w:rFonts w:asciiTheme="minorHAnsi" w:eastAsiaTheme="minorEastAsia" w:hAnsiTheme="minorHAnsi" w:cstheme="minorHAnsi"/>
                <w:b w:val="0"/>
                <w:bCs w:val="0"/>
                <w:color w:val="262626" w:themeColor="text1" w:themeTint="D9"/>
                <w:sz w:val="20"/>
                <w:szCs w:val="20"/>
                <w:lang w:eastAsia="en-US"/>
              </w:rPr>
              <w:t xml:space="preserve"> is an</w:t>
            </w:r>
            <w:r w:rsidR="005F7DB5" w:rsidRPr="00DC3E50">
              <w:rPr>
                <w:rStyle w:val="Strong"/>
                <w:rFonts w:asciiTheme="minorHAnsi" w:eastAsiaTheme="minorEastAsia" w:hAnsiTheme="minorHAnsi" w:cstheme="minorHAnsi"/>
                <w:b w:val="0"/>
                <w:color w:val="262626" w:themeColor="text1" w:themeTint="D9"/>
                <w:sz w:val="20"/>
                <w:szCs w:val="20"/>
                <w:lang w:eastAsia="en-US"/>
              </w:rPr>
              <w:t xml:space="preserve"> Australian Government </w:t>
            </w:r>
            <w:r w:rsidRPr="00DC3E50">
              <w:rPr>
                <w:rStyle w:val="Strong"/>
                <w:rFonts w:asciiTheme="minorHAnsi" w:eastAsiaTheme="minorEastAsia" w:hAnsiTheme="minorHAnsi" w:cstheme="minorHAnsi"/>
                <w:b w:val="0"/>
                <w:bCs w:val="0"/>
                <w:color w:val="262626" w:themeColor="text1" w:themeTint="D9"/>
                <w:sz w:val="20"/>
                <w:szCs w:val="20"/>
                <w:lang w:eastAsia="en-US"/>
              </w:rPr>
              <w:t>program that supports national climate policy by driving</w:t>
            </w:r>
            <w:r w:rsidR="005F7DB5" w:rsidRPr="00DC3E50">
              <w:rPr>
                <w:rStyle w:val="Strong"/>
                <w:rFonts w:asciiTheme="minorHAnsi" w:eastAsiaTheme="minorEastAsia" w:hAnsiTheme="minorHAnsi" w:cstheme="minorHAnsi"/>
                <w:b w:val="0"/>
                <w:color w:val="262626" w:themeColor="text1" w:themeTint="D9"/>
                <w:sz w:val="20"/>
                <w:szCs w:val="20"/>
                <w:lang w:eastAsia="en-US"/>
              </w:rPr>
              <w:t xml:space="preserve"> voluntary climate action</w:t>
            </w:r>
            <w:r w:rsidRPr="00DC3E50">
              <w:rPr>
                <w:rStyle w:val="Strong"/>
                <w:rFonts w:asciiTheme="minorHAnsi" w:eastAsiaTheme="minorEastAsia" w:hAnsiTheme="minorHAnsi" w:cstheme="minorHAnsi"/>
                <w:b w:val="0"/>
                <w:bCs w:val="0"/>
                <w:color w:val="262626" w:themeColor="text1" w:themeTint="D9"/>
                <w:sz w:val="20"/>
                <w:szCs w:val="20"/>
                <w:lang w:eastAsia="en-US"/>
              </w:rPr>
              <w:t xml:space="preserve"> by Australian businesses</w:t>
            </w:r>
            <w:r w:rsidRPr="00DC3E50">
              <w:rPr>
                <w:rFonts w:asciiTheme="minorHAnsi" w:eastAsia="Calibri" w:hAnsiTheme="minorHAnsi" w:cstheme="minorHAnsi"/>
                <w:color w:val="033323"/>
                <w:sz w:val="20"/>
                <w:szCs w:val="20"/>
              </w:rPr>
              <w:t>.</w:t>
            </w:r>
            <w:r w:rsidRPr="00DC3E50">
              <w:rPr>
                <w:rFonts w:asciiTheme="minorHAnsi" w:eastAsia="Calibri" w:hAnsiTheme="minorHAnsi" w:cstheme="minorHAnsi"/>
                <w:sz w:val="20"/>
                <w:szCs w:val="20"/>
              </w:rPr>
              <w:t xml:space="preserve"> </w:t>
            </w:r>
            <w:r w:rsidR="005F7DB5" w:rsidRPr="00DC3E50">
              <w:rPr>
                <w:rStyle w:val="Strong"/>
                <w:rFonts w:asciiTheme="minorHAnsi" w:hAnsiTheme="minorHAnsi" w:cstheme="minorHAnsi"/>
                <w:sz w:val="20"/>
                <w:szCs w:val="20"/>
              </w:rPr>
              <w:t>Climate Active</w:t>
            </w:r>
            <w:r w:rsidR="005F7DB5" w:rsidRPr="00DC3E50">
              <w:rPr>
                <w:rStyle w:val="Strong"/>
                <w:rFonts w:asciiTheme="minorHAnsi" w:hAnsiTheme="minorHAnsi" w:cstheme="minorHAnsi"/>
                <w:b w:val="0"/>
                <w:bCs w:val="0"/>
                <w:sz w:val="20"/>
                <w:szCs w:val="20"/>
              </w:rPr>
              <w:t xml:space="preserve"> certifies business</w:t>
            </w:r>
            <w:r w:rsidR="00493486" w:rsidRPr="00DC3E50">
              <w:rPr>
                <w:rStyle w:val="Strong"/>
                <w:rFonts w:asciiTheme="minorHAnsi" w:hAnsiTheme="minorHAnsi" w:cstheme="minorHAnsi"/>
                <w:b w:val="0"/>
                <w:bCs w:val="0"/>
                <w:sz w:val="20"/>
                <w:szCs w:val="20"/>
              </w:rPr>
              <w:t>es</w:t>
            </w:r>
            <w:r w:rsidR="005F7DB5" w:rsidRPr="00DC3E50">
              <w:rPr>
                <w:rStyle w:val="Strong"/>
                <w:rFonts w:asciiTheme="minorHAnsi" w:hAnsiTheme="minorHAnsi" w:cstheme="minorHAnsi"/>
                <w:b w:val="0"/>
                <w:bCs w:val="0"/>
                <w:sz w:val="20"/>
                <w:szCs w:val="20"/>
              </w:rPr>
              <w:t xml:space="preserve"> that have credibly reached a state of carbon neutrality by measuring, </w:t>
            </w:r>
            <w:r w:rsidR="005D03C7" w:rsidRPr="00DC3E50">
              <w:rPr>
                <w:rStyle w:val="Strong"/>
                <w:rFonts w:asciiTheme="minorHAnsi" w:hAnsiTheme="minorHAnsi" w:cstheme="minorHAnsi"/>
                <w:b w:val="0"/>
                <w:bCs w:val="0"/>
                <w:sz w:val="20"/>
                <w:szCs w:val="20"/>
              </w:rPr>
              <w:t>reducing,</w:t>
            </w:r>
            <w:r w:rsidR="005F7DB5" w:rsidRPr="00DC3E50">
              <w:rPr>
                <w:rStyle w:val="Strong"/>
                <w:rFonts w:asciiTheme="minorHAnsi" w:hAnsiTheme="minorHAnsi" w:cstheme="minorHAnsi"/>
                <w:b w:val="0"/>
                <w:bCs w:val="0"/>
                <w:sz w:val="20"/>
                <w:szCs w:val="20"/>
              </w:rPr>
              <w:t xml:space="preserve"> and offsetting their carbon emissions. Certification is available for organisations (business operations), products and services, buildings, </w:t>
            </w:r>
            <w:r w:rsidR="005D03C7" w:rsidRPr="00DC3E50">
              <w:rPr>
                <w:rStyle w:val="Strong"/>
                <w:rFonts w:asciiTheme="minorHAnsi" w:hAnsiTheme="minorHAnsi" w:cstheme="minorHAnsi"/>
                <w:b w:val="0"/>
                <w:bCs w:val="0"/>
                <w:sz w:val="20"/>
                <w:szCs w:val="20"/>
              </w:rPr>
              <w:t>events,</w:t>
            </w:r>
            <w:r w:rsidR="005F7DB5" w:rsidRPr="00DC3E50">
              <w:rPr>
                <w:rStyle w:val="Strong"/>
                <w:rFonts w:asciiTheme="minorHAnsi" w:hAnsiTheme="minorHAnsi" w:cstheme="minorHAnsi"/>
                <w:b w:val="0"/>
                <w:bCs w:val="0"/>
                <w:sz w:val="20"/>
                <w:szCs w:val="20"/>
              </w:rPr>
              <w:t xml:space="preserve"> and precincts. </w:t>
            </w:r>
          </w:p>
        </w:tc>
      </w:tr>
      <w:tr w:rsidR="005F7DB5" w14:paraId="7D151A03"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05C7ECDD"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CO</w:t>
            </w:r>
            <w:r w:rsidRPr="00DC3E50">
              <w:rPr>
                <w:rFonts w:asciiTheme="minorHAnsi" w:hAnsiTheme="minorHAnsi" w:cstheme="minorHAnsi"/>
                <w:sz w:val="20"/>
                <w:szCs w:val="20"/>
                <w:vertAlign w:val="subscript"/>
              </w:rPr>
              <w:t>2</w:t>
            </w:r>
            <w:r w:rsidRPr="00DC3E50">
              <w:rPr>
                <w:rFonts w:asciiTheme="minorHAnsi" w:hAnsiTheme="minorHAnsi" w:cstheme="minorHAnsi"/>
                <w:sz w:val="20"/>
                <w:szCs w:val="20"/>
              </w:rPr>
              <w:t>-e</w:t>
            </w:r>
          </w:p>
        </w:tc>
        <w:tc>
          <w:tcPr>
            <w:tcW w:w="8793" w:type="dxa"/>
          </w:tcPr>
          <w:p w14:paraId="61D680B9"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Carbon dioxide equivalent</w:t>
            </w:r>
          </w:p>
        </w:tc>
      </w:tr>
      <w:tr w:rsidR="005F7DB5" w14:paraId="3417FD90" w14:textId="77777777" w:rsidTr="00E76953">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1" w:type="dxa"/>
          </w:tcPr>
          <w:p w14:paraId="2D93D90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Electrolysis</w:t>
            </w:r>
          </w:p>
        </w:tc>
        <w:tc>
          <w:tcPr>
            <w:tcW w:w="8793" w:type="dxa"/>
          </w:tcPr>
          <w:p w14:paraId="1BF8D534"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The process of using electricity to split water into hydrogen and oxygen. This reaction takes place in a unit called an electrolyser</w:t>
            </w:r>
          </w:p>
        </w:tc>
      </w:tr>
      <w:tr w:rsidR="005F7DB5" w14:paraId="25B95EE2" w14:textId="77777777" w:rsidTr="00E7695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411" w:type="dxa"/>
          </w:tcPr>
          <w:p w14:paraId="662E0005"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GreenPower</w:t>
            </w:r>
          </w:p>
        </w:tc>
        <w:tc>
          <w:tcPr>
            <w:tcW w:w="8793" w:type="dxa"/>
          </w:tcPr>
          <w:p w14:paraId="0DC3A5B9" w14:textId="3556E89D" w:rsidR="005F7DB5" w:rsidRPr="00DC3E50" w:rsidRDefault="005F7DB5" w:rsidP="68EEDB34">
            <w:pPr>
              <w:spacing w:after="12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GreenPower</w:t>
            </w:r>
            <w:r w:rsidRPr="00DC3E50">
              <w:rPr>
                <w:rFonts w:asciiTheme="minorHAnsi" w:hAnsiTheme="minorHAnsi" w:cstheme="minorHAnsi"/>
                <w:sz w:val="20"/>
                <w:szCs w:val="20"/>
              </w:rPr>
              <w:t xml:space="preserve"> is a government accredited renewable energy product offered by most electricity retailers to households and businesses in Australia.</w:t>
            </w:r>
            <w:r w:rsidR="2E2EADC9" w:rsidRPr="00DC3E50">
              <w:rPr>
                <w:rFonts w:asciiTheme="minorHAnsi" w:hAnsiTheme="minorHAnsi" w:cstheme="minorHAnsi"/>
                <w:sz w:val="20"/>
                <w:szCs w:val="20"/>
              </w:rPr>
              <w:t xml:space="preserve"> The NSW Department of Climate Change, Energy, the Environment and Water acts as the Program Manager on behalf of the National </w:t>
            </w:r>
            <w:r w:rsidR="2E2EADC9" w:rsidRPr="00DC3E50">
              <w:rPr>
                <w:rFonts w:asciiTheme="minorHAnsi" w:eastAsiaTheme="minorEastAsia" w:hAnsiTheme="minorHAnsi" w:cstheme="minorHAnsi"/>
                <w:color w:val="262626" w:themeColor="text1" w:themeTint="D9"/>
                <w:sz w:val="20"/>
                <w:szCs w:val="20"/>
                <w:lang w:eastAsia="en-US"/>
              </w:rPr>
              <w:t>GreenPower Steering Group.</w:t>
            </w:r>
          </w:p>
        </w:tc>
      </w:tr>
      <w:tr w:rsidR="005F7DB5" w14:paraId="03FECB44" w14:textId="77777777" w:rsidTr="00E76953">
        <w:trPr>
          <w:cnfStyle w:val="000000010000" w:firstRow="0" w:lastRow="0" w:firstColumn="0" w:lastColumn="0" w:oddVBand="0" w:evenVBand="0" w:oddHBand="0" w:evenHBand="1"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411" w:type="dxa"/>
          </w:tcPr>
          <w:p w14:paraId="5379D22D"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IPHE</w:t>
            </w:r>
          </w:p>
        </w:tc>
        <w:tc>
          <w:tcPr>
            <w:tcW w:w="8793" w:type="dxa"/>
          </w:tcPr>
          <w:p w14:paraId="0380EC88"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International Partnership for Hydrogen and Fuel Cells in the Economy</w:t>
            </w:r>
            <w:r w:rsidRPr="00DC3E50">
              <w:rPr>
                <w:rFonts w:asciiTheme="minorHAnsi" w:hAnsiTheme="minorHAnsi" w:cstheme="minorHAnsi"/>
                <w:sz w:val="20"/>
                <w:szCs w:val="20"/>
              </w:rPr>
              <w:t xml:space="preserve"> - an international government-to-government partnership whose goal is to promote the advancement of technical hydrogen industry standards and protocols that are expected to underpin future trade and investment in hydrogen.</w:t>
            </w:r>
          </w:p>
        </w:tc>
      </w:tr>
      <w:tr w:rsidR="005F7DB5" w14:paraId="484260CE"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60C8A979"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ISO</w:t>
            </w:r>
          </w:p>
        </w:tc>
        <w:tc>
          <w:tcPr>
            <w:tcW w:w="8793" w:type="dxa"/>
          </w:tcPr>
          <w:p w14:paraId="0D1A6286"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International Organization for Standardization</w:t>
            </w:r>
          </w:p>
        </w:tc>
      </w:tr>
      <w:tr w:rsidR="005F7DB5" w14:paraId="27C2C2BC" w14:textId="77777777" w:rsidTr="00E7695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3588AC88"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LGCs</w:t>
            </w:r>
          </w:p>
        </w:tc>
        <w:tc>
          <w:tcPr>
            <w:tcW w:w="8793" w:type="dxa"/>
          </w:tcPr>
          <w:p w14:paraId="574FB43F"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Large-scale Generation Certificates</w:t>
            </w:r>
          </w:p>
        </w:tc>
      </w:tr>
      <w:tr w:rsidR="005F7DB5" w14:paraId="61619B5F" w14:textId="77777777" w:rsidTr="00E7695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411" w:type="dxa"/>
          </w:tcPr>
          <w:p w14:paraId="75B564B6"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lastRenderedPageBreak/>
              <w:t>LSTR</w:t>
            </w:r>
          </w:p>
        </w:tc>
        <w:tc>
          <w:tcPr>
            <w:tcW w:w="8793" w:type="dxa"/>
          </w:tcPr>
          <w:p w14:paraId="4AE57FB8"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 xml:space="preserve">Limited scope technical reviews </w:t>
            </w:r>
            <w:r w:rsidRPr="00DC3E50">
              <w:rPr>
                <w:rFonts w:asciiTheme="minorHAnsi" w:hAnsiTheme="minorHAnsi" w:cstheme="minorHAnsi"/>
                <w:sz w:val="20"/>
                <w:szCs w:val="20"/>
              </w:rPr>
              <w:t>are a third-party assurance process over the life cycle emissions and associated metering of each GO-certified product.</w:t>
            </w:r>
          </w:p>
        </w:tc>
      </w:tr>
      <w:tr w:rsidR="005F7DB5" w14:paraId="1913A1BA" w14:textId="77777777" w:rsidTr="00E76953">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411" w:type="dxa"/>
          </w:tcPr>
          <w:p w14:paraId="78926A1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MWh</w:t>
            </w:r>
          </w:p>
        </w:tc>
        <w:tc>
          <w:tcPr>
            <w:tcW w:w="8793" w:type="dxa"/>
          </w:tcPr>
          <w:p w14:paraId="23FC1739" w14:textId="16DD6B5C" w:rsidR="005F7DB5" w:rsidRPr="00DC3E50" w:rsidRDefault="00F5464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A measure of electricity equal to one million watt hours.</w:t>
            </w:r>
          </w:p>
        </w:tc>
      </w:tr>
      <w:tr w:rsidR="005F7DB5" w14:paraId="10F4A8A3" w14:textId="77777777" w:rsidTr="00E76953">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411" w:type="dxa"/>
          </w:tcPr>
          <w:p w14:paraId="2130230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NGA factors</w:t>
            </w:r>
          </w:p>
        </w:tc>
        <w:tc>
          <w:tcPr>
            <w:tcW w:w="8793" w:type="dxa"/>
          </w:tcPr>
          <w:p w14:paraId="4EBBAD50" w14:textId="35812C5D"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National Greenhouse Accounts (NGA) factors provide methods that help companies and individuals estimate greenhouse gas emissions. These are published by the Department of </w:t>
            </w:r>
            <w:r w:rsidR="009C1F22" w:rsidRPr="00DC3E50">
              <w:rPr>
                <w:rFonts w:asciiTheme="minorHAnsi" w:hAnsiTheme="minorHAnsi" w:cstheme="minorHAnsi"/>
                <w:sz w:val="20"/>
                <w:szCs w:val="20"/>
              </w:rPr>
              <w:t>Climate Change, Ener</w:t>
            </w:r>
            <w:r w:rsidR="00ED51B0" w:rsidRPr="00DC3E50">
              <w:rPr>
                <w:rFonts w:asciiTheme="minorHAnsi" w:hAnsiTheme="minorHAnsi" w:cstheme="minorHAnsi"/>
                <w:sz w:val="20"/>
                <w:szCs w:val="20"/>
              </w:rPr>
              <w:t>gy, the Environment and Water</w:t>
            </w:r>
            <w:r w:rsidRPr="00DC3E50">
              <w:rPr>
                <w:rFonts w:asciiTheme="minorHAnsi" w:hAnsiTheme="minorHAnsi" w:cstheme="minorHAnsi"/>
                <w:sz w:val="20"/>
                <w:szCs w:val="20"/>
              </w:rPr>
              <w:t xml:space="preserve"> each year</w:t>
            </w:r>
            <w:r w:rsidR="00A22DA2" w:rsidRPr="00DC3E50">
              <w:rPr>
                <w:rFonts w:asciiTheme="minorHAnsi" w:hAnsiTheme="minorHAnsi" w:cstheme="minorHAnsi"/>
                <w:sz w:val="20"/>
                <w:szCs w:val="20"/>
              </w:rPr>
              <w:t>.</w:t>
            </w:r>
          </w:p>
        </w:tc>
      </w:tr>
      <w:tr w:rsidR="005F7DB5" w14:paraId="63DBBF71" w14:textId="77777777" w:rsidTr="00E76953">
        <w:trPr>
          <w:cnfStyle w:val="000000010000" w:firstRow="0" w:lastRow="0" w:firstColumn="0" w:lastColumn="0" w:oddVBand="0" w:evenVBand="0" w:oddHBand="0" w:evenHBand="1"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411" w:type="dxa"/>
          </w:tcPr>
          <w:p w14:paraId="14F62F23"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NGERs</w:t>
            </w:r>
          </w:p>
        </w:tc>
        <w:tc>
          <w:tcPr>
            <w:tcW w:w="8793" w:type="dxa"/>
          </w:tcPr>
          <w:p w14:paraId="437B14DA"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National Greenhouse and Energy Reporting scheme</w:t>
            </w:r>
            <w:r w:rsidRPr="00DC3E50">
              <w:rPr>
                <w:rFonts w:asciiTheme="minorHAnsi" w:hAnsiTheme="minorHAnsi" w:cstheme="minorHAnsi"/>
                <w:sz w:val="20"/>
                <w:szCs w:val="20"/>
              </w:rPr>
              <w:t xml:space="preserve"> - A single national framework for reporting company information about greenhouse gas emissions, energy production and energy consumption. The NGER scheme is administered by the Clean Energy Regulator.</w:t>
            </w:r>
          </w:p>
        </w:tc>
      </w:tr>
      <w:tr w:rsidR="005F7DB5" w14:paraId="39F6500B" w14:textId="77777777" w:rsidTr="00E7695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411" w:type="dxa"/>
          </w:tcPr>
          <w:p w14:paraId="41DA6D3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Product GOs</w:t>
            </w:r>
          </w:p>
        </w:tc>
        <w:tc>
          <w:tcPr>
            <w:tcW w:w="8793" w:type="dxa"/>
          </w:tcPr>
          <w:p w14:paraId="739BC58B" w14:textId="65BA13F3"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sz w:val="20"/>
                <w:szCs w:val="20"/>
              </w:rPr>
              <w:t xml:space="preserve">Guarantee of Origin </w:t>
            </w:r>
            <w:r w:rsidR="0057175D" w:rsidRPr="00DC3E50">
              <w:rPr>
                <w:rFonts w:asciiTheme="minorHAnsi" w:hAnsiTheme="minorHAnsi" w:cstheme="minorHAnsi"/>
                <w:sz w:val="20"/>
                <w:szCs w:val="20"/>
              </w:rPr>
              <w:t xml:space="preserve">(GO) </w:t>
            </w:r>
            <w:r w:rsidRPr="00DC3E50">
              <w:rPr>
                <w:rFonts w:asciiTheme="minorHAnsi" w:hAnsiTheme="minorHAnsi" w:cstheme="minorHAnsi"/>
                <w:sz w:val="20"/>
                <w:szCs w:val="20"/>
              </w:rPr>
              <w:t xml:space="preserve">certificates which </w:t>
            </w:r>
            <w:r w:rsidR="00090668" w:rsidRPr="00DC3E50">
              <w:rPr>
                <w:rFonts w:asciiTheme="minorHAnsi" w:hAnsiTheme="minorHAnsi" w:cstheme="minorHAnsi"/>
                <w:sz w:val="20"/>
                <w:szCs w:val="20"/>
              </w:rPr>
              <w:t xml:space="preserve">provide details on the emissions </w:t>
            </w:r>
            <w:r w:rsidR="005D101D" w:rsidRPr="00DC3E50">
              <w:rPr>
                <w:rFonts w:asciiTheme="minorHAnsi" w:hAnsiTheme="minorHAnsi" w:cstheme="minorHAnsi"/>
                <w:sz w:val="20"/>
                <w:szCs w:val="20"/>
              </w:rPr>
              <w:t xml:space="preserve">from producing </w:t>
            </w:r>
            <w:r w:rsidR="006D3359" w:rsidRPr="00DC3E50">
              <w:rPr>
                <w:rFonts w:asciiTheme="minorHAnsi" w:hAnsiTheme="minorHAnsi" w:cstheme="minorHAnsi"/>
                <w:sz w:val="20"/>
                <w:szCs w:val="20"/>
              </w:rPr>
              <w:t xml:space="preserve">a </w:t>
            </w:r>
            <w:r w:rsidR="005D101D" w:rsidRPr="00DC3E50">
              <w:rPr>
                <w:rFonts w:asciiTheme="minorHAnsi" w:hAnsiTheme="minorHAnsi" w:cstheme="minorHAnsi"/>
                <w:sz w:val="20"/>
                <w:szCs w:val="20"/>
              </w:rPr>
              <w:t xml:space="preserve">specific </w:t>
            </w:r>
            <w:r w:rsidRPr="00DC3E50">
              <w:rPr>
                <w:rFonts w:asciiTheme="minorHAnsi" w:hAnsiTheme="minorHAnsi" w:cstheme="minorHAnsi"/>
                <w:sz w:val="20"/>
                <w:szCs w:val="20"/>
              </w:rPr>
              <w:t xml:space="preserve">product such as hydrogen </w:t>
            </w:r>
            <w:r w:rsidR="00732DDE" w:rsidRPr="00DC3E50">
              <w:rPr>
                <w:rFonts w:asciiTheme="minorHAnsi" w:hAnsiTheme="minorHAnsi" w:cstheme="minorHAnsi"/>
                <w:sz w:val="20"/>
                <w:szCs w:val="20"/>
              </w:rPr>
              <w:t xml:space="preserve">or </w:t>
            </w:r>
            <w:r w:rsidR="0074624F" w:rsidRPr="00DC3E50">
              <w:rPr>
                <w:rFonts w:asciiTheme="minorHAnsi" w:hAnsiTheme="minorHAnsi" w:cstheme="minorHAnsi"/>
                <w:sz w:val="20"/>
                <w:szCs w:val="20"/>
              </w:rPr>
              <w:t>ammonia</w:t>
            </w:r>
            <w:r w:rsidR="00A22DA2" w:rsidRPr="00DC3E50">
              <w:rPr>
                <w:rFonts w:asciiTheme="minorHAnsi" w:hAnsiTheme="minorHAnsi" w:cstheme="minorHAnsi"/>
                <w:sz w:val="20"/>
                <w:szCs w:val="20"/>
              </w:rPr>
              <w:t>.</w:t>
            </w:r>
          </w:p>
        </w:tc>
      </w:tr>
      <w:tr w:rsidR="005F7DB5" w14:paraId="51605947" w14:textId="77777777" w:rsidTr="00E76953">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39699B3A"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REC</w:t>
            </w:r>
          </w:p>
        </w:tc>
        <w:tc>
          <w:tcPr>
            <w:tcW w:w="8793" w:type="dxa"/>
          </w:tcPr>
          <w:p w14:paraId="2374C2C2" w14:textId="225951C1"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Renewable Electricity Certificate</w:t>
            </w:r>
            <w:r w:rsidRPr="00DC3E50">
              <w:rPr>
                <w:rFonts w:asciiTheme="minorHAnsi" w:hAnsiTheme="minorHAnsi" w:cstheme="minorHAnsi"/>
                <w:sz w:val="20"/>
                <w:szCs w:val="20"/>
              </w:rPr>
              <w:t>, e.g. an LGC or REGO</w:t>
            </w:r>
          </w:p>
        </w:tc>
      </w:tr>
      <w:tr w:rsidR="005F7DB5" w14:paraId="1FE2FFFA"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784DD999"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REGOs</w:t>
            </w:r>
          </w:p>
        </w:tc>
        <w:tc>
          <w:tcPr>
            <w:tcW w:w="8793" w:type="dxa"/>
          </w:tcPr>
          <w:p w14:paraId="5DA1B67F" w14:textId="4030595E" w:rsidR="005F7DB5" w:rsidRPr="00DC3E50" w:rsidRDefault="00B8717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GO</w:t>
            </w:r>
            <w:r w:rsidR="005F7DB5" w:rsidRPr="00DC3E50">
              <w:rPr>
                <w:rFonts w:asciiTheme="minorHAnsi" w:hAnsiTheme="minorHAnsi" w:cstheme="minorHAnsi"/>
                <w:sz w:val="20"/>
                <w:szCs w:val="20"/>
              </w:rPr>
              <w:t xml:space="preserve"> certificates which </w:t>
            </w:r>
            <w:r w:rsidR="00922BD2" w:rsidRPr="00DC3E50">
              <w:rPr>
                <w:rFonts w:asciiTheme="minorHAnsi" w:hAnsiTheme="minorHAnsi" w:cstheme="minorHAnsi"/>
                <w:sz w:val="20"/>
                <w:szCs w:val="20"/>
              </w:rPr>
              <w:t>represent</w:t>
            </w:r>
            <w:r w:rsidR="005F7DB5" w:rsidRPr="00DC3E50">
              <w:rPr>
                <w:rFonts w:asciiTheme="minorHAnsi" w:hAnsiTheme="minorHAnsi" w:cstheme="minorHAnsi"/>
                <w:sz w:val="20"/>
                <w:szCs w:val="20"/>
              </w:rPr>
              <w:t xml:space="preserve"> renewable electricity generation</w:t>
            </w:r>
            <w:r w:rsidR="00A22DA2" w:rsidRPr="00DC3E50">
              <w:rPr>
                <w:rFonts w:asciiTheme="minorHAnsi" w:hAnsiTheme="minorHAnsi" w:cstheme="minorHAnsi"/>
                <w:sz w:val="20"/>
                <w:szCs w:val="20"/>
              </w:rPr>
              <w:t>.</w:t>
            </w:r>
          </w:p>
        </w:tc>
      </w:tr>
      <w:tr w:rsidR="005F7DB5" w14:paraId="00A58B7D" w14:textId="77777777" w:rsidTr="00E76953">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11" w:type="dxa"/>
          </w:tcPr>
          <w:p w14:paraId="6282EB7E"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RFS</w:t>
            </w:r>
          </w:p>
        </w:tc>
        <w:tc>
          <w:tcPr>
            <w:tcW w:w="8793" w:type="dxa"/>
          </w:tcPr>
          <w:p w14:paraId="53911A29" w14:textId="524EA211"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 xml:space="preserve">Renewable Fuel Scheme </w:t>
            </w:r>
            <w:r w:rsidRPr="00DC3E50">
              <w:rPr>
                <w:rFonts w:asciiTheme="minorHAnsi" w:hAnsiTheme="minorHAnsi" w:cstheme="minorHAnsi"/>
                <w:sz w:val="20"/>
                <w:szCs w:val="20"/>
              </w:rPr>
              <w:t xml:space="preserve">is a scheme </w:t>
            </w:r>
            <w:r w:rsidR="061A16CD" w:rsidRPr="00DC3E50">
              <w:rPr>
                <w:rFonts w:asciiTheme="minorHAnsi" w:hAnsiTheme="minorHAnsi" w:cstheme="minorHAnsi"/>
                <w:sz w:val="20"/>
                <w:szCs w:val="20"/>
              </w:rPr>
              <w:t>under development</w:t>
            </w:r>
            <w:r w:rsidRPr="00DC3E50">
              <w:rPr>
                <w:rFonts w:asciiTheme="minorHAnsi" w:hAnsiTheme="minorHAnsi" w:cstheme="minorHAnsi"/>
                <w:sz w:val="20"/>
                <w:szCs w:val="20"/>
              </w:rPr>
              <w:t xml:space="preserve"> by the NSW Government to create a financial incentive for the production and consumption of green hydrogen within NSW.</w:t>
            </w:r>
          </w:p>
        </w:tc>
      </w:tr>
      <w:tr w:rsidR="005F7DB5" w:rsidRPr="00FC3CA8" w14:paraId="25CE90A4"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0D451F2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RET</w:t>
            </w:r>
          </w:p>
        </w:tc>
        <w:tc>
          <w:tcPr>
            <w:tcW w:w="8793" w:type="dxa"/>
          </w:tcPr>
          <w:p w14:paraId="2FC7FA00" w14:textId="19E1376E"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Renewable Energy Target</w:t>
            </w:r>
            <w:r w:rsidRPr="00DC3E50">
              <w:rPr>
                <w:rFonts w:asciiTheme="minorHAnsi" w:hAnsiTheme="minorHAnsi" w:cstheme="minorHAnsi"/>
                <w:sz w:val="20"/>
                <w:szCs w:val="20"/>
              </w:rPr>
              <w:t xml:space="preserve"> scheme</w:t>
            </w:r>
            <w:r w:rsidR="0009610C" w:rsidRPr="00DC3E50">
              <w:rPr>
                <w:rFonts w:asciiTheme="minorHAnsi" w:hAnsiTheme="minorHAnsi" w:cstheme="minorHAnsi"/>
                <w:sz w:val="20"/>
                <w:szCs w:val="20"/>
              </w:rPr>
              <w:t xml:space="preserve"> is a</w:t>
            </w:r>
            <w:r w:rsidR="00D44DF8" w:rsidRPr="00DC3E50">
              <w:rPr>
                <w:rFonts w:asciiTheme="minorHAnsi" w:hAnsiTheme="minorHAnsi" w:cstheme="minorHAnsi"/>
                <w:sz w:val="20"/>
                <w:szCs w:val="20"/>
              </w:rPr>
              <w:t xml:space="preserve"> legisl</w:t>
            </w:r>
            <w:r w:rsidR="00E4422B" w:rsidRPr="00DC3E50">
              <w:rPr>
                <w:rFonts w:asciiTheme="minorHAnsi" w:hAnsiTheme="minorHAnsi" w:cstheme="minorHAnsi"/>
                <w:sz w:val="20"/>
                <w:szCs w:val="20"/>
              </w:rPr>
              <w:t>a</w:t>
            </w:r>
            <w:r w:rsidR="00D44DF8" w:rsidRPr="00DC3E50">
              <w:rPr>
                <w:rFonts w:asciiTheme="minorHAnsi" w:hAnsiTheme="minorHAnsi" w:cstheme="minorHAnsi"/>
                <w:sz w:val="20"/>
                <w:szCs w:val="20"/>
              </w:rPr>
              <w:t>ted</w:t>
            </w:r>
            <w:r w:rsidR="0009610C" w:rsidRPr="00DC3E50">
              <w:rPr>
                <w:rFonts w:asciiTheme="minorHAnsi" w:hAnsiTheme="minorHAnsi" w:cstheme="minorHAnsi"/>
                <w:sz w:val="20"/>
                <w:szCs w:val="20"/>
              </w:rPr>
              <w:t xml:space="preserve"> Australian Government scheme that aims to reduce greenhouse gas emissions in the electricity sector and increase renewable electricity generation.</w:t>
            </w:r>
          </w:p>
        </w:tc>
      </w:tr>
      <w:tr w:rsidR="005F7DB5" w:rsidRPr="00FC3CA8" w14:paraId="1275D533" w14:textId="77777777" w:rsidTr="00E76953">
        <w:trPr>
          <w:cnfStyle w:val="000000010000" w:firstRow="0" w:lastRow="0" w:firstColumn="0" w:lastColumn="0" w:oddVBand="0" w:evenVBand="0" w:oddHBand="0" w:evenHBand="1"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411" w:type="dxa"/>
          </w:tcPr>
          <w:p w14:paraId="008FB7BA"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RMF</w:t>
            </w:r>
          </w:p>
        </w:tc>
        <w:tc>
          <w:tcPr>
            <w:tcW w:w="8793" w:type="dxa"/>
          </w:tcPr>
          <w:p w14:paraId="24880D60" w14:textId="3BAF6DE9"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sz w:val="20"/>
                <w:szCs w:val="20"/>
              </w:rPr>
              <w:t xml:space="preserve">A </w:t>
            </w:r>
            <w:r w:rsidRPr="00DC3E50">
              <w:rPr>
                <w:rFonts w:asciiTheme="minorHAnsi" w:hAnsiTheme="minorHAnsi" w:cstheme="minorHAnsi"/>
                <w:b/>
                <w:sz w:val="20"/>
                <w:szCs w:val="20"/>
              </w:rPr>
              <w:t>Residual Mix Factor</w:t>
            </w:r>
            <w:r w:rsidRPr="00DC3E50">
              <w:rPr>
                <w:rFonts w:asciiTheme="minorHAnsi" w:hAnsiTheme="minorHAnsi" w:cstheme="minorHAnsi"/>
                <w:sz w:val="20"/>
                <w:szCs w:val="20"/>
              </w:rPr>
              <w:t xml:space="preserve"> is an emissions factor where the zero emissions renewable generation </w:t>
            </w:r>
            <w:r w:rsidR="00B24A8C" w:rsidRPr="00DC3E50">
              <w:rPr>
                <w:rFonts w:asciiTheme="minorHAnsi" w:hAnsiTheme="minorHAnsi" w:cstheme="minorHAnsi"/>
                <w:sz w:val="20"/>
                <w:szCs w:val="20"/>
              </w:rPr>
              <w:t>from grid connected electricity</w:t>
            </w:r>
            <w:r w:rsidRPr="00DC3E50">
              <w:rPr>
                <w:rFonts w:asciiTheme="minorHAnsi" w:hAnsiTheme="minorHAnsi" w:cstheme="minorHAnsi"/>
                <w:sz w:val="20"/>
                <w:szCs w:val="20"/>
              </w:rPr>
              <w:t xml:space="preserve"> (and associated consumption) that can be purchased and claimed through the use of corresponding contractual instruments is removed.</w:t>
            </w:r>
          </w:p>
        </w:tc>
      </w:tr>
      <w:tr w:rsidR="005F7DB5" w14:paraId="7C1F866D" w14:textId="77777777" w:rsidTr="00E7695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1" w:type="dxa"/>
          </w:tcPr>
          <w:p w14:paraId="4D80C2C8"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Scope 1 emissions</w:t>
            </w:r>
          </w:p>
        </w:tc>
        <w:tc>
          <w:tcPr>
            <w:tcW w:w="8793" w:type="dxa"/>
          </w:tcPr>
          <w:p w14:paraId="5FBD4C28"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Emissions released into the atmosphere as a direct result of an activity or series of activities. </w:t>
            </w:r>
          </w:p>
        </w:tc>
      </w:tr>
      <w:tr w:rsidR="005F7DB5" w14:paraId="4EDC1A31" w14:textId="77777777" w:rsidTr="00E76953">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411" w:type="dxa"/>
          </w:tcPr>
          <w:p w14:paraId="6074F304"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Scope 2 emissions</w:t>
            </w:r>
          </w:p>
        </w:tc>
        <w:tc>
          <w:tcPr>
            <w:tcW w:w="8793" w:type="dxa"/>
          </w:tcPr>
          <w:p w14:paraId="019BBE31" w14:textId="253F0BFD"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Indirect emissions from consumption of purchased </w:t>
            </w:r>
            <w:r w:rsidR="006E70D9" w:rsidRPr="00DC3E50">
              <w:rPr>
                <w:rFonts w:asciiTheme="minorHAnsi" w:hAnsiTheme="minorHAnsi" w:cstheme="minorHAnsi"/>
                <w:sz w:val="20"/>
                <w:szCs w:val="20"/>
              </w:rPr>
              <w:t>electricity, heat</w:t>
            </w:r>
            <w:r w:rsidR="0074624F" w:rsidRPr="00DC3E50">
              <w:rPr>
                <w:rFonts w:asciiTheme="minorHAnsi" w:hAnsiTheme="minorHAnsi" w:cstheme="minorHAnsi"/>
                <w:sz w:val="20"/>
                <w:szCs w:val="20"/>
              </w:rPr>
              <w:t>,</w:t>
            </w:r>
            <w:r w:rsidRPr="00DC3E50">
              <w:rPr>
                <w:rFonts w:asciiTheme="minorHAnsi" w:hAnsiTheme="minorHAnsi" w:cstheme="minorHAnsi"/>
                <w:sz w:val="20"/>
                <w:szCs w:val="20"/>
              </w:rPr>
              <w:t xml:space="preserve"> or steam. Most scope 2 emissions represent electricity consumption from a grid</w:t>
            </w:r>
            <w:r w:rsidR="0092766F" w:rsidRPr="00DC3E50">
              <w:rPr>
                <w:rFonts w:asciiTheme="minorHAnsi" w:hAnsiTheme="minorHAnsi" w:cstheme="minorHAnsi"/>
                <w:sz w:val="20"/>
                <w:szCs w:val="20"/>
              </w:rPr>
              <w:t xml:space="preserve"> </w:t>
            </w:r>
            <w:r w:rsidR="00DC4CB5" w:rsidRPr="00DC3E50">
              <w:rPr>
                <w:rFonts w:asciiTheme="minorHAnsi" w:hAnsiTheme="minorHAnsi" w:cstheme="minorHAnsi"/>
                <w:sz w:val="20"/>
                <w:szCs w:val="20"/>
              </w:rPr>
              <w:t>and</w:t>
            </w:r>
            <w:r w:rsidRPr="00DC3E50">
              <w:rPr>
                <w:rFonts w:asciiTheme="minorHAnsi" w:hAnsiTheme="minorHAnsi" w:cstheme="minorHAnsi"/>
                <w:sz w:val="20"/>
                <w:szCs w:val="20"/>
              </w:rPr>
              <w:t xml:space="preserve"> can include other forms of energy transferred across facility boundaries. </w:t>
            </w:r>
          </w:p>
        </w:tc>
      </w:tr>
      <w:tr w:rsidR="005F7DB5" w14:paraId="69AF1E67" w14:textId="77777777" w:rsidTr="00E76953">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1411" w:type="dxa"/>
          </w:tcPr>
          <w:p w14:paraId="6CE5B313"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Scope 3 emissions</w:t>
            </w:r>
          </w:p>
        </w:tc>
        <w:tc>
          <w:tcPr>
            <w:tcW w:w="8793" w:type="dxa"/>
          </w:tcPr>
          <w:p w14:paraId="4313CD13" w14:textId="085D9D56"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Indirect greenhouse emissions other than scope 2 emissions that are generated in the wider economy. They occur </w:t>
            </w:r>
            <w:r w:rsidR="00C024B4" w:rsidRPr="00DC3E50">
              <w:rPr>
                <w:rFonts w:asciiTheme="minorHAnsi" w:hAnsiTheme="minorHAnsi" w:cstheme="minorHAnsi"/>
                <w:sz w:val="20"/>
                <w:szCs w:val="20"/>
              </w:rPr>
              <w:t>because of</w:t>
            </w:r>
            <w:r w:rsidRPr="00DC3E50">
              <w:rPr>
                <w:rFonts w:asciiTheme="minorHAnsi" w:hAnsiTheme="minorHAnsi" w:cstheme="minorHAnsi"/>
                <w:sz w:val="20"/>
                <w:szCs w:val="20"/>
              </w:rPr>
              <w:t xml:space="preserve"> </w:t>
            </w:r>
            <w:r w:rsidR="008C25B9" w:rsidRPr="00DC3E50">
              <w:rPr>
                <w:rFonts w:asciiTheme="minorHAnsi" w:hAnsiTheme="minorHAnsi" w:cstheme="minorHAnsi"/>
                <w:sz w:val="20"/>
                <w:szCs w:val="20"/>
              </w:rPr>
              <w:t>a</w:t>
            </w:r>
            <w:r w:rsidRPr="00DC3E50">
              <w:rPr>
                <w:rFonts w:asciiTheme="minorHAnsi" w:hAnsiTheme="minorHAnsi" w:cstheme="minorHAnsi"/>
                <w:sz w:val="20"/>
                <w:szCs w:val="20"/>
              </w:rPr>
              <w:t xml:space="preserve"> </w:t>
            </w:r>
            <w:r w:rsidR="008C25B9" w:rsidRPr="00DC3E50">
              <w:rPr>
                <w:rFonts w:asciiTheme="minorHAnsi" w:hAnsiTheme="minorHAnsi" w:cstheme="minorHAnsi"/>
                <w:sz w:val="20"/>
                <w:szCs w:val="20"/>
              </w:rPr>
              <w:t xml:space="preserve">facility’s </w:t>
            </w:r>
            <w:r w:rsidRPr="00DC3E50">
              <w:rPr>
                <w:rFonts w:asciiTheme="minorHAnsi" w:hAnsiTheme="minorHAnsi" w:cstheme="minorHAnsi"/>
                <w:sz w:val="20"/>
                <w:szCs w:val="20"/>
              </w:rPr>
              <w:t xml:space="preserve">activities from sources not owned or controlled by that facility's business. </w:t>
            </w:r>
            <w:r w:rsidR="00F41A87" w:rsidRPr="00DC3E50">
              <w:rPr>
                <w:rFonts w:asciiTheme="minorHAnsi" w:hAnsiTheme="minorHAnsi" w:cstheme="minorHAnsi"/>
                <w:sz w:val="20"/>
                <w:szCs w:val="20"/>
              </w:rPr>
              <w:t>E</w:t>
            </w:r>
            <w:r w:rsidRPr="00DC3E50">
              <w:rPr>
                <w:rFonts w:asciiTheme="minorHAnsi" w:hAnsiTheme="minorHAnsi" w:cstheme="minorHAnsi"/>
                <w:sz w:val="20"/>
                <w:szCs w:val="20"/>
              </w:rPr>
              <w:t>xtraction and production of purchased materials</w:t>
            </w:r>
            <w:r w:rsidR="00F41A87" w:rsidRPr="00DC3E50">
              <w:rPr>
                <w:rFonts w:asciiTheme="minorHAnsi" w:hAnsiTheme="minorHAnsi" w:cstheme="minorHAnsi"/>
                <w:sz w:val="20"/>
                <w:szCs w:val="20"/>
              </w:rPr>
              <w:t xml:space="preserve"> is an example</w:t>
            </w:r>
            <w:r w:rsidR="00FB6C21" w:rsidRPr="00DC3E50">
              <w:rPr>
                <w:rFonts w:asciiTheme="minorHAnsi" w:hAnsiTheme="minorHAnsi" w:cstheme="minorHAnsi"/>
                <w:sz w:val="20"/>
                <w:szCs w:val="20"/>
              </w:rPr>
              <w:t>. T</w:t>
            </w:r>
            <w:r w:rsidRPr="00DC3E50">
              <w:rPr>
                <w:rFonts w:asciiTheme="minorHAnsi" w:hAnsiTheme="minorHAnsi" w:cstheme="minorHAnsi"/>
                <w:sz w:val="20"/>
                <w:szCs w:val="20"/>
              </w:rPr>
              <w:t>ransportation of purchased fuels, use of sold products and services, and flying on a commercial airline by a person from another business</w:t>
            </w:r>
            <w:r w:rsidR="00FB6C21" w:rsidRPr="00DC3E50">
              <w:rPr>
                <w:rFonts w:asciiTheme="minorHAnsi" w:hAnsiTheme="minorHAnsi" w:cstheme="minorHAnsi"/>
                <w:sz w:val="20"/>
                <w:szCs w:val="20"/>
              </w:rPr>
              <w:t xml:space="preserve"> are </w:t>
            </w:r>
            <w:r w:rsidR="00C024B4" w:rsidRPr="00DC3E50">
              <w:rPr>
                <w:rFonts w:asciiTheme="minorHAnsi" w:hAnsiTheme="minorHAnsi" w:cstheme="minorHAnsi"/>
                <w:sz w:val="20"/>
                <w:szCs w:val="20"/>
              </w:rPr>
              <w:t>also</w:t>
            </w:r>
            <w:r w:rsidR="00FB6C21" w:rsidRPr="00DC3E50">
              <w:rPr>
                <w:rFonts w:asciiTheme="minorHAnsi" w:hAnsiTheme="minorHAnsi" w:cstheme="minorHAnsi"/>
                <w:sz w:val="20"/>
                <w:szCs w:val="20"/>
              </w:rPr>
              <w:t xml:space="preserve"> examples.</w:t>
            </w:r>
          </w:p>
        </w:tc>
      </w:tr>
      <w:tr w:rsidR="005F7DB5" w14:paraId="6B4FC24B" w14:textId="77777777" w:rsidTr="00E76953">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1" w:type="dxa"/>
          </w:tcPr>
          <w:p w14:paraId="7E2E40B6"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Standards Australia</w:t>
            </w:r>
          </w:p>
        </w:tc>
        <w:tc>
          <w:tcPr>
            <w:tcW w:w="8793" w:type="dxa"/>
          </w:tcPr>
          <w:p w14:paraId="4F758A84"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The representative for Australia within the ISO, ensuring alignment between domestic and international standards.</w:t>
            </w:r>
          </w:p>
        </w:tc>
      </w:tr>
      <w:tr w:rsidR="005F7DB5" w14:paraId="62132253" w14:textId="77777777" w:rsidTr="00E769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1" w:type="dxa"/>
          </w:tcPr>
          <w:p w14:paraId="6DDD9701"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STCs</w:t>
            </w:r>
          </w:p>
        </w:tc>
        <w:tc>
          <w:tcPr>
            <w:tcW w:w="8793" w:type="dxa"/>
          </w:tcPr>
          <w:p w14:paraId="68F6E098"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C3E50">
              <w:rPr>
                <w:rFonts w:asciiTheme="minorHAnsi" w:hAnsiTheme="minorHAnsi" w:cstheme="minorHAnsi"/>
                <w:b/>
                <w:sz w:val="20"/>
                <w:szCs w:val="20"/>
              </w:rPr>
              <w:t>Small-scale Technology Certificates</w:t>
            </w:r>
          </w:p>
        </w:tc>
      </w:tr>
      <w:tr w:rsidR="005F7DB5" w14:paraId="651812EB" w14:textId="77777777" w:rsidTr="00E76953">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411" w:type="dxa"/>
          </w:tcPr>
          <w:p w14:paraId="1318B4B4"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SMR</w:t>
            </w:r>
          </w:p>
        </w:tc>
        <w:tc>
          <w:tcPr>
            <w:tcW w:w="8793" w:type="dxa"/>
          </w:tcPr>
          <w:p w14:paraId="35D91C1B" w14:textId="77777777" w:rsidR="005F7DB5" w:rsidRPr="00DC3E50" w:rsidRDefault="005F7DB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b/>
                <w:sz w:val="20"/>
                <w:szCs w:val="20"/>
              </w:rPr>
              <w:t xml:space="preserve">Steam Methane Reforming </w:t>
            </w:r>
            <w:r w:rsidRPr="00DC3E50">
              <w:rPr>
                <w:rFonts w:asciiTheme="minorHAnsi" w:hAnsiTheme="minorHAnsi" w:cstheme="minorHAnsi"/>
                <w:sz w:val="20"/>
                <w:szCs w:val="20"/>
              </w:rPr>
              <w:t>is a method to extract hydrogen using natural gas.</w:t>
            </w:r>
          </w:p>
        </w:tc>
      </w:tr>
      <w:tr w:rsidR="005F7DB5" w14:paraId="2952974B" w14:textId="77777777" w:rsidTr="00E76953">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411" w:type="dxa"/>
          </w:tcPr>
          <w:p w14:paraId="679ABCC7" w14:textId="77777777" w:rsidR="005F7DB5" w:rsidRPr="00DC3E50" w:rsidRDefault="005F7DB5">
            <w:pPr>
              <w:rPr>
                <w:rFonts w:asciiTheme="minorHAnsi" w:hAnsiTheme="minorHAnsi" w:cstheme="minorHAnsi"/>
                <w:sz w:val="20"/>
                <w:szCs w:val="20"/>
              </w:rPr>
            </w:pPr>
            <w:r w:rsidRPr="00DC3E50">
              <w:rPr>
                <w:rFonts w:asciiTheme="minorHAnsi" w:hAnsiTheme="minorHAnsi" w:cstheme="minorHAnsi"/>
                <w:sz w:val="20"/>
                <w:szCs w:val="20"/>
              </w:rPr>
              <w:t>System boundary</w:t>
            </w:r>
          </w:p>
        </w:tc>
        <w:tc>
          <w:tcPr>
            <w:tcW w:w="8793" w:type="dxa"/>
          </w:tcPr>
          <w:p w14:paraId="3648FE5A" w14:textId="77777777" w:rsidR="005F7DB5" w:rsidRPr="00DC3E50" w:rsidRDefault="005F7DB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C3E50">
              <w:rPr>
                <w:rFonts w:asciiTheme="minorHAnsi" w:hAnsiTheme="minorHAnsi" w:cstheme="minorHAnsi"/>
                <w:sz w:val="20"/>
                <w:szCs w:val="20"/>
              </w:rPr>
              <w:t xml:space="preserve">A system boundary is the scope within which emissions sources are accounted for a product across its supply chain. </w:t>
            </w:r>
          </w:p>
        </w:tc>
      </w:tr>
    </w:tbl>
    <w:p w14:paraId="4BF27499" w14:textId="77777777" w:rsidR="006563F0" w:rsidRDefault="006563F0">
      <w:r>
        <w:br w:type="page"/>
      </w:r>
    </w:p>
    <w:p w14:paraId="00C81DD6" w14:textId="1C6190C2" w:rsidR="00C51551" w:rsidRPr="00050C59" w:rsidRDefault="004F2430" w:rsidP="00CC1B1F">
      <w:pPr>
        <w:pStyle w:val="Title"/>
        <w:rPr>
          <w:sz w:val="36"/>
          <w:szCs w:val="36"/>
        </w:rPr>
      </w:pPr>
      <w:bookmarkStart w:id="6" w:name="_Toc175312077"/>
      <w:r w:rsidRPr="00050C59">
        <w:rPr>
          <w:sz w:val="36"/>
          <w:szCs w:val="36"/>
        </w:rPr>
        <w:lastRenderedPageBreak/>
        <w:t>E</w:t>
      </w:r>
      <w:r w:rsidR="00C51551" w:rsidRPr="00050C59">
        <w:rPr>
          <w:sz w:val="36"/>
          <w:szCs w:val="36"/>
        </w:rPr>
        <w:t>xecutive Summary</w:t>
      </w:r>
      <w:bookmarkEnd w:id="6"/>
      <w:bookmarkEnd w:id="3"/>
      <w:r w:rsidR="00C51551" w:rsidRPr="00050C59">
        <w:rPr>
          <w:sz w:val="36"/>
          <w:szCs w:val="36"/>
        </w:rPr>
        <w:t xml:space="preserve"> </w:t>
      </w:r>
    </w:p>
    <w:p w14:paraId="0FC7E525" w14:textId="15F5EDC9" w:rsidR="00285CFB" w:rsidRDefault="7FD61A7A" w:rsidP="002858B2">
      <w:pPr>
        <w:rPr>
          <w:color w:val="auto"/>
        </w:rPr>
      </w:pPr>
      <w:r w:rsidRPr="2B0CD0AA">
        <w:rPr>
          <w:color w:val="auto"/>
        </w:rPr>
        <w:t>G</w:t>
      </w:r>
      <w:r w:rsidR="002858B2" w:rsidRPr="2B0CD0AA">
        <w:rPr>
          <w:color w:val="auto"/>
        </w:rPr>
        <w:t>lobal emissions reduction ambition</w:t>
      </w:r>
      <w:r w:rsidR="6957840E" w:rsidRPr="2B0CD0AA">
        <w:rPr>
          <w:color w:val="auto"/>
        </w:rPr>
        <w:t>s are increasing</w:t>
      </w:r>
      <w:r w:rsidR="0E51F8DB" w:rsidRPr="304A8730">
        <w:rPr>
          <w:color w:val="auto"/>
        </w:rPr>
        <w:t>,</w:t>
      </w:r>
      <w:r w:rsidR="2B4E6F6F" w:rsidRPr="304A8730">
        <w:rPr>
          <w:color w:val="auto"/>
        </w:rPr>
        <w:t xml:space="preserve"> a</w:t>
      </w:r>
      <w:r w:rsidR="2428AE10" w:rsidRPr="304A8730">
        <w:rPr>
          <w:color w:val="auto"/>
        </w:rPr>
        <w:t>s</w:t>
      </w:r>
      <w:r w:rsidR="002858B2" w:rsidRPr="2B0CD0AA">
        <w:rPr>
          <w:color w:val="auto"/>
        </w:rPr>
        <w:t xml:space="preserve"> are</w:t>
      </w:r>
      <w:r w:rsidR="00742F8B">
        <w:rPr>
          <w:color w:val="auto"/>
        </w:rPr>
        <w:t xml:space="preserve"> raising</w:t>
      </w:r>
      <w:r w:rsidR="002858B2" w:rsidRPr="2B0CD0AA">
        <w:rPr>
          <w:color w:val="auto"/>
        </w:rPr>
        <w:t xml:space="preserve"> demand for renewable energy and clean products worldwide. </w:t>
      </w:r>
      <w:r w:rsidR="00820C25">
        <w:rPr>
          <w:color w:val="auto"/>
        </w:rPr>
        <w:t>Internationall</w:t>
      </w:r>
      <w:r w:rsidR="00594947">
        <w:rPr>
          <w:color w:val="auto"/>
        </w:rPr>
        <w:t xml:space="preserve">y, </w:t>
      </w:r>
      <w:r w:rsidR="00185889">
        <w:rPr>
          <w:color w:val="auto"/>
        </w:rPr>
        <w:t>countries</w:t>
      </w:r>
      <w:r w:rsidR="00A85619">
        <w:rPr>
          <w:color w:val="auto"/>
        </w:rPr>
        <w:t xml:space="preserve"> </w:t>
      </w:r>
      <w:r w:rsidR="00594947">
        <w:rPr>
          <w:color w:val="auto"/>
        </w:rPr>
        <w:t>are setting c</w:t>
      </w:r>
      <w:r w:rsidR="003911DD">
        <w:rPr>
          <w:color w:val="auto"/>
        </w:rPr>
        <w:t>riteria over the good</w:t>
      </w:r>
      <w:r w:rsidR="00072296">
        <w:rPr>
          <w:color w:val="auto"/>
        </w:rPr>
        <w:t>s</w:t>
      </w:r>
      <w:r w:rsidR="003911DD">
        <w:rPr>
          <w:color w:val="auto"/>
        </w:rPr>
        <w:t xml:space="preserve"> they will import</w:t>
      </w:r>
      <w:r w:rsidR="00185327">
        <w:rPr>
          <w:color w:val="auto"/>
        </w:rPr>
        <w:t xml:space="preserve"> to ensure </w:t>
      </w:r>
      <w:r w:rsidR="001D6945">
        <w:rPr>
          <w:color w:val="auto"/>
        </w:rPr>
        <w:t>product</w:t>
      </w:r>
      <w:r w:rsidR="00434753">
        <w:rPr>
          <w:color w:val="auto"/>
        </w:rPr>
        <w:t>s</w:t>
      </w:r>
      <w:r w:rsidR="001D6945">
        <w:rPr>
          <w:color w:val="auto"/>
        </w:rPr>
        <w:t xml:space="preserve"> align with emissions goals</w:t>
      </w:r>
      <w:r w:rsidR="003911DD">
        <w:rPr>
          <w:color w:val="auto"/>
        </w:rPr>
        <w:t>. Domestically</w:t>
      </w:r>
      <w:r w:rsidR="006D1CEF">
        <w:rPr>
          <w:color w:val="auto"/>
        </w:rPr>
        <w:t>,</w:t>
      </w:r>
      <w:r w:rsidR="003911DD">
        <w:rPr>
          <w:color w:val="auto"/>
        </w:rPr>
        <w:t xml:space="preserve"> </w:t>
      </w:r>
      <w:r w:rsidR="006C4172">
        <w:rPr>
          <w:color w:val="auto"/>
        </w:rPr>
        <w:t>g</w:t>
      </w:r>
      <w:r w:rsidR="003911DD">
        <w:rPr>
          <w:color w:val="auto"/>
        </w:rPr>
        <w:t>overnment</w:t>
      </w:r>
      <w:r w:rsidR="00071CFE">
        <w:rPr>
          <w:color w:val="auto"/>
        </w:rPr>
        <w:t>s</w:t>
      </w:r>
      <w:r w:rsidR="003911DD">
        <w:rPr>
          <w:color w:val="auto"/>
        </w:rPr>
        <w:t xml:space="preserve"> are developing incentive programs to </w:t>
      </w:r>
      <w:r w:rsidR="00725EE2">
        <w:rPr>
          <w:color w:val="auto"/>
        </w:rPr>
        <w:t>accelerate</w:t>
      </w:r>
      <w:r w:rsidR="003911DD">
        <w:rPr>
          <w:color w:val="auto"/>
        </w:rPr>
        <w:t xml:space="preserve"> the</w:t>
      </w:r>
      <w:r w:rsidR="00725EE2">
        <w:rPr>
          <w:color w:val="auto"/>
        </w:rPr>
        <w:t xml:space="preserve"> production of low-emissions products</w:t>
      </w:r>
      <w:r w:rsidR="00071CFE">
        <w:rPr>
          <w:color w:val="auto"/>
        </w:rPr>
        <w:t xml:space="preserve"> which include eligibility criteria </w:t>
      </w:r>
      <w:r w:rsidR="00296781">
        <w:rPr>
          <w:color w:val="auto"/>
        </w:rPr>
        <w:t>on energy sources and emissions intensity</w:t>
      </w:r>
      <w:r w:rsidR="0014476A">
        <w:rPr>
          <w:color w:val="auto"/>
        </w:rPr>
        <w:t>.</w:t>
      </w:r>
      <w:r w:rsidR="003911DD">
        <w:rPr>
          <w:color w:val="auto"/>
        </w:rPr>
        <w:t xml:space="preserve"> </w:t>
      </w:r>
      <w:r w:rsidR="00154E54">
        <w:rPr>
          <w:color w:val="auto"/>
        </w:rPr>
        <w:t>Many of these clean products, such as renewable electricity</w:t>
      </w:r>
      <w:r w:rsidR="004A3997">
        <w:rPr>
          <w:color w:val="auto"/>
        </w:rPr>
        <w:t xml:space="preserve">, </w:t>
      </w:r>
      <w:r w:rsidR="00154E54">
        <w:rPr>
          <w:color w:val="auto"/>
        </w:rPr>
        <w:t>hydrogen</w:t>
      </w:r>
      <w:r w:rsidR="00C400B8">
        <w:rPr>
          <w:color w:val="auto"/>
        </w:rPr>
        <w:t>,</w:t>
      </w:r>
      <w:r w:rsidR="00154E54">
        <w:rPr>
          <w:color w:val="auto"/>
        </w:rPr>
        <w:t xml:space="preserve"> </w:t>
      </w:r>
      <w:r w:rsidR="004A3997">
        <w:rPr>
          <w:color w:val="auto"/>
        </w:rPr>
        <w:t>metals</w:t>
      </w:r>
      <w:r w:rsidR="00C400B8">
        <w:rPr>
          <w:color w:val="auto"/>
        </w:rPr>
        <w:t>,</w:t>
      </w:r>
      <w:r w:rsidR="00402E93">
        <w:rPr>
          <w:color w:val="auto"/>
        </w:rPr>
        <w:t xml:space="preserve"> and other fuels</w:t>
      </w:r>
      <w:r w:rsidR="00154E54">
        <w:rPr>
          <w:color w:val="auto"/>
        </w:rPr>
        <w:t xml:space="preserve"> are physically indistinguishable from more emissions-intensive versions</w:t>
      </w:r>
      <w:r w:rsidR="00154E54" w:rsidRPr="2B0CD0AA">
        <w:rPr>
          <w:color w:val="auto"/>
        </w:rPr>
        <w:t xml:space="preserve">. </w:t>
      </w:r>
    </w:p>
    <w:p w14:paraId="672F0A8D" w14:textId="03F473E2" w:rsidR="002858B2" w:rsidRDefault="008C4FB9" w:rsidP="002858B2">
      <w:pPr>
        <w:rPr>
          <w:color w:val="auto"/>
        </w:rPr>
      </w:pPr>
      <w:r w:rsidRPr="2B0CD0AA">
        <w:rPr>
          <w:color w:val="auto"/>
        </w:rPr>
        <w:t>There is a</w:t>
      </w:r>
      <w:r w:rsidR="002858B2" w:rsidRPr="2B0CD0AA">
        <w:rPr>
          <w:color w:val="auto"/>
        </w:rPr>
        <w:t xml:space="preserve"> need for transparent, consistent, and trusted emissions </w:t>
      </w:r>
      <w:r w:rsidR="00F43D48">
        <w:rPr>
          <w:color w:val="auto"/>
        </w:rPr>
        <w:t>information</w:t>
      </w:r>
      <w:r w:rsidR="00F43D48" w:rsidRPr="2B0CD0AA">
        <w:rPr>
          <w:color w:val="auto"/>
        </w:rPr>
        <w:t xml:space="preserve"> </w:t>
      </w:r>
      <w:r w:rsidR="00AA5163">
        <w:rPr>
          <w:color w:val="auto"/>
        </w:rPr>
        <w:t xml:space="preserve">on products and renewable electricity </w:t>
      </w:r>
      <w:r w:rsidR="00F43D48">
        <w:rPr>
          <w:color w:val="auto"/>
        </w:rPr>
        <w:t>to</w:t>
      </w:r>
      <w:r w:rsidR="00CE4F01">
        <w:rPr>
          <w:color w:val="auto"/>
        </w:rPr>
        <w:t xml:space="preserve"> provide assurance to domestic and international consumers</w:t>
      </w:r>
      <w:r w:rsidR="00E77A64">
        <w:rPr>
          <w:color w:val="auto"/>
        </w:rPr>
        <w:t xml:space="preserve"> </w:t>
      </w:r>
      <w:r w:rsidR="002B239A">
        <w:rPr>
          <w:color w:val="auto"/>
        </w:rPr>
        <w:t xml:space="preserve">over </w:t>
      </w:r>
      <w:r w:rsidR="006E70D9">
        <w:rPr>
          <w:color w:val="auto"/>
        </w:rPr>
        <w:t>low emissions</w:t>
      </w:r>
      <w:r w:rsidR="002B239A">
        <w:rPr>
          <w:color w:val="auto"/>
        </w:rPr>
        <w:t xml:space="preserve"> claims </w:t>
      </w:r>
      <w:r w:rsidR="00E77A64">
        <w:rPr>
          <w:color w:val="auto"/>
        </w:rPr>
        <w:t xml:space="preserve">and to act as a verification mechanism for </w:t>
      </w:r>
      <w:r w:rsidR="00C32312">
        <w:rPr>
          <w:color w:val="auto"/>
        </w:rPr>
        <w:t>Government incentive programs</w:t>
      </w:r>
      <w:r w:rsidR="002858B2" w:rsidRPr="2B0CD0AA">
        <w:rPr>
          <w:color w:val="auto"/>
        </w:rPr>
        <w:t>.</w:t>
      </w:r>
      <w:r w:rsidR="005D45F7">
        <w:rPr>
          <w:color w:val="auto"/>
        </w:rPr>
        <w:t xml:space="preserve"> </w:t>
      </w:r>
      <w:r w:rsidR="00285CFB">
        <w:t>T</w:t>
      </w:r>
      <w:r w:rsidR="00285CFB" w:rsidRPr="00664F39">
        <w:t>here is presently a market failure in the availability of</w:t>
      </w:r>
      <w:r w:rsidR="00285CFB">
        <w:t xml:space="preserve"> this</w:t>
      </w:r>
      <w:r w:rsidR="00285CFB" w:rsidRPr="00664F39">
        <w:t xml:space="preserve"> information. </w:t>
      </w:r>
      <w:r w:rsidR="004C5049">
        <w:t xml:space="preserve">As it stands, </w:t>
      </w:r>
      <w:r w:rsidR="00CE3D26">
        <w:t xml:space="preserve">product-level </w:t>
      </w:r>
      <w:r w:rsidR="0082033F">
        <w:t xml:space="preserve">information </w:t>
      </w:r>
      <w:r w:rsidR="00C652D4">
        <w:t xml:space="preserve">regarding emissions or other attributes </w:t>
      </w:r>
      <w:r w:rsidR="0082033F">
        <w:t xml:space="preserve">is </w:t>
      </w:r>
      <w:r w:rsidR="00C334FE">
        <w:t>inconsistent</w:t>
      </w:r>
      <w:r w:rsidR="00C652D4">
        <w:t xml:space="preserve"> or non-existent.</w:t>
      </w:r>
      <w:r w:rsidR="00C334FE">
        <w:t xml:space="preserve"> </w:t>
      </w:r>
      <w:r w:rsidR="00285CFB" w:rsidRPr="00664F39">
        <w:t xml:space="preserve">This restricts the capacity for </w:t>
      </w:r>
      <w:r w:rsidR="00285CFB">
        <w:t>consumers</w:t>
      </w:r>
      <w:r w:rsidR="00285CFB" w:rsidRPr="00664F39">
        <w:t xml:space="preserve"> to ascertain the difference between carbon-intensive and low-emission goods. Without this information, buyers and sellers of these kind of products are unable to efficiently transact and co-ordinate their activities</w:t>
      </w:r>
      <w:r w:rsidR="003534AE">
        <w:t>, inhibiting the development of markets for low-emission goods</w:t>
      </w:r>
      <w:r w:rsidR="00164B39">
        <w:t>.</w:t>
      </w:r>
    </w:p>
    <w:p w14:paraId="4BEE39D4" w14:textId="7FC9C3BD" w:rsidR="003156D2" w:rsidRDefault="003156D2" w:rsidP="0050119F">
      <w:pPr>
        <w:pStyle w:val="BodyText"/>
      </w:pPr>
      <w:r>
        <w:t>To help achieve</w:t>
      </w:r>
      <w:r w:rsidRPr="00960D5A">
        <w:t xml:space="preserve"> Australia’s </w:t>
      </w:r>
      <w:r>
        <w:t xml:space="preserve">ambition of becoming a renewable energy superpower, </w:t>
      </w:r>
      <w:r w:rsidRPr="005947FB">
        <w:t>industry</w:t>
      </w:r>
      <w:r>
        <w:t>, consumers</w:t>
      </w:r>
      <w:r w:rsidRPr="005947FB">
        <w:t xml:space="preserve"> and </w:t>
      </w:r>
      <w:r>
        <w:t>Government</w:t>
      </w:r>
      <w:r w:rsidRPr="005947FB">
        <w:t xml:space="preserve"> require a system </w:t>
      </w:r>
      <w:r>
        <w:t>to certify renewable electricity and</w:t>
      </w:r>
      <w:r w:rsidRPr="005947FB">
        <w:t xml:space="preserve"> emissions embedded in a product. This system needs to be transparent</w:t>
      </w:r>
      <w:r>
        <w:t>, trusted and</w:t>
      </w:r>
      <w:r w:rsidRPr="005947FB">
        <w:t xml:space="preserve"> consistent</w:t>
      </w:r>
      <w:r>
        <w:t xml:space="preserve"> with international best-practice</w:t>
      </w:r>
      <w:r w:rsidRPr="005947FB">
        <w:t xml:space="preserve">, </w:t>
      </w:r>
      <w:r>
        <w:t xml:space="preserve">to </w:t>
      </w:r>
      <w:r w:rsidRPr="005947FB">
        <w:t xml:space="preserve">provide assurance to domestic and international </w:t>
      </w:r>
      <w:r>
        <w:t>market</w:t>
      </w:r>
      <w:r w:rsidRPr="005947FB">
        <w:t>s</w:t>
      </w:r>
      <w:r>
        <w:t xml:space="preserve"> and </w:t>
      </w:r>
      <w:r w:rsidRPr="00975292">
        <w:t xml:space="preserve">act as a verification mechanism </w:t>
      </w:r>
      <w:r>
        <w:t xml:space="preserve">to support </w:t>
      </w:r>
      <w:r w:rsidRPr="005947FB">
        <w:t xml:space="preserve">access </w:t>
      </w:r>
      <w:r>
        <w:t xml:space="preserve">to related </w:t>
      </w:r>
      <w:r w:rsidR="006C4172">
        <w:t>g</w:t>
      </w:r>
      <w:r w:rsidRPr="005947FB">
        <w:t>overnment incentive programs.</w:t>
      </w:r>
    </w:p>
    <w:p w14:paraId="64269CBB" w14:textId="4C755297" w:rsidR="0050119F" w:rsidRDefault="0085520F" w:rsidP="0050119F">
      <w:pPr>
        <w:pStyle w:val="BodyText"/>
      </w:pPr>
      <w:r>
        <w:t>The purpose of this</w:t>
      </w:r>
      <w:r w:rsidR="00C84853">
        <w:t xml:space="preserve"> </w:t>
      </w:r>
      <w:r w:rsidR="00153303">
        <w:t>I</w:t>
      </w:r>
      <w:r>
        <w:t>mpact Analysis</w:t>
      </w:r>
      <w:r w:rsidR="00F20DAC">
        <w:t xml:space="preserve"> (IA)</w:t>
      </w:r>
      <w:r>
        <w:t xml:space="preserve"> is to </w:t>
      </w:r>
      <w:r w:rsidR="002858B2">
        <w:t>inform the development</w:t>
      </w:r>
      <w:r w:rsidR="0089596C">
        <w:t xml:space="preserve"> and assessment</w:t>
      </w:r>
      <w:r w:rsidR="002858B2">
        <w:t xml:space="preserve"> of policy options to implement </w:t>
      </w:r>
      <w:r w:rsidR="00F43D48">
        <w:t>a framework</w:t>
      </w:r>
      <w:r w:rsidR="0089596C">
        <w:t xml:space="preserve"> support</w:t>
      </w:r>
      <w:r w:rsidR="4AA4F5B8">
        <w:t>ing</w:t>
      </w:r>
      <w:r w:rsidR="0089596C">
        <w:t xml:space="preserve"> </w:t>
      </w:r>
      <w:r w:rsidR="001D66A3">
        <w:t>transparent</w:t>
      </w:r>
      <w:r w:rsidR="009C19AB">
        <w:t>, verified</w:t>
      </w:r>
      <w:r w:rsidR="001D66A3">
        <w:t xml:space="preserve"> information on the origin </w:t>
      </w:r>
      <w:r w:rsidR="00FA192A">
        <w:t xml:space="preserve">and attributes </w:t>
      </w:r>
      <w:r w:rsidR="001D66A3">
        <w:t>of</w:t>
      </w:r>
      <w:r w:rsidR="0089596C">
        <w:t xml:space="preserve"> renewable energy and clean products</w:t>
      </w:r>
      <w:r w:rsidR="00CE098F">
        <w:t>, including em</w:t>
      </w:r>
      <w:r w:rsidR="006B3F80">
        <w:t>bedded emissions</w:t>
      </w:r>
      <w:r w:rsidR="0089596C">
        <w:t>.</w:t>
      </w:r>
      <w:r w:rsidR="00894ED2">
        <w:t xml:space="preserve"> </w:t>
      </w:r>
      <w:r w:rsidR="002D4896" w:rsidRPr="00311B15">
        <w:t xml:space="preserve">The </w:t>
      </w:r>
      <w:r w:rsidR="00330C57">
        <w:t>Australian Government</w:t>
      </w:r>
      <w:r w:rsidR="00894ED2">
        <w:t xml:space="preserve"> </w:t>
      </w:r>
      <w:r w:rsidR="00330C57">
        <w:t xml:space="preserve">has </w:t>
      </w:r>
      <w:r w:rsidR="00894ED2">
        <w:t xml:space="preserve">conducted broad-scale </w:t>
      </w:r>
      <w:r w:rsidR="006220B7">
        <w:t xml:space="preserve">domestic and international </w:t>
      </w:r>
      <w:r w:rsidR="00894ED2">
        <w:t>consultation</w:t>
      </w:r>
      <w:r w:rsidR="006220B7">
        <w:t xml:space="preserve"> </w:t>
      </w:r>
      <w:r w:rsidR="0060164D">
        <w:t>and</w:t>
      </w:r>
      <w:r w:rsidR="00894ED2">
        <w:t xml:space="preserve"> considered a range of possibilities based on</w:t>
      </w:r>
      <w:r w:rsidR="00F7056E">
        <w:t xml:space="preserve"> industry feedback</w:t>
      </w:r>
      <w:r w:rsidR="00CF00B6" w:rsidRPr="00CF00B6">
        <w:t xml:space="preserve"> </w:t>
      </w:r>
      <w:r w:rsidR="00CF00B6">
        <w:t>to develop the policy options</w:t>
      </w:r>
      <w:r w:rsidR="004120BC">
        <w:t xml:space="preserve"> below</w:t>
      </w:r>
      <w:r w:rsidR="00894ED2">
        <w:t>.</w:t>
      </w:r>
      <w:r w:rsidR="0050119F">
        <w:t xml:space="preserve"> This extensive consultation has informed and supports the recommendation</w:t>
      </w:r>
      <w:r w:rsidR="005A2AEC">
        <w:t xml:space="preserve"> of this report</w:t>
      </w:r>
      <w:r w:rsidR="0050119F">
        <w:t>.</w:t>
      </w:r>
    </w:p>
    <w:p w14:paraId="3E30BDB1" w14:textId="54221E8E" w:rsidR="00DC4EE4" w:rsidRDefault="002C6044" w:rsidP="003156D2">
      <w:r>
        <w:t xml:space="preserve">When assessing the preferred option, </w:t>
      </w:r>
      <w:r w:rsidR="00194B6C">
        <w:t>DCCEEW’s</w:t>
      </w:r>
      <w:r w:rsidR="0050119F">
        <w:t xml:space="preserve"> analysis considered </w:t>
      </w:r>
      <w:r w:rsidR="008302B4">
        <w:t>r</w:t>
      </w:r>
      <w:r w:rsidR="008459EB">
        <w:t xml:space="preserve">egulatory costs of the options </w:t>
      </w:r>
      <w:r w:rsidR="008302B4">
        <w:t>(</w:t>
      </w:r>
      <w:r w:rsidR="000D3323">
        <w:t xml:space="preserve">should the </w:t>
      </w:r>
      <w:r w:rsidR="00431487">
        <w:t xml:space="preserve">entities </w:t>
      </w:r>
      <w:r w:rsidR="000D3323">
        <w:t xml:space="preserve">choose to </w:t>
      </w:r>
      <w:r w:rsidR="00161676">
        <w:t>engage with</w:t>
      </w:r>
      <w:r w:rsidR="000D3323">
        <w:t xml:space="preserve"> the voluntary options</w:t>
      </w:r>
      <w:r w:rsidR="008302B4">
        <w:t xml:space="preserve">) </w:t>
      </w:r>
      <w:r w:rsidR="008459EB">
        <w:t>against</w:t>
      </w:r>
      <w:r w:rsidR="00161676">
        <w:t xml:space="preserve"> possible e</w:t>
      </w:r>
      <w:r w:rsidR="008459EB">
        <w:t>conomic, reputation</w:t>
      </w:r>
      <w:r w:rsidR="00E331DE">
        <w:t>al</w:t>
      </w:r>
      <w:r w:rsidR="008459EB">
        <w:t>,</w:t>
      </w:r>
      <w:r w:rsidR="008C6641">
        <w:t xml:space="preserve"> and decarbonisation </w:t>
      </w:r>
      <w:r w:rsidR="000D3323">
        <w:t>impacts</w:t>
      </w:r>
      <w:r w:rsidR="0050119F">
        <w:t xml:space="preserve">. </w:t>
      </w:r>
      <w:r w:rsidR="0050119F" w:rsidRPr="00F7056E">
        <w:t xml:space="preserve">Qualitative assessments </w:t>
      </w:r>
      <w:r w:rsidR="002117BF">
        <w:t xml:space="preserve">of benefits </w:t>
      </w:r>
      <w:r w:rsidR="0050119F" w:rsidRPr="00F7056E">
        <w:t>have been made against</w:t>
      </w:r>
      <w:r w:rsidR="0050119F">
        <w:t xml:space="preserve"> </w:t>
      </w:r>
      <w:r>
        <w:t>these impacts</w:t>
      </w:r>
      <w:r w:rsidR="0050119F" w:rsidRPr="006A6A21">
        <w:t>.</w:t>
      </w:r>
      <w:r w:rsidR="0050119F">
        <w:t xml:space="preserve"> </w:t>
      </w:r>
      <w:r w:rsidR="0050119F" w:rsidRPr="00476B26">
        <w:t xml:space="preserve">Quantitative regulatory burden estimates </w:t>
      </w:r>
      <w:r w:rsidR="0050119F">
        <w:t xml:space="preserve">form the basis of </w:t>
      </w:r>
      <w:r w:rsidR="00194B6C">
        <w:t>DCCEEW</w:t>
      </w:r>
      <w:r w:rsidR="0050119F">
        <w:t>’s recommendation and are included for</w:t>
      </w:r>
      <w:r w:rsidR="0050119F" w:rsidRPr="00476B26">
        <w:t xml:space="preserve"> </w:t>
      </w:r>
      <w:r w:rsidR="003B2FE6">
        <w:t>options 2 and 3.</w:t>
      </w:r>
      <w:r w:rsidR="0050119F">
        <w:t xml:space="preserve"> </w:t>
      </w:r>
    </w:p>
    <w:p w14:paraId="2FCF440A" w14:textId="718528AC" w:rsidR="00892C3A" w:rsidRDefault="00892C3A" w:rsidP="00DA5ADF">
      <w:r w:rsidRPr="00892C3A">
        <w:t>The following</w:t>
      </w:r>
      <w:r w:rsidR="00BE76F7">
        <w:t xml:space="preserve"> three</w:t>
      </w:r>
      <w:r w:rsidRPr="00892C3A">
        <w:t xml:space="preserve"> </w:t>
      </w:r>
      <w:r w:rsidR="00894ED2">
        <w:t xml:space="preserve">options </w:t>
      </w:r>
      <w:r w:rsidR="00014772">
        <w:t xml:space="preserve">for voluntary certification of emissions associated with specific products and renewable electricity </w:t>
      </w:r>
      <w:r w:rsidR="00F86C0D">
        <w:t>have been</w:t>
      </w:r>
      <w:r w:rsidR="00894ED2">
        <w:t xml:space="preserve"> examined in this I</w:t>
      </w:r>
      <w:r w:rsidR="00B62C5E">
        <w:t>mpact Assessment</w:t>
      </w:r>
      <w:r w:rsidR="00F86C0D">
        <w:t>:</w:t>
      </w:r>
    </w:p>
    <w:p w14:paraId="32092FF3" w14:textId="77777777" w:rsidR="003E37B3" w:rsidRPr="00666208" w:rsidRDefault="00742F8B" w:rsidP="008843F3">
      <w:pPr>
        <w:pStyle w:val="ListParagraph"/>
        <w:numPr>
          <w:ilvl w:val="0"/>
          <w:numId w:val="61"/>
        </w:numPr>
        <w:ind w:left="714" w:hanging="357"/>
        <w:contextualSpacing w:val="0"/>
        <w:rPr>
          <w:b/>
        </w:rPr>
      </w:pPr>
      <w:r>
        <w:rPr>
          <w:b/>
        </w:rPr>
        <w:t>Option 1</w:t>
      </w:r>
      <w:r w:rsidR="00066553">
        <w:rPr>
          <w:b/>
        </w:rPr>
        <w:t xml:space="preserve">: </w:t>
      </w:r>
      <w:r w:rsidR="00892C3A" w:rsidRPr="002858B2">
        <w:rPr>
          <w:b/>
        </w:rPr>
        <w:t>Status-quo</w:t>
      </w:r>
      <w:r w:rsidR="00130F4A">
        <w:rPr>
          <w:b/>
        </w:rPr>
        <w:t xml:space="preserve"> (non-</w:t>
      </w:r>
      <w:r w:rsidR="00001380">
        <w:rPr>
          <w:b/>
        </w:rPr>
        <w:t xml:space="preserve">regulatory) </w:t>
      </w:r>
      <w:r w:rsidR="00001380">
        <w:t>–</w:t>
      </w:r>
      <w:r w:rsidR="003D0116">
        <w:t xml:space="preserve"> </w:t>
      </w:r>
      <w:r w:rsidR="764AF985">
        <w:t xml:space="preserve">Australian industry </w:t>
      </w:r>
      <w:r w:rsidR="00266A04">
        <w:t>would</w:t>
      </w:r>
      <w:r w:rsidR="764AF985">
        <w:t xml:space="preserve"> develop </w:t>
      </w:r>
      <w:r w:rsidR="0071581F">
        <w:t xml:space="preserve">emissions accounting </w:t>
      </w:r>
      <w:r w:rsidR="00A611A6">
        <w:t xml:space="preserve">and certification </w:t>
      </w:r>
      <w:r w:rsidR="764AF985">
        <w:t>frameworks as required</w:t>
      </w:r>
      <w:r w:rsidR="00364BC7">
        <w:t xml:space="preserve"> without Australian Government involvement</w:t>
      </w:r>
      <w:r w:rsidR="0084187E">
        <w:t>.</w:t>
      </w:r>
      <w:r w:rsidR="008D651E" w:rsidRPr="008D651E">
        <w:t xml:space="preserve"> </w:t>
      </w:r>
    </w:p>
    <w:p w14:paraId="75D0A89D" w14:textId="28B78E01" w:rsidR="00330C57" w:rsidRPr="002858B2" w:rsidRDefault="00066553" w:rsidP="008843F3">
      <w:pPr>
        <w:pStyle w:val="ListParagraph"/>
        <w:numPr>
          <w:ilvl w:val="0"/>
          <w:numId w:val="61"/>
        </w:numPr>
        <w:ind w:left="714" w:hanging="357"/>
        <w:contextualSpacing w:val="0"/>
        <w:rPr>
          <w:b/>
          <w:bCs/>
        </w:rPr>
      </w:pPr>
      <w:r>
        <w:rPr>
          <w:b/>
          <w:bCs/>
        </w:rPr>
        <w:t xml:space="preserve">Option 2: </w:t>
      </w:r>
      <w:r w:rsidR="006356D7">
        <w:rPr>
          <w:b/>
          <w:bCs/>
        </w:rPr>
        <w:t>Publish</w:t>
      </w:r>
      <w:r w:rsidR="00702D98">
        <w:rPr>
          <w:b/>
          <w:bCs/>
        </w:rPr>
        <w:t xml:space="preserve"> </w:t>
      </w:r>
      <w:r w:rsidR="006356D7">
        <w:rPr>
          <w:b/>
          <w:bCs/>
        </w:rPr>
        <w:t>framework with no government administration (q</w:t>
      </w:r>
      <w:r w:rsidR="006356D7" w:rsidRPr="4D7A5D67">
        <w:rPr>
          <w:b/>
          <w:bCs/>
        </w:rPr>
        <w:t>uasi-regulatory</w:t>
      </w:r>
      <w:r w:rsidR="006356D7">
        <w:rPr>
          <w:rStyle w:val="CommentReference"/>
        </w:rPr>
        <w:t>)</w:t>
      </w:r>
      <w:r>
        <w:rPr>
          <w:rStyle w:val="CommentReference"/>
        </w:rPr>
        <w:t xml:space="preserve"> </w:t>
      </w:r>
      <w:r w:rsidR="00001380">
        <w:rPr>
          <w:b/>
          <w:bCs/>
        </w:rPr>
        <w:t>–</w:t>
      </w:r>
      <w:r w:rsidR="00254A03">
        <w:t xml:space="preserve"> </w:t>
      </w:r>
      <w:r w:rsidR="00EB6E44">
        <w:t>The Australian Government</w:t>
      </w:r>
      <w:r w:rsidR="00330C57">
        <w:t xml:space="preserve"> would </w:t>
      </w:r>
      <w:r w:rsidR="00A611A6">
        <w:t>develop</w:t>
      </w:r>
      <w:r w:rsidR="00330C57">
        <w:t xml:space="preserve"> an emissions accounting framework that industry could </w:t>
      </w:r>
      <w:r w:rsidR="00C8524E">
        <w:t xml:space="preserve">voluntarily </w:t>
      </w:r>
      <w:r w:rsidR="00330C57">
        <w:t xml:space="preserve">choose to adopt and apply to their </w:t>
      </w:r>
      <w:r w:rsidR="00D733A8">
        <w:t xml:space="preserve">certification schemes for </w:t>
      </w:r>
      <w:r w:rsidR="003A5BA5">
        <w:t xml:space="preserve">clean </w:t>
      </w:r>
      <w:r w:rsidR="00330C57">
        <w:t xml:space="preserve">products for both domestic </w:t>
      </w:r>
      <w:r w:rsidR="1C04CEA1">
        <w:t>and export</w:t>
      </w:r>
      <w:r w:rsidR="00330C57">
        <w:t xml:space="preserve">. </w:t>
      </w:r>
      <w:r w:rsidR="006C66B4">
        <w:t xml:space="preserve">This </w:t>
      </w:r>
      <w:r w:rsidR="00014772">
        <w:t>option wou</w:t>
      </w:r>
      <w:r w:rsidR="00D52555">
        <w:t xml:space="preserve">ld involve certification of products being administered by industry based on guidelines </w:t>
      </w:r>
      <w:r w:rsidR="00D733A8">
        <w:t xml:space="preserve">developed by the </w:t>
      </w:r>
      <w:r w:rsidR="006C4172">
        <w:t xml:space="preserve">Australian </w:t>
      </w:r>
      <w:r w:rsidR="00D733A8">
        <w:t>Government</w:t>
      </w:r>
      <w:r w:rsidR="00C465F2">
        <w:t>.</w:t>
      </w:r>
      <w:r w:rsidR="00014772">
        <w:t xml:space="preserve"> </w:t>
      </w:r>
      <w:r w:rsidR="00330C57">
        <w:t xml:space="preserve">No legislation would be </w:t>
      </w:r>
      <w:r w:rsidR="00173F5C">
        <w:t>made,</w:t>
      </w:r>
      <w:r w:rsidR="00330C57">
        <w:t xml:space="preserve"> and the </w:t>
      </w:r>
      <w:r w:rsidR="003C0820">
        <w:t>framework</w:t>
      </w:r>
      <w:r w:rsidR="00330C57">
        <w:t xml:space="preserve"> would operate </w:t>
      </w:r>
      <w:r w:rsidR="008C4FB9">
        <w:t>like</w:t>
      </w:r>
      <w:r w:rsidR="00330C57">
        <w:t xml:space="preserve"> a model code</w:t>
      </w:r>
      <w:r w:rsidR="008C4FB9">
        <w:t>,</w:t>
      </w:r>
      <w:r w:rsidR="00330C57">
        <w:t xml:space="preserve"> without government </w:t>
      </w:r>
      <w:r w:rsidR="00E52E16">
        <w:t>issuance of certificates</w:t>
      </w:r>
      <w:r w:rsidR="00330C57">
        <w:t>.</w:t>
      </w:r>
    </w:p>
    <w:p w14:paraId="69E0F2FB" w14:textId="24CF80DA" w:rsidR="002D77D5" w:rsidRDefault="00066553" w:rsidP="008843F3">
      <w:pPr>
        <w:pStyle w:val="ListParagraph"/>
        <w:numPr>
          <w:ilvl w:val="0"/>
          <w:numId w:val="61"/>
        </w:numPr>
        <w:ind w:left="714" w:hanging="357"/>
        <w:contextualSpacing w:val="0"/>
      </w:pPr>
      <w:r>
        <w:rPr>
          <w:b/>
        </w:rPr>
        <w:t xml:space="preserve">Option 3: </w:t>
      </w:r>
      <w:r w:rsidR="00423428" w:rsidRPr="00423428">
        <w:rPr>
          <w:b/>
        </w:rPr>
        <w:t xml:space="preserve">Australian Government administered Guarantee of Origin Scheme </w:t>
      </w:r>
      <w:r w:rsidR="00B01E3A">
        <w:rPr>
          <w:b/>
        </w:rPr>
        <w:t>(r</w:t>
      </w:r>
      <w:r w:rsidR="00892C3A" w:rsidRPr="002858B2">
        <w:rPr>
          <w:b/>
        </w:rPr>
        <w:t>egulatory</w:t>
      </w:r>
      <w:r w:rsidR="00B01E3A">
        <w:rPr>
          <w:b/>
        </w:rPr>
        <w:t>)</w:t>
      </w:r>
      <w:r w:rsidR="0079134F" w:rsidRPr="00311B15">
        <w:rPr>
          <w:b/>
          <w:bCs/>
        </w:rPr>
        <w:t xml:space="preserve"> </w:t>
      </w:r>
      <w:r w:rsidR="00330C57">
        <w:t>–</w:t>
      </w:r>
      <w:r w:rsidR="003D0116">
        <w:t xml:space="preserve"> </w:t>
      </w:r>
      <w:r w:rsidR="0079134F">
        <w:t xml:space="preserve">The </w:t>
      </w:r>
      <w:r w:rsidR="00302603">
        <w:t>Australian G</w:t>
      </w:r>
      <w:r w:rsidR="00330C57">
        <w:t xml:space="preserve">overnment would </w:t>
      </w:r>
      <w:r w:rsidR="008D651E" w:rsidRPr="008D651E">
        <w:t xml:space="preserve">implement and </w:t>
      </w:r>
      <w:r w:rsidR="00E227D5" w:rsidRPr="008D651E">
        <w:t>administer a</w:t>
      </w:r>
      <w:r w:rsidR="00E45843">
        <w:t xml:space="preserve"> </w:t>
      </w:r>
      <w:r w:rsidR="003100E2">
        <w:t xml:space="preserve">voluntary </w:t>
      </w:r>
      <w:r w:rsidR="008D651E" w:rsidRPr="008D651E">
        <w:t>scheme</w:t>
      </w:r>
      <w:r w:rsidR="004B3117">
        <w:t>, the Guarant</w:t>
      </w:r>
      <w:r w:rsidR="002A31F8">
        <w:t xml:space="preserve">ee of Origin or “GO” scheme, </w:t>
      </w:r>
      <w:r w:rsidR="00E45843">
        <w:t xml:space="preserve">that would measure, track and verify </w:t>
      </w:r>
      <w:r w:rsidR="00EB10AD">
        <w:t>emissions information related to products</w:t>
      </w:r>
      <w:r w:rsidR="00175F71">
        <w:t>.</w:t>
      </w:r>
      <w:r w:rsidR="00F716AE">
        <w:t xml:space="preserve"> </w:t>
      </w:r>
      <w:r w:rsidR="00175F71">
        <w:t xml:space="preserve">This would </w:t>
      </w:r>
      <w:r w:rsidR="00F716AE">
        <w:t>include</w:t>
      </w:r>
      <w:r w:rsidR="008D651E" w:rsidRPr="008D651E">
        <w:t xml:space="preserve"> an enduring renewable electricity certification mechanism. This </w:t>
      </w:r>
      <w:r w:rsidR="002B4626">
        <w:t>includes</w:t>
      </w:r>
      <w:r w:rsidR="008D651E" w:rsidRPr="008D651E">
        <w:t xml:space="preserve"> establishing supporting IT and compliance systems and enable ongoing domestic and international engagement to expand and evolve the scheme to support Australian renewables and clean energy export industr</w:t>
      </w:r>
      <w:r w:rsidR="003C0820">
        <w:t>ies</w:t>
      </w:r>
      <w:r w:rsidR="00330C57">
        <w:t xml:space="preserve"> into the future</w:t>
      </w:r>
      <w:r w:rsidR="008D651E" w:rsidRPr="008D651E">
        <w:t>.</w:t>
      </w:r>
    </w:p>
    <w:p w14:paraId="6768184F" w14:textId="4B5A21B2" w:rsidR="002F70C0" w:rsidRDefault="002F70C0" w:rsidP="004960F3">
      <w:pPr>
        <w:pStyle w:val="BodyText"/>
        <w:ind w:left="360"/>
      </w:pPr>
      <w:r>
        <w:t xml:space="preserve">Maintaining the status quo </w:t>
      </w:r>
      <w:r w:rsidR="00C768E6">
        <w:t xml:space="preserve">(option 1) </w:t>
      </w:r>
      <w:r>
        <w:t xml:space="preserve">would mean that producers and consumers would continue to be impacted by the current market failure. Industry-led schemes may emerge, but these are likely to be overlapping and inconsistent. This would undermine trust and introduce uncertainty to the market rather than reducing barriers. The status quo option </w:t>
      </w:r>
      <w:r>
        <w:lastRenderedPageBreak/>
        <w:t xml:space="preserve">represents a reduced initial impact and compliance cost on industry, but a longer-term burden to realise opportunities and achieve growth. </w:t>
      </w:r>
    </w:p>
    <w:p w14:paraId="0754E957" w14:textId="19ECC2DE" w:rsidR="00562BEF" w:rsidRDefault="006B707D" w:rsidP="00E50F87">
      <w:pPr>
        <w:pStyle w:val="BodyText"/>
        <w:ind w:left="360"/>
      </w:pPr>
      <w:r>
        <w:t xml:space="preserve">Option 2 is </w:t>
      </w:r>
      <w:r w:rsidR="00EF67BA">
        <w:t xml:space="preserve">also </w:t>
      </w:r>
      <w:r>
        <w:t xml:space="preserve">likely </w:t>
      </w:r>
      <w:r w:rsidR="00EF67BA">
        <w:t xml:space="preserve">to </w:t>
      </w:r>
      <w:r>
        <w:t xml:space="preserve">result in duplicative and overlapping industry schemes, although there would be greater alignment than under option 1. These industry schemes would be perceived as having reduced integrity compared to a </w:t>
      </w:r>
      <w:r w:rsidR="00AE603E">
        <w:t>g</w:t>
      </w:r>
      <w:r>
        <w:t xml:space="preserve">overnment-led scheme as there would be no single source of truth, i.e. a certificate register or a </w:t>
      </w:r>
      <w:r w:rsidR="00AE603E">
        <w:t>g</w:t>
      </w:r>
      <w:r>
        <w:t>overnment administrator.</w:t>
      </w:r>
      <w:r w:rsidR="006F21B6">
        <w:t xml:space="preserve"> </w:t>
      </w:r>
    </w:p>
    <w:p w14:paraId="47548D94" w14:textId="09DBA334" w:rsidR="00E50F87" w:rsidRDefault="00562BEF" w:rsidP="00E50F87">
      <w:pPr>
        <w:pStyle w:val="BodyText"/>
        <w:ind w:left="360"/>
      </w:pPr>
      <w:r>
        <w:t>No enduring certification for renewable electricity would be introduced under options 1 and 2.</w:t>
      </w:r>
    </w:p>
    <w:p w14:paraId="1665A3C6" w14:textId="0BEC30CF" w:rsidR="003B74C7" w:rsidRDefault="00E50F87" w:rsidP="00E50F87">
      <w:pPr>
        <w:pStyle w:val="BodyText"/>
        <w:ind w:left="360"/>
      </w:pPr>
      <w:r>
        <w:t>The preferred option is</w:t>
      </w:r>
      <w:r w:rsidR="003E228A">
        <w:t xml:space="preserve"> </w:t>
      </w:r>
      <w:r w:rsidR="001C0F47">
        <w:t>the r</w:t>
      </w:r>
      <w:r w:rsidR="002D77D5" w:rsidRPr="002D77D5">
        <w:t>egulatory</w:t>
      </w:r>
      <w:r w:rsidR="001C0F47">
        <w:t xml:space="preserve"> option (</w:t>
      </w:r>
      <w:r w:rsidR="00B814F9">
        <w:t>o</w:t>
      </w:r>
      <w:r w:rsidR="001C0F47">
        <w:t>ption 3)</w:t>
      </w:r>
      <w:r w:rsidR="002D77D5">
        <w:t xml:space="preserve">. </w:t>
      </w:r>
      <w:r w:rsidR="007E17E5">
        <w:t>This op</w:t>
      </w:r>
      <w:r w:rsidR="00EB3F87">
        <w:t>tion</w:t>
      </w:r>
      <w:r w:rsidR="003B74C7" w:rsidRPr="004E23C9">
        <w:t xml:space="preserve"> would provide </w:t>
      </w:r>
      <w:r w:rsidR="00A96894">
        <w:t>the</w:t>
      </w:r>
      <w:r w:rsidR="003B74C7" w:rsidRPr="004E23C9">
        <w:t xml:space="preserve"> necessary investment certainty, achieve greater integrity and unlock greater economic opportunities over the medium-to-long term</w:t>
      </w:r>
      <w:r w:rsidR="00EB40F8">
        <w:t xml:space="preserve">. </w:t>
      </w:r>
      <w:r w:rsidR="00881EA1">
        <w:t xml:space="preserve">A </w:t>
      </w:r>
      <w:r w:rsidR="00AE603E">
        <w:t>g</w:t>
      </w:r>
      <w:r w:rsidR="00881EA1">
        <w:t>overnment led scheme would be perceived to have</w:t>
      </w:r>
      <w:r w:rsidR="00EB40F8">
        <w:t xml:space="preserve"> increased credibility and</w:t>
      </w:r>
      <w:r w:rsidR="00881EA1">
        <w:t xml:space="preserve"> could achieve</w:t>
      </w:r>
      <w:r w:rsidR="00EB40F8">
        <w:t xml:space="preserve"> increased alignment with international standards and other Australian Government carbon reporting frameworks.</w:t>
      </w:r>
      <w:r w:rsidR="00881EA1">
        <w:t xml:space="preserve"> This leads to opportunities to streamline reporting across domestic and international schemes, </w:t>
      </w:r>
      <w:r w:rsidR="00B463CD">
        <w:t xml:space="preserve">and decreased compliance costs due to the ability for the regulator to undertake data matching </w:t>
      </w:r>
      <w:r w:rsidR="002710C5">
        <w:t xml:space="preserve">within the scheme and across other schemes it administers. </w:t>
      </w:r>
      <w:r w:rsidR="009A0776">
        <w:rPr>
          <w:color w:val="000000" w:themeColor="text1"/>
        </w:rPr>
        <w:t>I</w:t>
      </w:r>
      <w:r w:rsidR="009A0776" w:rsidRPr="00E76953">
        <w:rPr>
          <w:color w:val="000000" w:themeColor="text1"/>
        </w:rPr>
        <w:t xml:space="preserve">nitial </w:t>
      </w:r>
      <w:r w:rsidR="009A0776">
        <w:rPr>
          <w:color w:val="000000" w:themeColor="text1"/>
        </w:rPr>
        <w:t xml:space="preserve">regulatory </w:t>
      </w:r>
      <w:r w:rsidR="009A0776" w:rsidRPr="00E76953">
        <w:rPr>
          <w:color w:val="000000" w:themeColor="text1"/>
        </w:rPr>
        <w:t xml:space="preserve">costs under </w:t>
      </w:r>
      <w:r w:rsidR="009A0776">
        <w:rPr>
          <w:color w:val="000000" w:themeColor="text1"/>
        </w:rPr>
        <w:t>option 3</w:t>
      </w:r>
      <w:r w:rsidR="009A0776" w:rsidRPr="00E76953">
        <w:rPr>
          <w:color w:val="000000" w:themeColor="text1"/>
        </w:rPr>
        <w:t xml:space="preserve"> are </w:t>
      </w:r>
      <w:r w:rsidR="009A0776">
        <w:rPr>
          <w:color w:val="000000" w:themeColor="text1"/>
        </w:rPr>
        <w:t>higher than option 2</w:t>
      </w:r>
      <w:r w:rsidR="009A0776" w:rsidRPr="00E76953">
        <w:rPr>
          <w:color w:val="000000" w:themeColor="text1"/>
        </w:rPr>
        <w:t xml:space="preserve">, </w:t>
      </w:r>
      <w:r w:rsidR="009A0776">
        <w:rPr>
          <w:color w:val="000000" w:themeColor="text1"/>
        </w:rPr>
        <w:t>however th</w:t>
      </w:r>
      <w:r w:rsidR="00A84095">
        <w:rPr>
          <w:color w:val="000000" w:themeColor="text1"/>
        </w:rPr>
        <w:t>is is offset by</w:t>
      </w:r>
      <w:r w:rsidR="009A0776" w:rsidRPr="00E76953">
        <w:rPr>
          <w:color w:val="000000" w:themeColor="text1"/>
        </w:rPr>
        <w:t xml:space="preserve"> decreased burden over the long-term </w:t>
      </w:r>
      <w:r w:rsidR="00A84095">
        <w:rPr>
          <w:color w:val="000000" w:themeColor="text1"/>
        </w:rPr>
        <w:t>due to</w:t>
      </w:r>
      <w:r w:rsidR="009A0776">
        <w:t xml:space="preserve"> reduced audit requirements in later years.</w:t>
      </w:r>
    </w:p>
    <w:p w14:paraId="7C19D1C4" w14:textId="1151BE84" w:rsidR="00194B6C" w:rsidRDefault="00F012B9" w:rsidP="00F012B9">
      <w:pPr>
        <w:ind w:firstLine="360"/>
      </w:pPr>
      <w:r>
        <w:t>I</w:t>
      </w:r>
      <w:r w:rsidR="00194B6C">
        <w:t>mplementation risks and mitigation strategies</w:t>
      </w:r>
      <w:r>
        <w:t xml:space="preserve"> are also considered</w:t>
      </w:r>
      <w:r w:rsidR="00194B6C">
        <w:t xml:space="preserve"> in this I</w:t>
      </w:r>
      <w:r w:rsidR="004B3117">
        <w:t>mpact Assessment</w:t>
      </w:r>
      <w:r w:rsidR="00194B6C">
        <w:t>, including:</w:t>
      </w:r>
    </w:p>
    <w:p w14:paraId="78D5E9DA" w14:textId="6AA00727" w:rsidR="0047287B" w:rsidRDefault="001D7DBF" w:rsidP="0047287B">
      <w:pPr>
        <w:pStyle w:val="ListParagraph"/>
        <w:numPr>
          <w:ilvl w:val="0"/>
          <w:numId w:val="137"/>
        </w:numPr>
      </w:pPr>
      <w:r>
        <w:t>The scheme does</w:t>
      </w:r>
      <w:r w:rsidR="00ED4FE0">
        <w:t xml:space="preserve"> not</w:t>
      </w:r>
      <w:r>
        <w:t xml:space="preserve"> provide the necessary </w:t>
      </w:r>
      <w:r w:rsidR="00366BC6">
        <w:t>integrity and transparency</w:t>
      </w:r>
    </w:p>
    <w:p w14:paraId="2768D513" w14:textId="7627CF12" w:rsidR="00366BC6" w:rsidRDefault="00ED4FE0" w:rsidP="0047287B">
      <w:pPr>
        <w:pStyle w:val="ListParagraph"/>
        <w:numPr>
          <w:ilvl w:val="0"/>
          <w:numId w:val="137"/>
        </w:numPr>
      </w:pPr>
      <w:r>
        <w:t>The value of participating in the scheme does not outweigh the costs</w:t>
      </w:r>
    </w:p>
    <w:p w14:paraId="3B6DA43F" w14:textId="0A4AC7CB" w:rsidR="00ED4FE0" w:rsidRDefault="00AB3BDF" w:rsidP="0047287B">
      <w:pPr>
        <w:pStyle w:val="ListParagraph"/>
        <w:numPr>
          <w:ilvl w:val="0"/>
          <w:numId w:val="137"/>
        </w:numPr>
      </w:pPr>
      <w:r>
        <w:t xml:space="preserve">The scheme is misaligned with international approaches or not </w:t>
      </w:r>
      <w:r w:rsidR="001D726F">
        <w:t>accepted by export markets</w:t>
      </w:r>
    </w:p>
    <w:p w14:paraId="40FE250E" w14:textId="31F974B1" w:rsidR="001D726F" w:rsidRDefault="008C7FAD" w:rsidP="0047287B">
      <w:pPr>
        <w:pStyle w:val="ListParagraph"/>
        <w:numPr>
          <w:ilvl w:val="0"/>
          <w:numId w:val="137"/>
        </w:numPr>
      </w:pPr>
      <w:r>
        <w:t>Risk of fraudulent activity.</w:t>
      </w:r>
    </w:p>
    <w:p w14:paraId="79B6DAE7" w14:textId="75CEFB04" w:rsidR="00C402E2" w:rsidRPr="002A31F8" w:rsidRDefault="00BD458C" w:rsidP="002A31F8">
      <w:pPr>
        <w:ind w:left="405"/>
      </w:pPr>
      <w:r>
        <w:t xml:space="preserve">Evaluating the success of the GO scheme will occur through </w:t>
      </w:r>
      <w:r w:rsidR="0057528B">
        <w:t>a</w:t>
      </w:r>
      <w:r>
        <w:t xml:space="preserve"> review commencing within three years of scheme operation</w:t>
      </w:r>
      <w:r w:rsidR="00992D4F">
        <w:t xml:space="preserve"> and at regular intervals thereafter</w:t>
      </w:r>
      <w:r w:rsidR="0057528B">
        <w:t xml:space="preserve">. The </w:t>
      </w:r>
      <w:r>
        <w:t xml:space="preserve">initial review would focus on the integrity and effectiveness of the scheme design and any potential amendments to improve functionality. </w:t>
      </w:r>
      <w:r w:rsidR="00B82062">
        <w:t xml:space="preserve">Ongoing </w:t>
      </w:r>
      <w:r w:rsidRPr="10459023">
        <w:t>reviews would continue to assess the ongoing integrity, effectiveness and efficiency of the GO scheme and identify any potential amendments</w:t>
      </w:r>
      <w:r w:rsidR="0250F146" w:rsidRPr="10459023">
        <w:t>.</w:t>
      </w:r>
      <w:r w:rsidR="00C51551">
        <w:br w:type="page"/>
      </w:r>
      <w:bookmarkStart w:id="7" w:name="_Toc1789733755"/>
    </w:p>
    <w:p w14:paraId="46B40113" w14:textId="6660D0ED" w:rsidR="00716A5F" w:rsidRPr="00311B15" w:rsidRDefault="597CDBAE" w:rsidP="00FE09D3">
      <w:pPr>
        <w:pStyle w:val="Title"/>
        <w:rPr>
          <w:sz w:val="36"/>
          <w:szCs w:val="36"/>
        </w:rPr>
      </w:pPr>
      <w:bookmarkStart w:id="8" w:name="_Toc1897653196"/>
      <w:bookmarkStart w:id="9" w:name="_Toc175312078"/>
      <w:bookmarkEnd w:id="7"/>
      <w:r w:rsidRPr="00311B15">
        <w:rPr>
          <w:sz w:val="36"/>
          <w:szCs w:val="36"/>
        </w:rPr>
        <w:lastRenderedPageBreak/>
        <w:t>1. What is the problem you are trying to solve?</w:t>
      </w:r>
      <w:bookmarkEnd w:id="8"/>
      <w:bookmarkEnd w:id="9"/>
    </w:p>
    <w:p w14:paraId="3101B102" w14:textId="64FBBD2B" w:rsidR="00AF59B3" w:rsidRPr="000A5BC3" w:rsidRDefault="00AB3499">
      <w:pPr>
        <w:spacing w:before="360"/>
        <w:rPr>
          <w:color w:val="auto"/>
        </w:rPr>
      </w:pPr>
      <w:r>
        <w:rPr>
          <w:noProof/>
          <w:lang w:eastAsia="en-AU"/>
        </w:rPr>
        <mc:AlternateContent>
          <mc:Choice Requires="wps">
            <w:drawing>
              <wp:inline distT="0" distB="0" distL="114300" distR="114300" wp14:anchorId="6C41D610" wp14:editId="5349E2AC">
                <wp:extent cx="6464935" cy="1929384"/>
                <wp:effectExtent l="0" t="0" r="12065" b="13970"/>
                <wp:docPr id="1060033587" name="Text Box 1"/>
                <wp:cNvGraphicFramePr/>
                <a:graphic xmlns:a="http://schemas.openxmlformats.org/drawingml/2006/main">
                  <a:graphicData uri="http://schemas.microsoft.com/office/word/2010/wordprocessingShape">
                    <wps:wsp>
                      <wps:cNvSpPr txBox="1"/>
                      <wps:spPr>
                        <a:xfrm>
                          <a:off x="0" y="0"/>
                          <a:ext cx="6464935" cy="1929384"/>
                        </a:xfrm>
                        <a:prstGeom prst="rect">
                          <a:avLst/>
                        </a:prstGeom>
                        <a:noFill/>
                        <a:ln w="6350">
                          <a:solidFill>
                            <a:schemeClr val="tx2"/>
                          </a:solidFill>
                        </a:ln>
                      </wps:spPr>
                      <wps:txbx>
                        <w:txbxContent>
                          <w:p w14:paraId="32270466" w14:textId="3434CC9C" w:rsidR="004F33C4" w:rsidRDefault="004F33C4" w:rsidP="00F969E3">
                            <w:r w:rsidRPr="00664F39">
                              <w:t xml:space="preserve">Within the Australian economy, there is presently a </w:t>
                            </w:r>
                            <w:r>
                              <w:t>lack</w:t>
                            </w:r>
                            <w:r w:rsidRPr="00664F39">
                              <w:t xml:space="preserve"> of</w:t>
                            </w:r>
                            <w:r>
                              <w:t xml:space="preserve"> trusted, consistent,</w:t>
                            </w:r>
                            <w:r w:rsidRPr="00664F39">
                              <w:t xml:space="preserve"> information </w:t>
                            </w:r>
                            <w:r>
                              <w:t>about</w:t>
                            </w:r>
                            <w:r w:rsidRPr="00664F39">
                              <w:t xml:space="preserve"> low-emission and clean Australian</w:t>
                            </w:r>
                            <w:r>
                              <w:t>-</w:t>
                            </w:r>
                            <w:r w:rsidRPr="00664F39">
                              <w:t>made products</w:t>
                            </w:r>
                            <w:r w:rsidR="004A6E1B">
                              <w:t xml:space="preserve">, and </w:t>
                            </w:r>
                            <w:r w:rsidR="000A68CD">
                              <w:t xml:space="preserve">no </w:t>
                            </w:r>
                            <w:r w:rsidR="005C08EE">
                              <w:t>enduring mechanism</w:t>
                            </w:r>
                            <w:r w:rsidR="00EE76F9">
                              <w:t xml:space="preserve"> to certify renewable electricity</w:t>
                            </w:r>
                            <w:r w:rsidRPr="00664F39" w:rsidDel="004A6E1B">
                              <w:t>.</w:t>
                            </w:r>
                          </w:p>
                          <w:p w14:paraId="111BE8D2" w14:textId="73385975" w:rsidR="0068479F" w:rsidRDefault="00B65153" w:rsidP="00F969E3">
                            <w:r>
                              <w:t>The deficiency of</w:t>
                            </w:r>
                            <w:r w:rsidDel="00453F7B">
                              <w:t xml:space="preserve"> </w:t>
                            </w:r>
                            <w:r>
                              <w:t>product information</w:t>
                            </w:r>
                            <w:r w:rsidRPr="00664F39">
                              <w:t xml:space="preserve"> restricts the capacity for </w:t>
                            </w:r>
                            <w:r>
                              <w:t>consumers</w:t>
                            </w:r>
                            <w:r w:rsidRPr="00664F39">
                              <w:t xml:space="preserve"> to ascertain the difference between carbon-intensive and low-emission goods</w:t>
                            </w:r>
                            <w:r w:rsidR="0084087F">
                              <w:t xml:space="preserve"> and make claims regarding renewable electricity use</w:t>
                            </w:r>
                            <w:r w:rsidRPr="00664F39">
                              <w:t>. Without this information, buyers and sellers of these kind of products are unable to efficiently transact and co-ordinate their activities.</w:t>
                            </w:r>
                            <w:r>
                              <w:t xml:space="preserve"> </w:t>
                            </w:r>
                            <w:r w:rsidRPr="00664F39">
                              <w:t xml:space="preserve">Prospective buyers may </w:t>
                            </w:r>
                            <w:r>
                              <w:t>not be willing to pay a premium for</w:t>
                            </w:r>
                            <w:r w:rsidRPr="00664F39">
                              <w:t xml:space="preserve"> a good described as ‘low emission’</w:t>
                            </w:r>
                            <w:r>
                              <w:t>, ‘green’, or ‘renewable’ without</w:t>
                            </w:r>
                            <w:r w:rsidRPr="00664F39">
                              <w:t xml:space="preserve"> independent</w:t>
                            </w:r>
                            <w:r>
                              <w:t xml:space="preserve"> </w:t>
                            </w:r>
                            <w:r w:rsidRPr="00664F39">
                              <w:t>verif</w:t>
                            </w:r>
                            <w:r>
                              <w:t>ication</w:t>
                            </w:r>
                            <w:r w:rsidR="00E03066">
                              <w:t xml:space="preserve">. </w:t>
                            </w:r>
                            <w:r w:rsidR="000A68CD">
                              <w:t>And g</w:t>
                            </w:r>
                            <w:r w:rsidR="002A0811">
                              <w:t xml:space="preserve">overnment </w:t>
                            </w:r>
                            <w:r w:rsidR="006F02E1">
                              <w:t xml:space="preserve">policies are </w:t>
                            </w:r>
                            <w:r w:rsidR="00C87936">
                              <w:t>limited</w:t>
                            </w:r>
                            <w:r w:rsidR="006F02E1">
                              <w:t xml:space="preserve"> in their ability to </w:t>
                            </w:r>
                            <w:r w:rsidR="000A68CD">
                              <w:t xml:space="preserve">discriminate and </w:t>
                            </w:r>
                            <w:r w:rsidR="002B11F8">
                              <w:t xml:space="preserve">target </w:t>
                            </w:r>
                            <w:r w:rsidR="007438BE">
                              <w:t xml:space="preserve">support </w:t>
                            </w:r>
                            <w:r w:rsidR="00D330E7">
                              <w:t xml:space="preserve">towards </w:t>
                            </w:r>
                            <w:r w:rsidR="00786DFA">
                              <w:t>low emission</w:t>
                            </w:r>
                            <w:r w:rsidR="007438BE">
                              <w:t>s</w:t>
                            </w:r>
                            <w:r w:rsidR="00786DFA">
                              <w:t xml:space="preserve"> </w:t>
                            </w:r>
                            <w:r w:rsidR="00C83166">
                              <w:t>or renewable products</w:t>
                            </w:r>
                            <w:r w:rsidR="000A68CD">
                              <w:t>.</w:t>
                            </w:r>
                          </w:p>
                          <w:p w14:paraId="5E0D53BD" w14:textId="25567036" w:rsidR="004F33C4" w:rsidRPr="00A67641" w:rsidRDefault="000F076F" w:rsidP="00F969E3">
                            <w:r>
                              <w:t>A</w:t>
                            </w:r>
                            <w:r w:rsidR="00681984">
                              <w:t xml:space="preserve"> mechanism for certifying renewable electricity </w:t>
                            </w:r>
                            <w:r>
                              <w:t xml:space="preserve">exists </w:t>
                            </w:r>
                            <w:r w:rsidR="00681984">
                              <w:t xml:space="preserve">through the Renewable Energy Target scheme, however, this </w:t>
                            </w:r>
                            <w:r w:rsidR="00681984">
                              <w:rPr>
                                <w:rFonts w:cstheme="minorHAnsi"/>
                                <w:color w:val="auto"/>
                              </w:rPr>
                              <w:t>is legislated to end in 2030</w:t>
                            </w:r>
                            <w:r w:rsidR="00681984" w:rsidDel="00BD667F">
                              <w:rPr>
                                <w:rFonts w:cstheme="minorHAnsi"/>
                                <w:color w:val="auto"/>
                              </w:rPr>
                              <w:t xml:space="preserve"> </w:t>
                            </w:r>
                            <w:r w:rsidR="00681984">
                              <w:rPr>
                                <w:rFonts w:cstheme="minorHAnsi"/>
                                <w:color w:val="auto"/>
                              </w:rPr>
                              <w:t xml:space="preserve">and only applies to a subset of </w:t>
                            </w:r>
                            <w:r w:rsidR="00501626">
                              <w:rPr>
                                <w:rFonts w:cstheme="minorHAnsi"/>
                                <w:color w:val="auto"/>
                              </w:rPr>
                              <w:t xml:space="preserve">total </w:t>
                            </w:r>
                            <w:r w:rsidR="00681984">
                              <w:rPr>
                                <w:rFonts w:cstheme="minorHAnsi"/>
                                <w:color w:val="auto"/>
                              </w:rPr>
                              <w:t>electricity generation in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C41D610" id="_x0000_t202" coordsize="21600,21600" o:spt="202" path="m,l,21600r21600,l21600,xe">
                <v:stroke joinstyle="miter"/>
                <v:path gradientshapeok="t" o:connecttype="rect"/>
              </v:shapetype>
              <v:shape id="Text Box 1" o:spid="_x0000_s1026" type="#_x0000_t202" style="width:509.05pt;height:1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" filled="f" strokecolor="#014463 [3215]" strokeweight=".5pt">
                <v:textbox>
                  <w:txbxContent>
                    <w:p w14:paraId="32270466" w14:textId="3434CC9C" w:rsidR="004F33C4" w:rsidRDefault="004F33C4" w:rsidP="00F969E3">
                      <w:r w:rsidRPr="00664F39">
                        <w:t xml:space="preserve">Within the Australian economy, there is presently a </w:t>
                      </w:r>
                      <w:r>
                        <w:t>lack</w:t>
                      </w:r>
                      <w:r w:rsidRPr="00664F39">
                        <w:t xml:space="preserve"> of</w:t>
                      </w:r>
                      <w:r>
                        <w:t xml:space="preserve"> trusted, consistent,</w:t>
                      </w:r>
                      <w:r w:rsidRPr="00664F39">
                        <w:t xml:space="preserve"> information </w:t>
                      </w:r>
                      <w:r>
                        <w:t>about</w:t>
                      </w:r>
                      <w:r w:rsidRPr="00664F39">
                        <w:t xml:space="preserve"> low-emission and clean Australian</w:t>
                      </w:r>
                      <w:r>
                        <w:t>-</w:t>
                      </w:r>
                      <w:r w:rsidRPr="00664F39">
                        <w:t>made products</w:t>
                      </w:r>
                      <w:r w:rsidR="004A6E1B">
                        <w:t xml:space="preserve">, and </w:t>
                      </w:r>
                      <w:r w:rsidR="000A68CD">
                        <w:t xml:space="preserve">no </w:t>
                      </w:r>
                      <w:r w:rsidR="005C08EE">
                        <w:t>enduring mechanism</w:t>
                      </w:r>
                      <w:r w:rsidR="00EE76F9">
                        <w:t xml:space="preserve"> to certify renewable electricity</w:t>
                      </w:r>
                      <w:r w:rsidRPr="00664F39" w:rsidDel="004A6E1B">
                        <w:t>.</w:t>
                      </w:r>
                    </w:p>
                    <w:p w14:paraId="111BE8D2" w14:textId="73385975" w:rsidR="0068479F" w:rsidRDefault="00B65153" w:rsidP="00F969E3">
                      <w:r>
                        <w:t>The deficiency of</w:t>
                      </w:r>
                      <w:r w:rsidDel="00453F7B">
                        <w:t xml:space="preserve"> </w:t>
                      </w:r>
                      <w:r>
                        <w:t>product information</w:t>
                      </w:r>
                      <w:r w:rsidRPr="00664F39">
                        <w:t xml:space="preserve"> restricts the capacity for </w:t>
                      </w:r>
                      <w:r>
                        <w:t>consumers</w:t>
                      </w:r>
                      <w:r w:rsidRPr="00664F39">
                        <w:t xml:space="preserve"> to ascertain the difference between carbon-intensive and low-emission goods</w:t>
                      </w:r>
                      <w:r w:rsidR="0084087F">
                        <w:t xml:space="preserve"> and make claims regarding renewable electricity use</w:t>
                      </w:r>
                      <w:r w:rsidRPr="00664F39">
                        <w:t>. Without this information, buyers and sellers of these kind of products are unable to efficiently transact and co-ordinate their activities.</w:t>
                      </w:r>
                      <w:r>
                        <w:t xml:space="preserve"> </w:t>
                      </w:r>
                      <w:r w:rsidRPr="00664F39">
                        <w:t xml:space="preserve">Prospective buyers may </w:t>
                      </w:r>
                      <w:r>
                        <w:t>not be willing to pay a premium for</w:t>
                      </w:r>
                      <w:r w:rsidRPr="00664F39">
                        <w:t xml:space="preserve"> a good described as ‘low emission’</w:t>
                      </w:r>
                      <w:r>
                        <w:t>, ‘green’, or ‘renewable’ without</w:t>
                      </w:r>
                      <w:r w:rsidRPr="00664F39">
                        <w:t xml:space="preserve"> independent</w:t>
                      </w:r>
                      <w:r>
                        <w:t xml:space="preserve"> </w:t>
                      </w:r>
                      <w:r w:rsidRPr="00664F39">
                        <w:t>verif</w:t>
                      </w:r>
                      <w:r>
                        <w:t>ication</w:t>
                      </w:r>
                      <w:r w:rsidR="00E03066">
                        <w:t xml:space="preserve">. </w:t>
                      </w:r>
                      <w:r w:rsidR="000A68CD">
                        <w:t>And g</w:t>
                      </w:r>
                      <w:r w:rsidR="002A0811">
                        <w:t xml:space="preserve">overnment </w:t>
                      </w:r>
                      <w:r w:rsidR="006F02E1">
                        <w:t xml:space="preserve">policies are </w:t>
                      </w:r>
                      <w:r w:rsidR="00C87936">
                        <w:t>limited</w:t>
                      </w:r>
                      <w:r w:rsidR="006F02E1">
                        <w:t xml:space="preserve"> in their ability to </w:t>
                      </w:r>
                      <w:r w:rsidR="000A68CD">
                        <w:t xml:space="preserve">discriminate and </w:t>
                      </w:r>
                      <w:r w:rsidR="002B11F8">
                        <w:t xml:space="preserve">target </w:t>
                      </w:r>
                      <w:r w:rsidR="007438BE">
                        <w:t xml:space="preserve">support </w:t>
                      </w:r>
                      <w:r w:rsidR="00D330E7">
                        <w:t xml:space="preserve">towards </w:t>
                      </w:r>
                      <w:r w:rsidR="00786DFA">
                        <w:t>low emission</w:t>
                      </w:r>
                      <w:r w:rsidR="007438BE">
                        <w:t>s</w:t>
                      </w:r>
                      <w:r w:rsidR="00786DFA">
                        <w:t xml:space="preserve"> </w:t>
                      </w:r>
                      <w:r w:rsidR="00C83166">
                        <w:t>or renewable products</w:t>
                      </w:r>
                      <w:r w:rsidR="000A68CD">
                        <w:t>.</w:t>
                      </w:r>
                    </w:p>
                    <w:p w14:paraId="5E0D53BD" w14:textId="25567036" w:rsidR="004F33C4" w:rsidRPr="00A67641" w:rsidRDefault="000F076F" w:rsidP="00F969E3">
                      <w:r>
                        <w:t>A</w:t>
                      </w:r>
                      <w:r w:rsidR="00681984">
                        <w:t xml:space="preserve"> mechanism for certifying renewable electricity </w:t>
                      </w:r>
                      <w:r>
                        <w:t xml:space="preserve">exists </w:t>
                      </w:r>
                      <w:r w:rsidR="00681984">
                        <w:t xml:space="preserve">through the Renewable Energy Target scheme, however, this </w:t>
                      </w:r>
                      <w:r w:rsidR="00681984">
                        <w:rPr>
                          <w:rFonts w:cstheme="minorHAnsi"/>
                          <w:color w:val="auto"/>
                        </w:rPr>
                        <w:t>is legislated to end in 2030</w:t>
                      </w:r>
                      <w:r w:rsidR="00681984" w:rsidDel="00BD667F">
                        <w:rPr>
                          <w:rFonts w:cstheme="minorHAnsi"/>
                          <w:color w:val="auto"/>
                        </w:rPr>
                        <w:t xml:space="preserve"> </w:t>
                      </w:r>
                      <w:r w:rsidR="00681984">
                        <w:rPr>
                          <w:rFonts w:cstheme="minorHAnsi"/>
                          <w:color w:val="auto"/>
                        </w:rPr>
                        <w:t xml:space="preserve">and only applies to a subset of </w:t>
                      </w:r>
                      <w:r w:rsidR="00501626">
                        <w:rPr>
                          <w:rFonts w:cstheme="minorHAnsi"/>
                          <w:color w:val="auto"/>
                        </w:rPr>
                        <w:t xml:space="preserve">total </w:t>
                      </w:r>
                      <w:r w:rsidR="00681984">
                        <w:rPr>
                          <w:rFonts w:cstheme="minorHAnsi"/>
                          <w:color w:val="auto"/>
                        </w:rPr>
                        <w:t>electricity generation in Australia.</w:t>
                      </w:r>
                    </w:p>
                  </w:txbxContent>
                </v:textbox>
                <w10:anchorlock/>
              </v:shape>
            </w:pict>
          </mc:Fallback>
        </mc:AlternateContent>
      </w:r>
    </w:p>
    <w:p w14:paraId="184D292A" w14:textId="1557B6D0" w:rsidR="00AF59B3" w:rsidRPr="000A5BC3" w:rsidRDefault="000D203F" w:rsidP="00201375">
      <w:pPr>
        <w:spacing w:before="120"/>
        <w:rPr>
          <w:color w:val="auto"/>
        </w:rPr>
      </w:pPr>
      <w:r>
        <w:rPr>
          <w:color w:val="auto"/>
        </w:rPr>
        <w:t>Proliferation of r</w:t>
      </w:r>
      <w:r w:rsidR="0C7C375F" w:rsidRPr="01AF9B67">
        <w:rPr>
          <w:color w:val="auto"/>
        </w:rPr>
        <w:t xml:space="preserve">enewable </w:t>
      </w:r>
      <w:r w:rsidR="30375B59" w:rsidRPr="01AF9B67">
        <w:rPr>
          <w:color w:val="auto"/>
        </w:rPr>
        <w:t>e</w:t>
      </w:r>
      <w:r w:rsidR="0C7C375F" w:rsidRPr="01AF9B67">
        <w:rPr>
          <w:color w:val="auto"/>
        </w:rPr>
        <w:t>lectricity</w:t>
      </w:r>
      <w:r w:rsidR="30375B59" w:rsidRPr="01AF9B67">
        <w:rPr>
          <w:color w:val="auto"/>
        </w:rPr>
        <w:t xml:space="preserve">, </w:t>
      </w:r>
      <w:r w:rsidR="5E2E0F72" w:rsidRPr="01AF9B67">
        <w:rPr>
          <w:color w:val="auto"/>
        </w:rPr>
        <w:t>hydrogen and other low-emissions products</w:t>
      </w:r>
      <w:r w:rsidR="2E74F0CE" w:rsidRPr="01AF9B67">
        <w:rPr>
          <w:color w:val="auto"/>
        </w:rPr>
        <w:t xml:space="preserve"> </w:t>
      </w:r>
      <w:r w:rsidR="0171E007" w:rsidRPr="01AF9B67">
        <w:rPr>
          <w:color w:val="auto"/>
        </w:rPr>
        <w:t xml:space="preserve">are </w:t>
      </w:r>
      <w:r w:rsidR="2E74F0CE" w:rsidRPr="01AF9B67">
        <w:rPr>
          <w:color w:val="auto"/>
        </w:rPr>
        <w:t xml:space="preserve">critical to </w:t>
      </w:r>
      <w:r w:rsidR="00F55347">
        <w:rPr>
          <w:color w:val="auto"/>
        </w:rPr>
        <w:t>the decarbonisation of Australia</w:t>
      </w:r>
      <w:r w:rsidR="5E2E0F72" w:rsidRPr="01AF9B67">
        <w:rPr>
          <w:color w:val="auto"/>
        </w:rPr>
        <w:t xml:space="preserve">. </w:t>
      </w:r>
      <w:r w:rsidR="16D6EDC7" w:rsidRPr="01AF9B67">
        <w:rPr>
          <w:color w:val="auto"/>
        </w:rPr>
        <w:t xml:space="preserve">Electrification </w:t>
      </w:r>
      <w:r w:rsidR="42EC9325" w:rsidRPr="01AF9B67">
        <w:rPr>
          <w:color w:val="auto"/>
        </w:rPr>
        <w:t>using renewable electricity</w:t>
      </w:r>
      <w:r w:rsidR="7345C905" w:rsidRPr="01AF9B67">
        <w:rPr>
          <w:color w:val="auto"/>
        </w:rPr>
        <w:t xml:space="preserve"> will be a</w:t>
      </w:r>
      <w:r w:rsidR="236B8F4F" w:rsidRPr="01AF9B67">
        <w:rPr>
          <w:color w:val="auto"/>
        </w:rPr>
        <w:t xml:space="preserve"> </w:t>
      </w:r>
      <w:r>
        <w:rPr>
          <w:color w:val="auto"/>
        </w:rPr>
        <w:t xml:space="preserve">key </w:t>
      </w:r>
      <w:r w:rsidR="236B8F4F" w:rsidRPr="01AF9B67">
        <w:rPr>
          <w:color w:val="auto"/>
        </w:rPr>
        <w:t>decarbonisation</w:t>
      </w:r>
      <w:r w:rsidR="7345C905" w:rsidRPr="01AF9B67">
        <w:rPr>
          <w:color w:val="auto"/>
        </w:rPr>
        <w:t xml:space="preserve"> option for many sectors</w:t>
      </w:r>
      <w:r w:rsidR="68DF1475" w:rsidRPr="01AF9B67">
        <w:rPr>
          <w:color w:val="auto"/>
        </w:rPr>
        <w:t xml:space="preserve"> and</w:t>
      </w:r>
      <w:r w:rsidR="236B8F4F" w:rsidRPr="01AF9B67">
        <w:rPr>
          <w:color w:val="auto"/>
        </w:rPr>
        <w:t xml:space="preserve"> renewable electricity</w:t>
      </w:r>
      <w:r w:rsidR="68DF1475" w:rsidRPr="01AF9B67">
        <w:rPr>
          <w:color w:val="auto"/>
        </w:rPr>
        <w:t xml:space="preserve"> is an es</w:t>
      </w:r>
      <w:r w:rsidR="287846B0" w:rsidRPr="01AF9B67">
        <w:rPr>
          <w:color w:val="auto"/>
        </w:rPr>
        <w:t>sential input into the production of hydrogen</w:t>
      </w:r>
      <w:r w:rsidR="7345C905" w:rsidRPr="01AF9B67">
        <w:rPr>
          <w:color w:val="auto"/>
        </w:rPr>
        <w:t>, whi</w:t>
      </w:r>
      <w:r w:rsidR="287846B0" w:rsidRPr="01AF9B67">
        <w:rPr>
          <w:color w:val="auto"/>
        </w:rPr>
        <w:t>ch will be</w:t>
      </w:r>
      <w:r w:rsidR="5E2E0F72" w:rsidRPr="01AF9B67">
        <w:rPr>
          <w:color w:val="auto"/>
        </w:rPr>
        <w:t xml:space="preserve"> important for decarbonising hard-to-abate sectors</w:t>
      </w:r>
      <w:r w:rsidR="002A0174">
        <w:rPr>
          <w:color w:val="auto"/>
        </w:rPr>
        <w:t xml:space="preserve">, and other </w:t>
      </w:r>
      <w:r w:rsidR="008D1791">
        <w:rPr>
          <w:color w:val="auto"/>
        </w:rPr>
        <w:t>low emissions products</w:t>
      </w:r>
      <w:r w:rsidR="5E2E0F72" w:rsidRPr="01AF9B67">
        <w:rPr>
          <w:color w:val="auto"/>
        </w:rPr>
        <w:t xml:space="preserve">. </w:t>
      </w:r>
      <w:r w:rsidR="2A41E216" w:rsidRPr="01AF9B67">
        <w:rPr>
          <w:color w:val="auto"/>
        </w:rPr>
        <w:t>Use cases for hydrogen</w:t>
      </w:r>
      <w:r w:rsidR="5E2E0F72" w:rsidRPr="01AF9B67">
        <w:rPr>
          <w:color w:val="auto"/>
        </w:rPr>
        <w:t xml:space="preserve"> include transportation (forklift trucks, fuel cell range extenders in EVs, heavy road transport, rail and marine transport), grid firming, the manufacture of chemicals such as ammonia and methanol, industrial heating, energy storage and in and for use in metals production. </w:t>
      </w:r>
    </w:p>
    <w:p w14:paraId="098A2781" w14:textId="2D9943A4" w:rsidR="00AF59B3" w:rsidRPr="00AF59B3" w:rsidRDefault="00AF59B3" w:rsidP="00B2552A">
      <w:pPr>
        <w:rPr>
          <w:rFonts w:cstheme="minorHAnsi"/>
          <w:color w:val="auto"/>
        </w:rPr>
      </w:pPr>
      <w:r>
        <w:rPr>
          <w:rFonts w:cstheme="minorHAnsi"/>
          <w:color w:val="auto"/>
        </w:rPr>
        <w:t>This wide-ranging potential suggests that the demand for clean hydrogen, could grow to su</w:t>
      </w:r>
      <w:r w:rsidR="00B102D4">
        <w:rPr>
          <w:rFonts w:cstheme="minorHAnsi"/>
          <w:color w:val="auto"/>
        </w:rPr>
        <w:t xml:space="preserve">bstantial levels. </w:t>
      </w:r>
      <w:r>
        <w:rPr>
          <w:rFonts w:cstheme="minorHAnsi"/>
          <w:color w:val="auto"/>
        </w:rPr>
        <w:t>Australia has the potential to be a major clean hydrogen producer due to an abundance of renewable energy resources, skilled workforce, and a reputation as a trusted exporter of energy products.</w:t>
      </w:r>
      <w:r w:rsidR="00B172ED">
        <w:rPr>
          <w:rFonts w:cstheme="minorHAnsi"/>
          <w:color w:val="auto"/>
        </w:rPr>
        <w:t xml:space="preserve"> </w:t>
      </w:r>
      <w:r>
        <w:rPr>
          <w:rFonts w:cstheme="minorHAnsi"/>
          <w:color w:val="auto"/>
        </w:rPr>
        <w:t>The CSIRO</w:t>
      </w:r>
      <w:r w:rsidR="00B172ED">
        <w:rPr>
          <w:rFonts w:cstheme="minorHAnsi"/>
          <w:color w:val="auto"/>
        </w:rPr>
        <w:t xml:space="preserve"> </w:t>
      </w:r>
      <w:r>
        <w:rPr>
          <w:rFonts w:cstheme="minorHAnsi"/>
          <w:color w:val="auto"/>
        </w:rPr>
        <w:t xml:space="preserve">estimates that </w:t>
      </w:r>
      <w:r w:rsidRPr="00356FF1">
        <w:rPr>
          <w:rFonts w:cstheme="minorHAnsi"/>
          <w:color w:val="auto"/>
        </w:rPr>
        <w:t>a</w:t>
      </w:r>
      <w:r>
        <w:rPr>
          <w:rFonts w:cstheme="minorHAnsi"/>
          <w:color w:val="auto"/>
        </w:rPr>
        <w:t>n Australian</w:t>
      </w:r>
      <w:r w:rsidRPr="00356FF1">
        <w:rPr>
          <w:rFonts w:cstheme="minorHAnsi"/>
          <w:color w:val="auto"/>
        </w:rPr>
        <w:t xml:space="preserve"> clean hydrogen industry </w:t>
      </w:r>
      <w:r w:rsidR="00AB7A64">
        <w:rPr>
          <w:rFonts w:cstheme="minorHAnsi"/>
          <w:color w:val="auto"/>
        </w:rPr>
        <w:t>could</w:t>
      </w:r>
      <w:r w:rsidRPr="00356FF1">
        <w:rPr>
          <w:rFonts w:cstheme="minorHAnsi"/>
          <w:color w:val="auto"/>
        </w:rPr>
        <w:t xml:space="preserve"> create more than 8,000 jobs, generate $11 billion a year in GDP, and result in </w:t>
      </w:r>
      <w:r>
        <w:rPr>
          <w:rFonts w:cstheme="minorHAnsi"/>
          <w:color w:val="auto"/>
        </w:rPr>
        <w:t xml:space="preserve">an </w:t>
      </w:r>
      <w:r w:rsidRPr="00356FF1">
        <w:rPr>
          <w:rFonts w:cstheme="minorHAnsi"/>
          <w:color w:val="auto"/>
        </w:rPr>
        <w:t xml:space="preserve">emissions </w:t>
      </w:r>
      <w:r>
        <w:rPr>
          <w:rFonts w:cstheme="minorHAnsi"/>
          <w:color w:val="auto"/>
        </w:rPr>
        <w:t xml:space="preserve">reduction </w:t>
      </w:r>
      <w:r w:rsidRPr="00356FF1">
        <w:rPr>
          <w:rFonts w:cstheme="minorHAnsi"/>
          <w:color w:val="auto"/>
        </w:rPr>
        <w:t xml:space="preserve">equivalent </w:t>
      </w:r>
      <w:r>
        <w:rPr>
          <w:rFonts w:cstheme="minorHAnsi"/>
          <w:color w:val="auto"/>
        </w:rPr>
        <w:t xml:space="preserve">of up to a </w:t>
      </w:r>
      <w:r w:rsidRPr="00356FF1">
        <w:rPr>
          <w:rFonts w:cstheme="minorHAnsi"/>
          <w:color w:val="auto"/>
        </w:rPr>
        <w:t>third of Australia’s current fossil fuel emissions by 2050.</w:t>
      </w:r>
      <w:r>
        <w:rPr>
          <w:rStyle w:val="FootnoteReference"/>
          <w:rFonts w:cstheme="minorHAnsi"/>
          <w:color w:val="auto"/>
        </w:rPr>
        <w:footnoteReference w:id="2"/>
      </w:r>
      <w:r w:rsidRPr="00573D4D" w:rsidDel="00DF540A">
        <w:rPr>
          <w:rFonts w:cstheme="minorHAnsi"/>
          <w:color w:val="auto"/>
        </w:rPr>
        <w:t xml:space="preserve"> </w:t>
      </w:r>
    </w:p>
    <w:p w14:paraId="797F2597" w14:textId="2C32E893" w:rsidR="00461B7C" w:rsidRDefault="00461B7C" w:rsidP="00461B7C">
      <w:pPr>
        <w:rPr>
          <w:color w:val="auto"/>
        </w:rPr>
      </w:pPr>
      <w:r>
        <w:rPr>
          <w:color w:val="auto"/>
        </w:rPr>
        <w:t xml:space="preserve">Many low-emissions products, such as renewable electricity and hydrogen, are physically indistinguishable from more emissions-intensive versions. They can also be more expensive to produce. Consumers pay a “green premium” when they purchase a product that was made with clean energy sources and caused lower greenhouse gasses to be released in its production. </w:t>
      </w:r>
      <w:r w:rsidR="004F4A2A">
        <w:rPr>
          <w:color w:val="auto"/>
        </w:rPr>
        <w:t xml:space="preserve">Consumers may not be willing to pay this premium without </w:t>
      </w:r>
      <w:r w:rsidR="008E6BAD">
        <w:rPr>
          <w:color w:val="auto"/>
        </w:rPr>
        <w:t xml:space="preserve">robust evidence that the </w:t>
      </w:r>
      <w:r w:rsidR="0088430F">
        <w:rPr>
          <w:color w:val="auto"/>
        </w:rPr>
        <w:t xml:space="preserve">low emissions attributes of the product </w:t>
      </w:r>
      <w:r w:rsidR="00887F59">
        <w:rPr>
          <w:color w:val="auto"/>
        </w:rPr>
        <w:t>are correct.</w:t>
      </w:r>
      <w:r w:rsidR="00943F00">
        <w:rPr>
          <w:color w:val="auto"/>
        </w:rPr>
        <w:t xml:space="preserve"> </w:t>
      </w:r>
      <w:r w:rsidR="000C64D6">
        <w:rPr>
          <w:color w:val="auto"/>
        </w:rPr>
        <w:t>Where these products are indis</w:t>
      </w:r>
      <w:r w:rsidR="00BF1150">
        <w:rPr>
          <w:color w:val="auto"/>
        </w:rPr>
        <w:t>tinguishable, this creates an uneven playing field</w:t>
      </w:r>
      <w:r w:rsidR="00943F00">
        <w:rPr>
          <w:color w:val="auto"/>
        </w:rPr>
        <w:t xml:space="preserve"> within markets where low-emissions products </w:t>
      </w:r>
      <w:r w:rsidR="0007351A">
        <w:rPr>
          <w:color w:val="auto"/>
        </w:rPr>
        <w:t>cannot incorporate this green premium into their price.</w:t>
      </w:r>
    </w:p>
    <w:p w14:paraId="5DE49F42" w14:textId="4E025506" w:rsidR="00DF17FF" w:rsidRDefault="00DF17FF" w:rsidP="00DF17FF">
      <w:r>
        <w:t xml:space="preserve">Australian made clean products will also play an important role in decarbonising the economies of our export markets. These markets are placing requirements on the products they are importing which are marketed as “low emissions”. The European Commission’s </w:t>
      </w:r>
      <w:r w:rsidRPr="00992F58">
        <w:rPr>
          <w:i/>
        </w:rPr>
        <w:t>Renewable Energy Directive II</w:t>
      </w:r>
      <w:r>
        <w:t xml:space="preserve">, United States’ </w:t>
      </w:r>
      <w:r w:rsidRPr="00992F58">
        <w:rPr>
          <w:i/>
        </w:rPr>
        <w:t>Inflation Reduction Act</w:t>
      </w:r>
      <w:r>
        <w:t xml:space="preserve">, and the EU’s </w:t>
      </w:r>
      <w:r w:rsidRPr="00992F58">
        <w:rPr>
          <w:i/>
        </w:rPr>
        <w:t>Carbon Border Adjustment Mechanism</w:t>
      </w:r>
      <w:r>
        <w:rPr>
          <w:i/>
        </w:rPr>
        <w:t xml:space="preserve"> </w:t>
      </w:r>
      <w:r>
        <w:t>(CBAM) are examples of the emerging range of policies that look to define emissions thresholds and accounting approaches</w:t>
      </w:r>
      <w:r w:rsidR="007C4E98">
        <w:t xml:space="preserve"> for hydrogen and other products</w:t>
      </w:r>
      <w:r>
        <w:t>. Other nations such as the UK</w:t>
      </w:r>
      <w:r w:rsidR="03F1D4E2">
        <w:t xml:space="preserve"> </w:t>
      </w:r>
      <w:r w:rsidR="18CC27A6">
        <w:t>has committed to</w:t>
      </w:r>
      <w:r w:rsidR="03F1D4E2">
        <w:t xml:space="preserve"> </w:t>
      </w:r>
      <w:r>
        <w:t xml:space="preserve">the introduction of CBAMs. Some of the larger players in Indo-Pacific markets have indicated that certification will be required to ensure imported products are aligned with their domestic decarbonisation pathways and accounted for appropriately in international emissions reporting obligations. For example, Japan and </w:t>
      </w:r>
      <w:r w:rsidRPr="00637D22">
        <w:t>R</w:t>
      </w:r>
      <w:r>
        <w:t xml:space="preserve">epublic of </w:t>
      </w:r>
      <w:r w:rsidRPr="00637D22">
        <w:t>K</w:t>
      </w:r>
      <w:r>
        <w:t>orea, are looking at emissions certification schemes for hydrogen and ammonia imports and production.</w:t>
      </w:r>
    </w:p>
    <w:p w14:paraId="7F94E21D" w14:textId="38112B6A" w:rsidR="00BC3A49" w:rsidRPr="00155D73" w:rsidRDefault="008A5F43" w:rsidP="00BC3A49">
      <w:pPr>
        <w:rPr>
          <w:color w:val="auto"/>
        </w:rPr>
      </w:pPr>
      <w:r>
        <w:rPr>
          <w:color w:val="auto"/>
        </w:rPr>
        <w:t xml:space="preserve">The success of these industries </w:t>
      </w:r>
      <w:r w:rsidR="006731DD">
        <w:rPr>
          <w:color w:val="auto"/>
        </w:rPr>
        <w:t xml:space="preserve">to access domestic and international markets </w:t>
      </w:r>
      <w:r w:rsidR="006D10C1">
        <w:rPr>
          <w:color w:val="auto"/>
        </w:rPr>
        <w:t>will rely</w:t>
      </w:r>
      <w:r w:rsidR="008825FB" w:rsidRPr="00CE7F5E">
        <w:rPr>
          <w:color w:val="auto"/>
        </w:rPr>
        <w:t xml:space="preserve"> on </w:t>
      </w:r>
      <w:r w:rsidR="00AA75A7">
        <w:rPr>
          <w:color w:val="auto"/>
        </w:rPr>
        <w:t xml:space="preserve">a </w:t>
      </w:r>
      <w:r w:rsidR="008825FB" w:rsidRPr="00CE7F5E">
        <w:rPr>
          <w:color w:val="auto"/>
        </w:rPr>
        <w:t>compan</w:t>
      </w:r>
      <w:r w:rsidR="00AA75A7">
        <w:rPr>
          <w:color w:val="auto"/>
        </w:rPr>
        <w:t>y</w:t>
      </w:r>
      <w:r w:rsidR="008825FB" w:rsidRPr="00CE7F5E">
        <w:rPr>
          <w:color w:val="auto"/>
        </w:rPr>
        <w:t>’</w:t>
      </w:r>
      <w:r w:rsidR="00AA75A7">
        <w:rPr>
          <w:color w:val="auto"/>
        </w:rPr>
        <w:t>s</w:t>
      </w:r>
      <w:r w:rsidR="008825FB" w:rsidRPr="00CE7F5E">
        <w:rPr>
          <w:color w:val="auto"/>
        </w:rPr>
        <w:t xml:space="preserve"> ability to effectively </w:t>
      </w:r>
      <w:r w:rsidR="00BF7D9D">
        <w:rPr>
          <w:color w:val="auto"/>
        </w:rPr>
        <w:t xml:space="preserve">prove </w:t>
      </w:r>
      <w:r w:rsidR="00AC6AF8">
        <w:rPr>
          <w:color w:val="auto"/>
        </w:rPr>
        <w:t xml:space="preserve">the </w:t>
      </w:r>
      <w:r w:rsidR="00585AA9">
        <w:rPr>
          <w:color w:val="auto"/>
        </w:rPr>
        <w:t>level of</w:t>
      </w:r>
      <w:r w:rsidR="00AC6AF8">
        <w:rPr>
          <w:color w:val="auto"/>
        </w:rPr>
        <w:t xml:space="preserve"> emissions</w:t>
      </w:r>
      <w:r w:rsidR="009E52EB">
        <w:rPr>
          <w:color w:val="auto"/>
        </w:rPr>
        <w:t xml:space="preserve"> embedded in their products</w:t>
      </w:r>
      <w:r w:rsidR="00AC6AF8">
        <w:rPr>
          <w:color w:val="auto"/>
        </w:rPr>
        <w:t>.</w:t>
      </w:r>
      <w:r w:rsidR="008825FB">
        <w:rPr>
          <w:rStyle w:val="FootnoteReference"/>
          <w:color w:val="auto"/>
        </w:rPr>
        <w:footnoteReference w:id="3"/>
      </w:r>
      <w:r w:rsidR="0006185F" w:rsidRPr="002C0972">
        <w:rPr>
          <w:color w:val="auto"/>
        </w:rPr>
        <w:t xml:space="preserve"> Embedded carbon emissions refer to the greenhouse gas emissions generated during the production and transportation of such products – which includes everything from the extraction of raw materials to the manufacturing process and final delivery to the end customer.</w:t>
      </w:r>
      <w:r w:rsidR="0006185F">
        <w:rPr>
          <w:color w:val="auto"/>
        </w:rPr>
        <w:t xml:space="preserve"> </w:t>
      </w:r>
      <w:r w:rsidR="00050C59">
        <w:rPr>
          <w:color w:val="auto"/>
        </w:rPr>
        <w:t>These embedded emissions</w:t>
      </w:r>
      <w:r w:rsidR="00D1378F">
        <w:rPr>
          <w:color w:val="auto"/>
        </w:rPr>
        <w:t xml:space="preserve"> </w:t>
      </w:r>
      <w:r w:rsidR="00D1378F">
        <w:rPr>
          <w:color w:val="auto"/>
        </w:rPr>
        <w:lastRenderedPageBreak/>
        <w:t>need to be calculated in a way that i</w:t>
      </w:r>
      <w:r w:rsidR="00663010">
        <w:rPr>
          <w:color w:val="auto"/>
        </w:rPr>
        <w:t xml:space="preserve">s transparent, credible and consistent </w:t>
      </w:r>
      <w:r w:rsidR="009C07C5">
        <w:rPr>
          <w:color w:val="auto"/>
        </w:rPr>
        <w:t xml:space="preserve">both domestically and </w:t>
      </w:r>
      <w:r w:rsidR="00663010">
        <w:rPr>
          <w:color w:val="auto"/>
        </w:rPr>
        <w:t>with international approaches</w:t>
      </w:r>
      <w:r w:rsidR="00204B8C">
        <w:rPr>
          <w:color w:val="auto"/>
        </w:rPr>
        <w:t>.</w:t>
      </w:r>
    </w:p>
    <w:p w14:paraId="11D635AD" w14:textId="4D56E3EC" w:rsidR="008D1791" w:rsidRPr="00155D73" w:rsidRDefault="00115452" w:rsidP="00BC3A49">
      <w:pPr>
        <w:rPr>
          <w:color w:val="auto"/>
        </w:rPr>
      </w:pPr>
      <w:r>
        <w:rPr>
          <w:color w:val="auto"/>
        </w:rPr>
        <w:t xml:space="preserve">Without </w:t>
      </w:r>
      <w:r w:rsidR="0007721A">
        <w:rPr>
          <w:color w:val="auto"/>
        </w:rPr>
        <w:t xml:space="preserve">consistent, trusted </w:t>
      </w:r>
      <w:r w:rsidR="00D16F3A">
        <w:rPr>
          <w:color w:val="auto"/>
        </w:rPr>
        <w:t xml:space="preserve">product </w:t>
      </w:r>
      <w:r w:rsidR="0007721A">
        <w:rPr>
          <w:color w:val="auto"/>
        </w:rPr>
        <w:t>information</w:t>
      </w:r>
      <w:r w:rsidR="00D16F3A">
        <w:rPr>
          <w:color w:val="auto"/>
        </w:rPr>
        <w:t xml:space="preserve"> and certification of renewables</w:t>
      </w:r>
      <w:r w:rsidR="0007721A">
        <w:rPr>
          <w:color w:val="auto"/>
        </w:rPr>
        <w:t xml:space="preserve">, </w:t>
      </w:r>
      <w:r w:rsidR="0061546B">
        <w:rPr>
          <w:color w:val="auto"/>
        </w:rPr>
        <w:t>g</w:t>
      </w:r>
      <w:r w:rsidR="0075016F">
        <w:rPr>
          <w:color w:val="auto"/>
        </w:rPr>
        <w:t>overnments (federal, state, and territory)</w:t>
      </w:r>
      <w:r w:rsidR="008800B2">
        <w:rPr>
          <w:color w:val="auto"/>
        </w:rPr>
        <w:t xml:space="preserve"> </w:t>
      </w:r>
      <w:r w:rsidR="00D16F3A">
        <w:rPr>
          <w:color w:val="auto"/>
        </w:rPr>
        <w:t>are limi</w:t>
      </w:r>
      <w:r w:rsidR="00FA6F15">
        <w:rPr>
          <w:color w:val="auto"/>
        </w:rPr>
        <w:t xml:space="preserve">ted in their </w:t>
      </w:r>
      <w:r w:rsidR="00DD1053">
        <w:rPr>
          <w:color w:val="auto"/>
        </w:rPr>
        <w:t xml:space="preserve">capacity to </w:t>
      </w:r>
      <w:r w:rsidR="00CE7949">
        <w:rPr>
          <w:color w:val="auto"/>
        </w:rPr>
        <w:t>develop</w:t>
      </w:r>
      <w:r w:rsidR="00270487">
        <w:rPr>
          <w:color w:val="auto"/>
        </w:rPr>
        <w:t xml:space="preserve"> </w:t>
      </w:r>
      <w:r w:rsidR="00D65FCB">
        <w:rPr>
          <w:color w:val="auto"/>
        </w:rPr>
        <w:t>proportionate</w:t>
      </w:r>
      <w:r w:rsidR="00270487">
        <w:rPr>
          <w:color w:val="auto"/>
        </w:rPr>
        <w:t>,</w:t>
      </w:r>
      <w:r w:rsidR="00CE7949">
        <w:rPr>
          <w:color w:val="auto"/>
        </w:rPr>
        <w:t xml:space="preserve"> </w:t>
      </w:r>
      <w:r w:rsidR="00DD1053">
        <w:rPr>
          <w:color w:val="auto"/>
        </w:rPr>
        <w:t>target</w:t>
      </w:r>
      <w:r w:rsidR="00CE7949">
        <w:rPr>
          <w:color w:val="auto"/>
        </w:rPr>
        <w:t>ed</w:t>
      </w:r>
      <w:r w:rsidR="00DA3B50">
        <w:rPr>
          <w:color w:val="auto"/>
        </w:rPr>
        <w:t xml:space="preserve"> policies to </w:t>
      </w:r>
      <w:r w:rsidR="002C7602">
        <w:rPr>
          <w:color w:val="auto"/>
        </w:rPr>
        <w:t xml:space="preserve">decarbonise Australia. </w:t>
      </w:r>
      <w:r w:rsidR="00BE5DD7">
        <w:rPr>
          <w:color w:val="auto"/>
        </w:rPr>
        <w:t>P</w:t>
      </w:r>
      <w:r w:rsidR="008407D8">
        <w:rPr>
          <w:color w:val="auto"/>
        </w:rPr>
        <w:t>rograms</w:t>
      </w:r>
      <w:r w:rsidR="00684F2E">
        <w:rPr>
          <w:color w:val="auto"/>
        </w:rPr>
        <w:t xml:space="preserve"> including Hydrogen Head</w:t>
      </w:r>
      <w:r w:rsidR="00D65FCB">
        <w:rPr>
          <w:color w:val="auto"/>
        </w:rPr>
        <w:t>st</w:t>
      </w:r>
      <w:r w:rsidR="00684F2E">
        <w:rPr>
          <w:color w:val="auto"/>
        </w:rPr>
        <w:t xml:space="preserve">art and the </w:t>
      </w:r>
      <w:r w:rsidR="00D65FCB">
        <w:rPr>
          <w:color w:val="auto"/>
        </w:rPr>
        <w:t>new</w:t>
      </w:r>
      <w:r w:rsidR="00684F2E">
        <w:rPr>
          <w:color w:val="auto"/>
        </w:rPr>
        <w:t xml:space="preserve"> Hydrogen Production Tax Incentive </w:t>
      </w:r>
      <w:r w:rsidR="0075301A">
        <w:rPr>
          <w:color w:val="auto"/>
        </w:rPr>
        <w:t xml:space="preserve">must be able to </w:t>
      </w:r>
      <w:r w:rsidR="003E1610">
        <w:rPr>
          <w:color w:val="auto"/>
        </w:rPr>
        <w:t xml:space="preserve">reliably </w:t>
      </w:r>
      <w:r w:rsidR="005660E5">
        <w:rPr>
          <w:color w:val="auto"/>
        </w:rPr>
        <w:t>support hydrogen production that meets certain emissions criteria.</w:t>
      </w:r>
      <w:r w:rsidR="000C6B7B">
        <w:rPr>
          <w:color w:val="auto"/>
        </w:rPr>
        <w:t xml:space="preserve"> </w:t>
      </w:r>
      <w:r w:rsidR="00F170FD">
        <w:rPr>
          <w:color w:val="auto"/>
        </w:rPr>
        <w:t xml:space="preserve">Similarly, </w:t>
      </w:r>
      <w:r w:rsidR="000C6B7B">
        <w:rPr>
          <w:color w:val="auto"/>
        </w:rPr>
        <w:t xml:space="preserve">State and territory programs such as </w:t>
      </w:r>
      <w:r w:rsidR="00B576C3">
        <w:rPr>
          <w:color w:val="auto"/>
        </w:rPr>
        <w:t xml:space="preserve">NSW’s Renewable Fuel Scheme </w:t>
      </w:r>
      <w:r w:rsidR="00912A9E">
        <w:rPr>
          <w:color w:val="auto"/>
        </w:rPr>
        <w:t>need</w:t>
      </w:r>
      <w:r w:rsidR="000D4093">
        <w:rPr>
          <w:color w:val="auto"/>
        </w:rPr>
        <w:t xml:space="preserve"> to</w:t>
      </w:r>
      <w:r w:rsidR="00912A9E">
        <w:rPr>
          <w:color w:val="auto"/>
        </w:rPr>
        <w:t xml:space="preserve"> </w:t>
      </w:r>
      <w:r w:rsidR="00D677E3">
        <w:rPr>
          <w:color w:val="auto"/>
        </w:rPr>
        <w:t xml:space="preserve">identify </w:t>
      </w:r>
      <w:r w:rsidR="00DE1BEF">
        <w:rPr>
          <w:color w:val="auto"/>
        </w:rPr>
        <w:t xml:space="preserve">and </w:t>
      </w:r>
      <w:r w:rsidR="00912A9E">
        <w:rPr>
          <w:color w:val="auto"/>
        </w:rPr>
        <w:t xml:space="preserve">incentivise </w:t>
      </w:r>
      <w:r w:rsidR="004A76DA">
        <w:rPr>
          <w:color w:val="auto"/>
        </w:rPr>
        <w:t>low emissions hydrogen.</w:t>
      </w:r>
    </w:p>
    <w:p w14:paraId="33F1864F" w14:textId="4D4E73E3" w:rsidR="00DE3F0E" w:rsidRDefault="00A06C29" w:rsidP="00567370">
      <w:r w:rsidRPr="68EEDB34">
        <w:rPr>
          <w:color w:val="auto"/>
        </w:rPr>
        <w:t>Access to certificates to verify claims to renewable electricity allow</w:t>
      </w:r>
      <w:r w:rsidR="002B3057">
        <w:rPr>
          <w:color w:val="auto"/>
        </w:rPr>
        <w:t>s</w:t>
      </w:r>
      <w:r w:rsidRPr="68EEDB34">
        <w:rPr>
          <w:color w:val="auto"/>
        </w:rPr>
        <w:t xml:space="preserve"> industries </w:t>
      </w:r>
      <w:r w:rsidR="005E1FA6" w:rsidRPr="68EEDB34">
        <w:rPr>
          <w:color w:val="auto"/>
        </w:rPr>
        <w:t xml:space="preserve">to </w:t>
      </w:r>
      <w:r w:rsidRPr="68EEDB34">
        <w:rPr>
          <w:color w:val="auto"/>
        </w:rPr>
        <w:t xml:space="preserve">demonstrate the production of low emissions products and </w:t>
      </w:r>
      <w:r w:rsidR="00EC1281" w:rsidRPr="68EEDB34">
        <w:rPr>
          <w:color w:val="auto"/>
        </w:rPr>
        <w:t xml:space="preserve">progress against </w:t>
      </w:r>
      <w:r w:rsidRPr="68EEDB34">
        <w:rPr>
          <w:color w:val="auto"/>
        </w:rPr>
        <w:t xml:space="preserve">commitments to emissions reduction or renewable energy goals. </w:t>
      </w:r>
      <w:r w:rsidR="00DE3F0E" w:rsidRPr="68EEDB34">
        <w:rPr>
          <w:color w:val="auto"/>
        </w:rPr>
        <w:t xml:space="preserve">Renewable electricity certification currently exists in Australia under the Renewable Energy Target (RET) scheme which provides a framework for the creation of large-scale generation certificates (LGCs) which represent one </w:t>
      </w:r>
      <w:r w:rsidR="76B5D579" w:rsidRPr="68EEDB34">
        <w:rPr>
          <w:color w:val="auto"/>
        </w:rPr>
        <w:t>megawatt</w:t>
      </w:r>
      <w:r w:rsidR="00F773BF">
        <w:rPr>
          <w:color w:val="auto"/>
        </w:rPr>
        <w:t xml:space="preserve"> </w:t>
      </w:r>
      <w:r w:rsidR="76B5D579" w:rsidRPr="68EEDB34">
        <w:rPr>
          <w:color w:val="auto"/>
        </w:rPr>
        <w:t>hour</w:t>
      </w:r>
      <w:r w:rsidR="00DE3F0E" w:rsidRPr="68EEDB34">
        <w:rPr>
          <w:color w:val="auto"/>
        </w:rPr>
        <w:t xml:space="preserve"> (MWh) of electricity generated from renewable sources. Corporations acquire and voluntarily cancel LGCs under the RET scheme </w:t>
      </w:r>
      <w:r w:rsidR="00DE3F0E">
        <w:t>to demonstrate progress towards renewable energy and emissions reduction goals</w:t>
      </w:r>
      <w:r w:rsidR="00DE3F0E" w:rsidRPr="68EEDB34">
        <w:rPr>
          <w:color w:val="auto"/>
        </w:rPr>
        <w:t>. However, the RET scheme, including the ability to certify renewable electricity, is legislated to end in 2030</w:t>
      </w:r>
      <w:r w:rsidR="00DE3F0E" w:rsidRPr="68EEDB34" w:rsidDel="00BD667F">
        <w:rPr>
          <w:color w:val="auto"/>
        </w:rPr>
        <w:t xml:space="preserve"> </w:t>
      </w:r>
      <w:r w:rsidR="00DE3F0E" w:rsidRPr="68EEDB34">
        <w:rPr>
          <w:color w:val="auto"/>
        </w:rPr>
        <w:t xml:space="preserve">and only applies to a subset of electricity generation in Australia. </w:t>
      </w:r>
      <w:r w:rsidR="00027E21">
        <w:t>Businesses are increasingly voluntarily surrendering LGCs to demonstrate use of renewable electricity in producing low emissions products or for corporate reporting purposes, which will not exist once the RET scheme ends.</w:t>
      </w:r>
    </w:p>
    <w:p w14:paraId="400A67BB" w14:textId="77777777" w:rsidR="008022CB" w:rsidRDefault="008022CB" w:rsidP="000107FD">
      <w:pPr>
        <w:rPr>
          <w:rFonts w:cstheme="minorHAnsi"/>
          <w:color w:val="auto"/>
        </w:rPr>
      </w:pPr>
    </w:p>
    <w:p w14:paraId="505EB245" w14:textId="11B116B1" w:rsidR="00716A5F" w:rsidRDefault="00716A5F">
      <w:pPr>
        <w:rPr>
          <w:rFonts w:asciiTheme="majorHAnsi" w:hAnsiTheme="majorHAnsi"/>
          <w:b/>
          <w:color w:val="014463" w:themeColor="text2"/>
          <w:sz w:val="60"/>
          <w:szCs w:val="60"/>
        </w:rPr>
      </w:pPr>
      <w:r>
        <w:br w:type="page"/>
      </w:r>
    </w:p>
    <w:p w14:paraId="5BE9CE77" w14:textId="6EF3B02A" w:rsidR="00716A5F" w:rsidRPr="00311B15" w:rsidRDefault="00716A5F" w:rsidP="00716A5F">
      <w:pPr>
        <w:pStyle w:val="Title"/>
        <w:rPr>
          <w:sz w:val="36"/>
          <w:szCs w:val="36"/>
        </w:rPr>
      </w:pPr>
      <w:bookmarkStart w:id="10" w:name="_Toc945703108"/>
      <w:bookmarkStart w:id="11" w:name="_Toc175312079"/>
      <w:r w:rsidRPr="00311B15">
        <w:rPr>
          <w:sz w:val="36"/>
          <w:szCs w:val="36"/>
        </w:rPr>
        <w:lastRenderedPageBreak/>
        <w:t xml:space="preserve">2. Why is </w:t>
      </w:r>
      <w:r w:rsidR="00AE603E">
        <w:rPr>
          <w:sz w:val="36"/>
          <w:szCs w:val="36"/>
        </w:rPr>
        <w:t>g</w:t>
      </w:r>
      <w:r w:rsidRPr="00311B15">
        <w:rPr>
          <w:sz w:val="36"/>
          <w:szCs w:val="36"/>
        </w:rPr>
        <w:t>overnment action needed?</w:t>
      </w:r>
      <w:bookmarkEnd w:id="10"/>
      <w:bookmarkEnd w:id="11"/>
    </w:p>
    <w:p w14:paraId="2C385B69" w14:textId="17347118" w:rsidR="003A2121" w:rsidRPr="00842C18" w:rsidRDefault="00FA52A9" w:rsidP="00043A5F">
      <w:pPr>
        <w:spacing w:after="160" w:line="259" w:lineRule="auto"/>
        <w:rPr>
          <w:color w:val="auto"/>
        </w:rPr>
      </w:pPr>
      <w:r w:rsidRPr="00842C18">
        <w:rPr>
          <w:color w:val="auto"/>
        </w:rPr>
        <w:t xml:space="preserve">To best </w:t>
      </w:r>
      <w:r w:rsidR="0088335B" w:rsidRPr="00842C18">
        <w:rPr>
          <w:color w:val="auto"/>
        </w:rPr>
        <w:t>assess whether</w:t>
      </w:r>
      <w:r w:rsidRPr="00842C18">
        <w:rPr>
          <w:color w:val="auto"/>
        </w:rPr>
        <w:t xml:space="preserve"> </w:t>
      </w:r>
      <w:r w:rsidR="00AE603E">
        <w:rPr>
          <w:color w:val="auto"/>
        </w:rPr>
        <w:t>g</w:t>
      </w:r>
      <w:r w:rsidRPr="00842C18">
        <w:rPr>
          <w:color w:val="auto"/>
        </w:rPr>
        <w:t xml:space="preserve">overnment </w:t>
      </w:r>
      <w:r w:rsidR="00311D44" w:rsidRPr="00842C18">
        <w:rPr>
          <w:color w:val="auto"/>
        </w:rPr>
        <w:t>action is needed</w:t>
      </w:r>
      <w:r w:rsidR="007F0B9A" w:rsidRPr="00842C18">
        <w:rPr>
          <w:color w:val="auto"/>
        </w:rPr>
        <w:t xml:space="preserve">, </w:t>
      </w:r>
      <w:r w:rsidR="0088335B" w:rsidRPr="00842C18">
        <w:rPr>
          <w:color w:val="auto"/>
        </w:rPr>
        <w:t xml:space="preserve">we must first </w:t>
      </w:r>
      <w:r w:rsidR="005A5174" w:rsidRPr="00842C18">
        <w:rPr>
          <w:color w:val="auto"/>
        </w:rPr>
        <w:t>identify</w:t>
      </w:r>
      <w:r w:rsidR="0088335B" w:rsidRPr="00842C18">
        <w:rPr>
          <w:color w:val="auto"/>
        </w:rPr>
        <w:t xml:space="preserve"> </w:t>
      </w:r>
      <w:r w:rsidR="00B913D9" w:rsidRPr="00842C18">
        <w:rPr>
          <w:color w:val="auto"/>
        </w:rPr>
        <w:t xml:space="preserve">the types of </w:t>
      </w:r>
      <w:r w:rsidR="004431AA" w:rsidRPr="00842C18">
        <w:rPr>
          <w:color w:val="auto"/>
        </w:rPr>
        <w:t xml:space="preserve">outcomes </w:t>
      </w:r>
      <w:r w:rsidR="00E73D4D" w:rsidRPr="00842C18">
        <w:rPr>
          <w:color w:val="auto"/>
        </w:rPr>
        <w:t xml:space="preserve">that need to be achieved and </w:t>
      </w:r>
      <w:r w:rsidR="00734C19" w:rsidRPr="00842C18">
        <w:rPr>
          <w:color w:val="auto"/>
        </w:rPr>
        <w:t xml:space="preserve">the level to which </w:t>
      </w:r>
      <w:r w:rsidR="00B64010" w:rsidRPr="00842C18">
        <w:rPr>
          <w:color w:val="auto"/>
        </w:rPr>
        <w:t xml:space="preserve">these can be considered </w:t>
      </w:r>
      <w:r w:rsidR="00DC22FF" w:rsidRPr="00842C18">
        <w:rPr>
          <w:color w:val="auto"/>
        </w:rPr>
        <w:t xml:space="preserve">measures </w:t>
      </w:r>
      <w:r w:rsidR="002F2DFA" w:rsidRPr="00842C18">
        <w:rPr>
          <w:color w:val="auto"/>
        </w:rPr>
        <w:t>of success</w:t>
      </w:r>
      <w:r w:rsidR="005F29DF" w:rsidRPr="00842C18">
        <w:rPr>
          <w:color w:val="auto"/>
        </w:rPr>
        <w:t>.</w:t>
      </w:r>
      <w:r w:rsidR="0023189A" w:rsidRPr="00842C18">
        <w:rPr>
          <w:color w:val="auto"/>
        </w:rPr>
        <w:t xml:space="preserve"> </w:t>
      </w:r>
      <w:bookmarkStart w:id="12" w:name="_Toc718846643"/>
      <w:bookmarkStart w:id="13" w:name="_Toc165367203"/>
      <w:r w:rsidR="003A2121" w:rsidRPr="00842C18">
        <w:rPr>
          <w:color w:val="auto"/>
        </w:rPr>
        <w:t>The object</w:t>
      </w:r>
      <w:r w:rsidR="00717A0E" w:rsidRPr="00842C18">
        <w:rPr>
          <w:color w:val="auto"/>
        </w:rPr>
        <w:t xml:space="preserve">ives </w:t>
      </w:r>
      <w:r w:rsidR="003A2121" w:rsidRPr="00842C18">
        <w:rPr>
          <w:color w:val="auto"/>
        </w:rPr>
        <w:t xml:space="preserve">of </w:t>
      </w:r>
      <w:r w:rsidR="008A6C5F" w:rsidRPr="00842C18">
        <w:rPr>
          <w:color w:val="auto"/>
        </w:rPr>
        <w:t>the</w:t>
      </w:r>
      <w:r w:rsidR="004933EC" w:rsidRPr="00842C18">
        <w:rPr>
          <w:color w:val="auto"/>
        </w:rPr>
        <w:t xml:space="preserve"> policy </w:t>
      </w:r>
      <w:r w:rsidR="00036C4D" w:rsidRPr="00842C18">
        <w:rPr>
          <w:color w:val="auto"/>
        </w:rPr>
        <w:t xml:space="preserve">option </w:t>
      </w:r>
      <w:r w:rsidR="0025007D" w:rsidRPr="00842C18">
        <w:rPr>
          <w:color w:val="auto"/>
        </w:rPr>
        <w:t xml:space="preserve">employed to solve this problem </w:t>
      </w:r>
      <w:r w:rsidR="009D26A6" w:rsidRPr="00842C18">
        <w:rPr>
          <w:color w:val="auto"/>
        </w:rPr>
        <w:t>w</w:t>
      </w:r>
      <w:r w:rsidR="00CF3BA1" w:rsidRPr="00842C18">
        <w:rPr>
          <w:color w:val="auto"/>
        </w:rPr>
        <w:t>ill</w:t>
      </w:r>
      <w:r w:rsidR="009D26A6" w:rsidRPr="00842C18">
        <w:rPr>
          <w:color w:val="auto"/>
        </w:rPr>
        <w:t xml:space="preserve"> need to </w:t>
      </w:r>
      <w:r w:rsidR="00221B5D" w:rsidRPr="00842C18">
        <w:rPr>
          <w:color w:val="auto"/>
        </w:rPr>
        <w:t>achieve</w:t>
      </w:r>
      <w:r w:rsidR="000759E2" w:rsidRPr="00842C18">
        <w:rPr>
          <w:color w:val="auto"/>
        </w:rPr>
        <w:t xml:space="preserve"> the </w:t>
      </w:r>
      <w:r w:rsidR="003A2121" w:rsidRPr="00842C18">
        <w:rPr>
          <w:color w:val="auto"/>
        </w:rPr>
        <w:t>follow</w:t>
      </w:r>
      <w:r w:rsidR="000759E2" w:rsidRPr="00842C18">
        <w:rPr>
          <w:color w:val="auto"/>
        </w:rPr>
        <w:t>ing</w:t>
      </w:r>
      <w:r w:rsidR="003A2121" w:rsidRPr="00842C18">
        <w:rPr>
          <w:color w:val="auto"/>
        </w:rPr>
        <w:t>:</w:t>
      </w:r>
      <w:bookmarkEnd w:id="12"/>
      <w:bookmarkEnd w:id="13"/>
    </w:p>
    <w:p w14:paraId="54AB86B1" w14:textId="135B897E" w:rsidR="00E07546" w:rsidRDefault="00652D13" w:rsidP="00E07546">
      <w:pPr>
        <w:pStyle w:val="ListParagraph"/>
        <w:numPr>
          <w:ilvl w:val="0"/>
          <w:numId w:val="110"/>
        </w:numPr>
      </w:pPr>
      <w:bookmarkStart w:id="14" w:name="_Toc1850676893"/>
      <w:bookmarkStart w:id="15" w:name="_Toc165367204"/>
      <w:r>
        <w:t xml:space="preserve">Provide a framework for certification </w:t>
      </w:r>
      <w:r w:rsidR="00800175">
        <w:t xml:space="preserve">that </w:t>
      </w:r>
      <w:r w:rsidR="00CE434D">
        <w:t>can</w:t>
      </w:r>
      <w:r w:rsidR="00E07546">
        <w:t>:</w:t>
      </w:r>
    </w:p>
    <w:p w14:paraId="6A95C614" w14:textId="653E0B90" w:rsidR="00E07546" w:rsidRDefault="00E07546" w:rsidP="00E07546">
      <w:pPr>
        <w:pStyle w:val="ListParagraph"/>
        <w:numPr>
          <w:ilvl w:val="1"/>
          <w:numId w:val="110"/>
        </w:numPr>
      </w:pPr>
      <w:r>
        <w:t>a</w:t>
      </w:r>
      <w:r w:rsidRPr="00643D68">
        <w:t xml:space="preserve">ccelerate commerciality of low emissions products by supporting the development of emerging markets for renewable electricity and low emissions products </w:t>
      </w:r>
      <w:r w:rsidR="00DB1E77">
        <w:t>to decarbonise Australia</w:t>
      </w:r>
      <w:r w:rsidRPr="00643D68">
        <w:t xml:space="preserve"> </w:t>
      </w:r>
      <w:r w:rsidR="00607E91">
        <w:t>in line with</w:t>
      </w:r>
      <w:r w:rsidRPr="00643D68">
        <w:t xml:space="preserve"> Australia’s ambition to become a renewable energy superpower.</w:t>
      </w:r>
    </w:p>
    <w:p w14:paraId="1ED42E47" w14:textId="4FEDCD66" w:rsidR="006C0801" w:rsidRDefault="006C0801" w:rsidP="00E07546">
      <w:pPr>
        <w:pStyle w:val="ListParagraph"/>
        <w:numPr>
          <w:ilvl w:val="1"/>
          <w:numId w:val="110"/>
        </w:numPr>
      </w:pPr>
      <w:r w:rsidRPr="00007311">
        <w:t>promote private investment in Australian renewables industry and progression of pipeline hydrogen projects toward final investment decision.</w:t>
      </w:r>
    </w:p>
    <w:p w14:paraId="5234DC03" w14:textId="7B90B8C4" w:rsidR="00800175" w:rsidRDefault="00E07546" w:rsidP="006C0801">
      <w:pPr>
        <w:pStyle w:val="ListParagraph"/>
        <w:numPr>
          <w:ilvl w:val="1"/>
          <w:numId w:val="110"/>
        </w:numPr>
      </w:pPr>
      <w:r>
        <w:t>p</w:t>
      </w:r>
      <w:r w:rsidRPr="00A57C33">
        <w:t>rovide continuity for producers of renewable electricity so that the industry is not adversely impacted once the existing certification scheme sunsets in 2030</w:t>
      </w:r>
      <w:r>
        <w:t>.</w:t>
      </w:r>
    </w:p>
    <w:p w14:paraId="428AAE33" w14:textId="39126A57" w:rsidR="00E07546" w:rsidRDefault="00E07546" w:rsidP="00E07546">
      <w:pPr>
        <w:pStyle w:val="ListParagraph"/>
        <w:numPr>
          <w:ilvl w:val="0"/>
          <w:numId w:val="110"/>
        </w:numPr>
      </w:pPr>
      <w:r w:rsidRPr="00A37A5A">
        <w:t xml:space="preserve">Provide </w:t>
      </w:r>
      <w:r w:rsidR="00800175">
        <w:t>emissions information</w:t>
      </w:r>
      <w:r>
        <w:t xml:space="preserve"> that </w:t>
      </w:r>
      <w:r w:rsidRPr="00A37A5A">
        <w:t xml:space="preserve">is </w:t>
      </w:r>
      <w:r w:rsidR="00E80ED4">
        <w:t xml:space="preserve">transparent, </w:t>
      </w:r>
      <w:r w:rsidR="001F7098">
        <w:t xml:space="preserve">trusted </w:t>
      </w:r>
      <w:r w:rsidR="001159CC">
        <w:t xml:space="preserve">and accurate </w:t>
      </w:r>
      <w:r w:rsidR="4612FDBA">
        <w:t>to:</w:t>
      </w:r>
    </w:p>
    <w:p w14:paraId="316BDE2C" w14:textId="42D8E1C8" w:rsidR="00281E5E" w:rsidRDefault="00594CFE" w:rsidP="00281E5E">
      <w:pPr>
        <w:pStyle w:val="ListParagraph"/>
        <w:numPr>
          <w:ilvl w:val="1"/>
          <w:numId w:val="110"/>
        </w:numPr>
      </w:pPr>
      <w:r>
        <w:t>be</w:t>
      </w:r>
      <w:r w:rsidR="00281E5E">
        <w:t xml:space="preserve"> recognised by</w:t>
      </w:r>
      <w:r w:rsidR="00281E5E" w:rsidRPr="004651F0">
        <w:t xml:space="preserve"> </w:t>
      </w:r>
      <w:r w:rsidR="00881FCB">
        <w:t>each</w:t>
      </w:r>
      <w:r w:rsidR="00281E5E" w:rsidRPr="004651F0">
        <w:t xml:space="preserve"> country with which Australia</w:t>
      </w:r>
      <w:r w:rsidR="002729D6">
        <w:t xml:space="preserve"> may wish to </w:t>
      </w:r>
      <w:r w:rsidR="004D592F">
        <w:t>trade low-emissions products</w:t>
      </w:r>
      <w:r w:rsidR="00281E5E">
        <w:t>.</w:t>
      </w:r>
    </w:p>
    <w:p w14:paraId="5E31DC4B" w14:textId="5A50C02C" w:rsidR="002C3E9A" w:rsidRDefault="00281E5E" w:rsidP="002C3E9A">
      <w:pPr>
        <w:pStyle w:val="ListParagraph"/>
        <w:numPr>
          <w:ilvl w:val="1"/>
          <w:numId w:val="110"/>
        </w:numPr>
      </w:pPr>
      <w:r>
        <w:t>b</w:t>
      </w:r>
      <w:r w:rsidR="002A3944">
        <w:t xml:space="preserve">e used </w:t>
      </w:r>
      <w:r w:rsidR="00844FA1">
        <w:t xml:space="preserve">to </w:t>
      </w:r>
      <w:r w:rsidR="00C94202">
        <w:t>help</w:t>
      </w:r>
      <w:r w:rsidR="00844FA1">
        <w:t xml:space="preserve"> verify </w:t>
      </w:r>
      <w:r w:rsidR="00FD07CE">
        <w:t xml:space="preserve">eligibility </w:t>
      </w:r>
      <w:r w:rsidR="00CD4FE4">
        <w:t>for</w:t>
      </w:r>
      <w:r w:rsidR="003548A0">
        <w:t xml:space="preserve"> </w:t>
      </w:r>
      <w:r w:rsidR="001C0AD5">
        <w:t xml:space="preserve">relevant </w:t>
      </w:r>
      <w:r w:rsidR="007F086D">
        <w:t xml:space="preserve">Australian </w:t>
      </w:r>
      <w:r w:rsidR="007546EB">
        <w:t>G</w:t>
      </w:r>
      <w:r w:rsidR="002C3E9A">
        <w:t xml:space="preserve">overnment incentives </w:t>
      </w:r>
      <w:r w:rsidR="00DC1BCD">
        <w:t>and policies</w:t>
      </w:r>
      <w:r w:rsidR="002C3E9A">
        <w:t xml:space="preserve"> made available to Australian industry</w:t>
      </w:r>
      <w:r w:rsidR="001324FA">
        <w:t>, for example</w:t>
      </w:r>
      <w:r w:rsidR="00FA00E5">
        <w:t xml:space="preserve"> in relation to renewable electricity and the production of hydrogen</w:t>
      </w:r>
      <w:r w:rsidR="002C3E9A" w:rsidRPr="00A37A5A">
        <w:t>.</w:t>
      </w:r>
    </w:p>
    <w:p w14:paraId="25415107" w14:textId="3AA03F27" w:rsidR="00DB1E77" w:rsidRDefault="00867080" w:rsidP="002C3E9A">
      <w:pPr>
        <w:pStyle w:val="ListParagraph"/>
        <w:numPr>
          <w:ilvl w:val="1"/>
          <w:numId w:val="110"/>
        </w:numPr>
      </w:pPr>
      <w:r>
        <w:t>i</w:t>
      </w:r>
      <w:r w:rsidR="00FF1F50">
        <w:t>ntegrate with</w:t>
      </w:r>
      <w:r w:rsidR="003D7B4B">
        <w:t xml:space="preserve"> </w:t>
      </w:r>
      <w:r w:rsidR="008F06F2">
        <w:t xml:space="preserve">existing and emerging </w:t>
      </w:r>
      <w:r w:rsidR="0061546B">
        <w:t>g</w:t>
      </w:r>
      <w:r w:rsidR="008F06F2">
        <w:t xml:space="preserve">overnment </w:t>
      </w:r>
      <w:r w:rsidR="00776AF4">
        <w:t>schemes</w:t>
      </w:r>
      <w:r w:rsidR="00676F30">
        <w:t xml:space="preserve">, programs and accounting frameworks </w:t>
      </w:r>
      <w:r w:rsidR="005548A2">
        <w:t>related to emissions</w:t>
      </w:r>
      <w:r w:rsidR="00153B8A">
        <w:t>.</w:t>
      </w:r>
    </w:p>
    <w:p w14:paraId="1FD6B575" w14:textId="48D6F0A6" w:rsidR="00643D68" w:rsidRDefault="00643D68" w:rsidP="00643D68">
      <w:pPr>
        <w:pStyle w:val="ListParagraph"/>
        <w:numPr>
          <w:ilvl w:val="1"/>
          <w:numId w:val="110"/>
        </w:numPr>
      </w:pPr>
      <w:r w:rsidRPr="00643D68">
        <w:t xml:space="preserve">enable and encourage Australian producers and consumers to make claims about the products they make and use that are recognised both domestically and internationally. </w:t>
      </w:r>
    </w:p>
    <w:bookmarkEnd w:id="14"/>
    <w:bookmarkEnd w:id="15"/>
    <w:p w14:paraId="5018D222" w14:textId="13A7993D" w:rsidR="00473ED3" w:rsidRDefault="00473ED3" w:rsidP="00F435A8">
      <w:pPr>
        <w:spacing w:after="160" w:line="259" w:lineRule="auto"/>
        <w:rPr>
          <w:color w:val="auto"/>
        </w:rPr>
      </w:pPr>
      <w:r>
        <w:rPr>
          <w:color w:val="auto"/>
        </w:rPr>
        <w:t xml:space="preserve">These objectives have been developed based on feedback from </w:t>
      </w:r>
      <w:r w:rsidR="00FA713E">
        <w:rPr>
          <w:color w:val="auto"/>
        </w:rPr>
        <w:t>stakeholder</w:t>
      </w:r>
      <w:r>
        <w:rPr>
          <w:color w:val="auto"/>
        </w:rPr>
        <w:t xml:space="preserve"> </w:t>
      </w:r>
      <w:r w:rsidR="00FA713E">
        <w:rPr>
          <w:color w:val="auto"/>
        </w:rPr>
        <w:t>consultation which sought feedback on industry and market needs from a certification scheme. They are also consistent with objectives of international s</w:t>
      </w:r>
      <w:r w:rsidR="00060237">
        <w:rPr>
          <w:color w:val="auto"/>
        </w:rPr>
        <w:t xml:space="preserve">chemes and multilateral work aiming to achieve consistency and interoperability between </w:t>
      </w:r>
      <w:r w:rsidR="00FF2FB5">
        <w:rPr>
          <w:color w:val="auto"/>
        </w:rPr>
        <w:t xml:space="preserve">national </w:t>
      </w:r>
      <w:r w:rsidR="00060237">
        <w:rPr>
          <w:color w:val="auto"/>
        </w:rPr>
        <w:t>certification schemes.</w:t>
      </w:r>
    </w:p>
    <w:p w14:paraId="279C0969" w14:textId="2BDC5467" w:rsidR="000A4916" w:rsidRPr="00BB6EEE" w:rsidRDefault="000A4916" w:rsidP="000A4916">
      <w:pPr>
        <w:rPr>
          <w:b/>
          <w:bCs/>
          <w:color w:val="auto"/>
        </w:rPr>
      </w:pPr>
      <w:r w:rsidRPr="00BB6EEE">
        <w:rPr>
          <w:b/>
          <w:bCs/>
          <w:color w:val="auto"/>
        </w:rPr>
        <w:t xml:space="preserve">Government-backed </w:t>
      </w:r>
      <w:r w:rsidR="004E017A">
        <w:rPr>
          <w:b/>
          <w:bCs/>
          <w:color w:val="auto"/>
        </w:rPr>
        <w:t>frameworks are trusted</w:t>
      </w:r>
    </w:p>
    <w:p w14:paraId="4E63B3C4" w14:textId="3806EB79" w:rsidR="00D0096A" w:rsidRDefault="00875468" w:rsidP="000A4916">
      <w:pPr>
        <w:rPr>
          <w:color w:val="auto"/>
        </w:rPr>
      </w:pPr>
      <w:r>
        <w:t xml:space="preserve">Integrity </w:t>
      </w:r>
      <w:r w:rsidR="003A5750">
        <w:t xml:space="preserve">is </w:t>
      </w:r>
      <w:r w:rsidR="00D0096A" w:rsidRPr="00BF2EB2">
        <w:t xml:space="preserve">paramount </w:t>
      </w:r>
      <w:r w:rsidR="00C8342D">
        <w:t xml:space="preserve">when </w:t>
      </w:r>
      <w:r w:rsidR="00824487">
        <w:t xml:space="preserve">establishing and maintaining </w:t>
      </w:r>
      <w:r w:rsidR="00CA7453">
        <w:t xml:space="preserve">information </w:t>
      </w:r>
      <w:r w:rsidR="00900DFC">
        <w:t xml:space="preserve">and certification </w:t>
      </w:r>
      <w:r w:rsidR="00CA7453">
        <w:t>frameworks</w:t>
      </w:r>
      <w:r w:rsidR="00D0096A" w:rsidRPr="00BF2EB2">
        <w:t xml:space="preserve">. Integrity controls </w:t>
      </w:r>
      <w:r w:rsidR="004C0864">
        <w:t>need to strike a balance between ensuring</w:t>
      </w:r>
      <w:r w:rsidR="004C0864" w:rsidDel="005859CA">
        <w:t xml:space="preserve"> </w:t>
      </w:r>
      <w:r w:rsidR="00D0096A" w:rsidRPr="00BF2EB2">
        <w:t>trust</w:t>
      </w:r>
      <w:r w:rsidR="005859CA">
        <w:t xml:space="preserve"> </w:t>
      </w:r>
      <w:r w:rsidR="00D0096A" w:rsidRPr="00BF2EB2">
        <w:t xml:space="preserve">and </w:t>
      </w:r>
      <w:r w:rsidR="005859CA">
        <w:t xml:space="preserve">minimising </w:t>
      </w:r>
      <w:r w:rsidR="00D0096A" w:rsidRPr="00BF2EB2">
        <w:t>costs for participants.</w:t>
      </w:r>
      <w:r w:rsidR="00D0096A">
        <w:t xml:space="preserve"> </w:t>
      </w:r>
    </w:p>
    <w:p w14:paraId="3BBB6436" w14:textId="7D391ACB" w:rsidR="005E4ABD" w:rsidRDefault="005E4ABD" w:rsidP="000A4916">
      <w:r>
        <w:t xml:space="preserve">Government-backed certification improves integrity by enabling customers to trust the veracity of reported emissions and renewable electricity generation. In turn, this increases the potential acceptance and application of certificates. There is evidence that industry-led certification has limited acceptance. For example, renewable energy certificates issued under the IREC standard are not accepted in some emissions reporting schemes given the lack of independent verification. </w:t>
      </w:r>
    </w:p>
    <w:p w14:paraId="2821C076" w14:textId="7163AE14" w:rsidR="000A4916" w:rsidRPr="00BF2EB2" w:rsidRDefault="000A4916" w:rsidP="000A4916">
      <w:pPr>
        <w:rPr>
          <w:color w:val="auto"/>
        </w:rPr>
      </w:pPr>
      <w:r w:rsidRPr="008E4B02">
        <w:t>The</w:t>
      </w:r>
      <w:r w:rsidR="007026DA">
        <w:t xml:space="preserve"> Clean Energy Regulator</w:t>
      </w:r>
      <w:r w:rsidRPr="008E4B02">
        <w:t xml:space="preserve"> </w:t>
      </w:r>
      <w:r w:rsidR="00C73A98">
        <w:t>(</w:t>
      </w:r>
      <w:r w:rsidRPr="00BF2EB2">
        <w:t>CER</w:t>
      </w:r>
      <w:r w:rsidR="00C73A98">
        <w:t>)</w:t>
      </w:r>
      <w:r w:rsidR="00B27EF7">
        <w:t xml:space="preserve"> is </w:t>
      </w:r>
      <w:r w:rsidRPr="008E4B02">
        <w:t xml:space="preserve">the </w:t>
      </w:r>
      <w:r w:rsidR="00B27EF7">
        <w:t>Australian G</w:t>
      </w:r>
      <w:r w:rsidRPr="008E4B02">
        <w:t xml:space="preserve">overnment’s primary administrator of </w:t>
      </w:r>
      <w:r w:rsidR="00FF4E89">
        <w:t>climate and energy scheme</w:t>
      </w:r>
      <w:r w:rsidR="000E6100">
        <w:t>s</w:t>
      </w:r>
      <w:r w:rsidR="0099604E">
        <w:t xml:space="preserve">. It </w:t>
      </w:r>
      <w:r w:rsidR="000E6100">
        <w:t>has</w:t>
      </w:r>
      <w:r w:rsidRPr="00BF2EB2">
        <w:t xml:space="preserve"> extensive experience in administering climate change legislation</w:t>
      </w:r>
      <w:r w:rsidR="0088075F">
        <w:t xml:space="preserve"> including the</w:t>
      </w:r>
      <w:r w:rsidRPr="00BF2EB2">
        <w:t xml:space="preserve"> </w:t>
      </w:r>
      <w:r w:rsidR="068DFC6C">
        <w:t>Australian</w:t>
      </w:r>
      <w:r w:rsidR="00BA6979">
        <w:t xml:space="preserve"> Carbon Credit Unit </w:t>
      </w:r>
      <w:r w:rsidR="682E6944">
        <w:t>Scheme</w:t>
      </w:r>
      <w:r w:rsidRPr="00BF2EB2">
        <w:t xml:space="preserve">, </w:t>
      </w:r>
      <w:r w:rsidR="0088075F">
        <w:t>National Energy and Greenhouse Reporting Scheme (</w:t>
      </w:r>
      <w:r w:rsidRPr="00BF2EB2">
        <w:t>NGER</w:t>
      </w:r>
      <w:r w:rsidR="0088075F">
        <w:t>)</w:t>
      </w:r>
      <w:r w:rsidRPr="00BF2EB2">
        <w:t xml:space="preserve"> and</w:t>
      </w:r>
      <w:r w:rsidR="00D855B6">
        <w:t xml:space="preserve"> the Renewable Energy Target</w:t>
      </w:r>
      <w:r w:rsidRPr="00BF2EB2">
        <w:t xml:space="preserve"> </w:t>
      </w:r>
      <w:r w:rsidR="00D855B6">
        <w:t>(</w:t>
      </w:r>
      <w:r w:rsidRPr="00BF2EB2">
        <w:t>RET</w:t>
      </w:r>
      <w:r w:rsidR="00D855B6">
        <w:t>)</w:t>
      </w:r>
      <w:r w:rsidRPr="00BF2EB2">
        <w:t>.</w:t>
      </w:r>
      <w:r w:rsidR="00C47755">
        <w:t xml:space="preserve"> The CER </w:t>
      </w:r>
      <w:r w:rsidR="00021CB3" w:rsidRPr="00021CB3">
        <w:t>is a well-recognised</w:t>
      </w:r>
      <w:r w:rsidR="00D855B6">
        <w:t xml:space="preserve"> and trusted</w:t>
      </w:r>
      <w:r w:rsidR="00021CB3" w:rsidRPr="00021CB3">
        <w:t xml:space="preserve"> regulator</w:t>
      </w:r>
      <w:r w:rsidR="00B11696">
        <w:t xml:space="preserve"> and would b</w:t>
      </w:r>
      <w:r w:rsidR="00141269">
        <w:t>e best</w:t>
      </w:r>
      <w:r w:rsidR="00A95399">
        <w:t xml:space="preserve"> </w:t>
      </w:r>
      <w:r w:rsidR="00141269">
        <w:t>placed to</w:t>
      </w:r>
      <w:r w:rsidR="00F36B7B">
        <w:t xml:space="preserve"> provide oversight</w:t>
      </w:r>
      <w:r w:rsidR="00BA6979">
        <w:t>.</w:t>
      </w:r>
      <w:r w:rsidR="00A716C3">
        <w:t xml:space="preserve"> </w:t>
      </w:r>
    </w:p>
    <w:p w14:paraId="50187ABE" w14:textId="1CAB33F2" w:rsidR="000A4916" w:rsidRPr="00E64DC7" w:rsidRDefault="000A4916" w:rsidP="002D2F9F">
      <w:pPr>
        <w:pStyle w:val="BodyText"/>
        <w:keepNext/>
        <w:spacing w:before="160" w:line="259" w:lineRule="auto"/>
        <w:rPr>
          <w:b/>
          <w:bCs/>
        </w:rPr>
      </w:pPr>
      <w:r>
        <w:rPr>
          <w:b/>
          <w:bCs/>
        </w:rPr>
        <w:t>G</w:t>
      </w:r>
      <w:r w:rsidRPr="00E64DC7">
        <w:rPr>
          <w:b/>
          <w:bCs/>
        </w:rPr>
        <w:t>overnment</w:t>
      </w:r>
      <w:r>
        <w:rPr>
          <w:b/>
          <w:bCs/>
        </w:rPr>
        <w:t xml:space="preserve"> backing</w:t>
      </w:r>
      <w:r w:rsidRPr="00E64DC7">
        <w:rPr>
          <w:b/>
          <w:bCs/>
        </w:rPr>
        <w:t xml:space="preserve"> </w:t>
      </w:r>
      <w:r>
        <w:rPr>
          <w:b/>
          <w:bCs/>
        </w:rPr>
        <w:t>provides stability</w:t>
      </w:r>
    </w:p>
    <w:p w14:paraId="5629A9CF" w14:textId="0C3B1864" w:rsidR="000A4916" w:rsidRDefault="00E50A32" w:rsidP="000A4916">
      <w:pPr>
        <w:rPr>
          <w:color w:val="auto"/>
        </w:rPr>
      </w:pPr>
      <w:r>
        <w:rPr>
          <w:color w:val="auto"/>
        </w:rPr>
        <w:t xml:space="preserve">Australian </w:t>
      </w:r>
      <w:r w:rsidR="000643F1">
        <w:rPr>
          <w:color w:val="auto"/>
        </w:rPr>
        <w:t>Government leadership</w:t>
      </w:r>
      <w:r w:rsidR="002B0542">
        <w:rPr>
          <w:color w:val="auto"/>
        </w:rPr>
        <w:t xml:space="preserve"> </w:t>
      </w:r>
      <w:r w:rsidR="00CA7453">
        <w:rPr>
          <w:color w:val="auto"/>
        </w:rPr>
        <w:t xml:space="preserve">can </w:t>
      </w:r>
      <w:r w:rsidR="002B0542">
        <w:rPr>
          <w:color w:val="auto"/>
        </w:rPr>
        <w:t>prevent</w:t>
      </w:r>
      <w:r w:rsidR="000A4916" w:rsidRPr="009449DF">
        <w:rPr>
          <w:color w:val="auto"/>
        </w:rPr>
        <w:t xml:space="preserve"> duplicative and overlapping </w:t>
      </w:r>
      <w:r w:rsidR="002C3E13">
        <w:rPr>
          <w:color w:val="auto"/>
        </w:rPr>
        <w:t>approaches</w:t>
      </w:r>
      <w:r w:rsidR="000A4916">
        <w:rPr>
          <w:color w:val="auto"/>
        </w:rPr>
        <w:t xml:space="preserve">—either industry-led </w:t>
      </w:r>
      <w:r w:rsidR="002C3E13">
        <w:rPr>
          <w:color w:val="auto"/>
        </w:rPr>
        <w:t xml:space="preserve">schemes </w:t>
      </w:r>
      <w:r w:rsidR="000A4916">
        <w:rPr>
          <w:color w:val="auto"/>
        </w:rPr>
        <w:t xml:space="preserve">or </w:t>
      </w:r>
      <w:r w:rsidR="002C3E13">
        <w:rPr>
          <w:color w:val="auto"/>
        </w:rPr>
        <w:t xml:space="preserve">schemes created </w:t>
      </w:r>
      <w:r w:rsidR="000A4916">
        <w:rPr>
          <w:color w:val="auto"/>
        </w:rPr>
        <w:t xml:space="preserve">by other government bodies. </w:t>
      </w:r>
      <w:r w:rsidR="000A4916" w:rsidRPr="0065409C">
        <w:rPr>
          <w:color w:val="auto"/>
        </w:rPr>
        <w:t xml:space="preserve">Over </w:t>
      </w:r>
      <w:r w:rsidR="000A4916">
        <w:rPr>
          <w:color w:val="auto"/>
        </w:rPr>
        <w:t>recent</w:t>
      </w:r>
      <w:r w:rsidR="000A4916" w:rsidRPr="0065409C">
        <w:rPr>
          <w:color w:val="auto"/>
        </w:rPr>
        <w:t xml:space="preserve"> year</w:t>
      </w:r>
      <w:r w:rsidR="000A4916">
        <w:rPr>
          <w:color w:val="auto"/>
        </w:rPr>
        <w:t>s</w:t>
      </w:r>
      <w:r w:rsidR="000A4916" w:rsidRPr="0065409C">
        <w:rPr>
          <w:color w:val="auto"/>
        </w:rPr>
        <w:t xml:space="preserve">, several </w:t>
      </w:r>
      <w:r w:rsidR="003A56E7">
        <w:rPr>
          <w:color w:val="auto"/>
        </w:rPr>
        <w:t xml:space="preserve">hydrogen certification </w:t>
      </w:r>
      <w:r w:rsidR="000A4916" w:rsidRPr="0065409C">
        <w:rPr>
          <w:color w:val="auto"/>
        </w:rPr>
        <w:t>schemes led by various industry bodies have emerged, creating confusion amongst producers and consumers alik</w:t>
      </w:r>
      <w:r w:rsidR="000A4916">
        <w:rPr>
          <w:color w:val="auto"/>
        </w:rPr>
        <w:t xml:space="preserve">e. </w:t>
      </w:r>
      <w:r w:rsidR="00FD42CB">
        <w:rPr>
          <w:color w:val="auto"/>
        </w:rPr>
        <w:t>Government involvement</w:t>
      </w:r>
      <w:r w:rsidR="000A4916" w:rsidRPr="009449DF">
        <w:rPr>
          <w:color w:val="auto"/>
        </w:rPr>
        <w:t xml:space="preserve"> </w:t>
      </w:r>
      <w:r w:rsidR="000A4916">
        <w:rPr>
          <w:color w:val="auto"/>
        </w:rPr>
        <w:t>w</w:t>
      </w:r>
      <w:r w:rsidR="00EE14CF">
        <w:rPr>
          <w:color w:val="auto"/>
        </w:rPr>
        <w:t>ould</w:t>
      </w:r>
      <w:r w:rsidR="000A4916">
        <w:rPr>
          <w:color w:val="auto"/>
        </w:rPr>
        <w:t xml:space="preserve"> </w:t>
      </w:r>
      <w:r w:rsidR="000A4916" w:rsidRPr="009449DF">
        <w:rPr>
          <w:color w:val="auto"/>
        </w:rPr>
        <w:t xml:space="preserve">remove confusion in the marketplace by having </w:t>
      </w:r>
      <w:r w:rsidR="000A4916">
        <w:rPr>
          <w:color w:val="auto"/>
        </w:rPr>
        <w:t>the Australian G</w:t>
      </w:r>
      <w:r w:rsidR="000A4916" w:rsidRPr="009449DF">
        <w:rPr>
          <w:color w:val="auto"/>
        </w:rPr>
        <w:t>overnment, as a trusted intermediary</w:t>
      </w:r>
      <w:r w:rsidR="000A4916">
        <w:rPr>
          <w:color w:val="auto"/>
        </w:rPr>
        <w:t>,</w:t>
      </w:r>
      <w:r w:rsidR="000A4916" w:rsidRPr="009449DF">
        <w:rPr>
          <w:color w:val="auto"/>
        </w:rPr>
        <w:t xml:space="preserve"> develop these frameworks.</w:t>
      </w:r>
    </w:p>
    <w:p w14:paraId="49C7CF80" w14:textId="7154AB10" w:rsidR="00144ADC" w:rsidRPr="00E64DC7" w:rsidRDefault="00C944B8" w:rsidP="009449DF">
      <w:pPr>
        <w:spacing w:after="160" w:line="259" w:lineRule="auto"/>
        <w:rPr>
          <w:b/>
          <w:bCs/>
          <w:color w:val="auto"/>
        </w:rPr>
      </w:pPr>
      <w:r>
        <w:rPr>
          <w:b/>
          <w:bCs/>
          <w:color w:val="auto"/>
        </w:rPr>
        <w:t xml:space="preserve">Industry preference for </w:t>
      </w:r>
      <w:r w:rsidR="00AE603E">
        <w:rPr>
          <w:b/>
          <w:bCs/>
          <w:color w:val="auto"/>
        </w:rPr>
        <w:t>g</w:t>
      </w:r>
      <w:r w:rsidR="00144ADC" w:rsidRPr="00E64DC7">
        <w:rPr>
          <w:b/>
          <w:bCs/>
          <w:color w:val="auto"/>
        </w:rPr>
        <w:t xml:space="preserve">overnment-led </w:t>
      </w:r>
      <w:r>
        <w:rPr>
          <w:b/>
          <w:bCs/>
          <w:color w:val="auto"/>
        </w:rPr>
        <w:t>scheme</w:t>
      </w:r>
    </w:p>
    <w:p w14:paraId="2AA8C322" w14:textId="5AEF9A5F" w:rsidR="008E7A28" w:rsidRDefault="00E7202A" w:rsidP="00E7202A">
      <w:pPr>
        <w:spacing w:after="160" w:line="259" w:lineRule="auto"/>
      </w:pPr>
      <w:r w:rsidRPr="002E1D5D">
        <w:rPr>
          <w:color w:val="auto"/>
        </w:rPr>
        <w:t xml:space="preserve">The </w:t>
      </w:r>
      <w:r>
        <w:rPr>
          <w:color w:val="auto"/>
        </w:rPr>
        <w:t xml:space="preserve">Australian </w:t>
      </w:r>
      <w:r w:rsidRPr="002E1D5D">
        <w:rPr>
          <w:color w:val="auto"/>
        </w:rPr>
        <w:t xml:space="preserve">hydrogen </w:t>
      </w:r>
      <w:r w:rsidR="00844215">
        <w:rPr>
          <w:color w:val="auto"/>
        </w:rPr>
        <w:t xml:space="preserve">and renewable electricity </w:t>
      </w:r>
      <w:r w:rsidR="00B91A5E">
        <w:rPr>
          <w:color w:val="auto"/>
        </w:rPr>
        <w:t>industries</w:t>
      </w:r>
      <w:r w:rsidR="00844215">
        <w:rPr>
          <w:color w:val="auto"/>
        </w:rPr>
        <w:t xml:space="preserve"> have </w:t>
      </w:r>
      <w:r w:rsidRPr="002E1D5D">
        <w:rPr>
          <w:color w:val="auto"/>
        </w:rPr>
        <w:t xml:space="preserve">consistently </w:t>
      </w:r>
      <w:r w:rsidR="00222CE1">
        <w:rPr>
          <w:color w:val="auto"/>
        </w:rPr>
        <w:t>advocated for</w:t>
      </w:r>
      <w:r w:rsidRPr="002E1D5D">
        <w:rPr>
          <w:color w:val="auto"/>
        </w:rPr>
        <w:t xml:space="preserve"> a</w:t>
      </w:r>
      <w:r w:rsidR="00E56405">
        <w:rPr>
          <w:color w:val="auto"/>
        </w:rPr>
        <w:t>n Australian</w:t>
      </w:r>
      <w:r w:rsidRPr="002E1D5D">
        <w:rPr>
          <w:color w:val="auto"/>
        </w:rPr>
        <w:t xml:space="preserve"> Government led certification scheme</w:t>
      </w:r>
      <w:r w:rsidR="009A2CA2">
        <w:rPr>
          <w:color w:val="auto"/>
        </w:rPr>
        <w:t xml:space="preserve"> to</w:t>
      </w:r>
      <w:r w:rsidR="00EE6638">
        <w:rPr>
          <w:color w:val="auto"/>
        </w:rPr>
        <w:t xml:space="preserve"> </w:t>
      </w:r>
      <w:r w:rsidR="00EF2995">
        <w:rPr>
          <w:color w:val="auto"/>
        </w:rPr>
        <w:t xml:space="preserve">provide </w:t>
      </w:r>
      <w:r w:rsidR="005F606D">
        <w:rPr>
          <w:color w:val="auto"/>
        </w:rPr>
        <w:t xml:space="preserve">credibility, integrity and consistency across </w:t>
      </w:r>
      <w:r w:rsidR="00393CA9">
        <w:rPr>
          <w:color w:val="auto"/>
        </w:rPr>
        <w:t>international</w:t>
      </w:r>
      <w:r w:rsidR="005F606D">
        <w:rPr>
          <w:color w:val="auto"/>
        </w:rPr>
        <w:t xml:space="preserve"> and domestic </w:t>
      </w:r>
      <w:r w:rsidR="00393CA9">
        <w:rPr>
          <w:color w:val="auto"/>
        </w:rPr>
        <w:t>frameworks</w:t>
      </w:r>
      <w:r w:rsidR="00EE6638">
        <w:t>.</w:t>
      </w:r>
      <w:r w:rsidR="007A5FE1" w:rsidRPr="007A5FE1">
        <w:t xml:space="preserve"> </w:t>
      </w:r>
    </w:p>
    <w:p w14:paraId="78D80218" w14:textId="53EAF05E" w:rsidR="00E7202A" w:rsidRDefault="00A144CE" w:rsidP="00E7202A">
      <w:pPr>
        <w:spacing w:line="259" w:lineRule="auto"/>
        <w:rPr>
          <w:color w:val="auto"/>
        </w:rPr>
      </w:pPr>
      <w:r w:rsidRPr="00A144CE">
        <w:rPr>
          <w:color w:val="auto"/>
        </w:rPr>
        <w:t>The role and track record of the Australian Government in providing consistency and trust in renewable energy certificates, underpinned by legislation, has been repeatedly highlighted by stakeholders.</w:t>
      </w:r>
      <w:r>
        <w:rPr>
          <w:color w:val="auto"/>
        </w:rPr>
        <w:t xml:space="preserve"> </w:t>
      </w:r>
      <w:r w:rsidR="00E7202A" w:rsidRPr="002E1D5D">
        <w:rPr>
          <w:color w:val="auto"/>
        </w:rPr>
        <w:t xml:space="preserve">Many stakeholders have expressed urgent need </w:t>
      </w:r>
      <w:r w:rsidR="00E7202A" w:rsidRPr="002E1D5D">
        <w:rPr>
          <w:color w:val="auto"/>
        </w:rPr>
        <w:lastRenderedPageBreak/>
        <w:t>for a</w:t>
      </w:r>
      <w:r w:rsidR="000A6BB9">
        <w:rPr>
          <w:color w:val="auto"/>
        </w:rPr>
        <w:t>n Australian Government administered</w:t>
      </w:r>
      <w:r w:rsidR="00E7202A" w:rsidRPr="002E1D5D">
        <w:rPr>
          <w:color w:val="auto"/>
        </w:rPr>
        <w:t xml:space="preserve"> certificate scheme for renewable electricity that will continue after the RET ends in 2030.</w:t>
      </w:r>
    </w:p>
    <w:p w14:paraId="11BA2B90" w14:textId="595C8C86" w:rsidR="008400EC" w:rsidRDefault="00AE2E16" w:rsidP="00E7202A">
      <w:pPr>
        <w:spacing w:line="259" w:lineRule="auto"/>
        <w:rPr>
          <w:color w:val="auto"/>
        </w:rPr>
      </w:pPr>
      <w:r>
        <w:rPr>
          <w:color w:val="auto"/>
        </w:rPr>
        <w:t>I</w:t>
      </w:r>
      <w:r w:rsidR="008400EC">
        <w:rPr>
          <w:color w:val="auto"/>
        </w:rPr>
        <w:t>n</w:t>
      </w:r>
      <w:r w:rsidR="00F02402">
        <w:rPr>
          <w:color w:val="auto"/>
        </w:rPr>
        <w:t>dustry has also recognised</w:t>
      </w:r>
      <w:r w:rsidR="00E56405">
        <w:rPr>
          <w:color w:val="auto"/>
        </w:rPr>
        <w:t xml:space="preserve"> that g</w:t>
      </w:r>
      <w:r w:rsidR="008400EC">
        <w:rPr>
          <w:color w:val="auto"/>
        </w:rPr>
        <w:t>overnments</w:t>
      </w:r>
      <w:r w:rsidR="00E56405">
        <w:rPr>
          <w:color w:val="auto"/>
        </w:rPr>
        <w:t xml:space="preserve"> globally</w:t>
      </w:r>
      <w:r w:rsidR="008400EC">
        <w:rPr>
          <w:color w:val="auto"/>
        </w:rPr>
        <w:t xml:space="preserve"> have a role in ensuring hydrogen and clean product certification and emissions accounting frameworks around the world are aligned and interoperable. Industry cannot play this role internationally</w:t>
      </w:r>
      <w:r w:rsidR="00DD59FC">
        <w:rPr>
          <w:color w:val="auto"/>
        </w:rPr>
        <w:t xml:space="preserve"> as effectively as </w:t>
      </w:r>
      <w:r w:rsidR="00AE603E">
        <w:rPr>
          <w:color w:val="auto"/>
        </w:rPr>
        <w:t>g</w:t>
      </w:r>
      <w:r w:rsidR="005B5425">
        <w:rPr>
          <w:color w:val="auto"/>
        </w:rPr>
        <w:t>overnment</w:t>
      </w:r>
      <w:r w:rsidR="009D3BA1">
        <w:rPr>
          <w:color w:val="auto"/>
        </w:rPr>
        <w:t>.</w:t>
      </w:r>
    </w:p>
    <w:p w14:paraId="4E125C0C" w14:textId="77777777" w:rsidR="00A27DE2" w:rsidRPr="00E64DC7" w:rsidRDefault="00A27DE2" w:rsidP="00A27DE2">
      <w:pPr>
        <w:rPr>
          <w:b/>
          <w:bCs/>
        </w:rPr>
      </w:pPr>
      <w:r w:rsidRPr="00E64DC7">
        <w:rPr>
          <w:b/>
          <w:bCs/>
        </w:rPr>
        <w:t xml:space="preserve">Existing schemes and initiatives </w:t>
      </w:r>
      <w:r>
        <w:rPr>
          <w:b/>
          <w:bCs/>
        </w:rPr>
        <w:t>do not address the problem</w:t>
      </w:r>
    </w:p>
    <w:p w14:paraId="31621546" w14:textId="2D3A6340" w:rsidR="00A27DE2" w:rsidRDefault="00A27DE2" w:rsidP="00A27DE2">
      <w:r>
        <w:t>There are a range of existing domestic emissions accounting schemes, incentives for production of clean products, and industry initiatives at the state and federal level.</w:t>
      </w:r>
      <w:r w:rsidRPr="000C7E28">
        <w:rPr>
          <w:rStyle w:val="Strong"/>
          <w:b w:val="0"/>
          <w:bCs w:val="0"/>
        </w:rPr>
        <w:t xml:space="preserve"> </w:t>
      </w:r>
      <w:r>
        <w:t>While these are effective for the purpose they were designed, they could not address the need for a consistent, transparent product-based emissions accounting framework without significant reform. Some examples of these are set out below.</w:t>
      </w:r>
    </w:p>
    <w:p w14:paraId="1AD6DAE6" w14:textId="0408C6B6" w:rsidR="00A27DE2" w:rsidRDefault="00A27DE2" w:rsidP="00A27DE2">
      <w:r>
        <w:t>The National Greenhouse and Energy Reporting</w:t>
      </w:r>
      <w:r w:rsidR="00A12E2D">
        <w:t xml:space="preserve"> (NGER)</w:t>
      </w:r>
      <w:r>
        <w:t xml:space="preserve"> scheme </w:t>
      </w:r>
      <w:r w:rsidRPr="005D2313">
        <w:t>is a national reporting framework</w:t>
      </w:r>
      <w:r w:rsidRPr="001E066E">
        <w:t xml:space="preserve"> </w:t>
      </w:r>
      <w:r>
        <w:t xml:space="preserve">for </w:t>
      </w:r>
      <w:r w:rsidRPr="00D87A11">
        <w:t>registered controlling corporations</w:t>
      </w:r>
      <w:r>
        <w:t xml:space="preserve"> to report emissions and energy production and consumption</w:t>
      </w:r>
      <w:r w:rsidRPr="005D2313">
        <w:t>.</w:t>
      </w:r>
      <w:r>
        <w:t xml:space="preserve"> T</w:t>
      </w:r>
      <w:r w:rsidRPr="00BC0D87">
        <w:t xml:space="preserve">he </w:t>
      </w:r>
      <w:r>
        <w:t xml:space="preserve">NGER </w:t>
      </w:r>
      <w:r w:rsidRPr="00BC0D87">
        <w:t>scheme</w:t>
      </w:r>
      <w:r>
        <w:t xml:space="preserve"> however</w:t>
      </w:r>
      <w:r w:rsidRPr="00BC0D87">
        <w:t xml:space="preserve"> is not suitable for tracking </w:t>
      </w:r>
      <w:r>
        <w:t>product based embedded emissions. The scheme only covers Scope 1 and Scope 2 emissions produced by a facility. It does not support the calculation of emissions embedded in a product (which includes Scope 3 emissions). It does not allow for c</w:t>
      </w:r>
      <w:r w:rsidRPr="00790A31">
        <w:t xml:space="preserve">ertification of clean </w:t>
      </w:r>
      <w:r w:rsidR="00D40D3A" w:rsidRPr="00790A31">
        <w:t>products</w:t>
      </w:r>
      <w:r w:rsidR="00D40D3A">
        <w:t xml:space="preserve"> and</w:t>
      </w:r>
      <w:r>
        <w:t xml:space="preserve"> does not</w:t>
      </w:r>
      <w:r w:rsidRPr="00790A31">
        <w:t xml:space="preserve"> </w:t>
      </w:r>
      <w:r>
        <w:t xml:space="preserve">provide domestic consumers and our trading partners </w:t>
      </w:r>
      <w:r w:rsidRPr="00251F9F">
        <w:t xml:space="preserve">assurance over the emissions intensity associated with </w:t>
      </w:r>
      <w:r>
        <w:t xml:space="preserve">a </w:t>
      </w:r>
      <w:r w:rsidRPr="00251F9F">
        <w:t>product</w:t>
      </w:r>
      <w:r>
        <w:t xml:space="preserve">. </w:t>
      </w:r>
    </w:p>
    <w:p w14:paraId="3F98736F" w14:textId="51E97B17" w:rsidR="00A27DE2" w:rsidRPr="001431AA" w:rsidRDefault="00A27DE2" w:rsidP="00A27DE2">
      <w:r w:rsidRPr="001431AA">
        <w:rPr>
          <w:rFonts w:cstheme="minorHAnsi"/>
          <w:color w:val="auto"/>
        </w:rPr>
        <w:t>The</w:t>
      </w:r>
      <w:r>
        <w:rPr>
          <w:rFonts w:cstheme="minorHAnsi"/>
          <w:color w:val="auto"/>
        </w:rPr>
        <w:t xml:space="preserve"> </w:t>
      </w:r>
      <w:r w:rsidR="00AF0781">
        <w:rPr>
          <w:rFonts w:cstheme="minorHAnsi"/>
          <w:color w:val="auto"/>
        </w:rPr>
        <w:t xml:space="preserve">RET </w:t>
      </w:r>
      <w:r>
        <w:rPr>
          <w:rFonts w:cstheme="minorHAnsi"/>
          <w:color w:val="auto"/>
        </w:rPr>
        <w:t xml:space="preserve">scheme is </w:t>
      </w:r>
      <w:r w:rsidRPr="003433AF">
        <w:rPr>
          <w:rFonts w:cstheme="minorHAnsi"/>
          <w:color w:val="auto"/>
        </w:rPr>
        <w:t>designed to encourage the additional generation of electricity from sustainable and renewable sources.</w:t>
      </w:r>
      <w:r>
        <w:rPr>
          <w:rFonts w:cstheme="minorHAnsi"/>
          <w:color w:val="auto"/>
        </w:rPr>
        <w:t xml:space="preserve"> </w:t>
      </w:r>
      <w:r w:rsidRPr="00C019F1">
        <w:rPr>
          <w:rFonts w:cstheme="minorHAnsi"/>
          <w:color w:val="auto"/>
        </w:rPr>
        <w:t>This is done through the issuing of certificates for the generation of electricity using eligible renewable energy sources</w:t>
      </w:r>
      <w:r w:rsidR="000F3C14">
        <w:rPr>
          <w:rFonts w:cstheme="minorHAnsi"/>
          <w:color w:val="auto"/>
        </w:rPr>
        <w:t>,</w:t>
      </w:r>
      <w:r w:rsidRPr="00C019F1">
        <w:rPr>
          <w:rFonts w:cstheme="minorHAnsi"/>
          <w:color w:val="auto"/>
        </w:rPr>
        <w:t xml:space="preserve"> and requiring </w:t>
      </w:r>
      <w:r>
        <w:rPr>
          <w:rFonts w:cstheme="minorHAnsi"/>
          <w:color w:val="auto"/>
        </w:rPr>
        <w:t xml:space="preserve">electricity retailers and </w:t>
      </w:r>
      <w:r w:rsidRPr="00C019F1">
        <w:rPr>
          <w:rFonts w:cstheme="minorHAnsi"/>
          <w:color w:val="auto"/>
        </w:rPr>
        <w:t xml:space="preserve">certain </w:t>
      </w:r>
      <w:r>
        <w:rPr>
          <w:rFonts w:cstheme="minorHAnsi"/>
          <w:color w:val="auto"/>
        </w:rPr>
        <w:t xml:space="preserve">wholesale </w:t>
      </w:r>
      <w:r w:rsidRPr="00C019F1">
        <w:rPr>
          <w:rFonts w:cstheme="minorHAnsi"/>
          <w:color w:val="auto"/>
        </w:rPr>
        <w:t>purchasers to surrender a specified number of certificates for the electricity that they acquire during a year.</w:t>
      </w:r>
    </w:p>
    <w:p w14:paraId="569146E9" w14:textId="01C57775" w:rsidR="00A27DE2" w:rsidRDefault="00A27DE2" w:rsidP="00A27DE2">
      <w:r>
        <w:rPr>
          <w:rFonts w:cstheme="minorHAnsi"/>
          <w:color w:val="auto"/>
        </w:rPr>
        <w:t xml:space="preserve">The RET </w:t>
      </w:r>
      <w:r w:rsidRPr="001431AA">
        <w:rPr>
          <w:rFonts w:cstheme="minorHAnsi"/>
          <w:color w:val="auto"/>
        </w:rPr>
        <w:t xml:space="preserve">scheme issues </w:t>
      </w:r>
      <w:r w:rsidR="002C238B">
        <w:rPr>
          <w:rFonts w:cstheme="minorHAnsi"/>
          <w:color w:val="auto"/>
        </w:rPr>
        <w:t>LGCs</w:t>
      </w:r>
      <w:r w:rsidRPr="001431AA">
        <w:rPr>
          <w:rFonts w:cstheme="minorHAnsi"/>
          <w:color w:val="auto"/>
        </w:rPr>
        <w:t xml:space="preserve"> for each megawatt hour of eligible renewable generation. However, LGCs can’t be created for generation that existed prior to scheme commencement (known as below baseline generation) and electricity generated for export. Additionally, the RET scheme is scheduled to end in 2030 which limits </w:t>
      </w:r>
      <w:r w:rsidR="00C231EE">
        <w:rPr>
          <w:rFonts w:cstheme="minorHAnsi"/>
          <w:color w:val="auto"/>
        </w:rPr>
        <w:t xml:space="preserve">its </w:t>
      </w:r>
      <w:r w:rsidRPr="001431AA">
        <w:rPr>
          <w:rFonts w:cstheme="minorHAnsi"/>
          <w:color w:val="auto"/>
        </w:rPr>
        <w:t xml:space="preserve">ongoing efficacy. The </w:t>
      </w:r>
      <w:r>
        <w:rPr>
          <w:rFonts w:cstheme="minorHAnsi"/>
          <w:color w:val="auto"/>
        </w:rPr>
        <w:t xml:space="preserve">RET </w:t>
      </w:r>
      <w:r w:rsidRPr="001431AA">
        <w:rPr>
          <w:rFonts w:cstheme="minorHAnsi"/>
          <w:color w:val="auto"/>
        </w:rPr>
        <w:t xml:space="preserve">scheme is therefore not suitable for </w:t>
      </w:r>
      <w:r w:rsidR="008B55B1">
        <w:rPr>
          <w:rFonts w:cstheme="minorHAnsi"/>
          <w:color w:val="auto"/>
        </w:rPr>
        <w:t xml:space="preserve">ongoing </w:t>
      </w:r>
      <w:r w:rsidRPr="001431AA">
        <w:rPr>
          <w:rFonts w:cstheme="minorHAnsi"/>
          <w:color w:val="auto"/>
        </w:rPr>
        <w:t xml:space="preserve">tracking </w:t>
      </w:r>
      <w:r w:rsidR="00493638">
        <w:rPr>
          <w:rFonts w:cstheme="minorHAnsi"/>
          <w:color w:val="auto"/>
        </w:rPr>
        <w:t xml:space="preserve">of </w:t>
      </w:r>
      <w:r w:rsidRPr="001431AA">
        <w:rPr>
          <w:rFonts w:cstheme="minorHAnsi"/>
          <w:color w:val="auto"/>
        </w:rPr>
        <w:t>all renewable generation</w:t>
      </w:r>
      <w:r>
        <w:rPr>
          <w:rFonts w:cstheme="minorHAnsi"/>
          <w:color w:val="auto"/>
        </w:rPr>
        <w:t xml:space="preserve"> in Australia</w:t>
      </w:r>
      <w:r w:rsidRPr="001431AA">
        <w:rPr>
          <w:rFonts w:cstheme="minorHAnsi"/>
          <w:color w:val="auto"/>
        </w:rPr>
        <w:t xml:space="preserve">. </w:t>
      </w:r>
    </w:p>
    <w:p w14:paraId="679A6378" w14:textId="54180453" w:rsidR="009700D4" w:rsidRDefault="00144ADC" w:rsidP="00EE6638">
      <w:r w:rsidRPr="00E64DC7">
        <w:rPr>
          <w:b/>
          <w:bCs/>
          <w:color w:val="auto"/>
        </w:rPr>
        <w:t>Consistency</w:t>
      </w:r>
      <w:r w:rsidR="006E3061">
        <w:rPr>
          <w:b/>
          <w:bCs/>
          <w:color w:val="auto"/>
        </w:rPr>
        <w:t xml:space="preserve"> </w:t>
      </w:r>
      <w:r w:rsidR="00AF0123">
        <w:rPr>
          <w:b/>
          <w:bCs/>
          <w:color w:val="auto"/>
        </w:rPr>
        <w:t xml:space="preserve">and integration </w:t>
      </w:r>
      <w:r w:rsidR="006E3061">
        <w:rPr>
          <w:b/>
          <w:bCs/>
          <w:color w:val="auto"/>
        </w:rPr>
        <w:t xml:space="preserve">across </w:t>
      </w:r>
      <w:r w:rsidR="0008322E">
        <w:rPr>
          <w:b/>
          <w:bCs/>
          <w:color w:val="auto"/>
        </w:rPr>
        <w:t xml:space="preserve">government and industry </w:t>
      </w:r>
      <w:r w:rsidR="00DC3F47">
        <w:rPr>
          <w:b/>
          <w:bCs/>
          <w:color w:val="auto"/>
        </w:rPr>
        <w:t xml:space="preserve">schemes and </w:t>
      </w:r>
      <w:r w:rsidR="006E3061">
        <w:rPr>
          <w:b/>
          <w:bCs/>
          <w:color w:val="auto"/>
        </w:rPr>
        <w:t>frameworks</w:t>
      </w:r>
    </w:p>
    <w:p w14:paraId="561D27A2" w14:textId="19FFB753" w:rsidR="009700D4" w:rsidRDefault="006839B7" w:rsidP="00EE6638">
      <w:r>
        <w:t xml:space="preserve">A high integrity, </w:t>
      </w:r>
      <w:r w:rsidR="00A20203">
        <w:t xml:space="preserve">product-based </w:t>
      </w:r>
      <w:r>
        <w:t>emissions accounting framework can be accessed and built upon by other schemes and initiatives to add value or incentivise different products and industries. Consistency at the federal level reduces risk of fragmentation or friction between different frameworks at a domestic and international level. By c</w:t>
      </w:r>
      <w:r w:rsidR="009700D4">
        <w:t>entralising</w:t>
      </w:r>
      <w:r w:rsidR="007E4A44">
        <w:t xml:space="preserve"> </w:t>
      </w:r>
      <w:r w:rsidR="009700D4">
        <w:t xml:space="preserve">supply chain product-based emissions accounting into a single </w:t>
      </w:r>
      <w:r w:rsidR="00E56405">
        <w:t xml:space="preserve">Australian </w:t>
      </w:r>
      <w:r w:rsidR="009700D4">
        <w:t xml:space="preserve">Government-led </w:t>
      </w:r>
      <w:r>
        <w:t xml:space="preserve">framework, </w:t>
      </w:r>
      <w:r w:rsidR="009700D4">
        <w:t>other in</w:t>
      </w:r>
      <w:r w:rsidR="00E56405">
        <w:t>dustry and government schemes c</w:t>
      </w:r>
      <w:r w:rsidR="009D2617">
        <w:t>ould</w:t>
      </w:r>
      <w:r w:rsidR="009700D4">
        <w:t xml:space="preserve"> leverage information to deliver their own objectives. This </w:t>
      </w:r>
      <w:r w:rsidR="001525CC">
        <w:t>would</w:t>
      </w:r>
      <w:r w:rsidR="00615717">
        <w:t xml:space="preserve"> also</w:t>
      </w:r>
      <w:r w:rsidR="009700D4">
        <w:t xml:space="preserve"> reduce costs </w:t>
      </w:r>
      <w:r>
        <w:t xml:space="preserve">by avoiding </w:t>
      </w:r>
      <w:r w:rsidR="00FF20BC">
        <w:t>duplication and</w:t>
      </w:r>
      <w:r>
        <w:t xml:space="preserve"> minimis</w:t>
      </w:r>
      <w:r w:rsidR="001525CC">
        <w:t>ing</w:t>
      </w:r>
      <w:r>
        <w:t xml:space="preserve"> regulatory burden on producers.</w:t>
      </w:r>
    </w:p>
    <w:p w14:paraId="5223EDC8" w14:textId="13397725" w:rsidR="00CA04CC" w:rsidRDefault="00802338" w:rsidP="00A5790F">
      <w:pPr>
        <w:rPr>
          <w:color w:val="auto"/>
        </w:rPr>
      </w:pPr>
      <w:r>
        <w:t xml:space="preserve">Standardising </w:t>
      </w:r>
      <w:r w:rsidR="00E17C26">
        <w:t xml:space="preserve">product emissions </w:t>
      </w:r>
      <w:r w:rsidR="00724DF1">
        <w:t>accounting and certification approaches at a national level</w:t>
      </w:r>
      <w:r w:rsidR="00803F6D">
        <w:t xml:space="preserve"> </w:t>
      </w:r>
      <w:r w:rsidR="00E17C26">
        <w:t xml:space="preserve">can </w:t>
      </w:r>
      <w:r w:rsidR="00803F6D">
        <w:t>ensure</w:t>
      </w:r>
      <w:r w:rsidR="00E17C26">
        <w:t xml:space="preserve"> more </w:t>
      </w:r>
      <w:r w:rsidR="00803F6D">
        <w:rPr>
          <w:color w:val="auto"/>
        </w:rPr>
        <w:t xml:space="preserve">consistent </w:t>
      </w:r>
      <w:r w:rsidR="00C05CA9">
        <w:rPr>
          <w:color w:val="auto"/>
        </w:rPr>
        <w:t xml:space="preserve">and effective application of </w:t>
      </w:r>
      <w:r w:rsidR="004D2A65">
        <w:rPr>
          <w:color w:val="auto"/>
        </w:rPr>
        <w:t xml:space="preserve">connected </w:t>
      </w:r>
      <w:r w:rsidR="00C05CA9">
        <w:rPr>
          <w:color w:val="auto"/>
        </w:rPr>
        <w:t>policies</w:t>
      </w:r>
      <w:r w:rsidR="004D2A65">
        <w:rPr>
          <w:color w:val="auto"/>
        </w:rPr>
        <w:t xml:space="preserve"> and programs.</w:t>
      </w:r>
      <w:r w:rsidR="0003109C">
        <w:rPr>
          <w:color w:val="auto"/>
        </w:rPr>
        <w:t xml:space="preserve"> Product incentive programs</w:t>
      </w:r>
      <w:r w:rsidR="00236832">
        <w:rPr>
          <w:color w:val="auto"/>
        </w:rPr>
        <w:t xml:space="preserve"> such as Hydrogen Head</w:t>
      </w:r>
      <w:r w:rsidR="00E1321F">
        <w:rPr>
          <w:color w:val="auto"/>
        </w:rPr>
        <w:t>s</w:t>
      </w:r>
      <w:r w:rsidR="00236832">
        <w:rPr>
          <w:color w:val="auto"/>
        </w:rPr>
        <w:t xml:space="preserve">tart, </w:t>
      </w:r>
      <w:r w:rsidR="004A69EB">
        <w:rPr>
          <w:color w:val="auto"/>
        </w:rPr>
        <w:t>carbon accounting frameworks such as Climate Active or the Corporate Emissions Reduction Transparency Report</w:t>
      </w:r>
      <w:r w:rsidR="003A7DB6">
        <w:rPr>
          <w:color w:val="auto"/>
        </w:rPr>
        <w:t xml:space="preserve">, and </w:t>
      </w:r>
      <w:r w:rsidR="00066DB2" w:rsidRPr="00BB6EEE">
        <w:rPr>
          <w:color w:val="auto"/>
        </w:rPr>
        <w:t>future mandatory climate-related financial disclosures</w:t>
      </w:r>
      <w:r w:rsidR="00066DB2">
        <w:rPr>
          <w:color w:val="auto"/>
        </w:rPr>
        <w:t xml:space="preserve">, </w:t>
      </w:r>
      <w:r w:rsidR="00317791">
        <w:rPr>
          <w:color w:val="auto"/>
        </w:rPr>
        <w:t>w</w:t>
      </w:r>
      <w:r w:rsidR="0068710E">
        <w:rPr>
          <w:color w:val="auto"/>
        </w:rPr>
        <w:t xml:space="preserve">ould all be able to </w:t>
      </w:r>
      <w:r w:rsidR="0063698A">
        <w:rPr>
          <w:color w:val="auto"/>
        </w:rPr>
        <w:t xml:space="preserve">recognise </w:t>
      </w:r>
      <w:r w:rsidR="001827EE">
        <w:rPr>
          <w:color w:val="auto"/>
        </w:rPr>
        <w:t xml:space="preserve">the same </w:t>
      </w:r>
      <w:r w:rsidR="006D7DBA">
        <w:rPr>
          <w:color w:val="auto"/>
        </w:rPr>
        <w:t xml:space="preserve">foundational </w:t>
      </w:r>
      <w:r w:rsidR="001F0D04">
        <w:rPr>
          <w:color w:val="auto"/>
        </w:rPr>
        <w:t>information.</w:t>
      </w:r>
      <w:r w:rsidR="00494623">
        <w:rPr>
          <w:color w:val="auto"/>
        </w:rPr>
        <w:t xml:space="preserve"> </w:t>
      </w:r>
      <w:r w:rsidR="00437C02">
        <w:rPr>
          <w:color w:val="auto"/>
        </w:rPr>
        <w:t xml:space="preserve">This can streamline </w:t>
      </w:r>
      <w:r w:rsidR="00D032B6">
        <w:rPr>
          <w:color w:val="auto"/>
        </w:rPr>
        <w:t xml:space="preserve">reporting and </w:t>
      </w:r>
      <w:r w:rsidR="00210670">
        <w:rPr>
          <w:color w:val="auto"/>
        </w:rPr>
        <w:t xml:space="preserve">administrative processes for industry and </w:t>
      </w:r>
      <w:r w:rsidR="00AE603E">
        <w:rPr>
          <w:color w:val="auto"/>
        </w:rPr>
        <w:t>g</w:t>
      </w:r>
      <w:r w:rsidR="00210670">
        <w:rPr>
          <w:color w:val="auto"/>
        </w:rPr>
        <w:t>overnment.</w:t>
      </w:r>
      <w:r w:rsidR="001B603F">
        <w:rPr>
          <w:color w:val="auto"/>
        </w:rPr>
        <w:t xml:space="preserve"> </w:t>
      </w:r>
    </w:p>
    <w:p w14:paraId="3454C115" w14:textId="0CCEC8A0" w:rsidR="00A5790F" w:rsidRDefault="001B603F" w:rsidP="00A5790F">
      <w:pPr>
        <w:rPr>
          <w:color w:val="auto"/>
        </w:rPr>
      </w:pPr>
      <w:r>
        <w:rPr>
          <w:color w:val="auto"/>
        </w:rPr>
        <w:t xml:space="preserve">The alternative </w:t>
      </w:r>
      <w:r w:rsidR="00246B08">
        <w:rPr>
          <w:color w:val="auto"/>
        </w:rPr>
        <w:t xml:space="preserve">is </w:t>
      </w:r>
      <w:r>
        <w:rPr>
          <w:color w:val="auto"/>
        </w:rPr>
        <w:t xml:space="preserve">that </w:t>
      </w:r>
      <w:r w:rsidR="00BD0DA4">
        <w:rPr>
          <w:color w:val="auto"/>
        </w:rPr>
        <w:t xml:space="preserve">industry sectors will </w:t>
      </w:r>
      <w:r w:rsidR="00AC0383">
        <w:rPr>
          <w:color w:val="auto"/>
        </w:rPr>
        <w:t xml:space="preserve">have to choose </w:t>
      </w:r>
      <w:r w:rsidR="0067608F">
        <w:rPr>
          <w:color w:val="auto"/>
        </w:rPr>
        <w:t xml:space="preserve">individual or disparate </w:t>
      </w:r>
      <w:r w:rsidR="00882E0F">
        <w:rPr>
          <w:color w:val="auto"/>
        </w:rPr>
        <w:t xml:space="preserve">accounting or certification </w:t>
      </w:r>
      <w:r w:rsidR="00AC0383">
        <w:rPr>
          <w:color w:val="auto"/>
        </w:rPr>
        <w:t xml:space="preserve">approaches </w:t>
      </w:r>
      <w:r w:rsidR="00CD5876">
        <w:rPr>
          <w:color w:val="auto"/>
        </w:rPr>
        <w:t xml:space="preserve">that may not </w:t>
      </w:r>
      <w:r w:rsidR="00CA04CC">
        <w:rPr>
          <w:color w:val="auto"/>
        </w:rPr>
        <w:t>integrate domestically or internationally</w:t>
      </w:r>
      <w:r w:rsidR="00882E0F">
        <w:rPr>
          <w:color w:val="auto"/>
        </w:rPr>
        <w:t>, u</w:t>
      </w:r>
      <w:r w:rsidR="00CA04CC">
        <w:rPr>
          <w:color w:val="auto"/>
        </w:rPr>
        <w:t>ltimately hindering Australia’s decarbonisation efforts.</w:t>
      </w:r>
    </w:p>
    <w:p w14:paraId="3B93DE94" w14:textId="5AB2A648" w:rsidR="00F625D1" w:rsidRDefault="00F625D1" w:rsidP="00F625D1">
      <w:pPr>
        <w:pStyle w:val="BodyText"/>
        <w:spacing w:before="160" w:line="259" w:lineRule="auto"/>
        <w:rPr>
          <w:b/>
          <w:bCs/>
          <w:color w:val="auto"/>
        </w:rPr>
      </w:pPr>
      <w:r>
        <w:rPr>
          <w:b/>
          <w:bCs/>
          <w:color w:val="auto"/>
        </w:rPr>
        <w:t xml:space="preserve">Barriers and constraints to </w:t>
      </w:r>
      <w:r w:rsidR="00AE603E">
        <w:rPr>
          <w:b/>
          <w:bCs/>
          <w:color w:val="auto"/>
        </w:rPr>
        <w:t>g</w:t>
      </w:r>
      <w:r>
        <w:rPr>
          <w:b/>
          <w:bCs/>
          <w:color w:val="auto"/>
        </w:rPr>
        <w:t>overnment action</w:t>
      </w:r>
    </w:p>
    <w:p w14:paraId="32CEA883" w14:textId="3DA1F479" w:rsidR="00F625D1" w:rsidRDefault="00F625D1" w:rsidP="00F625D1">
      <w:pPr>
        <w:spacing w:line="259" w:lineRule="auto"/>
        <w:rPr>
          <w:color w:val="auto"/>
        </w:rPr>
      </w:pPr>
      <w:r>
        <w:rPr>
          <w:color w:val="auto"/>
        </w:rPr>
        <w:t>Product-based emissions accounting schemes are complex and therefore costly to develop and must strike a careful balance between accuracy of information and participant burden. Formally implementing schemes through legislation also presents risks as these processes can be resource intensive</w:t>
      </w:r>
      <w:r w:rsidR="00946FC3">
        <w:rPr>
          <w:color w:val="auto"/>
        </w:rPr>
        <w:t xml:space="preserve"> and a risk that enshrining a scheme in legislation will make it less flexible and hard to adjust to reflect developments in industry and the international landscape</w:t>
      </w:r>
      <w:r>
        <w:rPr>
          <w:color w:val="auto"/>
        </w:rPr>
        <w:t xml:space="preserve">. </w:t>
      </w:r>
    </w:p>
    <w:p w14:paraId="3A0036AA" w14:textId="77777777" w:rsidR="00556C0B" w:rsidRDefault="00F625D1" w:rsidP="00F625D1">
      <w:pPr>
        <w:spacing w:line="259" w:lineRule="auto"/>
        <w:rPr>
          <w:color w:val="auto"/>
        </w:rPr>
      </w:pPr>
      <w:r>
        <w:rPr>
          <w:color w:val="auto"/>
        </w:rPr>
        <w:t xml:space="preserve">The Australian Government would need to negotiate bilaterally and multilaterally to ensure international consistency and acceptance of the scheme. Many different schemes and initiatives are already underway, and negotiating a consistent international approach will be complex and time consuming. </w:t>
      </w:r>
    </w:p>
    <w:p w14:paraId="735B4F57" w14:textId="13DBC7A5" w:rsidR="00651F89" w:rsidRPr="002E4D08" w:rsidRDefault="00F625D1" w:rsidP="00323D2C">
      <w:pPr>
        <w:spacing w:line="259" w:lineRule="auto"/>
        <w:rPr>
          <w:color w:val="auto"/>
        </w:rPr>
      </w:pPr>
      <w:r>
        <w:rPr>
          <w:color w:val="auto"/>
        </w:rPr>
        <w:lastRenderedPageBreak/>
        <w:t xml:space="preserve">However, </w:t>
      </w:r>
      <w:r w:rsidR="005A3D77">
        <w:rPr>
          <w:color w:val="auto"/>
        </w:rPr>
        <w:t xml:space="preserve">many of </w:t>
      </w:r>
      <w:r>
        <w:rPr>
          <w:color w:val="auto"/>
        </w:rPr>
        <w:t>these barriers apply equally to industry-led initiatives. Government is well placed to tackle these challenges due to its experience in developing and administering similar schemes and its ability to work with foreign governments and multilateral bodies.</w:t>
      </w:r>
      <w:r w:rsidR="00651F89">
        <w:br w:type="page"/>
      </w:r>
    </w:p>
    <w:p w14:paraId="10FFBBD6" w14:textId="777827EC" w:rsidR="00651F89" w:rsidRPr="00311B15" w:rsidRDefault="00651F89" w:rsidP="00651F89">
      <w:pPr>
        <w:pStyle w:val="Title"/>
        <w:rPr>
          <w:sz w:val="36"/>
          <w:szCs w:val="36"/>
        </w:rPr>
      </w:pPr>
      <w:bookmarkStart w:id="16" w:name="_Toc432487235"/>
      <w:bookmarkStart w:id="17" w:name="_Toc175312080"/>
      <w:r w:rsidRPr="00311B15">
        <w:rPr>
          <w:sz w:val="36"/>
          <w:szCs w:val="36"/>
        </w:rPr>
        <w:lastRenderedPageBreak/>
        <w:t>3. What policy options are you considering?</w:t>
      </w:r>
      <w:bookmarkEnd w:id="16"/>
      <w:bookmarkEnd w:id="17"/>
    </w:p>
    <w:p w14:paraId="7376EEA3" w14:textId="2256D176" w:rsidR="00864243" w:rsidRPr="00992F58" w:rsidRDefault="008472D8" w:rsidP="00AC158C">
      <w:pPr>
        <w:pStyle w:val="BodyText"/>
      </w:pPr>
      <w:bookmarkStart w:id="18" w:name="_Toc53002442"/>
      <w:bookmarkStart w:id="19" w:name="_Toc165367212"/>
      <w:r w:rsidRPr="00992F58">
        <w:t>DCCEEW has conducted broad-scale domestic and international consultation and considered a range of possibilities based o</w:t>
      </w:r>
      <w:r w:rsidR="00487F4A">
        <w:t>n stakeholder</w:t>
      </w:r>
      <w:r w:rsidRPr="00992F58">
        <w:t xml:space="preserve"> feedback to develop each of the </w:t>
      </w:r>
      <w:r w:rsidR="00F714B1">
        <w:t xml:space="preserve">below </w:t>
      </w:r>
      <w:r w:rsidRPr="00992F58">
        <w:t>options considered</w:t>
      </w:r>
      <w:r w:rsidR="00C23D77" w:rsidRPr="00992F58">
        <w:t xml:space="preserve"> </w:t>
      </w:r>
      <w:r w:rsidR="00D00E22">
        <w:t>to address the policy problem</w:t>
      </w:r>
      <w:r w:rsidRPr="00992F58">
        <w:t xml:space="preserve">. </w:t>
      </w:r>
      <w:r w:rsidR="00864243" w:rsidRPr="00992F58">
        <w:t xml:space="preserve">This </w:t>
      </w:r>
      <w:r w:rsidR="0044310B">
        <w:t xml:space="preserve">work </w:t>
      </w:r>
      <w:r w:rsidR="00864243" w:rsidRPr="00992F58">
        <w:t>includes:</w:t>
      </w:r>
    </w:p>
    <w:p w14:paraId="1CFF0183" w14:textId="0359C2AE" w:rsidR="0090580A" w:rsidRPr="00992F58" w:rsidRDefault="0044310B" w:rsidP="00992F58">
      <w:pPr>
        <w:pStyle w:val="BodyText"/>
        <w:numPr>
          <w:ilvl w:val="0"/>
          <w:numId w:val="112"/>
        </w:numPr>
        <w:ind w:left="714" w:hanging="357"/>
        <w:contextualSpacing/>
      </w:pPr>
      <w:r>
        <w:t xml:space="preserve">research and </w:t>
      </w:r>
      <w:r w:rsidR="00AC158C" w:rsidRPr="00B67BB4">
        <w:t>review</w:t>
      </w:r>
      <w:r w:rsidR="00BE5452" w:rsidRPr="00B67BB4">
        <w:t>s</w:t>
      </w:r>
      <w:r w:rsidR="00AC158C" w:rsidRPr="00B67BB4">
        <w:t xml:space="preserve"> of </w:t>
      </w:r>
      <w:r>
        <w:t xml:space="preserve">existing and emerging </w:t>
      </w:r>
      <w:r w:rsidR="00AC158C" w:rsidRPr="00B67BB4">
        <w:t>international certification schemes with a view to identify</w:t>
      </w:r>
      <w:r w:rsidR="00050434">
        <w:t>ing</w:t>
      </w:r>
      <w:r w:rsidR="00AC158C" w:rsidRPr="00B67BB4">
        <w:t xml:space="preserve"> any interface/linkage opportunities for a future Australian scheme</w:t>
      </w:r>
      <w:r w:rsidR="0090580A" w:rsidRPr="00B67BB4">
        <w:t>.</w:t>
      </w:r>
    </w:p>
    <w:p w14:paraId="559AB662" w14:textId="02A2B2E1" w:rsidR="000E192D" w:rsidRDefault="000E192D" w:rsidP="00992F58">
      <w:pPr>
        <w:pStyle w:val="BodyText"/>
        <w:numPr>
          <w:ilvl w:val="0"/>
          <w:numId w:val="112"/>
        </w:numPr>
        <w:ind w:left="714" w:hanging="357"/>
        <w:contextualSpacing/>
      </w:pPr>
      <w:r w:rsidRPr="00992F58">
        <w:t xml:space="preserve">surveys and discussion papers </w:t>
      </w:r>
      <w:r w:rsidR="000B3DEA" w:rsidRPr="00992F58">
        <w:t xml:space="preserve">outlining </w:t>
      </w:r>
      <w:r w:rsidR="00AC463D">
        <w:t xml:space="preserve">a range of </w:t>
      </w:r>
      <w:r w:rsidR="000B3DEA" w:rsidRPr="00B67BB4">
        <w:t xml:space="preserve">nominal models for </w:t>
      </w:r>
      <w:r w:rsidR="00C371D7">
        <w:t xml:space="preserve">a </w:t>
      </w:r>
      <w:r w:rsidR="000B3DEA" w:rsidRPr="00B67BB4">
        <w:t>certification</w:t>
      </w:r>
      <w:r w:rsidR="00C371D7">
        <w:t xml:space="preserve"> system</w:t>
      </w:r>
      <w:r w:rsidR="00AC463D">
        <w:t>.</w:t>
      </w:r>
    </w:p>
    <w:p w14:paraId="5FD781B2" w14:textId="15916E65" w:rsidR="00E65603" w:rsidRPr="00B67BB4" w:rsidRDefault="00C056B1" w:rsidP="00992F58">
      <w:pPr>
        <w:pStyle w:val="BodyText"/>
        <w:numPr>
          <w:ilvl w:val="0"/>
          <w:numId w:val="112"/>
        </w:numPr>
        <w:ind w:left="714" w:hanging="357"/>
        <w:contextualSpacing/>
      </w:pPr>
      <w:r>
        <w:t>i</w:t>
      </w:r>
      <w:r w:rsidR="00E65603">
        <w:t xml:space="preserve">ndustry trials to test proposed </w:t>
      </w:r>
      <w:r w:rsidRPr="00C056B1">
        <w:t>certification system</w:t>
      </w:r>
      <w:r>
        <w:t xml:space="preserve"> design and emissions accounting methodologies.</w:t>
      </w:r>
    </w:p>
    <w:p w14:paraId="365F4E1A" w14:textId="39F53B0E" w:rsidR="00AC158C" w:rsidRDefault="00AC158C" w:rsidP="00992F58">
      <w:pPr>
        <w:pStyle w:val="BodyText"/>
        <w:numPr>
          <w:ilvl w:val="0"/>
          <w:numId w:val="112"/>
        </w:numPr>
        <w:ind w:left="714" w:hanging="357"/>
      </w:pPr>
      <w:r w:rsidRPr="00B67BB4">
        <w:t>stakeholder workshop</w:t>
      </w:r>
      <w:r w:rsidR="00AB696A" w:rsidRPr="00B67BB4">
        <w:t>s</w:t>
      </w:r>
      <w:r w:rsidRPr="00B67BB4">
        <w:t xml:space="preserve"> to understand key issues and</w:t>
      </w:r>
      <w:r w:rsidR="0043427C">
        <w:t xml:space="preserve"> address feedback in</w:t>
      </w:r>
      <w:r w:rsidR="00E774C7">
        <w:t xml:space="preserve"> further </w:t>
      </w:r>
      <w:r w:rsidRPr="00B67BB4">
        <w:t>develop</w:t>
      </w:r>
      <w:r w:rsidR="0043427C">
        <w:t>ing</w:t>
      </w:r>
      <w:r w:rsidRPr="00B67BB4">
        <w:t xml:space="preserve"> </w:t>
      </w:r>
      <w:r w:rsidR="00E774C7">
        <w:t>these</w:t>
      </w:r>
      <w:r w:rsidRPr="00B67BB4">
        <w:t xml:space="preserve"> </w:t>
      </w:r>
      <w:r w:rsidR="00AC5CA1">
        <w:t>model</w:t>
      </w:r>
      <w:r w:rsidRPr="00B67BB4">
        <w:t>s.</w:t>
      </w:r>
    </w:p>
    <w:p w14:paraId="1CABE23F" w14:textId="5312354E" w:rsidR="004E622F" w:rsidRDefault="003106A0">
      <w:pPr>
        <w:pStyle w:val="BodyText"/>
      </w:pPr>
      <w:r>
        <w:t>S</w:t>
      </w:r>
      <w:r w:rsidR="00553D35">
        <w:t xml:space="preserve">takeholder engagement </w:t>
      </w:r>
      <w:r>
        <w:t xml:space="preserve">sought feedback </w:t>
      </w:r>
      <w:r w:rsidR="008B7B59">
        <w:t>on</w:t>
      </w:r>
      <w:r w:rsidR="00900793">
        <w:t xml:space="preserve"> key scheme design elements such as system boundary and accounting methodology</w:t>
      </w:r>
      <w:r w:rsidR="00315771">
        <w:t xml:space="preserve"> </w:t>
      </w:r>
      <w:r w:rsidR="00494C3C">
        <w:t>as well as</w:t>
      </w:r>
      <w:r w:rsidR="00315771">
        <w:t xml:space="preserve"> options for scheme governance</w:t>
      </w:r>
      <w:r w:rsidR="002A1864">
        <w:t>,</w:t>
      </w:r>
      <w:r w:rsidR="00F25160">
        <w:t xml:space="preserve"> including </w:t>
      </w:r>
      <w:r w:rsidR="002A1864">
        <w:t>whether</w:t>
      </w:r>
      <w:r w:rsidR="00774A61">
        <w:t xml:space="preserve"> Australia’s approach</w:t>
      </w:r>
      <w:r w:rsidR="002A1864">
        <w:t xml:space="preserve"> should be </w:t>
      </w:r>
      <w:r w:rsidR="00F25160">
        <w:t xml:space="preserve">industry </w:t>
      </w:r>
      <w:r w:rsidR="002A1864">
        <w:t>or</w:t>
      </w:r>
      <w:r w:rsidR="00F25160">
        <w:t xml:space="preserve"> government led</w:t>
      </w:r>
      <w:r w:rsidR="00315771">
        <w:t xml:space="preserve">. </w:t>
      </w:r>
      <w:r w:rsidR="004E622F">
        <w:t xml:space="preserve">The </w:t>
      </w:r>
      <w:r w:rsidR="00C46184">
        <w:t xml:space="preserve">three </w:t>
      </w:r>
      <w:r w:rsidR="004E622F">
        <w:t xml:space="preserve">options outlined in this section of the IA are </w:t>
      </w:r>
      <w:r w:rsidR="000047EB">
        <w:t xml:space="preserve">a characterisation of the </w:t>
      </w:r>
      <w:r w:rsidR="003A5FA9">
        <w:t>key</w:t>
      </w:r>
      <w:r w:rsidR="000047EB">
        <w:t xml:space="preserve"> differences in</w:t>
      </w:r>
      <w:r w:rsidR="00F31513">
        <w:t xml:space="preserve"> a </w:t>
      </w:r>
      <w:r w:rsidR="008B68B8">
        <w:t>range of</w:t>
      </w:r>
      <w:r w:rsidR="000047EB">
        <w:t xml:space="preserve"> approach</w:t>
      </w:r>
      <w:r w:rsidR="00F25160">
        <w:t xml:space="preserve">es </w:t>
      </w:r>
      <w:r w:rsidR="000047EB">
        <w:t xml:space="preserve">that have been </w:t>
      </w:r>
      <w:r w:rsidR="00C43AA9">
        <w:t>considered</w:t>
      </w:r>
      <w:r w:rsidR="00F25160">
        <w:t>.</w:t>
      </w:r>
    </w:p>
    <w:p w14:paraId="5FA3A427" w14:textId="6B7C93E2" w:rsidR="00E76B12" w:rsidRDefault="00E65603" w:rsidP="00992F58">
      <w:pPr>
        <w:pStyle w:val="BodyText"/>
      </w:pPr>
      <w:r>
        <w:t xml:space="preserve">Each of the policy options included in this IA have been contemplated </w:t>
      </w:r>
      <w:r w:rsidR="00A5289D">
        <w:t xml:space="preserve">and assessed </w:t>
      </w:r>
      <w:r>
        <w:t xml:space="preserve">on how they best </w:t>
      </w:r>
      <w:r w:rsidRPr="00B67802">
        <w:t>resolv</w:t>
      </w:r>
      <w:r>
        <w:t xml:space="preserve">e the policy </w:t>
      </w:r>
      <w:r w:rsidRPr="00B67802">
        <w:t>problem</w:t>
      </w:r>
      <w:r>
        <w:t xml:space="preserve">, i.e. how do these options address the </w:t>
      </w:r>
      <w:r w:rsidRPr="003F60CB">
        <w:t>market failure in the availability of information provision for low-emission and clean Australian made products</w:t>
      </w:r>
      <w:r>
        <w:t xml:space="preserve"> and enable </w:t>
      </w:r>
      <w:r w:rsidRPr="003F60CB">
        <w:t>market participants to ascertain the difference between carbon-intensive and low-emission goods.</w:t>
      </w:r>
    </w:p>
    <w:p w14:paraId="5F0F2390" w14:textId="2AAFDDD0" w:rsidR="00651F89" w:rsidRPr="00E64DC7" w:rsidRDefault="00651F89" w:rsidP="00E64DC7">
      <w:pPr>
        <w:pStyle w:val="Heading2"/>
        <w:spacing w:before="240"/>
        <w:rPr>
          <w:sz w:val="28"/>
          <w:szCs w:val="28"/>
        </w:rPr>
      </w:pPr>
      <w:bookmarkStart w:id="20" w:name="_Toc175312081"/>
      <w:r w:rsidRPr="00E64DC7">
        <w:rPr>
          <w:sz w:val="28"/>
          <w:szCs w:val="28"/>
        </w:rPr>
        <w:t>Option 1</w:t>
      </w:r>
      <w:r w:rsidR="00C442AE">
        <w:rPr>
          <w:sz w:val="28"/>
          <w:szCs w:val="28"/>
        </w:rPr>
        <w:t xml:space="preserve"> </w:t>
      </w:r>
      <w:r w:rsidR="00C442AE" w:rsidRPr="00E64DC7">
        <w:rPr>
          <w:sz w:val="28"/>
          <w:szCs w:val="28"/>
        </w:rPr>
        <w:t>–</w:t>
      </w:r>
      <w:r w:rsidR="001C2C70">
        <w:rPr>
          <w:sz w:val="28"/>
          <w:szCs w:val="28"/>
        </w:rPr>
        <w:t xml:space="preserve"> </w:t>
      </w:r>
      <w:r w:rsidR="003B7447">
        <w:rPr>
          <w:sz w:val="28"/>
          <w:szCs w:val="28"/>
        </w:rPr>
        <w:t>Non-regulatory approach</w:t>
      </w:r>
      <w:bookmarkEnd w:id="18"/>
      <w:bookmarkEnd w:id="19"/>
      <w:bookmarkEnd w:id="20"/>
    </w:p>
    <w:p w14:paraId="60079C80" w14:textId="1DD67332" w:rsidR="005F2CD6" w:rsidRDefault="00EA599C" w:rsidP="00E64DC7">
      <w:pPr>
        <w:pStyle w:val="Heading4"/>
      </w:pPr>
      <w:bookmarkStart w:id="21" w:name="_Hlk129858613"/>
      <w:r>
        <w:t xml:space="preserve">Maintaining the status </w:t>
      </w:r>
      <w:r w:rsidR="00AC685E">
        <w:t>quo</w:t>
      </w:r>
    </w:p>
    <w:p w14:paraId="18E26278" w14:textId="3196354B" w:rsidR="00343CE3" w:rsidRDefault="00AA54B7" w:rsidP="00343CE3">
      <w:pPr>
        <w:pStyle w:val="BodyText"/>
      </w:pPr>
      <w:r>
        <w:t>O</w:t>
      </w:r>
      <w:r w:rsidR="003F738E">
        <w:t xml:space="preserve">IA guidance states that </w:t>
      </w:r>
      <w:r w:rsidR="0050142B">
        <w:t xml:space="preserve">options </w:t>
      </w:r>
      <w:r w:rsidR="004A7161">
        <w:t xml:space="preserve">considered </w:t>
      </w:r>
      <w:r w:rsidR="0050142B">
        <w:t>must include a status quo or “take no further action” option</w:t>
      </w:r>
      <w:r w:rsidR="00BD4285">
        <w:t>. Th</w:t>
      </w:r>
      <w:r w:rsidR="008A3B36">
        <w:t xml:space="preserve">e specifics of what </w:t>
      </w:r>
      <w:r w:rsidR="00484B52">
        <w:t>maintain</w:t>
      </w:r>
      <w:r w:rsidR="00C4120A">
        <w:t>ing</w:t>
      </w:r>
      <w:r w:rsidR="00484B52">
        <w:t xml:space="preserve"> the status quo</w:t>
      </w:r>
      <w:r w:rsidR="008A3B36">
        <w:t xml:space="preserve"> would </w:t>
      </w:r>
      <w:r w:rsidR="00484B52">
        <w:t>entail ha</w:t>
      </w:r>
      <w:r w:rsidR="00625EEC">
        <w:t>ve</w:t>
      </w:r>
      <w:r w:rsidR="001D7041">
        <w:t xml:space="preserve"> been considered in line with this guidance and</w:t>
      </w:r>
      <w:r w:rsidR="00484B52">
        <w:t xml:space="preserve"> developed</w:t>
      </w:r>
      <w:r w:rsidR="001D7041">
        <w:t xml:space="preserve"> to </w:t>
      </w:r>
      <w:r w:rsidR="00343CE3">
        <w:t>provide the baseline against which the impacts of the alternative options discussed below are evaluated.</w:t>
      </w:r>
    </w:p>
    <w:p w14:paraId="5BD4DCA2" w14:textId="2715F0B0" w:rsidR="00C930EB" w:rsidRDefault="002C64E4" w:rsidP="00DD0801">
      <w:pPr>
        <w:pStyle w:val="BodyText"/>
      </w:pPr>
      <w:r>
        <w:t>Under this option</w:t>
      </w:r>
      <w:r w:rsidR="00597EF4">
        <w:t xml:space="preserve">, </w:t>
      </w:r>
      <w:r w:rsidR="00C860F9">
        <w:t xml:space="preserve">the Australian Government would not undertake any work to develop a product-based emissions accounting framework </w:t>
      </w:r>
      <w:r w:rsidR="00917EF6">
        <w:t xml:space="preserve">or develop a scheme to </w:t>
      </w:r>
      <w:r w:rsidR="00FF28EB">
        <w:t xml:space="preserve">succeed </w:t>
      </w:r>
      <w:r w:rsidR="00917EF6">
        <w:t xml:space="preserve">the </w:t>
      </w:r>
      <w:r w:rsidR="00FF28EB">
        <w:t xml:space="preserve">certification mechanism that exists in the </w:t>
      </w:r>
      <w:r w:rsidR="00917EF6">
        <w:t xml:space="preserve">RET. </w:t>
      </w:r>
      <w:r w:rsidR="00C860F9">
        <w:t xml:space="preserve"> </w:t>
      </w:r>
      <w:r w:rsidR="00917EF6">
        <w:t>I</w:t>
      </w:r>
      <w:r w:rsidR="00597EF4">
        <w:t xml:space="preserve">ndustry may determine its own methods to verify emissions </w:t>
      </w:r>
      <w:r w:rsidR="00B53472">
        <w:t xml:space="preserve">associated with the production of low emissions products </w:t>
      </w:r>
      <w:r w:rsidR="00597EF4">
        <w:t xml:space="preserve">and renewable </w:t>
      </w:r>
      <w:r w:rsidR="00B53472">
        <w:t>electricity</w:t>
      </w:r>
      <w:r w:rsidR="002C35B8">
        <w:t xml:space="preserve">. </w:t>
      </w:r>
      <w:r w:rsidR="003C5ADD">
        <w:t xml:space="preserve">This may involve </w:t>
      </w:r>
      <w:r w:rsidR="00853D1F">
        <w:t xml:space="preserve">one or several </w:t>
      </w:r>
      <w:r w:rsidR="003C5ADD">
        <w:t xml:space="preserve">independent </w:t>
      </w:r>
      <w:r w:rsidR="00853D1F">
        <w:t xml:space="preserve">voluntary </w:t>
      </w:r>
      <w:r w:rsidR="003C5ADD">
        <w:t>certification scheme</w:t>
      </w:r>
      <w:r w:rsidR="00853D1F">
        <w:t>s</w:t>
      </w:r>
      <w:r w:rsidR="003C5ADD">
        <w:t xml:space="preserve"> or other approach</w:t>
      </w:r>
      <w:r w:rsidR="00887D44">
        <w:t>es</w:t>
      </w:r>
      <w:r w:rsidR="003C5ADD">
        <w:t xml:space="preserve"> t</w:t>
      </w:r>
      <w:r w:rsidR="00C930EB">
        <w:t>o guarantee the origin of products</w:t>
      </w:r>
      <w:r w:rsidR="001F6E73">
        <w:t xml:space="preserve"> and to verify renewable electricity generation to support claims</w:t>
      </w:r>
      <w:r w:rsidR="00C930EB">
        <w:t xml:space="preserve">. </w:t>
      </w:r>
    </w:p>
    <w:p w14:paraId="0123678F" w14:textId="2A3EA8ED" w:rsidR="00E57AF5" w:rsidRPr="00E64DC7" w:rsidRDefault="00E57AF5" w:rsidP="00E64DC7">
      <w:pPr>
        <w:pStyle w:val="Heading2"/>
        <w:spacing w:before="240"/>
        <w:rPr>
          <w:sz w:val="28"/>
          <w:szCs w:val="28"/>
        </w:rPr>
      </w:pPr>
      <w:bookmarkStart w:id="22" w:name="_Toc595774571"/>
      <w:bookmarkStart w:id="23" w:name="_Toc165367213"/>
      <w:bookmarkStart w:id="24" w:name="_Toc175312082"/>
      <w:bookmarkEnd w:id="21"/>
      <w:r w:rsidRPr="00E64DC7">
        <w:rPr>
          <w:sz w:val="28"/>
          <w:szCs w:val="28"/>
        </w:rPr>
        <w:t xml:space="preserve">Option </w:t>
      </w:r>
      <w:r w:rsidR="002646BA">
        <w:rPr>
          <w:sz w:val="28"/>
          <w:szCs w:val="28"/>
        </w:rPr>
        <w:t xml:space="preserve">2 </w:t>
      </w:r>
      <w:r w:rsidRPr="00E64DC7">
        <w:rPr>
          <w:sz w:val="28"/>
          <w:szCs w:val="28"/>
        </w:rPr>
        <w:t>–</w:t>
      </w:r>
      <w:r w:rsidR="002646BA">
        <w:rPr>
          <w:sz w:val="28"/>
          <w:szCs w:val="28"/>
        </w:rPr>
        <w:t xml:space="preserve"> </w:t>
      </w:r>
      <w:r w:rsidR="00C50E3B">
        <w:rPr>
          <w:sz w:val="28"/>
          <w:szCs w:val="28"/>
        </w:rPr>
        <w:t>Q</w:t>
      </w:r>
      <w:r w:rsidR="00690CB6">
        <w:rPr>
          <w:sz w:val="28"/>
          <w:szCs w:val="28"/>
        </w:rPr>
        <w:t>uasi</w:t>
      </w:r>
      <w:r w:rsidR="00395AD8">
        <w:rPr>
          <w:sz w:val="28"/>
          <w:szCs w:val="28"/>
        </w:rPr>
        <w:t>-regulat</w:t>
      </w:r>
      <w:r w:rsidR="00C50E3B">
        <w:rPr>
          <w:sz w:val="28"/>
          <w:szCs w:val="28"/>
        </w:rPr>
        <w:t>ory approach</w:t>
      </w:r>
      <w:bookmarkEnd w:id="22"/>
      <w:bookmarkEnd w:id="23"/>
      <w:bookmarkEnd w:id="24"/>
    </w:p>
    <w:p w14:paraId="11EAE241" w14:textId="2DCFBE0C" w:rsidR="00E57AF5" w:rsidRDefault="00D15FBD" w:rsidP="00E64DC7">
      <w:pPr>
        <w:pStyle w:val="Heading4"/>
      </w:pPr>
      <w:bookmarkStart w:id="25" w:name="_Toc1764696964"/>
      <w:r>
        <w:t xml:space="preserve">Publish </w:t>
      </w:r>
      <w:r w:rsidR="0082104F">
        <w:t>framework</w:t>
      </w:r>
      <w:r w:rsidR="001F5199">
        <w:t xml:space="preserve"> with</w:t>
      </w:r>
      <w:r w:rsidR="00E57AF5">
        <w:t xml:space="preserve"> no</w:t>
      </w:r>
      <w:r w:rsidR="005224CE">
        <w:t xml:space="preserve"> government</w:t>
      </w:r>
      <w:r w:rsidR="00E57AF5">
        <w:t xml:space="preserve"> </w:t>
      </w:r>
      <w:r w:rsidR="0083442D">
        <w:t>administration</w:t>
      </w:r>
      <w:bookmarkEnd w:id="25"/>
    </w:p>
    <w:p w14:paraId="3293A36B" w14:textId="25B6DD54" w:rsidR="00913AB1" w:rsidRDefault="004C504C" w:rsidP="00E57AF5">
      <w:pPr>
        <w:pStyle w:val="BodyText"/>
      </w:pPr>
      <w:r>
        <w:t>A</w:t>
      </w:r>
      <w:r w:rsidR="007C18F8">
        <w:t xml:space="preserve"> </w:t>
      </w:r>
      <w:r w:rsidR="005F464C">
        <w:t>quasi-regulatory</w:t>
      </w:r>
      <w:r w:rsidR="00913AB1" w:rsidRPr="00913AB1">
        <w:t xml:space="preserve"> </w:t>
      </w:r>
      <w:r w:rsidR="007C18F8">
        <w:t>approach</w:t>
      </w:r>
      <w:r w:rsidR="00C437E8">
        <w:t xml:space="preserve"> </w:t>
      </w:r>
      <w:r w:rsidR="00913AB1">
        <w:t xml:space="preserve">would </w:t>
      </w:r>
      <w:r w:rsidR="00726F75">
        <w:t xml:space="preserve">involve </w:t>
      </w:r>
      <w:r w:rsidR="00916CBD">
        <w:t xml:space="preserve">the </w:t>
      </w:r>
      <w:r w:rsidR="00C71933">
        <w:t xml:space="preserve">Australian </w:t>
      </w:r>
      <w:r w:rsidR="00916CBD">
        <w:t>Government developing</w:t>
      </w:r>
      <w:r w:rsidR="008B0795">
        <w:t xml:space="preserve"> an </w:t>
      </w:r>
      <w:r w:rsidR="00913AB1">
        <w:t xml:space="preserve">emissions accounting framework </w:t>
      </w:r>
      <w:r w:rsidR="00726F75">
        <w:t xml:space="preserve">as a guide to industry which would </w:t>
      </w:r>
      <w:r w:rsidR="00274CEA">
        <w:t>be published</w:t>
      </w:r>
      <w:r w:rsidR="002C1C76">
        <w:t xml:space="preserve">, </w:t>
      </w:r>
      <w:r w:rsidR="00913AB1">
        <w:t xml:space="preserve">but </w:t>
      </w:r>
      <w:r w:rsidR="002C1C76">
        <w:t xml:space="preserve">it </w:t>
      </w:r>
      <w:r w:rsidR="00964826">
        <w:t xml:space="preserve">would not involve </w:t>
      </w:r>
      <w:r w:rsidR="0087455D">
        <w:t>g</w:t>
      </w:r>
      <w:r w:rsidR="0082691B">
        <w:t xml:space="preserve">overnment </w:t>
      </w:r>
      <w:r w:rsidR="00A93F5D">
        <w:t xml:space="preserve">administering a </w:t>
      </w:r>
      <w:r w:rsidR="0082691B">
        <w:t xml:space="preserve">centralised </w:t>
      </w:r>
      <w:r w:rsidR="00A93F5D">
        <w:t xml:space="preserve">scheme (i.e. </w:t>
      </w:r>
      <w:r w:rsidR="00272295">
        <w:t>backed by</w:t>
      </w:r>
      <w:r w:rsidR="00A93F5D">
        <w:t xml:space="preserve"> </w:t>
      </w:r>
      <w:r w:rsidR="00913AB1">
        <w:t>legislation, IT systems, or compliance processes</w:t>
      </w:r>
      <w:r w:rsidR="00786DF1">
        <w:t>)</w:t>
      </w:r>
      <w:r w:rsidR="00913AB1">
        <w:t>.</w:t>
      </w:r>
      <w:r w:rsidR="008759A7">
        <w:t xml:space="preserve"> </w:t>
      </w:r>
      <w:r w:rsidR="008759A7" w:rsidRPr="008759A7">
        <w:t xml:space="preserve">As emissions accounting frameworks are already in place for renewable electricity generation, there is no consideration to introduce a quasi-regulatory policy approach to this sector. </w:t>
      </w:r>
      <w:r w:rsidR="00427B58">
        <w:t>While it is likely that</w:t>
      </w:r>
      <w:r w:rsidR="00B13486">
        <w:t xml:space="preserve"> under option 1,</w:t>
      </w:r>
      <w:r w:rsidR="00427B58">
        <w:t xml:space="preserve"> </w:t>
      </w:r>
      <w:r w:rsidR="00427B58" w:rsidRPr="00427B58">
        <w:t xml:space="preserve">an industry </w:t>
      </w:r>
      <w:r w:rsidR="00427B58">
        <w:t xml:space="preserve">led </w:t>
      </w:r>
      <w:r w:rsidR="00427B58" w:rsidRPr="00427B58">
        <w:t xml:space="preserve">scheme for </w:t>
      </w:r>
      <w:r w:rsidR="00427B58">
        <w:t>renewable electricity</w:t>
      </w:r>
      <w:r w:rsidR="00427B58" w:rsidRPr="00427B58">
        <w:t xml:space="preserve"> would be introduced (I-RECs for example)</w:t>
      </w:r>
      <w:r w:rsidR="008308F3">
        <w:t xml:space="preserve">, </w:t>
      </w:r>
      <w:r w:rsidR="001C1AAB">
        <w:t xml:space="preserve">for the purposes of this IA, </w:t>
      </w:r>
      <w:r w:rsidR="008759A7" w:rsidRPr="008759A7">
        <w:t xml:space="preserve">Option 2 </w:t>
      </w:r>
      <w:r w:rsidR="000C7039">
        <w:t xml:space="preserve">would </w:t>
      </w:r>
      <w:r w:rsidR="008759A7" w:rsidRPr="008759A7">
        <w:t xml:space="preserve">only </w:t>
      </w:r>
      <w:r w:rsidR="000C7039" w:rsidRPr="008759A7">
        <w:t>appl</w:t>
      </w:r>
      <w:r w:rsidR="000C7039">
        <w:t>y</w:t>
      </w:r>
      <w:r w:rsidR="000C7039" w:rsidRPr="008759A7">
        <w:t xml:space="preserve"> </w:t>
      </w:r>
      <w:r w:rsidR="008759A7" w:rsidRPr="008759A7">
        <w:t xml:space="preserve">to </w:t>
      </w:r>
      <w:r w:rsidR="00427B58">
        <w:t>certif</w:t>
      </w:r>
      <w:r w:rsidR="006E7BF1">
        <w:t>ying</w:t>
      </w:r>
      <w:r w:rsidR="00427B58">
        <w:t xml:space="preserve"> </w:t>
      </w:r>
      <w:r w:rsidR="008759A7" w:rsidRPr="008759A7">
        <w:t>the production of hydrogen and hydrogen related products.</w:t>
      </w:r>
    </w:p>
    <w:p w14:paraId="12D1CC15" w14:textId="3081DC9C" w:rsidR="00175C11" w:rsidRDefault="007D3FD8" w:rsidP="00E57AF5">
      <w:pPr>
        <w:pStyle w:val="BodyText"/>
      </w:pPr>
      <w:r>
        <w:t xml:space="preserve">A quasi-regulatory approach would </w:t>
      </w:r>
      <w:r w:rsidR="006353C6">
        <w:t xml:space="preserve">involve the </w:t>
      </w:r>
      <w:r w:rsidR="0087455D">
        <w:t>g</w:t>
      </w:r>
      <w:r w:rsidR="006353C6">
        <w:t xml:space="preserve">overnment </w:t>
      </w:r>
      <w:r w:rsidR="00175C11">
        <w:t>draft</w:t>
      </w:r>
      <w:r w:rsidR="006353C6">
        <w:t>ing</w:t>
      </w:r>
      <w:r w:rsidR="00175C11">
        <w:t xml:space="preserve"> rules or guidelines, but </w:t>
      </w:r>
      <w:r w:rsidR="006353C6">
        <w:t>not administering a</w:t>
      </w:r>
      <w:r w:rsidR="00175C11">
        <w:t xml:space="preserve"> scheme. The framework would operate like a model code</w:t>
      </w:r>
      <w:r w:rsidR="00342FFD">
        <w:t xml:space="preserve"> and the </w:t>
      </w:r>
      <w:r w:rsidR="0087455D">
        <w:t>g</w:t>
      </w:r>
      <w:r w:rsidR="00342FFD">
        <w:t>overnment could recognise schemes that comply with it</w:t>
      </w:r>
      <w:r w:rsidR="00175C11">
        <w:t xml:space="preserve">. </w:t>
      </w:r>
    </w:p>
    <w:p w14:paraId="3FCEEB7C" w14:textId="6979EE9E" w:rsidR="00683862" w:rsidRDefault="00224777" w:rsidP="00E57AF5">
      <w:pPr>
        <w:pStyle w:val="BodyText"/>
      </w:pPr>
      <w:r>
        <w:t>Industry-led or private schemes</w:t>
      </w:r>
      <w:r w:rsidR="00E57AF5">
        <w:t xml:space="preserve"> </w:t>
      </w:r>
      <w:r w:rsidR="008346B2">
        <w:t>w</w:t>
      </w:r>
      <w:r w:rsidR="00E57AF5">
        <w:t xml:space="preserve">ould implement </w:t>
      </w:r>
      <w:r w:rsidR="004577AA">
        <w:t>and</w:t>
      </w:r>
      <w:r w:rsidR="00913AB1">
        <w:t xml:space="preserve"> regulate</w:t>
      </w:r>
      <w:r w:rsidR="004577AA">
        <w:t xml:space="preserve"> </w:t>
      </w:r>
      <w:r w:rsidR="00E57AF5">
        <w:t xml:space="preserve">their own </w:t>
      </w:r>
      <w:r w:rsidR="00683862">
        <w:t>a</w:t>
      </w:r>
      <w:r w:rsidR="00BF7AFD">
        <w:t>ssurance</w:t>
      </w:r>
      <w:r w:rsidR="00683862">
        <w:t xml:space="preserve"> </w:t>
      </w:r>
      <w:r w:rsidR="00846EF0">
        <w:t>frameworks</w:t>
      </w:r>
      <w:r w:rsidR="00683862">
        <w:t xml:space="preserve">, </w:t>
      </w:r>
      <w:r w:rsidR="00255E97">
        <w:t>and</w:t>
      </w:r>
      <w:r w:rsidR="00683862">
        <w:t xml:space="preserve"> entities would have to </w:t>
      </w:r>
      <w:r w:rsidR="004577AA">
        <w:t xml:space="preserve">select frameworks and </w:t>
      </w:r>
      <w:r w:rsidR="008346B2">
        <w:t xml:space="preserve">source independent assurances </w:t>
      </w:r>
      <w:r w:rsidR="00382128">
        <w:t>both for the data they provide</w:t>
      </w:r>
      <w:r w:rsidR="008D5F32">
        <w:t>,</w:t>
      </w:r>
      <w:r w:rsidR="00382128">
        <w:t xml:space="preserve"> and to verify that the framework remains compliant</w:t>
      </w:r>
      <w:r w:rsidR="00506EAE">
        <w:t xml:space="preserve"> with various domestic and international requirements.</w:t>
      </w:r>
      <w:r w:rsidR="00CA2D36">
        <w:t xml:space="preserve"> </w:t>
      </w:r>
    </w:p>
    <w:p w14:paraId="580276DA" w14:textId="1203A4C6" w:rsidR="00F247AB" w:rsidRDefault="00F247AB" w:rsidP="00E57AF5">
      <w:pPr>
        <w:pStyle w:val="BodyText"/>
      </w:pPr>
      <w:r>
        <w:lastRenderedPageBreak/>
        <w:t xml:space="preserve">This approach is taken in some jurisdictions such as the European Union, </w:t>
      </w:r>
      <w:r w:rsidR="00203F5A">
        <w:t>whereby a standard is published</w:t>
      </w:r>
      <w:r w:rsidR="006C56A6">
        <w:t>.</w:t>
      </w:r>
      <w:r w:rsidR="00061596">
        <w:t xml:space="preserve"> Industry-led schemes then apply to the European Commission to be formally recognised as a scheme that is consistent with the requirements of the standard. </w:t>
      </w:r>
    </w:p>
    <w:p w14:paraId="4AFC65E2" w14:textId="43160BD1" w:rsidR="002646BA" w:rsidRPr="003B7447" w:rsidRDefault="002646BA" w:rsidP="002646BA">
      <w:pPr>
        <w:pStyle w:val="Heading2"/>
        <w:spacing w:before="240"/>
        <w:rPr>
          <w:sz w:val="28"/>
          <w:szCs w:val="28"/>
        </w:rPr>
      </w:pPr>
      <w:bookmarkStart w:id="26" w:name="_Toc1023282449"/>
      <w:bookmarkStart w:id="27" w:name="_Toc165367214"/>
      <w:bookmarkStart w:id="28" w:name="_Toc175312083"/>
      <w:r w:rsidRPr="00E64DC7">
        <w:rPr>
          <w:sz w:val="28"/>
          <w:szCs w:val="28"/>
        </w:rPr>
        <w:t xml:space="preserve">Option </w:t>
      </w:r>
      <w:r>
        <w:rPr>
          <w:sz w:val="28"/>
          <w:szCs w:val="28"/>
        </w:rPr>
        <w:t>3</w:t>
      </w:r>
      <w:r w:rsidRPr="00E64DC7">
        <w:rPr>
          <w:sz w:val="28"/>
          <w:szCs w:val="28"/>
        </w:rPr>
        <w:t xml:space="preserve"> –</w:t>
      </w:r>
      <w:r>
        <w:rPr>
          <w:sz w:val="28"/>
          <w:szCs w:val="28"/>
        </w:rPr>
        <w:t>Regulatory approach</w:t>
      </w:r>
      <w:bookmarkEnd w:id="26"/>
      <w:bookmarkEnd w:id="27"/>
      <w:r w:rsidR="00970641">
        <w:rPr>
          <w:sz w:val="28"/>
          <w:szCs w:val="28"/>
        </w:rPr>
        <w:t xml:space="preserve"> to voluntary certification</w:t>
      </w:r>
      <w:bookmarkEnd w:id="28"/>
    </w:p>
    <w:p w14:paraId="4FDD5CCD" w14:textId="4519EB7A" w:rsidR="002646BA" w:rsidRPr="00675FE6" w:rsidRDefault="00E56405" w:rsidP="00993FD0">
      <w:pPr>
        <w:pStyle w:val="Heading4"/>
      </w:pPr>
      <w:bookmarkStart w:id="29" w:name="_Toc750421540"/>
      <w:r>
        <w:t>Australian</w:t>
      </w:r>
      <w:r w:rsidR="002646BA" w:rsidRPr="00675FE6">
        <w:t xml:space="preserve"> Government administered </w:t>
      </w:r>
      <w:r w:rsidR="00E83EE4">
        <w:t>G</w:t>
      </w:r>
      <w:r w:rsidR="00442F0E">
        <w:t xml:space="preserve">uarantee of </w:t>
      </w:r>
      <w:r w:rsidR="00E83EE4">
        <w:t>O</w:t>
      </w:r>
      <w:r w:rsidR="00442F0E">
        <w:t>rigin</w:t>
      </w:r>
      <w:r w:rsidR="002646BA" w:rsidRPr="00675FE6">
        <w:t xml:space="preserve"> Scheme</w:t>
      </w:r>
      <w:bookmarkEnd w:id="29"/>
    </w:p>
    <w:p w14:paraId="7A3E0C2C" w14:textId="3FB4BBCE" w:rsidR="002646BA" w:rsidRDefault="00887D44" w:rsidP="002646BA">
      <w:pPr>
        <w:pStyle w:val="BodyText"/>
      </w:pPr>
      <w:r>
        <w:t xml:space="preserve">A centralised </w:t>
      </w:r>
      <w:r w:rsidR="002646BA">
        <w:t xml:space="preserve">regulatory approach would </w:t>
      </w:r>
      <w:r>
        <w:t xml:space="preserve">involve </w:t>
      </w:r>
      <w:r w:rsidR="008A564F">
        <w:t xml:space="preserve">the </w:t>
      </w:r>
      <w:r w:rsidR="00E56405">
        <w:t xml:space="preserve">Australian </w:t>
      </w:r>
      <w:r w:rsidR="008A564F">
        <w:t>Government</w:t>
      </w:r>
      <w:r w:rsidR="002646BA">
        <w:t xml:space="preserve"> develop</w:t>
      </w:r>
      <w:r>
        <w:t>ing</w:t>
      </w:r>
      <w:r w:rsidR="002646BA">
        <w:t>, legislat</w:t>
      </w:r>
      <w:r>
        <w:t>ing</w:t>
      </w:r>
      <w:r w:rsidR="002646BA">
        <w:t xml:space="preserve"> and administer</w:t>
      </w:r>
      <w:r w:rsidR="00BB0C8F">
        <w:t>ing</w:t>
      </w:r>
      <w:r w:rsidR="002646BA">
        <w:t xml:space="preserve"> </w:t>
      </w:r>
      <w:r w:rsidR="00954378">
        <w:t>a Guarantee of Origin (GO</w:t>
      </w:r>
      <w:r w:rsidR="00A34C33">
        <w:t>)</w:t>
      </w:r>
      <w:r w:rsidR="00954378">
        <w:t xml:space="preserve"> scheme </w:t>
      </w:r>
      <w:r w:rsidR="008C60B3">
        <w:t>to</w:t>
      </w:r>
      <w:r w:rsidR="00823ABC">
        <w:t xml:space="preserve"> measure, track and verify emissions across the supply chain of products and </w:t>
      </w:r>
      <w:r w:rsidR="00EF0BD1">
        <w:t>provide</w:t>
      </w:r>
      <w:r w:rsidR="002646BA">
        <w:t xml:space="preserve"> an enduring renewable electricity certification mechanism. </w:t>
      </w:r>
      <w:r w:rsidR="00D062A2">
        <w:t>It would initially apply to renewable electricity and hydrogen and expand to other products over time</w:t>
      </w:r>
      <w:r w:rsidR="00BA05DD">
        <w:t xml:space="preserve">, such as </w:t>
      </w:r>
      <w:r w:rsidR="000C1B31">
        <w:t xml:space="preserve">green </w:t>
      </w:r>
      <w:r w:rsidR="00BA05DD">
        <w:t>metals, biomethane</w:t>
      </w:r>
      <w:r w:rsidR="0074098A">
        <w:t xml:space="preserve"> and low-carbon liquid fuels</w:t>
      </w:r>
      <w:r w:rsidR="00BA05DD">
        <w:t xml:space="preserve"> in line with government and industry needs</w:t>
      </w:r>
      <w:r w:rsidR="00D062A2">
        <w:t xml:space="preserve">. </w:t>
      </w:r>
      <w:r w:rsidR="00862EB8">
        <w:t>Participation in the GO scheme would be voluntary</w:t>
      </w:r>
      <w:r w:rsidR="65EA51E5">
        <w:t>.</w:t>
      </w:r>
      <w:r w:rsidR="00786B19">
        <w:t xml:space="preserve"> </w:t>
      </w:r>
      <w:r w:rsidR="002646BA">
        <w:t>Th</w:t>
      </w:r>
      <w:r w:rsidR="00AB5594">
        <w:t>e scheme</w:t>
      </w:r>
      <w:r w:rsidR="002646BA">
        <w:t xml:space="preserve"> would encompass establishing supporting IT and compliance systems and ongoing domestic and international engagement to expand and evolve the scheme to support Australian renewables and </w:t>
      </w:r>
      <w:r w:rsidR="008A3201">
        <w:t xml:space="preserve">a </w:t>
      </w:r>
      <w:r w:rsidR="002646BA">
        <w:t xml:space="preserve">clean energy export industry. </w:t>
      </w:r>
    </w:p>
    <w:p w14:paraId="13D4CF89" w14:textId="348A9C01" w:rsidR="002646BA" w:rsidRDefault="008A564F" w:rsidP="002646BA">
      <w:r>
        <w:t>This option</w:t>
      </w:r>
      <w:r w:rsidR="002646BA">
        <w:t xml:space="preserve"> would </w:t>
      </w:r>
      <w:r w:rsidR="004A7BF5">
        <w:t xml:space="preserve">provide a </w:t>
      </w:r>
      <w:r w:rsidR="00D40D3A">
        <w:t>government</w:t>
      </w:r>
      <w:r w:rsidR="004A7BF5">
        <w:t>-led scheme to</w:t>
      </w:r>
      <w:r w:rsidR="002646BA">
        <w:t xml:space="preserve"> track the carbon emissions associated with production, storage, and transportation of clean products, along with other characteristics such as the type of technology and energy source used in its manufacture. It would create a</w:t>
      </w:r>
      <w:r w:rsidR="0089724F">
        <w:t xml:space="preserve"> </w:t>
      </w:r>
      <w:r w:rsidR="002646BA">
        <w:t xml:space="preserve">pathway to certify all renewable electricity generated in </w:t>
      </w:r>
      <w:r w:rsidR="005C3252">
        <w:t>Australia and</w:t>
      </w:r>
      <w:r w:rsidR="002646BA">
        <w:t xml:space="preserve"> enable greater granularity of information to be captured to ensure compatibility with international standards. </w:t>
      </w:r>
    </w:p>
    <w:p w14:paraId="400D8D29" w14:textId="530FF7DF" w:rsidR="00FD2E8C" w:rsidRDefault="00FD2E8C" w:rsidP="0067361E">
      <w:pPr>
        <w:pStyle w:val="ListParagraph"/>
        <w:ind w:left="0"/>
        <w:contextualSpacing w:val="0"/>
      </w:pPr>
      <w:r w:rsidRPr="00392847">
        <w:t>This option was arrived at through stakeholder consultation that included seeking feed</w:t>
      </w:r>
      <w:r w:rsidR="00C40332" w:rsidRPr="00392847">
        <w:t xml:space="preserve">back on governance approaches for a certification scheme. </w:t>
      </w:r>
      <w:r w:rsidR="0038317C" w:rsidRPr="00392847">
        <w:t xml:space="preserve">In response to a discussion paper released in </w:t>
      </w:r>
      <w:r w:rsidR="00990B7E" w:rsidRPr="00857FC8">
        <w:t>June 2021</w:t>
      </w:r>
      <w:r w:rsidR="00857FC8">
        <w:t>,</w:t>
      </w:r>
      <w:r w:rsidR="00990B7E" w:rsidRPr="00392847">
        <w:rPr>
          <w:i/>
          <w:iCs/>
        </w:rPr>
        <w:t xml:space="preserve"> </w:t>
      </w:r>
      <w:r w:rsidRPr="00392847">
        <w:rPr>
          <w:i/>
          <w:iCs/>
        </w:rPr>
        <w:t>A Hydrogen Guarantee of Origin Scheme for Australia</w:t>
      </w:r>
      <w:r w:rsidR="00857FC8">
        <w:rPr>
          <w:i/>
          <w:iCs/>
        </w:rPr>
        <w:t>,</w:t>
      </w:r>
      <w:r>
        <w:t xml:space="preserve"> </w:t>
      </w:r>
      <w:r w:rsidRPr="004304B4">
        <w:t>74%</w:t>
      </w:r>
      <w:r>
        <w:t xml:space="preserve"> of respondents indicat</w:t>
      </w:r>
      <w:r w:rsidR="00CC006C">
        <w:t>ed</w:t>
      </w:r>
      <w:r>
        <w:t xml:space="preserve"> support for a </w:t>
      </w:r>
      <w:r w:rsidR="0087455D">
        <w:t>g</w:t>
      </w:r>
      <w:r>
        <w:t>overnment-led scheme aligned with international approaches</w:t>
      </w:r>
      <w:r w:rsidR="004A404B">
        <w:t xml:space="preserve">, citing the </w:t>
      </w:r>
      <w:r w:rsidR="00392847">
        <w:t xml:space="preserve">opportunity for increased integrity, international alignment and alignment with other domestic reporting frameworks. </w:t>
      </w:r>
    </w:p>
    <w:p w14:paraId="6E85A874" w14:textId="77777777" w:rsidR="00FD2E8C" w:rsidRDefault="00FD2E8C" w:rsidP="002646BA"/>
    <w:p w14:paraId="351ABA95" w14:textId="2AF264D6" w:rsidR="00FB6FFA" w:rsidRPr="00FB6FFA" w:rsidRDefault="00FB6FFA" w:rsidP="00FB6FFA">
      <w:pPr>
        <w:pStyle w:val="BodyText"/>
      </w:pPr>
    </w:p>
    <w:p w14:paraId="52E78C9D" w14:textId="5D74A511" w:rsidR="00651F89" w:rsidRPr="00FB6FFA" w:rsidRDefault="00651F89" w:rsidP="00831C46">
      <w:pPr>
        <w:pStyle w:val="BodyText"/>
      </w:pPr>
      <w:r>
        <w:br w:type="page"/>
      </w:r>
    </w:p>
    <w:p w14:paraId="180A3F20" w14:textId="289C2446" w:rsidR="00651F89" w:rsidRPr="00311B15" w:rsidRDefault="00651F89" w:rsidP="00651F89">
      <w:pPr>
        <w:pStyle w:val="Title"/>
        <w:rPr>
          <w:sz w:val="36"/>
          <w:szCs w:val="36"/>
        </w:rPr>
      </w:pPr>
      <w:bookmarkStart w:id="30" w:name="_Toc432688539"/>
      <w:bookmarkStart w:id="31" w:name="_Toc175312084"/>
      <w:r w:rsidRPr="00311B15">
        <w:rPr>
          <w:sz w:val="36"/>
          <w:szCs w:val="36"/>
        </w:rPr>
        <w:lastRenderedPageBreak/>
        <w:t>4. What is the likely net benefit of each option</w:t>
      </w:r>
      <w:bookmarkEnd w:id="30"/>
      <w:r w:rsidRPr="00311B15">
        <w:rPr>
          <w:sz w:val="36"/>
          <w:szCs w:val="36"/>
        </w:rPr>
        <w:t>?</w:t>
      </w:r>
      <w:bookmarkEnd w:id="31"/>
    </w:p>
    <w:p w14:paraId="7348E540" w14:textId="78CC57BB" w:rsidR="00C56478" w:rsidRDefault="00A01C16" w:rsidP="000A2EFC">
      <w:r>
        <w:t xml:space="preserve">Consideration of the net benefit must balance the regulatory burden of participation with the opportunities unlocked by </w:t>
      </w:r>
      <w:r w:rsidR="000F4938">
        <w:t>each</w:t>
      </w:r>
      <w:r>
        <w:t xml:space="preserve"> </w:t>
      </w:r>
      <w:r w:rsidR="006C0E35">
        <w:t>option</w:t>
      </w:r>
      <w:r w:rsidR="008E3B09">
        <w:t xml:space="preserve">. </w:t>
      </w:r>
      <w:r w:rsidR="00E56529">
        <w:t>We have</w:t>
      </w:r>
      <w:r w:rsidR="000E1772">
        <w:t xml:space="preserve"> </w:t>
      </w:r>
      <w:r w:rsidR="000A2EFC">
        <w:t>provided</w:t>
      </w:r>
      <w:r w:rsidR="00120977">
        <w:t xml:space="preserve"> </w:t>
      </w:r>
      <w:r w:rsidR="008E3B09">
        <w:t>q</w:t>
      </w:r>
      <w:r w:rsidR="000A2EFC">
        <w:t xml:space="preserve">uantitative estimates </w:t>
      </w:r>
      <w:r w:rsidR="000E1772">
        <w:t>w</w:t>
      </w:r>
      <w:r w:rsidR="00EC7F46">
        <w:t xml:space="preserve">here possible </w:t>
      </w:r>
      <w:r w:rsidR="000A2EFC">
        <w:t xml:space="preserve">of </w:t>
      </w:r>
      <w:r w:rsidR="0024053B">
        <w:t>the regulatory burden on</w:t>
      </w:r>
      <w:r w:rsidR="000A2EFC">
        <w:t xml:space="preserve"> businesses, </w:t>
      </w:r>
      <w:r w:rsidR="00386521">
        <w:t xml:space="preserve">as well as a qualitative </w:t>
      </w:r>
      <w:r w:rsidR="00565402">
        <w:t>analysis</w:t>
      </w:r>
      <w:r w:rsidR="00386521">
        <w:t xml:space="preserve"> of the impact</w:t>
      </w:r>
      <w:r w:rsidR="000A2EFC">
        <w:t xml:space="preserve"> on businesses, </w:t>
      </w:r>
      <w:r w:rsidR="00F841FF">
        <w:t xml:space="preserve">consumers, </w:t>
      </w:r>
      <w:r w:rsidR="000A2EFC">
        <w:t xml:space="preserve">the broader </w:t>
      </w:r>
      <w:r w:rsidR="00565402">
        <w:t>economy</w:t>
      </w:r>
      <w:r w:rsidR="000A2EFC">
        <w:t>, the environment and Government</w:t>
      </w:r>
      <w:r w:rsidR="00210D06">
        <w:t>,</w:t>
      </w:r>
      <w:r w:rsidR="000A2EFC">
        <w:t xml:space="preserve"> to a level of detail commensurate with its impact</w:t>
      </w:r>
      <w:r w:rsidR="000F48AB">
        <w:t xml:space="preserve">. </w:t>
      </w:r>
    </w:p>
    <w:p w14:paraId="4CC5B986" w14:textId="0D2360C3" w:rsidR="0090102C" w:rsidRDefault="00B25A19" w:rsidP="00131234">
      <w:r>
        <w:t xml:space="preserve">It is important to keep in mind </w:t>
      </w:r>
      <w:r w:rsidR="000E1177">
        <w:t xml:space="preserve">when </w:t>
      </w:r>
      <w:r>
        <w:t>considering the regulatory burden</w:t>
      </w:r>
      <w:r w:rsidR="000E1177" w:rsidRPr="000E1177">
        <w:t xml:space="preserve"> </w:t>
      </w:r>
      <w:r w:rsidR="000E1177">
        <w:t>that the options presented are voluntary</w:t>
      </w:r>
      <w:r w:rsidR="0034743F">
        <w:t>.</w:t>
      </w:r>
      <w:r>
        <w:t xml:space="preserve"> Any participation burden will only apply to entities who wish to access the advantages and opportunities of </w:t>
      </w:r>
      <w:r w:rsidR="00B501A8">
        <w:t xml:space="preserve">any </w:t>
      </w:r>
      <w:r>
        <w:t>certification</w:t>
      </w:r>
      <w:r w:rsidR="00B501A8">
        <w:t xml:space="preserve"> </w:t>
      </w:r>
      <w:r>
        <w:t xml:space="preserve">framework. </w:t>
      </w:r>
    </w:p>
    <w:p w14:paraId="1996B535" w14:textId="629BBFB4" w:rsidR="00EC543F" w:rsidRDefault="00EC543F" w:rsidP="00992F58">
      <w:pPr>
        <w:pStyle w:val="Heading4"/>
      </w:pPr>
      <w:r>
        <w:t>Why a cost-benefit analysis was not possible to undertake</w:t>
      </w:r>
    </w:p>
    <w:p w14:paraId="77D4109B" w14:textId="5C7831EB" w:rsidR="00F81F07" w:rsidRPr="00F81F07" w:rsidRDefault="00F81F07" w:rsidP="00F81F07">
      <w:r w:rsidRPr="00F81F07">
        <w:t xml:space="preserve">The Australian Government acknowledges the utility of using cost-benefit analysis (CBA) to assess policy proposals. CBAs can allow decision-makers to </w:t>
      </w:r>
      <w:r w:rsidR="00BC4C05">
        <w:t>consider</w:t>
      </w:r>
      <w:r w:rsidRPr="00F81F07">
        <w:t xml:space="preserve"> all the positive and negative effects of proposed policy options to address an identified problem area. </w:t>
      </w:r>
    </w:p>
    <w:p w14:paraId="1D8DF11D" w14:textId="1A4B863B" w:rsidR="00F81F07" w:rsidRPr="00F81F07" w:rsidRDefault="00F81F07" w:rsidP="00F81F07">
      <w:r w:rsidRPr="00F81F07">
        <w:t xml:space="preserve">In this instance however, it was not possible to conduct a CBA to evaluate the three policy options under consideration to address the nature of market </w:t>
      </w:r>
      <w:r w:rsidR="00E03066">
        <w:t>impacts</w:t>
      </w:r>
      <w:r w:rsidRPr="00F81F07">
        <w:t xml:space="preserve"> described in Chapter 1</w:t>
      </w:r>
      <w:r w:rsidR="005F548E">
        <w:t xml:space="preserve"> due to:</w:t>
      </w:r>
    </w:p>
    <w:p w14:paraId="6967A11A" w14:textId="368FDA81" w:rsidR="00F81F07" w:rsidRPr="00F81F07" w:rsidRDefault="00F81F07" w:rsidP="00F81F07">
      <w:pPr>
        <w:numPr>
          <w:ilvl w:val="0"/>
          <w:numId w:val="114"/>
        </w:numPr>
      </w:pPr>
      <w:r w:rsidRPr="00F81F07">
        <w:rPr>
          <w:b/>
          <w:bCs/>
        </w:rPr>
        <w:t xml:space="preserve">the </w:t>
      </w:r>
      <w:r w:rsidR="0092701B">
        <w:rPr>
          <w:b/>
          <w:bCs/>
        </w:rPr>
        <w:t>nascent state</w:t>
      </w:r>
      <w:r w:rsidRPr="00F81F07">
        <w:rPr>
          <w:b/>
          <w:bCs/>
        </w:rPr>
        <w:t xml:space="preserve"> of Australia’s domestic hydrogen industry:</w:t>
      </w:r>
      <w:r w:rsidRPr="00F81F07">
        <w:t xml:space="preserve"> although </w:t>
      </w:r>
      <w:r w:rsidR="009A226C">
        <w:t xml:space="preserve">Australia </w:t>
      </w:r>
      <w:r w:rsidRPr="00F81F07">
        <w:t xml:space="preserve">has the potential to </w:t>
      </w:r>
      <w:r w:rsidR="009A226C">
        <w:t>grow</w:t>
      </w:r>
      <w:r w:rsidRPr="00F81F07">
        <w:t xml:space="preserve"> a substantial hydrogen</w:t>
      </w:r>
      <w:r w:rsidR="001F6B50">
        <w:t xml:space="preserve"> industry</w:t>
      </w:r>
      <w:r w:rsidRPr="00F81F07">
        <w:t xml:space="preserve">, </w:t>
      </w:r>
      <w:r w:rsidR="00F05E68">
        <w:t>the</w:t>
      </w:r>
      <w:r w:rsidRPr="00F81F07">
        <w:t xml:space="preserve"> current lack of scale makes estimating the potential monetary impact of the three policy options impossible. </w:t>
      </w:r>
      <w:r w:rsidR="00044CF1">
        <w:t>There is considerable uncertainty regarding</w:t>
      </w:r>
      <w:r w:rsidRPr="00F81F07">
        <w:t xml:space="preserve"> how far, or distributed, the hydrogen market will be</w:t>
      </w:r>
      <w:r w:rsidR="00F41035">
        <w:t xml:space="preserve">, and </w:t>
      </w:r>
      <w:r w:rsidR="0001657C">
        <w:t xml:space="preserve">any </w:t>
      </w:r>
      <w:r w:rsidR="00B41C0D">
        <w:t xml:space="preserve">growth of the market </w:t>
      </w:r>
      <w:r w:rsidR="00537672">
        <w:t xml:space="preserve">will be based on </w:t>
      </w:r>
      <w:r w:rsidR="00044CF1">
        <w:t xml:space="preserve">a range of </w:t>
      </w:r>
      <w:r w:rsidR="00537672">
        <w:t>interdepend</w:t>
      </w:r>
      <w:r w:rsidR="0085674B">
        <w:t>en</w:t>
      </w:r>
      <w:r w:rsidR="00044CF1">
        <w:t>t factors</w:t>
      </w:r>
      <w:r w:rsidR="000C06B8">
        <w:t xml:space="preserve"> and enabling measures</w:t>
      </w:r>
      <w:r w:rsidR="00611620">
        <w:t xml:space="preserve"> – of which the policy options proposed </w:t>
      </w:r>
      <w:r w:rsidR="008A5B0B">
        <w:t>would be only one.</w:t>
      </w:r>
    </w:p>
    <w:p w14:paraId="479C4BCB" w14:textId="41BE4282" w:rsidR="00F81F07" w:rsidRPr="00F81F07" w:rsidRDefault="00F81F07" w:rsidP="00F81F07">
      <w:pPr>
        <w:numPr>
          <w:ilvl w:val="0"/>
          <w:numId w:val="114"/>
        </w:numPr>
        <w:rPr>
          <w:b/>
          <w:bCs/>
        </w:rPr>
      </w:pPr>
      <w:r w:rsidRPr="00F81F07">
        <w:rPr>
          <w:b/>
          <w:bCs/>
        </w:rPr>
        <w:t>limited data</w:t>
      </w:r>
      <w:r w:rsidR="008E2A1C">
        <w:rPr>
          <w:b/>
          <w:bCs/>
        </w:rPr>
        <w:t xml:space="preserve"> </w:t>
      </w:r>
      <w:r w:rsidRPr="00F81F07">
        <w:rPr>
          <w:b/>
          <w:bCs/>
        </w:rPr>
        <w:t xml:space="preserve">on how assurance schemes work: </w:t>
      </w:r>
      <w:r w:rsidR="002526F2">
        <w:t xml:space="preserve">Hydrogen certification schemes are </w:t>
      </w:r>
      <w:r w:rsidR="00C50768">
        <w:t xml:space="preserve">also at a nascent stage of development globally, and </w:t>
      </w:r>
      <w:r w:rsidRPr="00F81F07">
        <w:t xml:space="preserve">limited data is available on how </w:t>
      </w:r>
      <w:r w:rsidR="00AC0609">
        <w:t xml:space="preserve">they </w:t>
      </w:r>
      <w:r w:rsidRPr="00F81F07">
        <w:t>work in practice, restricting the ability to estimat</w:t>
      </w:r>
      <w:r w:rsidR="00A92BF2">
        <w:t>e</w:t>
      </w:r>
      <w:r w:rsidRPr="00F81F07">
        <w:t xml:space="preserve"> the costs </w:t>
      </w:r>
      <w:r w:rsidR="007A6F38">
        <w:t xml:space="preserve">and benefits </w:t>
      </w:r>
      <w:r w:rsidRPr="00F81F07">
        <w:t xml:space="preserve">of these options </w:t>
      </w:r>
      <w:r w:rsidR="00D4033F">
        <w:t>based on international schemes</w:t>
      </w:r>
      <w:r w:rsidRPr="00F81F07">
        <w:t xml:space="preserve">. </w:t>
      </w:r>
      <w:r w:rsidR="002526F2">
        <w:t>N</w:t>
      </w:r>
      <w:r w:rsidRPr="00F81F07">
        <w:t>on-government schemes that are being developed overseas in a manner somewhat analogous to policy option 2, such as CertifHy in Europe, are</w:t>
      </w:r>
      <w:r w:rsidR="004854B1">
        <w:t xml:space="preserve"> either</w:t>
      </w:r>
      <w:r w:rsidRPr="00F81F07">
        <w:t xml:space="preserve"> </w:t>
      </w:r>
      <w:r w:rsidR="004854B1">
        <w:t>still at a pilot phase or are in early stages of operation</w:t>
      </w:r>
      <w:r w:rsidRPr="00F81F07">
        <w:t xml:space="preserve">. This provides a limited source of data to draw from for the purposes of evaluation. Similarly, data that is available to help evaluate policy option 3 is also quite </w:t>
      </w:r>
      <w:r w:rsidR="00FB4BFC" w:rsidRPr="00F81F07">
        <w:t>limited and</w:t>
      </w:r>
      <w:r w:rsidRPr="00F81F07">
        <w:t xml:space="preserve"> was generated during trials held by CER between 2022 to 2023. </w:t>
      </w:r>
      <w:r w:rsidR="00E55CC9">
        <w:t>It</w:t>
      </w:r>
      <w:r w:rsidRPr="00F81F07">
        <w:t xml:space="preserve"> includes hypothetical data from some industrial participants because their respective hydrogen projects had not yet commenced</w:t>
      </w:r>
      <w:r w:rsidR="00C92AC4">
        <w:t xml:space="preserve"> at the time of the trials</w:t>
      </w:r>
      <w:r w:rsidRPr="00F81F07">
        <w:t xml:space="preserve">. As the hydrogen industry begins to scale over time, only then will the impact of assurance schemes, such as the types under consideration in option 2 and 3, be quantifiable. </w:t>
      </w:r>
    </w:p>
    <w:p w14:paraId="2BFB3F2C" w14:textId="39610D37" w:rsidR="007E1C96" w:rsidRDefault="00F81F07" w:rsidP="00362B7F">
      <w:pPr>
        <w:pStyle w:val="ListParagraph"/>
        <w:numPr>
          <w:ilvl w:val="0"/>
          <w:numId w:val="114"/>
        </w:numPr>
      </w:pPr>
      <w:r w:rsidRPr="00F81F07">
        <w:rPr>
          <w:b/>
          <w:bCs/>
        </w:rPr>
        <w:t>there is not yet a set</w:t>
      </w:r>
      <w:r w:rsidR="00304681">
        <w:rPr>
          <w:b/>
          <w:bCs/>
        </w:rPr>
        <w:t>,</w:t>
      </w:r>
      <w:r w:rsidRPr="00F81F07">
        <w:rPr>
          <w:b/>
          <w:bCs/>
        </w:rPr>
        <w:t xml:space="preserve"> internationally recognised approach to assurance schemes for hydrogen: </w:t>
      </w:r>
      <w:r w:rsidRPr="00F81F07">
        <w:t xml:space="preserve">whilst international standards are presently under development, there is not yet a </w:t>
      </w:r>
      <w:r w:rsidR="00F678C3">
        <w:t>universal</w:t>
      </w:r>
      <w:r w:rsidRPr="00F81F07">
        <w:t xml:space="preserve"> approach to how assurance for hydrogen products and its derivatives will work. </w:t>
      </w:r>
      <w:r w:rsidR="00757EC5">
        <w:t>This</w:t>
      </w:r>
      <w:r w:rsidR="003526D2">
        <w:t xml:space="preserve"> adds</w:t>
      </w:r>
      <w:r w:rsidRPr="00F81F07">
        <w:t xml:space="preserve"> to </w:t>
      </w:r>
      <w:r w:rsidR="003526D2">
        <w:t>the difficulty of</w:t>
      </w:r>
      <w:r w:rsidRPr="00F81F07">
        <w:t xml:space="preserve"> </w:t>
      </w:r>
      <w:r w:rsidR="00F45CFB">
        <w:t>us</w:t>
      </w:r>
      <w:r w:rsidR="003526D2">
        <w:t>ing</w:t>
      </w:r>
      <w:r w:rsidR="00F45CFB">
        <w:t xml:space="preserve"> international data to assess the costs and benefits of </w:t>
      </w:r>
      <w:r w:rsidR="0066316D">
        <w:t>option</w:t>
      </w:r>
      <w:r w:rsidRPr="00F81F07">
        <w:t xml:space="preserve"> 2 or 3.</w:t>
      </w:r>
    </w:p>
    <w:p w14:paraId="4F325C1F" w14:textId="77777777" w:rsidR="00053366" w:rsidRDefault="00053366" w:rsidP="00053366">
      <w:pPr>
        <w:pStyle w:val="ListParagraph"/>
        <w:ind w:left="360"/>
      </w:pPr>
    </w:p>
    <w:p w14:paraId="6489119B" w14:textId="06547D6C" w:rsidR="00B25A19" w:rsidRDefault="006B6F80" w:rsidP="00131234">
      <w:pPr>
        <w:pStyle w:val="ListParagraph"/>
        <w:numPr>
          <w:ilvl w:val="0"/>
          <w:numId w:val="114"/>
        </w:numPr>
      </w:pPr>
      <w:r>
        <w:rPr>
          <w:b/>
          <w:bCs/>
        </w:rPr>
        <w:t>i</w:t>
      </w:r>
      <w:r w:rsidR="007E1C96">
        <w:rPr>
          <w:b/>
          <w:bCs/>
        </w:rPr>
        <w:t>ndirect benefit</w:t>
      </w:r>
      <w:r w:rsidR="008C54CE">
        <w:rPr>
          <w:b/>
          <w:bCs/>
        </w:rPr>
        <w:t>s</w:t>
      </w:r>
      <w:r w:rsidR="007E1C96">
        <w:rPr>
          <w:b/>
          <w:bCs/>
        </w:rPr>
        <w:t xml:space="preserve"> of participation</w:t>
      </w:r>
      <w:r w:rsidR="007E1C96">
        <w:t>:</w:t>
      </w:r>
      <w:r w:rsidR="002D2104">
        <w:t xml:space="preserve"> </w:t>
      </w:r>
      <w:r w:rsidR="00B25A19">
        <w:t>many benefits</w:t>
      </w:r>
      <w:r w:rsidR="00F3424F">
        <w:t xml:space="preserve"> of certification</w:t>
      </w:r>
      <w:r w:rsidR="00B25A19">
        <w:t xml:space="preserve"> to industries and entities will be indirectly </w:t>
      </w:r>
      <w:r w:rsidR="00355FA1">
        <w:t>realised and</w:t>
      </w:r>
      <w:r w:rsidR="00B25A19">
        <w:t xml:space="preserve"> cannot be </w:t>
      </w:r>
      <w:r w:rsidR="001B13CE">
        <w:t>counted as part of</w:t>
      </w:r>
      <w:r w:rsidR="00975564">
        <w:t xml:space="preserve"> a </w:t>
      </w:r>
      <w:r w:rsidR="006C76C6">
        <w:t>CBA</w:t>
      </w:r>
      <w:r w:rsidR="00B25A19">
        <w:t>.</w:t>
      </w:r>
      <w:r w:rsidR="001C7683" w:rsidRPr="001C7683">
        <w:t xml:space="preserve"> </w:t>
      </w:r>
      <w:r w:rsidR="00396C92">
        <w:t>For example, t</w:t>
      </w:r>
      <w:r w:rsidR="00A25DB2">
        <w:t xml:space="preserve">he </w:t>
      </w:r>
      <w:r w:rsidR="00C8708D">
        <w:t>GO</w:t>
      </w:r>
      <w:r w:rsidR="00C3059B" w:rsidRPr="00C3059B">
        <w:t xml:space="preserve"> scheme</w:t>
      </w:r>
      <w:r w:rsidR="00C8708D">
        <w:t>,</w:t>
      </w:r>
      <w:r w:rsidR="00C3059B" w:rsidRPr="00C3059B">
        <w:t xml:space="preserve"> as outlined in option 3</w:t>
      </w:r>
      <w:r w:rsidR="00F5111E">
        <w:t>,</w:t>
      </w:r>
      <w:r w:rsidR="00367E6A">
        <w:t xml:space="preserve"> </w:t>
      </w:r>
      <w:r w:rsidR="005C60C3">
        <w:t xml:space="preserve">will be </w:t>
      </w:r>
      <w:r w:rsidR="00C3059B" w:rsidRPr="00C3059B">
        <w:t xml:space="preserve">an </w:t>
      </w:r>
      <w:r w:rsidR="005C60C3">
        <w:t>‘</w:t>
      </w:r>
      <w:r w:rsidR="00C3059B" w:rsidRPr="00C3059B">
        <w:t>enabler</w:t>
      </w:r>
      <w:r w:rsidR="005C60C3">
        <w:t>’</w:t>
      </w:r>
      <w:r w:rsidR="00C3059B" w:rsidRPr="00C3059B">
        <w:t xml:space="preserve"> of additional policy opportunities</w:t>
      </w:r>
      <w:r w:rsidR="003C7D1C">
        <w:t xml:space="preserve">. </w:t>
      </w:r>
      <w:r w:rsidR="00C519CC">
        <w:t xml:space="preserve">This means many of the benefits of the GO scheme will be </w:t>
      </w:r>
      <w:r w:rsidR="00D87E27">
        <w:t xml:space="preserve">indirect </w:t>
      </w:r>
      <w:r w:rsidR="003C7D1C">
        <w:t>benefits</w:t>
      </w:r>
      <w:r w:rsidR="00017F43">
        <w:t>, r</w:t>
      </w:r>
      <w:r w:rsidR="00B056B7">
        <w:t xml:space="preserve">ather than measurable benefits </w:t>
      </w:r>
      <w:r w:rsidR="00857F0C">
        <w:t>directly attribut</w:t>
      </w:r>
      <w:r w:rsidR="00CB485F">
        <w:t>able to</w:t>
      </w:r>
      <w:r w:rsidR="00B80CE0">
        <w:t xml:space="preserve"> implement</w:t>
      </w:r>
      <w:r w:rsidR="00CB485F">
        <w:t>ation of</w:t>
      </w:r>
      <w:r w:rsidR="00B80CE0">
        <w:t xml:space="preserve"> </w:t>
      </w:r>
      <w:r w:rsidR="00423D90">
        <w:t xml:space="preserve">the GO scheme. An </w:t>
      </w:r>
      <w:r w:rsidR="00B25A19">
        <w:t>example</w:t>
      </w:r>
      <w:r w:rsidR="00423D90">
        <w:t xml:space="preserve"> of this</w:t>
      </w:r>
      <w:r w:rsidR="00B25A19">
        <w:t xml:space="preserve"> </w:t>
      </w:r>
      <w:r w:rsidR="00857F0C">
        <w:t xml:space="preserve">are </w:t>
      </w:r>
      <w:r w:rsidR="00423D90">
        <w:t>hydrogen</w:t>
      </w:r>
      <w:r w:rsidR="00B25A19">
        <w:t xml:space="preserve"> production </w:t>
      </w:r>
      <w:r w:rsidR="0066492F">
        <w:t>incentives</w:t>
      </w:r>
      <w:r w:rsidR="006763BD">
        <w:t xml:space="preserve"> such as the Hydrogen Headstart program and the Hydrogen Production Tax Incentive</w:t>
      </w:r>
      <w:r w:rsidR="00423D90">
        <w:t>. These</w:t>
      </w:r>
      <w:r w:rsidR="00A64113">
        <w:t xml:space="preserve"> initiatives </w:t>
      </w:r>
      <w:r w:rsidR="00321732">
        <w:t xml:space="preserve">will utilise the GO scheme </w:t>
      </w:r>
      <w:r w:rsidR="00B73644">
        <w:t xml:space="preserve">as a verification framework </w:t>
      </w:r>
      <w:r w:rsidR="00321732">
        <w:t xml:space="preserve">but are separate polices </w:t>
      </w:r>
      <w:r w:rsidR="00FB4BFC">
        <w:t>and</w:t>
      </w:r>
      <w:r w:rsidR="00A64113">
        <w:t xml:space="preserve"> </w:t>
      </w:r>
      <w:r w:rsidR="005F101F">
        <w:t xml:space="preserve">are </w:t>
      </w:r>
      <w:r w:rsidR="00A64113">
        <w:t xml:space="preserve">aimed </w:t>
      </w:r>
      <w:r w:rsidR="00C60246">
        <w:t>at</w:t>
      </w:r>
      <w:r w:rsidR="00A64113">
        <w:t xml:space="preserve"> </w:t>
      </w:r>
      <w:r w:rsidR="00D71FBC">
        <w:t>achiev</w:t>
      </w:r>
      <w:r w:rsidR="00900319">
        <w:t>ing</w:t>
      </w:r>
      <w:r w:rsidR="00A64113">
        <w:t xml:space="preserve"> differing</w:t>
      </w:r>
      <w:r w:rsidR="005F101F">
        <w:t xml:space="preserve"> outcomes than </w:t>
      </w:r>
      <w:r w:rsidR="00D71FBC">
        <w:t xml:space="preserve">addressing </w:t>
      </w:r>
      <w:r w:rsidR="00701D98">
        <w:t xml:space="preserve">the </w:t>
      </w:r>
      <w:r w:rsidR="00A64113">
        <w:t xml:space="preserve">market failure </w:t>
      </w:r>
      <w:r w:rsidR="00585483">
        <w:t>previously</w:t>
      </w:r>
      <w:r w:rsidR="00A64113">
        <w:t xml:space="preserve"> described. </w:t>
      </w:r>
      <w:r w:rsidR="00D71FBC">
        <w:t>T</w:t>
      </w:r>
      <w:r w:rsidR="00A64113">
        <w:t>he</w:t>
      </w:r>
      <w:r w:rsidR="00655CE9">
        <w:t>se</w:t>
      </w:r>
      <w:r w:rsidR="00A64113">
        <w:t xml:space="preserve"> </w:t>
      </w:r>
      <w:r w:rsidR="00B80807">
        <w:t xml:space="preserve">costs and benefits of these </w:t>
      </w:r>
      <w:r w:rsidR="00B03786">
        <w:t>i</w:t>
      </w:r>
      <w:r w:rsidR="00655CE9">
        <w:t>nitiatives</w:t>
      </w:r>
      <w:r w:rsidR="00B25A19">
        <w:t xml:space="preserve"> </w:t>
      </w:r>
      <w:r w:rsidR="000B4FE5">
        <w:t xml:space="preserve">would be </w:t>
      </w:r>
      <w:r w:rsidR="00B80807">
        <w:t xml:space="preserve">best </w:t>
      </w:r>
      <w:r w:rsidR="00567BD0">
        <w:t>consider</w:t>
      </w:r>
      <w:r w:rsidR="00B80807">
        <w:t xml:space="preserve">ed in distinct analyses. </w:t>
      </w:r>
    </w:p>
    <w:p w14:paraId="6FDF6334" w14:textId="22790424" w:rsidR="009C2A2B" w:rsidRPr="00B73644" w:rsidRDefault="009C2A2B" w:rsidP="00537694">
      <w:pPr>
        <w:keepNext/>
        <w:rPr>
          <w:b/>
          <w:bCs/>
        </w:rPr>
      </w:pPr>
      <w:r w:rsidRPr="00B73644">
        <w:rPr>
          <w:b/>
          <w:bCs/>
        </w:rPr>
        <w:t>Renewable electricity certification</w:t>
      </w:r>
    </w:p>
    <w:p w14:paraId="16172612" w14:textId="6F45BD9D" w:rsidR="009C2A2B" w:rsidRDefault="009C2A2B" w:rsidP="00131234">
      <w:r>
        <w:t>Th</w:t>
      </w:r>
      <w:r w:rsidR="001C7F05">
        <w:t xml:space="preserve">e voluntary market for renewable energy certificates is more advanced and some existing </w:t>
      </w:r>
      <w:r w:rsidR="00FB1554">
        <w:t xml:space="preserve">data is available to provide a relative estimate of costs and benefits. However, the scale of these benefits depends largely on the extent </w:t>
      </w:r>
      <w:r w:rsidR="0062654F">
        <w:t>of demand for renewable energy certificates</w:t>
      </w:r>
      <w:r w:rsidR="00430BDA">
        <w:t>.</w:t>
      </w:r>
    </w:p>
    <w:p w14:paraId="71911C3A" w14:textId="0488F836" w:rsidR="00A2743E" w:rsidRDefault="00430BDA" w:rsidP="00131234">
      <w:r>
        <w:lastRenderedPageBreak/>
        <w:t>Currently, there is a market for LGCs that are acquired by businesses and voluntarily surrendered to the Clean Energy Regulator</w:t>
      </w:r>
      <w:r w:rsidR="00AD427A">
        <w:t>.</w:t>
      </w:r>
      <w:r w:rsidR="00EB1047">
        <w:t xml:space="preserve"> Businesses that create LGCs are typically </w:t>
      </w:r>
      <w:r w:rsidR="00D51684">
        <w:t>large</w:t>
      </w:r>
      <w:r w:rsidR="004F5C07">
        <w:t>-</w:t>
      </w:r>
      <w:r w:rsidR="00D51684">
        <w:t xml:space="preserve">scale renewable energy developers that build wind and solar farms. Some agents </w:t>
      </w:r>
      <w:r w:rsidR="00B87639">
        <w:t xml:space="preserve">operate as intermediaries in the certificate market. Purchasers of </w:t>
      </w:r>
      <w:r w:rsidR="00313AF0">
        <w:t xml:space="preserve">LGCs for voluntary purposes are typically large corporate entities with </w:t>
      </w:r>
      <w:r w:rsidR="00CB154A">
        <w:t>E</w:t>
      </w:r>
      <w:r w:rsidR="00FC3CA1">
        <w:t>nvironment</w:t>
      </w:r>
      <w:r w:rsidR="00831EC8">
        <w:t>,</w:t>
      </w:r>
      <w:r w:rsidR="00FC3CA1">
        <w:t xml:space="preserve"> </w:t>
      </w:r>
      <w:r w:rsidR="00911DDE">
        <w:t xml:space="preserve">Social </w:t>
      </w:r>
      <w:r w:rsidR="00831EC8">
        <w:t>and Governance (</w:t>
      </w:r>
      <w:r w:rsidR="00CB154A">
        <w:t>ESG</w:t>
      </w:r>
      <w:r w:rsidR="00831EC8">
        <w:t>)</w:t>
      </w:r>
      <w:r w:rsidR="00CB154A">
        <w:t xml:space="preserve"> goals or government agencies with renewable energy targets. </w:t>
      </w:r>
    </w:p>
    <w:p w14:paraId="3C4291F8" w14:textId="6CBCDE86" w:rsidR="00023525" w:rsidRDefault="008E1C66" w:rsidP="00131234">
      <w:r>
        <w:t>The Clean Energy Regulator estimates that around 10 million</w:t>
      </w:r>
      <w:r w:rsidR="00AD427A">
        <w:t xml:space="preserve"> LGCs </w:t>
      </w:r>
      <w:r>
        <w:t xml:space="preserve">will be </w:t>
      </w:r>
      <w:r w:rsidR="00AD427A">
        <w:t xml:space="preserve">voluntarily surrendered or cancelled to match business </w:t>
      </w:r>
      <w:r w:rsidR="00127E91">
        <w:t xml:space="preserve">renewable energy </w:t>
      </w:r>
      <w:r w:rsidR="00AD427A">
        <w:t>claims</w:t>
      </w:r>
      <w:r w:rsidR="00127E91">
        <w:t xml:space="preserve"> in 2024</w:t>
      </w:r>
      <w:r w:rsidR="00AD427A">
        <w:t xml:space="preserve">. </w:t>
      </w:r>
      <w:r w:rsidR="002E1284">
        <w:t xml:space="preserve">While the price of certificates that are traded directly under contracts or openly on the spot market can vary, based on an average spot market price of $40, the </w:t>
      </w:r>
      <w:r w:rsidR="00AD427A">
        <w:t xml:space="preserve">value of </w:t>
      </w:r>
      <w:r w:rsidR="002E1284">
        <w:t xml:space="preserve">voluntarily surrendered </w:t>
      </w:r>
      <w:r w:rsidR="00AD427A">
        <w:t xml:space="preserve">certificates </w:t>
      </w:r>
      <w:r w:rsidR="002E1284">
        <w:t xml:space="preserve">would be in the order of </w:t>
      </w:r>
      <w:r w:rsidR="00AE3095">
        <w:t>$</w:t>
      </w:r>
      <w:r w:rsidR="00127E91">
        <w:t>400</w:t>
      </w:r>
      <w:r w:rsidR="00AE3095">
        <w:t xml:space="preserve"> million. This represents the value to businesses in making claims of </w:t>
      </w:r>
      <w:r w:rsidR="0070409B">
        <w:t xml:space="preserve">renewable energy to demonstrate their environmental credentials. This </w:t>
      </w:r>
      <w:r w:rsidR="008B1876">
        <w:t xml:space="preserve">also represents </w:t>
      </w:r>
      <w:r w:rsidR="00676A96">
        <w:t xml:space="preserve">additional revenue </w:t>
      </w:r>
      <w:r w:rsidR="008B1876">
        <w:t xml:space="preserve">for </w:t>
      </w:r>
      <w:r w:rsidR="00676A96">
        <w:t xml:space="preserve">renewable electricity generators in addition to the underlying electricity which supports </w:t>
      </w:r>
      <w:r w:rsidR="001242BF">
        <w:t>investment in renewable energy power stations.</w:t>
      </w:r>
    </w:p>
    <w:p w14:paraId="4EE99D4F" w14:textId="49548A6B" w:rsidR="009D5AED" w:rsidRDefault="009D5AED" w:rsidP="00131234">
      <w:r>
        <w:t>There is a cost to create LGCs in the form of an administration fee paid to the Clean Energy Regulator</w:t>
      </w:r>
      <w:r w:rsidR="00C74722">
        <w:t>. The fee is currently $0.08 per LGC which represents a cost of $800,000 for 10 million LGCs</w:t>
      </w:r>
      <w:r w:rsidR="00835A75">
        <w:t xml:space="preserve"> which slightly reduces the overall value of LGCs.</w:t>
      </w:r>
    </w:p>
    <w:p w14:paraId="0768BE61" w14:textId="4D5EFC76" w:rsidR="00BD30A5" w:rsidRDefault="001242BF" w:rsidP="00131234">
      <w:r>
        <w:t xml:space="preserve">Voluntary demand </w:t>
      </w:r>
      <w:r w:rsidR="00BD30A5">
        <w:t xml:space="preserve">for LGCs </w:t>
      </w:r>
      <w:r>
        <w:t>is expected to continue to grow but the extent of that growth is difficult to quantify</w:t>
      </w:r>
      <w:r w:rsidR="00023525">
        <w:t>.</w:t>
      </w:r>
      <w:r w:rsidR="006879DA">
        <w:t xml:space="preserve"> As the supply of certificates increases, it is likely that the value of each certificate would be lower than the current spot price for LGCs so the net benefit to the industry would likely be lower than that outlined above.</w:t>
      </w:r>
    </w:p>
    <w:p w14:paraId="7E74CBBD" w14:textId="5C5AC1D6" w:rsidR="00FA3320" w:rsidRDefault="006722C1" w:rsidP="00131234">
      <w:r>
        <w:t>However, t</w:t>
      </w:r>
      <w:r w:rsidR="00337E12">
        <w:t xml:space="preserve">he value of government-backed certificates is likely to be greater compared with industry-based verification given the greater integrity associated with </w:t>
      </w:r>
      <w:r w:rsidR="0089475A">
        <w:t>a centrally administered mechanism.</w:t>
      </w:r>
    </w:p>
    <w:p w14:paraId="0586563E" w14:textId="77777777" w:rsidR="002D2104" w:rsidRDefault="002D2104" w:rsidP="002D2104">
      <w:pPr>
        <w:pStyle w:val="Heading4"/>
      </w:pPr>
      <w:r>
        <w:t>Analytical approach taken</w:t>
      </w:r>
    </w:p>
    <w:p w14:paraId="40FD9E10" w14:textId="274F3657" w:rsidR="00EE479D" w:rsidRDefault="00EE479D" w:rsidP="00EE479D">
      <w:pPr>
        <w:rPr>
          <w:b/>
          <w:bCs/>
        </w:rPr>
      </w:pPr>
      <w:r w:rsidRPr="000C7BB4">
        <w:rPr>
          <w:b/>
          <w:bCs/>
        </w:rPr>
        <w:t>Regulatory burden estimate</w:t>
      </w:r>
      <w:r>
        <w:rPr>
          <w:b/>
          <w:bCs/>
        </w:rPr>
        <w:t xml:space="preserve"> </w:t>
      </w:r>
      <w:r w:rsidR="00CE7D7C">
        <w:rPr>
          <w:b/>
          <w:bCs/>
        </w:rPr>
        <w:t>(RBE)</w:t>
      </w:r>
    </w:p>
    <w:p w14:paraId="5CA59205" w14:textId="7126A25F" w:rsidR="00EE479D" w:rsidRDefault="0067110D" w:rsidP="00EE479D">
      <w:r>
        <w:t>Business</w:t>
      </w:r>
      <w:r w:rsidR="00121F0A">
        <w:t>es</w:t>
      </w:r>
      <w:r>
        <w:t xml:space="preserve"> will be the primary </w:t>
      </w:r>
      <w:r w:rsidR="00823F96">
        <w:t xml:space="preserve">entities impacted by </w:t>
      </w:r>
      <w:r w:rsidR="00757E32">
        <w:t>policy option</w:t>
      </w:r>
      <w:r w:rsidR="005A272F">
        <w:t>s 2 and 3.</w:t>
      </w:r>
      <w:r w:rsidR="00757E32">
        <w:t xml:space="preserve"> </w:t>
      </w:r>
      <w:r w:rsidR="00EE479D" w:rsidRPr="008A6F2E">
        <w:t xml:space="preserve">With respect to the Regulatory Burden Measurement framework, </w:t>
      </w:r>
      <w:r w:rsidR="00EE479D">
        <w:t xml:space="preserve">our estimates focus on </w:t>
      </w:r>
      <w:r w:rsidR="00EE479D" w:rsidRPr="008A6F2E">
        <w:t xml:space="preserve">regulatory costs </w:t>
      </w:r>
      <w:r w:rsidR="00EE479D">
        <w:t>imposed on</w:t>
      </w:r>
      <w:r w:rsidR="00EE479D" w:rsidRPr="008A6F2E">
        <w:t xml:space="preserve"> </w:t>
      </w:r>
      <w:r w:rsidR="00EE479D">
        <w:t xml:space="preserve">these </w:t>
      </w:r>
      <w:r w:rsidR="00EE479D" w:rsidRPr="008A6F2E">
        <w:t>businesses</w:t>
      </w:r>
      <w:r w:rsidR="00EE479D">
        <w:t xml:space="preserve"> through </w:t>
      </w:r>
      <w:r w:rsidR="00C017C7">
        <w:t xml:space="preserve">administration and compliance </w:t>
      </w:r>
      <w:r w:rsidR="00F44A31" w:rsidRPr="00E76953">
        <w:rPr>
          <w:i/>
          <w:iCs/>
        </w:rPr>
        <w:t xml:space="preserve">should they choose to </w:t>
      </w:r>
      <w:r w:rsidR="00B76632">
        <w:rPr>
          <w:i/>
          <w:iCs/>
        </w:rPr>
        <w:t xml:space="preserve">align with a model code or </w:t>
      </w:r>
      <w:r w:rsidR="00F44A31" w:rsidRPr="00E76953">
        <w:rPr>
          <w:i/>
          <w:iCs/>
        </w:rPr>
        <w:t>participate</w:t>
      </w:r>
      <w:r w:rsidR="00F44A31">
        <w:rPr>
          <w:i/>
          <w:iCs/>
        </w:rPr>
        <w:t xml:space="preserve"> in a certification scheme</w:t>
      </w:r>
      <w:r w:rsidR="00EE479D">
        <w:t xml:space="preserve">. Our estimates include comparisons of annual </w:t>
      </w:r>
      <w:r w:rsidR="00EE479D" w:rsidRPr="00E67DD8">
        <w:t>average participant resource requirements for</w:t>
      </w:r>
      <w:r w:rsidR="00EE479D">
        <w:t xml:space="preserve"> options 2 and 3</w:t>
      </w:r>
      <w:r w:rsidR="00FE64F1">
        <w:t xml:space="preserve">. </w:t>
      </w:r>
    </w:p>
    <w:p w14:paraId="56DFAB39" w14:textId="77777777" w:rsidR="00EE479D" w:rsidRDefault="00EE479D" w:rsidP="00EE479D">
      <w:r>
        <w:t>The costs involved with each policy option have been calculated by:</w:t>
      </w:r>
    </w:p>
    <w:p w14:paraId="5DB888A4" w14:textId="77777777" w:rsidR="00EE479D" w:rsidRDefault="00EE479D" w:rsidP="00807053">
      <w:pPr>
        <w:pStyle w:val="ListParagraph"/>
        <w:numPr>
          <w:ilvl w:val="0"/>
          <w:numId w:val="76"/>
        </w:numPr>
        <w:ind w:left="714" w:hanging="357"/>
      </w:pPr>
      <w:r>
        <w:t>Identifying the key steps for business to comply with the regulatory options.</w:t>
      </w:r>
    </w:p>
    <w:p w14:paraId="0B5EDABE" w14:textId="77777777" w:rsidR="00EE479D" w:rsidRDefault="00EE479D" w:rsidP="00807053">
      <w:pPr>
        <w:pStyle w:val="ListParagraph"/>
        <w:numPr>
          <w:ilvl w:val="0"/>
          <w:numId w:val="76"/>
        </w:numPr>
        <w:ind w:left="714" w:hanging="357"/>
      </w:pPr>
      <w:r>
        <w:t>Estimating the burden and costs of each step.</w:t>
      </w:r>
    </w:p>
    <w:p w14:paraId="50FA525C" w14:textId="77777777" w:rsidR="00EE479D" w:rsidRDefault="00EE479D" w:rsidP="00807053">
      <w:pPr>
        <w:pStyle w:val="ListParagraph"/>
        <w:numPr>
          <w:ilvl w:val="0"/>
          <w:numId w:val="76"/>
        </w:numPr>
        <w:ind w:left="714" w:hanging="357"/>
      </w:pPr>
      <w:r>
        <w:t>Estimating annual costs for a single business, for initial and ongoing years</w:t>
      </w:r>
    </w:p>
    <w:p w14:paraId="2E367B20" w14:textId="77777777" w:rsidR="00EE479D" w:rsidRDefault="00EE479D" w:rsidP="00807053">
      <w:pPr>
        <w:pStyle w:val="ListParagraph"/>
        <w:numPr>
          <w:ilvl w:val="0"/>
          <w:numId w:val="76"/>
        </w:numPr>
        <w:ind w:left="714" w:hanging="357"/>
      </w:pPr>
      <w:r>
        <w:t>Compiling the annual costs scaled over a 10-year period.</w:t>
      </w:r>
    </w:p>
    <w:p w14:paraId="7B1E3D15" w14:textId="2FE05B8D" w:rsidR="00EE479D" w:rsidRDefault="00EE479D" w:rsidP="00EE479D">
      <w:r>
        <w:t>Detailed RBEs that calculate the costs involved with each implementation option are included at Appendix (ii) of this I</w:t>
      </w:r>
      <w:r w:rsidR="008E3A22">
        <w:t>mpact Assessment</w:t>
      </w:r>
      <w:r>
        <w:t xml:space="preserve">. Sector wide annual costs are included in the RBE table under option 3 </w:t>
      </w:r>
      <w:r w:rsidR="006F1B7D">
        <w:t xml:space="preserve">in Appendix (ii) </w:t>
      </w:r>
      <w:r>
        <w:t xml:space="preserve">as well as comparisons of average per participant burden for both government and industry-led options. </w:t>
      </w:r>
      <w:r w:rsidR="00471C20">
        <w:t>The per</w:t>
      </w:r>
      <w:r w:rsidR="00866681">
        <w:t xml:space="preserve"> participant burden is a </w:t>
      </w:r>
      <w:r w:rsidR="00431350">
        <w:t xml:space="preserve">useful metric because it does not rely on </w:t>
      </w:r>
      <w:r w:rsidR="00D157B7">
        <w:t>participant forecasts</w:t>
      </w:r>
      <w:r w:rsidR="00F07F35">
        <w:t xml:space="preserve"> and enables comparison between option 2 and </w:t>
      </w:r>
      <w:r w:rsidR="00F07F35" w:rsidRPr="00BA5A90">
        <w:t>option 3.</w:t>
      </w:r>
      <w:r w:rsidR="00D607A2" w:rsidRPr="00BA5A90">
        <w:t xml:space="preserve"> It is also valuable as the scheme proposed as part of option 3 </w:t>
      </w:r>
      <w:r w:rsidR="007101F9" w:rsidRPr="00BA5A90">
        <w:t xml:space="preserve">would expand to other products, where the model code </w:t>
      </w:r>
      <w:r w:rsidR="001B5BDC" w:rsidRPr="00BA5A90">
        <w:t>proposed for option 2 would be for hydrogen and derivatives only.</w:t>
      </w:r>
    </w:p>
    <w:p w14:paraId="57C8FC2E" w14:textId="1DDFE21D" w:rsidR="006E0C6D" w:rsidRDefault="006E0C6D" w:rsidP="006E0C6D">
      <w:r w:rsidRPr="00383CEF">
        <w:t xml:space="preserve">Conditional on achieving the same </w:t>
      </w:r>
      <w:r w:rsidR="00FF492D">
        <w:t>benefits</w:t>
      </w:r>
      <w:r w:rsidRPr="00383CEF">
        <w:t xml:space="preserve">, a certification scheme with lower regulatory burden is preferable. </w:t>
      </w:r>
      <w:r w:rsidR="00423B72">
        <w:t>I</w:t>
      </w:r>
      <w:r w:rsidRPr="00383CEF">
        <w:t xml:space="preserve">f a scheme has a high regulatory burden, then </w:t>
      </w:r>
      <w:r>
        <w:t xml:space="preserve">smaller </w:t>
      </w:r>
      <w:r w:rsidRPr="00383CEF">
        <w:t>producers may be</w:t>
      </w:r>
      <w:r>
        <w:t xml:space="preserve"> disproportionately affected by the costs involved with participation and may be inadvertently</w:t>
      </w:r>
      <w:r w:rsidRPr="00383CEF">
        <w:t xml:space="preserve"> excluded from the scheme. If a scheme unintentionally excludes producers </w:t>
      </w:r>
      <w:r>
        <w:t>due to</w:t>
      </w:r>
      <w:r w:rsidRPr="00383CEF">
        <w:t xml:space="preserve"> regulatory burden rather than on the basis of </w:t>
      </w:r>
      <w:r w:rsidR="00A82B8A">
        <w:t>low-</w:t>
      </w:r>
      <w:r w:rsidRPr="00383CEF">
        <w:t xml:space="preserve">emissions </w:t>
      </w:r>
      <w:r w:rsidR="00A82B8A">
        <w:t>credentials</w:t>
      </w:r>
      <w:r w:rsidRPr="00383CEF">
        <w:t>, then industry may not be able to develop efficiently.</w:t>
      </w:r>
    </w:p>
    <w:p w14:paraId="1C6F83B9" w14:textId="493994DA" w:rsidR="00C938E6" w:rsidRPr="00CE1F1F" w:rsidRDefault="00662B0E" w:rsidP="000A2EFC">
      <w:pPr>
        <w:rPr>
          <w:b/>
          <w:bCs/>
        </w:rPr>
      </w:pPr>
      <w:r>
        <w:rPr>
          <w:b/>
          <w:bCs/>
        </w:rPr>
        <w:t>Net</w:t>
      </w:r>
      <w:r w:rsidR="00093A07">
        <w:rPr>
          <w:b/>
          <w:bCs/>
        </w:rPr>
        <w:t xml:space="preserve"> </w:t>
      </w:r>
      <w:r w:rsidR="0019214C">
        <w:rPr>
          <w:b/>
          <w:bCs/>
        </w:rPr>
        <w:t xml:space="preserve">benefit </w:t>
      </w:r>
      <w:r>
        <w:rPr>
          <w:b/>
          <w:bCs/>
        </w:rPr>
        <w:t>analysis</w:t>
      </w:r>
    </w:p>
    <w:p w14:paraId="2891145A" w14:textId="567666BA" w:rsidR="00146E36" w:rsidRDefault="00B24BEE" w:rsidP="00146E36">
      <w:r>
        <w:t>W</w:t>
      </w:r>
      <w:r w:rsidR="00146E36">
        <w:t>e have compared the potential benefits for each option with specific attention on:</w:t>
      </w:r>
    </w:p>
    <w:p w14:paraId="60C684CE" w14:textId="77777777" w:rsidR="00146E36" w:rsidRDefault="00146E36" w:rsidP="00146E36">
      <w:pPr>
        <w:pStyle w:val="ListParagraph"/>
        <w:numPr>
          <w:ilvl w:val="0"/>
          <w:numId w:val="56"/>
        </w:numPr>
      </w:pPr>
      <w:r>
        <w:t xml:space="preserve">economic impact, </w:t>
      </w:r>
    </w:p>
    <w:p w14:paraId="3AE1B0F2" w14:textId="77777777" w:rsidR="00146E36" w:rsidRDefault="00146E36" w:rsidP="00146E36">
      <w:pPr>
        <w:pStyle w:val="ListParagraph"/>
        <w:numPr>
          <w:ilvl w:val="0"/>
          <w:numId w:val="56"/>
        </w:numPr>
      </w:pPr>
      <w:r>
        <w:t xml:space="preserve">trade and export opportunities, </w:t>
      </w:r>
    </w:p>
    <w:p w14:paraId="7F4E1325" w14:textId="77777777" w:rsidR="00146E36" w:rsidRDefault="00146E36" w:rsidP="00146E36">
      <w:pPr>
        <w:pStyle w:val="ListParagraph"/>
        <w:numPr>
          <w:ilvl w:val="0"/>
          <w:numId w:val="56"/>
        </w:numPr>
      </w:pPr>
      <w:r>
        <w:t>product related claims and reputations,</w:t>
      </w:r>
    </w:p>
    <w:p w14:paraId="71416D79" w14:textId="77777777" w:rsidR="00146E36" w:rsidRDefault="00146E36" w:rsidP="00146E36">
      <w:pPr>
        <w:pStyle w:val="ListParagraph"/>
        <w:numPr>
          <w:ilvl w:val="0"/>
          <w:numId w:val="56"/>
        </w:numPr>
      </w:pPr>
      <w:r>
        <w:t>potential for decarbonisation</w:t>
      </w:r>
    </w:p>
    <w:p w14:paraId="5E114409" w14:textId="71161B81" w:rsidR="000A2EFC" w:rsidRDefault="008671A7" w:rsidP="000A2EFC">
      <w:r>
        <w:lastRenderedPageBreak/>
        <w:t>Benefits to h</w:t>
      </w:r>
      <w:r w:rsidR="00D82999">
        <w:t>ydrogen</w:t>
      </w:r>
      <w:r>
        <w:t xml:space="preserve"> and renewables industries</w:t>
      </w:r>
      <w:r w:rsidR="00D82999">
        <w:t>, a</w:t>
      </w:r>
      <w:r w:rsidR="00D9687D">
        <w:t>s product</w:t>
      </w:r>
      <w:r>
        <w:t>s</w:t>
      </w:r>
      <w:r w:rsidR="00D9687D">
        <w:t xml:space="preserve"> that </w:t>
      </w:r>
      <w:r w:rsidR="00052C79">
        <w:t>w</w:t>
      </w:r>
      <w:r w:rsidR="00D9687D">
        <w:t xml:space="preserve">ould be </w:t>
      </w:r>
      <w:r w:rsidR="0082518D">
        <w:t>the</w:t>
      </w:r>
      <w:r w:rsidR="00041845">
        <w:t xml:space="preserve"> initial</w:t>
      </w:r>
      <w:r w:rsidR="0082518D">
        <w:t xml:space="preserve"> subject</w:t>
      </w:r>
      <w:r w:rsidR="00041845">
        <w:t>s</w:t>
      </w:r>
      <w:r w:rsidR="0082518D">
        <w:t xml:space="preserve"> of </w:t>
      </w:r>
      <w:r w:rsidR="00171E4D">
        <w:t xml:space="preserve">a certification scheme, </w:t>
      </w:r>
      <w:r w:rsidR="00272A21">
        <w:t>are</w:t>
      </w:r>
      <w:r w:rsidR="00171E4D">
        <w:t xml:space="preserve"> considered in greater detail</w:t>
      </w:r>
      <w:r w:rsidR="00E41E39">
        <w:t>. H</w:t>
      </w:r>
      <w:r w:rsidR="00171E4D">
        <w:t>owever</w:t>
      </w:r>
      <w:r w:rsidR="00714D05">
        <w:t>,</w:t>
      </w:r>
      <w:r w:rsidR="00171E4D">
        <w:t xml:space="preserve"> </w:t>
      </w:r>
      <w:r w:rsidR="003632B3">
        <w:t xml:space="preserve">as a GO </w:t>
      </w:r>
      <w:r w:rsidR="00171E4D">
        <w:t xml:space="preserve">scheme </w:t>
      </w:r>
      <w:r w:rsidR="003632B3">
        <w:t xml:space="preserve">would be designed </w:t>
      </w:r>
      <w:r w:rsidR="00171E4D">
        <w:t>to expand</w:t>
      </w:r>
      <w:r w:rsidR="0062525E">
        <w:t xml:space="preserve"> to include other products</w:t>
      </w:r>
      <w:r w:rsidR="00FF3B4F">
        <w:t xml:space="preserve"> over time</w:t>
      </w:r>
      <w:r w:rsidR="0062525E">
        <w:t>,</w:t>
      </w:r>
      <w:r w:rsidR="00272A21">
        <w:t xml:space="preserve"> the ben</w:t>
      </w:r>
      <w:r w:rsidR="00B56703">
        <w:t xml:space="preserve">efit of </w:t>
      </w:r>
      <w:r w:rsidR="000A5CA4">
        <w:t>a certification approach itself</w:t>
      </w:r>
      <w:r w:rsidR="00E41E39">
        <w:t xml:space="preserve"> and what it </w:t>
      </w:r>
      <w:r w:rsidR="000750C7">
        <w:t xml:space="preserve">can </w:t>
      </w:r>
      <w:r w:rsidR="00E41E39">
        <w:t>enable</w:t>
      </w:r>
      <w:r w:rsidR="000750C7">
        <w:t xml:space="preserve"> in the future </w:t>
      </w:r>
      <w:r w:rsidR="006F5D1E">
        <w:t>must be kept in mind</w:t>
      </w:r>
      <w:r w:rsidR="00E41E39">
        <w:t xml:space="preserve">. </w:t>
      </w:r>
      <w:r w:rsidR="00FB0C80">
        <w:t>A</w:t>
      </w:r>
      <w:r w:rsidR="00661359">
        <w:t xml:space="preserve"> </w:t>
      </w:r>
      <w:r w:rsidR="00B6144A">
        <w:t xml:space="preserve">summary of </w:t>
      </w:r>
      <w:r w:rsidR="00FB0C80">
        <w:t xml:space="preserve">benefits </w:t>
      </w:r>
      <w:r w:rsidR="00EC2EC2">
        <w:t>with respect to regulator</w:t>
      </w:r>
      <w:r w:rsidR="0064599B">
        <w:t>y</w:t>
      </w:r>
      <w:r w:rsidR="00EC2EC2">
        <w:t xml:space="preserve"> burden for each option </w:t>
      </w:r>
      <w:r w:rsidR="009361F0">
        <w:t xml:space="preserve">is </w:t>
      </w:r>
      <w:r w:rsidR="0028137D">
        <w:t>included below</w:t>
      </w:r>
      <w:r w:rsidR="00D85A2D">
        <w:t>.</w:t>
      </w:r>
    </w:p>
    <w:p w14:paraId="1DFF2FE2" w14:textId="4B129C41" w:rsidR="00651F89" w:rsidRPr="00E64DC7" w:rsidRDefault="00E929A5" w:rsidP="00E64DC7">
      <w:pPr>
        <w:pStyle w:val="Heading2"/>
        <w:spacing w:before="240"/>
        <w:rPr>
          <w:sz w:val="28"/>
          <w:szCs w:val="28"/>
        </w:rPr>
      </w:pPr>
      <w:bookmarkStart w:id="32" w:name="_Toc1830591336"/>
      <w:bookmarkStart w:id="33" w:name="_Toc165367216"/>
      <w:bookmarkStart w:id="34" w:name="_Toc175312085"/>
      <w:r>
        <w:rPr>
          <w:sz w:val="28"/>
          <w:szCs w:val="28"/>
        </w:rPr>
        <w:t xml:space="preserve">Net Benefit for </w:t>
      </w:r>
      <w:r w:rsidR="00651F89" w:rsidRPr="00E64DC7">
        <w:rPr>
          <w:sz w:val="28"/>
          <w:szCs w:val="28"/>
        </w:rPr>
        <w:t xml:space="preserve">Option 1 – </w:t>
      </w:r>
      <w:r w:rsidR="00315EE8">
        <w:rPr>
          <w:sz w:val="28"/>
          <w:szCs w:val="28"/>
        </w:rPr>
        <w:t>Non-regulatory approach</w:t>
      </w:r>
      <w:bookmarkEnd w:id="32"/>
      <w:bookmarkEnd w:id="33"/>
      <w:bookmarkEnd w:id="34"/>
    </w:p>
    <w:p w14:paraId="2D8FC84B" w14:textId="722395D8" w:rsidR="0017096F" w:rsidRDefault="00AC685E" w:rsidP="00176BA1">
      <w:pPr>
        <w:pStyle w:val="Heading4"/>
      </w:pPr>
      <w:r>
        <w:t>Maintaining the status quo</w:t>
      </w:r>
    </w:p>
    <w:p w14:paraId="3D8B24EA" w14:textId="67AAEB3F" w:rsidR="00EA41B0" w:rsidRDefault="00EA41B0" w:rsidP="00EA41B0">
      <w:pPr>
        <w:pStyle w:val="BodyText"/>
      </w:pPr>
      <w:r>
        <w:t>There are no costs to comply with a government framework under this option. While industry-led schemes may develop for hydrogen and other products, the likelihood of this occurring, and the scope and design of the schemes if they do occur are too uncertain to quantify. For renewable electricity, the Renewable Energy Target scheme will continue to operate until 2030, however this is an existing policy</w:t>
      </w:r>
      <w:r w:rsidR="005073E1">
        <w:t>,</w:t>
      </w:r>
      <w:r>
        <w:t xml:space="preserve"> so those costs are included in the baseline. There will be no regulatory costs associated with renewable certification after 2030, as no </w:t>
      </w:r>
      <w:r w:rsidR="00836F1A">
        <w:t xml:space="preserve">new </w:t>
      </w:r>
      <w:r>
        <w:t xml:space="preserve">certification mechanism </w:t>
      </w:r>
      <w:r w:rsidR="00836F1A">
        <w:t>would</w:t>
      </w:r>
      <w:r>
        <w:t xml:space="preserve"> be introduced.</w:t>
      </w:r>
    </w:p>
    <w:p w14:paraId="5C7F3E16" w14:textId="47B97142" w:rsidR="006948B8" w:rsidRDefault="00E03671" w:rsidP="006948B8">
      <w:pPr>
        <w:pStyle w:val="BodyText"/>
      </w:pPr>
      <w:r>
        <w:t>Maintaining the status quo would mean that p</w:t>
      </w:r>
      <w:r w:rsidR="00A71369">
        <w:t xml:space="preserve">roducers and consumers would </w:t>
      </w:r>
      <w:r w:rsidR="00901224">
        <w:t xml:space="preserve">continue to be impacted by the </w:t>
      </w:r>
      <w:r w:rsidR="00901224" w:rsidDel="00091613">
        <w:t xml:space="preserve">current </w:t>
      </w:r>
      <w:r w:rsidR="00FC1AB8" w:rsidRPr="00FC1AB8">
        <w:t>uncertainty in the hydrogen and renewable electricity industry</w:t>
      </w:r>
      <w:r w:rsidR="00FC1AB8">
        <w:t>.</w:t>
      </w:r>
      <w:r w:rsidR="009D7165">
        <w:t xml:space="preserve"> Industry-led schemes ma</w:t>
      </w:r>
      <w:r w:rsidR="00866208">
        <w:t>y</w:t>
      </w:r>
      <w:r w:rsidR="009D7165">
        <w:t xml:space="preserve"> emerge, </w:t>
      </w:r>
      <w:r w:rsidR="00866208">
        <w:t>but these are likely to be</w:t>
      </w:r>
      <w:r w:rsidR="00264CB9">
        <w:t xml:space="preserve"> overlapping and</w:t>
      </w:r>
      <w:r w:rsidR="00866208">
        <w:t xml:space="preserve"> inconsistent</w:t>
      </w:r>
      <w:r w:rsidR="00DE2603">
        <w:t xml:space="preserve">. </w:t>
      </w:r>
      <w:r w:rsidR="005C2348">
        <w:t xml:space="preserve">This would undermine trust </w:t>
      </w:r>
      <w:r w:rsidR="00FC1386">
        <w:t>and introduce</w:t>
      </w:r>
      <w:r w:rsidR="004350C7">
        <w:t xml:space="preserve"> uncertainty to the</w:t>
      </w:r>
      <w:r w:rsidR="002A0860">
        <w:t xml:space="preserve"> market rather than reducing barriers. </w:t>
      </w:r>
      <w:r w:rsidR="00866208">
        <w:t xml:space="preserve"> </w:t>
      </w:r>
    </w:p>
    <w:p w14:paraId="0C760978" w14:textId="74ABEF0C" w:rsidR="00176BA1" w:rsidRDefault="00395051" w:rsidP="00176BA1">
      <w:pPr>
        <w:pStyle w:val="BodyText"/>
      </w:pPr>
      <w:r>
        <w:t>Th</w:t>
      </w:r>
      <w:r w:rsidR="008102C2">
        <w:t>is</w:t>
      </w:r>
      <w:r>
        <w:t xml:space="preserve"> uncertainty has the potential to negatively impact Australia’s international reputation as a committed actor against climate change and reliable partner in the world’s rapid energy transition.</w:t>
      </w:r>
      <w:r w:rsidR="00115858">
        <w:t xml:space="preserve"> </w:t>
      </w:r>
      <w:r w:rsidR="00F72CAA">
        <w:t>The status quo option</w:t>
      </w:r>
      <w:r w:rsidR="0021303A">
        <w:t xml:space="preserve"> represents a </w:t>
      </w:r>
      <w:r w:rsidR="005B7CDC">
        <w:t xml:space="preserve">reduced </w:t>
      </w:r>
      <w:r w:rsidR="00517536">
        <w:t xml:space="preserve">initial impact </w:t>
      </w:r>
      <w:r w:rsidR="007010D5">
        <w:t xml:space="preserve">and compliance cost </w:t>
      </w:r>
      <w:r w:rsidR="00517536">
        <w:t>on industry</w:t>
      </w:r>
      <w:r w:rsidR="00A3333A">
        <w:t xml:space="preserve"> when contrasted with </w:t>
      </w:r>
      <w:r w:rsidR="004A2461">
        <w:t xml:space="preserve">burden of the other policy </w:t>
      </w:r>
      <w:r w:rsidR="00A3333A">
        <w:t>options</w:t>
      </w:r>
      <w:r w:rsidR="00517536">
        <w:t xml:space="preserve">, but a longer-term </w:t>
      </w:r>
      <w:r w:rsidR="0068178E">
        <w:t xml:space="preserve">loss of </w:t>
      </w:r>
      <w:r w:rsidR="00517536">
        <w:t xml:space="preserve">opportunities and </w:t>
      </w:r>
      <w:r w:rsidR="00AB3F9A">
        <w:t>growth.</w:t>
      </w:r>
      <w:r w:rsidR="003929ED">
        <w:t xml:space="preserve"> </w:t>
      </w:r>
    </w:p>
    <w:p w14:paraId="5D75ED36" w14:textId="4EDF3C04" w:rsidR="007010D5" w:rsidRPr="00E64DC7" w:rsidRDefault="00F223FF" w:rsidP="007010D5">
      <w:pPr>
        <w:pStyle w:val="BodyText"/>
      </w:pPr>
      <w:r>
        <w:t>P</w:t>
      </w:r>
      <w:r w:rsidR="007010D5" w:rsidRPr="00E64DC7">
        <w:t xml:space="preserve">otential consequences </w:t>
      </w:r>
      <w:r w:rsidR="005C4031">
        <w:t xml:space="preserve">of this option </w:t>
      </w:r>
      <w:r w:rsidR="007010D5" w:rsidRPr="00E64DC7">
        <w:t>include:</w:t>
      </w:r>
    </w:p>
    <w:p w14:paraId="1946D2FE" w14:textId="06AC9357" w:rsidR="00595878" w:rsidRPr="00E76953" w:rsidRDefault="007010D5" w:rsidP="000E68D8">
      <w:pPr>
        <w:pStyle w:val="Default"/>
        <w:numPr>
          <w:ilvl w:val="0"/>
          <w:numId w:val="35"/>
        </w:numPr>
        <w:spacing w:after="120" w:line="264" w:lineRule="auto"/>
        <w:ind w:left="714" w:hanging="357"/>
        <w:contextualSpacing/>
        <w:rPr>
          <w:rFonts w:asciiTheme="minorHAnsi" w:hAnsiTheme="minorHAnsi" w:cstheme="minorHAnsi"/>
          <w:color w:val="auto"/>
          <w:sz w:val="20"/>
          <w:szCs w:val="20"/>
          <w:lang w:val="en-US"/>
        </w:rPr>
      </w:pPr>
      <w:r w:rsidRPr="00595878">
        <w:rPr>
          <w:rFonts w:asciiTheme="minorHAnsi" w:hAnsiTheme="minorHAnsi" w:cstheme="minorHAnsi"/>
          <w:color w:val="auto"/>
          <w:sz w:val="20"/>
          <w:szCs w:val="20"/>
        </w:rPr>
        <w:t xml:space="preserve">Failure </w:t>
      </w:r>
      <w:r w:rsidR="002C34BD">
        <w:rPr>
          <w:rFonts w:asciiTheme="minorHAnsi" w:hAnsiTheme="minorHAnsi" w:cstheme="minorHAnsi"/>
          <w:color w:val="auto"/>
          <w:sz w:val="20"/>
          <w:szCs w:val="20"/>
        </w:rPr>
        <w:t xml:space="preserve">of emerging green industries </w:t>
      </w:r>
      <w:r w:rsidRPr="00595878">
        <w:rPr>
          <w:rFonts w:asciiTheme="minorHAnsi" w:hAnsiTheme="minorHAnsi" w:cstheme="minorHAnsi"/>
          <w:color w:val="auto"/>
          <w:sz w:val="20"/>
          <w:szCs w:val="20"/>
        </w:rPr>
        <w:t xml:space="preserve">to capture significant trade/economic opportunities associated with clean energy export, due to Australian products failing to </w:t>
      </w:r>
      <w:r w:rsidR="00505875">
        <w:rPr>
          <w:rFonts w:asciiTheme="minorHAnsi" w:hAnsiTheme="minorHAnsi" w:cstheme="minorHAnsi"/>
          <w:color w:val="auto"/>
          <w:sz w:val="20"/>
          <w:szCs w:val="20"/>
        </w:rPr>
        <w:t>prove they</w:t>
      </w:r>
      <w:r w:rsidRPr="00595878">
        <w:rPr>
          <w:rFonts w:asciiTheme="minorHAnsi" w:hAnsiTheme="minorHAnsi" w:cstheme="minorHAnsi"/>
          <w:color w:val="auto"/>
          <w:sz w:val="20"/>
          <w:szCs w:val="20"/>
        </w:rPr>
        <w:t xml:space="preserve"> satisfy consumer needs</w:t>
      </w:r>
      <w:r w:rsidR="00C15057">
        <w:rPr>
          <w:rFonts w:asciiTheme="minorHAnsi" w:hAnsiTheme="minorHAnsi" w:cstheme="minorHAnsi"/>
          <w:color w:val="auto"/>
          <w:sz w:val="20"/>
          <w:szCs w:val="20"/>
        </w:rPr>
        <w:t>.</w:t>
      </w:r>
    </w:p>
    <w:p w14:paraId="1C9BDC0D" w14:textId="70918F07" w:rsidR="007010D5" w:rsidRPr="002E1D5D" w:rsidRDefault="007010D5" w:rsidP="000E68D8">
      <w:pPr>
        <w:pStyle w:val="Default"/>
        <w:numPr>
          <w:ilvl w:val="0"/>
          <w:numId w:val="35"/>
        </w:numPr>
        <w:spacing w:after="120" w:line="264" w:lineRule="auto"/>
        <w:ind w:left="714" w:hanging="357"/>
        <w:contextualSpacing/>
        <w:rPr>
          <w:rFonts w:asciiTheme="minorHAnsi" w:hAnsiTheme="minorHAnsi" w:cstheme="minorHAnsi"/>
          <w:color w:val="auto"/>
          <w:sz w:val="20"/>
          <w:szCs w:val="20"/>
          <w:lang w:val="en-US"/>
        </w:rPr>
      </w:pPr>
      <w:r>
        <w:rPr>
          <w:rFonts w:asciiTheme="minorHAnsi" w:hAnsiTheme="minorHAnsi" w:cstheme="minorHAnsi"/>
          <w:color w:val="auto"/>
          <w:sz w:val="20"/>
          <w:szCs w:val="20"/>
          <w:lang w:val="en-US"/>
        </w:rPr>
        <w:t xml:space="preserve">Possible restrictions to </w:t>
      </w:r>
      <w:r w:rsidR="00932FCC">
        <w:rPr>
          <w:rFonts w:asciiTheme="minorHAnsi" w:hAnsiTheme="minorHAnsi" w:cstheme="minorHAnsi"/>
          <w:color w:val="auto"/>
          <w:sz w:val="20"/>
          <w:szCs w:val="20"/>
          <w:lang w:val="en-US"/>
        </w:rPr>
        <w:t xml:space="preserve">the </w:t>
      </w:r>
      <w:r>
        <w:rPr>
          <w:rFonts w:asciiTheme="minorHAnsi" w:hAnsiTheme="minorHAnsi" w:cstheme="minorHAnsi"/>
          <w:color w:val="auto"/>
          <w:sz w:val="20"/>
          <w:szCs w:val="20"/>
          <w:lang w:val="en-US"/>
        </w:rPr>
        <w:t>t</w:t>
      </w:r>
      <w:r w:rsidRPr="002E1D5D">
        <w:rPr>
          <w:rFonts w:asciiTheme="minorHAnsi" w:hAnsiTheme="minorHAnsi" w:cstheme="minorHAnsi"/>
          <w:color w:val="auto"/>
          <w:sz w:val="20"/>
          <w:szCs w:val="20"/>
          <w:lang w:val="en-US"/>
        </w:rPr>
        <w:t>rade of Australian products if they are unable to demonstrate compliance with country and regional requirements (e.g. CBAM, country of origin)</w:t>
      </w:r>
    </w:p>
    <w:p w14:paraId="05356A04" w14:textId="0CD5BA3D" w:rsidR="00891E63" w:rsidRPr="00792EA0" w:rsidRDefault="007010D5" w:rsidP="000E68D8">
      <w:pPr>
        <w:pStyle w:val="Default"/>
        <w:numPr>
          <w:ilvl w:val="0"/>
          <w:numId w:val="35"/>
        </w:numPr>
        <w:spacing w:after="120" w:line="264" w:lineRule="auto"/>
        <w:ind w:left="714" w:hanging="357"/>
        <w:contextualSpacing/>
        <w:rPr>
          <w:rFonts w:asciiTheme="minorHAnsi" w:hAnsiTheme="minorHAnsi" w:cstheme="minorHAnsi"/>
          <w:color w:val="auto"/>
          <w:sz w:val="20"/>
          <w:szCs w:val="20"/>
          <w:lang w:val="en-US"/>
        </w:rPr>
      </w:pPr>
      <w:r w:rsidRPr="002E1D5D">
        <w:rPr>
          <w:rFonts w:asciiTheme="minorHAnsi" w:hAnsiTheme="minorHAnsi" w:cstheme="minorHAnsi"/>
          <w:color w:val="auto"/>
          <w:sz w:val="20"/>
          <w:szCs w:val="20"/>
        </w:rPr>
        <w:t>Reputational damage arising from perceptions that Australia is failing to act on important climate/emissions reduction initiatives.</w:t>
      </w:r>
    </w:p>
    <w:p w14:paraId="462CDC4F" w14:textId="2B9A7F36" w:rsidR="007C0D3D" w:rsidRPr="007C0D3D" w:rsidRDefault="00792EA0" w:rsidP="00780D5D">
      <w:pPr>
        <w:pStyle w:val="Default"/>
        <w:numPr>
          <w:ilvl w:val="0"/>
          <w:numId w:val="35"/>
        </w:numPr>
        <w:spacing w:after="120" w:line="264" w:lineRule="auto"/>
        <w:ind w:left="714" w:hanging="357"/>
        <w:contextualSpacing/>
        <w:rPr>
          <w:rFonts w:asciiTheme="minorHAnsi" w:hAnsiTheme="minorHAnsi" w:cstheme="minorHAnsi"/>
          <w:color w:val="auto"/>
          <w:sz w:val="20"/>
          <w:szCs w:val="20"/>
          <w:lang w:val="en-US"/>
        </w:rPr>
      </w:pPr>
      <w:r>
        <w:rPr>
          <w:rFonts w:asciiTheme="minorHAnsi" w:hAnsiTheme="minorHAnsi" w:cstheme="minorHAnsi"/>
          <w:color w:val="auto"/>
          <w:sz w:val="20"/>
          <w:szCs w:val="20"/>
        </w:rPr>
        <w:t>Lack of trust in inconsistent</w:t>
      </w:r>
      <w:r w:rsidR="006B36FC">
        <w:rPr>
          <w:rFonts w:asciiTheme="minorHAnsi" w:hAnsiTheme="minorHAnsi" w:cstheme="minorHAnsi"/>
          <w:color w:val="auto"/>
          <w:sz w:val="20"/>
          <w:szCs w:val="20"/>
        </w:rPr>
        <w:t>,</w:t>
      </w:r>
      <w:r>
        <w:rPr>
          <w:rFonts w:asciiTheme="minorHAnsi" w:hAnsiTheme="minorHAnsi" w:cstheme="minorHAnsi"/>
          <w:color w:val="auto"/>
          <w:sz w:val="20"/>
          <w:szCs w:val="20"/>
        </w:rPr>
        <w:t xml:space="preserve"> industry-led schemes </w:t>
      </w:r>
      <w:r w:rsidR="00D22AE6">
        <w:rPr>
          <w:rFonts w:asciiTheme="minorHAnsi" w:hAnsiTheme="minorHAnsi" w:cstheme="minorHAnsi"/>
          <w:color w:val="auto"/>
          <w:sz w:val="20"/>
          <w:szCs w:val="20"/>
        </w:rPr>
        <w:t xml:space="preserve">that </w:t>
      </w:r>
      <w:r w:rsidR="005B2FFA">
        <w:rPr>
          <w:rFonts w:asciiTheme="minorHAnsi" w:hAnsiTheme="minorHAnsi" w:cstheme="minorHAnsi"/>
          <w:color w:val="auto"/>
          <w:sz w:val="20"/>
          <w:szCs w:val="20"/>
        </w:rPr>
        <w:t>may reduce investment</w:t>
      </w:r>
      <w:r w:rsidR="00992A12">
        <w:rPr>
          <w:rFonts w:asciiTheme="minorHAnsi" w:hAnsiTheme="minorHAnsi" w:cstheme="minorHAnsi"/>
          <w:color w:val="auto"/>
          <w:sz w:val="20"/>
          <w:szCs w:val="20"/>
        </w:rPr>
        <w:t>, industry-scale-up and export opportunities</w:t>
      </w:r>
      <w:r w:rsidR="005E505D">
        <w:rPr>
          <w:rFonts w:asciiTheme="minorHAnsi" w:hAnsiTheme="minorHAnsi" w:cstheme="minorHAnsi"/>
          <w:color w:val="auto"/>
          <w:sz w:val="20"/>
          <w:szCs w:val="20"/>
        </w:rPr>
        <w:t xml:space="preserve"> and lead to i</w:t>
      </w:r>
      <w:r w:rsidR="005E505D" w:rsidRPr="00595878">
        <w:rPr>
          <w:rFonts w:asciiTheme="minorHAnsi" w:hAnsiTheme="minorHAnsi" w:cstheme="minorHAnsi"/>
          <w:color w:val="auto"/>
          <w:sz w:val="20"/>
          <w:szCs w:val="20"/>
        </w:rPr>
        <w:t>ncreased difficulty for hydrogen and renewable energy projects to secure project finance.</w:t>
      </w:r>
    </w:p>
    <w:p w14:paraId="0F82B358" w14:textId="66464A23" w:rsidR="004E7A67" w:rsidRPr="00B23A95" w:rsidRDefault="001D5E31" w:rsidP="00B23A95">
      <w:pPr>
        <w:pStyle w:val="Default"/>
        <w:numPr>
          <w:ilvl w:val="0"/>
          <w:numId w:val="35"/>
        </w:numPr>
        <w:spacing w:after="120" w:line="276" w:lineRule="auto"/>
        <w:ind w:left="714" w:hanging="357"/>
        <w:contextualSpacing/>
        <w:rPr>
          <w:rFonts w:asciiTheme="minorHAnsi" w:hAnsiTheme="minorHAnsi" w:cstheme="minorHAnsi"/>
          <w:color w:val="auto"/>
          <w:sz w:val="20"/>
          <w:szCs w:val="20"/>
        </w:rPr>
      </w:pPr>
      <w:r>
        <w:rPr>
          <w:rFonts w:asciiTheme="minorHAnsi" w:hAnsiTheme="minorHAnsi" w:cstheme="minorHAnsi"/>
          <w:color w:val="auto"/>
          <w:sz w:val="20"/>
          <w:szCs w:val="20"/>
        </w:rPr>
        <w:t>Over the long term, i</w:t>
      </w:r>
      <w:r w:rsidR="00875083" w:rsidRPr="00B23A95">
        <w:rPr>
          <w:rFonts w:asciiTheme="minorHAnsi" w:hAnsiTheme="minorHAnsi" w:cstheme="minorHAnsi"/>
          <w:color w:val="auto"/>
          <w:sz w:val="20"/>
          <w:szCs w:val="20"/>
        </w:rPr>
        <w:t xml:space="preserve">nconsistent industry-led schemes </w:t>
      </w:r>
      <w:r w:rsidR="004E7A67" w:rsidRPr="00B23A95">
        <w:rPr>
          <w:rFonts w:asciiTheme="minorHAnsi" w:hAnsiTheme="minorHAnsi" w:cstheme="minorHAnsi"/>
          <w:color w:val="auto"/>
          <w:sz w:val="20"/>
          <w:szCs w:val="20"/>
        </w:rPr>
        <w:t>could result in additional layers of assurance burden</w:t>
      </w:r>
      <w:r w:rsidR="00B23A95">
        <w:rPr>
          <w:rFonts w:asciiTheme="minorHAnsi" w:hAnsiTheme="minorHAnsi" w:cstheme="minorHAnsi"/>
          <w:color w:val="auto"/>
          <w:sz w:val="20"/>
          <w:szCs w:val="20"/>
        </w:rPr>
        <w:t xml:space="preserve"> and associated costs</w:t>
      </w:r>
      <w:r w:rsidR="004E7A67" w:rsidRPr="00B23A95">
        <w:rPr>
          <w:rFonts w:asciiTheme="minorHAnsi" w:hAnsiTheme="minorHAnsi" w:cstheme="minorHAnsi"/>
          <w:color w:val="auto"/>
          <w:sz w:val="20"/>
          <w:szCs w:val="20"/>
        </w:rPr>
        <w:t>:</w:t>
      </w:r>
    </w:p>
    <w:p w14:paraId="35600704" w14:textId="45E2B3E8" w:rsidR="00A6268E" w:rsidRDefault="002F41B4" w:rsidP="00A6268E">
      <w:pPr>
        <w:pStyle w:val="Default"/>
        <w:numPr>
          <w:ilvl w:val="1"/>
          <w:numId w:val="35"/>
        </w:numPr>
        <w:spacing w:after="120" w:line="276" w:lineRule="auto"/>
        <w:contextualSpacing/>
        <w:rPr>
          <w:rFonts w:asciiTheme="minorHAnsi" w:hAnsiTheme="minorHAnsi" w:cstheme="minorHAnsi"/>
          <w:color w:val="auto"/>
          <w:sz w:val="20"/>
          <w:szCs w:val="20"/>
        </w:rPr>
      </w:pPr>
      <w:r>
        <w:rPr>
          <w:rFonts w:asciiTheme="minorHAnsi" w:hAnsiTheme="minorHAnsi" w:cstheme="minorHAnsi"/>
          <w:color w:val="auto"/>
          <w:sz w:val="20"/>
          <w:szCs w:val="20"/>
        </w:rPr>
        <w:t>P</w:t>
      </w:r>
      <w:r w:rsidR="004B261C" w:rsidRPr="00831C46">
        <w:rPr>
          <w:rFonts w:asciiTheme="minorHAnsi" w:hAnsiTheme="minorHAnsi" w:cstheme="minorHAnsi"/>
          <w:color w:val="auto"/>
          <w:sz w:val="20"/>
          <w:szCs w:val="20"/>
        </w:rPr>
        <w:t xml:space="preserve">roducers </w:t>
      </w:r>
      <w:r w:rsidR="00780D5D" w:rsidRPr="00831C46">
        <w:rPr>
          <w:rFonts w:asciiTheme="minorHAnsi" w:hAnsiTheme="minorHAnsi" w:cstheme="minorHAnsi"/>
          <w:color w:val="auto"/>
          <w:sz w:val="20"/>
          <w:szCs w:val="20"/>
        </w:rPr>
        <w:t xml:space="preserve">would have to </w:t>
      </w:r>
      <w:r w:rsidR="000C580B" w:rsidRPr="00831C46">
        <w:rPr>
          <w:rFonts w:asciiTheme="minorHAnsi" w:hAnsiTheme="minorHAnsi" w:cstheme="minorHAnsi"/>
          <w:color w:val="auto"/>
          <w:sz w:val="20"/>
          <w:szCs w:val="20"/>
        </w:rPr>
        <w:t xml:space="preserve">procure independent assurance of the emissions credentials of their products to ensure compatibility with export </w:t>
      </w:r>
      <w:r w:rsidR="004B261C" w:rsidRPr="00831C46">
        <w:rPr>
          <w:rFonts w:asciiTheme="minorHAnsi" w:hAnsiTheme="minorHAnsi" w:cstheme="minorHAnsi"/>
          <w:color w:val="auto"/>
          <w:sz w:val="20"/>
          <w:szCs w:val="20"/>
        </w:rPr>
        <w:t>requirements</w:t>
      </w:r>
      <w:r w:rsidR="005218E1" w:rsidRPr="00831C46">
        <w:rPr>
          <w:rFonts w:asciiTheme="minorHAnsi" w:hAnsiTheme="minorHAnsi" w:cstheme="minorHAnsi"/>
          <w:color w:val="auto"/>
          <w:sz w:val="20"/>
          <w:szCs w:val="20"/>
        </w:rPr>
        <w:t xml:space="preserve"> on an ongoing basis.</w:t>
      </w:r>
      <w:r w:rsidR="00EB7313">
        <w:rPr>
          <w:rFonts w:asciiTheme="minorHAnsi" w:hAnsiTheme="minorHAnsi" w:cstheme="minorHAnsi"/>
          <w:color w:val="auto"/>
          <w:sz w:val="20"/>
          <w:szCs w:val="20"/>
        </w:rPr>
        <w:t xml:space="preserve"> </w:t>
      </w:r>
      <w:r w:rsidR="006948B8" w:rsidRPr="00EB7313">
        <w:rPr>
          <w:rFonts w:asciiTheme="minorHAnsi" w:hAnsiTheme="minorHAnsi" w:cstheme="minorHAnsi"/>
          <w:color w:val="auto"/>
          <w:sz w:val="20"/>
          <w:szCs w:val="20"/>
        </w:rPr>
        <w:t xml:space="preserve">This would include a process to identify </w:t>
      </w:r>
      <w:r w:rsidR="006948B8">
        <w:rPr>
          <w:rFonts w:asciiTheme="minorHAnsi" w:hAnsiTheme="minorHAnsi" w:cstheme="minorHAnsi"/>
          <w:color w:val="auto"/>
          <w:sz w:val="20"/>
          <w:szCs w:val="20"/>
        </w:rPr>
        <w:t>what</w:t>
      </w:r>
      <w:r w:rsidR="006948B8" w:rsidRPr="00EB7313">
        <w:rPr>
          <w:rFonts w:asciiTheme="minorHAnsi" w:hAnsiTheme="minorHAnsi" w:cstheme="minorHAnsi"/>
          <w:color w:val="auto"/>
          <w:sz w:val="20"/>
          <w:szCs w:val="20"/>
        </w:rPr>
        <w:t xml:space="preserve"> international and domestic standards are applicable</w:t>
      </w:r>
      <w:r w:rsidR="006948B8">
        <w:rPr>
          <w:rFonts w:asciiTheme="minorHAnsi" w:hAnsiTheme="minorHAnsi" w:cstheme="minorHAnsi"/>
          <w:color w:val="auto"/>
          <w:sz w:val="20"/>
          <w:szCs w:val="20"/>
        </w:rPr>
        <w:t xml:space="preserve">, which </w:t>
      </w:r>
      <w:r w:rsidR="006948B8" w:rsidRPr="00EB7313">
        <w:rPr>
          <w:rFonts w:asciiTheme="minorHAnsi" w:hAnsiTheme="minorHAnsi" w:cstheme="minorHAnsi"/>
          <w:color w:val="auto"/>
          <w:sz w:val="20"/>
          <w:szCs w:val="20"/>
        </w:rPr>
        <w:t xml:space="preserve">can be extremely difficult </w:t>
      </w:r>
      <w:r w:rsidR="006948B8">
        <w:rPr>
          <w:rFonts w:asciiTheme="minorHAnsi" w:hAnsiTheme="minorHAnsi" w:cstheme="minorHAnsi"/>
          <w:color w:val="auto"/>
          <w:sz w:val="20"/>
          <w:szCs w:val="20"/>
        </w:rPr>
        <w:t xml:space="preserve">to do </w:t>
      </w:r>
      <w:r w:rsidR="006948B8" w:rsidRPr="00EB7313">
        <w:rPr>
          <w:rFonts w:asciiTheme="minorHAnsi" w:hAnsiTheme="minorHAnsi" w:cstheme="minorHAnsi"/>
          <w:color w:val="auto"/>
          <w:sz w:val="20"/>
          <w:szCs w:val="20"/>
        </w:rPr>
        <w:t>for products such as hydrogen</w:t>
      </w:r>
      <w:r w:rsidR="006948B8">
        <w:rPr>
          <w:rFonts w:asciiTheme="minorHAnsi" w:hAnsiTheme="minorHAnsi" w:cstheme="minorHAnsi"/>
          <w:color w:val="auto"/>
          <w:sz w:val="20"/>
          <w:szCs w:val="20"/>
        </w:rPr>
        <w:t>,</w:t>
      </w:r>
      <w:r w:rsidR="006948B8" w:rsidRPr="00EB7313">
        <w:rPr>
          <w:rFonts w:asciiTheme="minorHAnsi" w:hAnsiTheme="minorHAnsi" w:cstheme="minorHAnsi"/>
          <w:color w:val="auto"/>
          <w:sz w:val="20"/>
          <w:szCs w:val="20"/>
        </w:rPr>
        <w:t xml:space="preserve"> </w:t>
      </w:r>
      <w:r w:rsidR="006948B8">
        <w:rPr>
          <w:rFonts w:asciiTheme="minorHAnsi" w:hAnsiTheme="minorHAnsi" w:cstheme="minorHAnsi"/>
          <w:color w:val="auto"/>
          <w:sz w:val="20"/>
          <w:szCs w:val="20"/>
        </w:rPr>
        <w:t>as they</w:t>
      </w:r>
      <w:r w:rsidR="006948B8" w:rsidRPr="00EB7313">
        <w:rPr>
          <w:rFonts w:asciiTheme="minorHAnsi" w:hAnsiTheme="minorHAnsi" w:cstheme="minorHAnsi"/>
          <w:color w:val="auto"/>
          <w:sz w:val="20"/>
          <w:szCs w:val="20"/>
        </w:rPr>
        <w:t xml:space="preserve"> </w:t>
      </w:r>
      <w:r w:rsidR="007A6D60">
        <w:rPr>
          <w:rFonts w:asciiTheme="minorHAnsi" w:hAnsiTheme="minorHAnsi" w:cstheme="minorHAnsi"/>
          <w:color w:val="auto"/>
          <w:sz w:val="20"/>
          <w:szCs w:val="20"/>
        </w:rPr>
        <w:t>could potentially be supplied to</w:t>
      </w:r>
      <w:r w:rsidR="006948B8" w:rsidRPr="00EB7313">
        <w:rPr>
          <w:rFonts w:asciiTheme="minorHAnsi" w:hAnsiTheme="minorHAnsi" w:cstheme="minorHAnsi"/>
          <w:color w:val="auto"/>
          <w:sz w:val="20"/>
          <w:szCs w:val="20"/>
        </w:rPr>
        <w:t xml:space="preserve"> multiple </w:t>
      </w:r>
      <w:r w:rsidR="007A6D60">
        <w:rPr>
          <w:rFonts w:asciiTheme="minorHAnsi" w:hAnsiTheme="minorHAnsi" w:cstheme="minorHAnsi"/>
          <w:color w:val="auto"/>
          <w:sz w:val="20"/>
          <w:szCs w:val="20"/>
        </w:rPr>
        <w:t>markets</w:t>
      </w:r>
      <w:r w:rsidR="006948B8" w:rsidRPr="00EB7313">
        <w:rPr>
          <w:rFonts w:asciiTheme="minorHAnsi" w:hAnsiTheme="minorHAnsi" w:cstheme="minorHAnsi"/>
          <w:color w:val="auto"/>
          <w:sz w:val="20"/>
          <w:szCs w:val="20"/>
        </w:rPr>
        <w:t xml:space="preserve">. </w:t>
      </w:r>
    </w:p>
    <w:p w14:paraId="53D08775" w14:textId="236D1044" w:rsidR="00046E62" w:rsidRDefault="004B261C" w:rsidP="00046E62">
      <w:pPr>
        <w:pStyle w:val="Default"/>
        <w:numPr>
          <w:ilvl w:val="1"/>
          <w:numId w:val="35"/>
        </w:numPr>
        <w:spacing w:after="120" w:line="276" w:lineRule="auto"/>
        <w:contextualSpacing/>
        <w:rPr>
          <w:rFonts w:asciiTheme="minorHAnsi" w:hAnsiTheme="minorHAnsi" w:cstheme="minorHAnsi"/>
          <w:color w:val="auto"/>
          <w:sz w:val="20"/>
          <w:szCs w:val="20"/>
        </w:rPr>
      </w:pPr>
      <w:r w:rsidRPr="00A6268E">
        <w:rPr>
          <w:rFonts w:asciiTheme="minorHAnsi" w:hAnsiTheme="minorHAnsi" w:cstheme="minorHAnsi"/>
          <w:color w:val="auto"/>
          <w:sz w:val="20"/>
          <w:szCs w:val="20"/>
        </w:rPr>
        <w:t xml:space="preserve">Developers of third-party frameworks will need to </w:t>
      </w:r>
      <w:r w:rsidR="008D64E5" w:rsidRPr="00A6268E">
        <w:rPr>
          <w:rFonts w:asciiTheme="minorHAnsi" w:hAnsiTheme="minorHAnsi" w:cstheme="minorHAnsi"/>
          <w:color w:val="auto"/>
          <w:sz w:val="20"/>
          <w:szCs w:val="20"/>
        </w:rPr>
        <w:t xml:space="preserve">seek </w:t>
      </w:r>
      <w:r w:rsidRPr="00A6268E">
        <w:rPr>
          <w:rFonts w:asciiTheme="minorHAnsi" w:hAnsiTheme="minorHAnsi" w:cstheme="minorHAnsi"/>
          <w:color w:val="auto"/>
          <w:sz w:val="20"/>
          <w:szCs w:val="20"/>
        </w:rPr>
        <w:t>assur</w:t>
      </w:r>
      <w:r w:rsidR="008D64E5" w:rsidRPr="00A6268E">
        <w:rPr>
          <w:rFonts w:asciiTheme="minorHAnsi" w:hAnsiTheme="minorHAnsi" w:cstheme="minorHAnsi"/>
          <w:color w:val="auto"/>
          <w:sz w:val="20"/>
          <w:szCs w:val="20"/>
        </w:rPr>
        <w:t>ance</w:t>
      </w:r>
      <w:r w:rsidRPr="00A6268E">
        <w:rPr>
          <w:rFonts w:asciiTheme="minorHAnsi" w:hAnsiTheme="minorHAnsi" w:cstheme="minorHAnsi"/>
          <w:color w:val="auto"/>
          <w:sz w:val="20"/>
          <w:szCs w:val="20"/>
        </w:rPr>
        <w:t xml:space="preserve"> that the</w:t>
      </w:r>
      <w:r w:rsidR="008D64E5" w:rsidRPr="00A6268E">
        <w:rPr>
          <w:rFonts w:asciiTheme="minorHAnsi" w:hAnsiTheme="minorHAnsi" w:cstheme="minorHAnsi"/>
          <w:color w:val="auto"/>
          <w:sz w:val="20"/>
          <w:szCs w:val="20"/>
        </w:rPr>
        <w:t xml:space="preserve">ir </w:t>
      </w:r>
      <w:r w:rsidR="004B3765" w:rsidRPr="00A6268E">
        <w:rPr>
          <w:rFonts w:asciiTheme="minorHAnsi" w:hAnsiTheme="minorHAnsi" w:cstheme="minorHAnsi"/>
          <w:color w:val="auto"/>
          <w:sz w:val="20"/>
          <w:szCs w:val="20"/>
        </w:rPr>
        <w:t>approach is</w:t>
      </w:r>
      <w:r w:rsidRPr="00A6268E">
        <w:rPr>
          <w:rFonts w:asciiTheme="minorHAnsi" w:hAnsiTheme="minorHAnsi" w:cstheme="minorHAnsi"/>
          <w:color w:val="auto"/>
          <w:sz w:val="20"/>
          <w:szCs w:val="20"/>
        </w:rPr>
        <w:t xml:space="preserve"> consistent</w:t>
      </w:r>
      <w:r w:rsidR="008D64E5" w:rsidRPr="00A6268E">
        <w:rPr>
          <w:rFonts w:asciiTheme="minorHAnsi" w:hAnsiTheme="minorHAnsi" w:cstheme="minorHAnsi"/>
          <w:color w:val="auto"/>
          <w:sz w:val="20"/>
          <w:szCs w:val="20"/>
        </w:rPr>
        <w:t xml:space="preserve"> and compliant</w:t>
      </w:r>
      <w:r w:rsidRPr="00A6268E">
        <w:rPr>
          <w:rFonts w:asciiTheme="minorHAnsi" w:hAnsiTheme="minorHAnsi" w:cstheme="minorHAnsi"/>
          <w:color w:val="auto"/>
          <w:sz w:val="20"/>
          <w:szCs w:val="20"/>
        </w:rPr>
        <w:t xml:space="preserve"> with </w:t>
      </w:r>
      <w:r w:rsidR="001C210B" w:rsidRPr="00A6268E">
        <w:rPr>
          <w:rFonts w:asciiTheme="minorHAnsi" w:hAnsiTheme="minorHAnsi" w:cstheme="minorHAnsi"/>
          <w:color w:val="auto"/>
          <w:sz w:val="20"/>
          <w:szCs w:val="20"/>
        </w:rPr>
        <w:t xml:space="preserve">domestic and international </w:t>
      </w:r>
      <w:r w:rsidR="008D64E5" w:rsidRPr="00A6268E">
        <w:rPr>
          <w:rFonts w:asciiTheme="minorHAnsi" w:hAnsiTheme="minorHAnsi" w:cstheme="minorHAnsi"/>
          <w:color w:val="auto"/>
          <w:sz w:val="20"/>
          <w:szCs w:val="20"/>
        </w:rPr>
        <w:t>criteria.</w:t>
      </w:r>
      <w:r w:rsidR="00BA2210" w:rsidRPr="00A6268E">
        <w:rPr>
          <w:rFonts w:asciiTheme="minorHAnsi" w:hAnsiTheme="minorHAnsi" w:cstheme="minorHAnsi"/>
          <w:color w:val="auto"/>
          <w:sz w:val="20"/>
          <w:szCs w:val="20"/>
        </w:rPr>
        <w:t xml:space="preserve"> They may need to apply for recognition from </w:t>
      </w:r>
      <w:r w:rsidR="00EB7194">
        <w:rPr>
          <w:rFonts w:asciiTheme="minorHAnsi" w:hAnsiTheme="minorHAnsi" w:cstheme="minorHAnsi"/>
          <w:color w:val="auto"/>
          <w:sz w:val="20"/>
          <w:szCs w:val="20"/>
        </w:rPr>
        <w:t>g</w:t>
      </w:r>
      <w:r w:rsidR="00BA2210" w:rsidRPr="00A6268E">
        <w:rPr>
          <w:rFonts w:asciiTheme="minorHAnsi" w:hAnsiTheme="minorHAnsi" w:cstheme="minorHAnsi"/>
          <w:color w:val="auto"/>
          <w:sz w:val="20"/>
          <w:szCs w:val="20"/>
        </w:rPr>
        <w:t>overnments such as the E</w:t>
      </w:r>
      <w:r w:rsidR="001811F4">
        <w:rPr>
          <w:rFonts w:asciiTheme="minorHAnsi" w:hAnsiTheme="minorHAnsi" w:cstheme="minorHAnsi"/>
          <w:color w:val="auto"/>
          <w:sz w:val="20"/>
          <w:szCs w:val="20"/>
        </w:rPr>
        <w:t>uropean Commission</w:t>
      </w:r>
      <w:r w:rsidR="00BA2210" w:rsidRPr="00A6268E">
        <w:rPr>
          <w:rFonts w:asciiTheme="minorHAnsi" w:hAnsiTheme="minorHAnsi" w:cstheme="minorHAnsi"/>
          <w:color w:val="auto"/>
          <w:sz w:val="20"/>
          <w:szCs w:val="20"/>
        </w:rPr>
        <w:t xml:space="preserve">. </w:t>
      </w:r>
    </w:p>
    <w:p w14:paraId="195D2A93" w14:textId="6F5D0F4C" w:rsidR="006948B8" w:rsidRDefault="006948B8" w:rsidP="00046E62">
      <w:pPr>
        <w:pStyle w:val="Default"/>
        <w:numPr>
          <w:ilvl w:val="1"/>
          <w:numId w:val="35"/>
        </w:numPr>
        <w:spacing w:after="120" w:line="276" w:lineRule="auto"/>
        <w:contextualSpacing/>
        <w:rPr>
          <w:rFonts w:asciiTheme="minorHAnsi" w:hAnsiTheme="minorHAnsi" w:cstheme="minorHAnsi"/>
          <w:color w:val="auto"/>
          <w:sz w:val="20"/>
          <w:szCs w:val="20"/>
        </w:rPr>
      </w:pPr>
      <w:r w:rsidRPr="00046E62">
        <w:rPr>
          <w:rFonts w:asciiTheme="minorHAnsi" w:hAnsiTheme="minorHAnsi" w:cstheme="minorHAnsi"/>
          <w:color w:val="auto"/>
          <w:sz w:val="20"/>
          <w:szCs w:val="20"/>
        </w:rPr>
        <w:t xml:space="preserve">Third-party auditors are generally private companies. </w:t>
      </w:r>
      <w:r w:rsidR="00171D9C" w:rsidRPr="00046E62">
        <w:rPr>
          <w:rFonts w:asciiTheme="minorHAnsi" w:hAnsiTheme="minorHAnsi" w:cstheme="minorHAnsi"/>
          <w:color w:val="auto"/>
          <w:sz w:val="20"/>
          <w:szCs w:val="20"/>
        </w:rPr>
        <w:t xml:space="preserve">Multiple industry-led schemes </w:t>
      </w:r>
      <w:r w:rsidR="00FC75B9" w:rsidRPr="00046E62">
        <w:rPr>
          <w:rFonts w:asciiTheme="minorHAnsi" w:hAnsiTheme="minorHAnsi" w:cstheme="minorHAnsi"/>
          <w:color w:val="auto"/>
          <w:sz w:val="20"/>
          <w:szCs w:val="20"/>
        </w:rPr>
        <w:t>are</w:t>
      </w:r>
      <w:r w:rsidRPr="00046E62">
        <w:rPr>
          <w:rFonts w:asciiTheme="minorHAnsi" w:hAnsiTheme="minorHAnsi" w:cstheme="minorHAnsi"/>
          <w:color w:val="auto"/>
          <w:sz w:val="20"/>
          <w:szCs w:val="20"/>
        </w:rPr>
        <w:t xml:space="preserve"> likely to </w:t>
      </w:r>
      <w:r w:rsidR="00455BB9" w:rsidRPr="00046E62">
        <w:rPr>
          <w:rFonts w:asciiTheme="minorHAnsi" w:hAnsiTheme="minorHAnsi" w:cstheme="minorHAnsi"/>
          <w:color w:val="auto"/>
          <w:sz w:val="20"/>
          <w:szCs w:val="20"/>
        </w:rPr>
        <w:t>lead to</w:t>
      </w:r>
      <w:r w:rsidRPr="00046E62">
        <w:rPr>
          <w:rFonts w:asciiTheme="minorHAnsi" w:hAnsiTheme="minorHAnsi" w:cstheme="minorHAnsi"/>
          <w:color w:val="auto"/>
          <w:sz w:val="20"/>
          <w:szCs w:val="20"/>
        </w:rPr>
        <w:t xml:space="preserve"> increased demand for third-party audit and verification services of this kind. As the industry grows, it is likely that the cost of this kind of third-party verification will also increase in a manner that could lead to negative commercial outcomes for Australian producers. Conversely, a legislated scheme would offer long-term term regulatory certainty for industry in terms of cost </w:t>
      </w:r>
      <w:r w:rsidR="00D76AA0" w:rsidRPr="00046E62">
        <w:rPr>
          <w:rFonts w:asciiTheme="minorHAnsi" w:hAnsiTheme="minorHAnsi" w:cstheme="minorHAnsi"/>
          <w:color w:val="auto"/>
          <w:sz w:val="20"/>
          <w:szCs w:val="20"/>
        </w:rPr>
        <w:t>of compliance</w:t>
      </w:r>
      <w:r w:rsidRPr="00046E62">
        <w:rPr>
          <w:rFonts w:asciiTheme="minorHAnsi" w:hAnsiTheme="minorHAnsi" w:cstheme="minorHAnsi"/>
          <w:color w:val="auto"/>
          <w:sz w:val="20"/>
          <w:szCs w:val="20"/>
        </w:rPr>
        <w:t>.</w:t>
      </w:r>
    </w:p>
    <w:p w14:paraId="548881D5" w14:textId="77777777" w:rsidR="002959FA" w:rsidRDefault="002959FA" w:rsidP="002959FA">
      <w:pPr>
        <w:pStyle w:val="Default"/>
        <w:spacing w:after="120" w:line="276" w:lineRule="auto"/>
        <w:contextualSpacing/>
        <w:rPr>
          <w:rFonts w:asciiTheme="minorHAnsi" w:hAnsiTheme="minorHAnsi" w:cstheme="minorHAnsi"/>
          <w:color w:val="auto"/>
          <w:sz w:val="20"/>
          <w:szCs w:val="20"/>
        </w:rPr>
      </w:pPr>
    </w:p>
    <w:p w14:paraId="55E9AF01" w14:textId="77777777" w:rsidR="002959FA" w:rsidRPr="00046E62" w:rsidRDefault="002959FA" w:rsidP="002959FA">
      <w:pPr>
        <w:pStyle w:val="Default"/>
        <w:spacing w:after="120" w:line="276" w:lineRule="auto"/>
        <w:contextualSpacing/>
        <w:rPr>
          <w:rFonts w:asciiTheme="minorHAnsi" w:hAnsiTheme="minorHAnsi" w:cstheme="minorHAnsi"/>
          <w:color w:val="auto"/>
          <w:sz w:val="20"/>
          <w:szCs w:val="20"/>
        </w:rPr>
      </w:pPr>
    </w:p>
    <w:p w14:paraId="67DC056E" w14:textId="3FD27D40" w:rsidR="006677C5" w:rsidRPr="00E64DC7" w:rsidRDefault="00E929A5" w:rsidP="006677C5">
      <w:pPr>
        <w:pStyle w:val="Heading2"/>
        <w:spacing w:before="240"/>
        <w:rPr>
          <w:sz w:val="28"/>
          <w:szCs w:val="28"/>
        </w:rPr>
      </w:pPr>
      <w:bookmarkStart w:id="35" w:name="_Toc1546658130"/>
      <w:bookmarkStart w:id="36" w:name="_Toc165367217"/>
      <w:bookmarkStart w:id="37" w:name="_Toc175312086"/>
      <w:r>
        <w:rPr>
          <w:sz w:val="28"/>
          <w:szCs w:val="28"/>
        </w:rPr>
        <w:lastRenderedPageBreak/>
        <w:t xml:space="preserve">Net Benefit for </w:t>
      </w:r>
      <w:r w:rsidR="006677C5" w:rsidRPr="00300ADB">
        <w:rPr>
          <w:sz w:val="28"/>
          <w:szCs w:val="28"/>
        </w:rPr>
        <w:t xml:space="preserve">Option </w:t>
      </w:r>
      <w:r w:rsidR="006677C5">
        <w:rPr>
          <w:sz w:val="28"/>
          <w:szCs w:val="28"/>
        </w:rPr>
        <w:t>2</w:t>
      </w:r>
      <w:r w:rsidR="006677C5" w:rsidRPr="00300ADB">
        <w:rPr>
          <w:sz w:val="28"/>
          <w:szCs w:val="28"/>
        </w:rPr>
        <w:t xml:space="preserve"> – </w:t>
      </w:r>
      <w:r w:rsidR="006677C5">
        <w:rPr>
          <w:sz w:val="28"/>
          <w:szCs w:val="28"/>
        </w:rPr>
        <w:t>Quasi-regulatory approach</w:t>
      </w:r>
      <w:bookmarkEnd w:id="35"/>
      <w:bookmarkEnd w:id="36"/>
      <w:bookmarkEnd w:id="37"/>
    </w:p>
    <w:p w14:paraId="7EC931E3" w14:textId="286528C5" w:rsidR="006677C5" w:rsidRDefault="00302DB4" w:rsidP="006677C5">
      <w:pPr>
        <w:pStyle w:val="Heading4"/>
      </w:pPr>
      <w:bookmarkStart w:id="38" w:name="_Toc164860552"/>
      <w:r>
        <w:t xml:space="preserve">Publish </w:t>
      </w:r>
      <w:r w:rsidR="00474CA5">
        <w:t xml:space="preserve">emission accounting </w:t>
      </w:r>
      <w:r>
        <w:t>framework with no government administration</w:t>
      </w:r>
      <w:bookmarkEnd w:id="38"/>
    </w:p>
    <w:p w14:paraId="63E07519" w14:textId="60E938CE" w:rsidR="00B650B2" w:rsidRDefault="00271009" w:rsidP="00B650B2">
      <w:pPr>
        <w:pStyle w:val="BodyText"/>
      </w:pPr>
      <w:r>
        <w:t>Option 2</w:t>
      </w:r>
      <w:r w:rsidR="00B650B2">
        <w:t xml:space="preserve"> would likely result in</w:t>
      </w:r>
      <w:r w:rsidR="00B553C5">
        <w:t xml:space="preserve"> </w:t>
      </w:r>
      <w:r w:rsidR="00474CA5">
        <w:t xml:space="preserve">emergence of </w:t>
      </w:r>
      <w:r w:rsidR="00B650B2">
        <w:t xml:space="preserve">duplicative and overlapping industry </w:t>
      </w:r>
      <w:r w:rsidR="008C500E">
        <w:t xml:space="preserve">schemes, </w:t>
      </w:r>
      <w:r w:rsidR="00F178E1">
        <w:t>although there would be greater alignment than under option 1</w:t>
      </w:r>
      <w:r w:rsidR="00B650B2">
        <w:t>. These</w:t>
      </w:r>
      <w:r w:rsidR="009F71F1">
        <w:t xml:space="preserve"> industry schemes</w:t>
      </w:r>
      <w:r w:rsidR="00B650B2">
        <w:t xml:space="preserve"> would be perceived as having reduced integrity </w:t>
      </w:r>
      <w:r w:rsidR="007C167B">
        <w:t xml:space="preserve">compared to a </w:t>
      </w:r>
      <w:r w:rsidR="00EB7194">
        <w:t>g</w:t>
      </w:r>
      <w:r w:rsidR="007C167B">
        <w:t>overnment</w:t>
      </w:r>
      <w:r w:rsidR="005936BA">
        <w:t xml:space="preserve">-led scheme </w:t>
      </w:r>
      <w:r w:rsidR="00B650B2">
        <w:t>as there would be no single source of truth</w:t>
      </w:r>
      <w:r w:rsidR="00E93676">
        <w:t>,</w:t>
      </w:r>
      <w:r w:rsidR="00B650B2">
        <w:t xml:space="preserve"> i.e. a certificate register</w:t>
      </w:r>
      <w:r w:rsidR="00C22205">
        <w:t xml:space="preserve"> or a </w:t>
      </w:r>
      <w:r w:rsidR="00EB7194">
        <w:t>g</w:t>
      </w:r>
      <w:r w:rsidR="00C22205">
        <w:t>overnment administrator</w:t>
      </w:r>
      <w:r w:rsidR="00B650B2">
        <w:t>. As a result, the</w:t>
      </w:r>
      <w:r w:rsidR="00D60F8D">
        <w:t xml:space="preserve">se schemes </w:t>
      </w:r>
      <w:r w:rsidR="00B650B2">
        <w:t xml:space="preserve">would be less transparent and less consistent. Consumers, investors, and markets more broadly would be less equipped to identify and access the products with the attributes that meet their needs. </w:t>
      </w:r>
      <w:r w:rsidR="00B650B2" w:rsidRPr="00F96D02">
        <w:t xml:space="preserve">Other domestic schemes (such as </w:t>
      </w:r>
      <w:r w:rsidR="00EB7194">
        <w:t>g</w:t>
      </w:r>
      <w:r w:rsidR="009018E6">
        <w:t>overnment</w:t>
      </w:r>
      <w:r w:rsidR="00B650B2" w:rsidRPr="00F96D02">
        <w:t xml:space="preserve"> incentives schemes) would not be able to </w:t>
      </w:r>
      <w:r w:rsidR="006948B8">
        <w:t xml:space="preserve">readily </w:t>
      </w:r>
      <w:r w:rsidR="00B650B2" w:rsidRPr="00F96D02">
        <w:t xml:space="preserve">input data from these frameworks as they would with a </w:t>
      </w:r>
      <w:r w:rsidR="00574438" w:rsidRPr="00F96D02">
        <w:t>federally operated</w:t>
      </w:r>
      <w:r w:rsidR="00B650B2" w:rsidRPr="00F96D02">
        <w:t xml:space="preserve"> scheme and would likely have to overlay additional compliance processes</w:t>
      </w:r>
      <w:r w:rsidR="008F7960">
        <w:t xml:space="preserve"> of their own</w:t>
      </w:r>
      <w:r w:rsidR="00B650B2">
        <w:t>.</w:t>
      </w:r>
      <w:r w:rsidR="00B650B2" w:rsidRPr="00F96D02">
        <w:t xml:space="preserve"> </w:t>
      </w:r>
    </w:p>
    <w:p w14:paraId="34F93831" w14:textId="0D4DD8E0" w:rsidR="00B650B2" w:rsidRDefault="00B650B2" w:rsidP="00B650B2">
      <w:pPr>
        <w:pStyle w:val="BodyText"/>
      </w:pPr>
      <w:r>
        <w:t xml:space="preserve">Decentralised </w:t>
      </w:r>
      <w:r w:rsidR="001D08FA">
        <w:t>schemes</w:t>
      </w:r>
      <w:r>
        <w:t xml:space="preserve"> reduce opportunities for compliance efficiencies that would be accessible to a </w:t>
      </w:r>
      <w:r w:rsidR="00870BFE">
        <w:t>centralised</w:t>
      </w:r>
      <w:r>
        <w:t xml:space="preserve"> regulator such as the CER. </w:t>
      </w:r>
      <w:r w:rsidR="00A947CF">
        <w:t xml:space="preserve">Under this approach, there would be no single administrator </w:t>
      </w:r>
      <w:r w:rsidR="00E01130">
        <w:t>who</w:t>
      </w:r>
      <w:r>
        <w:t xml:space="preserve"> would be able to undertake cross scheme verification and data matching to aid identification of non-compliance, as well as fit and proper person assessments using information on participation in other schemes.</w:t>
      </w:r>
    </w:p>
    <w:p w14:paraId="078BC502" w14:textId="05BAA6E3" w:rsidR="006677C5" w:rsidRDefault="006677C5" w:rsidP="006677C5">
      <w:pPr>
        <w:pStyle w:val="BodyText"/>
      </w:pPr>
      <w:r w:rsidRPr="00E64DC7">
        <w:t xml:space="preserve">This </w:t>
      </w:r>
      <w:r>
        <w:t>option</w:t>
      </w:r>
      <w:r w:rsidRPr="00E64DC7">
        <w:t xml:space="preserve"> </w:t>
      </w:r>
      <w:r w:rsidR="00974936">
        <w:t>meets</w:t>
      </w:r>
      <w:r>
        <w:t xml:space="preserve"> limited </w:t>
      </w:r>
      <w:r w:rsidR="00974936">
        <w:t>industry</w:t>
      </w:r>
      <w:r w:rsidR="00974936" w:rsidRPr="00E64DC7">
        <w:t xml:space="preserve"> </w:t>
      </w:r>
      <w:r w:rsidRPr="00E64DC7">
        <w:t>needs</w:t>
      </w:r>
      <w:r w:rsidR="00974936">
        <w:t>. I</w:t>
      </w:r>
      <w:r>
        <w:t>t would provide direction</w:t>
      </w:r>
      <w:r w:rsidRPr="00E64DC7">
        <w:t xml:space="preserve"> </w:t>
      </w:r>
      <w:r>
        <w:t xml:space="preserve">on best-practice approaches and </w:t>
      </w:r>
      <w:r w:rsidR="00D27281">
        <w:t>internationally aligned</w:t>
      </w:r>
      <w:r>
        <w:t xml:space="preserve"> embedded emissions accounting framework</w:t>
      </w:r>
      <w:r w:rsidR="004B3765">
        <w:t>s</w:t>
      </w:r>
      <w:r>
        <w:t xml:space="preserve">. It would also encourage </w:t>
      </w:r>
      <w:r w:rsidR="0088690A">
        <w:t xml:space="preserve">greater </w:t>
      </w:r>
      <w:r>
        <w:t>consistency in emissions accounting approaches</w:t>
      </w:r>
      <w:r w:rsidR="00754C14">
        <w:t>.</w:t>
      </w:r>
      <w:r w:rsidR="00754C14" w:rsidRPr="00754C14">
        <w:t xml:space="preserve"> </w:t>
      </w:r>
      <w:r w:rsidR="00754C14">
        <w:t xml:space="preserve">The integrity issues outlined in Option 1 above remain however </w:t>
      </w:r>
      <w:r w:rsidR="00E56405">
        <w:t>as there would be no Australian G</w:t>
      </w:r>
      <w:r w:rsidR="004B3765">
        <w:t>overnment administration</w:t>
      </w:r>
      <w:r w:rsidR="00754C14">
        <w:t xml:space="preserve"> and related</w:t>
      </w:r>
      <w:r w:rsidR="00BD62DD">
        <w:t xml:space="preserve"> compliance</w:t>
      </w:r>
      <w:r w:rsidR="00627C87">
        <w:t xml:space="preserve">, enforcement, and </w:t>
      </w:r>
      <w:r w:rsidR="00754C14">
        <w:t>oversight</w:t>
      </w:r>
      <w:r>
        <w:t>.</w:t>
      </w:r>
    </w:p>
    <w:p w14:paraId="21651A71" w14:textId="6AE4F549" w:rsidR="00626DC4" w:rsidRPr="00B32BE8" w:rsidRDefault="00626DC4" w:rsidP="006677C5">
      <w:pPr>
        <w:pStyle w:val="BodyText"/>
        <w:rPr>
          <w:b/>
          <w:bCs/>
        </w:rPr>
      </w:pPr>
      <w:r w:rsidRPr="00B32BE8">
        <w:rPr>
          <w:b/>
          <w:bCs/>
        </w:rPr>
        <w:t xml:space="preserve">Costs to </w:t>
      </w:r>
      <w:r w:rsidR="00EB7194">
        <w:rPr>
          <w:b/>
          <w:bCs/>
        </w:rPr>
        <w:t>g</w:t>
      </w:r>
      <w:r w:rsidRPr="00B32BE8">
        <w:rPr>
          <w:b/>
          <w:bCs/>
        </w:rPr>
        <w:t>overnment</w:t>
      </w:r>
    </w:p>
    <w:p w14:paraId="38BDC63E" w14:textId="6A527B8D" w:rsidR="00B33142" w:rsidRPr="00B32BE8" w:rsidRDefault="00B16F03" w:rsidP="00B33142">
      <w:pPr>
        <w:pStyle w:val="BodyText"/>
      </w:pPr>
      <w:r w:rsidRPr="00B32BE8">
        <w:t xml:space="preserve">Costs to </w:t>
      </w:r>
      <w:r w:rsidR="00EB7194">
        <w:t>g</w:t>
      </w:r>
      <w:r w:rsidRPr="00B32BE8">
        <w:t>overnment under a quasi-regulatory approach</w:t>
      </w:r>
      <w:r w:rsidR="00593F4F">
        <w:t xml:space="preserve"> would </w:t>
      </w:r>
      <w:r w:rsidR="00FE69DB">
        <w:t>include</w:t>
      </w:r>
      <w:r w:rsidRPr="00B32BE8">
        <w:t xml:space="preserve"> the </w:t>
      </w:r>
      <w:r w:rsidR="00BD3167">
        <w:t>consultation</w:t>
      </w:r>
      <w:r w:rsidR="008F7C8E">
        <w:t xml:space="preserve"> </w:t>
      </w:r>
      <w:r w:rsidR="002624B9">
        <w:t>on and</w:t>
      </w:r>
      <w:r w:rsidR="00BD3167">
        <w:t xml:space="preserve"> </w:t>
      </w:r>
      <w:r w:rsidRPr="00B32BE8">
        <w:t xml:space="preserve">drafting of rules or guidelines that would </w:t>
      </w:r>
      <w:r w:rsidR="00980B6E" w:rsidRPr="00B32BE8">
        <w:t xml:space="preserve">be published and </w:t>
      </w:r>
      <w:r w:rsidRPr="00B32BE8">
        <w:t>operate like a model code</w:t>
      </w:r>
      <w:r w:rsidR="006E2164">
        <w:t xml:space="preserve"> for </w:t>
      </w:r>
      <w:r w:rsidR="00114C4A">
        <w:t xml:space="preserve">the </w:t>
      </w:r>
      <w:r w:rsidR="006E2164">
        <w:t>Australian hydrogen</w:t>
      </w:r>
      <w:r w:rsidR="00114C4A">
        <w:t xml:space="preserve"> industry</w:t>
      </w:r>
      <w:r w:rsidRPr="00B32BE8">
        <w:t xml:space="preserve">. </w:t>
      </w:r>
      <w:r w:rsidR="004047EE" w:rsidRPr="00B32BE8">
        <w:t xml:space="preserve">Under </w:t>
      </w:r>
      <w:r w:rsidR="00452848" w:rsidRPr="00B32BE8">
        <w:t>this option</w:t>
      </w:r>
      <w:r w:rsidR="004047EE" w:rsidRPr="00B32BE8">
        <w:t xml:space="preserve">, </w:t>
      </w:r>
      <w:r w:rsidR="00EB7194">
        <w:t>g</w:t>
      </w:r>
      <w:r w:rsidR="00906C7E" w:rsidRPr="00B32BE8">
        <w:t xml:space="preserve">overnment would </w:t>
      </w:r>
      <w:r w:rsidR="008C1ACD" w:rsidRPr="00B32BE8">
        <w:t>bear</w:t>
      </w:r>
      <w:r w:rsidR="001B6A9C" w:rsidRPr="00B32BE8">
        <w:t xml:space="preserve"> the </w:t>
      </w:r>
      <w:r w:rsidR="00D2492F" w:rsidRPr="00B32BE8">
        <w:t xml:space="preserve">operational and staffing </w:t>
      </w:r>
      <w:r w:rsidR="001B6A9C" w:rsidRPr="00B32BE8">
        <w:t xml:space="preserve">costs </w:t>
      </w:r>
      <w:r w:rsidR="006D77CE" w:rsidRPr="00B32BE8">
        <w:t xml:space="preserve">involved with </w:t>
      </w:r>
      <w:r w:rsidR="00B33142" w:rsidRPr="00B32BE8">
        <w:t>developing an emissions accounting framewor</w:t>
      </w:r>
      <w:r w:rsidR="00BC10B3" w:rsidRPr="00B32BE8">
        <w:t>k covering the</w:t>
      </w:r>
      <w:r w:rsidR="00D435CA" w:rsidRPr="00B32BE8">
        <w:t xml:space="preserve"> production of hydrogen</w:t>
      </w:r>
      <w:r w:rsidR="00B33142" w:rsidRPr="00B32BE8">
        <w:t xml:space="preserve">, but </w:t>
      </w:r>
      <w:r w:rsidR="006C0731" w:rsidRPr="00B32BE8">
        <w:t xml:space="preserve">no costs </w:t>
      </w:r>
      <w:r w:rsidR="003A7E59" w:rsidRPr="00B32BE8">
        <w:t>for</w:t>
      </w:r>
      <w:r w:rsidR="003F357A" w:rsidRPr="00B32BE8">
        <w:t xml:space="preserve"> implementing or</w:t>
      </w:r>
      <w:r w:rsidR="00B33142" w:rsidRPr="00B32BE8">
        <w:t xml:space="preserve"> administering </w:t>
      </w:r>
      <w:r w:rsidR="003F357A" w:rsidRPr="00B32BE8">
        <w:t>any resulting certification scheme</w:t>
      </w:r>
      <w:r w:rsidR="00B33142" w:rsidRPr="00B32BE8">
        <w:t xml:space="preserve">. As emissions accounting frameworks are already in place for renewable electricity generation, there is no consideration to introduce a quasi-regulatory policy approach to this sector. </w:t>
      </w:r>
    </w:p>
    <w:p w14:paraId="69B44070" w14:textId="67177A30" w:rsidR="002D2B0D" w:rsidRDefault="00A554A7" w:rsidP="006677C5">
      <w:pPr>
        <w:pStyle w:val="BodyText"/>
      </w:pPr>
      <w:r>
        <w:t xml:space="preserve">The 2021-22 budget provided </w:t>
      </w:r>
      <w:r w:rsidR="00192E19">
        <w:t xml:space="preserve">$9.7 million for </w:t>
      </w:r>
      <w:r w:rsidR="00AD73BE">
        <w:t>operation of</w:t>
      </w:r>
      <w:r w:rsidR="0080206A">
        <w:t xml:space="preserve"> industry trials to </w:t>
      </w:r>
      <w:r w:rsidR="002B561A">
        <w:t xml:space="preserve">test the applicability of </w:t>
      </w:r>
      <w:r w:rsidR="008C2174">
        <w:t xml:space="preserve">IPHE methodologies </w:t>
      </w:r>
      <w:r w:rsidR="00A30402">
        <w:t>in an Australian context</w:t>
      </w:r>
      <w:r w:rsidR="00114C4A">
        <w:t xml:space="preserve">, as well as the </w:t>
      </w:r>
      <w:r w:rsidR="00545BE8">
        <w:t>test design elements of</w:t>
      </w:r>
      <w:r w:rsidR="003F5E00">
        <w:t xml:space="preserve"> a</w:t>
      </w:r>
      <w:r w:rsidR="00545BE8">
        <w:t xml:space="preserve"> </w:t>
      </w:r>
      <w:r w:rsidR="00600BB0">
        <w:t>possible certification scheme.</w:t>
      </w:r>
      <w:r w:rsidR="00C47539" w:rsidRPr="00C47539">
        <w:t xml:space="preserve"> </w:t>
      </w:r>
      <w:r w:rsidR="00C47539">
        <w:t xml:space="preserve">$700k was spent </w:t>
      </w:r>
      <w:r w:rsidR="00C34426">
        <w:t xml:space="preserve">by DCCEEW </w:t>
      </w:r>
      <w:r w:rsidR="00C47539">
        <w:t>on technical consultancy services to</w:t>
      </w:r>
      <w:r w:rsidR="00AC6A89">
        <w:t xml:space="preserve"> review</w:t>
      </w:r>
      <w:r w:rsidR="006B2AE1">
        <w:t xml:space="preserve"> international arrangements </w:t>
      </w:r>
      <w:r w:rsidR="00C34426">
        <w:t>and standard</w:t>
      </w:r>
      <w:r w:rsidR="00987BFE">
        <w:t>s</w:t>
      </w:r>
      <w:r w:rsidR="00C34426">
        <w:t>.</w:t>
      </w:r>
      <w:r w:rsidR="00BB3CAC">
        <w:t xml:space="preserve"> </w:t>
      </w:r>
      <w:r w:rsidR="00B006F3" w:rsidRPr="00B32BE8">
        <w:t>In the</w:t>
      </w:r>
      <w:r w:rsidR="00626DC4" w:rsidRPr="00B32BE8">
        <w:t xml:space="preserve"> 2022-23 Budget</w:t>
      </w:r>
      <w:r w:rsidR="00C405A8" w:rsidRPr="00B32BE8">
        <w:t xml:space="preserve">, DCCEEW was </w:t>
      </w:r>
      <w:r w:rsidR="00626DC4" w:rsidRPr="00B32BE8">
        <w:t xml:space="preserve">provided with $2.2 million to develop and consult on design for </w:t>
      </w:r>
      <w:r w:rsidR="00600BB0">
        <w:t>the</w:t>
      </w:r>
      <w:r w:rsidR="00F67735" w:rsidRPr="00B32BE8">
        <w:t xml:space="preserve"> </w:t>
      </w:r>
      <w:r w:rsidR="00C405A8" w:rsidRPr="00B32BE8">
        <w:t>h</w:t>
      </w:r>
      <w:r w:rsidR="00F67735" w:rsidRPr="00B32BE8">
        <w:t xml:space="preserve">ydrogen emissions accounting </w:t>
      </w:r>
      <w:r w:rsidR="00626DC4" w:rsidRPr="00B32BE8">
        <w:t>scheme.</w:t>
      </w:r>
      <w:r w:rsidR="00F67735" w:rsidRPr="00B32BE8">
        <w:t xml:space="preserve"> </w:t>
      </w:r>
    </w:p>
    <w:p w14:paraId="6009C2E7" w14:textId="3B33F3EB" w:rsidR="00626DC4" w:rsidRDefault="00F67735" w:rsidP="006677C5">
      <w:pPr>
        <w:pStyle w:val="BodyText"/>
      </w:pPr>
      <w:r w:rsidRPr="00B32BE8">
        <w:t>Th</w:t>
      </w:r>
      <w:r w:rsidR="00630EAE">
        <w:t>ese</w:t>
      </w:r>
      <w:r w:rsidRPr="00B32BE8">
        <w:t xml:space="preserve"> allocation</w:t>
      </w:r>
      <w:r w:rsidR="00630EAE">
        <w:t>s</w:t>
      </w:r>
      <w:r w:rsidRPr="00B32BE8" w:rsidDel="00630EAE">
        <w:t xml:space="preserve"> </w:t>
      </w:r>
      <w:r w:rsidR="00630EAE">
        <w:t>are</w:t>
      </w:r>
      <w:r w:rsidRPr="00B32BE8">
        <w:t xml:space="preserve"> representative of </w:t>
      </w:r>
      <w:r w:rsidR="00A26FB3" w:rsidRPr="00B32BE8">
        <w:t xml:space="preserve">the </w:t>
      </w:r>
      <w:r w:rsidR="000F7A9D" w:rsidRPr="00B32BE8">
        <w:t xml:space="preserve">types of </w:t>
      </w:r>
      <w:r w:rsidR="00A26FB3" w:rsidRPr="00B32BE8">
        <w:t xml:space="preserve">costs </w:t>
      </w:r>
      <w:r w:rsidR="000F7A9D" w:rsidRPr="00B32BE8">
        <w:t xml:space="preserve">listed above </w:t>
      </w:r>
      <w:r w:rsidR="00A26FB3" w:rsidRPr="00B32BE8">
        <w:t xml:space="preserve">that would be incurred </w:t>
      </w:r>
      <w:r w:rsidR="006D0708" w:rsidRPr="00B32BE8">
        <w:t xml:space="preserve">under option 2 </w:t>
      </w:r>
      <w:r w:rsidR="00A12CC2" w:rsidRPr="00B32BE8">
        <w:t>in the development and publishing of a model code</w:t>
      </w:r>
      <w:r w:rsidR="00987BFE">
        <w:t xml:space="preserve"> without the </w:t>
      </w:r>
      <w:r w:rsidR="00D766D0">
        <w:t>costs to develop or implement</w:t>
      </w:r>
      <w:r w:rsidR="00A12CC2" w:rsidRPr="00B32BE8">
        <w:t>.</w:t>
      </w:r>
    </w:p>
    <w:p w14:paraId="5E8AAA57" w14:textId="350C5169" w:rsidR="0029427D" w:rsidRPr="00122196" w:rsidRDefault="004C17B8" w:rsidP="00E76953">
      <w:pPr>
        <w:pStyle w:val="BodyText"/>
        <w:rPr>
          <w:rFonts w:ascii="Calibri Light" w:eastAsia="Calibri" w:hAnsi="Calibri Light" w:cs="Times New Roman"/>
          <w:i/>
          <w:iCs/>
          <w:color w:val="2F5496"/>
        </w:rPr>
      </w:pPr>
      <w:r w:rsidRPr="00831C46">
        <w:rPr>
          <w:b/>
          <w:bCs/>
        </w:rPr>
        <w:t xml:space="preserve">Costs of regulation </w:t>
      </w:r>
      <w:r>
        <w:rPr>
          <w:b/>
          <w:bCs/>
        </w:rPr>
        <w:t>and regulatory compliance burden</w:t>
      </w:r>
    </w:p>
    <w:p w14:paraId="7FD47C87" w14:textId="64A44C01" w:rsidR="005C4315" w:rsidRDefault="009B4736" w:rsidP="006677C5">
      <w:pPr>
        <w:pStyle w:val="BodyText"/>
      </w:pPr>
      <w:r>
        <w:t>The r</w:t>
      </w:r>
      <w:r w:rsidR="0095530F">
        <w:t xml:space="preserve">egulatory </w:t>
      </w:r>
      <w:r w:rsidR="006677C5">
        <w:t xml:space="preserve">burden </w:t>
      </w:r>
      <w:r w:rsidR="00555E21">
        <w:t xml:space="preserve">of this option </w:t>
      </w:r>
      <w:r w:rsidR="006677C5">
        <w:t xml:space="preserve">(including the financial burden of obtaining additional </w:t>
      </w:r>
      <w:r w:rsidR="00321568">
        <w:t>third-party</w:t>
      </w:r>
      <w:r w:rsidR="006677C5">
        <w:t xml:space="preserve"> assurances) is difficult to quantify</w:t>
      </w:r>
      <w:r w:rsidR="00627C87">
        <w:t xml:space="preserve"> precisely</w:t>
      </w:r>
      <w:r w:rsidR="002B21ED">
        <w:t>.</w:t>
      </w:r>
      <w:r w:rsidR="00555E21">
        <w:t xml:space="preserve"> </w:t>
      </w:r>
      <w:r w:rsidR="00CC2EAB">
        <w:t xml:space="preserve">But </w:t>
      </w:r>
      <w:r w:rsidR="00555E21">
        <w:t>assum</w:t>
      </w:r>
      <w:r w:rsidR="00CC2EAB">
        <w:t xml:space="preserve">ing </w:t>
      </w:r>
      <w:r w:rsidR="00555E21">
        <w:t>th</w:t>
      </w:r>
      <w:r w:rsidR="006F66B5">
        <w:t xml:space="preserve">at </w:t>
      </w:r>
      <w:r w:rsidR="001064DD">
        <w:t xml:space="preserve">industry-led </w:t>
      </w:r>
      <w:r w:rsidR="00666556">
        <w:t xml:space="preserve">schemes would be based </w:t>
      </w:r>
      <w:r w:rsidR="00CC2EAB">
        <w:t xml:space="preserve">on </w:t>
      </w:r>
      <w:r w:rsidR="005D1E48">
        <w:t>the</w:t>
      </w:r>
      <w:r w:rsidR="00666556">
        <w:t xml:space="preserve"> model code</w:t>
      </w:r>
      <w:r w:rsidR="00CC2EAB">
        <w:t xml:space="preserve"> released by the government allows </w:t>
      </w:r>
      <w:r w:rsidR="003258C1">
        <w:t xml:space="preserve">for </w:t>
      </w:r>
      <w:r w:rsidR="005C4315">
        <w:t>a generalised estimation</w:t>
      </w:r>
      <w:r w:rsidR="00C024E3">
        <w:t xml:space="preserve"> </w:t>
      </w:r>
      <w:r w:rsidR="004630CA">
        <w:t>of burden per-</w:t>
      </w:r>
      <w:r w:rsidR="00275118">
        <w:t>producer</w:t>
      </w:r>
      <w:r w:rsidR="005C4315">
        <w:t>. Further d</w:t>
      </w:r>
      <w:r w:rsidR="0029427D">
        <w:t xml:space="preserve">etails of the </w:t>
      </w:r>
      <w:r w:rsidR="00754850">
        <w:t>estimat</w:t>
      </w:r>
      <w:r w:rsidR="0029427D">
        <w:t xml:space="preserve">ion </w:t>
      </w:r>
      <w:r w:rsidR="005C4315">
        <w:t xml:space="preserve">approach </w:t>
      </w:r>
      <w:r w:rsidR="0029427D">
        <w:t xml:space="preserve">are included </w:t>
      </w:r>
      <w:r w:rsidR="00754850">
        <w:t>at Appendix (ii</w:t>
      </w:r>
      <w:r w:rsidR="00F13E58">
        <w:t>)</w:t>
      </w:r>
      <w:r w:rsidR="006677C5">
        <w:t xml:space="preserve">. </w:t>
      </w:r>
    </w:p>
    <w:p w14:paraId="4420BB6C" w14:textId="6CF7F73B" w:rsidR="006677C5" w:rsidRPr="006236F0" w:rsidRDefault="006677C5" w:rsidP="006677C5">
      <w:pPr>
        <w:pStyle w:val="BodyText"/>
      </w:pPr>
      <w:r>
        <w:t xml:space="preserve">Many of the </w:t>
      </w:r>
      <w:r w:rsidR="005C4315">
        <w:t xml:space="preserve">other </w:t>
      </w:r>
      <w:r>
        <w:t xml:space="preserve">burdens </w:t>
      </w:r>
      <w:r w:rsidR="005C4315">
        <w:t xml:space="preserve">and qualitative costs </w:t>
      </w:r>
      <w:r w:rsidR="00703EC9">
        <w:t xml:space="preserve">identified for Option 1 remain </w:t>
      </w:r>
      <w:r>
        <w:t>applicable</w:t>
      </w:r>
      <w:r w:rsidR="00703EC9">
        <w:t xml:space="preserve"> for Option 2</w:t>
      </w:r>
      <w:r>
        <w:t xml:space="preserve">: </w:t>
      </w:r>
    </w:p>
    <w:p w14:paraId="36C307BC" w14:textId="279F81A1" w:rsidR="006677C5" w:rsidRDefault="006677C5" w:rsidP="00807053">
      <w:pPr>
        <w:pStyle w:val="Default"/>
        <w:numPr>
          <w:ilvl w:val="0"/>
          <w:numId w:val="35"/>
        </w:numPr>
        <w:spacing w:after="120" w:line="276" w:lineRule="auto"/>
        <w:ind w:left="714" w:hanging="357"/>
        <w:contextualSpacing/>
        <w:rPr>
          <w:rFonts w:asciiTheme="minorHAnsi" w:hAnsiTheme="minorHAnsi" w:cstheme="minorHAnsi"/>
          <w:color w:val="auto"/>
          <w:sz w:val="20"/>
          <w:szCs w:val="20"/>
        </w:rPr>
      </w:pPr>
      <w:r w:rsidRPr="00831C46">
        <w:rPr>
          <w:rFonts w:asciiTheme="minorHAnsi" w:hAnsiTheme="minorHAnsi" w:cstheme="minorHAnsi"/>
          <w:color w:val="auto"/>
          <w:sz w:val="20"/>
          <w:szCs w:val="20"/>
        </w:rPr>
        <w:t xml:space="preserve">Without a </w:t>
      </w:r>
      <w:r>
        <w:rPr>
          <w:rFonts w:asciiTheme="minorHAnsi" w:hAnsiTheme="minorHAnsi" w:cstheme="minorHAnsi"/>
          <w:color w:val="auto"/>
          <w:sz w:val="20"/>
          <w:szCs w:val="20"/>
        </w:rPr>
        <w:t>government</w:t>
      </w:r>
      <w:r w:rsidRPr="00831C46">
        <w:rPr>
          <w:rFonts w:asciiTheme="minorHAnsi" w:hAnsiTheme="minorHAnsi" w:cstheme="minorHAnsi"/>
          <w:color w:val="auto"/>
          <w:sz w:val="20"/>
          <w:szCs w:val="20"/>
        </w:rPr>
        <w:t xml:space="preserve"> framework, producers</w:t>
      </w:r>
      <w:r w:rsidR="0051402D">
        <w:rPr>
          <w:rFonts w:asciiTheme="minorHAnsi" w:hAnsiTheme="minorHAnsi" w:cstheme="minorHAnsi"/>
          <w:color w:val="auto"/>
          <w:sz w:val="20"/>
          <w:szCs w:val="20"/>
        </w:rPr>
        <w:t xml:space="preserve"> (assumed hydrogen producers for this options and analysis)</w:t>
      </w:r>
      <w:r w:rsidRPr="00831C46">
        <w:rPr>
          <w:rFonts w:asciiTheme="minorHAnsi" w:hAnsiTheme="minorHAnsi" w:cstheme="minorHAnsi"/>
          <w:color w:val="auto"/>
          <w:sz w:val="20"/>
          <w:szCs w:val="20"/>
        </w:rPr>
        <w:t xml:space="preserve"> would have to procure</w:t>
      </w:r>
      <w:r w:rsidR="00703EC9">
        <w:rPr>
          <w:rFonts w:asciiTheme="minorHAnsi" w:hAnsiTheme="minorHAnsi" w:cstheme="minorHAnsi"/>
          <w:color w:val="auto"/>
          <w:sz w:val="20"/>
          <w:szCs w:val="20"/>
        </w:rPr>
        <w:t xml:space="preserve"> regular</w:t>
      </w:r>
      <w:r w:rsidRPr="00831C46">
        <w:rPr>
          <w:rFonts w:asciiTheme="minorHAnsi" w:hAnsiTheme="minorHAnsi" w:cstheme="minorHAnsi"/>
          <w:color w:val="auto"/>
          <w:sz w:val="20"/>
          <w:szCs w:val="20"/>
        </w:rPr>
        <w:t xml:space="preserve"> independent assurance of the emissions credentials of their products to ensure compatibility with export requirements on an ongoing basis.</w:t>
      </w:r>
    </w:p>
    <w:p w14:paraId="42B8CDF1" w14:textId="79FF1A0E" w:rsidR="006677C5" w:rsidRPr="00F03F78" w:rsidRDefault="006677C5" w:rsidP="00397969">
      <w:pPr>
        <w:pStyle w:val="Default"/>
        <w:numPr>
          <w:ilvl w:val="0"/>
          <w:numId w:val="35"/>
        </w:numPr>
        <w:spacing w:after="120" w:line="276" w:lineRule="auto"/>
        <w:ind w:left="714" w:hanging="357"/>
        <w:contextualSpacing/>
        <w:rPr>
          <w:rFonts w:asciiTheme="minorHAnsi" w:hAnsiTheme="minorHAnsi" w:cstheme="minorHAnsi"/>
          <w:color w:val="auto"/>
          <w:sz w:val="20"/>
          <w:szCs w:val="20"/>
        </w:rPr>
      </w:pPr>
      <w:r w:rsidRPr="00F03F78">
        <w:rPr>
          <w:rFonts w:asciiTheme="minorHAnsi" w:hAnsiTheme="minorHAnsi" w:cstheme="minorHAnsi"/>
          <w:color w:val="auto"/>
          <w:sz w:val="20"/>
          <w:szCs w:val="20"/>
        </w:rPr>
        <w:t xml:space="preserve">Developers of third-party </w:t>
      </w:r>
      <w:r w:rsidR="004B3765" w:rsidRPr="00F03F78">
        <w:rPr>
          <w:rFonts w:asciiTheme="minorHAnsi" w:hAnsiTheme="minorHAnsi" w:cstheme="minorHAnsi"/>
          <w:color w:val="auto"/>
          <w:sz w:val="20"/>
          <w:szCs w:val="20"/>
        </w:rPr>
        <w:t>schemes</w:t>
      </w:r>
      <w:r w:rsidRPr="00F03F78">
        <w:rPr>
          <w:rFonts w:asciiTheme="minorHAnsi" w:hAnsiTheme="minorHAnsi" w:cstheme="minorHAnsi"/>
          <w:color w:val="auto"/>
          <w:sz w:val="20"/>
          <w:szCs w:val="20"/>
        </w:rPr>
        <w:t xml:space="preserve"> will need to seek assurance that their certifications are consistent and compliant with domestic and international criteria.</w:t>
      </w:r>
    </w:p>
    <w:p w14:paraId="16C311EC" w14:textId="2BE8791D" w:rsidR="00B07588" w:rsidRDefault="00B07588" w:rsidP="00B07588">
      <w:pPr>
        <w:pStyle w:val="Caption"/>
      </w:pPr>
      <w:r>
        <w:lastRenderedPageBreak/>
        <w:t xml:space="preserve">Table </w:t>
      </w:r>
      <w:r w:rsidR="00B718F5">
        <w:t>1</w:t>
      </w:r>
      <w:r>
        <w:t xml:space="preserve">: </w:t>
      </w:r>
      <w:r w:rsidRPr="00792C97">
        <w:t>Average annual regulatory costs (from business as usual)</w:t>
      </w:r>
      <w:r>
        <w:t>, Quasi-regulatory option</w:t>
      </w:r>
    </w:p>
    <w:tbl>
      <w:tblPr>
        <w:tblStyle w:val="PMCDefaultTableSty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925"/>
        <w:gridCol w:w="1967"/>
        <w:gridCol w:w="1944"/>
        <w:gridCol w:w="1912"/>
      </w:tblGrid>
      <w:tr w:rsidR="00B07588" w:rsidRPr="00A143F3" w14:paraId="71252E99" w14:textId="77777777">
        <w:trPr>
          <w:cnfStyle w:val="100000000000" w:firstRow="1" w:lastRow="0" w:firstColumn="0" w:lastColumn="0" w:oddVBand="0" w:evenVBand="0" w:oddHBand="0" w:evenHBand="0" w:firstRowFirstColumn="0" w:firstRowLastColumn="0" w:lastRowFirstColumn="0" w:lastRowLastColumn="0"/>
        </w:trPr>
        <w:tc>
          <w:tcPr>
            <w:tcW w:w="0" w:type="dxa"/>
            <w:vAlign w:val="center"/>
            <w:hideMark/>
          </w:tcPr>
          <w:p w14:paraId="54934E8B" w14:textId="77777777" w:rsidR="00B07588" w:rsidRPr="00CD0B1D" w:rsidRDefault="00B07588">
            <w:pPr>
              <w:pStyle w:val="BodyText"/>
              <w:spacing w:before="120"/>
              <w:rPr>
                <w:rFonts w:asciiTheme="minorHAnsi" w:hAnsiTheme="minorHAnsi" w:cstheme="minorHAnsi"/>
                <w:b w:val="0"/>
                <w:sz w:val="20"/>
              </w:rPr>
            </w:pPr>
            <w:r w:rsidRPr="00CD0B1D">
              <w:rPr>
                <w:rFonts w:asciiTheme="minorHAnsi" w:hAnsiTheme="minorHAnsi" w:cstheme="minorHAnsi"/>
                <w:sz w:val="20"/>
              </w:rPr>
              <w:t>Change in costs ($ million)</w:t>
            </w:r>
          </w:p>
        </w:tc>
        <w:tc>
          <w:tcPr>
            <w:tcW w:w="0" w:type="dxa"/>
            <w:vAlign w:val="center"/>
            <w:hideMark/>
          </w:tcPr>
          <w:p w14:paraId="32391319" w14:textId="77777777" w:rsidR="00B07588" w:rsidRPr="00CD0B1D" w:rsidRDefault="00B07588">
            <w:pPr>
              <w:pStyle w:val="BodyText"/>
              <w:spacing w:before="120"/>
              <w:rPr>
                <w:rFonts w:asciiTheme="minorHAnsi" w:hAnsiTheme="minorHAnsi" w:cstheme="minorHAnsi"/>
                <w:sz w:val="20"/>
              </w:rPr>
            </w:pPr>
            <w:r w:rsidRPr="00CD0B1D">
              <w:rPr>
                <w:rFonts w:asciiTheme="minorHAnsi" w:hAnsiTheme="minorHAnsi" w:cstheme="minorHAnsi"/>
                <w:sz w:val="20"/>
              </w:rPr>
              <w:t>Business</w:t>
            </w:r>
          </w:p>
        </w:tc>
        <w:tc>
          <w:tcPr>
            <w:tcW w:w="0" w:type="dxa"/>
            <w:vAlign w:val="center"/>
            <w:hideMark/>
          </w:tcPr>
          <w:p w14:paraId="529E6F70" w14:textId="77777777" w:rsidR="00B07588" w:rsidRPr="00CD0B1D" w:rsidRDefault="00B07588">
            <w:pPr>
              <w:pStyle w:val="BodyText"/>
              <w:spacing w:before="120"/>
              <w:rPr>
                <w:rFonts w:asciiTheme="minorHAnsi" w:hAnsiTheme="minorHAnsi" w:cstheme="minorHAnsi"/>
                <w:sz w:val="20"/>
              </w:rPr>
            </w:pPr>
            <w:r w:rsidRPr="00CD0B1D">
              <w:rPr>
                <w:rFonts w:asciiTheme="minorHAnsi" w:hAnsiTheme="minorHAnsi" w:cstheme="minorHAnsi"/>
                <w:sz w:val="20"/>
              </w:rPr>
              <w:t>Community organisations</w:t>
            </w:r>
          </w:p>
        </w:tc>
        <w:tc>
          <w:tcPr>
            <w:tcW w:w="0" w:type="dxa"/>
            <w:vAlign w:val="center"/>
            <w:hideMark/>
          </w:tcPr>
          <w:p w14:paraId="2325EEDC" w14:textId="77777777" w:rsidR="00B07588" w:rsidRPr="00CD0B1D" w:rsidRDefault="00B07588">
            <w:pPr>
              <w:pStyle w:val="BodyText"/>
              <w:spacing w:before="120"/>
              <w:rPr>
                <w:rFonts w:asciiTheme="minorHAnsi" w:hAnsiTheme="minorHAnsi" w:cstheme="minorHAnsi"/>
                <w:sz w:val="20"/>
              </w:rPr>
            </w:pPr>
            <w:r w:rsidRPr="00CD0B1D">
              <w:rPr>
                <w:rFonts w:asciiTheme="minorHAnsi" w:hAnsiTheme="minorHAnsi" w:cstheme="minorHAnsi"/>
                <w:sz w:val="20"/>
              </w:rPr>
              <w:t>Individuals</w:t>
            </w:r>
          </w:p>
        </w:tc>
        <w:tc>
          <w:tcPr>
            <w:tcW w:w="0" w:type="dxa"/>
            <w:vAlign w:val="center"/>
            <w:hideMark/>
          </w:tcPr>
          <w:p w14:paraId="0149393B" w14:textId="77777777" w:rsidR="00B07588" w:rsidRPr="00CD0B1D" w:rsidRDefault="00B07588">
            <w:pPr>
              <w:pStyle w:val="BodyText"/>
              <w:spacing w:before="120"/>
              <w:rPr>
                <w:rFonts w:asciiTheme="minorHAnsi" w:hAnsiTheme="minorHAnsi" w:cstheme="minorHAnsi"/>
                <w:sz w:val="20"/>
              </w:rPr>
            </w:pPr>
            <w:r w:rsidRPr="00CD0B1D">
              <w:rPr>
                <w:rFonts w:asciiTheme="minorHAnsi" w:hAnsiTheme="minorHAnsi" w:cstheme="minorHAnsi"/>
                <w:sz w:val="20"/>
              </w:rPr>
              <w:t>Total change in costs</w:t>
            </w:r>
          </w:p>
        </w:tc>
      </w:tr>
      <w:tr w:rsidR="006E172E" w:rsidRPr="00A143F3" w14:paraId="0E16F04F" w14:textId="77777777">
        <w:trPr>
          <w:cnfStyle w:val="000000100000" w:firstRow="0" w:lastRow="0" w:firstColumn="0" w:lastColumn="0" w:oddVBand="0" w:evenVBand="0" w:oddHBand="1" w:evenHBand="0" w:firstRowFirstColumn="0" w:firstRowLastColumn="0" w:lastRowFirstColumn="0" w:lastRowLastColumn="0"/>
        </w:trPr>
        <w:tc>
          <w:tcPr>
            <w:tcW w:w="0" w:type="dxa"/>
            <w:vAlign w:val="center"/>
          </w:tcPr>
          <w:p w14:paraId="50103D2E" w14:textId="33E3E0F7" w:rsidR="006E172E" w:rsidRPr="00100E8B" w:rsidRDefault="00202A83">
            <w:pPr>
              <w:pStyle w:val="BodyText"/>
              <w:spacing w:before="120"/>
              <w:rPr>
                <w:rFonts w:cstheme="minorHAnsi"/>
                <w:b/>
                <w:sz w:val="20"/>
              </w:rPr>
            </w:pPr>
            <w:r w:rsidRPr="00100E8B">
              <w:rPr>
                <w:rFonts w:cstheme="minorHAnsi"/>
                <w:b/>
                <w:sz w:val="20"/>
              </w:rPr>
              <w:t>Total, hydrogen sector</w:t>
            </w:r>
          </w:p>
        </w:tc>
        <w:tc>
          <w:tcPr>
            <w:tcW w:w="0" w:type="dxa"/>
            <w:vAlign w:val="center"/>
          </w:tcPr>
          <w:p w14:paraId="1A07F916" w14:textId="517B3D15" w:rsidR="006E172E" w:rsidRPr="00100E8B" w:rsidRDefault="00D13265">
            <w:pPr>
              <w:pStyle w:val="BodyText"/>
              <w:spacing w:before="120"/>
              <w:rPr>
                <w:rFonts w:cstheme="minorHAnsi"/>
                <w:sz w:val="20"/>
              </w:rPr>
            </w:pPr>
            <w:r w:rsidRPr="00100E8B">
              <w:rPr>
                <w:rFonts w:cstheme="minorHAnsi"/>
                <w:sz w:val="20"/>
              </w:rPr>
              <w:t>$2.0</w:t>
            </w:r>
            <w:r w:rsidR="00F8762A">
              <w:rPr>
                <w:rFonts w:cstheme="minorHAnsi"/>
                <w:sz w:val="20"/>
              </w:rPr>
              <w:t>5</w:t>
            </w:r>
          </w:p>
        </w:tc>
        <w:tc>
          <w:tcPr>
            <w:tcW w:w="0" w:type="dxa"/>
            <w:vAlign w:val="center"/>
          </w:tcPr>
          <w:p w14:paraId="3EEB7FA2" w14:textId="4571A5D4" w:rsidR="006E172E" w:rsidRPr="00100E8B" w:rsidRDefault="00203C26">
            <w:pPr>
              <w:pStyle w:val="BodyText"/>
              <w:spacing w:before="120"/>
              <w:rPr>
                <w:sz w:val="20"/>
              </w:rPr>
            </w:pPr>
            <w:r w:rsidRPr="72232093">
              <w:rPr>
                <w:sz w:val="20"/>
              </w:rPr>
              <w:t>N/A</w:t>
            </w:r>
          </w:p>
        </w:tc>
        <w:tc>
          <w:tcPr>
            <w:tcW w:w="0" w:type="dxa"/>
            <w:vAlign w:val="center"/>
          </w:tcPr>
          <w:p w14:paraId="6B8C3DFE" w14:textId="6A9AACEA" w:rsidR="006E172E" w:rsidRPr="00100E8B" w:rsidRDefault="00203C26">
            <w:pPr>
              <w:pStyle w:val="BodyText"/>
              <w:spacing w:before="120"/>
              <w:rPr>
                <w:rFonts w:cstheme="minorHAnsi"/>
                <w:sz w:val="20"/>
              </w:rPr>
            </w:pPr>
            <w:r w:rsidRPr="00100E8B">
              <w:rPr>
                <w:rFonts w:cstheme="minorHAnsi"/>
                <w:sz w:val="20"/>
              </w:rPr>
              <w:t>N/A</w:t>
            </w:r>
          </w:p>
        </w:tc>
        <w:tc>
          <w:tcPr>
            <w:tcW w:w="0" w:type="dxa"/>
            <w:vAlign w:val="center"/>
          </w:tcPr>
          <w:p w14:paraId="7E3338CC" w14:textId="4CEDB9C2" w:rsidR="006E172E" w:rsidRPr="00100E8B" w:rsidRDefault="00100E8B">
            <w:pPr>
              <w:pStyle w:val="BodyText"/>
              <w:spacing w:before="120"/>
              <w:rPr>
                <w:rFonts w:cstheme="minorHAnsi"/>
                <w:sz w:val="20"/>
              </w:rPr>
            </w:pPr>
            <w:r w:rsidRPr="00100E8B">
              <w:rPr>
                <w:rFonts w:cstheme="minorHAnsi"/>
                <w:sz w:val="20"/>
              </w:rPr>
              <w:t>$2.0</w:t>
            </w:r>
            <w:r w:rsidR="00F8762A">
              <w:rPr>
                <w:rFonts w:cstheme="minorHAnsi"/>
                <w:sz w:val="20"/>
              </w:rPr>
              <w:t>5</w:t>
            </w:r>
          </w:p>
        </w:tc>
      </w:tr>
      <w:tr w:rsidR="00B07588" w:rsidRPr="00A143F3" w14:paraId="00FCCBC9" w14:textId="77777777">
        <w:trPr>
          <w:cnfStyle w:val="000000010000" w:firstRow="0" w:lastRow="0" w:firstColumn="0" w:lastColumn="0" w:oddVBand="0" w:evenVBand="0" w:oddHBand="0" w:evenHBand="1" w:firstRowFirstColumn="0" w:firstRowLastColumn="0" w:lastRowFirstColumn="0" w:lastRowLastColumn="0"/>
          <w:trHeight w:val="647"/>
        </w:trPr>
        <w:tc>
          <w:tcPr>
            <w:tcW w:w="2610" w:type="dxa"/>
            <w:hideMark/>
          </w:tcPr>
          <w:p w14:paraId="3A799D31" w14:textId="7E5C8AEC" w:rsidR="00B07588" w:rsidRPr="00F8762A" w:rsidRDefault="00B07588">
            <w:pPr>
              <w:pStyle w:val="BodyText"/>
              <w:spacing w:before="120" w:after="0"/>
              <w:rPr>
                <w:rFonts w:cstheme="minorHAnsi"/>
                <w:bCs/>
                <w:sz w:val="20"/>
              </w:rPr>
            </w:pPr>
            <w:r w:rsidRPr="00F8762A">
              <w:rPr>
                <w:rFonts w:cstheme="minorHAnsi"/>
                <w:bCs/>
                <w:sz w:val="20"/>
              </w:rPr>
              <w:t xml:space="preserve">Total, </w:t>
            </w:r>
            <w:r w:rsidR="00202A83" w:rsidRPr="00F8762A">
              <w:rPr>
                <w:rFonts w:cstheme="minorHAnsi"/>
                <w:bCs/>
                <w:sz w:val="20"/>
              </w:rPr>
              <w:t>hydrogen</w:t>
            </w:r>
            <w:r w:rsidRPr="00F8762A">
              <w:rPr>
                <w:rFonts w:cstheme="minorHAnsi"/>
                <w:bCs/>
                <w:sz w:val="20"/>
              </w:rPr>
              <w:t xml:space="preserve"> sector </w:t>
            </w:r>
          </w:p>
          <w:p w14:paraId="66903EAF" w14:textId="77777777" w:rsidR="00B07588" w:rsidRPr="00CD0B1D" w:rsidRDefault="00B07588">
            <w:pPr>
              <w:pStyle w:val="BodyText"/>
              <w:spacing w:before="0"/>
              <w:rPr>
                <w:rFonts w:cstheme="minorHAnsi"/>
                <w:b/>
                <w:sz w:val="20"/>
              </w:rPr>
            </w:pPr>
            <w:r w:rsidRPr="00F8762A">
              <w:rPr>
                <w:rFonts w:cstheme="minorHAnsi"/>
                <w:bCs/>
                <w:sz w:val="20"/>
              </w:rPr>
              <w:t>(per producer)</w:t>
            </w:r>
          </w:p>
        </w:tc>
        <w:tc>
          <w:tcPr>
            <w:tcW w:w="2039" w:type="dxa"/>
            <w:hideMark/>
          </w:tcPr>
          <w:p w14:paraId="46C1B044" w14:textId="0165B360" w:rsidR="00B07588" w:rsidRPr="00CD0B1D" w:rsidRDefault="00B07588">
            <w:pPr>
              <w:pStyle w:val="BodyText"/>
              <w:spacing w:before="120"/>
              <w:rPr>
                <w:rFonts w:cstheme="minorHAnsi"/>
                <w:sz w:val="20"/>
              </w:rPr>
            </w:pPr>
            <w:r w:rsidRPr="00CD0B1D">
              <w:rPr>
                <w:rFonts w:cstheme="minorHAnsi"/>
                <w:sz w:val="20"/>
              </w:rPr>
              <w:t>$0.0</w:t>
            </w:r>
            <w:r w:rsidR="002959FA">
              <w:rPr>
                <w:rFonts w:cstheme="minorHAnsi"/>
                <w:sz w:val="20"/>
              </w:rPr>
              <w:t>3</w:t>
            </w:r>
          </w:p>
        </w:tc>
        <w:tc>
          <w:tcPr>
            <w:tcW w:w="2039" w:type="dxa"/>
            <w:hideMark/>
          </w:tcPr>
          <w:p w14:paraId="0F9401BD" w14:textId="77777777" w:rsidR="00B07588" w:rsidRPr="00CD0B1D" w:rsidRDefault="00B07588">
            <w:pPr>
              <w:pStyle w:val="BodyText"/>
              <w:spacing w:before="120"/>
              <w:rPr>
                <w:rFonts w:cstheme="minorHAnsi"/>
                <w:sz w:val="20"/>
              </w:rPr>
            </w:pPr>
            <w:r w:rsidRPr="00CD0B1D">
              <w:rPr>
                <w:rFonts w:cstheme="minorHAnsi"/>
                <w:sz w:val="20"/>
              </w:rPr>
              <w:t>N/A</w:t>
            </w:r>
          </w:p>
        </w:tc>
        <w:tc>
          <w:tcPr>
            <w:tcW w:w="2039" w:type="dxa"/>
            <w:hideMark/>
          </w:tcPr>
          <w:p w14:paraId="3C136BC1" w14:textId="77777777" w:rsidR="00B07588" w:rsidRPr="00CD0B1D" w:rsidRDefault="00B07588">
            <w:pPr>
              <w:pStyle w:val="BodyText"/>
              <w:spacing w:before="120"/>
              <w:rPr>
                <w:rFonts w:cstheme="minorHAnsi"/>
                <w:sz w:val="20"/>
              </w:rPr>
            </w:pPr>
            <w:r w:rsidRPr="00CD0B1D">
              <w:rPr>
                <w:rFonts w:cstheme="minorHAnsi"/>
                <w:sz w:val="20"/>
              </w:rPr>
              <w:t>N/A</w:t>
            </w:r>
          </w:p>
        </w:tc>
        <w:tc>
          <w:tcPr>
            <w:tcW w:w="2039" w:type="dxa"/>
            <w:hideMark/>
          </w:tcPr>
          <w:p w14:paraId="50199883" w14:textId="476269F6" w:rsidR="00B07588" w:rsidRPr="00CD0B1D" w:rsidRDefault="00B07588">
            <w:pPr>
              <w:pStyle w:val="BodyText"/>
              <w:spacing w:before="120"/>
              <w:rPr>
                <w:rFonts w:cstheme="minorHAnsi"/>
                <w:sz w:val="20"/>
              </w:rPr>
            </w:pPr>
            <w:r w:rsidRPr="00CD0B1D">
              <w:rPr>
                <w:rFonts w:cstheme="minorHAnsi"/>
                <w:sz w:val="20"/>
              </w:rPr>
              <w:t>$0.0</w:t>
            </w:r>
            <w:r w:rsidR="00F8762A">
              <w:rPr>
                <w:rFonts w:cstheme="minorHAnsi"/>
                <w:sz w:val="20"/>
              </w:rPr>
              <w:t>3</w:t>
            </w:r>
          </w:p>
        </w:tc>
      </w:tr>
    </w:tbl>
    <w:p w14:paraId="2D34DA26" w14:textId="657ABACE" w:rsidR="0076336E" w:rsidRDefault="0096255F" w:rsidP="00B718F5">
      <w:pPr>
        <w:pStyle w:val="BodyText"/>
        <w:spacing w:before="120"/>
        <w:rPr>
          <w:color w:val="auto"/>
        </w:rPr>
      </w:pPr>
      <w:r w:rsidRPr="72232093">
        <w:rPr>
          <w:color w:val="auto"/>
        </w:rPr>
        <w:t xml:space="preserve">It is estimated that the </w:t>
      </w:r>
      <w:r w:rsidR="005F0D08" w:rsidRPr="72232093">
        <w:rPr>
          <w:color w:val="auto"/>
        </w:rPr>
        <w:t xml:space="preserve">annual average </w:t>
      </w:r>
      <w:r w:rsidRPr="72232093">
        <w:rPr>
          <w:color w:val="auto"/>
        </w:rPr>
        <w:t>regulat</w:t>
      </w:r>
      <w:r w:rsidR="005F0D08" w:rsidRPr="72232093">
        <w:rPr>
          <w:color w:val="auto"/>
        </w:rPr>
        <w:t xml:space="preserve">ory burden for </w:t>
      </w:r>
      <w:r w:rsidR="00191087" w:rsidRPr="72232093">
        <w:rPr>
          <w:color w:val="auto"/>
        </w:rPr>
        <w:t xml:space="preserve">a single </w:t>
      </w:r>
      <w:r w:rsidR="005F0D08" w:rsidRPr="72232093">
        <w:rPr>
          <w:color w:val="auto"/>
        </w:rPr>
        <w:t xml:space="preserve">hydrogen producer </w:t>
      </w:r>
      <w:r w:rsidR="00E860E3" w:rsidRPr="72232093">
        <w:rPr>
          <w:color w:val="auto"/>
        </w:rPr>
        <w:t>to comply with a model code under the quasi</w:t>
      </w:r>
      <w:r w:rsidR="00293BEE" w:rsidRPr="72232093">
        <w:rPr>
          <w:color w:val="auto"/>
        </w:rPr>
        <w:t>-</w:t>
      </w:r>
      <w:r w:rsidR="00E860E3" w:rsidRPr="72232093">
        <w:rPr>
          <w:color w:val="auto"/>
        </w:rPr>
        <w:t xml:space="preserve">regulatory approach would be </w:t>
      </w:r>
      <w:r w:rsidR="00E860E3" w:rsidRPr="72232093">
        <w:rPr>
          <w:b/>
          <w:color w:val="auto"/>
        </w:rPr>
        <w:t>$</w:t>
      </w:r>
      <w:r w:rsidR="00C86C9C" w:rsidRPr="72232093">
        <w:rPr>
          <w:b/>
          <w:color w:val="auto"/>
        </w:rPr>
        <w:t>28,722</w:t>
      </w:r>
      <w:r w:rsidR="00E860E3" w:rsidRPr="72232093">
        <w:rPr>
          <w:b/>
          <w:color w:val="auto"/>
        </w:rPr>
        <w:t xml:space="preserve"> per year.</w:t>
      </w:r>
      <w:r w:rsidR="00293BEE" w:rsidRPr="72232093">
        <w:rPr>
          <w:b/>
          <w:color w:val="auto"/>
        </w:rPr>
        <w:t xml:space="preserve"> </w:t>
      </w:r>
      <w:r w:rsidR="00293BEE" w:rsidRPr="72232093">
        <w:rPr>
          <w:color w:val="auto"/>
        </w:rPr>
        <w:t>This cost is mainly</w:t>
      </w:r>
      <w:r w:rsidR="00293BEE" w:rsidRPr="72232093">
        <w:rPr>
          <w:b/>
          <w:color w:val="auto"/>
        </w:rPr>
        <w:t xml:space="preserve"> </w:t>
      </w:r>
      <w:r w:rsidR="001F179F" w:rsidRPr="72232093">
        <w:rPr>
          <w:color w:val="auto"/>
        </w:rPr>
        <w:t xml:space="preserve">comprised of </w:t>
      </w:r>
      <w:r w:rsidR="00293BEE" w:rsidRPr="72232093">
        <w:rPr>
          <w:color w:val="auto"/>
        </w:rPr>
        <w:t>the</w:t>
      </w:r>
      <w:r w:rsidR="006C6613" w:rsidRPr="72232093">
        <w:rPr>
          <w:color w:val="auto"/>
        </w:rPr>
        <w:t xml:space="preserve"> anticipated</w:t>
      </w:r>
      <w:r w:rsidR="00293BEE" w:rsidRPr="72232093">
        <w:rPr>
          <w:color w:val="auto"/>
        </w:rPr>
        <w:t xml:space="preserve"> requirement for </w:t>
      </w:r>
      <w:r w:rsidR="002327B3" w:rsidRPr="72232093">
        <w:rPr>
          <w:color w:val="auto"/>
        </w:rPr>
        <w:t>annual</w:t>
      </w:r>
      <w:r w:rsidR="001F179F" w:rsidRPr="72232093">
        <w:rPr>
          <w:color w:val="auto"/>
        </w:rPr>
        <w:t xml:space="preserve"> third</w:t>
      </w:r>
      <w:r w:rsidR="00397969" w:rsidRPr="72232093">
        <w:rPr>
          <w:color w:val="auto"/>
        </w:rPr>
        <w:t>-</w:t>
      </w:r>
      <w:r w:rsidR="001F179F" w:rsidRPr="72232093">
        <w:rPr>
          <w:color w:val="auto"/>
        </w:rPr>
        <w:t>party assurance</w:t>
      </w:r>
      <w:r w:rsidR="006707A8" w:rsidRPr="72232093">
        <w:rPr>
          <w:b/>
          <w:color w:val="auto"/>
        </w:rPr>
        <w:t xml:space="preserve"> </w:t>
      </w:r>
      <w:r w:rsidR="006707A8" w:rsidRPr="72232093">
        <w:rPr>
          <w:color w:val="auto"/>
        </w:rPr>
        <w:t>over production</w:t>
      </w:r>
      <w:r w:rsidR="000B4653" w:rsidRPr="72232093">
        <w:rPr>
          <w:color w:val="auto"/>
        </w:rPr>
        <w:t>,</w:t>
      </w:r>
      <w:r w:rsidR="006338D4" w:rsidRPr="72232093">
        <w:rPr>
          <w:color w:val="auto"/>
        </w:rPr>
        <w:t xml:space="preserve"> transport and storage</w:t>
      </w:r>
      <w:r w:rsidR="006707A8" w:rsidRPr="72232093">
        <w:rPr>
          <w:color w:val="auto"/>
        </w:rPr>
        <w:t xml:space="preserve"> supply chain emissions</w:t>
      </w:r>
      <w:r w:rsidR="006338D4" w:rsidRPr="72232093">
        <w:rPr>
          <w:b/>
          <w:color w:val="auto"/>
        </w:rPr>
        <w:t>.</w:t>
      </w:r>
      <w:r w:rsidR="007B37DE" w:rsidRPr="72232093">
        <w:rPr>
          <w:color w:val="auto"/>
        </w:rPr>
        <w:t xml:space="preserve"> This </w:t>
      </w:r>
      <w:r w:rsidR="00721D9E" w:rsidRPr="72232093">
        <w:rPr>
          <w:color w:val="auto"/>
        </w:rPr>
        <w:t xml:space="preserve">estimation </w:t>
      </w:r>
      <w:r w:rsidR="007B37DE" w:rsidRPr="72232093">
        <w:rPr>
          <w:color w:val="auto"/>
        </w:rPr>
        <w:t xml:space="preserve">assumes that </w:t>
      </w:r>
      <w:r w:rsidR="000805C9" w:rsidRPr="72232093">
        <w:rPr>
          <w:color w:val="auto"/>
        </w:rPr>
        <w:t>hydrogen</w:t>
      </w:r>
      <w:r w:rsidR="007B37DE" w:rsidRPr="72232093">
        <w:rPr>
          <w:color w:val="auto"/>
        </w:rPr>
        <w:t xml:space="preserve"> producers will spend less time on monthly record keeping and reporting due to being self-regulated (when contrasted with option</w:t>
      </w:r>
      <w:r w:rsidR="0086341F">
        <w:rPr>
          <w:color w:val="auto"/>
        </w:rPr>
        <w:t xml:space="preserve"> 3</w:t>
      </w:r>
      <w:r w:rsidR="007B37DE" w:rsidRPr="72232093">
        <w:rPr>
          <w:color w:val="auto"/>
        </w:rPr>
        <w:t>)</w:t>
      </w:r>
      <w:r w:rsidR="00254102" w:rsidRPr="72232093">
        <w:rPr>
          <w:color w:val="auto"/>
        </w:rPr>
        <w:t>,</w:t>
      </w:r>
      <w:r w:rsidR="007B37DE" w:rsidRPr="72232093">
        <w:rPr>
          <w:color w:val="auto"/>
        </w:rPr>
        <w:t xml:space="preserve"> with a likely increased burden </w:t>
      </w:r>
      <w:r w:rsidR="00B434B4" w:rsidRPr="72232093">
        <w:rPr>
          <w:color w:val="auto"/>
        </w:rPr>
        <w:t>on</w:t>
      </w:r>
      <w:r w:rsidR="007B37DE" w:rsidRPr="72232093">
        <w:rPr>
          <w:color w:val="auto"/>
        </w:rPr>
        <w:t xml:space="preserve"> auditors </w:t>
      </w:r>
      <w:r w:rsidR="00B434B4" w:rsidRPr="72232093">
        <w:rPr>
          <w:color w:val="auto"/>
        </w:rPr>
        <w:t>to complete</w:t>
      </w:r>
      <w:r w:rsidR="007B37DE" w:rsidRPr="72232093">
        <w:rPr>
          <w:color w:val="auto"/>
        </w:rPr>
        <w:t xml:space="preserve"> annual </w:t>
      </w:r>
      <w:r w:rsidR="00B434B4" w:rsidRPr="72232093">
        <w:rPr>
          <w:color w:val="auto"/>
        </w:rPr>
        <w:t>assurance processes</w:t>
      </w:r>
      <w:r w:rsidR="007B37DE" w:rsidRPr="72232093">
        <w:rPr>
          <w:color w:val="auto"/>
        </w:rPr>
        <w:t>.</w:t>
      </w:r>
    </w:p>
    <w:p w14:paraId="6A4BB335" w14:textId="555B8EF0" w:rsidR="00EF40B9" w:rsidRDefault="00FB0B47" w:rsidP="00B718F5">
      <w:pPr>
        <w:pStyle w:val="BodyText"/>
        <w:spacing w:before="120"/>
        <w:rPr>
          <w:color w:val="auto"/>
        </w:rPr>
      </w:pPr>
      <w:r>
        <w:t xml:space="preserve">Applying the per-participant costs to forecasts of producers of hydrogen products </w:t>
      </w:r>
      <w:r w:rsidR="00C10A8B">
        <w:rPr>
          <w:rFonts w:ascii="Calibri" w:eastAsia="Calibri" w:hAnsi="Calibri" w:cs="Arial"/>
          <w:color w:val="262626"/>
        </w:rPr>
        <w:t xml:space="preserve">yields the </w:t>
      </w:r>
      <w:r>
        <w:rPr>
          <w:rFonts w:ascii="Calibri" w:eastAsia="Calibri" w:hAnsi="Calibri" w:cs="Arial"/>
          <w:color w:val="262626"/>
        </w:rPr>
        <w:t>estimate</w:t>
      </w:r>
      <w:r w:rsidR="00C10A8B">
        <w:rPr>
          <w:rFonts w:ascii="Calibri" w:eastAsia="Calibri" w:hAnsi="Calibri" w:cs="Arial"/>
          <w:color w:val="262626"/>
        </w:rPr>
        <w:t>d</w:t>
      </w:r>
      <w:r>
        <w:rPr>
          <w:rFonts w:ascii="Calibri" w:eastAsia="Calibri" w:hAnsi="Calibri" w:cs="Arial"/>
          <w:color w:val="262626"/>
        </w:rPr>
        <w:t xml:space="preserve"> </w:t>
      </w:r>
      <w:r w:rsidR="00A31544">
        <w:rPr>
          <w:rFonts w:ascii="Calibri" w:eastAsia="Calibri" w:hAnsi="Calibri" w:cs="Arial"/>
          <w:color w:val="262626"/>
        </w:rPr>
        <w:t xml:space="preserve">annual </w:t>
      </w:r>
      <w:r w:rsidR="00EF1CB2">
        <w:rPr>
          <w:rFonts w:ascii="Calibri" w:eastAsia="Calibri" w:hAnsi="Calibri" w:cs="Arial"/>
          <w:color w:val="262626"/>
        </w:rPr>
        <w:t xml:space="preserve">average </w:t>
      </w:r>
      <w:r w:rsidR="004B58AD">
        <w:rPr>
          <w:rFonts w:ascii="Calibri" w:eastAsia="Calibri" w:hAnsi="Calibri" w:cs="Arial"/>
          <w:color w:val="262626"/>
        </w:rPr>
        <w:t xml:space="preserve">regulatory costs </w:t>
      </w:r>
      <w:r w:rsidR="005D285C">
        <w:rPr>
          <w:rFonts w:ascii="Calibri" w:eastAsia="Calibri" w:hAnsi="Calibri" w:cs="Arial"/>
          <w:color w:val="262626"/>
        </w:rPr>
        <w:t xml:space="preserve">of </w:t>
      </w:r>
      <w:r w:rsidR="005D285C" w:rsidRPr="004C3A74">
        <w:rPr>
          <w:rFonts w:ascii="Calibri" w:eastAsia="Calibri" w:hAnsi="Calibri" w:cs="Arial"/>
          <w:b/>
          <w:bCs/>
          <w:color w:val="262626"/>
        </w:rPr>
        <w:t>$2</w:t>
      </w:r>
      <w:r w:rsidR="0025787C" w:rsidRPr="004C3A74">
        <w:rPr>
          <w:rFonts w:ascii="Calibri" w:eastAsia="Calibri" w:hAnsi="Calibri" w:cs="Arial"/>
          <w:b/>
          <w:bCs/>
          <w:color w:val="262626"/>
        </w:rPr>
        <w:t>.05 million</w:t>
      </w:r>
      <w:r w:rsidR="0025787C">
        <w:rPr>
          <w:rFonts w:ascii="Calibri" w:eastAsia="Calibri" w:hAnsi="Calibri" w:cs="Arial"/>
          <w:color w:val="262626"/>
        </w:rPr>
        <w:t xml:space="preserve"> </w:t>
      </w:r>
      <w:r>
        <w:t xml:space="preserve">over </w:t>
      </w:r>
      <w:r w:rsidRPr="00122196">
        <w:rPr>
          <w:rFonts w:ascii="Calibri" w:eastAsia="Calibri" w:hAnsi="Calibri" w:cs="Arial"/>
          <w:color w:val="262626"/>
        </w:rPr>
        <w:t>a 10-year period</w:t>
      </w:r>
      <w:r w:rsidR="004B58AD">
        <w:rPr>
          <w:rFonts w:ascii="Calibri" w:eastAsia="Calibri" w:hAnsi="Calibri" w:cs="Arial"/>
          <w:color w:val="262626"/>
        </w:rPr>
        <w:t xml:space="preserve"> for the sector</w:t>
      </w:r>
      <w:r>
        <w:rPr>
          <w:rFonts w:ascii="Calibri" w:eastAsia="Calibri" w:hAnsi="Calibri" w:cs="Arial"/>
          <w:color w:val="262626"/>
        </w:rPr>
        <w:t>.</w:t>
      </w:r>
      <w:r w:rsidR="00E45B87">
        <w:rPr>
          <w:rFonts w:ascii="Calibri" w:eastAsia="Calibri" w:hAnsi="Calibri" w:cs="Arial"/>
          <w:color w:val="262626"/>
        </w:rPr>
        <w:t xml:space="preserve"> Details of this forecasting are at Appendix ii.</w:t>
      </w:r>
    </w:p>
    <w:p w14:paraId="4A7F53FC" w14:textId="30F22869" w:rsidR="00055F13" w:rsidRDefault="00293BEE" w:rsidP="000265F7">
      <w:pPr>
        <w:pStyle w:val="BodyText"/>
        <w:spacing w:before="120"/>
        <w:rPr>
          <w:rFonts w:cstheme="minorHAnsi"/>
          <w:color w:val="auto"/>
        </w:rPr>
      </w:pPr>
      <w:r w:rsidRPr="00293BEE">
        <w:rPr>
          <w:rFonts w:cstheme="minorHAnsi"/>
          <w:color w:val="auto"/>
        </w:rPr>
        <w:t xml:space="preserve">Estimates for </w:t>
      </w:r>
      <w:r w:rsidR="00781FF8">
        <w:rPr>
          <w:rFonts w:cstheme="minorHAnsi"/>
          <w:color w:val="auto"/>
        </w:rPr>
        <w:t xml:space="preserve">record keeping and </w:t>
      </w:r>
      <w:r w:rsidR="00CF36B1">
        <w:rPr>
          <w:rFonts w:cstheme="minorHAnsi"/>
          <w:color w:val="auto"/>
        </w:rPr>
        <w:t xml:space="preserve">assurance </w:t>
      </w:r>
      <w:r w:rsidR="007647C4">
        <w:rPr>
          <w:rFonts w:cstheme="minorHAnsi"/>
          <w:color w:val="auto"/>
        </w:rPr>
        <w:t xml:space="preserve">burden and costs </w:t>
      </w:r>
      <w:r w:rsidR="0042788E">
        <w:rPr>
          <w:rFonts w:cstheme="minorHAnsi"/>
          <w:color w:val="auto"/>
        </w:rPr>
        <w:t>are</w:t>
      </w:r>
      <w:r w:rsidR="00056E00">
        <w:rPr>
          <w:rFonts w:cstheme="minorHAnsi"/>
          <w:color w:val="auto"/>
        </w:rPr>
        <w:t xml:space="preserve"> </w:t>
      </w:r>
      <w:r w:rsidR="002327B3">
        <w:rPr>
          <w:rFonts w:cstheme="minorHAnsi"/>
          <w:color w:val="auto"/>
        </w:rPr>
        <w:t xml:space="preserve">based on data </w:t>
      </w:r>
      <w:r w:rsidRPr="00293BEE">
        <w:rPr>
          <w:rFonts w:cstheme="minorHAnsi"/>
          <w:color w:val="auto"/>
        </w:rPr>
        <w:t xml:space="preserve">provided by the CER </w:t>
      </w:r>
      <w:r w:rsidR="00DE17E2">
        <w:rPr>
          <w:rFonts w:cstheme="minorHAnsi"/>
          <w:color w:val="auto"/>
        </w:rPr>
        <w:t xml:space="preserve">from </w:t>
      </w:r>
      <w:r w:rsidR="00781FF8">
        <w:rPr>
          <w:rFonts w:cstheme="minorHAnsi"/>
          <w:color w:val="auto"/>
        </w:rPr>
        <w:t>similar schemes that they administer</w:t>
      </w:r>
      <w:r w:rsidRPr="00293BEE">
        <w:rPr>
          <w:rFonts w:cstheme="minorHAnsi"/>
          <w:color w:val="auto"/>
        </w:rPr>
        <w:t xml:space="preserve">. </w:t>
      </w:r>
      <w:r w:rsidR="00FE22E2">
        <w:rPr>
          <w:rFonts w:cstheme="minorHAnsi"/>
          <w:color w:val="auto"/>
        </w:rPr>
        <w:t xml:space="preserve">This approach was taken </w:t>
      </w:r>
      <w:r w:rsidR="00770F2F">
        <w:rPr>
          <w:rFonts w:cstheme="minorHAnsi"/>
          <w:color w:val="auto"/>
        </w:rPr>
        <w:t xml:space="preserve">as there </w:t>
      </w:r>
      <w:r w:rsidR="00055F13">
        <w:rPr>
          <w:rFonts w:cstheme="minorHAnsi"/>
          <w:color w:val="auto"/>
        </w:rPr>
        <w:t>was</w:t>
      </w:r>
      <w:r w:rsidR="00770F2F">
        <w:rPr>
          <w:rFonts w:cstheme="minorHAnsi"/>
          <w:color w:val="auto"/>
        </w:rPr>
        <w:t xml:space="preserve"> no </w:t>
      </w:r>
      <w:r w:rsidR="007C0D87">
        <w:rPr>
          <w:rFonts w:cstheme="minorHAnsi"/>
          <w:color w:val="auto"/>
        </w:rPr>
        <w:t xml:space="preserve">reliable data </w:t>
      </w:r>
      <w:r w:rsidR="00770F2F">
        <w:rPr>
          <w:rFonts w:cstheme="minorHAnsi"/>
          <w:color w:val="auto"/>
        </w:rPr>
        <w:t xml:space="preserve">available </w:t>
      </w:r>
      <w:r w:rsidR="00055F13">
        <w:rPr>
          <w:rFonts w:cstheme="minorHAnsi"/>
          <w:color w:val="auto"/>
        </w:rPr>
        <w:t xml:space="preserve">from industry-led schemes to model these </w:t>
      </w:r>
      <w:r w:rsidR="001871D8">
        <w:rPr>
          <w:rFonts w:cstheme="minorHAnsi"/>
          <w:color w:val="auto"/>
        </w:rPr>
        <w:t>costs</w:t>
      </w:r>
      <w:r w:rsidR="00055F13">
        <w:rPr>
          <w:rFonts w:cstheme="minorHAnsi"/>
          <w:color w:val="auto"/>
        </w:rPr>
        <w:t xml:space="preserve"> on</w:t>
      </w:r>
      <w:r w:rsidR="00B13D33">
        <w:rPr>
          <w:rFonts w:cstheme="minorHAnsi"/>
          <w:color w:val="auto"/>
        </w:rPr>
        <w:t xml:space="preserve"> at the time this analysis was undertaken</w:t>
      </w:r>
      <w:r w:rsidR="00055F13">
        <w:rPr>
          <w:rFonts w:cstheme="minorHAnsi"/>
          <w:color w:val="auto"/>
        </w:rPr>
        <w:t>.</w:t>
      </w:r>
    </w:p>
    <w:p w14:paraId="03E08A40" w14:textId="1CFBBD8B" w:rsidR="00055F13" w:rsidRPr="00055F13" w:rsidRDefault="00055F13" w:rsidP="00055F13">
      <w:pPr>
        <w:pStyle w:val="BodyText"/>
        <w:rPr>
          <w:color w:val="auto"/>
        </w:rPr>
      </w:pPr>
      <w:r w:rsidRPr="68EEDB34">
        <w:rPr>
          <w:color w:val="auto"/>
        </w:rPr>
        <w:t xml:space="preserve">Some functions that would </w:t>
      </w:r>
      <w:r w:rsidR="009F7FF9" w:rsidRPr="68EEDB34">
        <w:rPr>
          <w:color w:val="auto"/>
        </w:rPr>
        <w:t xml:space="preserve">otherwise </w:t>
      </w:r>
      <w:r w:rsidRPr="68EEDB34">
        <w:rPr>
          <w:color w:val="auto"/>
        </w:rPr>
        <w:t xml:space="preserve">be performed by government under </w:t>
      </w:r>
      <w:r w:rsidR="009F3093" w:rsidRPr="68EEDB34">
        <w:rPr>
          <w:color w:val="auto"/>
        </w:rPr>
        <w:t>option 3</w:t>
      </w:r>
      <w:r w:rsidRPr="68EEDB34">
        <w:rPr>
          <w:color w:val="auto"/>
        </w:rPr>
        <w:t xml:space="preserve"> (for example, assessing the </w:t>
      </w:r>
      <w:r w:rsidR="08D12AFA" w:rsidRPr="68EEDB34">
        <w:rPr>
          <w:color w:val="auto"/>
        </w:rPr>
        <w:t>eligibility</w:t>
      </w:r>
      <w:r w:rsidRPr="68EEDB34">
        <w:rPr>
          <w:color w:val="auto"/>
        </w:rPr>
        <w:t xml:space="preserve"> of the facility and its metering and measurement arrangements to comply) would instead be required from third-party audits under </w:t>
      </w:r>
      <w:r w:rsidR="005F03CB" w:rsidRPr="68EEDB34">
        <w:rPr>
          <w:color w:val="auto"/>
        </w:rPr>
        <w:t xml:space="preserve">this </w:t>
      </w:r>
      <w:r w:rsidRPr="68EEDB34">
        <w:rPr>
          <w:color w:val="auto"/>
        </w:rPr>
        <w:t>option. These</w:t>
      </w:r>
      <w:r w:rsidR="00293BEE" w:rsidRPr="68EEDB34">
        <w:rPr>
          <w:color w:val="auto"/>
        </w:rPr>
        <w:t xml:space="preserve"> include production related record-keeping and procurement of third-party assurance</w:t>
      </w:r>
      <w:r w:rsidR="00794833" w:rsidRPr="68EEDB34">
        <w:rPr>
          <w:color w:val="auto"/>
        </w:rPr>
        <w:t>, of which the</w:t>
      </w:r>
      <w:r w:rsidR="00356497" w:rsidRPr="68EEDB34">
        <w:rPr>
          <w:color w:val="auto"/>
        </w:rPr>
        <w:t xml:space="preserve"> </w:t>
      </w:r>
      <w:r w:rsidRPr="68EEDB34">
        <w:rPr>
          <w:color w:val="auto"/>
        </w:rPr>
        <w:t>substantive costs would be borne by producers.</w:t>
      </w:r>
    </w:p>
    <w:p w14:paraId="7DBC1CBA" w14:textId="5B27F6A4" w:rsidR="0096255F" w:rsidRDefault="00055F13" w:rsidP="00E76953">
      <w:pPr>
        <w:pStyle w:val="BodyText"/>
        <w:rPr>
          <w:rFonts w:cstheme="minorHAnsi"/>
          <w:color w:val="auto"/>
        </w:rPr>
      </w:pPr>
      <w:r w:rsidRPr="00055F13">
        <w:rPr>
          <w:rFonts w:cstheme="minorHAnsi"/>
          <w:color w:val="auto"/>
        </w:rPr>
        <w:t>Producers would need to procure more frequent independent assurance of the emissions credentials of their products to ensure compatibility with domestic criteria and export requirements. For these estimates, we assume audits that provide this assurance will be done annually.</w:t>
      </w:r>
      <w:r w:rsidR="00553B83">
        <w:rPr>
          <w:rFonts w:cstheme="minorHAnsi"/>
          <w:color w:val="auto"/>
        </w:rPr>
        <w:t xml:space="preserve"> </w:t>
      </w:r>
      <w:r w:rsidRPr="00055F13">
        <w:rPr>
          <w:rFonts w:cstheme="minorHAnsi"/>
          <w:color w:val="auto"/>
        </w:rPr>
        <w:t>Assurance costs are likely to continually increase over time as the industry scales-up and demand for third-party verification increases</w:t>
      </w:r>
      <w:r w:rsidR="00293BEE" w:rsidRPr="00293BEE">
        <w:rPr>
          <w:rFonts w:cstheme="minorHAnsi"/>
          <w:color w:val="auto"/>
        </w:rPr>
        <w:t xml:space="preserve">. </w:t>
      </w:r>
    </w:p>
    <w:p w14:paraId="0F4B3DBF" w14:textId="14B97B0A" w:rsidR="0096255F" w:rsidRDefault="004056D0" w:rsidP="006677C5">
      <w:pPr>
        <w:pStyle w:val="BodyText"/>
      </w:pPr>
      <w:r>
        <w:t>As p</w:t>
      </w:r>
      <w:r w:rsidR="006677C5">
        <w:t xml:space="preserve">roducers would be seeking certification </w:t>
      </w:r>
      <w:r w:rsidR="00C42C72">
        <w:t>with the model code</w:t>
      </w:r>
      <w:r w:rsidR="006677C5">
        <w:t xml:space="preserve"> from private enti</w:t>
      </w:r>
      <w:r w:rsidR="00D75372">
        <w:t>t</w:t>
      </w:r>
      <w:r w:rsidR="00337E02">
        <w:t>ies</w:t>
      </w:r>
      <w:r w:rsidR="006677C5">
        <w:t xml:space="preserve"> rather than </w:t>
      </w:r>
      <w:r w:rsidR="00E56405">
        <w:t xml:space="preserve">the Australian </w:t>
      </w:r>
      <w:r w:rsidR="00E56405" w:rsidRPr="00E76953">
        <w:rPr>
          <w:rFonts w:cstheme="minorHAnsi"/>
          <w:color w:val="auto"/>
        </w:rPr>
        <w:t>G</w:t>
      </w:r>
      <w:r w:rsidR="006677C5" w:rsidRPr="00E76953">
        <w:rPr>
          <w:rFonts w:cstheme="minorHAnsi"/>
          <w:color w:val="auto"/>
        </w:rPr>
        <w:t>overnment</w:t>
      </w:r>
      <w:r w:rsidR="006677C5">
        <w:t>, the regulatory burden is likely to be similar</w:t>
      </w:r>
      <w:r w:rsidR="00285C8D">
        <w:t xml:space="preserve"> – at least initially</w:t>
      </w:r>
      <w:r w:rsidR="006677C5">
        <w:t xml:space="preserve">. Much of the same data would need to be collected and reported. </w:t>
      </w:r>
      <w:r w:rsidR="00D53F75">
        <w:t>However,</w:t>
      </w:r>
      <w:r w:rsidR="006677C5">
        <w:t xml:space="preserve"> the credibility of </w:t>
      </w:r>
      <w:r w:rsidR="007D561E">
        <w:t xml:space="preserve">any certification </w:t>
      </w:r>
      <w:r w:rsidR="006677C5">
        <w:t>received is likely to be lower. In addition</w:t>
      </w:r>
      <w:r w:rsidR="00D53F75">
        <w:t>,</w:t>
      </w:r>
      <w:r w:rsidR="006677C5">
        <w:t xml:space="preserve"> private schemes do not offer the opportunity to integrate with other government reporting frameworks, so the benefits </w:t>
      </w:r>
      <w:r w:rsidR="004B3765">
        <w:t xml:space="preserve">in streamlining reporting across schemes </w:t>
      </w:r>
      <w:r w:rsidR="006677C5">
        <w:t>could not be achieved</w:t>
      </w:r>
      <w:r w:rsidR="00D53F75">
        <w:t>.</w:t>
      </w:r>
      <w:r w:rsidR="006677C5">
        <w:t xml:space="preserve"> </w:t>
      </w:r>
    </w:p>
    <w:p w14:paraId="6DC5B3DF" w14:textId="77777777" w:rsidR="004E12F1" w:rsidRPr="00547BC3" w:rsidRDefault="004E12F1" w:rsidP="004E12F1">
      <w:pPr>
        <w:pStyle w:val="BodyText"/>
        <w:rPr>
          <w:b/>
          <w:bCs/>
        </w:rPr>
      </w:pPr>
      <w:r w:rsidRPr="00547BC3">
        <w:rPr>
          <w:b/>
          <w:bCs/>
        </w:rPr>
        <w:t>Benefits</w:t>
      </w:r>
    </w:p>
    <w:p w14:paraId="16C4F9F6" w14:textId="31A960B7" w:rsidR="0068360B" w:rsidRDefault="002C1A68" w:rsidP="00201375">
      <w:pPr>
        <w:pStyle w:val="BodyText"/>
      </w:pPr>
      <w:r>
        <w:t>Compliance with a model code would be v</w:t>
      </w:r>
      <w:r w:rsidR="0068360B">
        <w:t>oluntary</w:t>
      </w:r>
      <w:r w:rsidR="00541EDE">
        <w:t xml:space="preserve"> for hydrogen producers</w:t>
      </w:r>
      <w:r w:rsidR="00415E8A">
        <w:t xml:space="preserve">, so </w:t>
      </w:r>
      <w:r w:rsidR="00C44E24">
        <w:t xml:space="preserve">regulatory </w:t>
      </w:r>
      <w:r w:rsidR="00415E8A">
        <w:t xml:space="preserve">burden </w:t>
      </w:r>
      <w:r w:rsidR="00C44E24">
        <w:t xml:space="preserve">to comply with the code would only apply </w:t>
      </w:r>
      <w:r w:rsidR="009232B8">
        <w:t>to those who wish for or require consistency with international standards.</w:t>
      </w:r>
    </w:p>
    <w:p w14:paraId="54D389A8" w14:textId="1789CF19" w:rsidR="002161B7" w:rsidRDefault="007E2599" w:rsidP="00201375">
      <w:r>
        <w:t>Producers who choose to c</w:t>
      </w:r>
      <w:r w:rsidR="002161B7">
        <w:t>ompl</w:t>
      </w:r>
      <w:r>
        <w:t>y</w:t>
      </w:r>
      <w:r w:rsidR="002161B7">
        <w:t xml:space="preserve"> with a model code would </w:t>
      </w:r>
      <w:r w:rsidR="00783743">
        <w:t>achieve</w:t>
      </w:r>
      <w:r w:rsidR="002161B7">
        <w:t xml:space="preserve"> greater consistency of product information</w:t>
      </w:r>
      <w:r w:rsidR="008D0083">
        <w:t xml:space="preserve"> a</w:t>
      </w:r>
      <w:r w:rsidR="00090826">
        <w:t>nd</w:t>
      </w:r>
      <w:r w:rsidR="008D0083">
        <w:t>, as</w:t>
      </w:r>
      <w:r w:rsidR="00090826">
        <w:t xml:space="preserve"> a </w:t>
      </w:r>
      <w:r w:rsidR="008D0083">
        <w:t xml:space="preserve">result, </w:t>
      </w:r>
      <w:r w:rsidR="00090826">
        <w:t xml:space="preserve">a </w:t>
      </w:r>
      <w:r w:rsidR="008D0083">
        <w:t xml:space="preserve">firmer </w:t>
      </w:r>
      <w:r w:rsidR="00090826">
        <w:t xml:space="preserve">basis for </w:t>
      </w:r>
      <w:r w:rsidR="00B133EB">
        <w:t xml:space="preserve">establishing </w:t>
      </w:r>
      <w:r w:rsidR="002161B7">
        <w:t>claims</w:t>
      </w:r>
      <w:r w:rsidR="008D0083">
        <w:t xml:space="preserve"> regarding </w:t>
      </w:r>
      <w:r w:rsidR="00836E11">
        <w:t xml:space="preserve">low emissions </w:t>
      </w:r>
      <w:r w:rsidR="008562BD">
        <w:t>products to capture green premiums</w:t>
      </w:r>
      <w:r w:rsidR="003075FB">
        <w:t xml:space="preserve"> from consumers</w:t>
      </w:r>
      <w:r w:rsidR="008562BD">
        <w:t>.</w:t>
      </w:r>
      <w:r w:rsidR="00BA1E92">
        <w:t xml:space="preserve"> </w:t>
      </w:r>
      <w:r w:rsidR="00273E4D">
        <w:t>When compared with the status quo, c</w:t>
      </w:r>
      <w:r w:rsidR="00BA1E92">
        <w:t xml:space="preserve">onsumers would have greater </w:t>
      </w:r>
      <w:r w:rsidR="003E54D4">
        <w:t>assurance</w:t>
      </w:r>
      <w:r w:rsidR="00BA1E92">
        <w:t xml:space="preserve"> that claims </w:t>
      </w:r>
      <w:r w:rsidR="00273E4D">
        <w:t xml:space="preserve">based on </w:t>
      </w:r>
      <w:r w:rsidR="00BA1E92">
        <w:t xml:space="preserve">product information </w:t>
      </w:r>
      <w:r w:rsidR="003147A8">
        <w:t>featuring the model code</w:t>
      </w:r>
      <w:r w:rsidR="009C70D8">
        <w:t xml:space="preserve"> are reliable.</w:t>
      </w:r>
      <w:r w:rsidR="002161B7">
        <w:t xml:space="preserve"> </w:t>
      </w:r>
      <w:r w:rsidR="00104EC5">
        <w:t>I</w:t>
      </w:r>
      <w:r w:rsidR="002161B7">
        <w:t>nternationally</w:t>
      </w:r>
      <w:r w:rsidR="00104EC5">
        <w:t xml:space="preserve"> too</w:t>
      </w:r>
      <w:r w:rsidR="002161B7">
        <w:t>, t</w:t>
      </w:r>
      <w:r w:rsidR="002161B7" w:rsidRPr="22266F8D">
        <w:t xml:space="preserve">he quasi-regulatory approach </w:t>
      </w:r>
      <w:r w:rsidR="00D21C51">
        <w:t>c</w:t>
      </w:r>
      <w:r w:rsidR="002161B7" w:rsidRPr="22266F8D">
        <w:t xml:space="preserve">ould provide </w:t>
      </w:r>
      <w:r w:rsidR="00D21C51">
        <w:t>necessary information regarding</w:t>
      </w:r>
      <w:r w:rsidR="002161B7" w:rsidRPr="22266F8D">
        <w:t xml:space="preserve"> exported products to jurisdictions with CBAMs</w:t>
      </w:r>
      <w:r w:rsidR="002161B7">
        <w:t>, energy product import regulations,</w:t>
      </w:r>
      <w:r w:rsidR="002161B7" w:rsidRPr="22266F8D">
        <w:t xml:space="preserve"> </w:t>
      </w:r>
      <w:r w:rsidR="00F409A9">
        <w:t>or other trade barriers</w:t>
      </w:r>
      <w:r w:rsidR="00AC5B67">
        <w:t>.</w:t>
      </w:r>
    </w:p>
    <w:p w14:paraId="55F3643A" w14:textId="60CB73EE" w:rsidR="004E12F1" w:rsidRDefault="00C621B8" w:rsidP="00201375">
      <w:pPr>
        <w:pStyle w:val="BodyText"/>
      </w:pPr>
      <w:r>
        <w:t>This approach</w:t>
      </w:r>
      <w:r w:rsidR="00530DFC">
        <w:t xml:space="preserve"> would </w:t>
      </w:r>
      <w:r>
        <w:t>result in</w:t>
      </w:r>
      <w:r w:rsidR="00530DFC">
        <w:t xml:space="preserve"> </w:t>
      </w:r>
      <w:r w:rsidR="00845366">
        <w:t xml:space="preserve">an increase </w:t>
      </w:r>
      <w:r w:rsidR="002D270F">
        <w:t>burden to comply</w:t>
      </w:r>
      <w:r w:rsidR="00572B24">
        <w:t xml:space="preserve"> compared to the status quo</w:t>
      </w:r>
      <w:r w:rsidR="007D4713">
        <w:t>, likely achieved through a third</w:t>
      </w:r>
      <w:r w:rsidR="006C324D">
        <w:t>-</w:t>
      </w:r>
      <w:r w:rsidR="007D4713">
        <w:t xml:space="preserve">party assurance scheme </w:t>
      </w:r>
      <w:r w:rsidR="00114B48">
        <w:t>and/or procurance of regular assurance audits</w:t>
      </w:r>
      <w:r w:rsidR="00572B24">
        <w:t xml:space="preserve"> as outlined above</w:t>
      </w:r>
      <w:r w:rsidR="00114B48">
        <w:t>.</w:t>
      </w:r>
      <w:r w:rsidR="00572B24">
        <w:t xml:space="preserve"> However, likely a reduced initial compliance burden when compared with Option 3</w:t>
      </w:r>
      <w:r w:rsidR="00114B48">
        <w:t>.</w:t>
      </w:r>
    </w:p>
    <w:p w14:paraId="7A0CF33F" w14:textId="0647E4C2" w:rsidR="00F678A4" w:rsidRDefault="00F678A4" w:rsidP="00201375"/>
    <w:p w14:paraId="7A9DF4E0" w14:textId="77777777" w:rsidR="00F678A4" w:rsidRDefault="00F678A4" w:rsidP="00201375">
      <w:pPr>
        <w:pStyle w:val="BodyText"/>
        <w:ind w:left="360"/>
      </w:pPr>
    </w:p>
    <w:p w14:paraId="135A0C0F" w14:textId="0A28FABD" w:rsidR="00ED28C9" w:rsidRPr="00E64DC7" w:rsidRDefault="00E929A5" w:rsidP="00E64DC7">
      <w:pPr>
        <w:pStyle w:val="Heading2"/>
        <w:spacing w:before="240"/>
        <w:rPr>
          <w:sz w:val="28"/>
          <w:szCs w:val="28"/>
        </w:rPr>
      </w:pPr>
      <w:bookmarkStart w:id="39" w:name="_Toc993182734"/>
      <w:bookmarkStart w:id="40" w:name="_Toc165367218"/>
      <w:bookmarkStart w:id="41" w:name="_Toc175312087"/>
      <w:r>
        <w:rPr>
          <w:sz w:val="28"/>
          <w:szCs w:val="28"/>
        </w:rPr>
        <w:lastRenderedPageBreak/>
        <w:t xml:space="preserve">Net Benefit for </w:t>
      </w:r>
      <w:r w:rsidR="00ED28C9" w:rsidRPr="00E64DC7">
        <w:rPr>
          <w:sz w:val="28"/>
          <w:szCs w:val="28"/>
        </w:rPr>
        <w:t xml:space="preserve">Option </w:t>
      </w:r>
      <w:r w:rsidR="006677C5">
        <w:rPr>
          <w:sz w:val="28"/>
          <w:szCs w:val="28"/>
        </w:rPr>
        <w:t>3</w:t>
      </w:r>
      <w:r w:rsidR="00ED28C9" w:rsidRPr="00E64DC7">
        <w:rPr>
          <w:sz w:val="28"/>
          <w:szCs w:val="28"/>
        </w:rPr>
        <w:t xml:space="preserve"> </w:t>
      </w:r>
      <w:r w:rsidR="00791172" w:rsidRPr="00E64DC7">
        <w:rPr>
          <w:sz w:val="28"/>
          <w:szCs w:val="28"/>
        </w:rPr>
        <w:t>–</w:t>
      </w:r>
      <w:r w:rsidR="00ED28C9" w:rsidRPr="00E64DC7">
        <w:rPr>
          <w:sz w:val="28"/>
          <w:szCs w:val="28"/>
        </w:rPr>
        <w:t xml:space="preserve"> </w:t>
      </w:r>
      <w:r w:rsidR="00315EE8">
        <w:rPr>
          <w:sz w:val="28"/>
          <w:szCs w:val="28"/>
        </w:rPr>
        <w:t>Regulatory approach</w:t>
      </w:r>
      <w:bookmarkEnd w:id="39"/>
      <w:bookmarkEnd w:id="40"/>
      <w:bookmarkEnd w:id="41"/>
    </w:p>
    <w:p w14:paraId="1934C186" w14:textId="73DD4953" w:rsidR="00423428" w:rsidRPr="00423428" w:rsidRDefault="00E56405" w:rsidP="00423428">
      <w:pPr>
        <w:pStyle w:val="Heading4"/>
      </w:pPr>
      <w:r w:rsidDel="00423428">
        <w:t>Australian</w:t>
      </w:r>
      <w:r w:rsidR="00736071" w:rsidDel="00423428">
        <w:t xml:space="preserve"> </w:t>
      </w:r>
      <w:r w:rsidR="00315EE8" w:rsidDel="00423428">
        <w:t xml:space="preserve">Government administered </w:t>
      </w:r>
      <w:r w:rsidR="00423428">
        <w:t>Guarantee of Origin</w:t>
      </w:r>
      <w:r w:rsidR="00423428" w:rsidRPr="00675FE6">
        <w:t xml:space="preserve"> Scheme</w:t>
      </w:r>
    </w:p>
    <w:p w14:paraId="6CD26066" w14:textId="41728CFA" w:rsidR="00E52FA1" w:rsidRDefault="008A02F5" w:rsidP="007B2EFB">
      <w:r w:rsidRPr="00E76953">
        <w:t>The regulatory approach provides clear benefits for Australia’s clean energy sector. It establishes a single, government-run certification scheme that ensures domestic consistency of standards, boost</w:t>
      </w:r>
      <w:r w:rsidR="007B7C1F">
        <w:t>s</w:t>
      </w:r>
      <w:r w:rsidRPr="00E76953">
        <w:t xml:space="preserve"> investor confidence </w:t>
      </w:r>
      <w:r w:rsidR="007B7C1F">
        <w:t>to</w:t>
      </w:r>
      <w:r w:rsidRPr="00E76953">
        <w:t xml:space="preserve"> facilitate</w:t>
      </w:r>
      <w:r w:rsidR="007B7C1F">
        <w:t xml:space="preserve"> </w:t>
      </w:r>
      <w:r w:rsidRPr="00E76953">
        <w:t xml:space="preserve">financing </w:t>
      </w:r>
      <w:r w:rsidR="007B7C1F">
        <w:t xml:space="preserve">of clean </w:t>
      </w:r>
      <w:r w:rsidRPr="00E76953">
        <w:t xml:space="preserve">energy </w:t>
      </w:r>
      <w:r w:rsidR="007B7C1F">
        <w:t xml:space="preserve">and renewable </w:t>
      </w:r>
      <w:r w:rsidRPr="00E76953">
        <w:t>projects</w:t>
      </w:r>
      <w:r w:rsidR="00352411">
        <w:t xml:space="preserve"> and provides a robust verification mechanism for </w:t>
      </w:r>
      <w:r w:rsidR="00EA5B91">
        <w:t xml:space="preserve">relevant </w:t>
      </w:r>
      <w:r w:rsidR="00EB7194">
        <w:t>g</w:t>
      </w:r>
      <w:r w:rsidR="00352411">
        <w:t>overnment incentive programs</w:t>
      </w:r>
      <w:r w:rsidRPr="00E76953">
        <w:t xml:space="preserve">. It will also support trade by aligning with global standards, thereby reducing barriers and enhancing the competitiveness of Australian exports. </w:t>
      </w:r>
    </w:p>
    <w:p w14:paraId="59444C92" w14:textId="31A25AC6" w:rsidR="00FA2700" w:rsidRDefault="00FA2700" w:rsidP="00FA2700">
      <w:pPr>
        <w:pStyle w:val="BodyText"/>
      </w:pPr>
      <w:r>
        <w:t>The scheme would be voluntary and capture sufficient information to enable market participants to identify products that meet their needs. It</w:t>
      </w:r>
      <w:r w:rsidRPr="008346B2">
        <w:t xml:space="preserve"> </w:t>
      </w:r>
      <w:r>
        <w:t>would be</w:t>
      </w:r>
      <w:r w:rsidRPr="008346B2">
        <w:t xml:space="preserve"> designed to </w:t>
      </w:r>
      <w:r>
        <w:t xml:space="preserve">underpin and </w:t>
      </w:r>
      <w:r w:rsidRPr="008346B2">
        <w:t>integrate with existing and emerging domestic frameworks</w:t>
      </w:r>
      <w:r>
        <w:t xml:space="preserve"> and align with trading partner schemes</w:t>
      </w:r>
      <w:r w:rsidRPr="008346B2">
        <w:t>. This includes industry-led and state and territory schemes that could use information from the GO scheme to provide certifications or incentives for low carbon or carbon neutral products</w:t>
      </w:r>
      <w:r>
        <w:t xml:space="preserve">. </w:t>
      </w:r>
    </w:p>
    <w:p w14:paraId="0BAEB673" w14:textId="4E4E3144" w:rsidR="007B2EFB" w:rsidRDefault="008A02F5" w:rsidP="007B2EFB">
      <w:r w:rsidRPr="00E76953">
        <w:t xml:space="preserve">The centralised framework will help to grow Australia’s emerging hydrogen industry, contributing to Australia’s goals of domestic decarbonisation and </w:t>
      </w:r>
      <w:r w:rsidR="007B7C1F">
        <w:t xml:space="preserve">increased </w:t>
      </w:r>
      <w:r w:rsidRPr="00E76953">
        <w:t xml:space="preserve">international export of our </w:t>
      </w:r>
      <w:r w:rsidR="00445118">
        <w:t>low carbon</w:t>
      </w:r>
      <w:r w:rsidRPr="00E76953">
        <w:t xml:space="preserve"> products.</w:t>
      </w:r>
      <w:r w:rsidR="007B2EFB">
        <w:t xml:space="preserve"> The framework would create national consistency and integrity by utilising internationally aligned accounting methods and ensuring no double counting of offsets (e.g. ACCUs within the system boundary) or renewable electricity certificates (such as LGCs). </w:t>
      </w:r>
    </w:p>
    <w:p w14:paraId="40089F32" w14:textId="77777777" w:rsidR="00077F0A" w:rsidRDefault="00690F5D" w:rsidP="007B6399">
      <w:pPr>
        <w:pStyle w:val="BodyText"/>
      </w:pPr>
      <w:r w:rsidRPr="00690F5D">
        <w:t xml:space="preserve">This option </w:t>
      </w:r>
      <w:r w:rsidR="008F026F">
        <w:t>would</w:t>
      </w:r>
      <w:r w:rsidRPr="00690F5D">
        <w:t xml:space="preserve"> position Australia to capture early opportunities to facilitate </w:t>
      </w:r>
      <w:r w:rsidR="005D2845">
        <w:t xml:space="preserve">the development of </w:t>
      </w:r>
      <w:r w:rsidRPr="00690F5D">
        <w:t xml:space="preserve">Australia’s </w:t>
      </w:r>
      <w:r w:rsidR="005D2845">
        <w:t>hydrogen</w:t>
      </w:r>
      <w:r w:rsidRPr="00690F5D">
        <w:t xml:space="preserve"> industry and support proactive domestic and international engagement to attract global investors and shape emerging markets for Australian low-emissions goods. The consistency, integrity, and trust that comes from a government-run scheme will minimise regulatory burden for industry while enabling significant scale-up and </w:t>
      </w:r>
      <w:r w:rsidR="00077F0A" w:rsidRPr="00690F5D">
        <w:t>invest</w:t>
      </w:r>
      <w:r w:rsidR="00077F0A">
        <w:t>m</w:t>
      </w:r>
      <w:r w:rsidR="00077F0A" w:rsidRPr="00690F5D">
        <w:t>ent</w:t>
      </w:r>
      <w:r w:rsidR="00077F0A">
        <w:t>.</w:t>
      </w:r>
    </w:p>
    <w:p w14:paraId="1886A68A" w14:textId="7ECC99AA" w:rsidR="003E02DB" w:rsidRDefault="003E02DB" w:rsidP="003E02DB">
      <w:pPr>
        <w:spacing w:after="160" w:line="259" w:lineRule="auto"/>
        <w:rPr>
          <w:color w:val="auto"/>
        </w:rPr>
      </w:pPr>
      <w:r w:rsidRPr="00965001">
        <w:rPr>
          <w:color w:val="auto"/>
        </w:rPr>
        <w:t>Government intervention would likely provide the best chance of success in achieving each of the objectives</w:t>
      </w:r>
      <w:r w:rsidR="00C01F51">
        <w:rPr>
          <w:color w:val="auto"/>
        </w:rPr>
        <w:t xml:space="preserve"> identified in section 2</w:t>
      </w:r>
      <w:r w:rsidRPr="00965001">
        <w:rPr>
          <w:color w:val="auto"/>
        </w:rPr>
        <w:t xml:space="preserve">. </w:t>
      </w:r>
      <w:r w:rsidRPr="00965001">
        <w:t xml:space="preserve">A </w:t>
      </w:r>
      <w:r w:rsidR="009B7D3F">
        <w:t>g</w:t>
      </w:r>
      <w:r w:rsidRPr="00965001">
        <w:rPr>
          <w:color w:val="auto"/>
        </w:rPr>
        <w:t>overnment-led approach increases the opportunity for transparency and integrity in information that is provided to the market on environmental attributes of products compared to non-</w:t>
      </w:r>
      <w:r w:rsidR="009B7D3F">
        <w:rPr>
          <w:color w:val="auto"/>
        </w:rPr>
        <w:t>g</w:t>
      </w:r>
      <w:r w:rsidRPr="00965001">
        <w:rPr>
          <w:color w:val="auto"/>
        </w:rPr>
        <w:t>overnment led alternatives.  A government-backed approach would assist with independent verification of renewable energy and low emissions claims which would help to avoid greenwashing.</w:t>
      </w:r>
    </w:p>
    <w:p w14:paraId="34CD7D48" w14:textId="1DD07778" w:rsidR="00760BCB" w:rsidRPr="00BA5F46" w:rsidRDefault="00760BCB" w:rsidP="003E02DB">
      <w:pPr>
        <w:spacing w:after="160" w:line="259" w:lineRule="auto"/>
        <w:rPr>
          <w:b/>
          <w:color w:val="auto"/>
        </w:rPr>
      </w:pPr>
      <w:r w:rsidRPr="00BA5F46">
        <w:rPr>
          <w:b/>
          <w:color w:val="auto"/>
        </w:rPr>
        <w:t xml:space="preserve">Costs to </w:t>
      </w:r>
      <w:r w:rsidR="009B7D3F">
        <w:rPr>
          <w:b/>
          <w:color w:val="auto"/>
        </w:rPr>
        <w:t>g</w:t>
      </w:r>
      <w:r w:rsidRPr="00BA5F46">
        <w:rPr>
          <w:b/>
          <w:color w:val="auto"/>
        </w:rPr>
        <w:t>overnmen</w:t>
      </w:r>
      <w:r w:rsidR="00663964" w:rsidRPr="00BA5F46">
        <w:rPr>
          <w:b/>
          <w:color w:val="auto"/>
        </w:rPr>
        <w:t>t</w:t>
      </w:r>
    </w:p>
    <w:p w14:paraId="4E6751A6" w14:textId="5B6F7691" w:rsidR="000B6755" w:rsidRPr="00BA5F46" w:rsidRDefault="009205E6" w:rsidP="003E02DB">
      <w:pPr>
        <w:spacing w:after="160" w:line="259" w:lineRule="auto"/>
        <w:rPr>
          <w:color w:val="auto"/>
        </w:rPr>
      </w:pPr>
      <w:r w:rsidRPr="00BA5F46">
        <w:rPr>
          <w:color w:val="auto"/>
        </w:rPr>
        <w:t>The costs to consider for Gov</w:t>
      </w:r>
      <w:r w:rsidR="00D3335B" w:rsidRPr="00BA5F46">
        <w:rPr>
          <w:color w:val="auto"/>
        </w:rPr>
        <w:t>ernment under option 3</w:t>
      </w:r>
      <w:r w:rsidR="000B1FCB" w:rsidRPr="00BA5F46">
        <w:rPr>
          <w:color w:val="auto"/>
        </w:rPr>
        <w:t xml:space="preserve"> include costs for p</w:t>
      </w:r>
      <w:r w:rsidRPr="00BA5F46">
        <w:rPr>
          <w:color w:val="auto"/>
        </w:rPr>
        <w:t>olicy development and consultation</w:t>
      </w:r>
      <w:r w:rsidR="000B1FCB" w:rsidRPr="00BA5F46">
        <w:rPr>
          <w:color w:val="auto"/>
        </w:rPr>
        <w:t xml:space="preserve">, the </w:t>
      </w:r>
      <w:r w:rsidR="00A974B0" w:rsidRPr="00BA5F46">
        <w:rPr>
          <w:color w:val="auto"/>
        </w:rPr>
        <w:t xml:space="preserve">drafting </w:t>
      </w:r>
      <w:r w:rsidR="00D6598D" w:rsidRPr="00BA5F46">
        <w:rPr>
          <w:color w:val="auto"/>
        </w:rPr>
        <w:t xml:space="preserve">of and </w:t>
      </w:r>
      <w:r w:rsidR="000B1FCB" w:rsidRPr="00BA5F46">
        <w:rPr>
          <w:color w:val="auto"/>
        </w:rPr>
        <w:t>p</w:t>
      </w:r>
      <w:r w:rsidRPr="00BA5F46">
        <w:rPr>
          <w:color w:val="auto"/>
        </w:rPr>
        <w:t>assing of legislation</w:t>
      </w:r>
      <w:r w:rsidR="000B1FCB" w:rsidRPr="00BA5F46">
        <w:rPr>
          <w:color w:val="auto"/>
        </w:rPr>
        <w:t>, i</w:t>
      </w:r>
      <w:r w:rsidRPr="00BA5F46">
        <w:rPr>
          <w:color w:val="auto"/>
        </w:rPr>
        <w:t>mplementation costs including IT build</w:t>
      </w:r>
      <w:r w:rsidR="007D7BA6" w:rsidRPr="00BA5F46">
        <w:rPr>
          <w:color w:val="auto"/>
        </w:rPr>
        <w:t xml:space="preserve"> and resourcing</w:t>
      </w:r>
      <w:r w:rsidR="005007E0" w:rsidRPr="00BA5F46">
        <w:rPr>
          <w:color w:val="auto"/>
        </w:rPr>
        <w:t xml:space="preserve"> and</w:t>
      </w:r>
      <w:r w:rsidR="008A158A" w:rsidRPr="00BA5F46">
        <w:rPr>
          <w:color w:val="auto"/>
        </w:rPr>
        <w:t xml:space="preserve"> </w:t>
      </w:r>
      <w:r w:rsidR="005007E0" w:rsidRPr="00BA5F46">
        <w:rPr>
          <w:color w:val="auto"/>
        </w:rPr>
        <w:t xml:space="preserve">the </w:t>
      </w:r>
      <w:r w:rsidR="008A158A" w:rsidRPr="00BA5F46">
        <w:rPr>
          <w:color w:val="auto"/>
        </w:rPr>
        <w:t>o</w:t>
      </w:r>
      <w:r w:rsidR="005574AE" w:rsidRPr="00BA5F46">
        <w:rPr>
          <w:color w:val="auto"/>
        </w:rPr>
        <w:t>ngoing costs</w:t>
      </w:r>
      <w:r w:rsidR="008A158A" w:rsidRPr="00BA5F46">
        <w:rPr>
          <w:color w:val="auto"/>
        </w:rPr>
        <w:t xml:space="preserve"> of administ</w:t>
      </w:r>
      <w:r w:rsidR="005007E0" w:rsidRPr="00BA5F46">
        <w:rPr>
          <w:color w:val="auto"/>
        </w:rPr>
        <w:t>ration of</w:t>
      </w:r>
      <w:r w:rsidR="008A158A" w:rsidRPr="00BA5F46">
        <w:rPr>
          <w:color w:val="auto"/>
        </w:rPr>
        <w:t xml:space="preserve"> the scheme</w:t>
      </w:r>
      <w:r w:rsidR="005007E0" w:rsidRPr="00BA5F46">
        <w:rPr>
          <w:color w:val="auto"/>
        </w:rPr>
        <w:t>.</w:t>
      </w:r>
    </w:p>
    <w:p w14:paraId="5C2C4D13" w14:textId="50575AA7" w:rsidR="00DC50D5" w:rsidRPr="00DC50D5" w:rsidRDefault="00DC50D5" w:rsidP="00DC50D5">
      <w:pPr>
        <w:pStyle w:val="BodyText"/>
      </w:pPr>
      <w:r w:rsidRPr="00C57DB5">
        <w:t>I</w:t>
      </w:r>
      <w:r w:rsidRPr="00DC50D5">
        <w:t xml:space="preserve">n the 2022-23 Budget, the </w:t>
      </w:r>
      <w:r w:rsidR="00C83514">
        <w:t>g</w:t>
      </w:r>
      <w:r w:rsidRPr="00DC50D5">
        <w:t>overnment provided $2.2 million to the D</w:t>
      </w:r>
      <w:r w:rsidRPr="00C57DB5">
        <w:t>CCEEW</w:t>
      </w:r>
      <w:r w:rsidRPr="00DC50D5">
        <w:t xml:space="preserve"> to develop and consult on the design of the GO scheme and to draft legislation and $19.7 million was provided over 2021-22 and 2022-23 to the </w:t>
      </w:r>
      <w:r w:rsidR="00867F04">
        <w:t xml:space="preserve">Clean Energy </w:t>
      </w:r>
      <w:r w:rsidRPr="00DC50D5">
        <w:t xml:space="preserve">Regulator to undertake industry trials </w:t>
      </w:r>
      <w:r w:rsidR="00C97EA4">
        <w:t>($9.7</w:t>
      </w:r>
      <w:r w:rsidR="00B40FE8">
        <w:t xml:space="preserve"> million) </w:t>
      </w:r>
      <w:r w:rsidRPr="00DC50D5">
        <w:t>and the initial ICT system build</w:t>
      </w:r>
      <w:r w:rsidR="00867F04">
        <w:t xml:space="preserve"> for a possible certification scheme</w:t>
      </w:r>
      <w:r w:rsidR="00B40FE8">
        <w:t xml:space="preserve"> ($10 million)</w:t>
      </w:r>
      <w:r w:rsidRPr="00DC50D5">
        <w:t>. </w:t>
      </w:r>
    </w:p>
    <w:p w14:paraId="6C71EA95" w14:textId="16176A35" w:rsidR="00DC50D5" w:rsidRPr="00C57DB5" w:rsidRDefault="00DC50D5" w:rsidP="007B6399">
      <w:pPr>
        <w:pStyle w:val="BodyText"/>
      </w:pPr>
      <w:r>
        <w:t xml:space="preserve">In the 2023-24 Budget, the </w:t>
      </w:r>
      <w:r w:rsidR="00676800">
        <w:t>g</w:t>
      </w:r>
      <w:r>
        <w:t xml:space="preserve">overnment provided $38.2 million over four years from 2023-24 (and $6.8 million per year ongoing) for the implementation and operation of </w:t>
      </w:r>
      <w:r w:rsidR="00867F04">
        <w:t xml:space="preserve">a </w:t>
      </w:r>
      <w:r>
        <w:t xml:space="preserve">GO scheme. </w:t>
      </w:r>
      <w:r w:rsidR="29D8AB83">
        <w:t>$8.7 million</w:t>
      </w:r>
      <w:r w:rsidR="4A708EC2">
        <w:t xml:space="preserve"> </w:t>
      </w:r>
      <w:r w:rsidR="29D8AB83">
        <w:t>is expected to be cost recovered by 2026-27 with full cost recovery achieved by 2031</w:t>
      </w:r>
      <w:r w:rsidR="69011BBA">
        <w:t>-</w:t>
      </w:r>
      <w:r w:rsidR="29D8AB83">
        <w:t xml:space="preserve">32. </w:t>
      </w:r>
    </w:p>
    <w:p w14:paraId="74D9FB02" w14:textId="78E0063B" w:rsidR="68EEDB34" w:rsidRDefault="004A29A5" w:rsidP="68EEDB34">
      <w:pPr>
        <w:pStyle w:val="BodyText"/>
      </w:pPr>
      <w:r>
        <w:t xml:space="preserve">It should be noted that </w:t>
      </w:r>
      <w:r w:rsidR="00AA58DE">
        <w:t>the equivalent costs of building an IT system and administering a scheme have not bee</w:t>
      </w:r>
      <w:r w:rsidR="00B40541">
        <w:t>n</w:t>
      </w:r>
      <w:r w:rsidR="00AA58DE">
        <w:t xml:space="preserve"> included under option 2. These costs would be incurred but would be borne by </w:t>
      </w:r>
      <w:r w:rsidR="00443C18">
        <w:t>an industry assoc</w:t>
      </w:r>
      <w:r w:rsidR="003E614F">
        <w:t xml:space="preserve">iation or </w:t>
      </w:r>
      <w:r w:rsidR="00185758">
        <w:t xml:space="preserve">other private entity. </w:t>
      </w:r>
      <w:r w:rsidR="00C80D96">
        <w:t xml:space="preserve">The scope of option 3 is also broader than option 2, </w:t>
      </w:r>
      <w:r w:rsidR="00833C45">
        <w:t>as it includes some funding for expanding the scheme beyon</w:t>
      </w:r>
      <w:r w:rsidR="00DD282B">
        <w:t>d hydrogen</w:t>
      </w:r>
      <w:r w:rsidR="003A4FB4">
        <w:t xml:space="preserve"> to other products over time</w:t>
      </w:r>
      <w:r w:rsidR="00DD282B">
        <w:t xml:space="preserve">. </w:t>
      </w:r>
    </w:p>
    <w:p w14:paraId="31A36668" w14:textId="6BDE8471" w:rsidR="007B6399" w:rsidRDefault="00077F0A" w:rsidP="007B6399">
      <w:pPr>
        <w:pStyle w:val="BodyText"/>
        <w:rPr>
          <w:b/>
          <w:bCs/>
        </w:rPr>
      </w:pPr>
      <w:r>
        <w:rPr>
          <w:b/>
          <w:bCs/>
        </w:rPr>
        <w:t>Costs</w:t>
      </w:r>
      <w:r w:rsidR="007B6399" w:rsidRPr="00831C46">
        <w:rPr>
          <w:b/>
          <w:bCs/>
        </w:rPr>
        <w:t xml:space="preserve"> of regulation </w:t>
      </w:r>
      <w:r w:rsidR="007B6399">
        <w:rPr>
          <w:b/>
          <w:bCs/>
        </w:rPr>
        <w:t>and regulatory compliance burden</w:t>
      </w:r>
    </w:p>
    <w:p w14:paraId="6DF97E2F" w14:textId="52686560" w:rsidR="00AB0DA7" w:rsidRDefault="00AB0DA7" w:rsidP="00AB0DA7">
      <w:r>
        <w:t xml:space="preserve">Importantly, this option proposes </w:t>
      </w:r>
      <w:r w:rsidR="00FE2470">
        <w:t xml:space="preserve">establishment of </w:t>
      </w:r>
      <w:r>
        <w:t xml:space="preserve">a voluntary </w:t>
      </w:r>
      <w:r w:rsidR="00FE2470">
        <w:t>scheme</w:t>
      </w:r>
      <w:r>
        <w:t xml:space="preserve">. Entities who wish to access certain domestic </w:t>
      </w:r>
      <w:r w:rsidR="002B1009">
        <w:t xml:space="preserve">incentives </w:t>
      </w:r>
      <w:r>
        <w:t xml:space="preserve">or international opportunities are more likely to benefit from </w:t>
      </w:r>
      <w:r w:rsidR="00710340">
        <w:t>participating in the scheme</w:t>
      </w:r>
      <w:r>
        <w:t>. Producers that do not require or desire certification are able to continue unaffected. Innovators or emerging producers can participate to acquire a competitive edge. Companies will only participate if the benefits of the scheme outweigh the costs.</w:t>
      </w:r>
    </w:p>
    <w:p w14:paraId="490F2EF1" w14:textId="7800D1F6" w:rsidR="002070EC" w:rsidRDefault="002070EC" w:rsidP="002070EC">
      <w:pPr>
        <w:pStyle w:val="Caption"/>
      </w:pPr>
      <w:r>
        <w:lastRenderedPageBreak/>
        <w:t>Table</w:t>
      </w:r>
      <w:r w:rsidR="008A26E5">
        <w:t xml:space="preserve"> </w:t>
      </w:r>
      <w:r w:rsidR="00F92879">
        <w:t>2</w:t>
      </w:r>
      <w:r>
        <w:t xml:space="preserve">: </w:t>
      </w:r>
      <w:r w:rsidRPr="00792C97">
        <w:t>Average annual regulatory costs (from business as usual)</w:t>
      </w:r>
      <w:r>
        <w:t>, Regulatory Option</w:t>
      </w:r>
    </w:p>
    <w:tbl>
      <w:tblPr>
        <w:tblStyle w:val="PMCDefaultTableStyle"/>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040"/>
        <w:gridCol w:w="2040"/>
        <w:gridCol w:w="2040"/>
        <w:gridCol w:w="2041"/>
      </w:tblGrid>
      <w:tr w:rsidR="002070EC" w:rsidRPr="00A143F3" w14:paraId="56D98508" w14:textId="77777777" w:rsidTr="00336EE3">
        <w:trPr>
          <w:cnfStyle w:val="100000000000" w:firstRow="1" w:lastRow="0" w:firstColumn="0" w:lastColumn="0" w:oddVBand="0" w:evenVBand="0" w:oddHBand="0" w:evenHBand="0" w:firstRowFirstColumn="0" w:firstRowLastColumn="0" w:lastRowFirstColumn="0" w:lastRowLastColumn="0"/>
        </w:trPr>
        <w:tc>
          <w:tcPr>
            <w:tcW w:w="2040" w:type="dxa"/>
            <w:hideMark/>
          </w:tcPr>
          <w:p w14:paraId="6688A5D2" w14:textId="77777777" w:rsidR="002070EC" w:rsidRPr="00CD0B1D" w:rsidRDefault="002070EC">
            <w:pPr>
              <w:pStyle w:val="BodyText"/>
              <w:spacing w:before="120"/>
              <w:rPr>
                <w:rFonts w:asciiTheme="minorHAnsi" w:hAnsiTheme="minorHAnsi" w:cstheme="minorHAnsi"/>
                <w:b w:val="0"/>
                <w:sz w:val="20"/>
              </w:rPr>
            </w:pPr>
            <w:r w:rsidRPr="00CD0B1D">
              <w:rPr>
                <w:rFonts w:asciiTheme="minorHAnsi" w:hAnsiTheme="minorHAnsi" w:cstheme="minorHAnsi"/>
                <w:sz w:val="20"/>
              </w:rPr>
              <w:t>Change in costs ($ million)</w:t>
            </w:r>
          </w:p>
        </w:tc>
        <w:tc>
          <w:tcPr>
            <w:tcW w:w="2040" w:type="dxa"/>
            <w:hideMark/>
          </w:tcPr>
          <w:p w14:paraId="234E5410" w14:textId="77777777" w:rsidR="002070EC" w:rsidRPr="00CD0B1D" w:rsidRDefault="002070EC">
            <w:pPr>
              <w:pStyle w:val="BodyText"/>
              <w:spacing w:before="120"/>
              <w:rPr>
                <w:rFonts w:asciiTheme="minorHAnsi" w:hAnsiTheme="minorHAnsi" w:cstheme="minorHAnsi"/>
                <w:sz w:val="20"/>
              </w:rPr>
            </w:pPr>
            <w:r w:rsidRPr="00CD0B1D">
              <w:rPr>
                <w:rFonts w:asciiTheme="minorHAnsi" w:hAnsiTheme="minorHAnsi" w:cstheme="minorHAnsi"/>
                <w:sz w:val="20"/>
              </w:rPr>
              <w:t>Business</w:t>
            </w:r>
          </w:p>
        </w:tc>
        <w:tc>
          <w:tcPr>
            <w:tcW w:w="2040" w:type="dxa"/>
            <w:hideMark/>
          </w:tcPr>
          <w:p w14:paraId="0EFBBD70" w14:textId="77777777" w:rsidR="002070EC" w:rsidRPr="00CD0B1D" w:rsidRDefault="002070EC">
            <w:pPr>
              <w:pStyle w:val="BodyText"/>
              <w:spacing w:before="120"/>
              <w:rPr>
                <w:rFonts w:asciiTheme="minorHAnsi" w:hAnsiTheme="minorHAnsi" w:cstheme="minorHAnsi"/>
                <w:sz w:val="20"/>
              </w:rPr>
            </w:pPr>
            <w:r w:rsidRPr="00CD0B1D">
              <w:rPr>
                <w:rFonts w:asciiTheme="minorHAnsi" w:hAnsiTheme="minorHAnsi" w:cstheme="minorHAnsi"/>
                <w:sz w:val="20"/>
              </w:rPr>
              <w:t>Community organisations</w:t>
            </w:r>
          </w:p>
        </w:tc>
        <w:tc>
          <w:tcPr>
            <w:tcW w:w="2040" w:type="dxa"/>
            <w:hideMark/>
          </w:tcPr>
          <w:p w14:paraId="6A9F1A12" w14:textId="77777777" w:rsidR="002070EC" w:rsidRPr="00CD0B1D" w:rsidRDefault="002070EC">
            <w:pPr>
              <w:pStyle w:val="BodyText"/>
              <w:spacing w:before="120"/>
              <w:rPr>
                <w:rFonts w:asciiTheme="minorHAnsi" w:hAnsiTheme="minorHAnsi" w:cstheme="minorHAnsi"/>
                <w:sz w:val="20"/>
              </w:rPr>
            </w:pPr>
            <w:r w:rsidRPr="00CD0B1D">
              <w:rPr>
                <w:rFonts w:asciiTheme="minorHAnsi" w:hAnsiTheme="minorHAnsi" w:cstheme="minorHAnsi"/>
                <w:sz w:val="20"/>
              </w:rPr>
              <w:t>Individuals</w:t>
            </w:r>
          </w:p>
        </w:tc>
        <w:tc>
          <w:tcPr>
            <w:tcW w:w="2041" w:type="dxa"/>
            <w:hideMark/>
          </w:tcPr>
          <w:p w14:paraId="74B82111" w14:textId="77777777" w:rsidR="002070EC" w:rsidRPr="00CD0B1D" w:rsidRDefault="002070EC">
            <w:pPr>
              <w:pStyle w:val="BodyText"/>
              <w:spacing w:before="120"/>
              <w:rPr>
                <w:rFonts w:asciiTheme="minorHAnsi" w:hAnsiTheme="minorHAnsi" w:cstheme="minorHAnsi"/>
                <w:sz w:val="20"/>
              </w:rPr>
            </w:pPr>
            <w:r w:rsidRPr="00CD0B1D">
              <w:rPr>
                <w:rFonts w:asciiTheme="minorHAnsi" w:hAnsiTheme="minorHAnsi" w:cstheme="minorHAnsi"/>
                <w:sz w:val="20"/>
              </w:rPr>
              <w:t>Total change in costs</w:t>
            </w:r>
          </w:p>
        </w:tc>
      </w:tr>
      <w:tr w:rsidR="002070EC" w:rsidRPr="00A143F3" w14:paraId="74E8996A" w14:textId="77777777" w:rsidTr="00336EE3">
        <w:trPr>
          <w:cnfStyle w:val="000000100000" w:firstRow="0" w:lastRow="0" w:firstColumn="0" w:lastColumn="0" w:oddVBand="0" w:evenVBand="0" w:oddHBand="1" w:evenHBand="0" w:firstRowFirstColumn="0" w:firstRowLastColumn="0" w:lastRowFirstColumn="0" w:lastRowLastColumn="0"/>
          <w:trHeight w:val="287"/>
        </w:trPr>
        <w:tc>
          <w:tcPr>
            <w:tcW w:w="2040" w:type="dxa"/>
          </w:tcPr>
          <w:p w14:paraId="2AC1C7C3" w14:textId="77777777" w:rsidR="002070EC" w:rsidRPr="00CD0B1D" w:rsidRDefault="002070EC">
            <w:pPr>
              <w:pStyle w:val="BodyText"/>
              <w:spacing w:before="120"/>
              <w:rPr>
                <w:rFonts w:cstheme="minorHAnsi"/>
                <w:b/>
                <w:sz w:val="20"/>
              </w:rPr>
            </w:pPr>
            <w:r w:rsidRPr="00CD0B1D">
              <w:rPr>
                <w:rFonts w:cstheme="minorHAnsi"/>
                <w:b/>
                <w:sz w:val="20"/>
              </w:rPr>
              <w:t>Total, renewable electricity sector</w:t>
            </w:r>
          </w:p>
        </w:tc>
        <w:tc>
          <w:tcPr>
            <w:tcW w:w="2040" w:type="dxa"/>
          </w:tcPr>
          <w:p w14:paraId="67193F8E" w14:textId="4500F266" w:rsidR="002070EC" w:rsidRPr="00CD0B1D" w:rsidRDefault="002070EC">
            <w:pPr>
              <w:pStyle w:val="BodyText"/>
              <w:spacing w:before="120"/>
              <w:rPr>
                <w:rFonts w:cstheme="minorHAnsi"/>
                <w:sz w:val="20"/>
              </w:rPr>
            </w:pPr>
            <w:r w:rsidRPr="00CD0B1D">
              <w:rPr>
                <w:rFonts w:cstheme="minorHAnsi"/>
                <w:sz w:val="20"/>
              </w:rPr>
              <w:t>$16.9</w:t>
            </w:r>
          </w:p>
        </w:tc>
        <w:tc>
          <w:tcPr>
            <w:tcW w:w="2040" w:type="dxa"/>
          </w:tcPr>
          <w:p w14:paraId="4EA821DF" w14:textId="77777777" w:rsidR="002070EC" w:rsidRPr="00CD0B1D" w:rsidDel="00762A23" w:rsidRDefault="002070EC">
            <w:pPr>
              <w:pStyle w:val="BodyText"/>
              <w:spacing w:before="120"/>
              <w:rPr>
                <w:rFonts w:cstheme="minorHAnsi"/>
                <w:sz w:val="20"/>
              </w:rPr>
            </w:pPr>
            <w:r w:rsidRPr="00CD0B1D">
              <w:rPr>
                <w:rFonts w:cstheme="minorHAnsi"/>
                <w:sz w:val="20"/>
              </w:rPr>
              <w:t>N/A</w:t>
            </w:r>
          </w:p>
        </w:tc>
        <w:tc>
          <w:tcPr>
            <w:tcW w:w="2040" w:type="dxa"/>
          </w:tcPr>
          <w:p w14:paraId="23284872" w14:textId="77777777" w:rsidR="002070EC" w:rsidRPr="00CD0B1D" w:rsidDel="00762A23" w:rsidRDefault="002070EC">
            <w:pPr>
              <w:pStyle w:val="BodyText"/>
              <w:spacing w:before="120"/>
              <w:rPr>
                <w:rFonts w:cstheme="minorHAnsi"/>
                <w:sz w:val="20"/>
              </w:rPr>
            </w:pPr>
            <w:r w:rsidRPr="00CD0B1D">
              <w:rPr>
                <w:rFonts w:cstheme="minorHAnsi"/>
                <w:sz w:val="20"/>
              </w:rPr>
              <w:t>N/A</w:t>
            </w:r>
          </w:p>
        </w:tc>
        <w:tc>
          <w:tcPr>
            <w:tcW w:w="2041" w:type="dxa"/>
          </w:tcPr>
          <w:p w14:paraId="5B700E7C" w14:textId="77777777" w:rsidR="002070EC" w:rsidRPr="00CD0B1D" w:rsidRDefault="002070EC">
            <w:pPr>
              <w:pStyle w:val="BodyText"/>
              <w:spacing w:before="120"/>
              <w:rPr>
                <w:rFonts w:cstheme="minorHAnsi"/>
                <w:sz w:val="20"/>
              </w:rPr>
            </w:pPr>
            <w:r w:rsidRPr="00CD0B1D">
              <w:rPr>
                <w:rFonts w:cstheme="minorHAnsi"/>
                <w:sz w:val="20"/>
              </w:rPr>
              <w:t>$16.9</w:t>
            </w:r>
          </w:p>
        </w:tc>
      </w:tr>
      <w:tr w:rsidR="00AD641C" w:rsidRPr="00A143F3" w14:paraId="6180F364" w14:textId="77777777" w:rsidTr="00336EE3">
        <w:trPr>
          <w:cnfStyle w:val="000000010000" w:firstRow="0" w:lastRow="0" w:firstColumn="0" w:lastColumn="0" w:oddVBand="0" w:evenVBand="0" w:oddHBand="0" w:evenHBand="1" w:firstRowFirstColumn="0" w:firstRowLastColumn="0" w:lastRowFirstColumn="0" w:lastRowLastColumn="0"/>
          <w:trHeight w:val="287"/>
        </w:trPr>
        <w:tc>
          <w:tcPr>
            <w:tcW w:w="2040" w:type="dxa"/>
          </w:tcPr>
          <w:p w14:paraId="478DA83D" w14:textId="7509BC1F" w:rsidR="00AD641C" w:rsidRPr="00CD0B1D" w:rsidRDefault="00AD641C" w:rsidP="00AD641C">
            <w:pPr>
              <w:pStyle w:val="BodyText"/>
              <w:spacing w:before="120"/>
              <w:rPr>
                <w:rFonts w:cstheme="minorHAnsi"/>
                <w:b/>
              </w:rPr>
            </w:pPr>
            <w:r w:rsidRPr="00D11629">
              <w:rPr>
                <w:rFonts w:cstheme="minorHAnsi"/>
                <w:b/>
                <w:sz w:val="20"/>
              </w:rPr>
              <w:t>Total, hydrogen sector</w:t>
            </w:r>
          </w:p>
        </w:tc>
        <w:tc>
          <w:tcPr>
            <w:tcW w:w="2040" w:type="dxa"/>
          </w:tcPr>
          <w:p w14:paraId="207C0075" w14:textId="53977B88" w:rsidR="00AD641C" w:rsidRPr="00CD0B1D" w:rsidRDefault="00FF446F" w:rsidP="00AD641C">
            <w:pPr>
              <w:pStyle w:val="BodyText"/>
              <w:spacing w:before="120"/>
              <w:rPr>
                <w:rFonts w:cstheme="minorHAnsi"/>
              </w:rPr>
            </w:pPr>
            <w:r w:rsidRPr="00B619B6">
              <w:rPr>
                <w:rFonts w:cstheme="minorHAnsi"/>
                <w:sz w:val="20"/>
              </w:rPr>
              <w:t>$1.</w:t>
            </w:r>
            <w:r w:rsidR="00576949" w:rsidRPr="00B619B6">
              <w:rPr>
                <w:rFonts w:cstheme="minorHAnsi"/>
                <w:sz w:val="20"/>
              </w:rPr>
              <w:t>3</w:t>
            </w:r>
          </w:p>
        </w:tc>
        <w:tc>
          <w:tcPr>
            <w:tcW w:w="2040" w:type="dxa"/>
          </w:tcPr>
          <w:p w14:paraId="502A493E" w14:textId="1182D751" w:rsidR="00AD641C" w:rsidRPr="00CD0B1D" w:rsidRDefault="00AD641C" w:rsidP="00AD641C">
            <w:pPr>
              <w:pStyle w:val="BodyText"/>
              <w:spacing w:before="120"/>
              <w:rPr>
                <w:rFonts w:cstheme="minorHAnsi"/>
              </w:rPr>
            </w:pPr>
            <w:r w:rsidRPr="00CD0B1D">
              <w:rPr>
                <w:rFonts w:cstheme="minorHAnsi"/>
                <w:sz w:val="20"/>
              </w:rPr>
              <w:t>N/A</w:t>
            </w:r>
          </w:p>
        </w:tc>
        <w:tc>
          <w:tcPr>
            <w:tcW w:w="2040" w:type="dxa"/>
          </w:tcPr>
          <w:p w14:paraId="0148A6F8" w14:textId="638B012F" w:rsidR="00AD641C" w:rsidRPr="00CD0B1D" w:rsidRDefault="00AD641C" w:rsidP="00AD641C">
            <w:pPr>
              <w:pStyle w:val="BodyText"/>
              <w:spacing w:before="120"/>
              <w:rPr>
                <w:rFonts w:cstheme="minorHAnsi"/>
              </w:rPr>
            </w:pPr>
            <w:r w:rsidRPr="00CD0B1D">
              <w:rPr>
                <w:rFonts w:cstheme="minorHAnsi"/>
                <w:sz w:val="20"/>
              </w:rPr>
              <w:t>N/A</w:t>
            </w:r>
          </w:p>
        </w:tc>
        <w:tc>
          <w:tcPr>
            <w:tcW w:w="2041" w:type="dxa"/>
          </w:tcPr>
          <w:p w14:paraId="5B3A2A98" w14:textId="03073213" w:rsidR="00AD641C" w:rsidRPr="00CD0B1D" w:rsidRDefault="000902D4" w:rsidP="00AD641C">
            <w:pPr>
              <w:pStyle w:val="BodyText"/>
              <w:spacing w:before="120"/>
              <w:rPr>
                <w:rFonts w:cstheme="minorHAnsi"/>
              </w:rPr>
            </w:pPr>
            <w:r w:rsidRPr="00FE44ED">
              <w:rPr>
                <w:rFonts w:cstheme="minorHAnsi"/>
                <w:sz w:val="20"/>
              </w:rPr>
              <w:t>$1.</w:t>
            </w:r>
            <w:r w:rsidR="00576949" w:rsidRPr="00FE44ED">
              <w:rPr>
                <w:rFonts w:cstheme="minorHAnsi"/>
                <w:sz w:val="20"/>
              </w:rPr>
              <w:t>3</w:t>
            </w:r>
          </w:p>
        </w:tc>
      </w:tr>
      <w:tr w:rsidR="00AD641C" w:rsidRPr="00A143F3" w14:paraId="0EE05AD9" w14:textId="77777777" w:rsidTr="003248CA">
        <w:trPr>
          <w:cnfStyle w:val="000000100000" w:firstRow="0" w:lastRow="0" w:firstColumn="0" w:lastColumn="0" w:oddVBand="0" w:evenVBand="0" w:oddHBand="1" w:evenHBand="0" w:firstRowFirstColumn="0" w:firstRowLastColumn="0" w:lastRowFirstColumn="0" w:lastRowLastColumn="0"/>
          <w:trHeight w:val="543"/>
        </w:trPr>
        <w:tc>
          <w:tcPr>
            <w:tcW w:w="2040" w:type="dxa"/>
          </w:tcPr>
          <w:p w14:paraId="12D556A1" w14:textId="6A167BCE" w:rsidR="00AD641C" w:rsidRPr="00D478F1" w:rsidRDefault="00AD641C" w:rsidP="00AD641C">
            <w:pPr>
              <w:pStyle w:val="BodyText"/>
              <w:spacing w:before="120"/>
              <w:rPr>
                <w:rFonts w:cstheme="minorHAnsi"/>
                <w:b/>
                <w:sz w:val="20"/>
              </w:rPr>
            </w:pPr>
            <w:r w:rsidRPr="00D478F1">
              <w:rPr>
                <w:rFonts w:cstheme="minorHAnsi"/>
                <w:b/>
                <w:sz w:val="20"/>
              </w:rPr>
              <w:t xml:space="preserve">Total, other </w:t>
            </w:r>
            <w:r w:rsidR="00092A60" w:rsidRPr="00D478F1">
              <w:rPr>
                <w:rFonts w:cstheme="minorHAnsi"/>
                <w:b/>
                <w:sz w:val="20"/>
              </w:rPr>
              <w:t xml:space="preserve">product </w:t>
            </w:r>
            <w:r w:rsidRPr="00D478F1">
              <w:rPr>
                <w:rFonts w:cstheme="minorHAnsi"/>
                <w:b/>
                <w:sz w:val="20"/>
              </w:rPr>
              <w:t>sectors</w:t>
            </w:r>
          </w:p>
        </w:tc>
        <w:tc>
          <w:tcPr>
            <w:tcW w:w="2040" w:type="dxa"/>
          </w:tcPr>
          <w:p w14:paraId="1D691B68" w14:textId="4C4BD527" w:rsidR="00AD641C" w:rsidRPr="00D478F1" w:rsidRDefault="00FA015D" w:rsidP="00AD641C">
            <w:pPr>
              <w:pStyle w:val="BodyText"/>
              <w:spacing w:before="120"/>
              <w:rPr>
                <w:rFonts w:cstheme="minorHAnsi"/>
                <w:sz w:val="20"/>
              </w:rPr>
            </w:pPr>
            <w:r w:rsidRPr="00D478F1">
              <w:rPr>
                <w:rFonts w:cstheme="minorHAnsi"/>
                <w:sz w:val="20"/>
              </w:rPr>
              <w:t>$</w:t>
            </w:r>
            <w:r w:rsidR="00FE44ED">
              <w:rPr>
                <w:rFonts w:cstheme="minorHAnsi"/>
                <w:sz w:val="20"/>
              </w:rPr>
              <w:t>2.</w:t>
            </w:r>
            <w:r w:rsidR="00E277FE">
              <w:rPr>
                <w:rFonts w:cstheme="minorHAnsi"/>
                <w:sz w:val="20"/>
              </w:rPr>
              <w:t>0</w:t>
            </w:r>
          </w:p>
        </w:tc>
        <w:tc>
          <w:tcPr>
            <w:tcW w:w="2040" w:type="dxa"/>
          </w:tcPr>
          <w:p w14:paraId="644D321B" w14:textId="0D3549F5" w:rsidR="00AD641C" w:rsidRPr="00D478F1" w:rsidRDefault="00C172A2" w:rsidP="00AD641C">
            <w:pPr>
              <w:pStyle w:val="BodyText"/>
              <w:spacing w:before="120"/>
              <w:rPr>
                <w:rFonts w:cstheme="minorHAnsi"/>
                <w:sz w:val="20"/>
              </w:rPr>
            </w:pPr>
            <w:r w:rsidRPr="00D478F1">
              <w:rPr>
                <w:rFonts w:cstheme="minorHAnsi"/>
                <w:sz w:val="20"/>
              </w:rPr>
              <w:t>N/A</w:t>
            </w:r>
          </w:p>
        </w:tc>
        <w:tc>
          <w:tcPr>
            <w:tcW w:w="2040" w:type="dxa"/>
          </w:tcPr>
          <w:p w14:paraId="00882109" w14:textId="2E64A4F7" w:rsidR="00AD641C" w:rsidRPr="00D478F1" w:rsidRDefault="00C172A2" w:rsidP="00AD641C">
            <w:pPr>
              <w:pStyle w:val="BodyText"/>
              <w:spacing w:before="120"/>
              <w:rPr>
                <w:rFonts w:cstheme="minorHAnsi"/>
                <w:sz w:val="20"/>
              </w:rPr>
            </w:pPr>
            <w:r w:rsidRPr="00D478F1">
              <w:rPr>
                <w:rFonts w:cstheme="minorHAnsi"/>
                <w:sz w:val="20"/>
              </w:rPr>
              <w:t>N/A</w:t>
            </w:r>
          </w:p>
        </w:tc>
        <w:tc>
          <w:tcPr>
            <w:tcW w:w="2041" w:type="dxa"/>
          </w:tcPr>
          <w:p w14:paraId="016806FA" w14:textId="55FA0650" w:rsidR="00AD641C" w:rsidRPr="00D478F1" w:rsidRDefault="00D11629" w:rsidP="00AD641C">
            <w:pPr>
              <w:pStyle w:val="BodyText"/>
              <w:spacing w:before="120"/>
              <w:rPr>
                <w:rFonts w:cstheme="minorHAnsi"/>
                <w:sz w:val="20"/>
              </w:rPr>
            </w:pPr>
            <w:r w:rsidRPr="00D478F1">
              <w:rPr>
                <w:rFonts w:cstheme="minorHAnsi"/>
                <w:sz w:val="20"/>
              </w:rPr>
              <w:t>$</w:t>
            </w:r>
            <w:r w:rsidR="00FE44ED">
              <w:rPr>
                <w:rFonts w:cstheme="minorHAnsi"/>
                <w:sz w:val="20"/>
              </w:rPr>
              <w:t>2.</w:t>
            </w:r>
            <w:r w:rsidR="00E07138">
              <w:rPr>
                <w:rFonts w:cstheme="minorHAnsi"/>
                <w:sz w:val="20"/>
              </w:rPr>
              <w:t>0</w:t>
            </w:r>
          </w:p>
        </w:tc>
      </w:tr>
    </w:tbl>
    <w:p w14:paraId="59059678" w14:textId="20741184" w:rsidR="001D2D44" w:rsidRDefault="00A247CC" w:rsidP="00D478F1">
      <w:pPr>
        <w:spacing w:before="120"/>
      </w:pPr>
      <w:r>
        <w:t>For entities that choose to participate</w:t>
      </w:r>
      <w:r w:rsidR="00376B74">
        <w:t>,</w:t>
      </w:r>
      <w:r>
        <w:t xml:space="preserve"> </w:t>
      </w:r>
      <w:r w:rsidR="00F42070" w:rsidRPr="00424FEF">
        <w:t xml:space="preserve">based on a </w:t>
      </w:r>
      <w:r w:rsidR="002F2655" w:rsidRPr="00424FEF">
        <w:t xml:space="preserve">pipeline of existing </w:t>
      </w:r>
      <w:r w:rsidR="00C1634C" w:rsidRPr="00424FEF">
        <w:t xml:space="preserve">and anticipated </w:t>
      </w:r>
      <w:r w:rsidR="002F2655" w:rsidRPr="00424FEF">
        <w:t>pro</w:t>
      </w:r>
      <w:r w:rsidR="00C1634C" w:rsidRPr="00424FEF">
        <w:t>jects</w:t>
      </w:r>
      <w:r>
        <w:t xml:space="preserve"> in the product and </w:t>
      </w:r>
      <w:r w:rsidR="00B01460">
        <w:t xml:space="preserve">renewable electricity sectors, the </w:t>
      </w:r>
      <w:r w:rsidR="00D32FC5" w:rsidRPr="00E76953">
        <w:t>regulatory option</w:t>
      </w:r>
      <w:r w:rsidR="00AB0DA7">
        <w:t xml:space="preserve"> then</w:t>
      </w:r>
      <w:r w:rsidR="00D32FC5" w:rsidRPr="00E76953">
        <w:t xml:space="preserve"> </w:t>
      </w:r>
      <w:r w:rsidR="00B01460">
        <w:t xml:space="preserve">represents </w:t>
      </w:r>
      <w:r w:rsidR="001A6986">
        <w:t xml:space="preserve">a total increase in </w:t>
      </w:r>
      <w:r w:rsidR="00F76683">
        <w:t xml:space="preserve">annual regulatory costs (from business as usual) of </w:t>
      </w:r>
      <w:r w:rsidR="00F76683" w:rsidRPr="00E76953">
        <w:rPr>
          <w:b/>
          <w:bCs/>
        </w:rPr>
        <w:t>$20.</w:t>
      </w:r>
      <w:r w:rsidR="00E277FE">
        <w:rPr>
          <w:b/>
          <w:bCs/>
        </w:rPr>
        <w:t>2</w:t>
      </w:r>
      <w:r w:rsidR="00243285">
        <w:rPr>
          <w:b/>
          <w:bCs/>
        </w:rPr>
        <w:t xml:space="preserve"> million. </w:t>
      </w:r>
      <w:r w:rsidR="00A66E77">
        <w:t xml:space="preserve">Comprised of </w:t>
      </w:r>
      <w:r w:rsidR="00D106BB" w:rsidRPr="002E2B70">
        <w:rPr>
          <w:b/>
          <w:bCs/>
        </w:rPr>
        <w:t>$</w:t>
      </w:r>
      <w:r w:rsidR="00263A88" w:rsidRPr="002E2B70">
        <w:rPr>
          <w:b/>
          <w:bCs/>
        </w:rPr>
        <w:t>1.3</w:t>
      </w:r>
      <w:r w:rsidR="00D106BB" w:rsidRPr="002E2B70">
        <w:rPr>
          <w:b/>
          <w:bCs/>
        </w:rPr>
        <w:t xml:space="preserve"> million</w:t>
      </w:r>
      <w:r w:rsidR="00D106BB" w:rsidRPr="00E76953">
        <w:t xml:space="preserve"> for the </w:t>
      </w:r>
      <w:r w:rsidR="00CD431A">
        <w:t xml:space="preserve">hydrogen </w:t>
      </w:r>
      <w:r w:rsidR="00211E42">
        <w:t>sector</w:t>
      </w:r>
      <w:r w:rsidR="00271439">
        <w:t>,</w:t>
      </w:r>
      <w:r w:rsidR="00A66E77">
        <w:t xml:space="preserve"> </w:t>
      </w:r>
      <w:r w:rsidR="00271439" w:rsidRPr="00E277FE">
        <w:rPr>
          <w:b/>
          <w:bCs/>
        </w:rPr>
        <w:t>$</w:t>
      </w:r>
      <w:r w:rsidR="00D45EDD" w:rsidRPr="00E277FE">
        <w:rPr>
          <w:b/>
          <w:bCs/>
        </w:rPr>
        <w:t>2.</w:t>
      </w:r>
      <w:r w:rsidR="00E277FE" w:rsidRPr="00E277FE">
        <w:rPr>
          <w:b/>
          <w:bCs/>
        </w:rPr>
        <w:t>0</w:t>
      </w:r>
      <w:r w:rsidR="002E2B70" w:rsidRPr="00E277FE">
        <w:rPr>
          <w:b/>
          <w:bCs/>
        </w:rPr>
        <w:t xml:space="preserve"> million</w:t>
      </w:r>
      <w:r w:rsidR="00271439">
        <w:t xml:space="preserve"> for other products</w:t>
      </w:r>
      <w:r w:rsidR="00341C41">
        <w:t xml:space="preserve"> that are incorporated in the </w:t>
      </w:r>
      <w:r w:rsidR="008902CF">
        <w:t xml:space="preserve">GO </w:t>
      </w:r>
      <w:r w:rsidR="00341C41">
        <w:t>scheme</w:t>
      </w:r>
      <w:r w:rsidR="00271439">
        <w:t xml:space="preserve">, </w:t>
      </w:r>
      <w:r w:rsidR="00D106BB" w:rsidRPr="00E76953">
        <w:t xml:space="preserve">and </w:t>
      </w:r>
      <w:r w:rsidR="00D106BB" w:rsidRPr="00BE7786">
        <w:rPr>
          <w:b/>
          <w:bCs/>
        </w:rPr>
        <w:t>$16.9 million</w:t>
      </w:r>
      <w:r w:rsidR="00D106BB" w:rsidRPr="00E76953">
        <w:t xml:space="preserve"> for the renewable electricity sector</w:t>
      </w:r>
      <w:r w:rsidR="00A860C6">
        <w:t xml:space="preserve"> (that would create REGO certificates)</w:t>
      </w:r>
      <w:r w:rsidR="00D106BB" w:rsidRPr="00E76953">
        <w:t>.</w:t>
      </w:r>
      <w:r w:rsidR="004F2D0E">
        <w:t xml:space="preserve"> </w:t>
      </w:r>
    </w:p>
    <w:p w14:paraId="773369BD" w14:textId="273E4311" w:rsidR="001D2D44" w:rsidRDefault="001D2D44" w:rsidP="001D2D44">
      <w:r w:rsidRPr="00E806E1">
        <w:rPr>
          <w:b/>
        </w:rPr>
        <w:t>$9.0 million</w:t>
      </w:r>
      <w:r w:rsidRPr="00E76953">
        <w:t xml:space="preserve"> of</w:t>
      </w:r>
      <w:r>
        <w:t xml:space="preserve"> the</w:t>
      </w:r>
      <w:r w:rsidRPr="00E76953">
        <w:t xml:space="preserve"> </w:t>
      </w:r>
      <w:r>
        <w:t xml:space="preserve">total </w:t>
      </w:r>
      <w:r w:rsidRPr="00E806E1">
        <w:rPr>
          <w:b/>
        </w:rPr>
        <w:t>$20.</w:t>
      </w:r>
      <w:r w:rsidR="00E277FE">
        <w:rPr>
          <w:b/>
        </w:rPr>
        <w:t>2</w:t>
      </w:r>
      <w:r w:rsidRPr="00E806E1">
        <w:rPr>
          <w:b/>
        </w:rPr>
        <w:t xml:space="preserve"> million</w:t>
      </w:r>
      <w:r>
        <w:t xml:space="preserve"> annualised </w:t>
      </w:r>
      <w:r w:rsidRPr="00E76953">
        <w:t xml:space="preserve">regulatory costs </w:t>
      </w:r>
      <w:r>
        <w:t xml:space="preserve">compared to </w:t>
      </w:r>
      <w:r w:rsidRPr="00E76953">
        <w:t xml:space="preserve">business as usual </w:t>
      </w:r>
      <w:r>
        <w:t>are incurred by existing renewable electricity generators migrating from the existing RET scheme to the GO scheme to receive REGOs as the RET scheme concludes in 2030.</w:t>
      </w:r>
    </w:p>
    <w:p w14:paraId="6939D02F" w14:textId="6C526570" w:rsidR="007C4DD6" w:rsidRDefault="00534592" w:rsidP="00B96A7C">
      <w:r>
        <w:t>P</w:t>
      </w:r>
      <w:r w:rsidR="00C27BCD">
        <w:t>articipant</w:t>
      </w:r>
      <w:r w:rsidR="001411A5">
        <w:t xml:space="preserve"> numbers </w:t>
      </w:r>
      <w:r w:rsidR="005958E2">
        <w:t>included</w:t>
      </w:r>
      <w:r w:rsidR="00AD7454" w:rsidRPr="005958E2">
        <w:t xml:space="preserve"> </w:t>
      </w:r>
      <w:r w:rsidR="00A860C6" w:rsidRPr="00E76953">
        <w:t>in</w:t>
      </w:r>
      <w:r w:rsidR="001411A5">
        <w:t xml:space="preserve"> </w:t>
      </w:r>
      <w:r w:rsidR="001D2D44">
        <w:t xml:space="preserve">this </w:t>
      </w:r>
      <w:r w:rsidR="001411A5">
        <w:t>analysis</w:t>
      </w:r>
      <w:r w:rsidR="00A860C6" w:rsidRPr="00E76953">
        <w:t xml:space="preserve"> </w:t>
      </w:r>
      <w:r w:rsidR="001411A5">
        <w:t xml:space="preserve">are based on </w:t>
      </w:r>
      <w:r w:rsidR="00184E29">
        <w:t xml:space="preserve">a </w:t>
      </w:r>
      <w:r w:rsidR="00E0601F">
        <w:t xml:space="preserve">GO </w:t>
      </w:r>
      <w:r w:rsidR="001411A5">
        <w:t xml:space="preserve">scheme </w:t>
      </w:r>
      <w:r w:rsidR="005958E2" w:rsidRPr="00E76953">
        <w:t>commenc</w:t>
      </w:r>
      <w:r w:rsidR="005129D9">
        <w:t xml:space="preserve">ing </w:t>
      </w:r>
      <w:r w:rsidR="001411A5">
        <w:t xml:space="preserve">with hydrogen </w:t>
      </w:r>
      <w:r w:rsidR="005129D9">
        <w:t>and renewable electricity</w:t>
      </w:r>
      <w:r w:rsidR="007D0E81">
        <w:t xml:space="preserve">. </w:t>
      </w:r>
      <w:r w:rsidR="00CD0926" w:rsidRPr="72232093">
        <w:rPr>
          <w:rFonts w:ascii="Calibri" w:eastAsia="Calibri" w:hAnsi="Calibri" w:cs="Arial"/>
        </w:rPr>
        <w:t>The timeframes for the addition of specific products would only be determined once the scheme is operational, as such a single hydrogen “sector” figure is provided separately to all other possible products for clarity and simplicity.</w:t>
      </w:r>
      <w:r w:rsidR="00915777" w:rsidRPr="72232093">
        <w:rPr>
          <w:rFonts w:ascii="Calibri" w:eastAsia="Calibri" w:hAnsi="Calibri" w:cs="Arial"/>
        </w:rPr>
        <w:t xml:space="preserve"> </w:t>
      </w:r>
      <w:r w:rsidR="00915777">
        <w:t>These p</w:t>
      </w:r>
      <w:r w:rsidR="007D0E81">
        <w:t>articipant number</w:t>
      </w:r>
      <w:r w:rsidR="008D063E">
        <w:t xml:space="preserve"> forecasts</w:t>
      </w:r>
      <w:r w:rsidR="007D0E81">
        <w:t xml:space="preserve"> </w:t>
      </w:r>
      <w:r w:rsidR="00994DB1">
        <w:t xml:space="preserve">have been based on </w:t>
      </w:r>
      <w:r w:rsidR="0009404F">
        <w:t>a range of sources including</w:t>
      </w:r>
      <w:r w:rsidR="007C4DD6">
        <w:t>:</w:t>
      </w:r>
    </w:p>
    <w:p w14:paraId="4DEB6A8D" w14:textId="4222B5B1" w:rsidR="00F0770A" w:rsidRDefault="00F0770A" w:rsidP="007C4DD6">
      <w:pPr>
        <w:pStyle w:val="ListParagraph"/>
        <w:numPr>
          <w:ilvl w:val="0"/>
          <w:numId w:val="127"/>
        </w:numPr>
      </w:pPr>
      <w:r>
        <w:t>CSIRO’s HyRe</w:t>
      </w:r>
      <w:r w:rsidR="00892753">
        <w:t>s</w:t>
      </w:r>
      <w:r>
        <w:t>ource web page</w:t>
      </w:r>
      <w:r w:rsidR="001158DC">
        <w:t>,</w:t>
      </w:r>
      <w:r>
        <w:t xml:space="preserve"> </w:t>
      </w:r>
      <w:r w:rsidR="006B0101">
        <w:t xml:space="preserve">which includes </w:t>
      </w:r>
      <w:r w:rsidR="001158DC">
        <w:t xml:space="preserve">information </w:t>
      </w:r>
      <w:r w:rsidR="00EF7CF4">
        <w:t xml:space="preserve">on </w:t>
      </w:r>
      <w:r w:rsidR="00E91993">
        <w:t xml:space="preserve">a range of </w:t>
      </w:r>
      <w:r w:rsidR="00812CBE">
        <w:t>p</w:t>
      </w:r>
      <w:r w:rsidR="003C575E">
        <w:t>ilot</w:t>
      </w:r>
      <w:r w:rsidR="00E91993">
        <w:t xml:space="preserve">, </w:t>
      </w:r>
      <w:r w:rsidR="003C575E">
        <w:t xml:space="preserve">pipeline </w:t>
      </w:r>
      <w:r w:rsidR="00E91993">
        <w:t xml:space="preserve">and fully operational </w:t>
      </w:r>
      <w:r w:rsidR="00F34B0B">
        <w:t>H</w:t>
      </w:r>
      <w:r w:rsidR="006D4935">
        <w:t xml:space="preserve">ydrogen </w:t>
      </w:r>
      <w:r w:rsidR="002E0B41">
        <w:t xml:space="preserve">projects </w:t>
      </w:r>
      <w:r w:rsidR="00F528D5">
        <w:t>in Australia</w:t>
      </w:r>
      <w:r w:rsidR="003C575E" w:rsidRPr="003C575E">
        <w:t>.</w:t>
      </w:r>
    </w:p>
    <w:p w14:paraId="0DCC5BBE" w14:textId="3A1C9CC3" w:rsidR="007C4DD6" w:rsidRDefault="005D0936" w:rsidP="007C4DD6">
      <w:pPr>
        <w:pStyle w:val="ListParagraph"/>
        <w:numPr>
          <w:ilvl w:val="0"/>
          <w:numId w:val="127"/>
        </w:numPr>
      </w:pPr>
      <w:r>
        <w:t xml:space="preserve">Rystad </w:t>
      </w:r>
      <w:r w:rsidR="000A2A49">
        <w:t>Energy</w:t>
      </w:r>
      <w:r w:rsidR="00677FC2">
        <w:t xml:space="preserve">’s production facility data </w:t>
      </w:r>
      <w:r w:rsidR="002B186D">
        <w:t xml:space="preserve">that </w:t>
      </w:r>
      <w:r w:rsidR="00A738D9">
        <w:t xml:space="preserve">covers </w:t>
      </w:r>
      <w:r w:rsidR="002C4D78">
        <w:t>energy production</w:t>
      </w:r>
      <w:r w:rsidR="000A2A49">
        <w:t xml:space="preserve"> </w:t>
      </w:r>
      <w:r w:rsidR="00826B1B">
        <w:t xml:space="preserve">facilities </w:t>
      </w:r>
      <w:r w:rsidR="000A2A49">
        <w:t>currently operating</w:t>
      </w:r>
      <w:r>
        <w:t xml:space="preserve"> </w:t>
      </w:r>
      <w:r w:rsidR="00493BFD">
        <w:t>across</w:t>
      </w:r>
      <w:r w:rsidR="006F0E30">
        <w:t xml:space="preserve"> sectors that will likely be included in the GO Scheme in the future</w:t>
      </w:r>
      <w:r w:rsidR="004E5D52">
        <w:t xml:space="preserve">. </w:t>
      </w:r>
    </w:p>
    <w:p w14:paraId="1E283B25" w14:textId="7723707E" w:rsidR="00A31396" w:rsidRDefault="00BD3AA1" w:rsidP="00A31396">
      <w:pPr>
        <w:pStyle w:val="ListParagraph"/>
        <w:numPr>
          <w:ilvl w:val="0"/>
          <w:numId w:val="127"/>
        </w:numPr>
      </w:pPr>
      <w:r>
        <w:t xml:space="preserve">CER’s own data from administering similar </w:t>
      </w:r>
      <w:r w:rsidR="00C54B3C">
        <w:t>programs</w:t>
      </w:r>
      <w:r w:rsidR="00B96A7C">
        <w:t xml:space="preserve"> t</w:t>
      </w:r>
      <w:r w:rsidR="0029612F">
        <w:t xml:space="preserve">hat covers production of </w:t>
      </w:r>
      <w:r w:rsidR="00607CF7">
        <w:t xml:space="preserve">some of the </w:t>
      </w:r>
      <w:r w:rsidR="0029612F">
        <w:t>products that will likely be covered under the GO scheme in the future</w:t>
      </w:r>
      <w:r w:rsidR="001D2D44">
        <w:t>.</w:t>
      </w:r>
    </w:p>
    <w:p w14:paraId="19B3A397" w14:textId="77777777" w:rsidR="007F3A0E" w:rsidRDefault="007F3A0E" w:rsidP="007F3A0E">
      <w:r>
        <w:t>Estimating the regulatory compliance burden imposed by a proposed regulatory scheme considered:</w:t>
      </w:r>
    </w:p>
    <w:p w14:paraId="60381C67" w14:textId="25B1A9DB" w:rsidR="00A475EF" w:rsidRDefault="00A475EF" w:rsidP="00A475EF">
      <w:pPr>
        <w:pStyle w:val="ListParagraph"/>
        <w:numPr>
          <w:ilvl w:val="0"/>
          <w:numId w:val="35"/>
        </w:numPr>
        <w:ind w:left="714" w:hanging="357"/>
      </w:pPr>
      <w:r>
        <w:t xml:space="preserve">business resources to </w:t>
      </w:r>
      <w:r w:rsidR="00FB129E">
        <w:t>join the scheme</w:t>
      </w:r>
      <w:r w:rsidR="006218C4">
        <w:t xml:space="preserve">, and </w:t>
      </w:r>
      <w:r w:rsidR="003E6829">
        <w:t>undertake upfront reporting processes,</w:t>
      </w:r>
    </w:p>
    <w:p w14:paraId="5DE323CA" w14:textId="020C7465" w:rsidR="00A475EF" w:rsidRDefault="003E6829" w:rsidP="00A475EF">
      <w:pPr>
        <w:pStyle w:val="ListParagraph"/>
        <w:numPr>
          <w:ilvl w:val="0"/>
          <w:numId w:val="35"/>
        </w:numPr>
        <w:ind w:left="714" w:hanging="357"/>
      </w:pPr>
      <w:r>
        <w:t xml:space="preserve">upfront and regular </w:t>
      </w:r>
      <w:r w:rsidR="00A475EF">
        <w:t>compliance costs including initial technical reviews and assurances</w:t>
      </w:r>
      <w:r>
        <w:t>,</w:t>
      </w:r>
    </w:p>
    <w:p w14:paraId="12C0F071" w14:textId="46C056FE" w:rsidR="00A475EF" w:rsidRDefault="00A475EF" w:rsidP="00A475EF">
      <w:pPr>
        <w:pStyle w:val="ListParagraph"/>
        <w:numPr>
          <w:ilvl w:val="0"/>
          <w:numId w:val="35"/>
        </w:numPr>
        <w:ind w:left="714" w:hanging="357"/>
      </w:pPr>
      <w:r>
        <w:t xml:space="preserve">ongoing </w:t>
      </w:r>
      <w:r w:rsidR="00B04A8C">
        <w:t xml:space="preserve">administrative </w:t>
      </w:r>
      <w:r>
        <w:t>burden to manage GO certificates through their lifecycle (</w:t>
      </w:r>
      <w:r w:rsidR="00C036FB">
        <w:t>create</w:t>
      </w:r>
      <w:r w:rsidR="00FB14CD">
        <w:t xml:space="preserve"> certificates, add information, finalise certificates</w:t>
      </w:r>
      <w:r w:rsidR="00C036FB">
        <w:t>)</w:t>
      </w:r>
    </w:p>
    <w:p w14:paraId="22A8EC72" w14:textId="13559601" w:rsidR="007F3A0E" w:rsidRDefault="00B61561" w:rsidP="00B61561">
      <w:pPr>
        <w:pStyle w:val="ListParagraph"/>
        <w:numPr>
          <w:ilvl w:val="0"/>
          <w:numId w:val="35"/>
        </w:numPr>
        <w:ind w:left="714" w:hanging="357"/>
      </w:pPr>
      <w:r>
        <w:t xml:space="preserve">modelled </w:t>
      </w:r>
      <w:r w:rsidR="00A475EF">
        <w:t xml:space="preserve">scheme participation </w:t>
      </w:r>
      <w:r w:rsidR="007F3A0E">
        <w:t xml:space="preserve">over time </w:t>
      </w:r>
      <w:r w:rsidR="00A475EF">
        <w:t xml:space="preserve">based on new </w:t>
      </w:r>
      <w:r w:rsidR="007F3A0E">
        <w:t>products</w:t>
      </w:r>
      <w:r>
        <w:t xml:space="preserve"> included in the scheme and added over time from 2025-26 to 2033-35.</w:t>
      </w:r>
    </w:p>
    <w:p w14:paraId="6381337E" w14:textId="186E2C5D" w:rsidR="00923177" w:rsidRPr="00E76953" w:rsidRDefault="008474BE" w:rsidP="00004722">
      <w:pPr>
        <w:rPr>
          <w:b/>
          <w:bCs/>
        </w:rPr>
      </w:pPr>
      <w:r>
        <w:rPr>
          <w:b/>
          <w:bCs/>
        </w:rPr>
        <w:t xml:space="preserve">Cost of </w:t>
      </w:r>
      <w:r w:rsidR="00701A10">
        <w:rPr>
          <w:b/>
          <w:bCs/>
        </w:rPr>
        <w:t>r</w:t>
      </w:r>
      <w:r>
        <w:rPr>
          <w:b/>
          <w:bCs/>
        </w:rPr>
        <w:t xml:space="preserve">egulatory option per participant vs </w:t>
      </w:r>
      <w:r w:rsidR="00701A10">
        <w:rPr>
          <w:b/>
          <w:bCs/>
        </w:rPr>
        <w:t>cost of quasi</w:t>
      </w:r>
      <w:r w:rsidR="00AB3B52">
        <w:rPr>
          <w:b/>
          <w:bCs/>
        </w:rPr>
        <w:t>-</w:t>
      </w:r>
      <w:r w:rsidR="00701A10">
        <w:rPr>
          <w:b/>
          <w:bCs/>
        </w:rPr>
        <w:t>regulatory option (Option 2)</w:t>
      </w:r>
    </w:p>
    <w:p w14:paraId="57C8CF36" w14:textId="084DC68D" w:rsidR="00E6118C" w:rsidRDefault="00E6118C" w:rsidP="00C008F1">
      <w:r>
        <w:t xml:space="preserve">To participate in a scheme, per-participant, would mean an </w:t>
      </w:r>
      <w:r w:rsidR="00321F87">
        <w:t xml:space="preserve">estimated </w:t>
      </w:r>
      <w:r>
        <w:t xml:space="preserve">average annual regulatory cost of </w:t>
      </w:r>
      <w:r w:rsidRPr="00B86E32">
        <w:rPr>
          <w:b/>
          <w:bCs/>
        </w:rPr>
        <w:t>$</w:t>
      </w:r>
      <w:r w:rsidRPr="00644189">
        <w:rPr>
          <w:b/>
          <w:bCs/>
        </w:rPr>
        <w:t>16,363</w:t>
      </w:r>
      <w:r>
        <w:rPr>
          <w:b/>
          <w:bCs/>
        </w:rPr>
        <w:t xml:space="preserve"> </w:t>
      </w:r>
      <w:r>
        <w:t>per year</w:t>
      </w:r>
      <w:r w:rsidR="00321F87">
        <w:t>,</w:t>
      </w:r>
      <w:r>
        <w:t xml:space="preserve"> per producer in the hydrogen sector </w:t>
      </w:r>
      <w:r w:rsidR="00321F87">
        <w:t>(</w:t>
      </w:r>
      <w:r>
        <w:t xml:space="preserve">and </w:t>
      </w:r>
      <w:r w:rsidRPr="00EE0DF8">
        <w:rPr>
          <w:b/>
          <w:bCs/>
        </w:rPr>
        <w:t>$6,128</w:t>
      </w:r>
      <w:r>
        <w:rPr>
          <w:b/>
          <w:bCs/>
        </w:rPr>
        <w:t xml:space="preserve"> </w:t>
      </w:r>
      <w:r>
        <w:t>per year per producer in the renewable electricity sector</w:t>
      </w:r>
      <w:r w:rsidR="00321F87">
        <w:t>)</w:t>
      </w:r>
      <w:r>
        <w:t>.</w:t>
      </w:r>
      <w:r w:rsidR="00701A10">
        <w:t xml:space="preserve"> This compares with </w:t>
      </w:r>
      <w:r w:rsidR="00321F87">
        <w:t xml:space="preserve">an estimate of </w:t>
      </w:r>
      <w:r w:rsidR="00321F87">
        <w:rPr>
          <w:rFonts w:ascii="Calibri" w:eastAsia="Times New Roman" w:hAnsi="Calibri" w:cs="Calibri"/>
          <w:b/>
          <w:bCs/>
          <w:color w:val="auto"/>
          <w:lang w:eastAsia="en-AU"/>
        </w:rPr>
        <w:t xml:space="preserve">$28,722 </w:t>
      </w:r>
      <w:r w:rsidR="00321F87" w:rsidRPr="00321F87">
        <w:rPr>
          <w:rFonts w:ascii="Calibri" w:eastAsia="Times New Roman" w:hAnsi="Calibri" w:cs="Calibri"/>
          <w:color w:val="auto"/>
          <w:lang w:eastAsia="en-AU"/>
        </w:rPr>
        <w:t>per year</w:t>
      </w:r>
      <w:r w:rsidR="00321F87">
        <w:rPr>
          <w:rFonts w:ascii="Calibri" w:eastAsia="Times New Roman" w:hAnsi="Calibri" w:cs="Calibri"/>
          <w:color w:val="auto"/>
          <w:lang w:eastAsia="en-AU"/>
        </w:rPr>
        <w:t xml:space="preserve"> per producer</w:t>
      </w:r>
      <w:r w:rsidR="00BE7465">
        <w:rPr>
          <w:rFonts w:ascii="Calibri" w:eastAsia="Times New Roman" w:hAnsi="Calibri" w:cs="Calibri"/>
          <w:color w:val="auto"/>
          <w:lang w:eastAsia="en-AU"/>
        </w:rPr>
        <w:t xml:space="preserve"> for the quasi</w:t>
      </w:r>
      <w:r w:rsidR="00AB3B52">
        <w:rPr>
          <w:rFonts w:ascii="Calibri" w:eastAsia="Times New Roman" w:hAnsi="Calibri" w:cs="Calibri"/>
          <w:color w:val="auto"/>
          <w:lang w:eastAsia="en-AU"/>
        </w:rPr>
        <w:t>-</w:t>
      </w:r>
      <w:r w:rsidR="00BE7465">
        <w:rPr>
          <w:rFonts w:ascii="Calibri" w:eastAsia="Times New Roman" w:hAnsi="Calibri" w:cs="Calibri"/>
          <w:color w:val="auto"/>
          <w:lang w:eastAsia="en-AU"/>
        </w:rPr>
        <w:t>regulatory option.</w:t>
      </w:r>
    </w:p>
    <w:p w14:paraId="2F4F2170" w14:textId="1CDB809F" w:rsidR="00C008F1" w:rsidRDefault="00724B6F" w:rsidP="00C008F1">
      <w:r>
        <w:t>P</w:t>
      </w:r>
      <w:r w:rsidR="00C008F1">
        <w:t xml:space="preserve">articipants of a </w:t>
      </w:r>
      <w:r>
        <w:t xml:space="preserve">GO </w:t>
      </w:r>
      <w:r w:rsidR="00C008F1">
        <w:t xml:space="preserve">scheme based on option 3 </w:t>
      </w:r>
      <w:r w:rsidR="00AB3B52">
        <w:t>would</w:t>
      </w:r>
      <w:r w:rsidR="00C008F1">
        <w:t xml:space="preserve"> be able to register and report most of their information upfront</w:t>
      </w:r>
      <w:r w:rsidR="00AB3B52">
        <w:t>, with fewer audits required on an ongoing basis</w:t>
      </w:r>
      <w:r w:rsidR="00C008F1">
        <w:t xml:space="preserve">. This information will be used throughout the certificate creation and </w:t>
      </w:r>
      <w:r w:rsidR="00D10F44">
        <w:t>verification</w:t>
      </w:r>
      <w:r w:rsidR="00C008F1">
        <w:t xml:space="preserve"> process and enable high volume certificate creation with reduced ongoing resource demands. </w:t>
      </w:r>
    </w:p>
    <w:p w14:paraId="51213935" w14:textId="62FB0F02" w:rsidR="00C97442" w:rsidRDefault="00C97442" w:rsidP="00C97442">
      <w:r>
        <w:t xml:space="preserve">A comparison of the annual and cumulative costs for each approach based on a single producer’s compliance is shown in Figure 1 </w:t>
      </w:r>
      <w:r w:rsidR="00BC3899">
        <w:t>below</w:t>
      </w:r>
      <w:r>
        <w:t xml:space="preserve">. Forecasts for number of participants under each option has been </w:t>
      </w:r>
      <w:r w:rsidRPr="0067477E">
        <w:t xml:space="preserve">incorporated as part of </w:t>
      </w:r>
      <w:r>
        <w:t xml:space="preserve">our RBE </w:t>
      </w:r>
      <w:r w:rsidRPr="0067477E">
        <w:t>analysis</w:t>
      </w:r>
      <w:r>
        <w:t>,</w:t>
      </w:r>
      <w:r w:rsidRPr="0067477E">
        <w:t xml:space="preserve"> </w:t>
      </w:r>
      <w:r>
        <w:t xml:space="preserve">but to provide further detail and context, </w:t>
      </w:r>
      <w:r w:rsidRPr="0067477E">
        <w:t>per-</w:t>
      </w:r>
      <w:r>
        <w:t>producer</w:t>
      </w:r>
      <w:r w:rsidRPr="0067477E">
        <w:t xml:space="preserve"> estimates </w:t>
      </w:r>
      <w:r>
        <w:t>have also been provided to differentiate regulatory costs between options</w:t>
      </w:r>
      <w:r w:rsidRPr="0067477E">
        <w:t>.</w:t>
      </w:r>
      <w:r>
        <w:t xml:space="preserve"> </w:t>
      </w:r>
    </w:p>
    <w:p w14:paraId="410DAF4C" w14:textId="2B2AD039" w:rsidR="00C21B96" w:rsidRDefault="00C21B96" w:rsidP="00C21B96">
      <w:pPr>
        <w:pStyle w:val="Caption"/>
        <w:spacing w:after="240"/>
        <w:jc w:val="center"/>
      </w:pPr>
      <w:r>
        <w:lastRenderedPageBreak/>
        <w:t>Figure 1: Comparison of regulatory costs (Option 2 and Option 3)</w:t>
      </w:r>
    </w:p>
    <w:p w14:paraId="24D9F021" w14:textId="2245E0E9" w:rsidR="00C21B96" w:rsidRDefault="00D23E0C" w:rsidP="00C21B96">
      <w:pPr>
        <w:keepNext/>
        <w:jc w:val="center"/>
      </w:pPr>
      <w:bookmarkStart w:id="42" w:name="_GoBack"/>
      <w:bookmarkEnd w:id="42"/>
      <w:r>
        <w:rPr>
          <w:noProof/>
          <w:lang w:eastAsia="en-AU"/>
        </w:rPr>
        <w:drawing>
          <wp:inline distT="0" distB="0" distL="0" distR="0" wp14:anchorId="48FB1EAF" wp14:editId="6DD214AC">
            <wp:extent cx="4305300" cy="265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2651760"/>
                    </a:xfrm>
                    <a:prstGeom prst="rect">
                      <a:avLst/>
                    </a:prstGeom>
                    <a:noFill/>
                  </pic:spPr>
                </pic:pic>
              </a:graphicData>
            </a:graphic>
          </wp:inline>
        </w:drawing>
      </w:r>
    </w:p>
    <w:p w14:paraId="55E70A8C" w14:textId="58BD0909" w:rsidR="00C97442" w:rsidRDefault="00C97442" w:rsidP="00C97442">
      <w:pPr>
        <w:spacing w:before="120" w:after="240"/>
      </w:pPr>
      <w:r>
        <w:rPr>
          <w:b/>
        </w:rPr>
        <w:t>Figure 1</w:t>
      </w:r>
      <w:r w:rsidRPr="00BA5F46">
        <w:t xml:space="preserve"> </w:t>
      </w:r>
      <w:r w:rsidRPr="00302A56">
        <w:t xml:space="preserve">compares the </w:t>
      </w:r>
      <w:r w:rsidR="00D212D1">
        <w:t>cumulative</w:t>
      </w:r>
      <w:r w:rsidR="00D212D1" w:rsidRPr="00302A56">
        <w:t xml:space="preserve"> </w:t>
      </w:r>
      <w:r w:rsidRPr="00302A56">
        <w:t xml:space="preserve">costs </w:t>
      </w:r>
      <w:r w:rsidRPr="001C3B56">
        <w:rPr>
          <w:b/>
          <w:bCs/>
        </w:rPr>
        <w:t>per producer</w:t>
      </w:r>
      <w:r w:rsidRPr="00302A56">
        <w:t xml:space="preserve"> </w:t>
      </w:r>
      <w:r w:rsidR="001C3B56">
        <w:t xml:space="preserve">(i.e. a </w:t>
      </w:r>
      <w:r w:rsidR="006A3F10">
        <w:t xml:space="preserve">producer complying with a model code or </w:t>
      </w:r>
      <w:r w:rsidR="001C3B56">
        <w:t>participant in a government-le</w:t>
      </w:r>
      <w:r w:rsidR="006A3F10">
        <w:t xml:space="preserve">d </w:t>
      </w:r>
      <w:r w:rsidR="001C3B56">
        <w:t>scheme</w:t>
      </w:r>
      <w:r w:rsidR="006A3F10">
        <w:t xml:space="preserve">) </w:t>
      </w:r>
      <w:r w:rsidRPr="00302A56">
        <w:t>under the regulatory and quasi-regulatory approaches over a 10-year period</w:t>
      </w:r>
      <w:r w:rsidR="006A3F10" w:rsidDel="00E43019">
        <w:t>.</w:t>
      </w:r>
    </w:p>
    <w:p w14:paraId="66E7EA61" w14:textId="68EF0CDB" w:rsidR="00004E0A" w:rsidRDefault="00004E0A" w:rsidP="00004E0A">
      <w:r>
        <w:t xml:space="preserve">In the option without explicit regulation (option 2), the </w:t>
      </w:r>
      <w:r w:rsidR="3455490B" w:rsidRPr="00934B48">
        <w:rPr>
          <w:b/>
        </w:rPr>
        <w:t>per-producer</w:t>
      </w:r>
      <w:r w:rsidR="3455490B">
        <w:t xml:space="preserve"> </w:t>
      </w:r>
      <w:r>
        <w:t>burden is estimated to initially be lower</w:t>
      </w:r>
      <w:r w:rsidR="0035565E">
        <w:t xml:space="preserve"> </w:t>
      </w:r>
      <w:r w:rsidR="00934B48">
        <w:t>but</w:t>
      </w:r>
      <w:r>
        <w:t xml:space="preserve"> so too are the opportunities for growth </w:t>
      </w:r>
      <w:r w:rsidR="002A2E23">
        <w:t>and</w:t>
      </w:r>
      <w:r>
        <w:t xml:space="preserve"> subsequent policy incentives</w:t>
      </w:r>
      <w:r w:rsidR="00C30F4C">
        <w:t>.</w:t>
      </w:r>
      <w:r>
        <w:t xml:space="preserve"> </w:t>
      </w:r>
      <w:r w:rsidR="002A2E23">
        <w:t>B</w:t>
      </w:r>
      <w:r>
        <w:t>arrier</w:t>
      </w:r>
      <w:r w:rsidR="002A2E23">
        <w:t>s</w:t>
      </w:r>
      <w:r>
        <w:t xml:space="preserve"> for market participation </w:t>
      </w:r>
      <w:r w:rsidR="002A2E23">
        <w:t>would remain</w:t>
      </w:r>
      <w:r>
        <w:t xml:space="preserve">. It is estimated that option 2 represents increased burden for participants (complying with a model code and/or third-party scheme) in the long-term due to the costs involved with procuring regular third-party assurance. </w:t>
      </w:r>
    </w:p>
    <w:p w14:paraId="1E922025" w14:textId="357BACF4" w:rsidR="00004E0A" w:rsidRDefault="00004E0A" w:rsidP="00C008F1">
      <w:r>
        <w:t xml:space="preserve">This estimate aligns with </w:t>
      </w:r>
      <w:r w:rsidRPr="00457A63">
        <w:t>several studies and reports into the potential long-term financial burdens associated with industry-led hydrogen certification</w:t>
      </w:r>
      <w:r>
        <w:t xml:space="preserve">. For example, </w:t>
      </w:r>
      <w:r w:rsidRPr="00EB724B">
        <w:t xml:space="preserve">IRENA's analysis on hydrogen certification and standards notes substantial </w:t>
      </w:r>
      <w:r>
        <w:t>costs to participate in certification schemes that</w:t>
      </w:r>
      <w:r w:rsidRPr="00EB724B">
        <w:t xml:space="preserve"> include initial setup expenses and ongoing costs for third-party verification and compliance</w:t>
      </w:r>
      <w:r>
        <w:rPr>
          <w:rStyle w:val="FootnoteReference"/>
        </w:rPr>
        <w:footnoteReference w:id="4"/>
      </w:r>
      <w:r w:rsidRPr="00EB724B">
        <w:t xml:space="preserve">. </w:t>
      </w:r>
      <w:r>
        <w:t xml:space="preserve">Without the administration of a full-time </w:t>
      </w:r>
      <w:r w:rsidR="00C83514">
        <w:t>g</w:t>
      </w:r>
      <w:r>
        <w:t>overnment regulator, such as the CER, businesses would be required to oversee these arrangements independently, and these ongoing costs would impact participants more over the long-term.</w:t>
      </w:r>
    </w:p>
    <w:p w14:paraId="37CD1701" w14:textId="432F5874" w:rsidR="006006BB" w:rsidRPr="001A2601" w:rsidRDefault="006006BB" w:rsidP="00201375">
      <w:pPr>
        <w:pStyle w:val="Heading4"/>
      </w:pPr>
      <w:r w:rsidRPr="001A2601">
        <w:t xml:space="preserve">Benefits of </w:t>
      </w:r>
      <w:r w:rsidR="005712AB" w:rsidRPr="001A2601">
        <w:t>option 3</w:t>
      </w:r>
    </w:p>
    <w:p w14:paraId="63CA70E7" w14:textId="1D134865" w:rsidR="0062225C" w:rsidRPr="0091674A" w:rsidRDefault="00F6743E" w:rsidP="007B0911">
      <w:pPr>
        <w:rPr>
          <w:b/>
          <w:bCs/>
        </w:rPr>
      </w:pPr>
      <w:r>
        <w:rPr>
          <w:b/>
          <w:bCs/>
        </w:rPr>
        <w:t>Benefits to b</w:t>
      </w:r>
      <w:r w:rsidR="008F19DB">
        <w:rPr>
          <w:b/>
          <w:bCs/>
        </w:rPr>
        <w:t>usinesses in the renewable electricity and hydrogen industries</w:t>
      </w:r>
    </w:p>
    <w:p w14:paraId="507EA996" w14:textId="7DA1BCFF" w:rsidR="007B0911" w:rsidRDefault="00964C51" w:rsidP="007B0911">
      <w:r>
        <w:t xml:space="preserve">As it is intended that Australia’s GO scheme would be aligned and accepted internationally, it would offer a single certification for </w:t>
      </w:r>
      <w:r w:rsidR="00C51970">
        <w:t xml:space="preserve">renewable electricity and hydrogen projects </w:t>
      </w:r>
      <w:r>
        <w:t xml:space="preserve">that could be used </w:t>
      </w:r>
      <w:r w:rsidR="008F19DB">
        <w:t>to</w:t>
      </w:r>
      <w:r>
        <w:t xml:space="preserve"> access a variety of markets. </w:t>
      </w:r>
      <w:r w:rsidR="00C51970">
        <w:t>It</w:t>
      </w:r>
      <w:r w:rsidR="00C008F1">
        <w:t xml:space="preserve"> will help provide certainty about market requirements prior to investing and </w:t>
      </w:r>
      <w:r w:rsidR="00B91F71">
        <w:t xml:space="preserve">provide </w:t>
      </w:r>
      <w:r w:rsidR="00C008F1">
        <w:t xml:space="preserve">assurance that </w:t>
      </w:r>
      <w:r w:rsidR="00B91F71">
        <w:rPr>
          <w:rStyle w:val="cf01"/>
        </w:rPr>
        <w:t>project proponents wil</w:t>
      </w:r>
      <w:r w:rsidR="00B91F71">
        <w:t xml:space="preserve">l </w:t>
      </w:r>
      <w:r w:rsidR="00C008F1">
        <w:t xml:space="preserve">meet desired standards. This </w:t>
      </w:r>
      <w:r w:rsidR="00B91F71">
        <w:t xml:space="preserve">in turn </w:t>
      </w:r>
      <w:r w:rsidR="00C008F1">
        <w:t xml:space="preserve">would </w:t>
      </w:r>
      <w:r w:rsidR="00B91F71">
        <w:t>help to build</w:t>
      </w:r>
      <w:r w:rsidR="00C008F1">
        <w:t xml:space="preserve"> an enabling business environment, </w:t>
      </w:r>
      <w:r w:rsidR="00B91F71">
        <w:t xml:space="preserve">in which it </w:t>
      </w:r>
      <w:r w:rsidR="00B91F71" w:rsidRPr="00B91F71">
        <w:t>is more likely to occur</w:t>
      </w:r>
      <w:r w:rsidR="00B91F71">
        <w:t xml:space="preserve"> that</w:t>
      </w:r>
      <w:r w:rsidR="00C008F1">
        <w:t xml:space="preserve"> investment in</w:t>
      </w:r>
      <w:r w:rsidR="00B91F71">
        <w:t>to hydrogen production will occur</w:t>
      </w:r>
      <w:r w:rsidR="00C008F1">
        <w:t xml:space="preserve">. </w:t>
      </w:r>
      <w:r w:rsidR="007B0911">
        <w:t xml:space="preserve">This </w:t>
      </w:r>
      <w:r w:rsidR="00B91F71">
        <w:t xml:space="preserve">would </w:t>
      </w:r>
      <w:r w:rsidR="007B0911">
        <w:t xml:space="preserve">cement </w:t>
      </w:r>
      <w:r w:rsidR="00B91F71">
        <w:t xml:space="preserve">Australia’s </w:t>
      </w:r>
      <w:r w:rsidR="007B0911">
        <w:t>status as a world leader in low-emissions technologies.</w:t>
      </w:r>
    </w:p>
    <w:p w14:paraId="052C32B5" w14:textId="5559ADB4" w:rsidR="00AA4808" w:rsidRDefault="00594279">
      <w:r>
        <w:t xml:space="preserve">Assurance about the emissions intensity of products is the key metric to </w:t>
      </w:r>
      <w:r w:rsidR="003C1229">
        <w:t xml:space="preserve">access </w:t>
      </w:r>
      <w:r>
        <w:t xml:space="preserve">policies and funding targeting decarbonisation of products such as hydrogen. </w:t>
      </w:r>
      <w:r w:rsidR="00B91F71">
        <w:t xml:space="preserve">As a foundational layer of accounting and certification, </w:t>
      </w:r>
      <w:r w:rsidR="00266226">
        <w:t xml:space="preserve">the </w:t>
      </w:r>
      <w:r w:rsidR="00B91F71">
        <w:t xml:space="preserve">proposed option 3 </w:t>
      </w:r>
      <w:r w:rsidR="00266226">
        <w:t>will serve as the verification mechanism for</w:t>
      </w:r>
      <w:r w:rsidR="00B91F71">
        <w:t xml:space="preserve"> </w:t>
      </w:r>
      <w:r w:rsidR="005E5A1B">
        <w:t xml:space="preserve">current and </w:t>
      </w:r>
      <w:r w:rsidR="00B91F71">
        <w:t>future targeted incentives</w:t>
      </w:r>
      <w:r w:rsidR="00892E78">
        <w:t xml:space="preserve">. </w:t>
      </w:r>
      <w:r w:rsidR="00236B86">
        <w:t>T</w:t>
      </w:r>
      <w:r w:rsidR="00892E78" w:rsidRPr="00892E78">
        <w:t>he</w:t>
      </w:r>
      <w:r w:rsidR="000A74F3">
        <w:t xml:space="preserve"> proposed</w:t>
      </w:r>
      <w:r w:rsidR="00892E78" w:rsidRPr="00892E78">
        <w:t xml:space="preserve"> Hydrogen Production Tax Incentive</w:t>
      </w:r>
      <w:r w:rsidR="00C26032">
        <w:t xml:space="preserve">, </w:t>
      </w:r>
      <w:r w:rsidR="00236B86" w:rsidRPr="00236B86">
        <w:t>at an estimated cost to the budget of $6.7 billion over ten years from 2024–25 (</w:t>
      </w:r>
      <w:r w:rsidR="00892E78" w:rsidRPr="00892E78">
        <w:t xml:space="preserve">and </w:t>
      </w:r>
      <w:r w:rsidR="00236B86" w:rsidRPr="00236B86">
        <w:t>an average of $1.1 billion per year from 2034–35 to 2040–41)</w:t>
      </w:r>
      <w:r w:rsidR="00236B86">
        <w:t xml:space="preserve">, </w:t>
      </w:r>
      <w:r w:rsidR="00892E78" w:rsidRPr="00892E78">
        <w:t>and the $4 billion Hydrogen Headstart program will rely heavily on the Guarantee of Origin scheme</w:t>
      </w:r>
      <w:r w:rsidR="00236B86">
        <w:t xml:space="preserve"> </w:t>
      </w:r>
      <w:r w:rsidR="00817783">
        <w:t xml:space="preserve">demonstrate </w:t>
      </w:r>
      <w:r w:rsidR="00EF55BB">
        <w:t xml:space="preserve">compliance with </w:t>
      </w:r>
      <w:r w:rsidR="00817783">
        <w:t xml:space="preserve">eligibility </w:t>
      </w:r>
      <w:r w:rsidR="00EF55BB">
        <w:t xml:space="preserve">criteria for </w:t>
      </w:r>
      <w:r w:rsidR="000B4238">
        <w:t xml:space="preserve">hydrogen </w:t>
      </w:r>
      <w:r w:rsidR="00817783">
        <w:t>produce</w:t>
      </w:r>
      <w:r w:rsidR="00EF55BB">
        <w:t>rs accessing the programs</w:t>
      </w:r>
      <w:r w:rsidR="00236B86">
        <w:t>. These incentives represent</w:t>
      </w:r>
      <w:r w:rsidR="00B91F71" w:rsidDel="00236B86">
        <w:t xml:space="preserve"> </w:t>
      </w:r>
      <w:r w:rsidR="00236B86">
        <w:t>significant support</w:t>
      </w:r>
      <w:r w:rsidR="00C106A9">
        <w:t xml:space="preserve"> for industry</w:t>
      </w:r>
      <w:r w:rsidR="00691575">
        <w:t xml:space="preserve">, and the </w:t>
      </w:r>
      <w:r w:rsidR="00691575" w:rsidRPr="00892E78">
        <w:t>Guarantee of Origin scheme</w:t>
      </w:r>
      <w:r w:rsidR="00691575">
        <w:t xml:space="preserve"> will </w:t>
      </w:r>
      <w:r w:rsidR="00AD5844">
        <w:t xml:space="preserve">be key to </w:t>
      </w:r>
      <w:r w:rsidR="00EF55BB">
        <w:t>providing a high degree of</w:t>
      </w:r>
      <w:r w:rsidR="00F823F3">
        <w:t xml:space="preserve"> </w:t>
      </w:r>
      <w:r w:rsidR="00AD5844">
        <w:t xml:space="preserve">integrity </w:t>
      </w:r>
      <w:r w:rsidR="00EF55BB">
        <w:t xml:space="preserve">in the administration </w:t>
      </w:r>
      <w:r w:rsidR="00AD5844">
        <w:t>of these programs</w:t>
      </w:r>
      <w:r w:rsidR="00236B86">
        <w:t xml:space="preserve">. The proposed option 3 will also </w:t>
      </w:r>
      <w:r w:rsidR="00EE7B82">
        <w:t>streamlin</w:t>
      </w:r>
      <w:r w:rsidR="0038166E">
        <w:t>e</w:t>
      </w:r>
      <w:r>
        <w:t xml:space="preserve"> </w:t>
      </w:r>
      <w:r w:rsidR="00B91F71">
        <w:t xml:space="preserve">compliance requirements for </w:t>
      </w:r>
      <w:r>
        <w:t xml:space="preserve">other </w:t>
      </w:r>
      <w:r w:rsidR="00B91F71">
        <w:t>programs and initiatives delivered at the state, territory or even industry level.</w:t>
      </w:r>
      <w:r w:rsidR="00614C73">
        <w:t xml:space="preserve"> </w:t>
      </w:r>
    </w:p>
    <w:p w14:paraId="3D71BF4E" w14:textId="433E947D" w:rsidR="00AF19CA" w:rsidRDefault="00912CD1">
      <w:r>
        <w:lastRenderedPageBreak/>
        <w:t>Robust and accurate certification of clean hydrogen and renewable electricity technologies provides a metric that will help track our efforts to decarbonise domestic industry. F</w:t>
      </w:r>
      <w:r w:rsidRPr="00136409">
        <w:t>acilities may wish to purchase low emission products so they can ‘write down’ their respective emissions profile through voluntary schemes, such as the Corporate Emissions Reduction Transparency report</w:t>
      </w:r>
      <w:r>
        <w:rPr>
          <w:rStyle w:val="FootnoteReference"/>
        </w:rPr>
        <w:footnoteReference w:id="5"/>
      </w:r>
      <w:r w:rsidRPr="00136409">
        <w:t>.</w:t>
      </w:r>
      <w:r w:rsidR="000558A7">
        <w:t xml:space="preserve"> Business would also be able to use scheme information to </w:t>
      </w:r>
      <w:r w:rsidR="00B2754B">
        <w:t>support reporting requirements</w:t>
      </w:r>
      <w:r w:rsidR="00DB5358">
        <w:t xml:space="preserve">, including </w:t>
      </w:r>
      <w:r w:rsidR="003729D8">
        <w:t xml:space="preserve">Scope 3 </w:t>
      </w:r>
      <w:r w:rsidR="00DB5358">
        <w:t xml:space="preserve">emissions metrics and targets </w:t>
      </w:r>
      <w:r w:rsidR="00F51E8D">
        <w:t xml:space="preserve">for Climate Related Financial Disclosures. </w:t>
      </w:r>
      <w:r w:rsidR="00DB5358">
        <w:t>More broadly, o</w:t>
      </w:r>
      <w:r>
        <w:t>verall production of low-carbon products will be able to be compared to emissions intensive equivalents over time to measure against reductions targets</w:t>
      </w:r>
      <w:r w:rsidR="005941D3">
        <w:t>.</w:t>
      </w:r>
    </w:p>
    <w:p w14:paraId="5781BFD1" w14:textId="3ADBDEC2" w:rsidR="005616AB" w:rsidRPr="00C0632B" w:rsidRDefault="00F6743E" w:rsidP="002858B2">
      <w:pPr>
        <w:rPr>
          <w:b/>
        </w:rPr>
      </w:pPr>
      <w:r>
        <w:rPr>
          <w:b/>
        </w:rPr>
        <w:t xml:space="preserve">Benefits to </w:t>
      </w:r>
      <w:r w:rsidR="005616AB">
        <w:rPr>
          <w:b/>
        </w:rPr>
        <w:t>consumers</w:t>
      </w:r>
    </w:p>
    <w:p w14:paraId="3EBC89AC" w14:textId="7F23D8DD" w:rsidR="001D59BE" w:rsidRDefault="00BA03E1" w:rsidP="002858B2">
      <w:r>
        <w:t xml:space="preserve">Option 3 will provide assurance to consumers of low emissions products </w:t>
      </w:r>
      <w:r w:rsidR="003F6254">
        <w:t xml:space="preserve">so </w:t>
      </w:r>
      <w:r>
        <w:t xml:space="preserve">that </w:t>
      </w:r>
      <w:r w:rsidR="00124C23">
        <w:t xml:space="preserve">they can make credible environmental claims about the </w:t>
      </w:r>
      <w:r w:rsidR="00F64D52">
        <w:t>products they buy and use.</w:t>
      </w:r>
      <w:r w:rsidR="001D59BE">
        <w:t xml:space="preserve"> Government regulated and n</w:t>
      </w:r>
      <w:r w:rsidR="001D59BE" w:rsidRPr="00CA11DE">
        <w:t xml:space="preserve">ationally consistent certification would </w:t>
      </w:r>
      <w:r w:rsidR="001D59BE">
        <w:t xml:space="preserve">result in </w:t>
      </w:r>
      <w:r w:rsidR="001D59BE" w:rsidRPr="00CA11DE">
        <w:t xml:space="preserve">more </w:t>
      </w:r>
      <w:r w:rsidR="001D59BE">
        <w:t xml:space="preserve">trustworthy, </w:t>
      </w:r>
      <w:r w:rsidR="001D59BE" w:rsidRPr="00CA11DE">
        <w:t>transparent</w:t>
      </w:r>
      <w:r w:rsidR="001D59BE">
        <w:t>, consistent, and comparable claims from producers and consumers of clean energy products. This would help to reduce the prospects of greenwashing regarding products, and renewable electricity covered by the scheme.</w:t>
      </w:r>
    </w:p>
    <w:p w14:paraId="1201AB21" w14:textId="0B2246F7" w:rsidR="00D15459" w:rsidRDefault="0045107C" w:rsidP="002858B2">
      <w:r>
        <w:t xml:space="preserve">Consumers </w:t>
      </w:r>
      <w:r w:rsidR="00E7330A">
        <w:t>who</w:t>
      </w:r>
      <w:r w:rsidR="00CD5554">
        <w:t xml:space="preserve"> </w:t>
      </w:r>
      <w:r w:rsidR="00A14494">
        <w:t>purchase and use products or renewable electricity</w:t>
      </w:r>
      <w:r w:rsidR="00E7330A">
        <w:t xml:space="preserve"> </w:t>
      </w:r>
      <w:r>
        <w:t>would not be subject to</w:t>
      </w:r>
      <w:r w:rsidR="00A14494">
        <w:t xml:space="preserve"> </w:t>
      </w:r>
      <w:r w:rsidR="00CD5554">
        <w:t>participat</w:t>
      </w:r>
      <w:r>
        <w:t xml:space="preserve">ion burden </w:t>
      </w:r>
      <w:r w:rsidR="00CD5554">
        <w:t>in</w:t>
      </w:r>
      <w:r w:rsidR="00CD5554" w:rsidDel="0045107C">
        <w:t xml:space="preserve"> </w:t>
      </w:r>
      <w:r>
        <w:t xml:space="preserve">a </w:t>
      </w:r>
      <w:r w:rsidR="00EC6D7C">
        <w:t xml:space="preserve">guarantee of origin </w:t>
      </w:r>
      <w:r w:rsidR="00CD5554">
        <w:t>scheme</w:t>
      </w:r>
      <w:r w:rsidR="00A14494">
        <w:t xml:space="preserve">. While information on consumption </w:t>
      </w:r>
      <w:r w:rsidR="00255F84">
        <w:t>would be</w:t>
      </w:r>
      <w:r w:rsidR="00A14494">
        <w:t xml:space="preserve"> required on certificates, this </w:t>
      </w:r>
      <w:r w:rsidR="00BE0994">
        <w:t xml:space="preserve">can be completed </w:t>
      </w:r>
      <w:r w:rsidR="00A14494">
        <w:t xml:space="preserve">by </w:t>
      </w:r>
      <w:r w:rsidR="00EC2DF5">
        <w:t xml:space="preserve">participating </w:t>
      </w:r>
      <w:r w:rsidR="00A34FCD">
        <w:t>businesses</w:t>
      </w:r>
      <w:r w:rsidR="005616AB">
        <w:t xml:space="preserve"> as a part of their reporting requirements</w:t>
      </w:r>
      <w:r w:rsidR="00A34FCD">
        <w:t>.</w:t>
      </w:r>
      <w:r w:rsidR="00BE0994" w:rsidRPr="00BE0994">
        <w:t xml:space="preserve"> </w:t>
      </w:r>
      <w:r w:rsidR="00E7330A">
        <w:t>I</w:t>
      </w:r>
      <w:r w:rsidR="00D705ED">
        <w:t xml:space="preserve">ndividuals </w:t>
      </w:r>
      <w:r w:rsidR="002564F3">
        <w:t xml:space="preserve">would be able to refer to </w:t>
      </w:r>
      <w:r w:rsidR="00775DFD">
        <w:t>a trusted</w:t>
      </w:r>
      <w:r w:rsidR="00506229">
        <w:t>, centralised</w:t>
      </w:r>
      <w:r w:rsidR="00775DFD">
        <w:t xml:space="preserve"> data set of information </w:t>
      </w:r>
      <w:r w:rsidR="005355A7">
        <w:t>regarding products and renewable electricity without</w:t>
      </w:r>
      <w:r w:rsidR="00EC2DF5">
        <w:t xml:space="preserve"> any</w:t>
      </w:r>
      <w:r w:rsidR="005355A7">
        <w:t xml:space="preserve"> </w:t>
      </w:r>
      <w:r w:rsidR="00ED0B28">
        <w:t>burden of participation.</w:t>
      </w:r>
    </w:p>
    <w:p w14:paraId="0D5A16A9" w14:textId="3D34F8BF" w:rsidR="00C65B9C" w:rsidRPr="00992F58" w:rsidRDefault="00281C59" w:rsidP="00C65B9C">
      <w:pPr>
        <w:rPr>
          <w:b/>
          <w:bCs/>
          <w:iCs/>
        </w:rPr>
      </w:pPr>
      <w:r>
        <w:rPr>
          <w:b/>
          <w:bCs/>
          <w:iCs/>
        </w:rPr>
        <w:t>Trade, export, and</w:t>
      </w:r>
      <w:r w:rsidR="00C65B9C" w:rsidRPr="00992F58">
        <w:rPr>
          <w:b/>
          <w:bCs/>
          <w:iCs/>
        </w:rPr>
        <w:t xml:space="preserve"> economic benefits of growing the hydrogen and renewable electricity industry for Australia</w:t>
      </w:r>
    </w:p>
    <w:p w14:paraId="0FFA464B" w14:textId="0AB321E7" w:rsidR="00756BC8" w:rsidRDefault="00756BC8" w:rsidP="00C65B9C">
      <w:r w:rsidRPr="00D31EFA">
        <w:t>Australia</w:t>
      </w:r>
      <w:r>
        <w:t>’s</w:t>
      </w:r>
      <w:r w:rsidRPr="00D31EFA">
        <w:t xml:space="preserve"> </w:t>
      </w:r>
      <w:r>
        <w:t xml:space="preserve">abundance of </w:t>
      </w:r>
      <w:r w:rsidRPr="00D31EFA">
        <w:t xml:space="preserve">wind and solar resources </w:t>
      </w:r>
      <w:r>
        <w:t>make it an ideal location for large-scale renewable electricity</w:t>
      </w:r>
      <w:r w:rsidRPr="00D978AB">
        <w:t>.</w:t>
      </w:r>
      <w:r>
        <w:t xml:space="preserve"> Our natural advantage also positions our developing hydrogen industry to similarly attract significant investment in current and future projects. </w:t>
      </w:r>
      <w:r w:rsidR="008E00D4">
        <w:t xml:space="preserve">The hydrogen industry </w:t>
      </w:r>
      <w:r w:rsidR="00277A09">
        <w:t>has consistently stated that</w:t>
      </w:r>
      <w:r>
        <w:t xml:space="preserve"> reliable and robust certification scheme, equivalent to option 3, will be critical in supporting industry to reach its potential.</w:t>
      </w:r>
    </w:p>
    <w:p w14:paraId="18F3A01A" w14:textId="7A10631B" w:rsidR="00C65B9C" w:rsidRDefault="00C65B9C" w:rsidP="00C65B9C">
      <w:r>
        <w:t xml:space="preserve">Two of the world’s leading energy forums see Australia’s potential as a potential major hydrogen producer and supplier. The World Energy Council’s </w:t>
      </w:r>
      <w:r w:rsidRPr="00CE1F1F">
        <w:rPr>
          <w:i/>
          <w:iCs/>
        </w:rPr>
        <w:t>International Aspects of a Power-to-X roadmap</w:t>
      </w:r>
      <w:r>
        <w:t xml:space="preserve"> report identified Australia as a ‘giant with potential to become a world key player</w:t>
      </w:r>
      <w:r>
        <w:rPr>
          <w:rStyle w:val="FootnoteReference"/>
        </w:rPr>
        <w:footnoteReference w:id="6"/>
      </w:r>
      <w:r>
        <w:t xml:space="preserve">. The International Energy Agency’s </w:t>
      </w:r>
      <w:r w:rsidRPr="00CE1F1F">
        <w:rPr>
          <w:i/>
          <w:iCs/>
        </w:rPr>
        <w:t>World Energy Outlook</w:t>
      </w:r>
      <w:r>
        <w:t xml:space="preserve"> report projects that Australia could easily produce 100 million tonnes of oil equivalent of hydrogen, equating potentially to 3% of global gas consumption today</w:t>
      </w:r>
      <w:r>
        <w:rPr>
          <w:rStyle w:val="FootnoteReference"/>
        </w:rPr>
        <w:footnoteReference w:id="7"/>
      </w:r>
      <w:r>
        <w:t>.</w:t>
      </w:r>
      <w:r w:rsidR="0052068A">
        <w:t xml:space="preserve"> </w:t>
      </w:r>
    </w:p>
    <w:p w14:paraId="4C189CC5" w14:textId="4526D895" w:rsidR="0034795A" w:rsidRPr="00201375" w:rsidRDefault="0034795A" w:rsidP="00C65B9C">
      <w:pPr>
        <w:rPr>
          <w:color w:val="auto"/>
        </w:rPr>
      </w:pPr>
      <w:r w:rsidRPr="009A440E">
        <w:t>A</w:t>
      </w:r>
      <w:r>
        <w:t>n Australian G</w:t>
      </w:r>
      <w:r w:rsidRPr="009A440E">
        <w:t xml:space="preserve">overnment operated and legislated scheme removes </w:t>
      </w:r>
      <w:r>
        <w:t xml:space="preserve">key </w:t>
      </w:r>
      <w:r w:rsidRPr="009A440E">
        <w:t>risk</w:t>
      </w:r>
      <w:r>
        <w:t>s</w:t>
      </w:r>
      <w:r w:rsidRPr="009A440E">
        <w:t xml:space="preserve"> for investors looking to </w:t>
      </w:r>
      <w:r>
        <w:t xml:space="preserve">finance </w:t>
      </w:r>
      <w:r w:rsidRPr="009A440E">
        <w:t>projects in Australi</w:t>
      </w:r>
      <w:r>
        <w:t xml:space="preserve">a including certainty over certification consistency, and surety over international acceptance. </w:t>
      </w:r>
      <w:r w:rsidR="001E3FCC" w:rsidRPr="00C87936">
        <w:t xml:space="preserve">It can </w:t>
      </w:r>
      <w:r w:rsidR="001E3FCC" w:rsidRPr="00201375">
        <w:rPr>
          <w:color w:val="auto"/>
        </w:rPr>
        <w:t xml:space="preserve">facilitate alignment with international </w:t>
      </w:r>
      <w:r w:rsidR="00C87936" w:rsidRPr="00201375">
        <w:rPr>
          <w:color w:val="auto"/>
        </w:rPr>
        <w:t xml:space="preserve">standards </w:t>
      </w:r>
      <w:r w:rsidR="001E3FCC" w:rsidRPr="00201375">
        <w:rPr>
          <w:color w:val="auto"/>
        </w:rPr>
        <w:t>(e.g. ISSB standards) and unlock capital flow towards green projects to help achieve Australia’s sustainable finance objectives.</w:t>
      </w:r>
    </w:p>
    <w:p w14:paraId="3B1EDF30" w14:textId="4CC21125" w:rsidR="00C65B9C" w:rsidRDefault="00C65B9C" w:rsidP="00C65B9C">
      <w:r w:rsidRPr="00654642">
        <w:t>Inter</w:t>
      </w:r>
      <w:r>
        <w:t>nation</w:t>
      </w:r>
      <w:r w:rsidRPr="00654642">
        <w:t xml:space="preserve">al trade is key to helping unlock the full potential of the clean hydrogen market. Regions that </w:t>
      </w:r>
      <w:r w:rsidR="00111220">
        <w:t>will be</w:t>
      </w:r>
      <w:r w:rsidRPr="00654642">
        <w:t xml:space="preserve"> able to produce cost-competitive hydrogen in quantities that exceed domestic needs are already positioning themselves as future hydrogen exporters—</w:t>
      </w:r>
      <w:r w:rsidR="000867AB">
        <w:t xml:space="preserve">to </w:t>
      </w:r>
      <w:r w:rsidRPr="00654642">
        <w:t>supply other less-competitive regions and helping to smoothly facilitate the energy transition. Notably, global hydrogen trade is projected to generate more than US$280 billion in annual export revenues by 2050</w:t>
      </w:r>
      <w:r>
        <w:t>.</w:t>
      </w:r>
      <w:r>
        <w:rPr>
          <w:rStyle w:val="FootnoteReference"/>
        </w:rPr>
        <w:footnoteReference w:id="8"/>
      </w:r>
      <w:r w:rsidR="00F4100B">
        <w:t xml:space="preserve"> </w:t>
      </w:r>
    </w:p>
    <w:p w14:paraId="66D4ADE1" w14:textId="13555BAA" w:rsidR="00D007BF" w:rsidRDefault="00B716F9" w:rsidP="00201375">
      <w:pPr>
        <w:spacing w:before="120"/>
      </w:pPr>
      <w:r w:rsidRPr="22266F8D">
        <w:t xml:space="preserve">Government would continue </w:t>
      </w:r>
      <w:r>
        <w:t>working</w:t>
      </w:r>
      <w:r w:rsidRPr="22266F8D">
        <w:t xml:space="preserve"> to ensure that </w:t>
      </w:r>
      <w:r>
        <w:t>a GO s</w:t>
      </w:r>
      <w:r w:rsidRPr="22266F8D">
        <w:t xml:space="preserve">cheme’s certification approach is compatible and acceptable and aligned with international approaches. </w:t>
      </w:r>
      <w:r>
        <w:t>The regulatory approach</w:t>
      </w:r>
      <w:r w:rsidRPr="22266F8D">
        <w:t xml:space="preserve"> then provides a high degree of trust both domestically and internationally of the quality of Australian products</w:t>
      </w:r>
      <w:r>
        <w:t xml:space="preserve">. </w:t>
      </w:r>
      <w:r w:rsidR="00D007BF" w:rsidRPr="00D007BF">
        <w:t>Credible, government-backed certification would give Australian industry an edge over its competitors who may use less transparent, industry-led schemes. A consistent and overarching certification framework would minimise the impact of CBAMs and trade barriers on Australian products.</w:t>
      </w:r>
    </w:p>
    <w:p w14:paraId="73BDBCD0" w14:textId="66F0FFA2" w:rsidR="00540D9C" w:rsidRDefault="00540D9C" w:rsidP="00C65B9C">
      <w:r>
        <w:t xml:space="preserve">Reports on the creation of a global renewable hydrogen market list the </w:t>
      </w:r>
      <w:r w:rsidRPr="0020717F">
        <w:t>develop</w:t>
      </w:r>
      <w:r>
        <w:t>ment of</w:t>
      </w:r>
      <w:r w:rsidRPr="0020717F">
        <w:t xml:space="preserve"> a robust</w:t>
      </w:r>
      <w:r>
        <w:t>,</w:t>
      </w:r>
      <w:r w:rsidRPr="0020717F">
        <w:t xml:space="preserve"> and </w:t>
      </w:r>
      <w:r>
        <w:t>internationally aligned</w:t>
      </w:r>
      <w:r w:rsidRPr="0020717F">
        <w:t xml:space="preserve"> certification process for clean hydrogen</w:t>
      </w:r>
      <w:r>
        <w:t xml:space="preserve">, as a key component </w:t>
      </w:r>
      <w:r w:rsidRPr="0020717F">
        <w:t xml:space="preserve">to help </w:t>
      </w:r>
      <w:r>
        <w:t>facilitate market development</w:t>
      </w:r>
      <w:r w:rsidRPr="0020717F">
        <w:t xml:space="preserve"> and </w:t>
      </w:r>
      <w:r>
        <w:t xml:space="preserve">international trade </w:t>
      </w:r>
      <w:r w:rsidRPr="0020717F">
        <w:t>and promote a level playing field</w:t>
      </w:r>
      <w:r>
        <w:t>.</w:t>
      </w:r>
      <w:r>
        <w:rPr>
          <w:rStyle w:val="FootnoteReference"/>
        </w:rPr>
        <w:footnoteReference w:id="9"/>
      </w:r>
      <w:r>
        <w:t xml:space="preserve"> With an effective scheme in place, Australian producers will be able to confidently spruik </w:t>
      </w:r>
      <w:r>
        <w:lastRenderedPageBreak/>
        <w:t>the clean attributes of their certified products in order to capitalise on the opportunity of extracting a ‘green premium’ for them.</w:t>
      </w:r>
    </w:p>
    <w:p w14:paraId="4F334E69" w14:textId="65526F03" w:rsidR="00C134B1" w:rsidRDefault="00FF5326" w:rsidP="00C65B9C">
      <w:r w:rsidRPr="000978F1">
        <w:t xml:space="preserve">Australia’s renewable hydrogen exports could create </w:t>
      </w:r>
      <w:r>
        <w:t>tens of thousands of</w:t>
      </w:r>
      <w:r w:rsidRPr="000978F1">
        <w:t xml:space="preserve"> direct and indirect jobs by 2040</w:t>
      </w:r>
      <w:r>
        <w:t xml:space="preserve">, and provide opportunities for existing workers in declining fossil fuel industries to transition to new resource and manufacturing businesses that use </w:t>
      </w:r>
      <w:r w:rsidRPr="00FF5326">
        <w:t>hydrogen.</w:t>
      </w:r>
      <w:r w:rsidRPr="00FF5326">
        <w:rPr>
          <w:rStyle w:val="Emphasis"/>
        </w:rPr>
        <w:t xml:space="preserve"> </w:t>
      </w:r>
      <w:r w:rsidRPr="00FF5326">
        <w:rPr>
          <w:rStyle w:val="FootnoteReference"/>
        </w:rPr>
        <w:footnoteReference w:id="10"/>
      </w:r>
      <w:r w:rsidRPr="00FF5326">
        <w:t xml:space="preserve"> </w:t>
      </w:r>
      <w:r w:rsidRPr="00201375">
        <w:t xml:space="preserve">Most of the jobs created by this new industry are likely to be in regional areas. </w:t>
      </w:r>
      <w:r w:rsidR="00C134B1" w:rsidRPr="00FF5326">
        <w:t>Australia</w:t>
      </w:r>
      <w:r w:rsidR="00C134B1">
        <w:t xml:space="preserve"> already has </w:t>
      </w:r>
      <w:r w:rsidR="00C134B1" w:rsidRPr="003940B1">
        <w:t>a globally significant project pipeline</w:t>
      </w:r>
      <w:r w:rsidR="00C134B1">
        <w:t xml:space="preserve"> of more than 100 </w:t>
      </w:r>
      <w:r w:rsidR="00C3399E">
        <w:t xml:space="preserve">hydrogen </w:t>
      </w:r>
      <w:r w:rsidR="00C134B1">
        <w:t>projects announced since 2019. The IEA reports that 20% of all announced projects globally are in Australia.</w:t>
      </w:r>
      <w:r w:rsidR="00C134B1" w:rsidRPr="00E81E1A">
        <w:rPr>
          <w:rStyle w:val="FootnoteReference"/>
        </w:rPr>
        <w:footnoteReference w:id="11"/>
      </w:r>
      <w:r w:rsidR="00C134B1">
        <w:t xml:space="preserve"> </w:t>
      </w:r>
      <w:r w:rsidR="00C134B1" w:rsidRPr="00704DD0">
        <w:t>It represents</w:t>
      </w:r>
      <w:r w:rsidR="00C134B1">
        <w:t xml:space="preserve"> approximately half of all export</w:t>
      </w:r>
      <w:r w:rsidR="00C134B1">
        <w:noBreakHyphen/>
        <w:t>oriented projects announced globally, with t</w:t>
      </w:r>
      <w:r w:rsidR="00C134B1" w:rsidRPr="00704DD0">
        <w:t>he pipeline growing year upon year and valued at $225 billion or more</w:t>
      </w:r>
      <w:r w:rsidR="00C134B1">
        <w:t>.</w:t>
      </w:r>
      <w:r w:rsidR="00C134B1" w:rsidRPr="00704DD0">
        <w:rPr>
          <w:rStyle w:val="FootnoteReference"/>
        </w:rPr>
        <w:footnoteReference w:id="12"/>
      </w:r>
    </w:p>
    <w:p w14:paraId="4D5BE8A2" w14:textId="052FD607" w:rsidR="005C284E" w:rsidRPr="00A026A9" w:rsidRDefault="00FF5326" w:rsidP="00201375">
      <w:pPr>
        <w:pStyle w:val="Heading1"/>
        <w:rPr>
          <w:sz w:val="36"/>
          <w:szCs w:val="36"/>
        </w:rPr>
      </w:pPr>
      <w:r>
        <w:rPr>
          <w:highlight w:val="yellow"/>
        </w:rPr>
        <w:br w:type="page"/>
      </w:r>
      <w:bookmarkStart w:id="43" w:name="_Toc35301421"/>
      <w:bookmarkStart w:id="44" w:name="_Toc175312088"/>
      <w:r w:rsidR="00D25105" w:rsidRPr="00A026A9">
        <w:rPr>
          <w:sz w:val="36"/>
          <w:szCs w:val="36"/>
        </w:rPr>
        <w:lastRenderedPageBreak/>
        <w:t>5</w:t>
      </w:r>
      <w:r w:rsidR="005C284E" w:rsidRPr="00A026A9">
        <w:rPr>
          <w:sz w:val="36"/>
          <w:szCs w:val="36"/>
        </w:rPr>
        <w:t xml:space="preserve">. </w:t>
      </w:r>
      <w:r w:rsidR="00D25105" w:rsidRPr="00A026A9">
        <w:rPr>
          <w:sz w:val="36"/>
          <w:szCs w:val="36"/>
        </w:rPr>
        <w:t>Who did you consult and how did you incorporate their feedback</w:t>
      </w:r>
      <w:r w:rsidR="005C284E" w:rsidRPr="00A026A9">
        <w:rPr>
          <w:sz w:val="36"/>
          <w:szCs w:val="36"/>
        </w:rPr>
        <w:t>?</w:t>
      </w:r>
      <w:bookmarkEnd w:id="43"/>
      <w:bookmarkEnd w:id="44"/>
    </w:p>
    <w:p w14:paraId="4F8CA2F3" w14:textId="69B8A1CF" w:rsidR="00144ADC" w:rsidRDefault="00E11EED" w:rsidP="00144ADC">
      <w:r>
        <w:t>DCCEEW</w:t>
      </w:r>
      <w:r w:rsidR="004B304A" w:rsidRPr="004B304A">
        <w:t xml:space="preserve"> has been working </w:t>
      </w:r>
      <w:r w:rsidR="00121356" w:rsidRPr="004B304A">
        <w:t xml:space="preserve">domestically and internationally </w:t>
      </w:r>
      <w:r w:rsidR="004B304A" w:rsidRPr="004B304A">
        <w:t xml:space="preserve">with industry, government, and the public over the past </w:t>
      </w:r>
      <w:r w:rsidR="0064297E">
        <w:t>four</w:t>
      </w:r>
      <w:r w:rsidR="004B304A" w:rsidRPr="004B304A">
        <w:t xml:space="preserve"> years to </w:t>
      </w:r>
      <w:r w:rsidR="001F757E">
        <w:t>help evaluate</w:t>
      </w:r>
      <w:r w:rsidR="00C97838">
        <w:t xml:space="preserve"> our chosen</w:t>
      </w:r>
      <w:r w:rsidR="00C97838" w:rsidRPr="004B304A">
        <w:t xml:space="preserve"> </w:t>
      </w:r>
      <w:r w:rsidR="00241806">
        <w:t>policy options</w:t>
      </w:r>
      <w:r w:rsidR="004B304A" w:rsidRPr="004B304A">
        <w:t xml:space="preserve">. </w:t>
      </w:r>
      <w:r w:rsidR="00287007">
        <w:t>Stakeholder</w:t>
      </w:r>
      <w:r w:rsidR="000F1D0A">
        <w:t xml:space="preserve"> c</w:t>
      </w:r>
      <w:r w:rsidR="004B304A" w:rsidRPr="004B304A">
        <w:t xml:space="preserve">onsultation </w:t>
      </w:r>
      <w:r w:rsidR="00287007">
        <w:t>h</w:t>
      </w:r>
      <w:r w:rsidR="00221344">
        <w:t>as</w:t>
      </w:r>
      <w:r w:rsidR="000C0A58">
        <w:t xml:space="preserve"> </w:t>
      </w:r>
      <w:r w:rsidR="00097876" w:rsidRPr="004B304A">
        <w:t>include</w:t>
      </w:r>
      <w:r w:rsidR="00287007">
        <w:t>d</w:t>
      </w:r>
      <w:r w:rsidR="00913EDF">
        <w:t xml:space="preserve"> the following</w:t>
      </w:r>
      <w:r w:rsidR="00097876" w:rsidRPr="004B304A" w:rsidDel="004B304A">
        <w:t>:</w:t>
      </w:r>
      <w:r w:rsidR="00144ADC" w:rsidRPr="00144ADC">
        <w:t xml:space="preserve"> </w:t>
      </w:r>
    </w:p>
    <w:p w14:paraId="144F2DA4" w14:textId="3E9AB1CD" w:rsidR="00183008" w:rsidRDefault="00BF48A7">
      <w:r w:rsidRPr="00066762">
        <w:rPr>
          <w:b/>
          <w:bCs/>
        </w:rPr>
        <w:t>Hydrogen Certification Survey</w:t>
      </w:r>
      <w:r w:rsidR="00FF5326">
        <w:rPr>
          <w:b/>
          <w:bCs/>
        </w:rPr>
        <w:t xml:space="preserve"> </w:t>
      </w:r>
      <w:r w:rsidR="00023FFB">
        <w:rPr>
          <w:rStyle w:val="FootnoteReference"/>
          <w:b/>
          <w:bCs/>
        </w:rPr>
        <w:footnoteReference w:id="13"/>
      </w:r>
      <w:r w:rsidR="003070B0" w:rsidRPr="00992F58">
        <w:rPr>
          <w:b/>
          <w:bCs/>
        </w:rPr>
        <w:t>:</w:t>
      </w:r>
      <w:r w:rsidR="00144ADC" w:rsidRPr="00D77976">
        <w:t xml:space="preserve"> </w:t>
      </w:r>
      <w:r w:rsidR="00A91DAC" w:rsidRPr="00A91DAC">
        <w:t xml:space="preserve">Preliminary domestic industry consultation </w:t>
      </w:r>
      <w:r w:rsidR="00AC70C4" w:rsidRPr="00AC70C4">
        <w:t xml:space="preserve">in </w:t>
      </w:r>
      <w:r w:rsidR="00C651EA">
        <w:t xml:space="preserve">May </w:t>
      </w:r>
      <w:r w:rsidR="00AC70C4" w:rsidRPr="00AC70C4">
        <w:t>2020</w:t>
      </w:r>
      <w:r w:rsidR="00AC70C4">
        <w:t xml:space="preserve"> </w:t>
      </w:r>
      <w:r w:rsidR="00A91DAC" w:rsidRPr="00A91DAC">
        <w:t xml:space="preserve">on </w:t>
      </w:r>
      <w:r w:rsidR="00C66A58">
        <w:t>high level considerations</w:t>
      </w:r>
      <w:r w:rsidR="00147441">
        <w:t xml:space="preserve"> for the design of a hydrogen certification scheme</w:t>
      </w:r>
      <w:r w:rsidR="00A77530">
        <w:t>. Feedback from this survey was</w:t>
      </w:r>
      <w:r w:rsidR="00144ADC" w:rsidRPr="00D77976">
        <w:t xml:space="preserve"> used to develop</w:t>
      </w:r>
      <w:r w:rsidR="00CB52B2">
        <w:t xml:space="preserve"> </w:t>
      </w:r>
      <w:r w:rsidR="00CD59B4" w:rsidRPr="00CD59B4">
        <w:t xml:space="preserve">options for the development of an Australian hydrogen </w:t>
      </w:r>
      <w:r w:rsidR="00D80643">
        <w:t>certification</w:t>
      </w:r>
      <w:r w:rsidR="00CD59B4" w:rsidRPr="00CD59B4">
        <w:t xml:space="preserve"> scheme</w:t>
      </w:r>
      <w:r w:rsidR="00AF3F17">
        <w:t xml:space="preserve">. This consultation </w:t>
      </w:r>
      <w:r w:rsidR="001005FE">
        <w:t>included</w:t>
      </w:r>
      <w:r w:rsidR="00741C90" w:rsidRPr="00D77976">
        <w:t xml:space="preserve"> workshops to understand key issues with respect to timing and design elements</w:t>
      </w:r>
      <w:r w:rsidR="00C16097" w:rsidRPr="00D77976">
        <w:t>,</w:t>
      </w:r>
      <w:r w:rsidR="00741C90" w:rsidRPr="00D77976">
        <w:t xml:space="preserve"> and development of options for a scheme in Australia.</w:t>
      </w:r>
      <w:r w:rsidR="00A15389" w:rsidRPr="00D77976">
        <w:t xml:space="preserve"> </w:t>
      </w:r>
    </w:p>
    <w:p w14:paraId="2BEC292A" w14:textId="02DB12D7" w:rsidR="007D1484" w:rsidRPr="00D77976" w:rsidRDefault="00D17F9D" w:rsidP="00992F58">
      <w:r w:rsidRPr="00992F58">
        <w:t>R</w:t>
      </w:r>
      <w:r w:rsidR="00A15389" w:rsidRPr="00D77976">
        <w:t xml:space="preserve">ecommendations </w:t>
      </w:r>
      <w:r w:rsidR="00EA34F0" w:rsidRPr="00992F58">
        <w:t xml:space="preserve">that came out of this consultation were </w:t>
      </w:r>
      <w:r w:rsidR="00543E9B" w:rsidRPr="00D77976">
        <w:t>to undertake further industry consultation</w:t>
      </w:r>
      <w:r w:rsidR="002C7434" w:rsidRPr="002C7434">
        <w:t xml:space="preserve"> </w:t>
      </w:r>
      <w:r w:rsidR="002C7434">
        <w:t>t</w:t>
      </w:r>
      <w:r w:rsidR="002C7434" w:rsidRPr="002C7434">
        <w:t>o assist in selecting a preferred scheme</w:t>
      </w:r>
      <w:r w:rsidR="002C7434">
        <w:t>,</w:t>
      </w:r>
      <w:r w:rsidR="00543E9B" w:rsidRPr="00D77976">
        <w:t xml:space="preserve"> and to test the key parameters, methods and processes of the scheme through pilot project(s).</w:t>
      </w:r>
      <w:r w:rsidR="005177C9">
        <w:rPr>
          <w:rStyle w:val="FootnoteReference"/>
        </w:rPr>
        <w:footnoteReference w:id="14"/>
      </w:r>
    </w:p>
    <w:p w14:paraId="1A78D14B" w14:textId="6DFABD6E" w:rsidR="00EC7061" w:rsidRDefault="00EC7061" w:rsidP="00EC7061">
      <w:pPr>
        <w:spacing w:before="120"/>
        <w:rPr>
          <w:b/>
          <w:bCs/>
        </w:rPr>
      </w:pPr>
      <w:r w:rsidRPr="00E64DC7">
        <w:rPr>
          <w:b/>
          <w:bCs/>
        </w:rPr>
        <w:t xml:space="preserve">International </w:t>
      </w:r>
      <w:r w:rsidRPr="005C3825">
        <w:rPr>
          <w:b/>
          <w:bCs/>
        </w:rPr>
        <w:t>engagement</w:t>
      </w:r>
      <w:r w:rsidRPr="00E64DC7">
        <w:rPr>
          <w:b/>
          <w:bCs/>
        </w:rPr>
        <w:t xml:space="preserve"> as part of IPHE</w:t>
      </w:r>
      <w:r>
        <w:rPr>
          <w:b/>
          <w:bCs/>
        </w:rPr>
        <w:t xml:space="preserve"> </w:t>
      </w:r>
    </w:p>
    <w:p w14:paraId="2801E7B0" w14:textId="33C46EF1" w:rsidR="00EC7061" w:rsidRDefault="00EC7061" w:rsidP="00EC7061">
      <w:r>
        <w:t xml:space="preserve">The IPHE is the most advanced multilateral government-to-government forum for international collaboration on the challenges facing the global hydrogen industry. The IPHE has over 23 member countries, including almost all of Australia’s priority trading partners. IPHE established a taskforce where emissions accounting methodologies for different hydrogen production pathways and supply chain components is discussed and agreed to. It is the main forum for developing internationally aligned emissions accounting methodologies. </w:t>
      </w:r>
      <w:r w:rsidR="00E17DBC">
        <w:rPr>
          <w:rStyle w:val="FootnoteReference"/>
        </w:rPr>
        <w:footnoteReference w:id="15"/>
      </w:r>
    </w:p>
    <w:p w14:paraId="6C2222AD" w14:textId="77777777" w:rsidR="00EC7061" w:rsidRDefault="00EC7061" w:rsidP="00EC7061">
      <w:r>
        <w:t xml:space="preserve">Australia has played a leadership role in many of the methodologies developed by the IPHE. The IPHE’s agreed methodologies have been formally adopted at the International Organisation for Standardisation (ISO) as an international standard. </w:t>
      </w:r>
    </w:p>
    <w:p w14:paraId="74993B95" w14:textId="77777777" w:rsidR="00EC7061" w:rsidRDefault="00EC7061" w:rsidP="00EC7061">
      <w:r>
        <w:t xml:space="preserve">DCCEEW’s participation and leadership in the IPHE has helped to ensure Australia’s proposed GO scheme will keep pace with developments in international markets. The specific benefits for the Australian industry include: </w:t>
      </w:r>
    </w:p>
    <w:p w14:paraId="358FC355" w14:textId="77777777" w:rsidR="00EC7061" w:rsidRDefault="00EC7061" w:rsidP="00EC7061">
      <w:pPr>
        <w:pStyle w:val="ListParagraph"/>
        <w:numPr>
          <w:ilvl w:val="0"/>
          <w:numId w:val="98"/>
        </w:numPr>
        <w:spacing w:after="160" w:line="257" w:lineRule="auto"/>
        <w:ind w:left="714" w:hanging="357"/>
      </w:pPr>
      <w:r>
        <w:t xml:space="preserve">Ensuring consistency across emissions accounting globally to level the playing field for trade in hydrogen. </w:t>
      </w:r>
    </w:p>
    <w:p w14:paraId="674565A0" w14:textId="77777777" w:rsidR="00EC7061" w:rsidRDefault="00EC7061" w:rsidP="00EC7061">
      <w:pPr>
        <w:pStyle w:val="ListParagraph"/>
        <w:numPr>
          <w:ilvl w:val="0"/>
          <w:numId w:val="98"/>
        </w:numPr>
        <w:spacing w:after="160" w:line="257" w:lineRule="auto"/>
        <w:ind w:left="714" w:hanging="357"/>
      </w:pPr>
      <w:r>
        <w:t xml:space="preserve">Providing a forum to understand other countries’ perspectives to hydrogen supply chains’ associated emissions. </w:t>
      </w:r>
    </w:p>
    <w:p w14:paraId="6C588B7B" w14:textId="77777777" w:rsidR="00EC7061" w:rsidRDefault="00EC7061" w:rsidP="00EC7061">
      <w:pPr>
        <w:pStyle w:val="ListParagraph"/>
        <w:numPr>
          <w:ilvl w:val="0"/>
          <w:numId w:val="98"/>
        </w:numPr>
        <w:spacing w:after="160" w:line="257" w:lineRule="auto"/>
        <w:ind w:left="714" w:hanging="357"/>
      </w:pPr>
      <w:r>
        <w:t xml:space="preserve">Enabling a forum to voice and influence outcomes in a manner that is beneficial for Australian industry. </w:t>
      </w:r>
    </w:p>
    <w:p w14:paraId="1BEBDE27" w14:textId="77777777" w:rsidR="00EC7061" w:rsidRDefault="00EC7061" w:rsidP="00EC7061">
      <w:pPr>
        <w:pStyle w:val="ListParagraph"/>
        <w:numPr>
          <w:ilvl w:val="0"/>
          <w:numId w:val="98"/>
        </w:numPr>
        <w:spacing w:after="160" w:line="257" w:lineRule="auto"/>
        <w:ind w:left="714" w:hanging="357"/>
      </w:pPr>
      <w:r>
        <w:t xml:space="preserve">Accelerating emissions accounting methodologies development for GO scheme use. </w:t>
      </w:r>
    </w:p>
    <w:p w14:paraId="4ACD469B" w14:textId="294E2159" w:rsidR="00EC7061" w:rsidRPr="006E0D26" w:rsidRDefault="00EC7061" w:rsidP="006E0D26">
      <w:r>
        <w:t xml:space="preserve">International stakeholders support the proposed GO scheme’s alignment with IPHE methodologies, and the flexible approach that will allow Australian hydrogen producers to demonstrate adherence to different requirements internationally. </w:t>
      </w:r>
    </w:p>
    <w:p w14:paraId="73F6D4AE" w14:textId="03344AD0" w:rsidR="00183008" w:rsidRDefault="00144ADC">
      <w:pPr>
        <w:pStyle w:val="ListParagraph"/>
        <w:ind w:left="0"/>
        <w:contextualSpacing w:val="0"/>
      </w:pPr>
      <w:r w:rsidRPr="00992F58">
        <w:rPr>
          <w:b/>
          <w:bCs/>
        </w:rPr>
        <w:t xml:space="preserve">A </w:t>
      </w:r>
      <w:r w:rsidR="00B50011">
        <w:rPr>
          <w:b/>
          <w:bCs/>
        </w:rPr>
        <w:t>Hydrogen Guarantee of Origin Scheme for Australia</w:t>
      </w:r>
      <w:r w:rsidR="001F1A54">
        <w:rPr>
          <w:rStyle w:val="FootnoteReference"/>
          <w:b/>
          <w:bCs/>
        </w:rPr>
        <w:footnoteReference w:id="16"/>
      </w:r>
      <w:r w:rsidR="00D77976" w:rsidRPr="00992F58">
        <w:rPr>
          <w:b/>
          <w:bCs/>
        </w:rPr>
        <w:t>:</w:t>
      </w:r>
      <w:r w:rsidRPr="00D77976">
        <w:t xml:space="preserve"> </w:t>
      </w:r>
      <w:r w:rsidR="00DC1CA4">
        <w:t>In t</w:t>
      </w:r>
      <w:r w:rsidR="000A468C" w:rsidRPr="00992F58">
        <w:t xml:space="preserve">his </w:t>
      </w:r>
      <w:r w:rsidR="00743CDA">
        <w:t xml:space="preserve">discussion </w:t>
      </w:r>
      <w:r w:rsidR="000A468C" w:rsidRPr="00992F58">
        <w:t>paper</w:t>
      </w:r>
      <w:r w:rsidR="00AC70C4">
        <w:t xml:space="preserve">, </w:t>
      </w:r>
      <w:r w:rsidR="00AC70C4" w:rsidRPr="00AC70C4">
        <w:t>released in June 2021</w:t>
      </w:r>
      <w:r w:rsidR="00AC70C4">
        <w:t>,</w:t>
      </w:r>
      <w:r w:rsidR="000A468C" w:rsidRPr="00992F58">
        <w:t xml:space="preserve"> </w:t>
      </w:r>
      <w:r w:rsidR="00DC1CA4">
        <w:t xml:space="preserve">DCCEEW </w:t>
      </w:r>
      <w:r w:rsidR="006C1402">
        <w:t xml:space="preserve">outlined </w:t>
      </w:r>
      <w:r w:rsidR="001011C5">
        <w:t>a</w:t>
      </w:r>
      <w:r w:rsidR="006C1402">
        <w:t xml:space="preserve"> proposed</w:t>
      </w:r>
      <w:r w:rsidR="002E6194" w:rsidRPr="00992F58">
        <w:t xml:space="preserve"> </w:t>
      </w:r>
      <w:r w:rsidRPr="00D77976">
        <w:t>approach to emissions accounting</w:t>
      </w:r>
      <w:r w:rsidR="00AF35DE" w:rsidRPr="00AF35DE" w:rsidDel="001C7A03">
        <w:t xml:space="preserve"> </w:t>
      </w:r>
      <w:r w:rsidR="00AF35DE" w:rsidRPr="00D77976" w:rsidDel="001C7A03">
        <w:t>for</w:t>
      </w:r>
      <w:r w:rsidR="00AF35DE" w:rsidRPr="00D77976">
        <w:t xml:space="preserve"> hydrogen production across three production pathways</w:t>
      </w:r>
      <w:r w:rsidR="00AF35DE">
        <w:t>. This approach</w:t>
      </w:r>
      <w:r w:rsidRPr="00D77976" w:rsidDel="001C7A03">
        <w:t xml:space="preserve"> </w:t>
      </w:r>
      <w:r w:rsidR="00267F8C" w:rsidRPr="00992F58">
        <w:t>aligned with</w:t>
      </w:r>
      <w:r w:rsidR="000B5D7F" w:rsidRPr="00992F58">
        <w:t xml:space="preserve"> </w:t>
      </w:r>
      <w:r w:rsidR="00643509">
        <w:t>the</w:t>
      </w:r>
      <w:r w:rsidR="000B5D7F" w:rsidRPr="00992F58">
        <w:t xml:space="preserve"> methodolog</w:t>
      </w:r>
      <w:r w:rsidR="00643509">
        <w:t>ies</w:t>
      </w:r>
      <w:r w:rsidR="000B5D7F" w:rsidRPr="00992F58">
        <w:t xml:space="preserve"> developed</w:t>
      </w:r>
      <w:r w:rsidR="00AB4C0E">
        <w:t xml:space="preserve"> </w:t>
      </w:r>
      <w:r w:rsidR="00461D27" w:rsidRPr="00992F58">
        <w:t>in partnership with the IPHE</w:t>
      </w:r>
      <w:r w:rsidR="00E17DBC">
        <w:t xml:space="preserve"> mentioned above</w:t>
      </w:r>
      <w:r w:rsidRPr="00D77976">
        <w:t>.</w:t>
      </w:r>
      <w:r w:rsidR="00500B83" w:rsidRPr="00D77976">
        <w:t xml:space="preserve"> </w:t>
      </w:r>
    </w:p>
    <w:p w14:paraId="36638BAD" w14:textId="0E581DB2" w:rsidR="00DA19BF" w:rsidRDefault="00D97B8E">
      <w:pPr>
        <w:pStyle w:val="ListParagraph"/>
        <w:ind w:left="0"/>
        <w:contextualSpacing w:val="0"/>
      </w:pPr>
      <w:r>
        <w:t xml:space="preserve">The paper also sought feedback on whether a scheme should be </w:t>
      </w:r>
      <w:r w:rsidR="003B32D3">
        <w:t>g</w:t>
      </w:r>
      <w:r>
        <w:t xml:space="preserve">overnment or industry led, with </w:t>
      </w:r>
      <w:r w:rsidR="00B43B92" w:rsidRPr="005F07BB">
        <w:t>74</w:t>
      </w:r>
      <w:r w:rsidRPr="005F07BB">
        <w:t>%</w:t>
      </w:r>
      <w:r>
        <w:t xml:space="preserve"> of respondents indicating support for a </w:t>
      </w:r>
      <w:r w:rsidR="003B32D3">
        <w:t>g</w:t>
      </w:r>
      <w:r>
        <w:t>overnment-led scheme</w:t>
      </w:r>
      <w:r w:rsidR="00D901B6">
        <w:t xml:space="preserve"> aligned</w:t>
      </w:r>
      <w:r w:rsidR="00EA3A81">
        <w:t xml:space="preserve"> with international approaches</w:t>
      </w:r>
      <w:r>
        <w:t xml:space="preserve">. </w:t>
      </w:r>
    </w:p>
    <w:p w14:paraId="060259EA" w14:textId="45793C2F" w:rsidR="00E17DBC" w:rsidRPr="00D77976" w:rsidRDefault="001023F9" w:rsidP="00992F58">
      <w:pPr>
        <w:pStyle w:val="ListParagraph"/>
        <w:ind w:left="0"/>
      </w:pPr>
      <w:r>
        <w:t>Respondents were</w:t>
      </w:r>
      <w:r w:rsidR="00500B83" w:rsidRPr="00D77976">
        <w:t xml:space="preserve"> broad</w:t>
      </w:r>
      <w:r>
        <w:t>ly</w:t>
      </w:r>
      <w:r w:rsidR="00500B83" w:rsidRPr="00D77976">
        <w:t xml:space="preserve"> support</w:t>
      </w:r>
      <w:r>
        <w:t>ive</w:t>
      </w:r>
      <w:r w:rsidR="00500B83" w:rsidRPr="00D77976">
        <w:t xml:space="preserve"> for the approach in the paper, recognising there are areas of the scheme that need</w:t>
      </w:r>
      <w:r w:rsidR="005C765D">
        <w:t>ed</w:t>
      </w:r>
      <w:r w:rsidR="00500B83" w:rsidRPr="00D77976">
        <w:t xml:space="preserve"> to be developed in more detail through a trial phase and/or further stakeholder consultation.</w:t>
      </w:r>
      <w:r w:rsidR="00876833">
        <w:t xml:space="preserve"> </w:t>
      </w:r>
      <w:r w:rsidR="00E17DBC">
        <w:t>Feedbac</w:t>
      </w:r>
      <w:r w:rsidR="00611382">
        <w:t xml:space="preserve">k from this consultation was also used to inform the development of the second version of the IPHE methodologies. </w:t>
      </w:r>
    </w:p>
    <w:p w14:paraId="47748CE7" w14:textId="7B931BD9" w:rsidR="00183008" w:rsidRPr="00352D76" w:rsidRDefault="00B31E30">
      <w:r w:rsidRPr="00992F58">
        <w:rPr>
          <w:b/>
          <w:bCs/>
        </w:rPr>
        <w:t>GO scheme</w:t>
      </w:r>
      <w:r w:rsidR="00461D27" w:rsidRPr="00992F58">
        <w:rPr>
          <w:b/>
          <w:bCs/>
        </w:rPr>
        <w:t xml:space="preserve"> trials</w:t>
      </w:r>
      <w:r w:rsidR="00970ECE" w:rsidRPr="00992F58">
        <w:rPr>
          <w:rStyle w:val="FootnoteReference"/>
          <w:b/>
          <w:bCs/>
        </w:rPr>
        <w:footnoteReference w:id="17"/>
      </w:r>
      <w:r w:rsidR="00D77976" w:rsidRPr="00992F58">
        <w:t xml:space="preserve">: Facilitated by the CER, these trials were </w:t>
      </w:r>
      <w:r w:rsidR="00E42033" w:rsidRPr="00992F58">
        <w:t xml:space="preserve">run </w:t>
      </w:r>
      <w:r w:rsidR="00407070" w:rsidRPr="00352D76">
        <w:t>over 2022 and 2023</w:t>
      </w:r>
      <w:r w:rsidRPr="00352D76">
        <w:t xml:space="preserve"> to test the practical application of emissions accounting methodologies from the IPHE and the Australian Government</w:t>
      </w:r>
      <w:r w:rsidR="00062733" w:rsidRPr="00352D76">
        <w:t>’</w:t>
      </w:r>
      <w:r w:rsidRPr="00352D76">
        <w:t xml:space="preserve">s </w:t>
      </w:r>
      <w:r w:rsidR="00241806" w:rsidRPr="00352D76">
        <w:t xml:space="preserve">2021 </w:t>
      </w:r>
      <w:r w:rsidRPr="00352D76">
        <w:t>discussion paper.</w:t>
      </w:r>
      <w:r w:rsidR="00352D76" w:rsidRPr="00352D76">
        <w:t xml:space="preserve"> </w:t>
      </w:r>
      <w:r w:rsidR="00352D76" w:rsidRPr="00992F58">
        <w:rPr>
          <w:rFonts w:ascii="Calibri" w:eastAsia="Times New Roman" w:hAnsi="Calibri" w:cs="Calibri"/>
          <w:color w:val="000000"/>
          <w:lang w:eastAsia="en-AU"/>
        </w:rPr>
        <w:t xml:space="preserve">The trials </w:t>
      </w:r>
      <w:r w:rsidR="00352D76" w:rsidRPr="00992F58">
        <w:rPr>
          <w:rFonts w:ascii="Calibri" w:eastAsia="Times New Roman" w:hAnsi="Calibri" w:cs="Calibri"/>
          <w:color w:val="000000"/>
          <w:lang w:eastAsia="en-AU"/>
        </w:rPr>
        <w:lastRenderedPageBreak/>
        <w:t xml:space="preserve">involved 19 industry participants </w:t>
      </w:r>
      <w:r w:rsidR="00352D76" w:rsidRPr="00992F58">
        <w:rPr>
          <w:rFonts w:ascii="Calibri" w:eastAsia="Times New Roman" w:hAnsi="Calibri" w:cs="Calibri"/>
          <w:lang w:eastAsia="en-AU"/>
        </w:rPr>
        <w:t>representing the three hydrogen production pathways of interest (e</w:t>
      </w:r>
      <w:r w:rsidR="00352D76" w:rsidRPr="00992F58">
        <w:rPr>
          <w:lang w:eastAsia="en-AU"/>
        </w:rPr>
        <w:t>lectrolysis, steam methane reforming and coal gasification)</w:t>
      </w:r>
      <w:r w:rsidR="00352D76" w:rsidRPr="00992F58">
        <w:rPr>
          <w:b/>
          <w:lang w:eastAsia="en-AU"/>
        </w:rPr>
        <w:t>.</w:t>
      </w:r>
      <w:r w:rsidRPr="00352D76">
        <w:t xml:space="preserve"> </w:t>
      </w:r>
      <w:r w:rsidR="006E04AA" w:rsidRPr="00352D76">
        <w:t>Phase one focused on scheme settings and design</w:t>
      </w:r>
      <w:r w:rsidR="00964837" w:rsidRPr="00352D76">
        <w:t xml:space="preserve">, while phase two </w:t>
      </w:r>
      <w:r w:rsidR="00FE250C" w:rsidRPr="00352D76">
        <w:t xml:space="preserve">focused on the production of ammonia as a downstream product of hydrogen and </w:t>
      </w:r>
      <w:r w:rsidR="00525A47" w:rsidRPr="00352D76">
        <w:t xml:space="preserve">emissions involved with </w:t>
      </w:r>
      <w:r w:rsidR="00FE250C" w:rsidRPr="00352D76">
        <w:t xml:space="preserve">activities beyond the </w:t>
      </w:r>
      <w:r w:rsidR="00061F37" w:rsidRPr="00352D76">
        <w:t>well</w:t>
      </w:r>
      <w:r w:rsidR="00FE250C" w:rsidRPr="00352D76">
        <w:t>-to-</w:t>
      </w:r>
      <w:r w:rsidR="00E777BF" w:rsidRPr="00352D76">
        <w:t>production-</w:t>
      </w:r>
      <w:r w:rsidR="00FE250C" w:rsidRPr="00352D76">
        <w:t xml:space="preserve">gate system boundary, such as transport and storage. </w:t>
      </w:r>
    </w:p>
    <w:p w14:paraId="16AFB33A" w14:textId="0EE12B75" w:rsidR="00585A86" w:rsidRPr="00352D76" w:rsidRDefault="00E9016C" w:rsidP="00585A86">
      <w:pPr>
        <w:rPr>
          <w:lang w:eastAsia="en-AU"/>
        </w:rPr>
      </w:pPr>
      <w:r w:rsidRPr="00992F58">
        <w:t xml:space="preserve">These trials tested and refined policy settings for an effective </w:t>
      </w:r>
      <w:r w:rsidR="003B32D3">
        <w:t>g</w:t>
      </w:r>
      <w:r w:rsidR="00987752">
        <w:t>overnment-led</w:t>
      </w:r>
      <w:r w:rsidRPr="00992F58">
        <w:t xml:space="preserve"> scheme. </w:t>
      </w:r>
      <w:r w:rsidR="00585A86" w:rsidRPr="00352D76">
        <w:rPr>
          <w:lang w:eastAsia="en-AU"/>
        </w:rPr>
        <w:t xml:space="preserve">Trial participants confirmed previous views that commercialisation would be aided by a high integrity government-backed scheme that can demonstrate emissions credentials to hydrogen buyers, providing market certainty and underpinning commercial arrangements. </w:t>
      </w:r>
    </w:p>
    <w:p w14:paraId="32D6CBA9" w14:textId="77777777" w:rsidR="00585A86" w:rsidRPr="00352D76" w:rsidRDefault="00585A86" w:rsidP="00585A86">
      <w:pPr>
        <w:spacing w:line="276" w:lineRule="auto"/>
      </w:pPr>
      <w:r w:rsidRPr="00352D76">
        <w:t xml:space="preserve">Trial workshops focused on the GO scheme concepts presented in DCCEEW’s June 2021 GO discussion paper and the IPHE published working paper. The trials also functioned to collect qualitative, and where possible, quantitative data to inform scheme and emissions accounting methodology design. </w:t>
      </w:r>
    </w:p>
    <w:p w14:paraId="4DACE7BA" w14:textId="5A9D5825" w:rsidR="00183008" w:rsidRDefault="004E69A1">
      <w:r w:rsidRPr="00992F58">
        <w:rPr>
          <w:rFonts w:ascii="Calibri" w:hAnsi="Calibri" w:cs="Calibri"/>
          <w:b/>
          <w:bCs/>
          <w:color w:val="000000"/>
        </w:rPr>
        <w:t xml:space="preserve">Australia’s Guarantee of Origin </w:t>
      </w:r>
      <w:r w:rsidR="00084863" w:rsidRPr="00992F58">
        <w:rPr>
          <w:rFonts w:ascii="Calibri" w:hAnsi="Calibri" w:cs="Calibri"/>
          <w:b/>
          <w:bCs/>
          <w:color w:val="000000"/>
        </w:rPr>
        <w:t>Scheme consultation papers</w:t>
      </w:r>
      <w:r w:rsidR="00C30841">
        <w:rPr>
          <w:rStyle w:val="FootnoteReference"/>
          <w:rFonts w:ascii="Calibri" w:hAnsi="Calibri" w:cs="Calibri"/>
          <w:b/>
          <w:bCs/>
          <w:color w:val="000000"/>
        </w:rPr>
        <w:footnoteReference w:id="18"/>
      </w:r>
      <w:r w:rsidR="00550985" w:rsidRPr="00992F58">
        <w:rPr>
          <w:rFonts w:ascii="Calibri" w:hAnsi="Calibri" w:cs="Calibri"/>
          <w:b/>
          <w:bCs/>
          <w:color w:val="000000"/>
        </w:rPr>
        <w:t xml:space="preserve">: </w:t>
      </w:r>
      <w:r w:rsidR="009B368A" w:rsidRPr="00E4062E">
        <w:t>T</w:t>
      </w:r>
      <w:r w:rsidR="00251D73" w:rsidRPr="00992F58">
        <w:t>hese t</w:t>
      </w:r>
      <w:r w:rsidR="00144ADC" w:rsidRPr="00E4062E">
        <w:t>wo detailed policy position papers</w:t>
      </w:r>
      <w:r w:rsidR="003631B0" w:rsidRPr="00992F58">
        <w:t xml:space="preserve">, </w:t>
      </w:r>
      <w:r w:rsidR="009B368A" w:rsidRPr="00E4062E">
        <w:t xml:space="preserve">published </w:t>
      </w:r>
      <w:r w:rsidR="00144ADC" w:rsidRPr="00E4062E">
        <w:t>in December 2022</w:t>
      </w:r>
      <w:r w:rsidR="00270295">
        <w:t xml:space="preserve"> and </w:t>
      </w:r>
      <w:r w:rsidR="00270295" w:rsidRPr="00E551FA">
        <w:t>compl</w:t>
      </w:r>
      <w:r w:rsidR="007B31D2">
        <w:t>e</w:t>
      </w:r>
      <w:r w:rsidR="00270295" w:rsidRPr="00E551FA">
        <w:t>mented</w:t>
      </w:r>
      <w:r w:rsidR="00270295" w:rsidRPr="00E4062E">
        <w:t xml:space="preserve"> with a webinar</w:t>
      </w:r>
      <w:r w:rsidR="003631B0" w:rsidRPr="00992F58">
        <w:t>,</w:t>
      </w:r>
      <w:r w:rsidR="00C118F0" w:rsidRPr="00E4062E">
        <w:t xml:space="preserve"> </w:t>
      </w:r>
      <w:r w:rsidR="003D1AD3">
        <w:t>detailed the</w:t>
      </w:r>
      <w:r w:rsidR="00BD798B" w:rsidRPr="00E4062E">
        <w:t xml:space="preserve"> proposed approach to </w:t>
      </w:r>
      <w:r w:rsidR="000121FF">
        <w:t xml:space="preserve">implementing </w:t>
      </w:r>
      <w:r w:rsidR="00BD798B" w:rsidRPr="00E4062E">
        <w:t>a</w:t>
      </w:r>
      <w:r w:rsidR="00084863" w:rsidRPr="00992F58">
        <w:t>n Australian</w:t>
      </w:r>
      <w:r w:rsidR="00BD798B" w:rsidRPr="00E4062E">
        <w:t xml:space="preserve"> </w:t>
      </w:r>
      <w:r w:rsidR="00F85DDE" w:rsidRPr="00E4062E">
        <w:t>GO</w:t>
      </w:r>
      <w:r w:rsidR="00BD798B" w:rsidRPr="00E4062E">
        <w:t xml:space="preserve"> scheme</w:t>
      </w:r>
      <w:r w:rsidR="002018B0" w:rsidRPr="00992F58">
        <w:t xml:space="preserve"> and Renewable Electricity Certification</w:t>
      </w:r>
      <w:r w:rsidR="00144ADC" w:rsidRPr="00E4062E">
        <w:t xml:space="preserve">. </w:t>
      </w:r>
      <w:r w:rsidR="009705CF" w:rsidRPr="009705CF">
        <w:t xml:space="preserve">DCCEEW received 81 submissions on the Guarantee of Origin paper. </w:t>
      </w:r>
    </w:p>
    <w:p w14:paraId="5C986D4D" w14:textId="29A80753" w:rsidR="008503C6" w:rsidRDefault="008503C6" w:rsidP="008503C6">
      <w:r w:rsidRPr="00EE27A4">
        <w:t>Th</w:t>
      </w:r>
      <w:r w:rsidR="00E53358" w:rsidRPr="00992F58">
        <w:t>is</w:t>
      </w:r>
      <w:r w:rsidRPr="00EE27A4">
        <w:t xml:space="preserve"> consultation re-iterated the urgency of the scheme to support investment. </w:t>
      </w:r>
    </w:p>
    <w:p w14:paraId="72599F64" w14:textId="19993985" w:rsidR="00144ADC" w:rsidRPr="00E4062E" w:rsidRDefault="00472202" w:rsidP="00992F58">
      <w:r>
        <w:t xml:space="preserve">Overall feedback indicated the proposed policy positions were broadly supported, with support ratios (the ratio of support to disagreement where respondents directly responded to a proposed policy position) ranging from 81 per cent to 100 per cent. </w:t>
      </w:r>
      <w:r w:rsidR="009705CF" w:rsidRPr="009705CF">
        <w:t xml:space="preserve">DCCEEW received 77 submissions on the paper covering renewable electricity certification. These were also positive with some divergence of views. </w:t>
      </w:r>
    </w:p>
    <w:p w14:paraId="69E838AD" w14:textId="26406195" w:rsidR="00183008" w:rsidRDefault="0070504C">
      <w:r w:rsidRPr="00992F58">
        <w:rPr>
          <w:b/>
          <w:bCs/>
        </w:rPr>
        <w:t>Australia’s Guarantee of Origin Scheme: consultation on scheme design, emissions accounting and renewable electricity certification</w:t>
      </w:r>
      <w:r w:rsidR="003B33AC">
        <w:rPr>
          <w:rStyle w:val="FootnoteReference"/>
          <w:b/>
          <w:bCs/>
        </w:rPr>
        <w:footnoteReference w:id="19"/>
      </w:r>
      <w:r w:rsidRPr="00992F58">
        <w:rPr>
          <w:b/>
          <w:bCs/>
        </w:rPr>
        <w:t>:</w:t>
      </w:r>
      <w:r w:rsidRPr="00992F58">
        <w:t xml:space="preserve"> </w:t>
      </w:r>
      <w:r w:rsidR="00BE1C95">
        <w:t>This</w:t>
      </w:r>
      <w:r w:rsidR="002C6917" w:rsidRPr="00E94854">
        <w:t xml:space="preserve"> suite of consultation papers</w:t>
      </w:r>
      <w:r w:rsidR="00BE1C95">
        <w:t>,</w:t>
      </w:r>
      <w:r w:rsidR="002C6917" w:rsidRPr="00E94854">
        <w:t xml:space="preserve"> </w:t>
      </w:r>
      <w:r w:rsidR="005509EC" w:rsidRPr="00E94854">
        <w:t xml:space="preserve">published </w:t>
      </w:r>
      <w:r w:rsidR="008847CA" w:rsidRPr="00E94854">
        <w:t>in September 2023</w:t>
      </w:r>
      <w:r w:rsidR="00BE1C95">
        <w:t>,</w:t>
      </w:r>
      <w:r w:rsidR="008847CA" w:rsidRPr="00E94854">
        <w:t xml:space="preserve"> </w:t>
      </w:r>
      <w:r w:rsidR="004759EB">
        <w:t>proposed a</w:t>
      </w:r>
      <w:r w:rsidR="00DE5136">
        <w:t xml:space="preserve"> detailed scheme design</w:t>
      </w:r>
      <w:r w:rsidR="00F85DDE" w:rsidRPr="00E94854">
        <w:t xml:space="preserve">, </w:t>
      </w:r>
      <w:r w:rsidR="0056735B" w:rsidRPr="0056735B">
        <w:t>emissions accounting methodolog</w:t>
      </w:r>
      <w:r w:rsidR="00966B2B">
        <w:t>ies</w:t>
      </w:r>
      <w:r w:rsidR="0020317D">
        <w:t xml:space="preserve"> for production of hydrogen </w:t>
      </w:r>
      <w:r w:rsidR="00C250A8">
        <w:t>across three production pathways</w:t>
      </w:r>
      <w:r w:rsidR="004759EB" w:rsidRPr="004759EB">
        <w:t xml:space="preserve"> </w:t>
      </w:r>
      <w:r w:rsidR="00087AEB">
        <w:t>(</w:t>
      </w:r>
      <w:r w:rsidR="00647159">
        <w:t>along</w:t>
      </w:r>
      <w:r w:rsidR="00087AEB">
        <w:t xml:space="preserve"> with</w:t>
      </w:r>
      <w:r w:rsidR="004759EB" w:rsidRPr="004759EB">
        <w:t xml:space="preserve"> </w:t>
      </w:r>
      <w:r w:rsidR="00063B69">
        <w:t>the product emissions</w:t>
      </w:r>
      <w:r w:rsidR="004759EB" w:rsidRPr="004759EB">
        <w:t xml:space="preserve"> calculator</w:t>
      </w:r>
      <w:r w:rsidR="00063B69">
        <w:t xml:space="preserve"> used in the GO scheme trials</w:t>
      </w:r>
      <w:r w:rsidR="00833EB0">
        <w:t>)</w:t>
      </w:r>
      <w:r w:rsidR="00EE1EAD">
        <w:t xml:space="preserve"> and</w:t>
      </w:r>
      <w:r w:rsidR="00842D89" w:rsidRPr="00E94854">
        <w:t xml:space="preserve"> </w:t>
      </w:r>
      <w:r w:rsidR="00A549D3">
        <w:t xml:space="preserve">the </w:t>
      </w:r>
      <w:r w:rsidR="00573732" w:rsidRPr="00573732">
        <w:t>proposed design for an enduring mechanism to track renewable electricity generation</w:t>
      </w:r>
      <w:r w:rsidR="00B81A51" w:rsidRPr="00E94854">
        <w:t>.</w:t>
      </w:r>
      <w:r w:rsidR="008847CA" w:rsidRPr="00E94854">
        <w:t xml:space="preserve"> These papers </w:t>
      </w:r>
      <w:r w:rsidR="00A549D3">
        <w:t>were compl</w:t>
      </w:r>
      <w:r w:rsidR="008A240B">
        <w:t>e</w:t>
      </w:r>
      <w:r w:rsidR="00A549D3">
        <w:t>mented by a series of webinars on each topic</w:t>
      </w:r>
      <w:r w:rsidR="004E22AE" w:rsidRPr="00E94854">
        <w:t>.</w:t>
      </w:r>
      <w:r w:rsidR="009F75A8">
        <w:t xml:space="preserve"> </w:t>
      </w:r>
    </w:p>
    <w:p w14:paraId="6A9A4D8E" w14:textId="17BDB16B" w:rsidR="00B93F5B" w:rsidRDefault="00A74A7B">
      <w:r w:rsidRPr="00E53784">
        <w:t xml:space="preserve">The feedback received was broadly positive and many stakeholders </w:t>
      </w:r>
      <w:r>
        <w:t xml:space="preserve">indicated that </w:t>
      </w:r>
      <w:r w:rsidRPr="00E53784">
        <w:t xml:space="preserve">the scheme </w:t>
      </w:r>
      <w:r>
        <w:t xml:space="preserve">should be </w:t>
      </w:r>
      <w:r w:rsidRPr="00E53784">
        <w:t>legislated as soon as possible.</w:t>
      </w:r>
      <w:r>
        <w:t xml:space="preserve"> This consultation sought feedback from prospective participants on the</w:t>
      </w:r>
      <w:r w:rsidRPr="00655A36">
        <w:t xml:space="preserve"> </w:t>
      </w:r>
      <w:r>
        <w:t>r</w:t>
      </w:r>
      <w:r w:rsidRPr="00655A36">
        <w:t>egulatory burden and cost of compliance</w:t>
      </w:r>
      <w:r>
        <w:t xml:space="preserve"> with the scheme. Thirty-five out of the 40 respondents considered these to be appropriate and balanced given the need for overall scheme integrity. The f</w:t>
      </w:r>
      <w:r w:rsidRPr="00524CAE">
        <w:t xml:space="preserve">ive respondents </w:t>
      </w:r>
      <w:r>
        <w:t xml:space="preserve">that </w:t>
      </w:r>
      <w:r w:rsidRPr="00524CAE">
        <w:t xml:space="preserve">expressed concerns are eager to engage further with </w:t>
      </w:r>
      <w:r>
        <w:t>DCCEEW</w:t>
      </w:r>
      <w:r w:rsidRPr="00524CAE">
        <w:t xml:space="preserve"> on the scope of compliance assessments and potential alignment with </w:t>
      </w:r>
      <w:r>
        <w:t>other existing</w:t>
      </w:r>
      <w:r w:rsidRPr="00524CAE">
        <w:t xml:space="preserve"> </w:t>
      </w:r>
      <w:r>
        <w:t>emissions reduction and reporting schemes, such as the NGER</w:t>
      </w:r>
      <w:r w:rsidRPr="00AE52BA">
        <w:t xml:space="preserve"> scheme</w:t>
      </w:r>
      <w:r w:rsidRPr="00524CAE">
        <w:t>.</w:t>
      </w:r>
      <w:r>
        <w:t xml:space="preserve"> </w:t>
      </w:r>
      <w:r w:rsidR="00B15871">
        <w:t xml:space="preserve">The </w:t>
      </w:r>
      <w:r w:rsidR="00F06817">
        <w:t xml:space="preserve">approach to scheme design detailed in this consultation </w:t>
      </w:r>
      <w:r w:rsidR="00085723">
        <w:t>forms</w:t>
      </w:r>
      <w:r w:rsidR="00F06817">
        <w:t xml:space="preserve"> the basis of </w:t>
      </w:r>
      <w:r w:rsidR="0067685C">
        <w:t>the Option</w:t>
      </w:r>
      <w:r w:rsidR="00B15871">
        <w:t xml:space="preserve"> </w:t>
      </w:r>
      <w:r w:rsidR="0067685C">
        <w:t>3</w:t>
      </w:r>
      <w:r w:rsidR="000F1D0A">
        <w:t xml:space="preserve"> contemplated in this IA.</w:t>
      </w:r>
    </w:p>
    <w:p w14:paraId="652B5922" w14:textId="15AF3AE3" w:rsidR="00600BD2" w:rsidRPr="00311B15" w:rsidRDefault="00A1309E" w:rsidP="00600BD2">
      <w:pPr>
        <w:spacing w:before="120"/>
        <w:rPr>
          <w:b/>
          <w:bCs/>
        </w:rPr>
      </w:pPr>
      <w:r>
        <w:rPr>
          <w:b/>
          <w:bCs/>
        </w:rPr>
        <w:t>Product GO</w:t>
      </w:r>
      <w:r w:rsidR="004F698D">
        <w:rPr>
          <w:b/>
          <w:bCs/>
        </w:rPr>
        <w:t xml:space="preserve"> </w:t>
      </w:r>
      <w:r w:rsidR="00600BD2">
        <w:rPr>
          <w:b/>
          <w:bCs/>
        </w:rPr>
        <w:t>consultation outcomes</w:t>
      </w:r>
    </w:p>
    <w:p w14:paraId="75AF8184" w14:textId="3E5E4905" w:rsidR="00600BD2" w:rsidRDefault="00600BD2" w:rsidP="00600BD2">
      <w:r>
        <w:t>T</w:t>
      </w:r>
      <w:r w:rsidRPr="00736071">
        <w:t xml:space="preserve">hree policy positions generated the most </w:t>
      </w:r>
      <w:r w:rsidR="007979DD">
        <w:t>contention</w:t>
      </w:r>
      <w:r w:rsidRPr="00736071">
        <w:t xml:space="preserve"> </w:t>
      </w:r>
      <w:r>
        <w:t>–</w:t>
      </w:r>
      <w:r w:rsidRPr="00736071">
        <w:t xml:space="preserve"> the well-to-</w:t>
      </w:r>
      <w:r w:rsidR="00AA6886">
        <w:t>delivery gate</w:t>
      </w:r>
      <w:r w:rsidRPr="00736071">
        <w:t xml:space="preserve"> boundary, the </w:t>
      </w:r>
      <w:r w:rsidR="003209DA">
        <w:t>mass-balance chain of custody model for</w:t>
      </w:r>
      <w:r w:rsidRPr="00736071">
        <w:t xml:space="preserve"> Product GO certificates and the use of offsets </w:t>
      </w:r>
      <w:r>
        <w:t xml:space="preserve">in </w:t>
      </w:r>
      <w:r w:rsidRPr="00736071">
        <w:t xml:space="preserve">the scheme. </w:t>
      </w:r>
      <w:r>
        <w:t>A summary of the feedback received on each of these positions is included below:</w:t>
      </w:r>
    </w:p>
    <w:p w14:paraId="69089844" w14:textId="3882F938" w:rsidR="00600BD2" w:rsidRPr="00E76953" w:rsidRDefault="00BB6F6C" w:rsidP="00600BD2">
      <w:pPr>
        <w:rPr>
          <w:i/>
          <w:iCs/>
        </w:rPr>
      </w:pPr>
      <w:r>
        <w:rPr>
          <w:i/>
          <w:iCs/>
        </w:rPr>
        <w:t>S</w:t>
      </w:r>
      <w:r w:rsidR="00E67E17">
        <w:rPr>
          <w:i/>
          <w:iCs/>
        </w:rPr>
        <w:t xml:space="preserve">ystem </w:t>
      </w:r>
      <w:r w:rsidR="00600BD2" w:rsidRPr="00E76953">
        <w:rPr>
          <w:i/>
          <w:iCs/>
        </w:rPr>
        <w:t>boundary</w:t>
      </w:r>
    </w:p>
    <w:p w14:paraId="4C18E512" w14:textId="18747335" w:rsidR="00E32062" w:rsidRDefault="00600BD2" w:rsidP="00600BD2">
      <w:r>
        <w:t xml:space="preserve">There was majority support for </w:t>
      </w:r>
      <w:r w:rsidR="00FD5A03">
        <w:t>the</w:t>
      </w:r>
      <w:r w:rsidR="002D1903">
        <w:t xml:space="preserve"> </w:t>
      </w:r>
      <w:r w:rsidR="00A22300">
        <w:t xml:space="preserve">proposed </w:t>
      </w:r>
      <w:r w:rsidR="00A22300" w:rsidRPr="00992F58">
        <w:rPr>
          <w:i/>
          <w:iCs/>
        </w:rPr>
        <w:t>well</w:t>
      </w:r>
      <w:r w:rsidRPr="00992F58">
        <w:rPr>
          <w:i/>
          <w:iCs/>
        </w:rPr>
        <w:t>-to-</w:t>
      </w:r>
      <w:r w:rsidR="005C6A0B">
        <w:rPr>
          <w:i/>
          <w:iCs/>
        </w:rPr>
        <w:t>delivery gate</w:t>
      </w:r>
      <w:r>
        <w:t xml:space="preserve"> </w:t>
      </w:r>
      <w:r w:rsidR="00BB6F6C">
        <w:t xml:space="preserve">system </w:t>
      </w:r>
      <w:r>
        <w:t xml:space="preserve">boundary </w:t>
      </w:r>
      <w:r w:rsidR="00E32062">
        <w:t>that covers:</w:t>
      </w:r>
    </w:p>
    <w:p w14:paraId="5A149DA7" w14:textId="7B25853A" w:rsidR="00B3658A" w:rsidRPr="00B3658A" w:rsidRDefault="00B3658A" w:rsidP="00B3658A">
      <w:pPr>
        <w:pStyle w:val="ListParagraph"/>
        <w:numPr>
          <w:ilvl w:val="0"/>
          <w:numId w:val="116"/>
        </w:numPr>
      </w:pPr>
      <w:r>
        <w:rPr>
          <w:rFonts w:cstheme="minorHAnsi"/>
          <w:color w:val="auto"/>
          <w:kern w:val="2"/>
          <w:sz w:val="22"/>
          <w:szCs w:val="22"/>
          <w14:ligatures w14:val="standardContextual"/>
        </w:rPr>
        <w:t>u</w:t>
      </w:r>
      <w:r w:rsidRPr="00B3658A">
        <w:t>pstream emissions associated with the extraction, processing and transport of feedstocks,</w:t>
      </w:r>
    </w:p>
    <w:p w14:paraId="63F0FF16" w14:textId="219651D4" w:rsidR="00B3658A" w:rsidRPr="00B3658A" w:rsidRDefault="00B3658A" w:rsidP="00B3658A">
      <w:pPr>
        <w:pStyle w:val="ListParagraph"/>
        <w:numPr>
          <w:ilvl w:val="0"/>
          <w:numId w:val="116"/>
        </w:numPr>
      </w:pPr>
      <w:r>
        <w:t>d</w:t>
      </w:r>
      <w:r w:rsidRPr="00B3658A">
        <w:t>irect emissions associated with the production of outputs from the product facility,</w:t>
      </w:r>
    </w:p>
    <w:p w14:paraId="48092CC2" w14:textId="59689949" w:rsidR="00E32062" w:rsidRDefault="00B3658A" w:rsidP="00992F58">
      <w:pPr>
        <w:pStyle w:val="ListParagraph"/>
        <w:numPr>
          <w:ilvl w:val="0"/>
          <w:numId w:val="116"/>
        </w:numPr>
      </w:pPr>
      <w:r>
        <w:t>p</w:t>
      </w:r>
      <w:r w:rsidRPr="00B3658A">
        <w:t>ost-production emissions associated with transport and storage of the registered product to its delivery gate.</w:t>
      </w:r>
    </w:p>
    <w:p w14:paraId="09C65787" w14:textId="3FDD6828" w:rsidR="00600BD2" w:rsidRDefault="002D1903" w:rsidP="00600BD2">
      <w:r>
        <w:t xml:space="preserve">Stakeholders were satisfied that this system boundary </w:t>
      </w:r>
      <w:r w:rsidR="00600BD2">
        <w:t xml:space="preserve">would enable transparency of emissions over the full supply chain, support enhanced credibility of the scheme and was consistent with international trends. </w:t>
      </w:r>
    </w:p>
    <w:p w14:paraId="19187BF6" w14:textId="0EEC68CC" w:rsidR="00600BD2" w:rsidRDefault="00600BD2" w:rsidP="00600BD2">
      <w:r>
        <w:lastRenderedPageBreak/>
        <w:t xml:space="preserve">Some respondents called for a narrower </w:t>
      </w:r>
      <w:r w:rsidR="003E72B6">
        <w:t xml:space="preserve">system </w:t>
      </w:r>
      <w:r>
        <w:t xml:space="preserve">boundary </w:t>
      </w:r>
      <w:r w:rsidR="001F7855">
        <w:t>with</w:t>
      </w:r>
      <w:r>
        <w:t xml:space="preserve"> </w:t>
      </w:r>
      <w:r w:rsidR="001F7855">
        <w:t xml:space="preserve">concerns </w:t>
      </w:r>
      <w:r>
        <w:t xml:space="preserve">about the increased complexity of the </w:t>
      </w:r>
      <w:r w:rsidR="003E72B6">
        <w:t>well-to-</w:t>
      </w:r>
      <w:r w:rsidR="00973B22">
        <w:t>delivery gate</w:t>
      </w:r>
      <w:r>
        <w:t xml:space="preserve"> boundary. Some also suggested that the scheme could initially use a well-to-</w:t>
      </w:r>
      <w:r w:rsidR="001F3AC7">
        <w:t>production-</w:t>
      </w:r>
      <w:r>
        <w:t>gate boundary and then transition to well-to-</w:t>
      </w:r>
      <w:r w:rsidR="001F3AC7">
        <w:t>delivery gate</w:t>
      </w:r>
      <w:r>
        <w:t xml:space="preserve"> boundary.</w:t>
      </w:r>
    </w:p>
    <w:p w14:paraId="5B583C65" w14:textId="77777777" w:rsidR="00600BD2" w:rsidRDefault="00600BD2" w:rsidP="00600BD2">
      <w:r>
        <w:t>Some indicated that a wider system boundary was more appropriate citing that the GO product does not stop or cease to exist after the transport and storage stage. Some respondents sought clarity over how the boundary would apply to exports and integrate with international certification schemes.</w:t>
      </w:r>
    </w:p>
    <w:p w14:paraId="2F5B3F02" w14:textId="0B4BEFB0" w:rsidR="00AB2F39" w:rsidRPr="00A026A9" w:rsidRDefault="00024390" w:rsidP="00024390">
      <w:r>
        <w:t xml:space="preserve">Given there was still majority support for this proposed measure, the system boundary was retained in the detailed design of the scheme but was clarified and renamed a </w:t>
      </w:r>
      <w:r w:rsidRPr="001655AA">
        <w:t>well-to-delivery gate</w:t>
      </w:r>
      <w:r w:rsidRPr="008E4B02">
        <w:t xml:space="preserve"> boundary</w:t>
      </w:r>
      <w:r w:rsidRPr="001655AA">
        <w:t>.</w:t>
      </w:r>
      <w:r>
        <w:t xml:space="preserve"> </w:t>
      </w:r>
    </w:p>
    <w:p w14:paraId="6311D916" w14:textId="4D3CC996" w:rsidR="00600BD2" w:rsidRPr="00E76953" w:rsidRDefault="00600BD2" w:rsidP="00600BD2">
      <w:pPr>
        <w:rPr>
          <w:i/>
          <w:iCs/>
        </w:rPr>
      </w:pPr>
      <w:r>
        <w:rPr>
          <w:i/>
          <w:iCs/>
        </w:rPr>
        <w:t>Chain of custody</w:t>
      </w:r>
    </w:p>
    <w:p w14:paraId="3EC21E7F" w14:textId="0238FC86" w:rsidR="00600BD2" w:rsidRDefault="00600BD2" w:rsidP="00600BD2">
      <w:r>
        <w:t xml:space="preserve">The majority of respondents supported a </w:t>
      </w:r>
      <w:r w:rsidR="00FC1DDF">
        <w:t>provenance/</w:t>
      </w:r>
      <w:r w:rsidR="005879AA">
        <w:t>mass-balance</w:t>
      </w:r>
      <w:r>
        <w:t xml:space="preserve"> approach to </w:t>
      </w:r>
      <w:r w:rsidR="00C05BDD">
        <w:t>the chain of custody</w:t>
      </w:r>
      <w:r w:rsidR="00401CE9">
        <w:t xml:space="preserve"> for </w:t>
      </w:r>
      <w:r>
        <w:t>Product GO certificates</w:t>
      </w:r>
      <w:r w:rsidR="00401CE9">
        <w:t xml:space="preserve">. Stakeholders noted that </w:t>
      </w:r>
      <w:r>
        <w:t xml:space="preserve">having the certificates </w:t>
      </w:r>
      <w:r w:rsidR="00685AB0">
        <w:t>follow</w:t>
      </w:r>
      <w:r>
        <w:t xml:space="preserve"> the product would support greater transparency and scheme credibility and </w:t>
      </w:r>
      <w:r w:rsidR="007F4A28">
        <w:t xml:space="preserve">be </w:t>
      </w:r>
      <w:r>
        <w:t>align</w:t>
      </w:r>
      <w:r w:rsidR="007F4A28">
        <w:t>ed</w:t>
      </w:r>
      <w:r>
        <w:t xml:space="preserve"> with international approaches.</w:t>
      </w:r>
    </w:p>
    <w:p w14:paraId="3818D17E" w14:textId="77777777" w:rsidR="00600BD2" w:rsidRDefault="00600BD2" w:rsidP="00600BD2">
      <w:r>
        <w:t>Some pointed out that allowing Product GOs to be traded in the same way as REGOs would not preclude a producer from meeting a preference for the certificate and product to be traded together. Some supported the provenance approach initially, but considered a tradeable approach would be needed in the future.</w:t>
      </w:r>
    </w:p>
    <w:p w14:paraId="146250AC" w14:textId="1897B109" w:rsidR="00C654AB" w:rsidRDefault="006262E3" w:rsidP="00600BD2">
      <w:r w:rsidRPr="006262E3">
        <w:t>Given</w:t>
      </w:r>
      <w:r w:rsidR="00A66E0B">
        <w:t xml:space="preserve"> </w:t>
      </w:r>
      <w:r w:rsidR="00717410">
        <w:t xml:space="preserve">encouraging the </w:t>
      </w:r>
      <w:r w:rsidR="00FF3534">
        <w:t>tradability</w:t>
      </w:r>
      <w:r w:rsidR="00717410">
        <w:t xml:space="preserve"> of certificates </w:t>
      </w:r>
      <w:r w:rsidR="00A66E0B">
        <w:t>would be a departure from</w:t>
      </w:r>
      <w:r>
        <w:t xml:space="preserve"> </w:t>
      </w:r>
      <w:r w:rsidR="002D68A2">
        <w:t>international</w:t>
      </w:r>
      <w:r w:rsidR="00A66E0B">
        <w:t xml:space="preserve"> approaches</w:t>
      </w:r>
      <w:r w:rsidR="00EF64AA">
        <w:t>,</w:t>
      </w:r>
      <w:r w:rsidRPr="006262E3">
        <w:t xml:space="preserve"> </w:t>
      </w:r>
      <w:r w:rsidR="00FF3534">
        <w:t xml:space="preserve">and </w:t>
      </w:r>
      <w:r w:rsidRPr="006262E3">
        <w:t>there was still majority support for this proposed measure, th</w:t>
      </w:r>
      <w:r w:rsidR="008038E0">
        <w:t>is</w:t>
      </w:r>
      <w:r w:rsidRPr="006262E3">
        <w:t xml:space="preserve"> </w:t>
      </w:r>
      <w:r w:rsidR="00026196">
        <w:t>proposed chain of custody model</w:t>
      </w:r>
      <w:r w:rsidR="008038E0">
        <w:t xml:space="preserve"> for Product GO certificates</w:t>
      </w:r>
      <w:r w:rsidRPr="006262E3">
        <w:t xml:space="preserve"> was retained in the detailed design of the scheme</w:t>
      </w:r>
      <w:r w:rsidR="00717410">
        <w:t>.</w:t>
      </w:r>
    </w:p>
    <w:p w14:paraId="2B29A312" w14:textId="77777777" w:rsidR="00600BD2" w:rsidRPr="00E76953" w:rsidRDefault="00600BD2" w:rsidP="00600BD2">
      <w:pPr>
        <w:rPr>
          <w:i/>
          <w:iCs/>
        </w:rPr>
      </w:pPr>
      <w:r w:rsidRPr="00E76953">
        <w:rPr>
          <w:i/>
          <w:iCs/>
        </w:rPr>
        <w:t>Treatment of offsets and double counting</w:t>
      </w:r>
    </w:p>
    <w:p w14:paraId="7761AA46" w14:textId="1E7D2185" w:rsidR="00600BD2" w:rsidRPr="00A026A9" w:rsidRDefault="00600BD2" w:rsidP="00600BD2">
      <w:r w:rsidRPr="00A026A9">
        <w:t xml:space="preserve">This proposal relates to the requirement for offsets generated within the system boundary, such as through CCS, to be surrendered to claim </w:t>
      </w:r>
      <w:r w:rsidR="00D81733">
        <w:t>an</w:t>
      </w:r>
      <w:r w:rsidRPr="00A026A9">
        <w:t xml:space="preserve"> emissions reduction. The vast majority of stakeholders supported this approach and considered it would help prevent double counting between the proposed GO scheme</w:t>
      </w:r>
      <w:r w:rsidR="00FC25A5">
        <w:t>,</w:t>
      </w:r>
      <w:r w:rsidRPr="00A026A9">
        <w:t xml:space="preserve"> and the existing </w:t>
      </w:r>
      <w:r w:rsidR="00C95474">
        <w:t>Australian Carbon Credit Unit Scheme</w:t>
      </w:r>
      <w:r w:rsidRPr="00A026A9">
        <w:t>.</w:t>
      </w:r>
    </w:p>
    <w:p w14:paraId="78CE3D3B" w14:textId="368CCA14" w:rsidR="00600BD2" w:rsidRPr="00A026A9" w:rsidRDefault="00325BCB" w:rsidP="00600BD2">
      <w:r>
        <w:t>It was also proposed</w:t>
      </w:r>
      <w:r w:rsidR="00600BD2" w:rsidRPr="00A026A9">
        <w:t xml:space="preserve"> that offsets generated outside of the system boundary, such as for afforestation, would not be able to be used in the scheme. </w:t>
      </w:r>
      <w:r w:rsidR="00600BD2">
        <w:t>Again, the majority of respondents</w:t>
      </w:r>
      <w:r w:rsidR="00600BD2" w:rsidRPr="00A026A9">
        <w:t xml:space="preserve"> agreed with this </w:t>
      </w:r>
      <w:r w:rsidR="00F521E3" w:rsidRPr="00A026A9">
        <w:t>approach,</w:t>
      </w:r>
      <w:r w:rsidR="00600BD2" w:rsidRPr="00A026A9">
        <w:t xml:space="preserve"> and many considered that the use of offsets generated outside of the boundary would risk the credibility of the scheme and its acceptance internationally. </w:t>
      </w:r>
    </w:p>
    <w:p w14:paraId="1B0FFFBD" w14:textId="60AA87DE" w:rsidR="00600BD2" w:rsidRDefault="00600BD2" w:rsidP="00600BD2">
      <w:r>
        <w:t>Some</w:t>
      </w:r>
      <w:r w:rsidRPr="00A026A9">
        <w:t xml:space="preserve"> stakeholders called for the GO scheme to allow for offsets outside of the system boundary to be surrendered to claim further emissions reductions. This group broadly considered that the use of offsets outside the system boundary would increase the flexibility of business models and support greater investment. Some submitters suggested the scheme should be adaptable to the inclusion of offsets in the future where emissions reductions are permanent.</w:t>
      </w:r>
    </w:p>
    <w:p w14:paraId="4FD2C083" w14:textId="77777777" w:rsidR="00600BD2" w:rsidRPr="00E76953" w:rsidRDefault="00600BD2" w:rsidP="00600BD2">
      <w:pPr>
        <w:rPr>
          <w:i/>
          <w:iCs/>
        </w:rPr>
      </w:pPr>
      <w:r w:rsidRPr="00E76953">
        <w:rPr>
          <w:i/>
          <w:iCs/>
        </w:rPr>
        <w:t>Consideration and action taken</w:t>
      </w:r>
    </w:p>
    <w:p w14:paraId="63304D09" w14:textId="02240EC1" w:rsidR="00600BD2" w:rsidRDefault="00600BD2" w:rsidP="00600BD2">
      <w:r w:rsidRPr="00E15DB1">
        <w:t>All feedback received was considered in finalising our policy design</w:t>
      </w:r>
      <w:r w:rsidRPr="00A026A9">
        <w:t xml:space="preserve">. Each </w:t>
      </w:r>
      <w:r w:rsidR="0006469C">
        <w:t xml:space="preserve">of the above </w:t>
      </w:r>
      <w:r w:rsidRPr="00A026A9">
        <w:t xml:space="preserve">proposed policy position </w:t>
      </w:r>
      <w:r w:rsidR="0006469C">
        <w:t xml:space="preserve">that garnered </w:t>
      </w:r>
      <w:r w:rsidRPr="00E15DB1">
        <w:t>divergen</w:t>
      </w:r>
      <w:r w:rsidRPr="00A026A9">
        <w:t>t</w:t>
      </w:r>
      <w:r w:rsidRPr="00E15DB1">
        <w:t xml:space="preserve"> views was considered in depth</w:t>
      </w:r>
      <w:r w:rsidR="0006469C">
        <w:t>, was</w:t>
      </w:r>
      <w:r w:rsidRPr="00E15DB1">
        <w:t xml:space="preserve"> weighed up against consultation undertaken previously </w:t>
      </w:r>
      <w:r w:rsidRPr="00A026A9">
        <w:t>and work being undertaken internationally</w:t>
      </w:r>
      <w:r w:rsidRPr="00E15DB1">
        <w:t xml:space="preserve">. </w:t>
      </w:r>
      <w:r>
        <w:t>DCCEEW</w:t>
      </w:r>
      <w:r w:rsidRPr="00E15DB1">
        <w:t xml:space="preserve"> considered that while these were the most contentious issues, the proposed positions were still strongly supported </w:t>
      </w:r>
      <w:r w:rsidRPr="00311B15">
        <w:t>by stakeholder</w:t>
      </w:r>
      <w:r w:rsidR="00BA3116">
        <w:t>s</w:t>
      </w:r>
      <w:r w:rsidRPr="00E15DB1" w:rsidDel="00D625DD">
        <w:t>.</w:t>
      </w:r>
      <w:r w:rsidRPr="00E15DB1">
        <w:t xml:space="preserve"> Based on this positive </w:t>
      </w:r>
      <w:r w:rsidRPr="00311B15">
        <w:t xml:space="preserve">overall </w:t>
      </w:r>
      <w:r w:rsidRPr="00E15DB1">
        <w:t xml:space="preserve">response, the proposed policy positions </w:t>
      </w:r>
      <w:r w:rsidR="000C6F48">
        <w:t xml:space="preserve">have </w:t>
      </w:r>
      <w:r w:rsidR="00485B2B">
        <w:t xml:space="preserve">broadly </w:t>
      </w:r>
      <w:r w:rsidR="000C6F48">
        <w:t>been</w:t>
      </w:r>
      <w:r w:rsidRPr="00E15DB1">
        <w:t xml:space="preserve"> retained while incorporating the feedback provided into the detailed scheme design</w:t>
      </w:r>
      <w:r w:rsidR="00374413">
        <w:t xml:space="preserve"> as appropriate</w:t>
      </w:r>
      <w:r w:rsidRPr="00E15DB1">
        <w:t>.</w:t>
      </w:r>
    </w:p>
    <w:p w14:paraId="1F43F467" w14:textId="77777777" w:rsidR="00600BD2" w:rsidRPr="00A026A9" w:rsidRDefault="00600BD2" w:rsidP="00600BD2">
      <w:pPr>
        <w:rPr>
          <w:b/>
          <w:bCs/>
        </w:rPr>
      </w:pPr>
      <w:r w:rsidRPr="00A026A9">
        <w:rPr>
          <w:b/>
          <w:bCs/>
        </w:rPr>
        <w:t>REGO</w:t>
      </w:r>
      <w:r>
        <w:rPr>
          <w:b/>
          <w:bCs/>
        </w:rPr>
        <w:t xml:space="preserve"> consultation outcomes</w:t>
      </w:r>
    </w:p>
    <w:p w14:paraId="0D03C938" w14:textId="464050A9" w:rsidR="00600BD2" w:rsidRDefault="00600BD2" w:rsidP="00600BD2">
      <w:r>
        <w:t>Renewable energy stakeholders emphasised the need for an enduring mechanism to certify renewable electricity to be implemented in 2024 or shortly after to provide certainty to support long-term investment and prevent other schemes from emerging.</w:t>
      </w:r>
    </w:p>
    <w:p w14:paraId="654B2CDA" w14:textId="50E8CA21" w:rsidR="00600BD2" w:rsidRDefault="00600BD2" w:rsidP="00600BD2">
      <w:r>
        <w:t>DCCEEW received feedback from 77 stakeholders on the REGO policy paper.</w:t>
      </w:r>
      <w:r w:rsidRPr="00486BD4">
        <w:t xml:space="preserve"> </w:t>
      </w:r>
      <w:r>
        <w:t>Respondents were generally supportive of the policy positions with some divergence of views on below baseline eligibility, REGO created for stored renewable, eligibility of small-scale generation and the requirement to include a time stamp on a REGO certificate.</w:t>
      </w:r>
      <w:r w:rsidRPr="00736071">
        <w:t xml:space="preserve"> </w:t>
      </w:r>
      <w:r>
        <w:t>A summary of the feedback received on each of these positions is included below:</w:t>
      </w:r>
    </w:p>
    <w:p w14:paraId="10049A4A" w14:textId="77777777" w:rsidR="00600BD2" w:rsidRPr="00E76953" w:rsidRDefault="00600BD2" w:rsidP="00600BD2">
      <w:pPr>
        <w:rPr>
          <w:i/>
          <w:iCs/>
        </w:rPr>
      </w:pPr>
      <w:r w:rsidRPr="00E76953">
        <w:rPr>
          <w:i/>
          <w:iCs/>
        </w:rPr>
        <w:t>Below-baseline generation</w:t>
      </w:r>
    </w:p>
    <w:p w14:paraId="1B9FBC5C" w14:textId="77777777" w:rsidR="00600BD2" w:rsidRDefault="00600BD2" w:rsidP="00600BD2">
      <w:r>
        <w:lastRenderedPageBreak/>
        <w:t>The majority of stakeholders supported the premise of this policy position – to enable broad eligibility for all forms of renewable electricity to be certified. They noted that broad eligibility would provide flexibility in the certificate market and help lower costs of making renewable claims. Some also noted that broad eligibility is consistent with the intent of the policy to promote transparency in renewable electricity claims.</w:t>
      </w:r>
    </w:p>
    <w:p w14:paraId="5A09E718" w14:textId="77777777" w:rsidR="00600BD2" w:rsidRDefault="00600BD2" w:rsidP="00600BD2">
      <w:r>
        <w:t>Over half of the respondents either explicitly noted their support for the proposal or provided views that were consistent with support for allowing below baseline generation to create REGO certificates. Some supported the proposal on the basis that GO represents a modern scheme that serves the needs of all participants and would provide flexibility to respond to customer needs.</w:t>
      </w:r>
    </w:p>
    <w:p w14:paraId="3F0FEC38" w14:textId="34093A90" w:rsidR="00FA2F01" w:rsidRDefault="00600BD2" w:rsidP="00600BD2">
      <w:r>
        <w:t>Several stakeholders provided conditional support for the proposal if it is accompanied by measures to drive investment in renewable energy. Those submissions largely noted concerns with the potential impact that certificates for below baseline legacy generation could have on LGC prices and investment signals. Other respondents noted concerns about the potential effect on integrity of the certificates, or that they could be enabling greenwashing.</w:t>
      </w:r>
    </w:p>
    <w:p w14:paraId="3B47C966" w14:textId="77777777" w:rsidR="00600BD2" w:rsidRPr="00E76953" w:rsidRDefault="00600BD2" w:rsidP="00600BD2">
      <w:pPr>
        <w:rPr>
          <w:i/>
          <w:iCs/>
        </w:rPr>
      </w:pPr>
      <w:r w:rsidRPr="00E76953">
        <w:rPr>
          <w:i/>
          <w:iCs/>
        </w:rPr>
        <w:t>Storage</w:t>
      </w:r>
    </w:p>
    <w:p w14:paraId="4C0619CF" w14:textId="77777777" w:rsidR="00600BD2" w:rsidRDefault="00600BD2" w:rsidP="00600BD2">
      <w:r>
        <w:t>This position was supported by stakeholders. Some noted that the proposal to surrender REGOs from renewable generation before creating REGOs for storage adds to the traceability and integrity of the scheme. Some submissions noted however issues with losses through the storage system and queried whether the price differential would incentivise storage.</w:t>
      </w:r>
    </w:p>
    <w:p w14:paraId="2118E62E" w14:textId="77777777" w:rsidR="00600BD2" w:rsidRDefault="00600BD2" w:rsidP="00600BD2">
      <w:r>
        <w:t>Some respondents raised the potential for storage REGOs to result in double counting of the same volume of generation. Some noted that a REGO price signal could add complexity for some storage facilities and there may be potential metering issues for hybrid generator-storage arrangements.</w:t>
      </w:r>
    </w:p>
    <w:p w14:paraId="53432D3B" w14:textId="77777777" w:rsidR="00600BD2" w:rsidRPr="00E76953" w:rsidRDefault="00600BD2" w:rsidP="00600BD2">
      <w:pPr>
        <w:rPr>
          <w:i/>
          <w:iCs/>
        </w:rPr>
      </w:pPr>
      <w:r w:rsidRPr="00E76953">
        <w:rPr>
          <w:i/>
          <w:iCs/>
        </w:rPr>
        <w:t>Time stamping</w:t>
      </w:r>
    </w:p>
    <w:p w14:paraId="299D439F" w14:textId="77777777" w:rsidR="00750791" w:rsidRDefault="00D20633" w:rsidP="00600BD2">
      <w:r>
        <w:t xml:space="preserve">Specific to REGOs, </w:t>
      </w:r>
      <w:r w:rsidR="00081452">
        <w:t>time stamping refers to t</w:t>
      </w:r>
      <w:r w:rsidR="00081452" w:rsidRPr="00081452">
        <w:t xml:space="preserve">he date and time information associated with an amount of </w:t>
      </w:r>
      <w:r w:rsidR="00081452">
        <w:t xml:space="preserve">renewable electricity </w:t>
      </w:r>
      <w:r w:rsidR="00081452" w:rsidRPr="00081452">
        <w:t xml:space="preserve">generation. A time interval that is provided as an additional qualitative characteristic for REGOs where 1 MW is generated in an hour.  </w:t>
      </w:r>
    </w:p>
    <w:p w14:paraId="532B04F4" w14:textId="6AC52EB2" w:rsidR="00600BD2" w:rsidRDefault="00600BD2" w:rsidP="00600BD2">
      <w:r>
        <w:t>The majority of respondents agreed with the time stamping proposal specifically indicating it should be a mandatory requirement. Some who were supportive of time stamping thought it should only be optional.</w:t>
      </w:r>
    </w:p>
    <w:p w14:paraId="3469DA49" w14:textId="432BA9B5" w:rsidR="00600BD2" w:rsidRDefault="00600BD2" w:rsidP="00600BD2">
      <w:r>
        <w:t xml:space="preserve">Some stakeholders noted issues with the approach to time stamping for smaller generators and suggested that the proposal to carry over generation would not be desirable. It was suggested that REGOs could capture output at a more granular level (1 watt hour) instead to address this. Some suggested that time stamping would provide hydrogen producers with the option to demonstrate compliance with temporal standards internationally. Others considered that mandatory timestamping should be implemented at a more granular level, consistent with </w:t>
      </w:r>
      <w:r w:rsidR="00F521E3">
        <w:t>five-minute</w:t>
      </w:r>
      <w:r>
        <w:t xml:space="preserve"> settlement.</w:t>
      </w:r>
    </w:p>
    <w:p w14:paraId="5BE7ED99" w14:textId="77777777" w:rsidR="00600BD2" w:rsidRDefault="00600BD2" w:rsidP="00600BD2">
      <w:r>
        <w:t xml:space="preserve">The respondents who either disagreed or were neutral on this policy proposal outlined potential issues with implementation and didn’t consider there was a strong demand for time matched renewable electricity purchases yet. Some stakeholders considered that the costs could exceed benefits. Some did not support time stamping due to the potential to create inefficiency by fragmenting the certificate market. </w:t>
      </w:r>
    </w:p>
    <w:p w14:paraId="1E8DF6AB" w14:textId="57ABE76D" w:rsidR="00FE69BB" w:rsidRDefault="00FE69BB" w:rsidP="00FE69BB">
      <w:pPr>
        <w:pStyle w:val="Caption"/>
      </w:pPr>
      <w:r>
        <w:t xml:space="preserve">Table </w:t>
      </w:r>
      <w:r w:rsidR="00157B30">
        <w:t>3</w:t>
      </w:r>
      <w:r>
        <w:t>: I</w:t>
      </w:r>
      <w:r w:rsidRPr="00E76953">
        <w:t>mpact of feedback on policy design and process</w:t>
      </w:r>
    </w:p>
    <w:tbl>
      <w:tblPr>
        <w:tblStyle w:val="PMCDefaultTableStyle"/>
        <w:tblW w:w="0" w:type="auto"/>
        <w:tblLook w:val="04A0" w:firstRow="1" w:lastRow="0" w:firstColumn="1" w:lastColumn="0" w:noHBand="0" w:noVBand="1"/>
        <w:tblCaption w:val="Summary of key industry feedback and the impact of each item on the proposed policy"/>
      </w:tblPr>
      <w:tblGrid>
        <w:gridCol w:w="4994"/>
        <w:gridCol w:w="4994"/>
      </w:tblGrid>
      <w:tr w:rsidR="00FE69BB" w14:paraId="42E1B2FD" w14:textId="77777777">
        <w:trPr>
          <w:cnfStyle w:val="100000000000" w:firstRow="1" w:lastRow="0" w:firstColumn="0" w:lastColumn="0" w:oddVBand="0" w:evenVBand="0" w:oddHBand="0" w:evenHBand="0" w:firstRowFirstColumn="0" w:firstRowLastColumn="0" w:lastRowFirstColumn="0" w:lastRowLastColumn="0"/>
          <w:trHeight w:val="34"/>
        </w:trPr>
        <w:tc>
          <w:tcPr>
            <w:tcW w:w="4994" w:type="dxa"/>
            <w:hideMark/>
          </w:tcPr>
          <w:p w14:paraId="473CB5B8" w14:textId="77777777" w:rsidR="00FE69BB" w:rsidRPr="00E64DC7" w:rsidRDefault="00FE69BB">
            <w:pPr>
              <w:pStyle w:val="ListParagraphs"/>
              <w:spacing w:before="0"/>
              <w:rPr>
                <w:rFonts w:asciiTheme="minorHAnsi" w:hAnsiTheme="minorHAnsi" w:cstheme="minorHAnsi"/>
                <w:b w:val="0"/>
                <w:color w:val="000000"/>
                <w:sz w:val="20"/>
                <w:szCs w:val="20"/>
              </w:rPr>
            </w:pPr>
            <w:r w:rsidRPr="00E64DC7">
              <w:rPr>
                <w:rFonts w:cstheme="minorHAnsi"/>
                <w:color w:val="000000"/>
                <w:sz w:val="20"/>
                <w:szCs w:val="20"/>
              </w:rPr>
              <w:t xml:space="preserve">Domestic industry feedback </w:t>
            </w:r>
          </w:p>
        </w:tc>
        <w:tc>
          <w:tcPr>
            <w:tcW w:w="4994" w:type="dxa"/>
            <w:hideMark/>
          </w:tcPr>
          <w:p w14:paraId="7F142523" w14:textId="77777777" w:rsidR="00FE69BB" w:rsidRPr="00E64DC7" w:rsidRDefault="00FE69BB">
            <w:pPr>
              <w:pStyle w:val="ListParagraphs"/>
              <w:spacing w:before="0"/>
              <w:rPr>
                <w:rFonts w:asciiTheme="minorHAnsi" w:hAnsiTheme="minorHAnsi" w:cstheme="minorHAnsi"/>
                <w:b w:val="0"/>
                <w:color w:val="000000"/>
                <w:sz w:val="20"/>
                <w:szCs w:val="20"/>
              </w:rPr>
            </w:pPr>
            <w:r w:rsidRPr="00E64DC7">
              <w:rPr>
                <w:rFonts w:cstheme="minorHAnsi"/>
                <w:color w:val="000000"/>
                <w:sz w:val="20"/>
                <w:szCs w:val="20"/>
              </w:rPr>
              <w:t>Impact on policy design and process</w:t>
            </w:r>
          </w:p>
        </w:tc>
      </w:tr>
      <w:tr w:rsidR="00FE69BB" w14:paraId="7FEF1B80" w14:textId="77777777">
        <w:trPr>
          <w:cnfStyle w:val="000000100000" w:firstRow="0" w:lastRow="0" w:firstColumn="0" w:lastColumn="0" w:oddVBand="0" w:evenVBand="0" w:oddHBand="1" w:evenHBand="0" w:firstRowFirstColumn="0" w:firstRowLastColumn="0" w:lastRowFirstColumn="0" w:lastRowLastColumn="0"/>
          <w:trHeight w:val="88"/>
        </w:trPr>
        <w:tc>
          <w:tcPr>
            <w:tcW w:w="4994" w:type="dxa"/>
            <w:hideMark/>
          </w:tcPr>
          <w:p w14:paraId="679C76BD" w14:textId="77777777" w:rsidR="00FE69BB" w:rsidRPr="00E64DC7" w:rsidRDefault="00FE69BB">
            <w:pPr>
              <w:pStyle w:val="ListParagraphs"/>
              <w:ind w:left="0" w:firstLine="0"/>
              <w:rPr>
                <w:b/>
                <w:sz w:val="20"/>
                <w:szCs w:val="20"/>
              </w:rPr>
            </w:pPr>
            <w:r w:rsidRPr="00E64DC7">
              <w:rPr>
                <w:sz w:val="20"/>
                <w:szCs w:val="20"/>
              </w:rPr>
              <w:t xml:space="preserve">A unanimous </w:t>
            </w:r>
            <w:r>
              <w:rPr>
                <w:sz w:val="20"/>
                <w:szCs w:val="20"/>
              </w:rPr>
              <w:t>preference</w:t>
            </w:r>
            <w:r w:rsidRPr="00E64DC7">
              <w:rPr>
                <w:sz w:val="20"/>
                <w:szCs w:val="20"/>
              </w:rPr>
              <w:t xml:space="preserve"> for the scheme to be aligned with and responsive to international developments. </w:t>
            </w:r>
          </w:p>
        </w:tc>
        <w:tc>
          <w:tcPr>
            <w:tcW w:w="4994" w:type="dxa"/>
            <w:hideMark/>
          </w:tcPr>
          <w:p w14:paraId="788420E6" w14:textId="77777777" w:rsidR="00FE69BB" w:rsidRPr="00E64DC7" w:rsidRDefault="00FE69BB">
            <w:pPr>
              <w:pStyle w:val="ListParagraphs"/>
              <w:ind w:left="0" w:firstLine="0"/>
              <w:rPr>
                <w:sz w:val="20"/>
                <w:szCs w:val="20"/>
              </w:rPr>
            </w:pPr>
            <w:r w:rsidRPr="00E64DC7">
              <w:rPr>
                <w:sz w:val="20"/>
                <w:szCs w:val="20"/>
              </w:rPr>
              <w:t xml:space="preserve">Deepening work through the IPHE and with bilateral energy trading partners. </w:t>
            </w:r>
          </w:p>
        </w:tc>
      </w:tr>
      <w:tr w:rsidR="00FE69BB" w14:paraId="607F364A" w14:textId="77777777">
        <w:trPr>
          <w:cnfStyle w:val="000000010000" w:firstRow="0" w:lastRow="0" w:firstColumn="0" w:lastColumn="0" w:oddVBand="0" w:evenVBand="0" w:oddHBand="0" w:evenHBand="1" w:firstRowFirstColumn="0" w:firstRowLastColumn="0" w:lastRowFirstColumn="0" w:lastRowLastColumn="0"/>
          <w:trHeight w:val="121"/>
        </w:trPr>
        <w:tc>
          <w:tcPr>
            <w:tcW w:w="4994" w:type="dxa"/>
            <w:hideMark/>
          </w:tcPr>
          <w:p w14:paraId="12FEF8C3" w14:textId="77777777" w:rsidR="00FE69BB" w:rsidRPr="00E64DC7" w:rsidRDefault="00FE69BB">
            <w:pPr>
              <w:pStyle w:val="ListParagraphs"/>
              <w:ind w:left="0" w:firstLine="0"/>
              <w:rPr>
                <w:b/>
                <w:sz w:val="20"/>
                <w:szCs w:val="20"/>
              </w:rPr>
            </w:pPr>
            <w:r w:rsidRPr="00E64DC7">
              <w:rPr>
                <w:sz w:val="20"/>
                <w:szCs w:val="20"/>
              </w:rPr>
              <w:t xml:space="preserve">High importance placed on transparency to consumers about all attributes of hydrogen production. </w:t>
            </w:r>
          </w:p>
        </w:tc>
        <w:tc>
          <w:tcPr>
            <w:tcW w:w="4994" w:type="dxa"/>
            <w:hideMark/>
          </w:tcPr>
          <w:p w14:paraId="5A99FCAC" w14:textId="77777777" w:rsidR="00FE69BB" w:rsidRPr="00E64DC7" w:rsidRDefault="00FE69BB">
            <w:pPr>
              <w:pStyle w:val="ListParagraphs"/>
              <w:ind w:left="0" w:firstLine="0"/>
              <w:rPr>
                <w:sz w:val="20"/>
                <w:szCs w:val="20"/>
              </w:rPr>
            </w:pPr>
            <w:r w:rsidRPr="00E64DC7">
              <w:rPr>
                <w:sz w:val="20"/>
                <w:szCs w:val="20"/>
              </w:rPr>
              <w:t>Exploring the practicality and limitations of providing all information across the supply chain.</w:t>
            </w:r>
          </w:p>
        </w:tc>
      </w:tr>
      <w:tr w:rsidR="00FE69BB" w14:paraId="776F0AC8" w14:textId="77777777">
        <w:trPr>
          <w:cnfStyle w:val="000000100000" w:firstRow="0" w:lastRow="0" w:firstColumn="0" w:lastColumn="0" w:oddVBand="0" w:evenVBand="0" w:oddHBand="1" w:evenHBand="0" w:firstRowFirstColumn="0" w:firstRowLastColumn="0" w:lastRowFirstColumn="0" w:lastRowLastColumn="0"/>
          <w:trHeight w:val="141"/>
        </w:trPr>
        <w:tc>
          <w:tcPr>
            <w:tcW w:w="4994" w:type="dxa"/>
            <w:hideMark/>
          </w:tcPr>
          <w:p w14:paraId="006CC79D" w14:textId="77777777" w:rsidR="00FE69BB" w:rsidRPr="00E64DC7" w:rsidRDefault="00FE69BB">
            <w:pPr>
              <w:pStyle w:val="ListParagraphs"/>
              <w:ind w:left="0" w:firstLine="0"/>
              <w:rPr>
                <w:b/>
                <w:sz w:val="20"/>
                <w:szCs w:val="20"/>
              </w:rPr>
            </w:pPr>
            <w:r>
              <w:rPr>
                <w:sz w:val="20"/>
                <w:szCs w:val="20"/>
              </w:rPr>
              <w:t>Support for an Australian G</w:t>
            </w:r>
            <w:r w:rsidRPr="00E64DC7">
              <w:rPr>
                <w:sz w:val="20"/>
                <w:szCs w:val="20"/>
              </w:rPr>
              <w:t xml:space="preserve">overnment-led scheme, but with a strong emphasis on industry consultation. </w:t>
            </w:r>
          </w:p>
        </w:tc>
        <w:tc>
          <w:tcPr>
            <w:tcW w:w="4994" w:type="dxa"/>
            <w:hideMark/>
          </w:tcPr>
          <w:p w14:paraId="68329445" w14:textId="63C68772" w:rsidR="00FE69BB" w:rsidRPr="00E64DC7" w:rsidRDefault="00FE69BB">
            <w:pPr>
              <w:pStyle w:val="ListParagraphs"/>
              <w:ind w:left="0" w:firstLine="0"/>
              <w:rPr>
                <w:sz w:val="20"/>
                <w:szCs w:val="20"/>
              </w:rPr>
            </w:pPr>
            <w:r>
              <w:rPr>
                <w:sz w:val="20"/>
                <w:szCs w:val="20"/>
              </w:rPr>
              <w:t xml:space="preserve">The Australian </w:t>
            </w:r>
            <w:r w:rsidRPr="00E64DC7">
              <w:rPr>
                <w:sz w:val="20"/>
                <w:szCs w:val="20"/>
              </w:rPr>
              <w:t xml:space="preserve">Government </w:t>
            </w:r>
            <w:r w:rsidR="006B7488">
              <w:rPr>
                <w:sz w:val="20"/>
                <w:szCs w:val="20"/>
              </w:rPr>
              <w:t>will</w:t>
            </w:r>
            <w:r w:rsidRPr="00E64DC7">
              <w:rPr>
                <w:sz w:val="20"/>
                <w:szCs w:val="20"/>
              </w:rPr>
              <w:t xml:space="preserve"> continu</w:t>
            </w:r>
            <w:r w:rsidR="006B7488">
              <w:rPr>
                <w:sz w:val="20"/>
                <w:szCs w:val="20"/>
              </w:rPr>
              <w:t>e</w:t>
            </w:r>
            <w:r w:rsidRPr="00E64DC7">
              <w:rPr>
                <w:sz w:val="20"/>
                <w:szCs w:val="20"/>
              </w:rPr>
              <w:t xml:space="preserve"> to develop the GO scheme with strong industry engagement</w:t>
            </w:r>
            <w:r w:rsidR="00C84D2B">
              <w:rPr>
                <w:sz w:val="20"/>
                <w:szCs w:val="20"/>
              </w:rPr>
              <w:t>, including as it develops subordinate</w:t>
            </w:r>
            <w:r w:rsidRPr="00E64DC7">
              <w:rPr>
                <w:sz w:val="20"/>
                <w:szCs w:val="20"/>
              </w:rPr>
              <w:t xml:space="preserve"> </w:t>
            </w:r>
            <w:r w:rsidR="006B7488">
              <w:rPr>
                <w:sz w:val="20"/>
                <w:szCs w:val="20"/>
              </w:rPr>
              <w:t>legislative instruments and expands to new products</w:t>
            </w:r>
            <w:r w:rsidRPr="00E64DC7">
              <w:rPr>
                <w:sz w:val="20"/>
                <w:szCs w:val="20"/>
              </w:rPr>
              <w:t xml:space="preserve">. </w:t>
            </w:r>
          </w:p>
        </w:tc>
      </w:tr>
      <w:tr w:rsidR="00CB6C67" w14:paraId="7ECEF819" w14:textId="77777777">
        <w:trPr>
          <w:cnfStyle w:val="000000010000" w:firstRow="0" w:lastRow="0" w:firstColumn="0" w:lastColumn="0" w:oddVBand="0" w:evenVBand="0" w:oddHBand="0" w:evenHBand="1" w:firstRowFirstColumn="0" w:firstRowLastColumn="0" w:lastRowFirstColumn="0" w:lastRowLastColumn="0"/>
          <w:trHeight w:val="141"/>
        </w:trPr>
        <w:tc>
          <w:tcPr>
            <w:tcW w:w="4994" w:type="dxa"/>
          </w:tcPr>
          <w:p w14:paraId="3BFCA8FD" w14:textId="2FF35369" w:rsidR="00CB6C67" w:rsidRDefault="00D1461C">
            <w:pPr>
              <w:pStyle w:val="ListParagraphs"/>
              <w:ind w:left="0" w:firstLine="0"/>
              <w:rPr>
                <w:sz w:val="20"/>
                <w:szCs w:val="20"/>
              </w:rPr>
            </w:pPr>
            <w:r>
              <w:rPr>
                <w:sz w:val="20"/>
                <w:szCs w:val="20"/>
              </w:rPr>
              <w:lastRenderedPageBreak/>
              <w:t>Support for the inclusion of additional products in the GO scheme</w:t>
            </w:r>
            <w:r w:rsidR="00B214E8">
              <w:rPr>
                <w:sz w:val="20"/>
                <w:szCs w:val="20"/>
              </w:rPr>
              <w:t xml:space="preserve">, </w:t>
            </w:r>
            <w:r w:rsidR="00EB28FD">
              <w:rPr>
                <w:sz w:val="20"/>
                <w:szCs w:val="20"/>
              </w:rPr>
              <w:t>including</w:t>
            </w:r>
            <w:r w:rsidR="00B214E8">
              <w:rPr>
                <w:sz w:val="20"/>
                <w:szCs w:val="20"/>
              </w:rPr>
              <w:t xml:space="preserve"> biomethane, green metals and sustainable aviation fuels.</w:t>
            </w:r>
          </w:p>
        </w:tc>
        <w:tc>
          <w:tcPr>
            <w:tcW w:w="4994" w:type="dxa"/>
          </w:tcPr>
          <w:p w14:paraId="66EBCAC6" w14:textId="19635574" w:rsidR="00CB6C67" w:rsidRDefault="00F903AE">
            <w:pPr>
              <w:pStyle w:val="ListParagraphs"/>
              <w:ind w:left="0" w:firstLine="0"/>
              <w:rPr>
                <w:sz w:val="20"/>
                <w:szCs w:val="20"/>
              </w:rPr>
            </w:pPr>
            <w:r>
              <w:rPr>
                <w:sz w:val="20"/>
                <w:szCs w:val="20"/>
              </w:rPr>
              <w:t>The Government has committed to expanding the scheme to low-carbon liquid fuels, green metals and biomethane,</w:t>
            </w:r>
          </w:p>
        </w:tc>
      </w:tr>
    </w:tbl>
    <w:p w14:paraId="15A307A4" w14:textId="60E4BC57" w:rsidR="000C0A58" w:rsidRPr="00E94854" w:rsidRDefault="000C0A58" w:rsidP="00992F58">
      <w:pPr>
        <w:spacing w:before="240"/>
      </w:pPr>
      <w:r>
        <w:t>In addition</w:t>
      </w:r>
      <w:r w:rsidR="002B63EF">
        <w:t xml:space="preserve"> to published</w:t>
      </w:r>
      <w:r w:rsidR="005F4CC2">
        <w:t xml:space="preserve"> </w:t>
      </w:r>
      <w:r w:rsidR="0095393A">
        <w:t>discussion and design papers</w:t>
      </w:r>
      <w:r>
        <w:t xml:space="preserve">, </w:t>
      </w:r>
      <w:r w:rsidR="008757F0">
        <w:t xml:space="preserve">ongoing </w:t>
      </w:r>
      <w:r w:rsidR="00F855CA">
        <w:t xml:space="preserve">engagement and </w:t>
      </w:r>
      <w:r w:rsidR="001D7568">
        <w:t xml:space="preserve">consultation has been </w:t>
      </w:r>
      <w:r w:rsidR="004C67C4">
        <w:t>undertaken</w:t>
      </w:r>
      <w:r w:rsidR="00AD7E28">
        <w:t>. In particular,</w:t>
      </w:r>
      <w:r w:rsidR="004C67C4">
        <w:t xml:space="preserve"> in </w:t>
      </w:r>
      <w:r w:rsidR="00F855CA">
        <w:t>relation to ongoing international partnerships</w:t>
      </w:r>
      <w:r w:rsidR="004C67C4">
        <w:t xml:space="preserve"> and</w:t>
      </w:r>
      <w:r w:rsidR="008757F0" w:rsidRPr="008757F0">
        <w:t xml:space="preserve"> </w:t>
      </w:r>
      <w:r w:rsidR="008757F0">
        <w:t>on an as needs basis</w:t>
      </w:r>
      <w:r w:rsidR="004C67C4">
        <w:t xml:space="preserve"> i</w:t>
      </w:r>
      <w:r w:rsidR="0092547F">
        <w:t>n response</w:t>
      </w:r>
      <w:r w:rsidR="008757F0" w:rsidRPr="008757F0">
        <w:t xml:space="preserve"> </w:t>
      </w:r>
      <w:r w:rsidR="008757F0">
        <w:t>to requests from stakeholders</w:t>
      </w:r>
      <w:r w:rsidR="00F855CA">
        <w:t xml:space="preserve">. This </w:t>
      </w:r>
      <w:r w:rsidR="00AD7E28">
        <w:t xml:space="preserve">targeted </w:t>
      </w:r>
      <w:r w:rsidR="00030B37">
        <w:t>consultation includes:</w:t>
      </w:r>
    </w:p>
    <w:p w14:paraId="551A0F7E" w14:textId="77777777" w:rsidR="002F7C69" w:rsidRPr="000D3400" w:rsidRDefault="005509EC" w:rsidP="002722DB">
      <w:pPr>
        <w:pStyle w:val="ListParagraph"/>
        <w:numPr>
          <w:ilvl w:val="0"/>
          <w:numId w:val="48"/>
        </w:numPr>
        <w:ind w:left="714" w:hanging="357"/>
      </w:pPr>
      <w:r w:rsidRPr="000D3400">
        <w:rPr>
          <w:rFonts w:ascii="Calibri" w:hAnsi="Calibri" w:cs="Calibri"/>
          <w:color w:val="000000" w:themeColor="text1"/>
        </w:rPr>
        <w:t>DCCEEW and CER’s o</w:t>
      </w:r>
      <w:r w:rsidR="006D5747" w:rsidRPr="000D3400">
        <w:rPr>
          <w:rFonts w:ascii="Calibri" w:hAnsi="Calibri" w:cs="Calibri"/>
          <w:color w:val="000000" w:themeColor="text1"/>
        </w:rPr>
        <w:t xml:space="preserve">ngoing direct and indirect engagement </w:t>
      </w:r>
      <w:r w:rsidR="000C492E" w:rsidRPr="000D3400">
        <w:rPr>
          <w:rFonts w:ascii="Calibri" w:hAnsi="Calibri" w:cs="Calibri"/>
          <w:color w:val="000000" w:themeColor="text1"/>
        </w:rPr>
        <w:t xml:space="preserve">through </w:t>
      </w:r>
      <w:r w:rsidR="006D5747" w:rsidRPr="000D3400">
        <w:rPr>
          <w:rFonts w:ascii="Calibri" w:hAnsi="Calibri" w:cs="Calibri"/>
          <w:color w:val="000000" w:themeColor="text1"/>
        </w:rPr>
        <w:t>webinars, in person and virtual meetings, presentations, conference appearances and attendance, and comm</w:t>
      </w:r>
      <w:r w:rsidR="00B57F1C" w:rsidRPr="000D3400">
        <w:rPr>
          <w:rFonts w:ascii="Calibri" w:hAnsi="Calibri" w:cs="Calibri"/>
          <w:color w:val="000000" w:themeColor="text1"/>
        </w:rPr>
        <w:t>unications</w:t>
      </w:r>
      <w:r w:rsidR="006D5747" w:rsidRPr="000D3400">
        <w:rPr>
          <w:rFonts w:ascii="Calibri" w:hAnsi="Calibri" w:cs="Calibri"/>
          <w:color w:val="000000" w:themeColor="text1"/>
        </w:rPr>
        <w:t xml:space="preserve"> and media engagement.</w:t>
      </w:r>
      <w:r w:rsidR="006164E4" w:rsidRPr="000D3400">
        <w:t xml:space="preserve"> </w:t>
      </w:r>
    </w:p>
    <w:p w14:paraId="6A90081C" w14:textId="2BF44579" w:rsidR="002F7C69" w:rsidRPr="000D3400" w:rsidRDefault="002F7C69" w:rsidP="002F7C69">
      <w:pPr>
        <w:pStyle w:val="ListParagraph"/>
        <w:numPr>
          <w:ilvl w:val="0"/>
          <w:numId w:val="48"/>
        </w:numPr>
        <w:ind w:left="714" w:hanging="357"/>
      </w:pPr>
      <w:r w:rsidRPr="000D3400">
        <w:t>Bilateral and multilateral work with energy trading partners to align, accept and recognise a potential GO scheme for the trade of Australian hydrogen globally.</w:t>
      </w:r>
    </w:p>
    <w:p w14:paraId="256DB17E" w14:textId="5AB7D17E" w:rsidR="000D3400" w:rsidRDefault="006164E4" w:rsidP="00AE5FB7">
      <w:pPr>
        <w:pStyle w:val="ListParagraph"/>
        <w:numPr>
          <w:ilvl w:val="0"/>
          <w:numId w:val="48"/>
        </w:numPr>
        <w:ind w:left="714" w:hanging="357"/>
      </w:pPr>
      <w:r w:rsidRPr="000D3400">
        <w:t xml:space="preserve">Ongoing and active participation through the </w:t>
      </w:r>
      <w:r w:rsidR="008C7686">
        <w:t>IPHE</w:t>
      </w:r>
      <w:r w:rsidRPr="000D3400">
        <w:t xml:space="preserve"> to develop internationally agreed accounting methodologies.</w:t>
      </w:r>
    </w:p>
    <w:p w14:paraId="3CF21DC5" w14:textId="7E58E84B" w:rsidR="000D3400" w:rsidRDefault="000D3400">
      <w:pPr>
        <w:pStyle w:val="ListParagraph"/>
        <w:numPr>
          <w:ilvl w:val="0"/>
          <w:numId w:val="48"/>
        </w:numPr>
        <w:ind w:left="714" w:hanging="357"/>
        <w:contextualSpacing w:val="0"/>
      </w:pPr>
      <w:r w:rsidRPr="000D3400">
        <w:t>Targeted consultation with renewable electricity stakeholders during August and September 2022. Stakeholders explored the need for renewable electricity certification and possible scheme design features.</w:t>
      </w:r>
    </w:p>
    <w:p w14:paraId="41D398A8" w14:textId="4098EC3A" w:rsidR="00EE27A4" w:rsidRDefault="00EE27A4" w:rsidP="004D07EF"/>
    <w:p w14:paraId="3CB7A58C" w14:textId="77777777" w:rsidR="00980592" w:rsidRDefault="00980592">
      <w:r>
        <w:br w:type="page"/>
      </w:r>
    </w:p>
    <w:p w14:paraId="02A6D0E9" w14:textId="2D000B93" w:rsidR="00E6567D" w:rsidRPr="00587360" w:rsidRDefault="00E6567D" w:rsidP="00311B15">
      <w:pPr>
        <w:pStyle w:val="Title"/>
        <w:numPr>
          <w:ilvl w:val="0"/>
          <w:numId w:val="104"/>
        </w:numPr>
        <w:tabs>
          <w:tab w:val="left" w:pos="426"/>
        </w:tabs>
        <w:ind w:left="0" w:firstLine="0"/>
        <w:rPr>
          <w:sz w:val="36"/>
          <w:szCs w:val="36"/>
        </w:rPr>
      </w:pPr>
      <w:bookmarkStart w:id="45" w:name="_Toc720427943"/>
      <w:bookmarkStart w:id="46" w:name="_Toc175312089"/>
      <w:r w:rsidRPr="00311B15">
        <w:rPr>
          <w:sz w:val="36"/>
          <w:szCs w:val="36"/>
        </w:rPr>
        <w:lastRenderedPageBreak/>
        <w:t>What is the best option from those you have considered?</w:t>
      </w:r>
      <w:bookmarkEnd w:id="45"/>
      <w:bookmarkEnd w:id="46"/>
    </w:p>
    <w:p w14:paraId="2FED34FF" w14:textId="68D7D1A3" w:rsidR="00AE7821" w:rsidRDefault="00B628F4" w:rsidP="00831C46">
      <w:pPr>
        <w:pStyle w:val="BodyText"/>
        <w:rPr>
          <w:rFonts w:cstheme="minorHAnsi"/>
          <w:color w:val="auto"/>
        </w:rPr>
      </w:pPr>
      <w:r w:rsidRPr="002646D6">
        <w:rPr>
          <w:rFonts w:cstheme="minorHAnsi"/>
          <w:color w:val="auto"/>
        </w:rPr>
        <w:t>The identified objectives of this policy are to</w:t>
      </w:r>
      <w:r w:rsidR="00052772">
        <w:rPr>
          <w:rFonts w:cstheme="minorHAnsi"/>
          <w:color w:val="auto"/>
        </w:rPr>
        <w:t xml:space="preserve"> </w:t>
      </w:r>
      <w:r w:rsidR="00052772" w:rsidRPr="00052772">
        <w:rPr>
          <w:rFonts w:cstheme="minorHAnsi"/>
          <w:color w:val="auto"/>
        </w:rPr>
        <w:t xml:space="preserve">accelerate the commerciality of low emissions products, promote private investment in the renewables industry, and ensure continuity for renewable electricity producers post-2030. It </w:t>
      </w:r>
      <w:r w:rsidR="002566F9">
        <w:rPr>
          <w:rFonts w:cstheme="minorHAnsi"/>
          <w:color w:val="auto"/>
        </w:rPr>
        <w:t xml:space="preserve">must </w:t>
      </w:r>
      <w:r w:rsidR="00052772" w:rsidRPr="00052772">
        <w:rPr>
          <w:rFonts w:cstheme="minorHAnsi"/>
          <w:color w:val="auto"/>
        </w:rPr>
        <w:t xml:space="preserve">also provide transparent, trusted, and accurate emissions information that integrates with government schemes, verifies eligibility for </w:t>
      </w:r>
      <w:r w:rsidR="002566F9">
        <w:rPr>
          <w:rFonts w:cstheme="minorHAnsi"/>
          <w:color w:val="auto"/>
        </w:rPr>
        <w:t>domestic product</w:t>
      </w:r>
      <w:r w:rsidR="00052772" w:rsidRPr="00052772">
        <w:rPr>
          <w:rFonts w:cstheme="minorHAnsi"/>
          <w:color w:val="auto"/>
        </w:rPr>
        <w:t xml:space="preserve"> incentives, and support recogni</w:t>
      </w:r>
      <w:r w:rsidR="002566F9">
        <w:rPr>
          <w:rFonts w:cstheme="minorHAnsi"/>
          <w:color w:val="auto"/>
        </w:rPr>
        <w:t>s</w:t>
      </w:r>
      <w:r w:rsidR="00052772" w:rsidRPr="00052772">
        <w:rPr>
          <w:rFonts w:cstheme="minorHAnsi"/>
          <w:color w:val="auto"/>
        </w:rPr>
        <w:t>ed claims by producers and consumers both domestically and internationally</w:t>
      </w:r>
      <w:r w:rsidR="00EB19CB">
        <w:rPr>
          <w:rFonts w:cstheme="minorHAnsi"/>
          <w:color w:val="auto"/>
        </w:rPr>
        <w:t>.</w:t>
      </w:r>
    </w:p>
    <w:p w14:paraId="26C11167" w14:textId="3A3688AB" w:rsidR="00ED129D" w:rsidRDefault="00E458E4" w:rsidP="00831C46">
      <w:pPr>
        <w:pStyle w:val="BodyText"/>
        <w:rPr>
          <w:rFonts w:cstheme="minorHAnsi"/>
          <w:color w:val="auto"/>
        </w:rPr>
      </w:pPr>
      <w:r>
        <w:rPr>
          <w:rFonts w:cstheme="minorHAnsi"/>
          <w:color w:val="auto"/>
        </w:rPr>
        <w:t xml:space="preserve">Based on </w:t>
      </w:r>
      <w:r w:rsidR="007D668B">
        <w:rPr>
          <w:rFonts w:cstheme="minorHAnsi"/>
          <w:color w:val="auto"/>
        </w:rPr>
        <w:t xml:space="preserve">delivery of these objectives, and assessment of the relative costs and </w:t>
      </w:r>
      <w:r w:rsidR="00DD04EE">
        <w:rPr>
          <w:rFonts w:cstheme="minorHAnsi"/>
          <w:color w:val="auto"/>
        </w:rPr>
        <w:t>benefits</w:t>
      </w:r>
      <w:r w:rsidR="00AE7821">
        <w:rPr>
          <w:rFonts w:cstheme="minorHAnsi"/>
          <w:color w:val="auto"/>
        </w:rPr>
        <w:t>, t</w:t>
      </w:r>
      <w:r w:rsidR="00234101" w:rsidRPr="00234101">
        <w:rPr>
          <w:rFonts w:cstheme="minorHAnsi"/>
          <w:color w:val="auto"/>
        </w:rPr>
        <w:t xml:space="preserve">he </w:t>
      </w:r>
      <w:r w:rsidR="00A1462A">
        <w:rPr>
          <w:rFonts w:cstheme="minorHAnsi"/>
          <w:color w:val="auto"/>
        </w:rPr>
        <w:t>best option from those considered</w:t>
      </w:r>
      <w:r w:rsidR="00234101" w:rsidRPr="00234101">
        <w:rPr>
          <w:rFonts w:cstheme="minorHAnsi"/>
          <w:color w:val="auto"/>
        </w:rPr>
        <w:t xml:space="preserve"> is the regulatory approach outlined in Option 3</w:t>
      </w:r>
      <w:r w:rsidR="00AE7821">
        <w:rPr>
          <w:rFonts w:cstheme="minorHAnsi"/>
          <w:color w:val="auto"/>
        </w:rPr>
        <w:t xml:space="preserve"> -</w:t>
      </w:r>
      <w:r w:rsidR="00234101" w:rsidRPr="00234101">
        <w:rPr>
          <w:rFonts w:cstheme="minorHAnsi"/>
          <w:color w:val="auto"/>
        </w:rPr>
        <w:t xml:space="preserve"> Australian Government administration of a GO Scheme.</w:t>
      </w:r>
      <w:r w:rsidR="002058BA">
        <w:rPr>
          <w:rFonts w:cstheme="minorHAnsi"/>
          <w:color w:val="auto"/>
        </w:rPr>
        <w:t xml:space="preserve"> </w:t>
      </w:r>
      <w:r w:rsidR="004D187B">
        <w:rPr>
          <w:rFonts w:cstheme="minorHAnsi"/>
          <w:color w:val="auto"/>
        </w:rPr>
        <w:t xml:space="preserve">We have </w:t>
      </w:r>
      <w:r w:rsidR="00AE7821">
        <w:rPr>
          <w:rFonts w:cstheme="minorHAnsi"/>
          <w:color w:val="auto"/>
        </w:rPr>
        <w:t xml:space="preserve">also </w:t>
      </w:r>
      <w:r w:rsidR="004D187B">
        <w:rPr>
          <w:rFonts w:cstheme="minorHAnsi"/>
          <w:color w:val="auto"/>
        </w:rPr>
        <w:t>considered the following i</w:t>
      </w:r>
      <w:r w:rsidR="00ED129D">
        <w:rPr>
          <w:rFonts w:cstheme="minorHAnsi"/>
          <w:color w:val="auto"/>
        </w:rPr>
        <w:t xml:space="preserve">n </w:t>
      </w:r>
      <w:r w:rsidR="009F059A">
        <w:rPr>
          <w:rFonts w:cstheme="minorHAnsi"/>
          <w:color w:val="auto"/>
        </w:rPr>
        <w:t>assessing</w:t>
      </w:r>
      <w:r w:rsidR="00ED129D">
        <w:rPr>
          <w:rFonts w:cstheme="minorHAnsi"/>
          <w:color w:val="auto"/>
        </w:rPr>
        <w:t xml:space="preserve"> th</w:t>
      </w:r>
      <w:r w:rsidR="004D187B">
        <w:rPr>
          <w:rFonts w:cstheme="minorHAnsi"/>
          <w:color w:val="auto"/>
        </w:rPr>
        <w:t>is as the</w:t>
      </w:r>
      <w:r w:rsidR="00ED129D">
        <w:rPr>
          <w:rFonts w:cstheme="minorHAnsi"/>
          <w:color w:val="auto"/>
        </w:rPr>
        <w:t xml:space="preserve"> best option</w:t>
      </w:r>
      <w:r w:rsidR="00B95EFE">
        <w:rPr>
          <w:rFonts w:cstheme="minorHAnsi"/>
          <w:color w:val="auto"/>
        </w:rPr>
        <w:t>:</w:t>
      </w:r>
    </w:p>
    <w:p w14:paraId="46C31A85" w14:textId="34D6AC35" w:rsidR="00D76E98" w:rsidRDefault="00D223A4" w:rsidP="004362DF">
      <w:pPr>
        <w:pStyle w:val="BodyText"/>
        <w:numPr>
          <w:ilvl w:val="0"/>
          <w:numId w:val="88"/>
        </w:numPr>
        <w:ind w:left="714" w:hanging="357"/>
        <w:contextualSpacing/>
        <w:rPr>
          <w:rFonts w:cstheme="minorHAnsi"/>
          <w:color w:val="auto"/>
        </w:rPr>
      </w:pPr>
      <w:r>
        <w:rPr>
          <w:rFonts w:cstheme="minorHAnsi"/>
          <w:color w:val="auto"/>
        </w:rPr>
        <w:t>RBE</w:t>
      </w:r>
      <w:r w:rsidR="009045C9">
        <w:rPr>
          <w:rFonts w:cstheme="minorHAnsi"/>
          <w:color w:val="auto"/>
        </w:rPr>
        <w:t xml:space="preserve">s </w:t>
      </w:r>
      <w:r w:rsidR="00AE19D5">
        <w:rPr>
          <w:rFonts w:cstheme="minorHAnsi"/>
          <w:color w:val="auto"/>
        </w:rPr>
        <w:t xml:space="preserve">of </w:t>
      </w:r>
      <w:r w:rsidR="002C58BE">
        <w:rPr>
          <w:rFonts w:cstheme="minorHAnsi"/>
          <w:color w:val="auto"/>
        </w:rPr>
        <w:t xml:space="preserve">each option </w:t>
      </w:r>
      <w:r w:rsidR="003E52C9">
        <w:rPr>
          <w:rFonts w:cstheme="minorHAnsi"/>
          <w:color w:val="auto"/>
        </w:rPr>
        <w:t>that compare</w:t>
      </w:r>
      <w:r w:rsidR="00E44C11">
        <w:rPr>
          <w:rFonts w:cstheme="minorHAnsi"/>
          <w:color w:val="auto"/>
        </w:rPr>
        <w:t xml:space="preserve"> the</w:t>
      </w:r>
      <w:r w:rsidR="0021165C">
        <w:rPr>
          <w:rFonts w:cstheme="minorHAnsi"/>
          <w:color w:val="auto"/>
        </w:rPr>
        <w:t xml:space="preserve"> </w:t>
      </w:r>
      <w:r w:rsidR="004F22B1">
        <w:rPr>
          <w:rFonts w:cstheme="minorHAnsi"/>
          <w:color w:val="auto"/>
        </w:rPr>
        <w:t xml:space="preserve">impact and </w:t>
      </w:r>
      <w:r w:rsidR="00122AAC">
        <w:rPr>
          <w:rFonts w:cstheme="minorHAnsi"/>
          <w:color w:val="auto"/>
        </w:rPr>
        <w:t>cost</w:t>
      </w:r>
      <w:r w:rsidR="00E44C11">
        <w:rPr>
          <w:rFonts w:cstheme="minorHAnsi"/>
          <w:color w:val="auto"/>
        </w:rPr>
        <w:t>s</w:t>
      </w:r>
      <w:r w:rsidR="004F22B1">
        <w:rPr>
          <w:rFonts w:cstheme="minorHAnsi"/>
          <w:color w:val="auto"/>
        </w:rPr>
        <w:t xml:space="preserve"> </w:t>
      </w:r>
      <w:r w:rsidR="00391AF8">
        <w:rPr>
          <w:rFonts w:cstheme="minorHAnsi"/>
          <w:color w:val="auto"/>
        </w:rPr>
        <w:t xml:space="preserve">of participation for </w:t>
      </w:r>
      <w:r w:rsidR="003F7AD7">
        <w:rPr>
          <w:rFonts w:cstheme="minorHAnsi"/>
          <w:color w:val="auto"/>
        </w:rPr>
        <w:t xml:space="preserve">businesses </w:t>
      </w:r>
      <w:r w:rsidR="00122AAC">
        <w:rPr>
          <w:rFonts w:cstheme="minorHAnsi"/>
          <w:color w:val="auto"/>
        </w:rPr>
        <w:t>over the</w:t>
      </w:r>
      <w:r w:rsidR="00A0570C">
        <w:rPr>
          <w:rFonts w:cstheme="minorHAnsi"/>
          <w:color w:val="auto"/>
        </w:rPr>
        <w:t xml:space="preserve"> short and</w:t>
      </w:r>
      <w:r w:rsidR="00122AAC">
        <w:rPr>
          <w:rFonts w:cstheme="minorHAnsi"/>
          <w:color w:val="auto"/>
        </w:rPr>
        <w:t xml:space="preserve"> long-term</w:t>
      </w:r>
      <w:r w:rsidR="002C58BE">
        <w:rPr>
          <w:rFonts w:cstheme="minorHAnsi"/>
          <w:color w:val="auto"/>
        </w:rPr>
        <w:t>.</w:t>
      </w:r>
    </w:p>
    <w:p w14:paraId="2ABC550C" w14:textId="1E2CA0D0" w:rsidR="00AA555F" w:rsidRPr="00AA555F" w:rsidRDefault="00105DA9" w:rsidP="00587360">
      <w:pPr>
        <w:pStyle w:val="BodyText"/>
        <w:numPr>
          <w:ilvl w:val="0"/>
          <w:numId w:val="88"/>
        </w:numPr>
        <w:ind w:left="714" w:hanging="357"/>
        <w:contextualSpacing/>
        <w:rPr>
          <w:rFonts w:cstheme="minorHAnsi"/>
          <w:color w:val="auto"/>
        </w:rPr>
      </w:pPr>
      <w:r w:rsidRPr="39C7ECAD">
        <w:rPr>
          <w:color w:val="auto"/>
        </w:rPr>
        <w:t xml:space="preserve">Net benefit </w:t>
      </w:r>
      <w:r w:rsidR="001E3F41" w:rsidRPr="39C7ECAD">
        <w:rPr>
          <w:color w:val="auto"/>
        </w:rPr>
        <w:t>a</w:t>
      </w:r>
      <w:r w:rsidR="00AA555F" w:rsidRPr="39C7ECAD">
        <w:rPr>
          <w:color w:val="auto"/>
        </w:rPr>
        <w:t xml:space="preserve">nalysis to compare </w:t>
      </w:r>
      <w:r w:rsidR="009B6EC3" w:rsidRPr="39C7ECAD">
        <w:rPr>
          <w:color w:val="auto"/>
        </w:rPr>
        <w:t xml:space="preserve">the potential of </w:t>
      </w:r>
      <w:r w:rsidR="00830C9C" w:rsidRPr="39C7ECAD">
        <w:rPr>
          <w:color w:val="auto"/>
        </w:rPr>
        <w:t>each option to</w:t>
      </w:r>
      <w:r w:rsidR="00E9476F" w:rsidRPr="39C7ECAD">
        <w:rPr>
          <w:color w:val="auto"/>
        </w:rPr>
        <w:t xml:space="preserve"> realise </w:t>
      </w:r>
      <w:r w:rsidR="00496799" w:rsidRPr="39C7ECAD">
        <w:rPr>
          <w:color w:val="auto"/>
        </w:rPr>
        <w:t xml:space="preserve">certain </w:t>
      </w:r>
      <w:r w:rsidR="00AA555F" w:rsidRPr="39C7ECAD">
        <w:rPr>
          <w:color w:val="auto"/>
        </w:rPr>
        <w:t>benefit</w:t>
      </w:r>
      <w:r w:rsidR="00E9476F" w:rsidRPr="39C7ECAD">
        <w:rPr>
          <w:color w:val="auto"/>
        </w:rPr>
        <w:t>s</w:t>
      </w:r>
      <w:r w:rsidR="00AA555F" w:rsidRPr="39C7ECAD">
        <w:rPr>
          <w:color w:val="auto"/>
        </w:rPr>
        <w:t xml:space="preserve"> for the broader Australian community and economy.</w:t>
      </w:r>
    </w:p>
    <w:p w14:paraId="7C0FCC5B" w14:textId="5364BACD" w:rsidR="00B95EFE" w:rsidRDefault="00E90B7F" w:rsidP="004362DF">
      <w:pPr>
        <w:pStyle w:val="BodyText"/>
        <w:numPr>
          <w:ilvl w:val="0"/>
          <w:numId w:val="88"/>
        </w:numPr>
        <w:ind w:left="714" w:hanging="357"/>
        <w:rPr>
          <w:rFonts w:cstheme="minorHAnsi"/>
          <w:color w:val="auto"/>
        </w:rPr>
      </w:pPr>
      <w:r>
        <w:rPr>
          <w:rFonts w:cstheme="minorHAnsi"/>
          <w:color w:val="auto"/>
        </w:rPr>
        <w:t>F</w:t>
      </w:r>
      <w:r w:rsidR="00B2290F">
        <w:rPr>
          <w:rFonts w:cstheme="minorHAnsi"/>
          <w:color w:val="auto"/>
        </w:rPr>
        <w:t>eedback received</w:t>
      </w:r>
      <w:r w:rsidR="00977822">
        <w:rPr>
          <w:rFonts w:cstheme="minorHAnsi"/>
          <w:color w:val="auto"/>
        </w:rPr>
        <w:t xml:space="preserve"> from stakeholders</w:t>
      </w:r>
      <w:r w:rsidR="00B2290F">
        <w:rPr>
          <w:rFonts w:cstheme="minorHAnsi"/>
          <w:color w:val="auto"/>
        </w:rPr>
        <w:t xml:space="preserve"> thorough </w:t>
      </w:r>
      <w:r w:rsidR="00963A8B">
        <w:rPr>
          <w:rFonts w:cstheme="minorHAnsi"/>
          <w:color w:val="auto"/>
        </w:rPr>
        <w:t xml:space="preserve">public </w:t>
      </w:r>
      <w:r w:rsidR="002B73C4">
        <w:rPr>
          <w:rFonts w:cstheme="minorHAnsi"/>
          <w:color w:val="auto"/>
        </w:rPr>
        <w:t>consultation</w:t>
      </w:r>
      <w:r w:rsidR="0074713B">
        <w:rPr>
          <w:rFonts w:cstheme="minorHAnsi"/>
          <w:color w:val="auto"/>
        </w:rPr>
        <w:t>s</w:t>
      </w:r>
      <w:r w:rsidR="00B2290F">
        <w:rPr>
          <w:rFonts w:cstheme="minorHAnsi"/>
          <w:color w:val="auto"/>
        </w:rPr>
        <w:t xml:space="preserve"> </w:t>
      </w:r>
      <w:r w:rsidR="000D5F2F">
        <w:rPr>
          <w:rFonts w:cstheme="minorHAnsi"/>
          <w:color w:val="auto"/>
        </w:rPr>
        <w:t>since</w:t>
      </w:r>
      <w:r w:rsidR="00B2290F">
        <w:rPr>
          <w:rFonts w:cstheme="minorHAnsi"/>
          <w:color w:val="auto"/>
        </w:rPr>
        <w:t xml:space="preserve"> </w:t>
      </w:r>
      <w:r w:rsidR="009A47F6">
        <w:rPr>
          <w:rFonts w:cstheme="minorHAnsi"/>
          <w:color w:val="auto"/>
        </w:rPr>
        <w:t>2020</w:t>
      </w:r>
      <w:r w:rsidR="006C43CC">
        <w:rPr>
          <w:rFonts w:cstheme="minorHAnsi"/>
          <w:color w:val="auto"/>
        </w:rPr>
        <w:t xml:space="preserve"> to the present</w:t>
      </w:r>
      <w:r w:rsidR="00882F6B">
        <w:rPr>
          <w:rFonts w:cstheme="minorHAnsi"/>
          <w:color w:val="auto"/>
        </w:rPr>
        <w:t>.</w:t>
      </w:r>
    </w:p>
    <w:p w14:paraId="0207418E" w14:textId="5C40A138" w:rsidR="009166DA" w:rsidRDefault="00CB6F4F" w:rsidP="00676685">
      <w:pPr>
        <w:pStyle w:val="BodyText"/>
        <w:rPr>
          <w:color w:val="auto"/>
        </w:rPr>
      </w:pPr>
      <w:r w:rsidRPr="46E99C09">
        <w:rPr>
          <w:color w:val="auto"/>
        </w:rPr>
        <w:t xml:space="preserve">This </w:t>
      </w:r>
      <w:r w:rsidR="003A3863" w:rsidRPr="46E99C09">
        <w:rPr>
          <w:color w:val="auto"/>
        </w:rPr>
        <w:t>model</w:t>
      </w:r>
      <w:r w:rsidR="00676685" w:rsidRPr="46E99C09">
        <w:rPr>
          <w:color w:val="auto"/>
        </w:rPr>
        <w:t xml:space="preserve"> </w:t>
      </w:r>
      <w:r w:rsidR="005A1D3D" w:rsidRPr="46E99C09">
        <w:rPr>
          <w:color w:val="auto"/>
        </w:rPr>
        <w:t xml:space="preserve">has </w:t>
      </w:r>
      <w:r w:rsidR="00F16C93" w:rsidRPr="46E99C09">
        <w:rPr>
          <w:color w:val="auto"/>
        </w:rPr>
        <w:t>guid</w:t>
      </w:r>
      <w:r w:rsidR="005A1D3D" w:rsidRPr="46E99C09">
        <w:rPr>
          <w:color w:val="auto"/>
        </w:rPr>
        <w:t>ed</w:t>
      </w:r>
      <w:r w:rsidR="00457B60" w:rsidRPr="46E99C09">
        <w:rPr>
          <w:color w:val="auto"/>
        </w:rPr>
        <w:t xml:space="preserve"> our decision making by </w:t>
      </w:r>
      <w:r w:rsidR="00676685" w:rsidRPr="46E99C09">
        <w:rPr>
          <w:color w:val="auto"/>
        </w:rPr>
        <w:t>provid</w:t>
      </w:r>
      <w:r w:rsidR="00457B60" w:rsidRPr="46E99C09">
        <w:rPr>
          <w:color w:val="auto"/>
        </w:rPr>
        <w:t>ing</w:t>
      </w:r>
      <w:r w:rsidR="00676685" w:rsidRPr="46E99C09">
        <w:rPr>
          <w:color w:val="auto"/>
        </w:rPr>
        <w:t xml:space="preserve"> an objective framework for comparing the different impacts and benefits we can expect under each option. This objectivity is supported by converting impacts, where possible, into present value dollar terms. </w:t>
      </w:r>
      <w:r w:rsidR="006C43CC">
        <w:rPr>
          <w:color w:val="auto"/>
        </w:rPr>
        <w:t>T</w:t>
      </w:r>
      <w:r w:rsidR="001D07BD" w:rsidRPr="46E99C09">
        <w:rPr>
          <w:color w:val="auto"/>
        </w:rPr>
        <w:t xml:space="preserve">he </w:t>
      </w:r>
      <w:r w:rsidR="00676685" w:rsidRPr="46E99C09">
        <w:rPr>
          <w:color w:val="auto"/>
        </w:rPr>
        <w:t xml:space="preserve">quantification of these impacts and benefits </w:t>
      </w:r>
      <w:r w:rsidR="001D07BD" w:rsidRPr="46E99C09">
        <w:rPr>
          <w:color w:val="auto"/>
        </w:rPr>
        <w:t>are estimates only</w:t>
      </w:r>
      <w:r w:rsidR="469EBC60" w:rsidRPr="46E99C09">
        <w:rPr>
          <w:color w:val="auto"/>
        </w:rPr>
        <w:t xml:space="preserve">, </w:t>
      </w:r>
      <w:r w:rsidR="00586834" w:rsidRPr="46E99C09">
        <w:rPr>
          <w:color w:val="auto"/>
        </w:rPr>
        <w:t xml:space="preserve">as certain </w:t>
      </w:r>
      <w:r w:rsidR="00586834" w:rsidRPr="00603007">
        <w:rPr>
          <w:color w:val="auto"/>
        </w:rPr>
        <w:t xml:space="preserve">parameters </w:t>
      </w:r>
      <w:r w:rsidR="00615F72" w:rsidRPr="00603007">
        <w:rPr>
          <w:color w:val="auto"/>
        </w:rPr>
        <w:t>(sector use, extent of usage etc.)</w:t>
      </w:r>
      <w:r w:rsidR="00AE04D3" w:rsidRPr="00603007">
        <w:rPr>
          <w:color w:val="auto"/>
        </w:rPr>
        <w:t xml:space="preserve"> </w:t>
      </w:r>
      <w:r w:rsidR="00586834" w:rsidRPr="00603007">
        <w:rPr>
          <w:color w:val="auto"/>
        </w:rPr>
        <w:t xml:space="preserve">are </w:t>
      </w:r>
      <w:r w:rsidR="00615F72" w:rsidRPr="00603007">
        <w:rPr>
          <w:color w:val="auto"/>
        </w:rPr>
        <w:t>still</w:t>
      </w:r>
      <w:r w:rsidR="00586834" w:rsidRPr="00603007">
        <w:rPr>
          <w:color w:val="auto"/>
        </w:rPr>
        <w:t xml:space="preserve"> be</w:t>
      </w:r>
      <w:r w:rsidR="00615F72" w:rsidRPr="00603007">
        <w:rPr>
          <w:color w:val="auto"/>
        </w:rPr>
        <w:t>ing</w:t>
      </w:r>
      <w:r w:rsidR="00586834" w:rsidRPr="00603007">
        <w:rPr>
          <w:color w:val="auto"/>
        </w:rPr>
        <w:t xml:space="preserve"> determined</w:t>
      </w:r>
      <w:r w:rsidR="0097529D">
        <w:rPr>
          <w:color w:val="auto"/>
        </w:rPr>
        <w:t xml:space="preserve"> or are otherwise qualitative</w:t>
      </w:r>
      <w:r w:rsidR="00676685" w:rsidRPr="00603007">
        <w:rPr>
          <w:color w:val="auto"/>
        </w:rPr>
        <w:t>.</w:t>
      </w:r>
      <w:r w:rsidR="00030CC3" w:rsidRPr="46E99C09">
        <w:rPr>
          <w:color w:val="auto"/>
        </w:rPr>
        <w:t xml:space="preserve"> </w:t>
      </w:r>
    </w:p>
    <w:p w14:paraId="68FBA1C1" w14:textId="55E37385" w:rsidR="00676685" w:rsidRDefault="00CF0745" w:rsidP="00587360">
      <w:pPr>
        <w:pStyle w:val="BodyText"/>
        <w:rPr>
          <w:color w:val="auto"/>
        </w:rPr>
      </w:pPr>
      <w:r w:rsidRPr="39C7ECAD">
        <w:rPr>
          <w:color w:val="auto"/>
        </w:rPr>
        <w:t>Our</w:t>
      </w:r>
      <w:r w:rsidR="00E17FFE" w:rsidRPr="39C7ECAD">
        <w:rPr>
          <w:color w:val="auto"/>
        </w:rPr>
        <w:t xml:space="preserve"> </w:t>
      </w:r>
      <w:r w:rsidR="00EC6C0B" w:rsidRPr="39C7ECAD">
        <w:rPr>
          <w:color w:val="auto"/>
        </w:rPr>
        <w:t xml:space="preserve">quantitative </w:t>
      </w:r>
      <w:r w:rsidR="00E17FFE" w:rsidRPr="39C7ECAD">
        <w:rPr>
          <w:color w:val="auto"/>
        </w:rPr>
        <w:t>analysis is com</w:t>
      </w:r>
      <w:r w:rsidR="00EE16AF" w:rsidRPr="39C7ECAD">
        <w:rPr>
          <w:color w:val="auto"/>
        </w:rPr>
        <w:t>par</w:t>
      </w:r>
      <w:r w:rsidR="00E17FFE" w:rsidRPr="39C7ECAD">
        <w:rPr>
          <w:color w:val="auto"/>
        </w:rPr>
        <w:t>ed with feedback</w:t>
      </w:r>
      <w:r w:rsidR="006E7348" w:rsidRPr="39C7ECAD">
        <w:rPr>
          <w:color w:val="auto"/>
        </w:rPr>
        <w:t xml:space="preserve"> received through consultation</w:t>
      </w:r>
      <w:r w:rsidR="00E17FFE" w:rsidRPr="39C7ECAD">
        <w:rPr>
          <w:color w:val="auto"/>
        </w:rPr>
        <w:t xml:space="preserve"> </w:t>
      </w:r>
      <w:r w:rsidR="00EE16AF" w:rsidRPr="39C7ECAD">
        <w:rPr>
          <w:color w:val="auto"/>
        </w:rPr>
        <w:t xml:space="preserve">to </w:t>
      </w:r>
      <w:r w:rsidR="005C1893" w:rsidRPr="39C7ECAD">
        <w:rPr>
          <w:color w:val="auto"/>
        </w:rPr>
        <w:t xml:space="preserve">verify </w:t>
      </w:r>
      <w:r w:rsidR="007D3A95" w:rsidRPr="39C7ECAD">
        <w:rPr>
          <w:color w:val="auto"/>
        </w:rPr>
        <w:t>it</w:t>
      </w:r>
      <w:r w:rsidR="005C1893" w:rsidRPr="39C7ECAD">
        <w:rPr>
          <w:color w:val="auto"/>
        </w:rPr>
        <w:t xml:space="preserve"> </w:t>
      </w:r>
      <w:r w:rsidR="0079436A" w:rsidRPr="39C7ECAD">
        <w:rPr>
          <w:color w:val="auto"/>
        </w:rPr>
        <w:t xml:space="preserve">aligns </w:t>
      </w:r>
      <w:r w:rsidR="005C1893" w:rsidRPr="39C7ECAD">
        <w:rPr>
          <w:color w:val="auto"/>
        </w:rPr>
        <w:t xml:space="preserve">with the </w:t>
      </w:r>
      <w:r w:rsidR="006C43CC" w:rsidRPr="39C7ECAD">
        <w:rPr>
          <w:color w:val="auto"/>
        </w:rPr>
        <w:t>stakeholders</w:t>
      </w:r>
      <w:r w:rsidR="006C43CC">
        <w:rPr>
          <w:color w:val="auto"/>
        </w:rPr>
        <w:t xml:space="preserve">' </w:t>
      </w:r>
      <w:r w:rsidR="71E0D1CB" w:rsidRPr="39C7ECAD">
        <w:rPr>
          <w:color w:val="auto"/>
        </w:rPr>
        <w:t>preferences</w:t>
      </w:r>
      <w:r w:rsidR="005C1893" w:rsidRPr="39C7ECAD">
        <w:rPr>
          <w:color w:val="auto"/>
        </w:rPr>
        <w:t>, who</w:t>
      </w:r>
      <w:r w:rsidR="00E01CC8">
        <w:rPr>
          <w:color w:val="auto"/>
        </w:rPr>
        <w:t>m</w:t>
      </w:r>
      <w:r w:rsidR="005C1893" w:rsidRPr="39C7ECAD">
        <w:rPr>
          <w:color w:val="auto"/>
        </w:rPr>
        <w:t xml:space="preserve"> in large part will be </w:t>
      </w:r>
      <w:r w:rsidR="0044486F" w:rsidRPr="39C7ECAD">
        <w:rPr>
          <w:color w:val="auto"/>
        </w:rPr>
        <w:t xml:space="preserve">future </w:t>
      </w:r>
      <w:r w:rsidR="0079436A" w:rsidRPr="39C7ECAD">
        <w:rPr>
          <w:color w:val="auto"/>
        </w:rPr>
        <w:t xml:space="preserve">scheme </w:t>
      </w:r>
      <w:r w:rsidR="0044486F" w:rsidRPr="39C7ECAD">
        <w:rPr>
          <w:color w:val="auto"/>
        </w:rPr>
        <w:t>participants</w:t>
      </w:r>
      <w:r w:rsidR="005C1893" w:rsidRPr="39C7ECAD">
        <w:rPr>
          <w:color w:val="auto"/>
        </w:rPr>
        <w:t xml:space="preserve">. </w:t>
      </w:r>
      <w:r w:rsidR="00E01CC8">
        <w:rPr>
          <w:color w:val="auto"/>
        </w:rPr>
        <w:t>Our detailed</w:t>
      </w:r>
      <w:r w:rsidR="009166DA" w:rsidRPr="39C7ECAD">
        <w:rPr>
          <w:color w:val="auto"/>
        </w:rPr>
        <w:t xml:space="preserve"> assessment including </w:t>
      </w:r>
      <w:r w:rsidR="00030CC3" w:rsidRPr="39C7ECAD">
        <w:rPr>
          <w:color w:val="auto"/>
        </w:rPr>
        <w:t>analysis</w:t>
      </w:r>
      <w:r w:rsidR="0044486F" w:rsidRPr="39C7ECAD">
        <w:rPr>
          <w:color w:val="auto"/>
        </w:rPr>
        <w:t xml:space="preserve"> </w:t>
      </w:r>
      <w:r w:rsidR="00030CC3" w:rsidRPr="39C7ECAD">
        <w:rPr>
          <w:color w:val="auto"/>
        </w:rPr>
        <w:t>and caveats on quantification are included below.</w:t>
      </w:r>
    </w:p>
    <w:p w14:paraId="066A4CEA" w14:textId="155EBCEE" w:rsidR="00A07AD3" w:rsidRPr="00587360" w:rsidRDefault="00A07AD3" w:rsidP="00831C46">
      <w:pPr>
        <w:pStyle w:val="BodyText"/>
        <w:rPr>
          <w:rFonts w:cstheme="minorHAnsi"/>
          <w:b/>
          <w:bCs/>
          <w:color w:val="auto"/>
        </w:rPr>
      </w:pPr>
      <w:r w:rsidRPr="00587360">
        <w:rPr>
          <w:b/>
          <w:color w:val="auto"/>
        </w:rPr>
        <w:t>RBE analysis</w:t>
      </w:r>
      <w:r w:rsidR="00366578">
        <w:rPr>
          <w:b/>
          <w:color w:val="auto"/>
        </w:rPr>
        <w:t xml:space="preserve"> and ca</w:t>
      </w:r>
      <w:r w:rsidR="00455BF2">
        <w:rPr>
          <w:b/>
          <w:color w:val="auto"/>
        </w:rPr>
        <w:t>veats</w:t>
      </w:r>
    </w:p>
    <w:p w14:paraId="651EEE16" w14:textId="5EA05914" w:rsidR="00DE40CF" w:rsidRDefault="00C03F7D" w:rsidP="46E99C09">
      <w:pPr>
        <w:rPr>
          <w:color w:val="000000" w:themeColor="text1"/>
        </w:rPr>
      </w:pPr>
      <w:r>
        <w:rPr>
          <w:color w:val="000000" w:themeColor="text1"/>
        </w:rPr>
        <w:t>I</w:t>
      </w:r>
      <w:r w:rsidR="38F6E0FD" w:rsidRPr="00E76953">
        <w:rPr>
          <w:color w:val="000000" w:themeColor="text1"/>
        </w:rPr>
        <w:t xml:space="preserve">nitial costs under </w:t>
      </w:r>
      <w:r>
        <w:rPr>
          <w:color w:val="000000" w:themeColor="text1"/>
        </w:rPr>
        <w:t xml:space="preserve">quasi-regulated </w:t>
      </w:r>
      <w:r w:rsidR="38F6E0FD" w:rsidRPr="00E76953">
        <w:rPr>
          <w:color w:val="000000" w:themeColor="text1"/>
        </w:rPr>
        <w:t>option 2 are lower</w:t>
      </w:r>
      <w:r w:rsidR="00A32DFE">
        <w:rPr>
          <w:color w:val="000000" w:themeColor="text1"/>
        </w:rPr>
        <w:t xml:space="preserve"> than option </w:t>
      </w:r>
      <w:r w:rsidR="003C6FBB">
        <w:rPr>
          <w:color w:val="000000" w:themeColor="text1"/>
        </w:rPr>
        <w:t>3</w:t>
      </w:r>
      <w:r w:rsidR="38F6E0FD" w:rsidRPr="00E76953">
        <w:rPr>
          <w:color w:val="000000" w:themeColor="text1"/>
        </w:rPr>
        <w:t xml:space="preserve">, </w:t>
      </w:r>
      <w:r>
        <w:rPr>
          <w:color w:val="000000" w:themeColor="text1"/>
        </w:rPr>
        <w:t xml:space="preserve">however the </w:t>
      </w:r>
      <w:r w:rsidR="38F6E0FD" w:rsidRPr="00E76953">
        <w:rPr>
          <w:color w:val="000000" w:themeColor="text1"/>
        </w:rPr>
        <w:t>RBE</w:t>
      </w:r>
      <w:r>
        <w:rPr>
          <w:color w:val="000000" w:themeColor="text1"/>
        </w:rPr>
        <w:t>s</w:t>
      </w:r>
      <w:r w:rsidR="38F6E0FD" w:rsidRPr="00E76953">
        <w:rPr>
          <w:color w:val="000000" w:themeColor="text1"/>
        </w:rPr>
        <w:t xml:space="preserve"> indicate that participants would likely experience decreased burden over the long-term under option 3</w:t>
      </w:r>
      <w:r w:rsidR="00612F38" w:rsidRPr="00E76953">
        <w:rPr>
          <w:color w:val="000000" w:themeColor="text1"/>
        </w:rPr>
        <w:t>. P</w:t>
      </w:r>
      <w:r w:rsidR="38F6E0FD" w:rsidRPr="00E76953">
        <w:rPr>
          <w:color w:val="000000" w:themeColor="text1"/>
        </w:rPr>
        <w:t xml:space="preserve">lease see </w:t>
      </w:r>
      <w:r w:rsidR="00641A50">
        <w:rPr>
          <w:color w:val="000000" w:themeColor="text1"/>
        </w:rPr>
        <w:t>Figure 1 above</w:t>
      </w:r>
      <w:r w:rsidR="38F6E0FD" w:rsidRPr="00E76953">
        <w:rPr>
          <w:color w:val="000000" w:themeColor="text1"/>
        </w:rPr>
        <w:t xml:space="preserve"> and the corresponding chart in Appendix (ii) for more detail. </w:t>
      </w:r>
    </w:p>
    <w:p w14:paraId="5DE611DA" w14:textId="08BBF8A0" w:rsidR="009C0716" w:rsidRPr="00E76953" w:rsidRDefault="009C0716" w:rsidP="46E99C09">
      <w:pPr>
        <w:rPr>
          <w:color w:val="000000" w:themeColor="text1"/>
        </w:rPr>
      </w:pPr>
      <w:r>
        <w:rPr>
          <w:color w:val="000000" w:themeColor="text1"/>
        </w:rPr>
        <w:t>The key</w:t>
      </w:r>
      <w:r w:rsidDel="00FA46F1">
        <w:rPr>
          <w:color w:val="000000" w:themeColor="text1"/>
        </w:rPr>
        <w:t xml:space="preserve"> </w:t>
      </w:r>
      <w:r w:rsidR="00FA46F1">
        <w:rPr>
          <w:color w:val="000000" w:themeColor="text1"/>
        </w:rPr>
        <w:t>consideration</w:t>
      </w:r>
      <w:r>
        <w:rPr>
          <w:color w:val="000000" w:themeColor="text1"/>
        </w:rPr>
        <w:t xml:space="preserve"> remains that Option 3 represent</w:t>
      </w:r>
      <w:r w:rsidR="00CA21CA">
        <w:rPr>
          <w:color w:val="000000" w:themeColor="text1"/>
        </w:rPr>
        <w:t>s</w:t>
      </w:r>
      <w:r>
        <w:rPr>
          <w:color w:val="000000" w:themeColor="text1"/>
        </w:rPr>
        <w:t xml:space="preserve"> development of a voluntary scheme, and any associated regulatory burden would </w:t>
      </w:r>
      <w:r w:rsidR="002456B0">
        <w:rPr>
          <w:color w:val="000000" w:themeColor="text1"/>
        </w:rPr>
        <w:t>be elective by entities and industries that wish to access the benefits.</w:t>
      </w:r>
    </w:p>
    <w:p w14:paraId="6D3B3054" w14:textId="738B991E" w:rsidR="00DE40CF" w:rsidRDefault="00F57605" w:rsidP="46E99C09">
      <w:pPr>
        <w:rPr>
          <w:color w:val="auto"/>
        </w:rPr>
      </w:pPr>
      <w:r w:rsidRPr="46E99C09">
        <w:rPr>
          <w:color w:val="auto"/>
        </w:rPr>
        <w:t>T</w:t>
      </w:r>
      <w:r w:rsidR="00C166B9" w:rsidRPr="46E99C09">
        <w:rPr>
          <w:color w:val="auto"/>
        </w:rPr>
        <w:t xml:space="preserve">here are some limitations </w:t>
      </w:r>
      <w:r w:rsidR="00A02ACA" w:rsidRPr="46E99C09">
        <w:rPr>
          <w:color w:val="auto"/>
        </w:rPr>
        <w:t xml:space="preserve">around </w:t>
      </w:r>
      <w:r w:rsidR="005B2DDC" w:rsidRPr="46E99C09">
        <w:rPr>
          <w:color w:val="auto"/>
        </w:rPr>
        <w:t>availab</w:t>
      </w:r>
      <w:r w:rsidR="005178AA" w:rsidRPr="46E99C09">
        <w:rPr>
          <w:color w:val="auto"/>
        </w:rPr>
        <w:t>ility of</w:t>
      </w:r>
      <w:r w:rsidR="005B2DDC" w:rsidRPr="46E99C09">
        <w:rPr>
          <w:color w:val="auto"/>
        </w:rPr>
        <w:t xml:space="preserve"> </w:t>
      </w:r>
      <w:r w:rsidR="00C166B9" w:rsidRPr="46E99C09">
        <w:rPr>
          <w:color w:val="auto"/>
        </w:rPr>
        <w:t>data</w:t>
      </w:r>
      <w:r w:rsidR="00D62268" w:rsidRPr="46E99C09">
        <w:rPr>
          <w:color w:val="auto"/>
        </w:rPr>
        <w:t xml:space="preserve"> on the estimates</w:t>
      </w:r>
      <w:r w:rsidR="00C166B9" w:rsidRPr="46E99C09">
        <w:rPr>
          <w:color w:val="auto"/>
        </w:rPr>
        <w:t>.</w:t>
      </w:r>
      <w:r w:rsidR="00D223A4" w:rsidRPr="46E99C09">
        <w:rPr>
          <w:color w:val="auto"/>
        </w:rPr>
        <w:t xml:space="preserve"> </w:t>
      </w:r>
      <w:r w:rsidR="007232EC" w:rsidRPr="46E99C09">
        <w:rPr>
          <w:color w:val="auto"/>
        </w:rPr>
        <w:t xml:space="preserve">Our RBEs </w:t>
      </w:r>
      <w:r w:rsidR="2C134F4B" w:rsidRPr="46E99C09">
        <w:rPr>
          <w:color w:val="auto"/>
        </w:rPr>
        <w:t>include</w:t>
      </w:r>
      <w:r w:rsidR="00BE3A61">
        <w:rPr>
          <w:color w:val="auto"/>
        </w:rPr>
        <w:t xml:space="preserve"> significant </w:t>
      </w:r>
      <w:r w:rsidR="441F916A" w:rsidRPr="46E99C09">
        <w:rPr>
          <w:color w:val="auto"/>
        </w:rPr>
        <w:t>assumptions regardin</w:t>
      </w:r>
      <w:r w:rsidR="3671417C" w:rsidRPr="46E99C09">
        <w:rPr>
          <w:color w:val="auto"/>
        </w:rPr>
        <w:t>g</w:t>
      </w:r>
      <w:r w:rsidR="00BE3A61">
        <w:rPr>
          <w:color w:val="auto"/>
        </w:rPr>
        <w:t xml:space="preserve"> </w:t>
      </w:r>
      <w:r w:rsidR="00DA3820" w:rsidRPr="46E99C09">
        <w:rPr>
          <w:color w:val="auto"/>
        </w:rPr>
        <w:t>scheme participant</w:t>
      </w:r>
      <w:r w:rsidR="00C9744B" w:rsidRPr="46E99C09">
        <w:rPr>
          <w:color w:val="auto"/>
        </w:rPr>
        <w:t xml:space="preserve"> numbers</w:t>
      </w:r>
      <w:r w:rsidR="00FA153B" w:rsidRPr="46E99C09">
        <w:rPr>
          <w:color w:val="auto"/>
        </w:rPr>
        <w:t xml:space="preserve"> and </w:t>
      </w:r>
      <w:r w:rsidR="00924DCF" w:rsidRPr="46E99C09">
        <w:rPr>
          <w:color w:val="auto"/>
        </w:rPr>
        <w:t>the time and cost impacts of the steps involved in scheme participation</w:t>
      </w:r>
      <w:r w:rsidR="00BE3A61">
        <w:rPr>
          <w:color w:val="auto"/>
        </w:rPr>
        <w:t xml:space="preserve"> or compliance with a modelled code</w:t>
      </w:r>
      <w:r w:rsidR="00833758" w:rsidRPr="46E99C09">
        <w:rPr>
          <w:color w:val="auto"/>
        </w:rPr>
        <w:t xml:space="preserve">. </w:t>
      </w:r>
      <w:r w:rsidR="00DE40CF" w:rsidRPr="46E99C09">
        <w:rPr>
          <w:color w:val="auto"/>
        </w:rPr>
        <w:t xml:space="preserve">We have </w:t>
      </w:r>
      <w:r w:rsidR="0155FB17" w:rsidRPr="46E99C09">
        <w:rPr>
          <w:color w:val="auto"/>
        </w:rPr>
        <w:t xml:space="preserve">maximised </w:t>
      </w:r>
      <w:r w:rsidR="00DE40CF" w:rsidRPr="46E99C09">
        <w:rPr>
          <w:color w:val="auto"/>
        </w:rPr>
        <w:t>estimate</w:t>
      </w:r>
      <w:r w:rsidR="000C1378" w:rsidRPr="46E99C09">
        <w:rPr>
          <w:color w:val="auto"/>
        </w:rPr>
        <w:t>s</w:t>
      </w:r>
      <w:r w:rsidR="00927433" w:rsidRPr="46E99C09">
        <w:rPr>
          <w:color w:val="auto"/>
        </w:rPr>
        <w:t xml:space="preserve"> of </w:t>
      </w:r>
      <w:r w:rsidR="00FB1D66" w:rsidRPr="46E99C09">
        <w:rPr>
          <w:color w:val="auto"/>
        </w:rPr>
        <w:t xml:space="preserve">the impact of </w:t>
      </w:r>
      <w:r w:rsidR="00927433" w:rsidRPr="46E99C09">
        <w:rPr>
          <w:color w:val="auto"/>
        </w:rPr>
        <w:t>each step required to participate in the scheme</w:t>
      </w:r>
      <w:r w:rsidR="00BE3A61">
        <w:rPr>
          <w:color w:val="auto"/>
        </w:rPr>
        <w:t xml:space="preserve"> at Option 3</w:t>
      </w:r>
      <w:r w:rsidR="00927433" w:rsidRPr="46E99C09">
        <w:rPr>
          <w:color w:val="auto"/>
        </w:rPr>
        <w:t xml:space="preserve"> </w:t>
      </w:r>
      <w:r w:rsidR="00FA153B" w:rsidRPr="46E99C09">
        <w:rPr>
          <w:color w:val="auto"/>
        </w:rPr>
        <w:t>to mitigate the risk of</w:t>
      </w:r>
      <w:r w:rsidR="00A526FA" w:rsidRPr="46E99C09">
        <w:rPr>
          <w:color w:val="auto"/>
        </w:rPr>
        <w:t xml:space="preserve"> misrepresenting the regulatory burden</w:t>
      </w:r>
      <w:r w:rsidR="00FB1D66" w:rsidRPr="46E99C09">
        <w:rPr>
          <w:color w:val="auto"/>
        </w:rPr>
        <w:t xml:space="preserve"> through underestimation</w:t>
      </w:r>
      <w:r w:rsidR="00CC5044" w:rsidRPr="46E99C09">
        <w:rPr>
          <w:color w:val="auto"/>
        </w:rPr>
        <w:t>.</w:t>
      </w:r>
    </w:p>
    <w:p w14:paraId="7A10DFA0" w14:textId="137D842B" w:rsidR="00062733" w:rsidRDefault="005306D6" w:rsidP="00831C46">
      <w:pPr>
        <w:pStyle w:val="BodyText"/>
        <w:rPr>
          <w:color w:val="auto"/>
        </w:rPr>
      </w:pPr>
      <w:r w:rsidRPr="46E99C09">
        <w:rPr>
          <w:color w:val="auto"/>
        </w:rPr>
        <w:t xml:space="preserve">The </w:t>
      </w:r>
      <w:r w:rsidR="00D62A98">
        <w:rPr>
          <w:color w:val="auto"/>
        </w:rPr>
        <w:t xml:space="preserve">domestic </w:t>
      </w:r>
      <w:r w:rsidRPr="46E99C09">
        <w:rPr>
          <w:color w:val="auto"/>
        </w:rPr>
        <w:t xml:space="preserve">hydrogen industry may </w:t>
      </w:r>
      <w:r w:rsidR="00263585" w:rsidRPr="46E99C09">
        <w:rPr>
          <w:color w:val="auto"/>
        </w:rPr>
        <w:t xml:space="preserve">grow to similar levels under </w:t>
      </w:r>
      <w:r w:rsidR="006977F0" w:rsidRPr="46E99C09">
        <w:rPr>
          <w:color w:val="auto"/>
        </w:rPr>
        <w:t xml:space="preserve">a </w:t>
      </w:r>
      <w:r w:rsidR="006A575B" w:rsidRPr="46E99C09">
        <w:rPr>
          <w:color w:val="auto"/>
        </w:rPr>
        <w:t xml:space="preserve">quasi-regulated </w:t>
      </w:r>
      <w:r w:rsidR="004A71B2" w:rsidRPr="46E99C09">
        <w:rPr>
          <w:color w:val="auto"/>
        </w:rPr>
        <w:t>approach;</w:t>
      </w:r>
      <w:r w:rsidR="00D57CF7" w:rsidRPr="46E99C09">
        <w:rPr>
          <w:color w:val="auto"/>
        </w:rPr>
        <w:t xml:space="preserve"> </w:t>
      </w:r>
      <w:r w:rsidR="009121C1" w:rsidRPr="46E99C09">
        <w:rPr>
          <w:color w:val="auto"/>
        </w:rPr>
        <w:t>however,</w:t>
      </w:r>
      <w:r w:rsidR="00D57CF7" w:rsidRPr="46E99C09">
        <w:rPr>
          <w:color w:val="auto"/>
        </w:rPr>
        <w:t xml:space="preserve"> without a </w:t>
      </w:r>
      <w:r w:rsidR="00D10AEE" w:rsidRPr="46E99C09">
        <w:rPr>
          <w:color w:val="auto"/>
        </w:rPr>
        <w:t xml:space="preserve">government backed scheme, </w:t>
      </w:r>
      <w:r w:rsidR="006B4984">
        <w:rPr>
          <w:color w:val="auto"/>
        </w:rPr>
        <w:t>export opportunities will be re</w:t>
      </w:r>
      <w:r w:rsidR="00AB2DBA">
        <w:rPr>
          <w:color w:val="auto"/>
        </w:rPr>
        <w:t xml:space="preserve">duced or </w:t>
      </w:r>
      <w:r w:rsidR="004F3AB0" w:rsidRPr="46E99C09">
        <w:rPr>
          <w:color w:val="auto"/>
        </w:rPr>
        <w:t xml:space="preserve">not realised. </w:t>
      </w:r>
      <w:r w:rsidR="004A71B2" w:rsidRPr="46E99C09">
        <w:rPr>
          <w:color w:val="auto"/>
        </w:rPr>
        <w:t>This is because</w:t>
      </w:r>
      <w:r w:rsidR="00632505" w:rsidRPr="46E99C09">
        <w:rPr>
          <w:color w:val="auto"/>
        </w:rPr>
        <w:t xml:space="preserve"> overlapping</w:t>
      </w:r>
      <w:r w:rsidR="004A71B2" w:rsidRPr="46E99C09">
        <w:rPr>
          <w:color w:val="auto"/>
        </w:rPr>
        <w:t xml:space="preserve"> i</w:t>
      </w:r>
      <w:r w:rsidR="004F3AB0" w:rsidRPr="46E99C09">
        <w:rPr>
          <w:color w:val="auto"/>
        </w:rPr>
        <w:t xml:space="preserve">ndustry led alternatives </w:t>
      </w:r>
      <w:r w:rsidR="00307931" w:rsidRPr="46E99C09">
        <w:rPr>
          <w:color w:val="auto"/>
        </w:rPr>
        <w:t xml:space="preserve">will struggle to gain international recognition </w:t>
      </w:r>
      <w:r w:rsidR="00C81726" w:rsidRPr="46E99C09">
        <w:rPr>
          <w:color w:val="auto"/>
        </w:rPr>
        <w:t>with the various government backed schemes</w:t>
      </w:r>
      <w:r w:rsidR="00632505" w:rsidRPr="46E99C09">
        <w:rPr>
          <w:color w:val="auto"/>
        </w:rPr>
        <w:t xml:space="preserve"> </w:t>
      </w:r>
      <w:r w:rsidR="00DE0A2D" w:rsidRPr="46E99C09">
        <w:rPr>
          <w:color w:val="auto"/>
        </w:rPr>
        <w:t>implemented by our export partners</w:t>
      </w:r>
      <w:r w:rsidR="00367F52" w:rsidRPr="46E99C09">
        <w:rPr>
          <w:color w:val="auto"/>
        </w:rPr>
        <w:t xml:space="preserve"> and would likely be subject </w:t>
      </w:r>
      <w:r w:rsidR="00D4652D">
        <w:rPr>
          <w:color w:val="auto"/>
        </w:rPr>
        <w:t xml:space="preserve">to </w:t>
      </w:r>
      <w:r w:rsidR="00B37E78" w:rsidRPr="46E99C09">
        <w:rPr>
          <w:color w:val="auto"/>
        </w:rPr>
        <w:t>CBAMs</w:t>
      </w:r>
      <w:r w:rsidR="00367F52" w:rsidRPr="46E99C09">
        <w:rPr>
          <w:color w:val="auto"/>
        </w:rPr>
        <w:t xml:space="preserve"> and CBAM variants</w:t>
      </w:r>
      <w:r w:rsidR="00D4652D">
        <w:rPr>
          <w:color w:val="auto"/>
        </w:rPr>
        <w:t xml:space="preserve"> implemented by our trading partners</w:t>
      </w:r>
      <w:r w:rsidR="00D63161" w:rsidRPr="46E99C09">
        <w:rPr>
          <w:color w:val="auto"/>
        </w:rPr>
        <w:t>.</w:t>
      </w:r>
    </w:p>
    <w:p w14:paraId="1B1C6F3B" w14:textId="77777777" w:rsidR="002309E6" w:rsidRPr="0005200D" w:rsidRDefault="002309E6" w:rsidP="002309E6">
      <w:pPr>
        <w:pStyle w:val="BodyText"/>
        <w:rPr>
          <w:rFonts w:cstheme="minorHAnsi"/>
          <w:b/>
          <w:bCs/>
          <w:color w:val="auto"/>
        </w:rPr>
      </w:pPr>
      <w:r w:rsidRPr="0005200D">
        <w:rPr>
          <w:rFonts w:cstheme="minorHAnsi"/>
          <w:b/>
          <w:bCs/>
          <w:color w:val="auto"/>
        </w:rPr>
        <w:t>Net benefit</w:t>
      </w:r>
      <w:r>
        <w:rPr>
          <w:rFonts w:cstheme="minorHAnsi"/>
          <w:b/>
          <w:bCs/>
          <w:color w:val="auto"/>
        </w:rPr>
        <w:t xml:space="preserve"> analysis</w:t>
      </w:r>
    </w:p>
    <w:p w14:paraId="2CE3F849" w14:textId="574D966B" w:rsidR="002309E6" w:rsidRDefault="00246A80" w:rsidP="002309E6">
      <w:pPr>
        <w:pStyle w:val="BodyText"/>
        <w:rPr>
          <w:color w:val="auto"/>
        </w:rPr>
      </w:pPr>
      <w:r>
        <w:rPr>
          <w:color w:val="auto"/>
        </w:rPr>
        <w:t>The N</w:t>
      </w:r>
      <w:r w:rsidR="002309E6" w:rsidRPr="46E99C09">
        <w:rPr>
          <w:color w:val="auto"/>
        </w:rPr>
        <w:t>et benefit analysis</w:t>
      </w:r>
      <w:r w:rsidR="00480C76">
        <w:rPr>
          <w:color w:val="auto"/>
        </w:rPr>
        <w:t>, as discussed in Chapter 4,</w:t>
      </w:r>
      <w:r w:rsidR="002309E6" w:rsidRPr="46E99C09">
        <w:rPr>
          <w:color w:val="auto"/>
        </w:rPr>
        <w:t xml:space="preserve"> considers and compares each approach outlined across a range of categories of potential benefits that </w:t>
      </w:r>
      <w:r w:rsidR="79D4FA07" w:rsidRPr="46E99C09">
        <w:rPr>
          <w:color w:val="auto"/>
        </w:rPr>
        <w:t>the scheme</w:t>
      </w:r>
      <w:r w:rsidR="002309E6" w:rsidRPr="46E99C09">
        <w:rPr>
          <w:color w:val="auto"/>
        </w:rPr>
        <w:t xml:space="preserve"> is intended to have. </w:t>
      </w:r>
      <w:r w:rsidR="00A372D3">
        <w:rPr>
          <w:color w:val="auto"/>
        </w:rPr>
        <w:t xml:space="preserve">Benefits outlined are </w:t>
      </w:r>
      <w:r w:rsidR="0045133D">
        <w:rPr>
          <w:color w:val="auto"/>
        </w:rPr>
        <w:t xml:space="preserve">qualitative </w:t>
      </w:r>
      <w:r w:rsidR="00741199">
        <w:rPr>
          <w:color w:val="auto"/>
        </w:rPr>
        <w:t>only.</w:t>
      </w:r>
      <w:r w:rsidR="0045133D">
        <w:rPr>
          <w:color w:val="auto"/>
        </w:rPr>
        <w:t xml:space="preserve"> </w:t>
      </w:r>
      <w:r w:rsidR="0030376A" w:rsidRPr="46E99C09">
        <w:rPr>
          <w:color w:val="auto"/>
        </w:rPr>
        <w:t xml:space="preserve">Figures used in this analysis reference reports and modelling done by Australian and international renewable energy organisations, government agencies, public policy think tanks, economic institutes, industry associations and business groups. </w:t>
      </w:r>
    </w:p>
    <w:p w14:paraId="7AB04132" w14:textId="77777777" w:rsidR="0060068C" w:rsidRDefault="0060068C" w:rsidP="0060068C">
      <w:r>
        <w:t>Option one meets</w:t>
      </w:r>
      <w:r w:rsidR="002309E6">
        <w:t xml:space="preserve"> some of </w:t>
      </w:r>
      <w:r>
        <w:t>the objectives identified above. As industry-led or private schemed develop, this</w:t>
      </w:r>
      <w:r w:rsidR="002309E6">
        <w:t xml:space="preserve"> will </w:t>
      </w:r>
      <w:r>
        <w:t xml:space="preserve">aid the commerciality of low-emissions products and promote private investment. However as multiple schemes are </w:t>
      </w:r>
      <w:r w:rsidR="002309E6">
        <w:t xml:space="preserve">likely </w:t>
      </w:r>
      <w:r>
        <w:t xml:space="preserve">to emerge, with different frameworks, methodologies and assurance processes, the transparency and accuracy of those schemes will </w:t>
      </w:r>
      <w:r w:rsidR="002309E6">
        <w:t xml:space="preserve">be </w:t>
      </w:r>
      <w:r>
        <w:t xml:space="preserve">difficult to assess. These schemes will not have the ability to integrate with other Government schemes. </w:t>
      </w:r>
      <w:r>
        <w:lastRenderedPageBreak/>
        <w:t xml:space="preserve">Producers would have to assess which schemes are compatible and accepted in markets they wish to export to and may need to participate in multiple schemes to access different markets. </w:t>
      </w:r>
    </w:p>
    <w:p w14:paraId="56C20915" w14:textId="77777777" w:rsidR="0060068C" w:rsidRDefault="0060068C" w:rsidP="0060068C">
      <w:pPr>
        <w:pStyle w:val="BodyText"/>
      </w:pPr>
      <w:r>
        <w:t xml:space="preserve">Option 2 also meets the objectives of aiding the commerciality of low-emissions products and promote private investment. AS they will be based on </w:t>
      </w:r>
      <w:r w:rsidR="002309E6">
        <w:t xml:space="preserve">a </w:t>
      </w:r>
      <w:r>
        <w:t xml:space="preserve">common framework, transparency and accuracy will be enhanced over option 1, but there may still be some divergence in approached between schemes. </w:t>
      </w:r>
      <w:r w:rsidRPr="00F96D02">
        <w:t xml:space="preserve">Other domestic schemes (such as </w:t>
      </w:r>
      <w:r>
        <w:t>government</w:t>
      </w:r>
      <w:r w:rsidRPr="00F96D02">
        <w:t xml:space="preserve"> incentives schemes) would not be able to </w:t>
      </w:r>
      <w:r>
        <w:t xml:space="preserve">readily </w:t>
      </w:r>
      <w:r w:rsidRPr="00F96D02">
        <w:t>input data from these frameworks and would likely have to overlay additional compliance processes</w:t>
      </w:r>
      <w:r>
        <w:t xml:space="preserve"> of their own.</w:t>
      </w:r>
      <w:r w:rsidRPr="00F96D02">
        <w:t xml:space="preserve"> </w:t>
      </w:r>
      <w:r>
        <w:t xml:space="preserve">Decentralised schemes reduce opportunities for compliance efficiencies that would be accessible to a centralised regulator. </w:t>
      </w:r>
    </w:p>
    <w:p w14:paraId="662D10C2" w14:textId="64B8656D" w:rsidR="0015256B" w:rsidRDefault="0060068C" w:rsidP="002309E6">
      <w:pPr>
        <w:pStyle w:val="BodyText"/>
        <w:rPr>
          <w:rFonts w:cstheme="minorHAnsi"/>
          <w:color w:val="auto"/>
        </w:rPr>
      </w:pPr>
      <w:r>
        <w:t xml:space="preserve">Option three meets all the objectives identified above. </w:t>
      </w:r>
      <w:r w:rsidR="009E0812">
        <w:rPr>
          <w:rFonts w:cstheme="minorHAnsi"/>
          <w:color w:val="auto"/>
        </w:rPr>
        <w:t>It</w:t>
      </w:r>
      <w:r w:rsidR="002309E6">
        <w:rPr>
          <w:rFonts w:cstheme="minorHAnsi"/>
          <w:color w:val="auto"/>
        </w:rPr>
        <w:t xml:space="preserve"> provides the best foundation to help realise the greatest net benefit for Australia</w:t>
      </w:r>
      <w:r w:rsidR="0036241D">
        <w:rPr>
          <w:rFonts w:cstheme="minorHAnsi"/>
          <w:color w:val="auto"/>
        </w:rPr>
        <w:t>n industry and consumers</w:t>
      </w:r>
      <w:r w:rsidR="002309E6">
        <w:rPr>
          <w:rFonts w:cstheme="minorHAnsi"/>
          <w:color w:val="auto"/>
        </w:rPr>
        <w:t xml:space="preserve">. Being government-led, both domestic and international consumers </w:t>
      </w:r>
      <w:r w:rsidR="00614B7C">
        <w:rPr>
          <w:rFonts w:cstheme="minorHAnsi"/>
          <w:color w:val="auto"/>
        </w:rPr>
        <w:t xml:space="preserve">would have greater </w:t>
      </w:r>
      <w:r w:rsidR="002309E6">
        <w:rPr>
          <w:rFonts w:cstheme="minorHAnsi"/>
          <w:color w:val="auto"/>
        </w:rPr>
        <w:t>certain</w:t>
      </w:r>
      <w:r w:rsidR="00614B7C">
        <w:rPr>
          <w:rFonts w:cstheme="minorHAnsi"/>
          <w:color w:val="auto"/>
        </w:rPr>
        <w:t xml:space="preserve">ty and trust about </w:t>
      </w:r>
      <w:r w:rsidR="002309E6">
        <w:rPr>
          <w:rFonts w:cstheme="minorHAnsi"/>
          <w:color w:val="auto"/>
        </w:rPr>
        <w:t xml:space="preserve">the </w:t>
      </w:r>
      <w:r w:rsidR="002309E6" w:rsidRPr="006A0AF2">
        <w:rPr>
          <w:rFonts w:cstheme="minorHAnsi"/>
          <w:color w:val="auto"/>
        </w:rPr>
        <w:t>underlying data used to certify products</w:t>
      </w:r>
      <w:r w:rsidR="002309E6">
        <w:rPr>
          <w:rFonts w:cstheme="minorHAnsi"/>
          <w:color w:val="auto"/>
        </w:rPr>
        <w:t xml:space="preserve"> they</w:t>
      </w:r>
      <w:r w:rsidR="00614B7C">
        <w:rPr>
          <w:rFonts w:cstheme="minorHAnsi"/>
          <w:color w:val="auto"/>
        </w:rPr>
        <w:t xml:space="preserve"> make and</w:t>
      </w:r>
      <w:r w:rsidR="002309E6">
        <w:rPr>
          <w:rFonts w:cstheme="minorHAnsi"/>
          <w:color w:val="auto"/>
        </w:rPr>
        <w:t xml:space="preserve"> use. This leads to more credible environmental claims for consumers in the domestic market</w:t>
      </w:r>
      <w:r w:rsidR="00255F0D">
        <w:rPr>
          <w:rFonts w:cstheme="minorHAnsi"/>
          <w:color w:val="auto"/>
        </w:rPr>
        <w:t xml:space="preserve">, unlocks additional policy opportunities </w:t>
      </w:r>
      <w:r w:rsidR="00D50F46">
        <w:rPr>
          <w:rFonts w:cstheme="minorHAnsi"/>
          <w:color w:val="auto"/>
        </w:rPr>
        <w:t xml:space="preserve">and funding support for industry </w:t>
      </w:r>
      <w:r w:rsidR="00255F0D">
        <w:rPr>
          <w:rFonts w:cstheme="minorHAnsi"/>
          <w:color w:val="auto"/>
        </w:rPr>
        <w:t xml:space="preserve">(e.g. </w:t>
      </w:r>
      <w:r w:rsidR="002B4EF8">
        <w:rPr>
          <w:rFonts w:cstheme="minorHAnsi"/>
          <w:color w:val="auto"/>
        </w:rPr>
        <w:t xml:space="preserve">production </w:t>
      </w:r>
      <w:r w:rsidR="00ED10B4">
        <w:rPr>
          <w:rFonts w:cstheme="minorHAnsi"/>
          <w:color w:val="auto"/>
        </w:rPr>
        <w:t>incentives</w:t>
      </w:r>
      <w:r w:rsidR="00D50F46">
        <w:rPr>
          <w:rFonts w:cstheme="minorHAnsi"/>
          <w:color w:val="auto"/>
        </w:rPr>
        <w:t xml:space="preserve"> such as Hydrogen Headstart</w:t>
      </w:r>
      <w:r w:rsidR="002B4EF8">
        <w:rPr>
          <w:rFonts w:cstheme="minorHAnsi"/>
          <w:color w:val="auto"/>
        </w:rPr>
        <w:t>)</w:t>
      </w:r>
      <w:r w:rsidR="00F21D38">
        <w:rPr>
          <w:rFonts w:cstheme="minorHAnsi"/>
          <w:color w:val="auto"/>
        </w:rPr>
        <w:t>,</w:t>
      </w:r>
      <w:r w:rsidR="002309E6">
        <w:rPr>
          <w:rFonts w:cstheme="minorHAnsi"/>
          <w:color w:val="auto"/>
        </w:rPr>
        <w:t xml:space="preserve"> </w:t>
      </w:r>
      <w:r w:rsidR="00F21D38">
        <w:rPr>
          <w:rFonts w:cstheme="minorHAnsi"/>
          <w:color w:val="auto"/>
        </w:rPr>
        <w:t xml:space="preserve">reduces </w:t>
      </w:r>
      <w:r w:rsidR="00B47B4E">
        <w:rPr>
          <w:rFonts w:cstheme="minorHAnsi"/>
          <w:color w:val="auto"/>
        </w:rPr>
        <w:t xml:space="preserve">trading barriers </w:t>
      </w:r>
      <w:r w:rsidR="00F21D38">
        <w:rPr>
          <w:rFonts w:cstheme="minorHAnsi"/>
          <w:color w:val="auto"/>
        </w:rPr>
        <w:t xml:space="preserve">and ensures compatibility of </w:t>
      </w:r>
      <w:r w:rsidR="002309E6">
        <w:rPr>
          <w:rFonts w:cstheme="minorHAnsi"/>
          <w:color w:val="auto"/>
        </w:rPr>
        <w:t>Australian products</w:t>
      </w:r>
      <w:r w:rsidR="00801FA3">
        <w:rPr>
          <w:rFonts w:cstheme="minorHAnsi"/>
          <w:color w:val="auto"/>
        </w:rPr>
        <w:t xml:space="preserve"> sold</w:t>
      </w:r>
      <w:r w:rsidR="002309E6">
        <w:rPr>
          <w:rFonts w:cstheme="minorHAnsi"/>
          <w:color w:val="auto"/>
        </w:rPr>
        <w:t xml:space="preserve"> </w:t>
      </w:r>
      <w:r w:rsidR="00F21D38">
        <w:rPr>
          <w:rFonts w:cstheme="minorHAnsi"/>
          <w:color w:val="auto"/>
        </w:rPr>
        <w:t>internationally</w:t>
      </w:r>
      <w:r w:rsidR="002309E6">
        <w:rPr>
          <w:rFonts w:cstheme="minorHAnsi"/>
          <w:color w:val="auto"/>
        </w:rPr>
        <w:t>.</w:t>
      </w:r>
      <w:r w:rsidR="00F01E8F">
        <w:rPr>
          <w:rFonts w:cstheme="minorHAnsi"/>
          <w:color w:val="auto"/>
        </w:rPr>
        <w:t xml:space="preserve"> </w:t>
      </w:r>
      <w:r w:rsidR="00F21D38">
        <w:rPr>
          <w:rFonts w:cstheme="minorHAnsi"/>
          <w:color w:val="auto"/>
        </w:rPr>
        <w:t xml:space="preserve">The certainty provided by the </w:t>
      </w:r>
      <w:r w:rsidR="00B8273F">
        <w:rPr>
          <w:rFonts w:cstheme="minorHAnsi"/>
          <w:color w:val="auto"/>
        </w:rPr>
        <w:t xml:space="preserve">framework </w:t>
      </w:r>
      <w:r w:rsidR="001668CE">
        <w:rPr>
          <w:rFonts w:cstheme="minorHAnsi"/>
          <w:color w:val="auto"/>
        </w:rPr>
        <w:t xml:space="preserve">encourages </w:t>
      </w:r>
      <w:r w:rsidR="00F01E8F">
        <w:rPr>
          <w:rFonts w:cstheme="minorHAnsi"/>
          <w:color w:val="auto"/>
        </w:rPr>
        <w:t>a faster scaling up of</w:t>
      </w:r>
      <w:r w:rsidR="00797165">
        <w:rPr>
          <w:rFonts w:cstheme="minorHAnsi"/>
          <w:color w:val="auto"/>
        </w:rPr>
        <w:t xml:space="preserve"> </w:t>
      </w:r>
      <w:r w:rsidR="000B481F">
        <w:rPr>
          <w:rFonts w:cstheme="minorHAnsi"/>
          <w:color w:val="auto"/>
        </w:rPr>
        <w:t xml:space="preserve">new </w:t>
      </w:r>
      <w:r w:rsidR="00797165">
        <w:rPr>
          <w:rFonts w:cstheme="minorHAnsi"/>
          <w:color w:val="auto"/>
        </w:rPr>
        <w:t>Australian</w:t>
      </w:r>
      <w:r w:rsidR="005704B4">
        <w:rPr>
          <w:rFonts w:cstheme="minorHAnsi"/>
          <w:color w:val="auto"/>
        </w:rPr>
        <w:t xml:space="preserve"> low-emission</w:t>
      </w:r>
      <w:r w:rsidR="000B481F">
        <w:rPr>
          <w:rFonts w:cstheme="minorHAnsi"/>
          <w:color w:val="auto"/>
        </w:rPr>
        <w:t xml:space="preserve"> energy</w:t>
      </w:r>
      <w:r w:rsidR="00797165">
        <w:rPr>
          <w:rFonts w:cstheme="minorHAnsi"/>
          <w:color w:val="auto"/>
        </w:rPr>
        <w:t xml:space="preserve"> </w:t>
      </w:r>
      <w:r w:rsidR="001668CE">
        <w:rPr>
          <w:rFonts w:cstheme="minorHAnsi"/>
          <w:color w:val="auto"/>
        </w:rPr>
        <w:t xml:space="preserve">industry </w:t>
      </w:r>
      <w:r w:rsidR="00797165">
        <w:rPr>
          <w:rFonts w:cstheme="minorHAnsi"/>
          <w:color w:val="auto"/>
        </w:rPr>
        <w:t>product</w:t>
      </w:r>
      <w:r w:rsidR="000B481F">
        <w:rPr>
          <w:rFonts w:cstheme="minorHAnsi"/>
          <w:color w:val="auto"/>
        </w:rPr>
        <w:t>ion and</w:t>
      </w:r>
      <w:r w:rsidR="00797165">
        <w:rPr>
          <w:rFonts w:cstheme="minorHAnsi"/>
          <w:color w:val="auto"/>
        </w:rPr>
        <w:t xml:space="preserve"> </w:t>
      </w:r>
      <w:r w:rsidR="00F01E8F">
        <w:rPr>
          <w:rFonts w:cstheme="minorHAnsi"/>
          <w:color w:val="auto"/>
        </w:rPr>
        <w:t>export</w:t>
      </w:r>
      <w:r w:rsidR="000B481F">
        <w:rPr>
          <w:rFonts w:cstheme="minorHAnsi"/>
          <w:color w:val="auto"/>
        </w:rPr>
        <w:t xml:space="preserve"> to meet the world’s energy needs while </w:t>
      </w:r>
      <w:r w:rsidR="00F01E8F">
        <w:rPr>
          <w:rFonts w:cstheme="minorHAnsi"/>
          <w:color w:val="auto"/>
        </w:rPr>
        <w:t>realis</w:t>
      </w:r>
      <w:r w:rsidR="000B481F">
        <w:rPr>
          <w:rFonts w:cstheme="minorHAnsi"/>
          <w:color w:val="auto"/>
        </w:rPr>
        <w:t>ing its</w:t>
      </w:r>
      <w:r w:rsidR="00F01E8F">
        <w:rPr>
          <w:rFonts w:cstheme="minorHAnsi"/>
          <w:color w:val="auto"/>
        </w:rPr>
        <w:t xml:space="preserve"> </w:t>
      </w:r>
      <w:r w:rsidR="007B0FB3">
        <w:rPr>
          <w:rFonts w:cstheme="minorHAnsi"/>
          <w:color w:val="auto"/>
        </w:rPr>
        <w:t xml:space="preserve">domestic </w:t>
      </w:r>
      <w:r w:rsidR="00F01E8F">
        <w:rPr>
          <w:rFonts w:cstheme="minorHAnsi"/>
          <w:color w:val="auto"/>
        </w:rPr>
        <w:t>decarbonisation goals</w:t>
      </w:r>
      <w:r w:rsidR="007B0FB3">
        <w:rPr>
          <w:rFonts w:cstheme="minorHAnsi"/>
          <w:color w:val="auto"/>
        </w:rPr>
        <w:t xml:space="preserve"> as soon as possible.</w:t>
      </w:r>
    </w:p>
    <w:p w14:paraId="35281F0A" w14:textId="140F8B6A" w:rsidR="00A07AD3" w:rsidRPr="00311B15" w:rsidRDefault="00D6360A" w:rsidP="00362C01">
      <w:pPr>
        <w:keepNext/>
        <w:rPr>
          <w:b/>
          <w:bCs/>
        </w:rPr>
      </w:pPr>
      <w:r w:rsidRPr="00311B15">
        <w:rPr>
          <w:b/>
          <w:bCs/>
        </w:rPr>
        <w:t>Feedback from consultation</w:t>
      </w:r>
    </w:p>
    <w:p w14:paraId="3B2705C9" w14:textId="23ADFD90" w:rsidR="009141BD" w:rsidRDefault="00C40E44" w:rsidP="00E6567D">
      <w:r>
        <w:t xml:space="preserve">Ongoing consultation and engagement domestically and internationally </w:t>
      </w:r>
      <w:r w:rsidR="007356F0">
        <w:t xml:space="preserve">(detailed in section 5) </w:t>
      </w:r>
      <w:r w:rsidR="00315EE8">
        <w:t>have</w:t>
      </w:r>
      <w:r>
        <w:t xml:space="preserve"> re-iterated the</w:t>
      </w:r>
      <w:r w:rsidR="00E56405">
        <w:t xml:space="preserve"> urgent need for a</w:t>
      </w:r>
      <w:r>
        <w:t>n</w:t>
      </w:r>
      <w:r w:rsidR="00E56405">
        <w:t xml:space="preserve"> Australian Government-led</w:t>
      </w:r>
      <w:r>
        <w:t xml:space="preserve"> scheme to attract investment, support economic growth, unlock trading opportunities and partnerships, and meet industry expectation. Renewable energy stakeholders continue to emphasise the need for an enduring mechanism to certify renewable electricity to be implemented in 2024 or shortly after to provide certainty to support long-term investment and prevent other schemes from emerging.</w:t>
      </w:r>
      <w:r w:rsidR="009165DB">
        <w:t xml:space="preserve"> </w:t>
      </w:r>
    </w:p>
    <w:p w14:paraId="508E058C" w14:textId="06EC3D8E" w:rsidR="002E065F" w:rsidRDefault="009165DB" w:rsidP="00E6567D">
      <w:r>
        <w:t>Stakeholders emphasise the benefits from a government-led scheme including increased credibility and increased alignment with international standards and other</w:t>
      </w:r>
      <w:r w:rsidR="00643AB7">
        <w:t xml:space="preserve"> Australian</w:t>
      </w:r>
      <w:r>
        <w:t xml:space="preserve"> Government carbon reporting frameworks. </w:t>
      </w:r>
      <w:r w:rsidR="002E065F">
        <w:t>While consultation on certain elements of the scheme ha</w:t>
      </w:r>
      <w:r w:rsidR="004D361C">
        <w:t>s</w:t>
      </w:r>
      <w:r w:rsidR="002E065F">
        <w:t xml:space="preserve"> </w:t>
      </w:r>
      <w:r w:rsidR="00C579B7">
        <w:t xml:space="preserve">garnered diverging views from stakeholders, </w:t>
      </w:r>
      <w:r w:rsidR="002979CE">
        <w:t xml:space="preserve">feedback has been consistent </w:t>
      </w:r>
      <w:r w:rsidR="00C579B7">
        <w:t xml:space="preserve">that </w:t>
      </w:r>
      <w:r w:rsidR="00BC4186">
        <w:t xml:space="preserve">a government led approach is preferred by industry. This </w:t>
      </w:r>
      <w:r w:rsidR="002979CE">
        <w:t xml:space="preserve">has been the </w:t>
      </w:r>
      <w:r w:rsidR="00BC4186">
        <w:t xml:space="preserve">message </w:t>
      </w:r>
      <w:r w:rsidR="002979CE">
        <w:t>from industry</w:t>
      </w:r>
      <w:r w:rsidR="00BC4186">
        <w:t xml:space="preserve"> since </w:t>
      </w:r>
      <w:r w:rsidR="001E4399">
        <w:t xml:space="preserve">the earliest consultation </w:t>
      </w:r>
      <w:r w:rsidR="001C7B28">
        <w:t>on potential options for a GO scheme</w:t>
      </w:r>
      <w:r w:rsidR="000A6611">
        <w:t xml:space="preserve"> in 2020</w:t>
      </w:r>
      <w:r w:rsidR="001C7B28">
        <w:t>.</w:t>
      </w:r>
    </w:p>
    <w:p w14:paraId="2B4D755E" w14:textId="0829F29E" w:rsidR="0072722A" w:rsidRPr="00296AC5" w:rsidRDefault="0072722A" w:rsidP="00E6567D">
      <w:pPr>
        <w:rPr>
          <w:b/>
          <w:bCs/>
        </w:rPr>
      </w:pPr>
      <w:r w:rsidRPr="00296AC5">
        <w:rPr>
          <w:b/>
          <w:bCs/>
        </w:rPr>
        <w:t>Conclusion</w:t>
      </w:r>
    </w:p>
    <w:p w14:paraId="2CA8E6B9" w14:textId="777D7E24" w:rsidR="005C6E73" w:rsidRDefault="00472EF8" w:rsidP="00E6567D">
      <w:r>
        <w:t>Th</w:t>
      </w:r>
      <w:r w:rsidR="0072722A">
        <w:t>e consisten</w:t>
      </w:r>
      <w:r w:rsidR="00EF38C7">
        <w:t>t</w:t>
      </w:r>
      <w:r>
        <w:t xml:space="preserve"> f</w:t>
      </w:r>
      <w:r w:rsidR="00AA16DF">
        <w:t xml:space="preserve">eedback from </w:t>
      </w:r>
      <w:r>
        <w:t xml:space="preserve">our </w:t>
      </w:r>
      <w:r w:rsidR="00B52679">
        <w:t>stakeholders</w:t>
      </w:r>
      <w:r>
        <w:t xml:space="preserve"> </w:t>
      </w:r>
      <w:r w:rsidR="00090B15">
        <w:t xml:space="preserve">on their preference for a government-led scheme </w:t>
      </w:r>
      <w:r>
        <w:t xml:space="preserve">aligns with </w:t>
      </w:r>
      <w:r w:rsidR="00EF38C7">
        <w:t xml:space="preserve">the </w:t>
      </w:r>
      <w:r w:rsidR="00FB7BC6">
        <w:t>results of</w:t>
      </w:r>
      <w:r w:rsidR="00EF38C7">
        <w:t xml:space="preserve"> </w:t>
      </w:r>
      <w:r>
        <w:t>our</w:t>
      </w:r>
      <w:r w:rsidR="00CC2A0A">
        <w:t xml:space="preserve"> </w:t>
      </w:r>
      <w:r w:rsidR="00D37400">
        <w:t>analysis</w:t>
      </w:r>
      <w:r w:rsidR="004502D6">
        <w:t>.</w:t>
      </w:r>
      <w:r w:rsidR="00D37400">
        <w:t xml:space="preserve"> </w:t>
      </w:r>
      <w:r w:rsidR="004502D6">
        <w:t>T</w:t>
      </w:r>
      <w:r w:rsidR="00D37400">
        <w:t xml:space="preserve">here </w:t>
      </w:r>
      <w:r w:rsidR="004A3EEA">
        <w:t>are</w:t>
      </w:r>
      <w:r w:rsidR="00D37400">
        <w:t xml:space="preserve"> significant net benefit</w:t>
      </w:r>
      <w:r w:rsidR="004A3EEA">
        <w:t>s</w:t>
      </w:r>
      <w:r w:rsidR="00D37400">
        <w:t xml:space="preserve"> </w:t>
      </w:r>
      <w:r w:rsidR="005748C7">
        <w:t xml:space="preserve">to participation </w:t>
      </w:r>
      <w:r w:rsidR="00D57347">
        <w:t xml:space="preserve">under </w:t>
      </w:r>
      <w:r w:rsidR="005C6E73">
        <w:t>option 3</w:t>
      </w:r>
      <w:r w:rsidR="00D57347">
        <w:t xml:space="preserve"> </w:t>
      </w:r>
      <w:r w:rsidR="005748C7">
        <w:t>when the economic</w:t>
      </w:r>
      <w:r w:rsidR="00115D03">
        <w:t xml:space="preserve">, industry growth, and integrity benefits are factored in. </w:t>
      </w:r>
    </w:p>
    <w:p w14:paraId="0C0B4934" w14:textId="245003A7" w:rsidR="00FC1129" w:rsidRDefault="00115D03" w:rsidP="00E6567D">
      <w:r>
        <w:t>This is particularly evident when contrasted with options 1 an</w:t>
      </w:r>
      <w:r w:rsidR="003A1FE9">
        <w:t>d 2</w:t>
      </w:r>
      <w:r w:rsidR="00110643">
        <w:t xml:space="preserve">, where the reduced initial burden is significantly outweighed longer term by the lost opportunities for a streamlined and centralised </w:t>
      </w:r>
      <w:r w:rsidR="00DA79DD">
        <w:t xml:space="preserve">framework that enables high-volume, high-integrity certification creation </w:t>
      </w:r>
      <w:r w:rsidR="00F423A4">
        <w:t>that is compatible with domestic and international requirements.</w:t>
      </w:r>
      <w:r w:rsidR="00C87146">
        <w:t xml:space="preserve"> </w:t>
      </w:r>
    </w:p>
    <w:p w14:paraId="4D6555D6" w14:textId="3FD4E70D" w:rsidR="00E6567D" w:rsidRDefault="00E6567D" w:rsidP="00E6567D">
      <w:pPr>
        <w:rPr>
          <w:rFonts w:asciiTheme="majorHAnsi" w:hAnsiTheme="majorHAnsi"/>
          <w:b/>
          <w:color w:val="014463" w:themeColor="text2"/>
          <w:sz w:val="60"/>
          <w:szCs w:val="60"/>
        </w:rPr>
      </w:pPr>
      <w:r>
        <w:br w:type="page"/>
      </w:r>
    </w:p>
    <w:p w14:paraId="1681729B" w14:textId="20AA8B1D" w:rsidR="00766072" w:rsidRPr="00D60E75" w:rsidRDefault="00766072" w:rsidP="00766072">
      <w:pPr>
        <w:pStyle w:val="Title"/>
        <w:rPr>
          <w:sz w:val="36"/>
          <w:szCs w:val="36"/>
        </w:rPr>
      </w:pPr>
      <w:bookmarkStart w:id="47" w:name="_Toc175312090"/>
      <w:bookmarkStart w:id="48" w:name="_Toc439065250"/>
      <w:r w:rsidRPr="00311B15">
        <w:rPr>
          <w:sz w:val="36"/>
          <w:szCs w:val="36"/>
        </w:rPr>
        <w:lastRenderedPageBreak/>
        <w:t>7. How will you implement and evaluate your chosen option?</w:t>
      </w:r>
      <w:bookmarkEnd w:id="47"/>
      <w:r w:rsidRPr="00D60E75">
        <w:rPr>
          <w:sz w:val="36"/>
          <w:szCs w:val="36"/>
        </w:rPr>
        <w:t xml:space="preserve"> </w:t>
      </w:r>
    </w:p>
    <w:p w14:paraId="58B3FA66" w14:textId="047044F7" w:rsidR="00105E02" w:rsidRDefault="009A4559" w:rsidP="00766072">
      <w:pPr>
        <w:pStyle w:val="BodyText"/>
      </w:pPr>
      <w:r>
        <w:t>The implementation objectives are similar to the policy objectives set out in Chapter 2. These include</w:t>
      </w:r>
    </w:p>
    <w:p w14:paraId="40264FAD" w14:textId="77777777" w:rsidR="009A4559" w:rsidRDefault="009A4559" w:rsidP="009A4559">
      <w:pPr>
        <w:pStyle w:val="ListParagraph"/>
        <w:numPr>
          <w:ilvl w:val="0"/>
          <w:numId w:val="110"/>
        </w:numPr>
      </w:pPr>
      <w:r w:rsidRPr="00A37A5A">
        <w:t xml:space="preserve">Provide </w:t>
      </w:r>
      <w:r>
        <w:t xml:space="preserve">emissions information that </w:t>
      </w:r>
      <w:r w:rsidRPr="00A37A5A">
        <w:t xml:space="preserve">is </w:t>
      </w:r>
      <w:r>
        <w:t>transparent, trusted and accurate to:</w:t>
      </w:r>
    </w:p>
    <w:p w14:paraId="18CB6C94" w14:textId="77777777" w:rsidR="009A4559" w:rsidRDefault="009A4559" w:rsidP="009A4559">
      <w:pPr>
        <w:pStyle w:val="ListParagraph"/>
        <w:numPr>
          <w:ilvl w:val="1"/>
          <w:numId w:val="110"/>
        </w:numPr>
      </w:pPr>
      <w:r>
        <w:t>be recognised by</w:t>
      </w:r>
      <w:r w:rsidRPr="004651F0">
        <w:t xml:space="preserve"> </w:t>
      </w:r>
      <w:r>
        <w:t>each</w:t>
      </w:r>
      <w:r w:rsidRPr="004651F0">
        <w:t xml:space="preserve"> country with which Australia</w:t>
      </w:r>
      <w:r>
        <w:t xml:space="preserve"> may wish to trade low-emissions products.</w:t>
      </w:r>
    </w:p>
    <w:p w14:paraId="4F111D3E" w14:textId="7941CD88" w:rsidR="009A4559" w:rsidRDefault="009A4559" w:rsidP="009A4559">
      <w:pPr>
        <w:pStyle w:val="ListParagraph"/>
        <w:numPr>
          <w:ilvl w:val="1"/>
          <w:numId w:val="110"/>
        </w:numPr>
      </w:pPr>
      <w:r>
        <w:t xml:space="preserve">be used to help verify eligibility for relevant </w:t>
      </w:r>
      <w:r w:rsidR="000A17B0">
        <w:t>g</w:t>
      </w:r>
      <w:r>
        <w:t>overnment incentives made available to Australian industry, for example in relation to renewable electricity and the production of hydrogen</w:t>
      </w:r>
      <w:r w:rsidRPr="00A37A5A">
        <w:t>.</w:t>
      </w:r>
    </w:p>
    <w:p w14:paraId="665B7519" w14:textId="2451F665" w:rsidR="009A4559" w:rsidRDefault="009A4559" w:rsidP="00257937">
      <w:pPr>
        <w:pStyle w:val="ListParagraph"/>
        <w:numPr>
          <w:ilvl w:val="1"/>
          <w:numId w:val="110"/>
        </w:numPr>
      </w:pPr>
      <w:r w:rsidRPr="00643D68">
        <w:t>enable and encourage</w:t>
      </w:r>
      <w:r w:rsidR="00C2548F">
        <w:t xml:space="preserve"> domestic markets for renewable electricity and low-emissions products b</w:t>
      </w:r>
      <w:r w:rsidR="000C658F">
        <w:t xml:space="preserve">y enabling </w:t>
      </w:r>
      <w:r w:rsidRPr="00643D68">
        <w:t>Australian producers and consumers to make</w:t>
      </w:r>
      <w:r w:rsidR="008A256F">
        <w:t xml:space="preserve"> robust</w:t>
      </w:r>
      <w:r w:rsidRPr="00643D68">
        <w:t xml:space="preserve"> claims about the products they make and</w:t>
      </w:r>
      <w:r w:rsidR="00257937">
        <w:t xml:space="preserve"> use</w:t>
      </w:r>
      <w:r w:rsidRPr="00643D68">
        <w:t xml:space="preserve">. </w:t>
      </w:r>
    </w:p>
    <w:p w14:paraId="44074D49" w14:textId="3BAF8CA9" w:rsidR="00766072" w:rsidRDefault="00766072" w:rsidP="00766072">
      <w:pPr>
        <w:pStyle w:val="BodyText"/>
      </w:pPr>
      <w:r>
        <w:t>Implementation of a GO scheme will be a cooperative inter-agency effort between DCCEEW</w:t>
      </w:r>
      <w:r w:rsidR="00AF4824">
        <w:t xml:space="preserve"> and</w:t>
      </w:r>
      <w:r>
        <w:t xml:space="preserve"> the CER. GO Scheme implementation can be broken down into three broad streams:</w:t>
      </w:r>
    </w:p>
    <w:p w14:paraId="672CBFAF" w14:textId="41A17FC3" w:rsidR="00766072" w:rsidRPr="002858B2" w:rsidRDefault="00766072" w:rsidP="00766072">
      <w:pPr>
        <w:pStyle w:val="ListParagraph"/>
        <w:numPr>
          <w:ilvl w:val="0"/>
          <w:numId w:val="65"/>
        </w:numPr>
        <w:rPr>
          <w:b/>
          <w:bCs/>
        </w:rPr>
      </w:pPr>
      <w:r w:rsidRPr="002858B2">
        <w:rPr>
          <w:b/>
          <w:bCs/>
        </w:rPr>
        <w:t>Legislation</w:t>
      </w:r>
      <w:r w:rsidR="000738AF">
        <w:rPr>
          <w:b/>
          <w:bCs/>
        </w:rPr>
        <w:t xml:space="preserve"> and methodologies</w:t>
      </w:r>
      <w:r>
        <w:rPr>
          <w:b/>
          <w:bCs/>
        </w:rPr>
        <w:t xml:space="preserve"> (DCCEEW lead)</w:t>
      </w:r>
    </w:p>
    <w:p w14:paraId="3AC2986E" w14:textId="6FF592AC" w:rsidR="00766072" w:rsidRDefault="00766072" w:rsidP="00766072">
      <w:pPr>
        <w:pStyle w:val="BodyText"/>
        <w:rPr>
          <w:b/>
          <w:bCs/>
        </w:rPr>
      </w:pPr>
      <w:r>
        <w:t>New legislation</w:t>
      </w:r>
      <w:r w:rsidR="008A1CAE">
        <w:t xml:space="preserve"> (primary and subordinate)</w:t>
      </w:r>
      <w:r>
        <w:t xml:space="preserve"> would be required to implement the scheme</w:t>
      </w:r>
      <w:r w:rsidRPr="006202E7">
        <w:t xml:space="preserve"> </w:t>
      </w:r>
      <w:r>
        <w:t xml:space="preserve">and to provide administration and enforcement powers to the CER. </w:t>
      </w:r>
      <w:r w:rsidR="006B5B3C">
        <w:t>New methodologies will need to be developed as the scheme expands to incorporate new products.</w:t>
      </w:r>
    </w:p>
    <w:p w14:paraId="565E9777" w14:textId="77777777" w:rsidR="00766072" w:rsidRPr="00BC7763" w:rsidRDefault="00766072" w:rsidP="00766072">
      <w:pPr>
        <w:pStyle w:val="BodyText"/>
        <w:numPr>
          <w:ilvl w:val="0"/>
          <w:numId w:val="65"/>
        </w:numPr>
        <w:rPr>
          <w:b/>
          <w:bCs/>
        </w:rPr>
      </w:pPr>
      <w:r w:rsidRPr="00BC7763">
        <w:rPr>
          <w:b/>
          <w:bCs/>
        </w:rPr>
        <w:t>IT systems (CER</w:t>
      </w:r>
      <w:r>
        <w:rPr>
          <w:b/>
          <w:bCs/>
        </w:rPr>
        <w:t xml:space="preserve"> lead</w:t>
      </w:r>
      <w:r w:rsidRPr="00BC7763">
        <w:rPr>
          <w:b/>
          <w:bCs/>
        </w:rPr>
        <w:t>)</w:t>
      </w:r>
    </w:p>
    <w:p w14:paraId="05E59277" w14:textId="349DB838" w:rsidR="00766072" w:rsidRDefault="00766072" w:rsidP="00766072">
      <w:pPr>
        <w:pStyle w:val="BodyText"/>
      </w:pPr>
      <w:r>
        <w:t xml:space="preserve">New IT systems will need to be built and developed for the CER to be able to properly administer the scheme. This will include application portals, registries and transfer systems, assessment risk engine tools and other related systems. These systems will undergo pre-implementation testing to determine if the requirements are met, to capture end-user feedback and iterate on the system’s design. Testing </w:t>
      </w:r>
      <w:r w:rsidR="00D34880">
        <w:t>will</w:t>
      </w:r>
      <w:r>
        <w:t xml:space="preserve"> be conducted </w:t>
      </w:r>
      <w:r w:rsidR="00E86DB0">
        <w:t>with</w:t>
      </w:r>
      <w:r>
        <w:t xml:space="preserve"> external end-users (industry stakeholders) </w:t>
      </w:r>
      <w:r w:rsidR="00E86DB0">
        <w:t>by</w:t>
      </w:r>
      <w:r>
        <w:t xml:space="preserve"> staff from both CER and DCCEEW.</w:t>
      </w:r>
    </w:p>
    <w:p w14:paraId="533097BA" w14:textId="77777777" w:rsidR="00766072" w:rsidRPr="00BC7763" w:rsidRDefault="00766072" w:rsidP="00766072">
      <w:pPr>
        <w:pStyle w:val="BodyText"/>
        <w:numPr>
          <w:ilvl w:val="0"/>
          <w:numId w:val="65"/>
        </w:numPr>
        <w:rPr>
          <w:b/>
          <w:bCs/>
        </w:rPr>
      </w:pPr>
      <w:r w:rsidRPr="00BC7763">
        <w:rPr>
          <w:b/>
          <w:bCs/>
        </w:rPr>
        <w:t>Stakeholder engagement</w:t>
      </w:r>
      <w:r>
        <w:rPr>
          <w:b/>
          <w:bCs/>
        </w:rPr>
        <w:t xml:space="preserve"> (</w:t>
      </w:r>
      <w:r w:rsidRPr="46E99C09">
        <w:rPr>
          <w:b/>
          <w:bCs/>
        </w:rPr>
        <w:t>shared</w:t>
      </w:r>
      <w:r>
        <w:rPr>
          <w:b/>
          <w:bCs/>
        </w:rPr>
        <w:t>)</w:t>
      </w:r>
    </w:p>
    <w:p w14:paraId="4C9AAC97" w14:textId="2DBACE45" w:rsidR="006F1720" w:rsidRDefault="00766072" w:rsidP="003E6380">
      <w:pPr>
        <w:pStyle w:val="BodyText"/>
      </w:pPr>
      <w:r>
        <w:t xml:space="preserve">Additional to the stakeholder engagement that has already occurred, further consultation will be undertaken on the development of detailed carbon accounting methodologies and IT system design. </w:t>
      </w:r>
      <w:r w:rsidRPr="00186968">
        <w:t xml:space="preserve">The GO scheme has </w:t>
      </w:r>
      <w:r>
        <w:t>numerous</w:t>
      </w:r>
      <w:r w:rsidRPr="00186968">
        <w:t xml:space="preserve"> and diverse stakeholder groups. As such, CER and DCCEEW will </w:t>
      </w:r>
      <w:r>
        <w:t>approach this task through an e</w:t>
      </w:r>
      <w:r w:rsidRPr="00186968">
        <w:t xml:space="preserve">ngagement </w:t>
      </w:r>
      <w:r>
        <w:t>p</w:t>
      </w:r>
      <w:r w:rsidRPr="00186968">
        <w:t>lan which outlines all key stakeholders, which agency is responsible for engaging with each stakeholder, and what specific strategy will be employed to target/inform that stakeholder group.</w:t>
      </w:r>
    </w:p>
    <w:p w14:paraId="5DC014A9" w14:textId="77777777" w:rsidR="00766072" w:rsidRPr="002858B2" w:rsidRDefault="00766072" w:rsidP="00766072">
      <w:pPr>
        <w:rPr>
          <w:b/>
        </w:rPr>
      </w:pPr>
      <w:r>
        <w:rPr>
          <w:b/>
        </w:rPr>
        <w:t>Implementation r</w:t>
      </w:r>
      <w:r w:rsidRPr="002858B2">
        <w:rPr>
          <w:b/>
        </w:rPr>
        <w:t>isks</w:t>
      </w:r>
    </w:p>
    <w:p w14:paraId="2CE57EB9" w14:textId="2E3DBD96" w:rsidR="00766072" w:rsidRDefault="00766072" w:rsidP="00766072">
      <w:pPr>
        <w:pStyle w:val="BodyText"/>
      </w:pPr>
      <w:r>
        <w:t xml:space="preserve">There are a range of implementation risks to the success of the scheme involved with each work stream that need to be managed. These have been detailed in the table below. This table helps identify the source of these risks and helps to establish the extent to which that source plays a contributory role, either in terms of the likelihood of the risk occurring and/or its impact. </w:t>
      </w:r>
    </w:p>
    <w:p w14:paraId="7B3B4530" w14:textId="77777777" w:rsidR="00766072" w:rsidRDefault="00766072" w:rsidP="00766072">
      <w:pPr>
        <w:pStyle w:val="BodyText"/>
      </w:pPr>
    </w:p>
    <w:p w14:paraId="2BDA354E" w14:textId="77777777" w:rsidR="00766072" w:rsidRDefault="00766072" w:rsidP="00766072">
      <w:pPr>
        <w:pStyle w:val="Heading4"/>
        <w:sectPr w:rsidR="00766072" w:rsidSect="00766072">
          <w:headerReference w:type="even" r:id="rId9"/>
          <w:headerReference w:type="default" r:id="rId10"/>
          <w:footerReference w:type="even" r:id="rId11"/>
          <w:footerReference w:type="default" r:id="rId12"/>
          <w:headerReference w:type="first" r:id="rId13"/>
          <w:footerReference w:type="first" r:id="rId14"/>
          <w:pgSz w:w="11906" w:h="16838"/>
          <w:pgMar w:top="1559" w:right="851" w:bottom="1135" w:left="851" w:header="567" w:footer="57" w:gutter="0"/>
          <w:cols w:space="708"/>
          <w:titlePg/>
          <w:docGrid w:linePitch="360"/>
        </w:sectPr>
      </w:pPr>
    </w:p>
    <w:p w14:paraId="6D3BB658" w14:textId="4394195C" w:rsidR="00766072" w:rsidRDefault="00766072" w:rsidP="00766072">
      <w:pPr>
        <w:pStyle w:val="Caption"/>
      </w:pPr>
      <w:r>
        <w:lastRenderedPageBreak/>
        <w:t xml:space="preserve">Table </w:t>
      </w:r>
      <w:r w:rsidR="00676E0C">
        <w:t>4</w:t>
      </w:r>
      <w:r>
        <w:t>: Implementation risk table</w:t>
      </w:r>
    </w:p>
    <w:tbl>
      <w:tblPr>
        <w:tblStyle w:val="PMCDefaultTableStyle"/>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200"/>
        <w:gridCol w:w="2389"/>
        <w:gridCol w:w="7938"/>
      </w:tblGrid>
      <w:tr w:rsidR="00766072" w:rsidRPr="00E64DC7" w14:paraId="4D7B316A" w14:textId="77777777" w:rsidTr="000402DB">
        <w:trPr>
          <w:cnfStyle w:val="100000000000" w:firstRow="1" w:lastRow="0" w:firstColumn="0" w:lastColumn="0" w:oddVBand="0" w:evenVBand="0" w:oddHBand="0" w:evenHBand="0" w:firstRowFirstColumn="0" w:firstRowLastColumn="0" w:lastRowFirstColumn="0" w:lastRowLastColumn="0"/>
          <w:trHeight w:val="681"/>
        </w:trPr>
        <w:tc>
          <w:tcPr>
            <w:tcW w:w="2785" w:type="dxa"/>
            <w:tcBorders>
              <w:bottom w:val="single" w:sz="4" w:space="0" w:color="auto"/>
            </w:tcBorders>
            <w:hideMark/>
          </w:tcPr>
          <w:p w14:paraId="26CF32F9" w14:textId="77777777" w:rsidR="00766072" w:rsidRPr="00E64DC7" w:rsidRDefault="00766072">
            <w:pPr>
              <w:pStyle w:val="ListParagraphs"/>
              <w:spacing w:before="0"/>
              <w:rPr>
                <w:rFonts w:asciiTheme="minorHAnsi" w:hAnsiTheme="minorHAnsi" w:cstheme="minorHAnsi"/>
                <w:b w:val="0"/>
                <w:color w:val="000000"/>
                <w:sz w:val="20"/>
                <w:szCs w:val="20"/>
              </w:rPr>
            </w:pPr>
            <w:r>
              <w:rPr>
                <w:rFonts w:cstheme="minorHAnsi"/>
                <w:color w:val="000000"/>
                <w:sz w:val="20"/>
                <w:szCs w:val="20"/>
              </w:rPr>
              <w:t>Risk</w:t>
            </w:r>
            <w:r w:rsidRPr="00E64DC7">
              <w:rPr>
                <w:rFonts w:cstheme="minorHAnsi"/>
                <w:color w:val="000000"/>
                <w:sz w:val="20"/>
                <w:szCs w:val="20"/>
              </w:rPr>
              <w:t xml:space="preserve"> </w:t>
            </w:r>
          </w:p>
        </w:tc>
        <w:tc>
          <w:tcPr>
            <w:tcW w:w="1200" w:type="dxa"/>
            <w:tcBorders>
              <w:bottom w:val="single" w:sz="4" w:space="0" w:color="auto"/>
            </w:tcBorders>
            <w:hideMark/>
          </w:tcPr>
          <w:p w14:paraId="75E34E99" w14:textId="77777777" w:rsidR="00766072" w:rsidRPr="00E64DC7" w:rsidRDefault="00766072">
            <w:pPr>
              <w:pStyle w:val="ListParagraphs"/>
              <w:spacing w:before="0"/>
              <w:rPr>
                <w:rFonts w:asciiTheme="minorHAnsi" w:hAnsiTheme="minorHAnsi" w:cstheme="minorHAnsi"/>
                <w:b w:val="0"/>
                <w:color w:val="000000"/>
                <w:sz w:val="20"/>
                <w:szCs w:val="20"/>
              </w:rPr>
            </w:pPr>
            <w:r>
              <w:rPr>
                <w:rFonts w:cstheme="minorHAnsi"/>
                <w:color w:val="000000"/>
                <w:sz w:val="20"/>
                <w:szCs w:val="20"/>
              </w:rPr>
              <w:t>Likelihood</w:t>
            </w:r>
          </w:p>
        </w:tc>
        <w:tc>
          <w:tcPr>
            <w:tcW w:w="2389" w:type="dxa"/>
            <w:tcBorders>
              <w:bottom w:val="single" w:sz="4" w:space="0" w:color="auto"/>
            </w:tcBorders>
          </w:tcPr>
          <w:p w14:paraId="2C4B431D" w14:textId="77777777" w:rsidR="00766072" w:rsidRDefault="00766072">
            <w:pPr>
              <w:pStyle w:val="ListParagraphs"/>
              <w:rPr>
                <w:rFonts w:cstheme="minorHAnsi"/>
                <w:color w:val="000000"/>
                <w:sz w:val="20"/>
                <w:szCs w:val="20"/>
              </w:rPr>
            </w:pPr>
            <w:r>
              <w:rPr>
                <w:rFonts w:cstheme="minorHAnsi"/>
                <w:color w:val="000000"/>
                <w:sz w:val="20"/>
                <w:szCs w:val="20"/>
              </w:rPr>
              <w:t>Impact</w:t>
            </w:r>
          </w:p>
        </w:tc>
        <w:tc>
          <w:tcPr>
            <w:tcW w:w="7938" w:type="dxa"/>
            <w:tcBorders>
              <w:bottom w:val="single" w:sz="4" w:space="0" w:color="auto"/>
            </w:tcBorders>
          </w:tcPr>
          <w:p w14:paraId="5E5A6901" w14:textId="77777777" w:rsidR="00766072" w:rsidRDefault="00766072">
            <w:pPr>
              <w:pStyle w:val="ListParagraphs"/>
              <w:rPr>
                <w:rFonts w:cstheme="minorHAnsi"/>
                <w:color w:val="000000"/>
                <w:sz w:val="20"/>
                <w:szCs w:val="20"/>
              </w:rPr>
            </w:pPr>
            <w:r>
              <w:rPr>
                <w:rFonts w:cstheme="minorHAnsi"/>
                <w:color w:val="000000"/>
                <w:sz w:val="20"/>
                <w:szCs w:val="20"/>
              </w:rPr>
              <w:t>Mitigation</w:t>
            </w:r>
          </w:p>
        </w:tc>
      </w:tr>
      <w:tr w:rsidR="00766072" w:rsidRPr="00E64DC7" w14:paraId="6F5711C1" w14:textId="77777777" w:rsidTr="000402DB">
        <w:trPr>
          <w:cnfStyle w:val="000000100000" w:firstRow="0" w:lastRow="0" w:firstColumn="0" w:lastColumn="0" w:oddVBand="0" w:evenVBand="0" w:oddHBand="1" w:evenHBand="0" w:firstRowFirstColumn="0" w:firstRowLastColumn="0" w:lastRowFirstColumn="0" w:lastRowLastColumn="0"/>
          <w:trHeight w:val="20"/>
        </w:trPr>
        <w:tc>
          <w:tcPr>
            <w:tcW w:w="2785" w:type="dxa"/>
            <w:tcBorders>
              <w:top w:val="single" w:sz="4" w:space="0" w:color="auto"/>
              <w:left w:val="single" w:sz="4" w:space="0" w:color="auto"/>
              <w:bottom w:val="single" w:sz="4" w:space="0" w:color="auto"/>
              <w:right w:val="single" w:sz="4" w:space="0" w:color="auto"/>
            </w:tcBorders>
          </w:tcPr>
          <w:p w14:paraId="4218A6AB" w14:textId="1261B8E0" w:rsidR="00766072" w:rsidRPr="002858B2" w:rsidRDefault="00D92044">
            <w:pPr>
              <w:pStyle w:val="ListParagraphs"/>
              <w:spacing w:before="0" w:after="0" w:line="240" w:lineRule="auto"/>
              <w:ind w:left="0" w:firstLine="0"/>
              <w:contextualSpacing w:val="0"/>
              <w:rPr>
                <w:sz w:val="20"/>
                <w:szCs w:val="20"/>
              </w:rPr>
            </w:pPr>
            <w:r>
              <w:rPr>
                <w:sz w:val="20"/>
                <w:szCs w:val="20"/>
              </w:rPr>
              <w:t xml:space="preserve">The </w:t>
            </w:r>
            <w:r w:rsidRPr="00D92044">
              <w:rPr>
                <w:sz w:val="20"/>
                <w:szCs w:val="20"/>
              </w:rPr>
              <w:t>GO scheme does not provide the integrity, and transparency needed by low emissions and renewable energy product consumers</w:t>
            </w:r>
          </w:p>
        </w:tc>
        <w:tc>
          <w:tcPr>
            <w:tcW w:w="1200" w:type="dxa"/>
            <w:tcBorders>
              <w:top w:val="single" w:sz="4" w:space="0" w:color="auto"/>
              <w:left w:val="single" w:sz="4" w:space="0" w:color="auto"/>
              <w:bottom w:val="single" w:sz="4" w:space="0" w:color="auto"/>
              <w:right w:val="single" w:sz="4" w:space="0" w:color="auto"/>
            </w:tcBorders>
          </w:tcPr>
          <w:p w14:paraId="46BEBB4C" w14:textId="7DE44C51" w:rsidR="00766072" w:rsidRPr="00E64DC7" w:rsidRDefault="00D652EF">
            <w:pPr>
              <w:pStyle w:val="ListParagraphs"/>
              <w:spacing w:before="0" w:after="0" w:line="240" w:lineRule="auto"/>
              <w:ind w:left="0" w:firstLine="0"/>
              <w:contextualSpacing w:val="0"/>
              <w:rPr>
                <w:sz w:val="20"/>
                <w:szCs w:val="20"/>
              </w:rPr>
            </w:pPr>
            <w:r>
              <w:rPr>
                <w:sz w:val="20"/>
                <w:szCs w:val="20"/>
              </w:rPr>
              <w:t>Unlikely</w:t>
            </w:r>
          </w:p>
        </w:tc>
        <w:tc>
          <w:tcPr>
            <w:tcW w:w="2389" w:type="dxa"/>
            <w:tcBorders>
              <w:top w:val="single" w:sz="4" w:space="0" w:color="auto"/>
              <w:left w:val="single" w:sz="4" w:space="0" w:color="auto"/>
              <w:bottom w:val="single" w:sz="4" w:space="0" w:color="auto"/>
              <w:right w:val="single" w:sz="4" w:space="0" w:color="auto"/>
            </w:tcBorders>
          </w:tcPr>
          <w:p w14:paraId="008F5B3A" w14:textId="77777777" w:rsidR="00173724" w:rsidRDefault="00BF7131" w:rsidP="00173724">
            <w:pPr>
              <w:pStyle w:val="ListParagraphs"/>
              <w:numPr>
                <w:ilvl w:val="0"/>
                <w:numId w:val="128"/>
              </w:numPr>
              <w:spacing w:before="0" w:after="0" w:line="240" w:lineRule="auto"/>
              <w:contextualSpacing w:val="0"/>
              <w:rPr>
                <w:sz w:val="20"/>
                <w:szCs w:val="20"/>
              </w:rPr>
            </w:pPr>
            <w:r>
              <w:rPr>
                <w:sz w:val="20"/>
                <w:szCs w:val="20"/>
              </w:rPr>
              <w:t>GO scheme will not meet the needs of stakeholders and may not be used.</w:t>
            </w:r>
          </w:p>
          <w:p w14:paraId="638659D4" w14:textId="4A72A14C" w:rsidR="00173724" w:rsidRDefault="00BF7131" w:rsidP="00173724">
            <w:pPr>
              <w:pStyle w:val="ListParagraphs"/>
              <w:numPr>
                <w:ilvl w:val="0"/>
                <w:numId w:val="128"/>
              </w:numPr>
              <w:spacing w:before="0" w:after="0" w:line="240" w:lineRule="auto"/>
              <w:contextualSpacing w:val="0"/>
              <w:rPr>
                <w:sz w:val="20"/>
                <w:szCs w:val="20"/>
              </w:rPr>
            </w:pPr>
            <w:r w:rsidRPr="00173724">
              <w:rPr>
                <w:sz w:val="20"/>
                <w:szCs w:val="20"/>
              </w:rPr>
              <w:t xml:space="preserve">Australia’s reputation as a supplier of renewable and low emissions products </w:t>
            </w:r>
            <w:r w:rsidR="009F5BCA">
              <w:rPr>
                <w:sz w:val="20"/>
                <w:szCs w:val="20"/>
              </w:rPr>
              <w:t>may</w:t>
            </w:r>
            <w:r w:rsidR="009F5BCA" w:rsidRPr="00173724">
              <w:rPr>
                <w:sz w:val="20"/>
                <w:szCs w:val="20"/>
              </w:rPr>
              <w:t xml:space="preserve"> </w:t>
            </w:r>
            <w:r w:rsidRPr="00173724">
              <w:rPr>
                <w:sz w:val="20"/>
                <w:szCs w:val="20"/>
              </w:rPr>
              <w:t>be negatively affected.</w:t>
            </w:r>
          </w:p>
          <w:p w14:paraId="45BDDB3F" w14:textId="000F3C3B" w:rsidR="00BF7131" w:rsidRPr="00173724" w:rsidRDefault="000402DB" w:rsidP="00173724">
            <w:pPr>
              <w:pStyle w:val="ListParagraphs"/>
              <w:numPr>
                <w:ilvl w:val="0"/>
                <w:numId w:val="128"/>
              </w:numPr>
              <w:spacing w:before="0" w:after="0" w:line="240" w:lineRule="auto"/>
              <w:contextualSpacing w:val="0"/>
              <w:rPr>
                <w:sz w:val="20"/>
                <w:szCs w:val="20"/>
              </w:rPr>
            </w:pPr>
            <w:r w:rsidRPr="00173724">
              <w:rPr>
                <w:sz w:val="20"/>
                <w:szCs w:val="20"/>
              </w:rPr>
              <w:t>Markets will be negatively impacted by a lack of reliable, transparent information.</w:t>
            </w:r>
          </w:p>
          <w:p w14:paraId="6D4E437F" w14:textId="19697B93" w:rsidR="00766072" w:rsidRPr="00E64DC7" w:rsidRDefault="00766072">
            <w:pPr>
              <w:pStyle w:val="ListParagraphs"/>
              <w:spacing w:before="0" w:after="0" w:line="240" w:lineRule="auto"/>
              <w:ind w:left="0" w:firstLine="0"/>
              <w:contextualSpacing w:val="0"/>
              <w:rPr>
                <w:sz w:val="20"/>
                <w:szCs w:val="20"/>
              </w:rPr>
            </w:pPr>
          </w:p>
        </w:tc>
        <w:tc>
          <w:tcPr>
            <w:tcW w:w="7938" w:type="dxa"/>
            <w:tcBorders>
              <w:top w:val="single" w:sz="4" w:space="0" w:color="auto"/>
              <w:left w:val="single" w:sz="4" w:space="0" w:color="auto"/>
              <w:bottom w:val="single" w:sz="4" w:space="0" w:color="auto"/>
              <w:right w:val="single" w:sz="4" w:space="0" w:color="auto"/>
            </w:tcBorders>
          </w:tcPr>
          <w:p w14:paraId="6A0A509A" w14:textId="2F808D14" w:rsidR="00766072" w:rsidRDefault="00805FED" w:rsidP="00992F58">
            <w:pPr>
              <w:pStyle w:val="ListParagraphs"/>
              <w:numPr>
                <w:ilvl w:val="0"/>
                <w:numId w:val="64"/>
              </w:numPr>
              <w:spacing w:before="0" w:after="0" w:line="240" w:lineRule="auto"/>
              <w:ind w:left="316" w:right="-110" w:hanging="316"/>
              <w:contextualSpacing w:val="0"/>
              <w:rPr>
                <w:sz w:val="20"/>
                <w:szCs w:val="20"/>
              </w:rPr>
            </w:pPr>
            <w:r>
              <w:rPr>
                <w:sz w:val="20"/>
                <w:szCs w:val="20"/>
              </w:rPr>
              <w:t>H</w:t>
            </w:r>
            <w:r w:rsidRPr="00805FED">
              <w:rPr>
                <w:sz w:val="20"/>
                <w:szCs w:val="20"/>
              </w:rPr>
              <w:t xml:space="preserve">igh levels of data transparency </w:t>
            </w:r>
            <w:r w:rsidR="009F5BCA">
              <w:rPr>
                <w:sz w:val="20"/>
                <w:szCs w:val="20"/>
              </w:rPr>
              <w:t>are</w:t>
            </w:r>
            <w:r w:rsidR="009F5BCA" w:rsidRPr="00805FED">
              <w:rPr>
                <w:sz w:val="20"/>
                <w:szCs w:val="20"/>
              </w:rPr>
              <w:t xml:space="preserve"> </w:t>
            </w:r>
            <w:r w:rsidRPr="00805FED">
              <w:rPr>
                <w:sz w:val="20"/>
                <w:szCs w:val="20"/>
              </w:rPr>
              <w:t>a feature of the scheme (</w:t>
            </w:r>
            <w:r w:rsidR="007E76B4">
              <w:rPr>
                <w:sz w:val="20"/>
                <w:szCs w:val="20"/>
              </w:rPr>
              <w:t xml:space="preserve">while </w:t>
            </w:r>
            <w:r w:rsidRPr="00805FED">
              <w:rPr>
                <w:sz w:val="20"/>
                <w:szCs w:val="20"/>
              </w:rPr>
              <w:t>manag</w:t>
            </w:r>
            <w:r w:rsidR="007E76B4">
              <w:rPr>
                <w:sz w:val="20"/>
                <w:szCs w:val="20"/>
              </w:rPr>
              <w:t>ing</w:t>
            </w:r>
            <w:r w:rsidRPr="00805FED">
              <w:rPr>
                <w:sz w:val="20"/>
                <w:szCs w:val="20"/>
              </w:rPr>
              <w:t xml:space="preserve"> confidential data).</w:t>
            </w:r>
          </w:p>
          <w:p w14:paraId="62654199" w14:textId="77777777" w:rsidR="007E76B4" w:rsidRDefault="005950B1" w:rsidP="00992F58">
            <w:pPr>
              <w:pStyle w:val="ListParagraphs"/>
              <w:numPr>
                <w:ilvl w:val="0"/>
                <w:numId w:val="64"/>
              </w:numPr>
              <w:spacing w:before="0" w:after="0" w:line="240" w:lineRule="auto"/>
              <w:ind w:left="316" w:right="-110" w:hanging="316"/>
              <w:contextualSpacing w:val="0"/>
              <w:rPr>
                <w:sz w:val="20"/>
                <w:szCs w:val="20"/>
              </w:rPr>
            </w:pPr>
            <w:r w:rsidRPr="005950B1">
              <w:rPr>
                <w:sz w:val="20"/>
                <w:szCs w:val="20"/>
              </w:rPr>
              <w:t>Easy to access and understand registers and public information</w:t>
            </w:r>
            <w:r w:rsidR="00EE4374">
              <w:rPr>
                <w:sz w:val="20"/>
                <w:szCs w:val="20"/>
              </w:rPr>
              <w:t>,</w:t>
            </w:r>
            <w:r w:rsidRPr="005950B1">
              <w:rPr>
                <w:sz w:val="20"/>
                <w:szCs w:val="20"/>
              </w:rPr>
              <w:t xml:space="preserve"> reinforced by extensive outreach and education</w:t>
            </w:r>
          </w:p>
          <w:p w14:paraId="0ABE8D31" w14:textId="77777777" w:rsidR="00EE4374" w:rsidRDefault="006A55E5" w:rsidP="00992F58">
            <w:pPr>
              <w:pStyle w:val="ListParagraphs"/>
              <w:numPr>
                <w:ilvl w:val="0"/>
                <w:numId w:val="64"/>
              </w:numPr>
              <w:spacing w:before="0" w:after="0" w:line="240" w:lineRule="auto"/>
              <w:ind w:left="316" w:right="-110" w:hanging="316"/>
              <w:contextualSpacing w:val="0"/>
              <w:rPr>
                <w:sz w:val="20"/>
                <w:szCs w:val="20"/>
              </w:rPr>
            </w:pPr>
            <w:r>
              <w:rPr>
                <w:sz w:val="20"/>
                <w:szCs w:val="20"/>
              </w:rPr>
              <w:t>Effective</w:t>
            </w:r>
            <w:r w:rsidRPr="006A55E5">
              <w:rPr>
                <w:sz w:val="20"/>
                <w:szCs w:val="20"/>
              </w:rPr>
              <w:t xml:space="preserve"> compliance and risk management using data matching, compliance tools, communication of compliance outcomes and verification/monitoring</w:t>
            </w:r>
            <w:r w:rsidR="00E82921">
              <w:rPr>
                <w:sz w:val="20"/>
                <w:szCs w:val="20"/>
              </w:rPr>
              <w:t>.</w:t>
            </w:r>
          </w:p>
          <w:p w14:paraId="491FCF8A" w14:textId="77777777" w:rsidR="00064391" w:rsidRDefault="00064391" w:rsidP="00992F58">
            <w:pPr>
              <w:pStyle w:val="ListParagraphs"/>
              <w:numPr>
                <w:ilvl w:val="0"/>
                <w:numId w:val="64"/>
              </w:numPr>
              <w:spacing w:before="0" w:after="0" w:line="240" w:lineRule="auto"/>
              <w:ind w:left="316" w:right="-110" w:hanging="316"/>
              <w:contextualSpacing w:val="0"/>
              <w:rPr>
                <w:sz w:val="20"/>
                <w:szCs w:val="20"/>
              </w:rPr>
            </w:pPr>
            <w:r>
              <w:rPr>
                <w:sz w:val="20"/>
                <w:szCs w:val="20"/>
              </w:rPr>
              <w:t>E</w:t>
            </w:r>
            <w:r w:rsidRPr="00064391">
              <w:rPr>
                <w:sz w:val="20"/>
                <w:szCs w:val="20"/>
              </w:rPr>
              <w:t xml:space="preserve">missions accounting that aligns with international and domestic carbon accounting regimes. </w:t>
            </w:r>
          </w:p>
          <w:p w14:paraId="78FF25B9" w14:textId="5A63F7FB" w:rsidR="00766072" w:rsidRPr="00E64DC7" w:rsidRDefault="0055575E" w:rsidP="00992F58">
            <w:pPr>
              <w:pStyle w:val="ListParagraphs"/>
              <w:numPr>
                <w:ilvl w:val="0"/>
                <w:numId w:val="64"/>
              </w:numPr>
              <w:spacing w:before="0" w:after="0" w:line="240" w:lineRule="auto"/>
              <w:ind w:left="316" w:right="-110" w:hanging="316"/>
              <w:contextualSpacing w:val="0"/>
              <w:rPr>
                <w:sz w:val="20"/>
                <w:szCs w:val="20"/>
              </w:rPr>
            </w:pPr>
            <w:r>
              <w:rPr>
                <w:sz w:val="20"/>
                <w:szCs w:val="20"/>
              </w:rPr>
              <w:t>O</w:t>
            </w:r>
            <w:r w:rsidR="00DF1420" w:rsidRPr="00DF1420">
              <w:rPr>
                <w:sz w:val="20"/>
                <w:szCs w:val="20"/>
              </w:rPr>
              <w:t>utreach and education program for participants</w:t>
            </w:r>
            <w:r w:rsidR="00DF1420">
              <w:rPr>
                <w:sz w:val="20"/>
                <w:szCs w:val="20"/>
              </w:rPr>
              <w:t>.</w:t>
            </w:r>
          </w:p>
        </w:tc>
      </w:tr>
      <w:tr w:rsidR="00766072" w:rsidRPr="00E64DC7" w14:paraId="1D36AA18" w14:textId="77777777" w:rsidTr="000402DB">
        <w:trPr>
          <w:cnfStyle w:val="000000010000" w:firstRow="0" w:lastRow="0" w:firstColumn="0" w:lastColumn="0" w:oddVBand="0" w:evenVBand="0" w:oddHBand="0" w:evenHBand="1" w:firstRowFirstColumn="0" w:firstRowLastColumn="0" w:lastRowFirstColumn="0" w:lastRowLastColumn="0"/>
          <w:trHeight w:val="88"/>
        </w:trPr>
        <w:tc>
          <w:tcPr>
            <w:tcW w:w="2785" w:type="dxa"/>
          </w:tcPr>
          <w:p w14:paraId="60810EBE" w14:textId="350F9245" w:rsidR="00766072" w:rsidRPr="000C2AF5" w:rsidRDefault="00FA1D70">
            <w:pPr>
              <w:spacing w:before="0" w:after="0" w:line="240" w:lineRule="auto"/>
              <w:rPr>
                <w:bCs/>
                <w:sz w:val="20"/>
              </w:rPr>
            </w:pPr>
            <w:r w:rsidRPr="000C2AF5">
              <w:rPr>
                <w:bCs/>
                <w:sz w:val="20"/>
              </w:rPr>
              <w:t>Value derived from the scheme does not outweigh the costs of participation (i.e. the scheme does not deliver net benefits).</w:t>
            </w:r>
          </w:p>
        </w:tc>
        <w:tc>
          <w:tcPr>
            <w:tcW w:w="1200" w:type="dxa"/>
          </w:tcPr>
          <w:p w14:paraId="521F7FA4" w14:textId="77777777" w:rsidR="00766072" w:rsidRDefault="00766072">
            <w:pPr>
              <w:pStyle w:val="ListParagraphs"/>
              <w:spacing w:before="0" w:after="0" w:line="240" w:lineRule="auto"/>
              <w:ind w:left="0" w:firstLine="0"/>
              <w:contextualSpacing w:val="0"/>
              <w:rPr>
                <w:sz w:val="20"/>
                <w:szCs w:val="20"/>
              </w:rPr>
            </w:pPr>
            <w:r>
              <w:rPr>
                <w:sz w:val="20"/>
                <w:szCs w:val="20"/>
              </w:rPr>
              <w:t>Unlikely</w:t>
            </w:r>
          </w:p>
        </w:tc>
        <w:tc>
          <w:tcPr>
            <w:tcW w:w="2389" w:type="dxa"/>
          </w:tcPr>
          <w:p w14:paraId="71218A26" w14:textId="77777777" w:rsidR="00766072" w:rsidRDefault="00766072" w:rsidP="00262D16">
            <w:pPr>
              <w:pStyle w:val="ListParagraphs"/>
              <w:numPr>
                <w:ilvl w:val="0"/>
                <w:numId w:val="69"/>
              </w:numPr>
              <w:spacing w:before="0" w:after="0" w:line="240" w:lineRule="auto"/>
              <w:contextualSpacing w:val="0"/>
              <w:rPr>
                <w:sz w:val="20"/>
                <w:szCs w:val="20"/>
              </w:rPr>
            </w:pPr>
            <w:r w:rsidRPr="00633738">
              <w:rPr>
                <w:sz w:val="20"/>
                <w:szCs w:val="20"/>
              </w:rPr>
              <w:t xml:space="preserve">GO </w:t>
            </w:r>
            <w:r>
              <w:rPr>
                <w:sz w:val="20"/>
                <w:szCs w:val="20"/>
              </w:rPr>
              <w:t xml:space="preserve">scheme </w:t>
            </w:r>
            <w:r w:rsidRPr="00633738">
              <w:rPr>
                <w:sz w:val="20"/>
                <w:szCs w:val="20"/>
              </w:rPr>
              <w:t xml:space="preserve">will not meet the needs of </w:t>
            </w:r>
            <w:r>
              <w:rPr>
                <w:sz w:val="20"/>
                <w:szCs w:val="20"/>
              </w:rPr>
              <w:t>all stakeholders</w:t>
            </w:r>
            <w:r w:rsidR="00262D16">
              <w:rPr>
                <w:sz w:val="20"/>
                <w:szCs w:val="20"/>
              </w:rPr>
              <w:t xml:space="preserve"> and the scheme may not be used. </w:t>
            </w:r>
          </w:p>
          <w:p w14:paraId="2EBDB4B0" w14:textId="77777777" w:rsidR="00262D16" w:rsidRPr="00173724" w:rsidRDefault="00262D16" w:rsidP="00262D16">
            <w:pPr>
              <w:pStyle w:val="ListParagraphs"/>
              <w:numPr>
                <w:ilvl w:val="0"/>
                <w:numId w:val="69"/>
              </w:numPr>
              <w:spacing w:before="0" w:after="0" w:line="240" w:lineRule="auto"/>
              <w:contextualSpacing w:val="0"/>
              <w:rPr>
                <w:sz w:val="20"/>
                <w:szCs w:val="20"/>
              </w:rPr>
            </w:pPr>
            <w:r w:rsidRPr="00173724">
              <w:rPr>
                <w:sz w:val="20"/>
                <w:szCs w:val="20"/>
              </w:rPr>
              <w:t>Markets will be negatively impacted by a lack of reliable, transparent information.</w:t>
            </w:r>
          </w:p>
          <w:p w14:paraId="1D7090A5" w14:textId="341A854B" w:rsidR="00766072" w:rsidRDefault="00766072" w:rsidP="00262D16">
            <w:pPr>
              <w:pStyle w:val="ListParagraphs"/>
              <w:spacing w:before="0" w:after="0" w:line="240" w:lineRule="auto"/>
              <w:ind w:firstLine="0"/>
              <w:contextualSpacing w:val="0"/>
              <w:rPr>
                <w:sz w:val="20"/>
                <w:szCs w:val="20"/>
              </w:rPr>
            </w:pPr>
          </w:p>
        </w:tc>
        <w:tc>
          <w:tcPr>
            <w:tcW w:w="7938" w:type="dxa"/>
          </w:tcPr>
          <w:p w14:paraId="2F7D2D8F" w14:textId="404CC5EB" w:rsidR="00766072" w:rsidRDefault="00766072" w:rsidP="001A2601">
            <w:pPr>
              <w:pStyle w:val="ListParagraphs"/>
              <w:numPr>
                <w:ilvl w:val="0"/>
                <w:numId w:val="132"/>
              </w:numPr>
              <w:spacing w:before="0" w:after="0" w:line="240" w:lineRule="auto"/>
              <w:ind w:right="-110"/>
              <w:contextualSpacing w:val="0"/>
              <w:rPr>
                <w:sz w:val="20"/>
                <w:szCs w:val="20"/>
              </w:rPr>
            </w:pPr>
            <w:r>
              <w:rPr>
                <w:sz w:val="20"/>
                <w:szCs w:val="20"/>
              </w:rPr>
              <w:t>DCCEEW</w:t>
            </w:r>
            <w:r w:rsidRPr="00B04630">
              <w:rPr>
                <w:sz w:val="20"/>
                <w:szCs w:val="20"/>
              </w:rPr>
              <w:t xml:space="preserve"> has undertaken extensive external consultation </w:t>
            </w:r>
            <w:r>
              <w:rPr>
                <w:sz w:val="20"/>
                <w:szCs w:val="20"/>
              </w:rPr>
              <w:t>via three</w:t>
            </w:r>
            <w:r w:rsidRPr="00B04630">
              <w:rPr>
                <w:sz w:val="20"/>
                <w:szCs w:val="20"/>
              </w:rPr>
              <w:t xml:space="preserve"> public consultations as well as an ongoing trial process run by the CER.</w:t>
            </w:r>
          </w:p>
          <w:p w14:paraId="382EA3EA" w14:textId="5140DA53" w:rsidR="00E34A2B" w:rsidRDefault="00E34A2B" w:rsidP="001A2601">
            <w:pPr>
              <w:pStyle w:val="ListParagraphs"/>
              <w:numPr>
                <w:ilvl w:val="0"/>
                <w:numId w:val="132"/>
              </w:numPr>
              <w:spacing w:before="0" w:after="0" w:line="240" w:lineRule="auto"/>
              <w:ind w:left="329" w:right="-108" w:hanging="284"/>
              <w:contextualSpacing w:val="0"/>
              <w:rPr>
                <w:sz w:val="20"/>
                <w:szCs w:val="20"/>
              </w:rPr>
            </w:pPr>
            <w:r>
              <w:rPr>
                <w:sz w:val="20"/>
                <w:szCs w:val="20"/>
              </w:rPr>
              <w:t>The consultation documents released in September 2023 explicitly asked for feedback on whether the regulatory burden of the scheme is appropriate.</w:t>
            </w:r>
          </w:p>
          <w:p w14:paraId="1E084A5B" w14:textId="4AD145FE" w:rsidR="00E34A2B" w:rsidRDefault="00843A4C" w:rsidP="001A2601">
            <w:pPr>
              <w:pStyle w:val="ListParagraphs"/>
              <w:numPr>
                <w:ilvl w:val="0"/>
                <w:numId w:val="132"/>
              </w:numPr>
              <w:spacing w:before="0" w:after="0" w:line="240" w:lineRule="auto"/>
              <w:ind w:left="329" w:right="-108" w:hanging="284"/>
              <w:contextualSpacing w:val="0"/>
              <w:rPr>
                <w:sz w:val="20"/>
                <w:szCs w:val="20"/>
              </w:rPr>
            </w:pPr>
            <w:r>
              <w:rPr>
                <w:sz w:val="20"/>
                <w:szCs w:val="20"/>
              </w:rPr>
              <w:t xml:space="preserve">Continued stakeholder engagement on the development of subordinate instruments. </w:t>
            </w:r>
          </w:p>
          <w:p w14:paraId="25B3DD97" w14:textId="11E7E96E" w:rsidR="00712C3A" w:rsidRDefault="0055575E" w:rsidP="001A2601">
            <w:pPr>
              <w:pStyle w:val="ListParagraphs"/>
              <w:numPr>
                <w:ilvl w:val="0"/>
                <w:numId w:val="132"/>
              </w:numPr>
              <w:spacing w:before="0" w:after="0" w:line="240" w:lineRule="auto"/>
              <w:ind w:left="329" w:right="-108" w:hanging="284"/>
              <w:contextualSpacing w:val="0"/>
              <w:rPr>
                <w:sz w:val="20"/>
                <w:szCs w:val="20"/>
              </w:rPr>
            </w:pPr>
            <w:r>
              <w:rPr>
                <w:sz w:val="20"/>
                <w:szCs w:val="20"/>
              </w:rPr>
              <w:t>O</w:t>
            </w:r>
            <w:r w:rsidR="00712C3A" w:rsidRPr="00DF1420">
              <w:rPr>
                <w:sz w:val="20"/>
                <w:szCs w:val="20"/>
              </w:rPr>
              <w:t>utreach and education program for participants</w:t>
            </w:r>
            <w:r w:rsidR="00712C3A">
              <w:rPr>
                <w:sz w:val="20"/>
                <w:szCs w:val="20"/>
              </w:rPr>
              <w:t>.</w:t>
            </w:r>
          </w:p>
          <w:p w14:paraId="7C712F76" w14:textId="5977066D" w:rsidR="00766072" w:rsidRPr="009B3C58" w:rsidRDefault="00766072" w:rsidP="00843A4C">
            <w:pPr>
              <w:pStyle w:val="ListParagraphs"/>
              <w:spacing w:before="120" w:after="0" w:line="240" w:lineRule="auto"/>
              <w:ind w:left="0" w:right="-108" w:firstLine="0"/>
              <w:contextualSpacing w:val="0"/>
              <w:rPr>
                <w:sz w:val="20"/>
                <w:szCs w:val="20"/>
              </w:rPr>
            </w:pPr>
          </w:p>
        </w:tc>
      </w:tr>
      <w:tr w:rsidR="00766072" w:rsidRPr="00E64DC7" w14:paraId="1AD3A111" w14:textId="77777777" w:rsidTr="000402DB">
        <w:trPr>
          <w:cnfStyle w:val="000000100000" w:firstRow="0" w:lastRow="0" w:firstColumn="0" w:lastColumn="0" w:oddVBand="0" w:evenVBand="0" w:oddHBand="1" w:evenHBand="0" w:firstRowFirstColumn="0" w:firstRowLastColumn="0" w:lastRowFirstColumn="0" w:lastRowLastColumn="0"/>
          <w:trHeight w:val="88"/>
        </w:trPr>
        <w:tc>
          <w:tcPr>
            <w:tcW w:w="2785" w:type="dxa"/>
          </w:tcPr>
          <w:p w14:paraId="552827AB" w14:textId="20BE8637" w:rsidR="00766072" w:rsidRPr="000C2AF5" w:rsidRDefault="00766072">
            <w:pPr>
              <w:spacing w:after="0" w:line="240" w:lineRule="auto"/>
              <w:rPr>
                <w:bCs/>
                <w:sz w:val="20"/>
              </w:rPr>
            </w:pPr>
            <w:r w:rsidRPr="000C2AF5">
              <w:rPr>
                <w:bCs/>
                <w:sz w:val="20"/>
              </w:rPr>
              <w:t xml:space="preserve">Scheme is misaligned with international approaches </w:t>
            </w:r>
            <w:r w:rsidR="003576AD" w:rsidRPr="000C2AF5">
              <w:rPr>
                <w:bCs/>
                <w:sz w:val="20"/>
              </w:rPr>
              <w:t>or not accepted by export markets</w:t>
            </w:r>
          </w:p>
        </w:tc>
        <w:tc>
          <w:tcPr>
            <w:tcW w:w="1200" w:type="dxa"/>
          </w:tcPr>
          <w:p w14:paraId="0086B9DF" w14:textId="77777777" w:rsidR="00766072" w:rsidRDefault="00766072">
            <w:pPr>
              <w:pStyle w:val="ListParagraphs"/>
              <w:spacing w:after="0" w:line="240" w:lineRule="auto"/>
              <w:ind w:left="0" w:firstLine="0"/>
              <w:contextualSpacing w:val="0"/>
              <w:rPr>
                <w:sz w:val="20"/>
                <w:szCs w:val="20"/>
              </w:rPr>
            </w:pPr>
            <w:r>
              <w:rPr>
                <w:sz w:val="20"/>
                <w:szCs w:val="20"/>
              </w:rPr>
              <w:t>Unlikely</w:t>
            </w:r>
          </w:p>
        </w:tc>
        <w:tc>
          <w:tcPr>
            <w:tcW w:w="2389" w:type="dxa"/>
          </w:tcPr>
          <w:p w14:paraId="10292660" w14:textId="77777777" w:rsidR="00766072" w:rsidRDefault="00766072" w:rsidP="00341100">
            <w:pPr>
              <w:pStyle w:val="ListParagraphs"/>
              <w:numPr>
                <w:ilvl w:val="0"/>
                <w:numId w:val="129"/>
              </w:numPr>
              <w:spacing w:before="0" w:after="0" w:line="240" w:lineRule="auto"/>
              <w:contextualSpacing w:val="0"/>
              <w:rPr>
                <w:sz w:val="20"/>
                <w:szCs w:val="20"/>
              </w:rPr>
            </w:pPr>
            <w:r>
              <w:rPr>
                <w:sz w:val="20"/>
                <w:szCs w:val="20"/>
              </w:rPr>
              <w:t xml:space="preserve">The scheme </w:t>
            </w:r>
            <w:r w:rsidR="00341100">
              <w:rPr>
                <w:sz w:val="20"/>
                <w:szCs w:val="20"/>
              </w:rPr>
              <w:t>will not</w:t>
            </w:r>
            <w:r w:rsidRPr="005C6828">
              <w:rPr>
                <w:sz w:val="20"/>
                <w:szCs w:val="20"/>
              </w:rPr>
              <w:t xml:space="preserve"> meet the needs of stakeholders seeking to trade </w:t>
            </w:r>
            <w:r>
              <w:rPr>
                <w:sz w:val="20"/>
                <w:szCs w:val="20"/>
              </w:rPr>
              <w:t xml:space="preserve">products </w:t>
            </w:r>
            <w:r w:rsidRPr="005C6828">
              <w:rPr>
                <w:sz w:val="20"/>
                <w:szCs w:val="20"/>
              </w:rPr>
              <w:t>internationally</w:t>
            </w:r>
            <w:r w:rsidR="00341100">
              <w:rPr>
                <w:sz w:val="20"/>
                <w:szCs w:val="20"/>
              </w:rPr>
              <w:t>.</w:t>
            </w:r>
          </w:p>
          <w:p w14:paraId="4B953EF5" w14:textId="0EF8E697" w:rsidR="00766072" w:rsidRDefault="00341100" w:rsidP="00341100">
            <w:pPr>
              <w:pStyle w:val="ListParagraphs"/>
              <w:numPr>
                <w:ilvl w:val="0"/>
                <w:numId w:val="129"/>
              </w:numPr>
              <w:spacing w:before="0" w:after="0" w:line="240" w:lineRule="auto"/>
              <w:contextualSpacing w:val="0"/>
              <w:rPr>
                <w:sz w:val="20"/>
                <w:szCs w:val="20"/>
              </w:rPr>
            </w:pPr>
            <w:r>
              <w:rPr>
                <w:sz w:val="20"/>
                <w:szCs w:val="20"/>
              </w:rPr>
              <w:t xml:space="preserve">May impact </w:t>
            </w:r>
            <w:r w:rsidR="0014049F">
              <w:rPr>
                <w:sz w:val="20"/>
                <w:szCs w:val="20"/>
              </w:rPr>
              <w:t>potential trade opportunities in low-emissions products</w:t>
            </w:r>
          </w:p>
        </w:tc>
        <w:tc>
          <w:tcPr>
            <w:tcW w:w="7938" w:type="dxa"/>
          </w:tcPr>
          <w:p w14:paraId="379D1785" w14:textId="77777777" w:rsidR="00766072" w:rsidRDefault="00766072" w:rsidP="001A2601">
            <w:pPr>
              <w:pStyle w:val="ListParagraphs"/>
              <w:numPr>
                <w:ilvl w:val="0"/>
                <w:numId w:val="75"/>
              </w:numPr>
              <w:spacing w:after="0" w:line="240" w:lineRule="auto"/>
              <w:ind w:right="-110"/>
              <w:contextualSpacing w:val="0"/>
              <w:rPr>
                <w:sz w:val="20"/>
                <w:szCs w:val="20"/>
              </w:rPr>
            </w:pPr>
            <w:r>
              <w:rPr>
                <w:sz w:val="20"/>
                <w:szCs w:val="20"/>
              </w:rPr>
              <w:t>DCCEEW has been engaging both multilaterally and bilaterally on the design of the scheme to ensure acceptance by international markets:</w:t>
            </w:r>
          </w:p>
          <w:p w14:paraId="209C1871" w14:textId="77777777" w:rsidR="00766072" w:rsidRDefault="00766072">
            <w:pPr>
              <w:pStyle w:val="ListParagraphs"/>
              <w:numPr>
                <w:ilvl w:val="0"/>
                <w:numId w:val="75"/>
              </w:numPr>
              <w:spacing w:after="0" w:line="240" w:lineRule="auto"/>
              <w:ind w:right="-110"/>
              <w:contextualSpacing w:val="0"/>
              <w:rPr>
                <w:sz w:val="20"/>
                <w:szCs w:val="20"/>
              </w:rPr>
            </w:pPr>
            <w:r>
              <w:rPr>
                <w:sz w:val="20"/>
                <w:szCs w:val="20"/>
              </w:rPr>
              <w:t>DCCEEW has taken a lead role in the development of internationally aligned emissions accounting methodologies trough IPHE and the GO scheme is closely aligned with this work.</w:t>
            </w:r>
          </w:p>
          <w:p w14:paraId="1F6279B3" w14:textId="77777777" w:rsidR="00766072" w:rsidRDefault="00766072">
            <w:pPr>
              <w:pStyle w:val="ListParagraphs"/>
              <w:numPr>
                <w:ilvl w:val="0"/>
                <w:numId w:val="75"/>
              </w:numPr>
              <w:spacing w:after="0" w:line="240" w:lineRule="auto"/>
              <w:ind w:right="-110"/>
              <w:contextualSpacing w:val="0"/>
              <w:rPr>
                <w:sz w:val="20"/>
                <w:szCs w:val="20"/>
              </w:rPr>
            </w:pPr>
            <w:r>
              <w:rPr>
                <w:sz w:val="20"/>
                <w:szCs w:val="20"/>
              </w:rPr>
              <w:t>DCCEEW is co-leading the IPHE Certifications Mechanism Taskforce looking at harmonisation and interoperability of certification schemes.</w:t>
            </w:r>
          </w:p>
          <w:p w14:paraId="1FE388EB" w14:textId="37098944" w:rsidR="00766072" w:rsidRDefault="00766072">
            <w:pPr>
              <w:pStyle w:val="ListParagraphs"/>
              <w:numPr>
                <w:ilvl w:val="0"/>
                <w:numId w:val="75"/>
              </w:numPr>
              <w:spacing w:after="0" w:line="240" w:lineRule="auto"/>
              <w:ind w:right="-110"/>
              <w:contextualSpacing w:val="0"/>
              <w:rPr>
                <w:sz w:val="20"/>
                <w:szCs w:val="20"/>
              </w:rPr>
            </w:pPr>
            <w:r>
              <w:rPr>
                <w:sz w:val="20"/>
                <w:szCs w:val="20"/>
              </w:rPr>
              <w:t xml:space="preserve">DCCEEW </w:t>
            </w:r>
            <w:r w:rsidR="00C23DC7">
              <w:rPr>
                <w:sz w:val="20"/>
                <w:szCs w:val="20"/>
              </w:rPr>
              <w:t>will continue to be</w:t>
            </w:r>
            <w:r>
              <w:rPr>
                <w:sz w:val="20"/>
                <w:szCs w:val="20"/>
              </w:rPr>
              <w:t xml:space="preserve"> engaged in other multi-lateral forums looking at the harmonisation of hydrogen regulations, codes and standards. </w:t>
            </w:r>
          </w:p>
          <w:p w14:paraId="77085E62" w14:textId="03E3D88A" w:rsidR="00766072" w:rsidRDefault="00766072">
            <w:pPr>
              <w:pStyle w:val="ListParagraphs"/>
              <w:numPr>
                <w:ilvl w:val="0"/>
                <w:numId w:val="75"/>
              </w:numPr>
              <w:spacing w:after="0" w:line="240" w:lineRule="auto"/>
              <w:ind w:right="-110"/>
              <w:contextualSpacing w:val="0"/>
              <w:rPr>
                <w:sz w:val="20"/>
                <w:szCs w:val="20"/>
              </w:rPr>
            </w:pPr>
            <w:r>
              <w:rPr>
                <w:sz w:val="20"/>
                <w:szCs w:val="20"/>
              </w:rPr>
              <w:lastRenderedPageBreak/>
              <w:t xml:space="preserve">DCCEEW has been and will continue to engage bilaterally to ensure acceptance of our approach with key trading partners. </w:t>
            </w:r>
          </w:p>
          <w:p w14:paraId="53CA816A" w14:textId="329E13C8" w:rsidR="00766072" w:rsidRPr="00BF5D22" w:rsidRDefault="00766072" w:rsidP="00992F58">
            <w:pPr>
              <w:pStyle w:val="ListParagraphs"/>
              <w:numPr>
                <w:ilvl w:val="0"/>
                <w:numId w:val="75"/>
              </w:numPr>
              <w:spacing w:after="0" w:line="240" w:lineRule="auto"/>
              <w:ind w:right="-110"/>
              <w:contextualSpacing w:val="0"/>
              <w:rPr>
                <w:sz w:val="20"/>
                <w:szCs w:val="20"/>
              </w:rPr>
            </w:pPr>
            <w:r>
              <w:rPr>
                <w:sz w:val="20"/>
                <w:szCs w:val="20"/>
              </w:rPr>
              <w:t xml:space="preserve">DCCEEW </w:t>
            </w:r>
            <w:r w:rsidR="002F588C">
              <w:rPr>
                <w:sz w:val="20"/>
                <w:szCs w:val="20"/>
              </w:rPr>
              <w:t>will seek to develop</w:t>
            </w:r>
            <w:r>
              <w:rPr>
                <w:sz w:val="20"/>
                <w:szCs w:val="20"/>
              </w:rPr>
              <w:t xml:space="preserve"> bilateral studies with </w:t>
            </w:r>
            <w:r w:rsidR="002F588C">
              <w:rPr>
                <w:sz w:val="20"/>
                <w:szCs w:val="20"/>
              </w:rPr>
              <w:t>trading partners</w:t>
            </w:r>
            <w:r>
              <w:rPr>
                <w:sz w:val="20"/>
                <w:szCs w:val="20"/>
              </w:rPr>
              <w:t xml:space="preserve"> to analyse the interoperability of certification schemes.</w:t>
            </w:r>
          </w:p>
        </w:tc>
      </w:tr>
      <w:tr w:rsidR="00642EEF" w:rsidRPr="00E64DC7" w14:paraId="07F5765B" w14:textId="77777777" w:rsidTr="000402DB">
        <w:trPr>
          <w:cnfStyle w:val="000000010000" w:firstRow="0" w:lastRow="0" w:firstColumn="0" w:lastColumn="0" w:oddVBand="0" w:evenVBand="0" w:oddHBand="0" w:evenHBand="1" w:firstRowFirstColumn="0" w:firstRowLastColumn="0" w:lastRowFirstColumn="0" w:lastRowLastColumn="0"/>
          <w:trHeight w:val="88"/>
        </w:trPr>
        <w:tc>
          <w:tcPr>
            <w:tcW w:w="2785" w:type="dxa"/>
          </w:tcPr>
          <w:p w14:paraId="1FB8A5C7" w14:textId="36E7EA75" w:rsidR="00642EEF" w:rsidRPr="000C2AF5" w:rsidRDefault="00642EEF">
            <w:pPr>
              <w:spacing w:after="0" w:line="240" w:lineRule="auto"/>
              <w:rPr>
                <w:bCs/>
                <w:sz w:val="20"/>
              </w:rPr>
            </w:pPr>
            <w:r w:rsidRPr="000C2AF5">
              <w:rPr>
                <w:bCs/>
                <w:sz w:val="20"/>
              </w:rPr>
              <w:lastRenderedPageBreak/>
              <w:t>Risk of fraudulent activity</w:t>
            </w:r>
            <w:r w:rsidR="00DA417F" w:rsidRPr="000C2AF5">
              <w:rPr>
                <w:bCs/>
                <w:sz w:val="20"/>
              </w:rPr>
              <w:t xml:space="preserve">, leading to fraudulent claiming of </w:t>
            </w:r>
            <w:r w:rsidR="004800FF" w:rsidRPr="000C2AF5">
              <w:rPr>
                <w:bCs/>
                <w:sz w:val="20"/>
              </w:rPr>
              <w:t>incentives</w:t>
            </w:r>
          </w:p>
        </w:tc>
        <w:tc>
          <w:tcPr>
            <w:tcW w:w="1200" w:type="dxa"/>
          </w:tcPr>
          <w:p w14:paraId="09BC94AB" w14:textId="7E5C28BE" w:rsidR="00642EEF" w:rsidRDefault="00642EEF">
            <w:pPr>
              <w:pStyle w:val="ListParagraphs"/>
              <w:spacing w:after="0" w:line="240" w:lineRule="auto"/>
              <w:ind w:left="0" w:firstLine="0"/>
              <w:contextualSpacing w:val="0"/>
              <w:rPr>
                <w:sz w:val="20"/>
                <w:szCs w:val="20"/>
              </w:rPr>
            </w:pPr>
            <w:r>
              <w:rPr>
                <w:sz w:val="20"/>
                <w:szCs w:val="20"/>
              </w:rPr>
              <w:t>Unlikely</w:t>
            </w:r>
          </w:p>
        </w:tc>
        <w:tc>
          <w:tcPr>
            <w:tcW w:w="2389" w:type="dxa"/>
          </w:tcPr>
          <w:p w14:paraId="22A021A4" w14:textId="5D6F97D5" w:rsidR="004800FF" w:rsidRDefault="003863C6" w:rsidP="003863C6">
            <w:pPr>
              <w:pStyle w:val="ListParagraphs"/>
              <w:numPr>
                <w:ilvl w:val="0"/>
                <w:numId w:val="130"/>
              </w:numPr>
              <w:spacing w:after="0" w:line="240" w:lineRule="auto"/>
              <w:contextualSpacing w:val="0"/>
              <w:rPr>
                <w:sz w:val="20"/>
                <w:szCs w:val="20"/>
              </w:rPr>
            </w:pPr>
            <w:r>
              <w:rPr>
                <w:sz w:val="20"/>
                <w:szCs w:val="20"/>
              </w:rPr>
              <w:t>Negatively impacts the reputation of the Australian Government and the GO scheme</w:t>
            </w:r>
          </w:p>
        </w:tc>
        <w:tc>
          <w:tcPr>
            <w:tcW w:w="7938" w:type="dxa"/>
          </w:tcPr>
          <w:p w14:paraId="743748EC" w14:textId="0BDD6029" w:rsidR="00642EEF" w:rsidRDefault="004B1BD0" w:rsidP="001A2601">
            <w:pPr>
              <w:pStyle w:val="ListParagraphs"/>
              <w:numPr>
                <w:ilvl w:val="0"/>
                <w:numId w:val="133"/>
              </w:numPr>
              <w:spacing w:after="0" w:line="240" w:lineRule="auto"/>
              <w:ind w:right="-110"/>
              <w:contextualSpacing w:val="0"/>
              <w:rPr>
                <w:sz w:val="20"/>
                <w:szCs w:val="20"/>
              </w:rPr>
            </w:pPr>
            <w:r>
              <w:rPr>
                <w:sz w:val="20"/>
                <w:szCs w:val="20"/>
              </w:rPr>
              <w:t>High i</w:t>
            </w:r>
            <w:r w:rsidRPr="004B1BD0">
              <w:rPr>
                <w:sz w:val="20"/>
                <w:szCs w:val="20"/>
              </w:rPr>
              <w:t xml:space="preserve">ntegrity controls and checking, such as submission of additional documentation, compliance action and other </w:t>
            </w:r>
            <w:r w:rsidR="00B54866" w:rsidRPr="004B1BD0">
              <w:rPr>
                <w:sz w:val="20"/>
                <w:szCs w:val="20"/>
              </w:rPr>
              <w:t>deterrence</w:t>
            </w:r>
            <w:r w:rsidRPr="004B1BD0">
              <w:rPr>
                <w:sz w:val="20"/>
                <w:szCs w:val="20"/>
              </w:rPr>
              <w:t xml:space="preserve"> measures and</w:t>
            </w:r>
            <w:r>
              <w:rPr>
                <w:sz w:val="20"/>
                <w:szCs w:val="20"/>
              </w:rPr>
              <w:t xml:space="preserve"> regular</w:t>
            </w:r>
            <w:r w:rsidRPr="004B1BD0">
              <w:rPr>
                <w:sz w:val="20"/>
                <w:szCs w:val="20"/>
              </w:rPr>
              <w:t xml:space="preserve"> audits</w:t>
            </w:r>
            <w:r w:rsidR="00E67261">
              <w:rPr>
                <w:sz w:val="20"/>
                <w:szCs w:val="20"/>
              </w:rPr>
              <w:t>.</w:t>
            </w:r>
          </w:p>
        </w:tc>
      </w:tr>
    </w:tbl>
    <w:p w14:paraId="43D6CFAF" w14:textId="77777777" w:rsidR="00766072" w:rsidRDefault="00766072" w:rsidP="00766072">
      <w:pPr>
        <w:rPr>
          <w:bCs/>
        </w:rPr>
      </w:pPr>
    </w:p>
    <w:p w14:paraId="22EA437E" w14:textId="77777777" w:rsidR="00766072" w:rsidRDefault="00766072" w:rsidP="00766072">
      <w:pPr>
        <w:spacing w:before="100" w:beforeAutospacing="1" w:after="100" w:afterAutospacing="1" w:line="240" w:lineRule="auto"/>
        <w:rPr>
          <w:rFonts w:ascii="Segoe UI" w:eastAsia="Times New Roman" w:hAnsi="Segoe UI" w:cs="Segoe UI"/>
          <w:i/>
          <w:iCs/>
          <w:color w:val="262626"/>
          <w:sz w:val="18"/>
          <w:szCs w:val="18"/>
          <w:lang w:eastAsia="en-AU"/>
        </w:rPr>
        <w:sectPr w:rsidR="00766072" w:rsidSect="00766072">
          <w:pgSz w:w="16838" w:h="11906" w:orient="landscape"/>
          <w:pgMar w:top="851" w:right="1559" w:bottom="851" w:left="1560" w:header="567" w:footer="57" w:gutter="0"/>
          <w:cols w:space="708"/>
          <w:docGrid w:linePitch="360"/>
        </w:sectPr>
      </w:pPr>
    </w:p>
    <w:p w14:paraId="102C073A" w14:textId="66F3B418" w:rsidR="00766072" w:rsidRDefault="00766072" w:rsidP="00766072">
      <w:pPr>
        <w:rPr>
          <w:b/>
          <w:bCs/>
        </w:rPr>
      </w:pPr>
      <w:r>
        <w:rPr>
          <w:b/>
          <w:bCs/>
        </w:rPr>
        <w:lastRenderedPageBreak/>
        <w:t>Evaluating implementation success</w:t>
      </w:r>
    </w:p>
    <w:p w14:paraId="253CB867" w14:textId="331EC0B2" w:rsidR="00766072" w:rsidRDefault="00766072" w:rsidP="00766072">
      <w:r>
        <w:t xml:space="preserve">Evaluating the success of the GO scheme will occur through </w:t>
      </w:r>
      <w:r w:rsidR="00392D04">
        <w:t xml:space="preserve">internal </w:t>
      </w:r>
      <w:r w:rsidR="00245AD6">
        <w:t>engagement between DCCEEW and the CER, and in addition, will</w:t>
      </w:r>
      <w:r>
        <w:t xml:space="preserve"> </w:t>
      </w:r>
      <w:r w:rsidR="00DE176D">
        <w:t xml:space="preserve">be undertaken </w:t>
      </w:r>
      <w:r>
        <w:t xml:space="preserve">through a </w:t>
      </w:r>
      <w:r w:rsidR="00EE3DF1">
        <w:t>formalised</w:t>
      </w:r>
      <w:r>
        <w:t xml:space="preserve"> initial review </w:t>
      </w:r>
      <w:r w:rsidR="00AA24DF">
        <w:t xml:space="preserve">proposed to </w:t>
      </w:r>
      <w:r>
        <w:t>commenc</w:t>
      </w:r>
      <w:r w:rsidR="00AA24DF">
        <w:t>e</w:t>
      </w:r>
      <w:r>
        <w:t xml:space="preserve"> </w:t>
      </w:r>
      <w:r w:rsidR="00095B79">
        <w:t>within three</w:t>
      </w:r>
      <w:r>
        <w:t xml:space="preserve"> years of scheme operation. Further evaluations </w:t>
      </w:r>
      <w:r w:rsidR="00517E83">
        <w:t>will</w:t>
      </w:r>
      <w:r>
        <w:t xml:space="preserve"> be conducted on an ongoing basis thereafter. </w:t>
      </w:r>
    </w:p>
    <w:p w14:paraId="4FEC2EB9" w14:textId="4B20B201" w:rsidR="00FB2A5A" w:rsidRDefault="00766072" w:rsidP="00766072">
      <w:pPr>
        <w:spacing w:before="120" w:line="240" w:lineRule="auto"/>
        <w:rPr>
          <w:rFonts w:cstheme="minorHAnsi"/>
        </w:rPr>
      </w:pPr>
      <w:r>
        <w:t xml:space="preserve">The initial review would focus on the integrity and effectiveness of the scheme design and any potential amendments to improve functionality. It would also </w:t>
      </w:r>
      <w:r w:rsidR="00DA126A">
        <w:rPr>
          <w:rFonts w:cstheme="minorHAnsi"/>
        </w:rPr>
        <w:t>consider whether</w:t>
      </w:r>
      <w:r w:rsidRPr="009B4922">
        <w:rPr>
          <w:rFonts w:cstheme="minorHAnsi"/>
        </w:rPr>
        <w:t xml:space="preserve"> the scheme continues to remain aligned with international developments.</w:t>
      </w:r>
      <w:r>
        <w:rPr>
          <w:rFonts w:cstheme="minorHAnsi"/>
        </w:rPr>
        <w:t xml:space="preserve"> </w:t>
      </w:r>
    </w:p>
    <w:p w14:paraId="7C1A1C4A" w14:textId="68BDA07D" w:rsidR="00766072" w:rsidRDefault="00766072" w:rsidP="00766072">
      <w:pPr>
        <w:spacing w:before="120" w:line="240" w:lineRule="auto"/>
        <w:rPr>
          <w:rFonts w:cstheme="minorHAnsi"/>
        </w:rPr>
      </w:pPr>
      <w:r w:rsidRPr="009E3E73">
        <w:rPr>
          <w:rFonts w:cstheme="minorHAnsi"/>
        </w:rPr>
        <w:t>The ongoing reviews w</w:t>
      </w:r>
      <w:r>
        <w:rPr>
          <w:rFonts w:cstheme="minorHAnsi"/>
        </w:rPr>
        <w:t>ould</w:t>
      </w:r>
      <w:r w:rsidRPr="009E3E73">
        <w:rPr>
          <w:rFonts w:cstheme="minorHAnsi"/>
        </w:rPr>
        <w:t xml:space="preserve"> </w:t>
      </w:r>
      <w:r>
        <w:rPr>
          <w:rFonts w:cstheme="minorHAnsi"/>
        </w:rPr>
        <w:t xml:space="preserve">continue to </w:t>
      </w:r>
      <w:r w:rsidRPr="009E3E73">
        <w:rPr>
          <w:rFonts w:cstheme="minorHAnsi"/>
        </w:rPr>
        <w:t>assess the ongoing integrity, effectiveness and efficiency of the GO scheme and identify any potential amendments.</w:t>
      </w:r>
      <w:r>
        <w:rPr>
          <w:rFonts w:cstheme="minorHAnsi"/>
        </w:rPr>
        <w:t xml:space="preserve"> This program of ongoing review would also provide a mechanism to</w:t>
      </w:r>
      <w:r w:rsidRPr="00B941EF">
        <w:rPr>
          <w:rFonts w:cstheme="minorHAnsi"/>
        </w:rPr>
        <w:t xml:space="preserve"> track</w:t>
      </w:r>
      <w:r>
        <w:rPr>
          <w:rFonts w:cstheme="minorHAnsi"/>
        </w:rPr>
        <w:t xml:space="preserve"> </w:t>
      </w:r>
      <w:r w:rsidRPr="00B941EF">
        <w:rPr>
          <w:rFonts w:cstheme="minorHAnsi"/>
        </w:rPr>
        <w:t>unintended consequences</w:t>
      </w:r>
      <w:r>
        <w:rPr>
          <w:rFonts w:cstheme="minorHAnsi"/>
        </w:rPr>
        <w:t xml:space="preserve"> of the GO scheme</w:t>
      </w:r>
      <w:r w:rsidRPr="00472D92">
        <w:rPr>
          <w:rFonts w:cstheme="minorHAnsi"/>
        </w:rPr>
        <w:t>. Any</w:t>
      </w:r>
      <w:r>
        <w:rPr>
          <w:rFonts w:cstheme="minorHAnsi"/>
        </w:rPr>
        <w:t xml:space="preserve"> such unwanted impacts could then be addressed, whether through legislative or administrative amendments. </w:t>
      </w:r>
    </w:p>
    <w:p w14:paraId="10BC32E7" w14:textId="11FDE05B" w:rsidR="00766072" w:rsidRPr="00747E83" w:rsidRDefault="00766072" w:rsidP="00766072">
      <w:pPr>
        <w:spacing w:before="120" w:line="240" w:lineRule="auto"/>
        <w:rPr>
          <w:rFonts w:eastAsia="Times New Roman" w:cstheme="minorHAnsi"/>
          <w:color w:val="auto"/>
          <w:lang w:eastAsia="en-AU"/>
        </w:rPr>
      </w:pPr>
      <w:r>
        <w:rPr>
          <w:rFonts w:eastAsia="Times New Roman" w:cstheme="minorHAnsi"/>
          <w:color w:val="262626"/>
          <w:lang w:eastAsia="en-AU"/>
        </w:rPr>
        <w:t>Me</w:t>
      </w:r>
      <w:r w:rsidRPr="00747E83">
        <w:rPr>
          <w:rFonts w:eastAsia="Times New Roman" w:cstheme="minorHAnsi"/>
          <w:color w:val="262626"/>
          <w:lang w:eastAsia="en-AU"/>
        </w:rPr>
        <w:t>trics for these reviews</w:t>
      </w:r>
      <w:r>
        <w:rPr>
          <w:rFonts w:eastAsia="Times New Roman" w:cstheme="minorHAnsi"/>
          <w:color w:val="262626"/>
          <w:lang w:eastAsia="en-AU"/>
        </w:rPr>
        <w:t xml:space="preserve"> would</w:t>
      </w:r>
      <w:r w:rsidRPr="00747E83">
        <w:rPr>
          <w:rFonts w:eastAsia="Times New Roman" w:cstheme="minorHAnsi"/>
          <w:color w:val="262626"/>
          <w:lang w:eastAsia="en-AU"/>
        </w:rPr>
        <w:t xml:space="preserve"> include:</w:t>
      </w:r>
    </w:p>
    <w:p w14:paraId="1EF990AD" w14:textId="63668E6E" w:rsidR="00766072" w:rsidRPr="00E63C7D" w:rsidRDefault="00766072" w:rsidP="00766072">
      <w:pPr>
        <w:numPr>
          <w:ilvl w:val="0"/>
          <w:numId w:val="94"/>
        </w:numPr>
        <w:spacing w:after="0" w:line="240" w:lineRule="auto"/>
        <w:ind w:left="714" w:hanging="357"/>
        <w:contextualSpacing/>
        <w:rPr>
          <w:rFonts w:eastAsia="Times New Roman" w:cstheme="minorHAnsi"/>
          <w:color w:val="auto"/>
          <w:lang w:eastAsia="en-AU"/>
        </w:rPr>
      </w:pPr>
      <w:r>
        <w:rPr>
          <w:rFonts w:eastAsia="Times New Roman" w:cstheme="minorHAnsi"/>
          <w:i/>
          <w:iCs/>
          <w:color w:val="262626"/>
          <w:lang w:eastAsia="en-AU"/>
        </w:rPr>
        <w:t xml:space="preserve">GO scheme participation and </w:t>
      </w:r>
      <w:r w:rsidRPr="00E63C7D">
        <w:rPr>
          <w:rFonts w:eastAsia="Times New Roman" w:cstheme="minorHAnsi"/>
          <w:i/>
          <w:iCs/>
          <w:color w:val="262626"/>
          <w:lang w:eastAsia="en-AU"/>
        </w:rPr>
        <w:t>production compar</w:t>
      </w:r>
      <w:r>
        <w:rPr>
          <w:rFonts w:eastAsia="Times New Roman" w:cstheme="minorHAnsi"/>
          <w:i/>
          <w:iCs/>
          <w:color w:val="262626"/>
          <w:lang w:eastAsia="en-AU"/>
        </w:rPr>
        <w:t xml:space="preserve">ed to total eligible domestic entities and </w:t>
      </w:r>
      <w:r w:rsidRPr="00E63C7D">
        <w:rPr>
          <w:rFonts w:eastAsia="Times New Roman" w:cstheme="minorHAnsi"/>
          <w:i/>
          <w:iCs/>
          <w:color w:val="262626"/>
          <w:lang w:eastAsia="en-AU"/>
        </w:rPr>
        <w:t>production</w:t>
      </w:r>
      <w:r>
        <w:rPr>
          <w:rFonts w:eastAsia="Times New Roman" w:cstheme="minorHAnsi"/>
          <w:i/>
          <w:iCs/>
          <w:color w:val="262626"/>
          <w:lang w:eastAsia="en-AU"/>
        </w:rPr>
        <w:t xml:space="preserve"> figures</w:t>
      </w:r>
      <w:r w:rsidRPr="00775BB5">
        <w:rPr>
          <w:rFonts w:eastAsia="Times New Roman" w:cstheme="minorHAnsi"/>
          <w:color w:val="262626"/>
          <w:lang w:eastAsia="en-AU"/>
        </w:rPr>
        <w:t>.</w:t>
      </w:r>
      <w:r>
        <w:rPr>
          <w:rFonts w:eastAsia="Times New Roman" w:cstheme="minorHAnsi"/>
          <w:color w:val="auto"/>
          <w:lang w:eastAsia="en-AU"/>
        </w:rPr>
        <w:t xml:space="preserve"> </w:t>
      </w:r>
      <w:r w:rsidR="00685FEB">
        <w:rPr>
          <w:rFonts w:eastAsia="Times New Roman" w:cstheme="minorHAnsi"/>
          <w:color w:val="auto"/>
          <w:lang w:eastAsia="en-AU"/>
        </w:rPr>
        <w:t>The proportion</w:t>
      </w:r>
      <w:r>
        <w:rPr>
          <w:rFonts w:eastAsia="Times New Roman"/>
          <w:color w:val="000000" w:themeColor="text1"/>
          <w:lang w:eastAsia="en-AU"/>
        </w:rPr>
        <w:t xml:space="preserve"> of </w:t>
      </w:r>
      <w:r w:rsidRPr="00E63C7D">
        <w:rPr>
          <w:rFonts w:eastAsia="Times New Roman"/>
          <w:color w:val="000000" w:themeColor="text1"/>
          <w:lang w:eastAsia="en-AU"/>
        </w:rPr>
        <w:t xml:space="preserve">overall hydrogen and renewable electricity </w:t>
      </w:r>
      <w:r>
        <w:rPr>
          <w:rFonts w:eastAsia="Times New Roman"/>
          <w:color w:val="000000" w:themeColor="text1"/>
          <w:lang w:eastAsia="en-AU"/>
        </w:rPr>
        <w:t xml:space="preserve">business operating in Australia and associated </w:t>
      </w:r>
      <w:r w:rsidRPr="00E63C7D">
        <w:rPr>
          <w:rFonts w:eastAsia="Times New Roman"/>
          <w:color w:val="000000" w:themeColor="text1"/>
          <w:lang w:eastAsia="en-AU"/>
        </w:rPr>
        <w:t xml:space="preserve">production </w:t>
      </w:r>
      <w:r w:rsidR="00B3758D">
        <w:rPr>
          <w:rFonts w:eastAsia="Times New Roman"/>
          <w:color w:val="000000" w:themeColor="text1"/>
          <w:lang w:eastAsia="en-AU"/>
        </w:rPr>
        <w:t xml:space="preserve">that </w:t>
      </w:r>
      <w:r w:rsidRPr="00E63C7D">
        <w:rPr>
          <w:rFonts w:eastAsia="Times New Roman"/>
          <w:color w:val="000000" w:themeColor="text1"/>
          <w:lang w:eastAsia="en-AU"/>
        </w:rPr>
        <w:t>has been certified</w:t>
      </w:r>
      <w:r>
        <w:rPr>
          <w:rFonts w:eastAsia="Times New Roman"/>
          <w:color w:val="000000" w:themeColor="text1"/>
          <w:lang w:eastAsia="en-AU"/>
        </w:rPr>
        <w:t xml:space="preserve"> under a GO Scheme.</w:t>
      </w:r>
      <w:r w:rsidRPr="00E63C7D">
        <w:rPr>
          <w:rFonts w:eastAsia="Times New Roman"/>
          <w:color w:val="000000" w:themeColor="text1"/>
          <w:lang w:eastAsia="en-AU"/>
        </w:rPr>
        <w:t xml:space="preserve"> </w:t>
      </w:r>
      <w:r>
        <w:rPr>
          <w:rFonts w:eastAsia="Times New Roman"/>
          <w:color w:val="000000" w:themeColor="text1"/>
          <w:lang w:eastAsia="en-AU"/>
        </w:rPr>
        <w:t>T</w:t>
      </w:r>
      <w:r w:rsidRPr="00E63C7D">
        <w:rPr>
          <w:rFonts w:eastAsia="Times New Roman"/>
          <w:color w:val="000000" w:themeColor="text1"/>
          <w:lang w:eastAsia="en-AU"/>
        </w:rPr>
        <w:t xml:space="preserve">his could </w:t>
      </w:r>
      <w:r>
        <w:rPr>
          <w:rFonts w:eastAsia="Times New Roman"/>
          <w:color w:val="000000" w:themeColor="text1"/>
          <w:lang w:eastAsia="en-AU"/>
        </w:rPr>
        <w:t>help to evaluate the perceived attractiveness and value of the scheme</w:t>
      </w:r>
      <w:r w:rsidRPr="00CB1B85">
        <w:rPr>
          <w:rFonts w:eastAsia="Times New Roman"/>
          <w:color w:val="000000" w:themeColor="text1"/>
          <w:lang w:eastAsia="en-AU"/>
        </w:rPr>
        <w:t xml:space="preserve"> </w:t>
      </w:r>
      <w:r>
        <w:rPr>
          <w:rFonts w:eastAsia="Times New Roman"/>
          <w:color w:val="000000" w:themeColor="text1"/>
          <w:lang w:eastAsia="en-AU"/>
        </w:rPr>
        <w:t xml:space="preserve">across different sectors. </w:t>
      </w:r>
    </w:p>
    <w:p w14:paraId="672FFEA2" w14:textId="4D8AE613" w:rsidR="00766072" w:rsidRPr="00E63C7D" w:rsidRDefault="00766072" w:rsidP="00766072">
      <w:pPr>
        <w:numPr>
          <w:ilvl w:val="0"/>
          <w:numId w:val="94"/>
        </w:numPr>
        <w:spacing w:before="120" w:line="240" w:lineRule="auto"/>
        <w:ind w:left="714" w:hanging="357"/>
        <w:rPr>
          <w:rFonts w:eastAsia="Times New Roman" w:cstheme="minorHAnsi"/>
          <w:color w:val="auto"/>
          <w:lang w:eastAsia="en-AU"/>
        </w:rPr>
      </w:pPr>
      <w:r w:rsidRPr="00E63C7D">
        <w:rPr>
          <w:rFonts w:eastAsia="Times New Roman"/>
          <w:i/>
          <w:iCs/>
          <w:color w:val="000000" w:themeColor="text1"/>
          <w:lang w:eastAsia="en-AU"/>
        </w:rPr>
        <w:t>GO scheme data interoperability and level of usage with other domestic schemes</w:t>
      </w:r>
      <w:r w:rsidR="00A97D21">
        <w:rPr>
          <w:rFonts w:eastAsia="Times New Roman"/>
          <w:i/>
          <w:iCs/>
          <w:color w:val="000000" w:themeColor="text1"/>
          <w:lang w:eastAsia="en-AU"/>
        </w:rPr>
        <w:t xml:space="preserve"> and </w:t>
      </w:r>
      <w:r w:rsidR="004C48E4">
        <w:rPr>
          <w:rFonts w:eastAsia="Times New Roman"/>
          <w:i/>
          <w:iCs/>
          <w:color w:val="000000" w:themeColor="text1"/>
          <w:lang w:eastAsia="en-AU"/>
        </w:rPr>
        <w:t>g</w:t>
      </w:r>
      <w:r w:rsidR="00A97D21">
        <w:rPr>
          <w:rFonts w:eastAsia="Times New Roman"/>
          <w:i/>
          <w:iCs/>
          <w:color w:val="000000" w:themeColor="text1"/>
          <w:lang w:eastAsia="en-AU"/>
        </w:rPr>
        <w:t>overnment incentives</w:t>
      </w:r>
      <w:r w:rsidRPr="00E63C7D">
        <w:rPr>
          <w:rFonts w:eastAsia="Times New Roman"/>
          <w:i/>
          <w:iCs/>
          <w:color w:val="000000" w:themeColor="text1"/>
          <w:lang w:eastAsia="en-AU"/>
        </w:rPr>
        <w:t>.</w:t>
      </w:r>
      <w:r>
        <w:rPr>
          <w:rFonts w:eastAsia="Times New Roman" w:cstheme="minorHAnsi"/>
          <w:color w:val="auto"/>
          <w:lang w:eastAsia="en-AU"/>
        </w:rPr>
        <w:t xml:space="preserve"> </w:t>
      </w:r>
      <w:r w:rsidRPr="00E63C7D">
        <w:rPr>
          <w:rFonts w:eastAsia="Times New Roman"/>
          <w:color w:val="000000" w:themeColor="text1"/>
          <w:lang w:eastAsia="en-AU"/>
        </w:rPr>
        <w:t>Data from the GO Scheme is used as an evidence base and metric for a range of other existing schemes and incentives</w:t>
      </w:r>
      <w:r w:rsidR="00A97D21">
        <w:rPr>
          <w:rFonts w:eastAsia="Times New Roman"/>
          <w:color w:val="000000" w:themeColor="text1"/>
          <w:lang w:eastAsia="en-AU"/>
        </w:rPr>
        <w:t xml:space="preserve"> s</w:t>
      </w:r>
      <w:r w:rsidR="00857170">
        <w:rPr>
          <w:rFonts w:eastAsia="Times New Roman"/>
          <w:color w:val="000000" w:themeColor="text1"/>
          <w:lang w:eastAsia="en-AU"/>
        </w:rPr>
        <w:t>uch as Hydrogen Production Tax Credits</w:t>
      </w:r>
      <w:r w:rsidRPr="00E63C7D">
        <w:rPr>
          <w:rFonts w:eastAsia="Times New Roman"/>
          <w:color w:val="000000" w:themeColor="text1"/>
          <w:lang w:eastAsia="en-AU"/>
        </w:rPr>
        <w:t>. The effectiveness of this interaction could be measured by the number of functions GO data is being used for and the number of transactions this amounts to. This could also be measured quantitively through stakeholder feedback.</w:t>
      </w:r>
    </w:p>
    <w:p w14:paraId="725B8628" w14:textId="41F6D9F3" w:rsidR="00766072" w:rsidRPr="00E63C7D" w:rsidRDefault="00766072" w:rsidP="00766072">
      <w:pPr>
        <w:numPr>
          <w:ilvl w:val="0"/>
          <w:numId w:val="94"/>
        </w:numPr>
        <w:spacing w:before="120" w:line="240" w:lineRule="auto"/>
        <w:ind w:left="714" w:hanging="357"/>
        <w:rPr>
          <w:rFonts w:eastAsia="Times New Roman" w:cstheme="minorHAnsi"/>
          <w:color w:val="auto"/>
          <w:lang w:eastAsia="en-AU"/>
        </w:rPr>
      </w:pPr>
      <w:r w:rsidRPr="00E63C7D">
        <w:rPr>
          <w:rFonts w:eastAsia="Times New Roman"/>
          <w:i/>
          <w:iCs/>
          <w:color w:val="000000" w:themeColor="text1"/>
          <w:lang w:eastAsia="en-AU"/>
        </w:rPr>
        <w:t>International acceptance and reputation of GO scheme and certificates</w:t>
      </w:r>
      <w:r w:rsidRPr="39C7ECAD">
        <w:rPr>
          <w:rFonts w:eastAsia="Times New Roman"/>
          <w:color w:val="000000" w:themeColor="text1"/>
          <w:lang w:eastAsia="en-AU"/>
        </w:rPr>
        <w:t>.</w:t>
      </w:r>
      <w:r>
        <w:rPr>
          <w:rFonts w:eastAsia="Times New Roman" w:cstheme="minorHAnsi"/>
          <w:color w:val="auto"/>
          <w:lang w:eastAsia="en-AU"/>
        </w:rPr>
        <w:t xml:space="preserve"> </w:t>
      </w:r>
      <w:r w:rsidRPr="00E63C7D">
        <w:rPr>
          <w:rFonts w:eastAsia="Times New Roman"/>
          <w:color w:val="auto"/>
          <w:lang w:eastAsia="en-AU"/>
        </w:rPr>
        <w:t xml:space="preserve">This </w:t>
      </w:r>
      <w:r w:rsidR="00DA126A">
        <w:rPr>
          <w:rFonts w:eastAsia="Times New Roman"/>
          <w:color w:val="auto"/>
          <w:lang w:eastAsia="en-AU"/>
        </w:rPr>
        <w:t>c</w:t>
      </w:r>
      <w:r w:rsidRPr="00E63C7D">
        <w:rPr>
          <w:rFonts w:eastAsia="Times New Roman"/>
          <w:color w:val="auto"/>
          <w:lang w:eastAsia="en-AU"/>
        </w:rPr>
        <w:t>ould be measured by export trade figures by jurisdiction for products covered under the GO Scheme. It would be quantified through the number of formalised multi/bi-lateral trade agreements in place that leverage GO scheme data and certificates. This could also be measured subjectively based on reports, media articles or other indicators that refer to the reputation of products covered under the GO Scheme on the export market.</w:t>
      </w:r>
    </w:p>
    <w:p w14:paraId="3C369BF3" w14:textId="72FDE7C3" w:rsidR="00766072" w:rsidRDefault="00766072" w:rsidP="00766072">
      <w:pPr>
        <w:numPr>
          <w:ilvl w:val="0"/>
          <w:numId w:val="94"/>
        </w:numPr>
        <w:spacing w:before="120" w:line="240" w:lineRule="auto"/>
        <w:ind w:left="714" w:hanging="357"/>
        <w:rPr>
          <w:bCs/>
        </w:rPr>
        <w:sectPr w:rsidR="00766072" w:rsidSect="00766072">
          <w:pgSz w:w="11906" w:h="16838"/>
          <w:pgMar w:top="1559" w:right="851" w:bottom="1701" w:left="851" w:header="567" w:footer="57" w:gutter="0"/>
          <w:cols w:space="708"/>
          <w:docGrid w:linePitch="360"/>
        </w:sectPr>
      </w:pPr>
      <w:r w:rsidRPr="00E63C7D">
        <w:rPr>
          <w:rFonts w:eastAsia="Times New Roman"/>
          <w:i/>
          <w:iCs/>
          <w:color w:val="000000" w:themeColor="text1"/>
          <w:lang w:eastAsia="en-AU"/>
        </w:rPr>
        <w:t xml:space="preserve">Comparison </w:t>
      </w:r>
      <w:r>
        <w:rPr>
          <w:rFonts w:eastAsia="Times New Roman"/>
          <w:i/>
          <w:iCs/>
          <w:color w:val="000000" w:themeColor="text1"/>
          <w:lang w:eastAsia="en-AU"/>
        </w:rPr>
        <w:t>of certified product</w:t>
      </w:r>
      <w:r w:rsidR="00B37145">
        <w:rPr>
          <w:rFonts w:eastAsia="Times New Roman"/>
          <w:i/>
          <w:iCs/>
          <w:color w:val="000000" w:themeColor="text1"/>
          <w:lang w:eastAsia="en-AU"/>
        </w:rPr>
        <w:t xml:space="preserve"> trade flows</w:t>
      </w:r>
      <w:r>
        <w:rPr>
          <w:rFonts w:eastAsia="Times New Roman"/>
          <w:i/>
          <w:iCs/>
          <w:color w:val="000000" w:themeColor="text1"/>
          <w:lang w:eastAsia="en-AU"/>
        </w:rPr>
        <w:t xml:space="preserve"> against products from </w:t>
      </w:r>
      <w:r w:rsidRPr="00E63C7D">
        <w:rPr>
          <w:rFonts w:eastAsia="Times New Roman"/>
          <w:i/>
          <w:iCs/>
          <w:color w:val="000000" w:themeColor="text1"/>
          <w:lang w:eastAsia="en-AU"/>
        </w:rPr>
        <w:t>countries with no certification scheme</w:t>
      </w:r>
      <w:r w:rsidR="00B37145">
        <w:rPr>
          <w:rFonts w:eastAsia="Times New Roman"/>
          <w:i/>
          <w:iCs/>
          <w:color w:val="000000" w:themeColor="text1"/>
          <w:lang w:eastAsia="en-AU"/>
        </w:rPr>
        <w:t>,</w:t>
      </w:r>
      <w:r w:rsidRPr="00E63C7D">
        <w:rPr>
          <w:rFonts w:eastAsia="Times New Roman"/>
          <w:i/>
          <w:iCs/>
          <w:color w:val="000000" w:themeColor="text1"/>
          <w:lang w:eastAsia="en-AU"/>
        </w:rPr>
        <w:t xml:space="preserve"> or industry-led schemes only</w:t>
      </w:r>
      <w:r w:rsidRPr="39C7ECAD">
        <w:rPr>
          <w:rFonts w:eastAsia="Times New Roman"/>
          <w:color w:val="000000" w:themeColor="text1"/>
          <w:lang w:eastAsia="en-AU"/>
        </w:rPr>
        <w:t>.</w:t>
      </w:r>
      <w:r>
        <w:rPr>
          <w:rFonts w:eastAsia="Times New Roman" w:cstheme="minorHAnsi"/>
          <w:color w:val="auto"/>
          <w:lang w:eastAsia="en-AU"/>
        </w:rPr>
        <w:t xml:space="preserve"> </w:t>
      </w:r>
      <w:r w:rsidRPr="00E63C7D">
        <w:rPr>
          <w:rFonts w:eastAsia="Times New Roman" w:cstheme="minorHAnsi"/>
          <w:color w:val="auto"/>
          <w:lang w:eastAsia="en-AU"/>
        </w:rPr>
        <w:t>Comparing export figures</w:t>
      </w:r>
      <w:r>
        <w:rPr>
          <w:rFonts w:eastAsia="Times New Roman" w:cstheme="minorHAnsi"/>
          <w:color w:val="auto"/>
          <w:lang w:eastAsia="en-AU"/>
        </w:rPr>
        <w:t xml:space="preserve">, or equivalent product prices, </w:t>
      </w:r>
      <w:r w:rsidRPr="00E63C7D">
        <w:rPr>
          <w:rFonts w:eastAsia="Times New Roman" w:cstheme="minorHAnsi"/>
          <w:color w:val="auto"/>
          <w:lang w:eastAsia="en-AU"/>
        </w:rPr>
        <w:t xml:space="preserve">between countries with government-led certification and those </w:t>
      </w:r>
      <w:r>
        <w:rPr>
          <w:rFonts w:eastAsia="Times New Roman" w:cstheme="minorHAnsi"/>
          <w:color w:val="auto"/>
          <w:lang w:eastAsia="en-AU"/>
        </w:rPr>
        <w:t>without</w:t>
      </w:r>
      <w:r w:rsidRPr="00E63C7D">
        <w:rPr>
          <w:rFonts w:eastAsia="Times New Roman" w:cstheme="minorHAnsi"/>
          <w:color w:val="auto"/>
          <w:lang w:eastAsia="en-AU"/>
        </w:rPr>
        <w:t xml:space="preserve"> could also provide a foundation for measuring the success of an Australian GO scheme compared to other government-led schemes.</w:t>
      </w:r>
    </w:p>
    <w:p w14:paraId="17165413" w14:textId="55E01065" w:rsidR="00CD3F5A" w:rsidRPr="00747E83" w:rsidRDefault="00E01B77" w:rsidP="00311B15">
      <w:pPr>
        <w:pStyle w:val="Title"/>
        <w:rPr>
          <w:sz w:val="36"/>
          <w:szCs w:val="36"/>
        </w:rPr>
      </w:pPr>
      <w:bookmarkStart w:id="49" w:name="_Toc175312091"/>
      <w:r w:rsidRPr="008F44D4">
        <w:rPr>
          <w:bCs/>
          <w:sz w:val="36"/>
          <w:szCs w:val="36"/>
        </w:rPr>
        <w:lastRenderedPageBreak/>
        <w:t xml:space="preserve">Appendix </w:t>
      </w:r>
      <w:r w:rsidR="00264E0D" w:rsidRPr="008F44D4">
        <w:rPr>
          <w:bCs/>
          <w:sz w:val="36"/>
          <w:szCs w:val="36"/>
        </w:rPr>
        <w:t>(i)</w:t>
      </w:r>
      <w:bookmarkEnd w:id="48"/>
      <w:r w:rsidR="0010050B" w:rsidRPr="008F44D4">
        <w:rPr>
          <w:bCs/>
          <w:sz w:val="36"/>
          <w:szCs w:val="36"/>
        </w:rPr>
        <w:t xml:space="preserve"> </w:t>
      </w:r>
      <w:r w:rsidR="0010050B" w:rsidRPr="003456BF">
        <w:rPr>
          <w:sz w:val="36"/>
          <w:szCs w:val="36"/>
        </w:rPr>
        <w:t xml:space="preserve">- </w:t>
      </w:r>
      <w:bookmarkStart w:id="50" w:name="_Toc1203887291"/>
      <w:bookmarkStart w:id="51" w:name="_Toc165367223"/>
      <w:r w:rsidR="00CD3F5A" w:rsidRPr="00747E83">
        <w:rPr>
          <w:sz w:val="36"/>
          <w:szCs w:val="36"/>
        </w:rPr>
        <w:t>Comparison</w:t>
      </w:r>
      <w:r w:rsidR="00FC1129" w:rsidRPr="00747E83">
        <w:rPr>
          <w:sz w:val="36"/>
          <w:szCs w:val="36"/>
        </w:rPr>
        <w:t xml:space="preserve"> and interactions</w:t>
      </w:r>
      <w:r w:rsidR="00CD3F5A" w:rsidRPr="00747E83">
        <w:rPr>
          <w:sz w:val="36"/>
          <w:szCs w:val="36"/>
        </w:rPr>
        <w:t xml:space="preserve"> between </w:t>
      </w:r>
      <w:r w:rsidR="002B6207">
        <w:rPr>
          <w:sz w:val="36"/>
          <w:szCs w:val="36"/>
        </w:rPr>
        <w:t xml:space="preserve">Australian Government </w:t>
      </w:r>
      <w:r w:rsidR="00CD3F5A" w:rsidRPr="00747E83">
        <w:rPr>
          <w:sz w:val="36"/>
          <w:szCs w:val="36"/>
        </w:rPr>
        <w:t>GO Scheme and other schemes</w:t>
      </w:r>
      <w:bookmarkEnd w:id="49"/>
      <w:bookmarkEnd w:id="50"/>
      <w:bookmarkEnd w:id="51"/>
      <w:r w:rsidR="00CD3F5A" w:rsidRPr="00747E83">
        <w:rPr>
          <w:sz w:val="36"/>
          <w:szCs w:val="36"/>
        </w:rPr>
        <w:t xml:space="preserve"> </w:t>
      </w:r>
    </w:p>
    <w:p w14:paraId="1981FCF0" w14:textId="16F0E8C2" w:rsidR="004B0E7C" w:rsidRDefault="004B0E7C" w:rsidP="00E76953">
      <w:pPr>
        <w:pStyle w:val="Caption"/>
      </w:pPr>
      <w:r>
        <w:t xml:space="preserve">Table </w:t>
      </w:r>
      <w:r w:rsidR="00676E0C">
        <w:t>5</w:t>
      </w:r>
      <w:r>
        <w:t xml:space="preserve">: </w:t>
      </w:r>
      <w:r w:rsidRPr="001143B4">
        <w:t>National Emissions Accounting schemes summary</w:t>
      </w:r>
    </w:p>
    <w:tbl>
      <w:tblPr>
        <w:tblStyle w:val="EPLTableStandard"/>
        <w:tblW w:w="9701" w:type="dxa"/>
        <w:tblLook w:val="04A0" w:firstRow="1" w:lastRow="0" w:firstColumn="1" w:lastColumn="0" w:noHBand="0" w:noVBand="1"/>
        <w:tblCaption w:val="National Emissions Accounting Schemes sumary"/>
        <w:tblDescription w:val="Summarises and compares the purpose, coverage, similarities, differences and interactions with the GO scheme and various other accounting schemes such as NGER (National Greenhouse and Enegy Reporting scheme), and the Safeguard mechanism"/>
      </w:tblPr>
      <w:tblGrid>
        <w:gridCol w:w="1305"/>
        <w:gridCol w:w="4520"/>
        <w:gridCol w:w="3876"/>
      </w:tblGrid>
      <w:tr w:rsidR="00CD3F5A" w14:paraId="1DEE2FC6" w14:textId="77777777" w:rsidTr="00E76953">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05" w:type="dxa"/>
          </w:tcPr>
          <w:p w14:paraId="09E0EAB6" w14:textId="77777777" w:rsidR="00CD3F5A" w:rsidRPr="00F27FB7" w:rsidRDefault="00CD3F5A" w:rsidP="00C177AE">
            <w:pPr>
              <w:rPr>
                <w:rStyle w:val="Strong"/>
                <w:rFonts w:asciiTheme="minorHAnsi" w:eastAsia="Cambria" w:hAnsiTheme="minorHAnsi" w:cstheme="minorHAnsi"/>
                <w:b/>
              </w:rPr>
            </w:pPr>
          </w:p>
        </w:tc>
        <w:tc>
          <w:tcPr>
            <w:tcW w:w="4520" w:type="dxa"/>
            <w:hideMark/>
          </w:tcPr>
          <w:p w14:paraId="149904D0" w14:textId="5E3A3400" w:rsidR="00CD3F5A" w:rsidRPr="00F27FB7" w:rsidRDefault="002B6207" w:rsidP="009D4FF3">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National Greenhouse and Energy Reporting scheme</w:t>
            </w:r>
            <w:r w:rsidR="00CD3F5A" w:rsidRPr="00F27FB7">
              <w:rPr>
                <w:rStyle w:val="Strong"/>
                <w:rFonts w:asciiTheme="minorHAnsi" w:eastAsia="Cambria" w:hAnsiTheme="minorHAnsi" w:cstheme="minorHAnsi"/>
                <w:b/>
              </w:rPr>
              <w:t xml:space="preserve"> </w:t>
            </w:r>
          </w:p>
        </w:tc>
        <w:tc>
          <w:tcPr>
            <w:tcW w:w="3876" w:type="dxa"/>
            <w:hideMark/>
          </w:tcPr>
          <w:p w14:paraId="4D5A57FC" w14:textId="77777777" w:rsidR="00CD3F5A" w:rsidRPr="00F27FB7" w:rsidRDefault="00CD3F5A" w:rsidP="009D4FF3">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Safeguard Mechanism</w:t>
            </w:r>
          </w:p>
        </w:tc>
      </w:tr>
      <w:tr w:rsidR="00CD3F5A" w:rsidRPr="00CB5444" w14:paraId="741F6D16" w14:textId="77777777" w:rsidTr="00E76953">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305" w:type="dxa"/>
            <w:hideMark/>
          </w:tcPr>
          <w:p w14:paraId="55AB6E82" w14:textId="77777777" w:rsidR="00CD3F5A" w:rsidRPr="00F27FB7" w:rsidRDefault="00CD3F5A" w:rsidP="00C177AE">
            <w:pPr>
              <w:rPr>
                <w:rStyle w:val="Strong"/>
                <w:rFonts w:asciiTheme="minorHAnsi" w:eastAsia="Cambria" w:hAnsiTheme="minorHAnsi" w:cstheme="minorHAnsi"/>
              </w:rPr>
            </w:pPr>
            <w:r w:rsidRPr="00F27FB7">
              <w:rPr>
                <w:rStyle w:val="Strong"/>
                <w:rFonts w:asciiTheme="minorHAnsi" w:eastAsia="Cambria" w:hAnsiTheme="minorHAnsi" w:cstheme="minorHAnsi"/>
              </w:rPr>
              <w:t>Scheme purpose</w:t>
            </w:r>
          </w:p>
        </w:tc>
        <w:tc>
          <w:tcPr>
            <w:tcW w:w="4520" w:type="dxa"/>
            <w:hideMark/>
          </w:tcPr>
          <w:p w14:paraId="2CBB582E" w14:textId="4E72DBEF" w:rsidR="00CD3F5A" w:rsidRPr="00F27FB7" w:rsidRDefault="00B86E32"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The</w:t>
            </w:r>
            <w:r w:rsidR="00CD3F5A" w:rsidRPr="00F27FB7">
              <w:rPr>
                <w:rStyle w:val="Strong"/>
                <w:rFonts w:asciiTheme="minorHAnsi" w:eastAsia="Cambria" w:hAnsiTheme="minorHAnsi" w:cstheme="minorHAnsi"/>
                <w:b w:val="0"/>
                <w:bCs w:val="0"/>
              </w:rPr>
              <w:t xml:space="preserve"> NGER scheme support</w:t>
            </w:r>
            <w:r w:rsidR="00B7611C" w:rsidRPr="00F27FB7">
              <w:rPr>
                <w:rStyle w:val="Strong"/>
                <w:rFonts w:asciiTheme="minorHAnsi" w:eastAsia="Cambria" w:hAnsiTheme="minorHAnsi" w:cstheme="minorHAnsi"/>
                <w:b w:val="0"/>
                <w:bCs w:val="0"/>
              </w:rPr>
              <w:t>s</w:t>
            </w:r>
            <w:r w:rsidR="00CD3F5A" w:rsidRPr="00F27FB7">
              <w:rPr>
                <w:rStyle w:val="Strong"/>
                <w:rFonts w:asciiTheme="minorHAnsi" w:eastAsia="Cambria" w:hAnsiTheme="minorHAnsi" w:cstheme="minorHAnsi"/>
                <w:b w:val="0"/>
                <w:bCs w:val="0"/>
              </w:rPr>
              <w:t xml:space="preserve"> and inform</w:t>
            </w:r>
            <w:r w:rsidR="00B7611C" w:rsidRPr="00F27FB7">
              <w:rPr>
                <w:rStyle w:val="Strong"/>
                <w:rFonts w:asciiTheme="minorHAnsi" w:eastAsia="Cambria" w:hAnsiTheme="minorHAnsi" w:cstheme="minorHAnsi"/>
                <w:b w:val="0"/>
                <w:bCs w:val="0"/>
              </w:rPr>
              <w:t>s</w:t>
            </w:r>
            <w:r w:rsidR="00CD3F5A" w:rsidRPr="00F27FB7">
              <w:rPr>
                <w:rStyle w:val="Strong"/>
                <w:rFonts w:asciiTheme="minorHAnsi" w:eastAsia="Cambria" w:hAnsiTheme="minorHAnsi" w:cstheme="minorHAnsi"/>
                <w:b w:val="0"/>
                <w:bCs w:val="0"/>
              </w:rPr>
              <w:t xml:space="preserve"> Australia’s greenhouse gas inventory and international reporting obligations under the UNFCCC. </w:t>
            </w:r>
            <w:r w:rsidR="00B7611C" w:rsidRPr="00F27FB7">
              <w:rPr>
                <w:rStyle w:val="Strong"/>
                <w:rFonts w:asciiTheme="minorHAnsi" w:eastAsia="Cambria" w:hAnsiTheme="minorHAnsi" w:cstheme="minorHAnsi"/>
                <w:b w:val="0"/>
                <w:bCs w:val="0"/>
              </w:rPr>
              <w:t>I</w:t>
            </w:r>
            <w:r w:rsidR="00B7611C" w:rsidRPr="00F27FB7">
              <w:rPr>
                <w:rStyle w:val="Strong"/>
                <w:rFonts w:asciiTheme="minorHAnsi" w:eastAsia="Cambria" w:hAnsiTheme="minorHAnsi" w:cstheme="minorHAnsi"/>
                <w:b w:val="0"/>
              </w:rPr>
              <w:t>t</w:t>
            </w:r>
            <w:r w:rsidR="00CD3F5A" w:rsidRPr="00F27FB7">
              <w:rPr>
                <w:rStyle w:val="Strong"/>
                <w:rFonts w:asciiTheme="minorHAnsi" w:eastAsia="Cambria" w:hAnsiTheme="minorHAnsi" w:cstheme="minorHAnsi"/>
                <w:b w:val="0"/>
                <w:bCs w:val="0"/>
              </w:rPr>
              <w:t xml:space="preserve"> is also used to track progress towards emissions reduction commitments and help to inform on emissions reduction policy, programs and activities.</w:t>
            </w:r>
          </w:p>
        </w:tc>
        <w:tc>
          <w:tcPr>
            <w:tcW w:w="3876" w:type="dxa"/>
            <w:hideMark/>
          </w:tcPr>
          <w:p w14:paraId="2A32A638" w14:textId="77777777" w:rsidR="00CD3F5A" w:rsidRPr="00F27FB7" w:rsidRDefault="00CD3F5A"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The Safeguard Mechanism requires Australia’s largest greenhouse gas emitters to keep their net emissions below an emissions limit.</w:t>
            </w:r>
          </w:p>
        </w:tc>
      </w:tr>
      <w:tr w:rsidR="00CD3F5A" w:rsidRPr="00CB5444" w14:paraId="5468D1B2" w14:textId="77777777" w:rsidTr="00E76953">
        <w:trPr>
          <w:cnfStyle w:val="000000010000" w:firstRow="0" w:lastRow="0" w:firstColumn="0" w:lastColumn="0" w:oddVBand="0" w:evenVBand="0" w:oddHBand="0" w:evenHBand="1"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305" w:type="dxa"/>
            <w:hideMark/>
          </w:tcPr>
          <w:p w14:paraId="74A8CE6A" w14:textId="77777777" w:rsidR="00CD3F5A" w:rsidRPr="00F27FB7" w:rsidRDefault="00CD3F5A" w:rsidP="00C177AE">
            <w:pPr>
              <w:rPr>
                <w:rStyle w:val="Strong"/>
                <w:rFonts w:asciiTheme="minorHAnsi" w:eastAsia="Cambria" w:hAnsiTheme="minorHAnsi" w:cstheme="minorHAnsi"/>
              </w:rPr>
            </w:pPr>
            <w:r w:rsidRPr="00F27FB7">
              <w:rPr>
                <w:rStyle w:val="Strong"/>
                <w:rFonts w:asciiTheme="minorHAnsi" w:eastAsia="Cambria" w:hAnsiTheme="minorHAnsi" w:cstheme="minorHAnsi"/>
              </w:rPr>
              <w:t>Scheme coverage</w:t>
            </w:r>
          </w:p>
        </w:tc>
        <w:tc>
          <w:tcPr>
            <w:tcW w:w="4520" w:type="dxa"/>
            <w:hideMark/>
          </w:tcPr>
          <w:p w14:paraId="0B03A83B" w14:textId="77777777" w:rsidR="00CD3F5A" w:rsidRPr="00F27FB7" w:rsidRDefault="00CD3F5A" w:rsidP="00C177AE">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The NGER scheme is a national emissions accounting framework which covers emissions produced at a facility-level.</w:t>
            </w:r>
          </w:p>
        </w:tc>
        <w:tc>
          <w:tcPr>
            <w:tcW w:w="3876" w:type="dxa"/>
            <w:hideMark/>
          </w:tcPr>
          <w:p w14:paraId="26598C51" w14:textId="0967CD52" w:rsidR="00CD3F5A" w:rsidRPr="00F27FB7" w:rsidRDefault="00033F40" w:rsidP="00C177AE">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Applies to facilit</w:t>
            </w:r>
            <w:r w:rsidR="001D32E5" w:rsidRPr="00F27FB7">
              <w:rPr>
                <w:rStyle w:val="Strong"/>
                <w:rFonts w:asciiTheme="minorHAnsi" w:eastAsia="Cambria" w:hAnsiTheme="minorHAnsi" w:cstheme="minorHAnsi"/>
                <w:b w:val="0"/>
                <w:bCs w:val="0"/>
              </w:rPr>
              <w:t>ies with scope 1 emissions of over 100,000 tonnes annually</w:t>
            </w:r>
          </w:p>
        </w:tc>
      </w:tr>
      <w:tr w:rsidR="00CD3F5A" w:rsidRPr="00CB5444" w14:paraId="46631305" w14:textId="77777777" w:rsidTr="00E76953">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305" w:type="dxa"/>
            <w:hideMark/>
          </w:tcPr>
          <w:p w14:paraId="54418470" w14:textId="77777777" w:rsidR="00CD3F5A" w:rsidRPr="00F27FB7" w:rsidRDefault="00CD3F5A" w:rsidP="00C177AE">
            <w:pPr>
              <w:rPr>
                <w:rStyle w:val="Strong"/>
                <w:rFonts w:asciiTheme="minorHAnsi" w:eastAsia="Cambria" w:hAnsiTheme="minorHAnsi" w:cstheme="minorHAnsi"/>
              </w:rPr>
            </w:pPr>
            <w:r w:rsidRPr="00F27FB7">
              <w:rPr>
                <w:rStyle w:val="Strong"/>
                <w:rFonts w:asciiTheme="minorHAnsi" w:eastAsia="Cambria" w:hAnsiTheme="minorHAnsi" w:cstheme="minorHAnsi"/>
              </w:rPr>
              <w:t>Similarities to GO scheme</w:t>
            </w:r>
          </w:p>
        </w:tc>
        <w:tc>
          <w:tcPr>
            <w:tcW w:w="4520" w:type="dxa"/>
            <w:hideMark/>
          </w:tcPr>
          <w:p w14:paraId="7082904E" w14:textId="77777777" w:rsidR="00CD3F5A" w:rsidRPr="00F27FB7" w:rsidRDefault="00CD3F5A"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An emissions accounting function </w:t>
            </w:r>
          </w:p>
        </w:tc>
        <w:tc>
          <w:tcPr>
            <w:tcW w:w="3876" w:type="dxa"/>
            <w:hideMark/>
          </w:tcPr>
          <w:p w14:paraId="5BE6F573" w14:textId="6F3322F0" w:rsidR="00CD3F5A" w:rsidRPr="00F27FB7" w:rsidRDefault="00A7104F"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Leverages</w:t>
            </w:r>
            <w:r w:rsidR="002D15D6" w:rsidRPr="00F27FB7">
              <w:rPr>
                <w:rStyle w:val="Strong"/>
                <w:rFonts w:asciiTheme="minorHAnsi" w:eastAsia="Cambria" w:hAnsiTheme="minorHAnsi" w:cstheme="minorHAnsi"/>
                <w:b w:val="0"/>
                <w:bCs w:val="0"/>
              </w:rPr>
              <w:t xml:space="preserve"> NGER</w:t>
            </w:r>
            <w:r w:rsidR="00033F40" w:rsidRPr="00F27FB7">
              <w:rPr>
                <w:rStyle w:val="Strong"/>
                <w:rFonts w:asciiTheme="minorHAnsi" w:eastAsia="Cambria" w:hAnsiTheme="minorHAnsi" w:cstheme="minorHAnsi"/>
                <w:b w:val="0"/>
                <w:bCs w:val="0"/>
              </w:rPr>
              <w:t xml:space="preserve"> scheme data</w:t>
            </w:r>
            <w:r w:rsidR="00CD3F5A" w:rsidRPr="00F27FB7">
              <w:rPr>
                <w:rStyle w:val="Strong"/>
                <w:rFonts w:asciiTheme="minorHAnsi" w:eastAsia="Cambria" w:hAnsiTheme="minorHAnsi" w:cstheme="minorHAnsi"/>
                <w:b w:val="0"/>
                <w:bCs w:val="0"/>
              </w:rPr>
              <w:t xml:space="preserve"> </w:t>
            </w:r>
          </w:p>
        </w:tc>
      </w:tr>
      <w:tr w:rsidR="00CD3F5A" w:rsidRPr="00CB5444" w14:paraId="22129643" w14:textId="77777777" w:rsidTr="00E76953">
        <w:trPr>
          <w:cnfStyle w:val="000000010000" w:firstRow="0" w:lastRow="0" w:firstColumn="0" w:lastColumn="0" w:oddVBand="0" w:evenVBand="0" w:oddHBand="0" w:evenHBand="1" w:firstRowFirstColumn="0" w:firstRowLastColumn="0" w:lastRowFirstColumn="0" w:lastRowLastColumn="0"/>
          <w:trHeight w:val="1870"/>
        </w:trPr>
        <w:tc>
          <w:tcPr>
            <w:cnfStyle w:val="001000000000" w:firstRow="0" w:lastRow="0" w:firstColumn="1" w:lastColumn="0" w:oddVBand="0" w:evenVBand="0" w:oddHBand="0" w:evenHBand="0" w:firstRowFirstColumn="0" w:firstRowLastColumn="0" w:lastRowFirstColumn="0" w:lastRowLastColumn="0"/>
            <w:tcW w:w="1305" w:type="dxa"/>
            <w:hideMark/>
          </w:tcPr>
          <w:p w14:paraId="61DD8347" w14:textId="77777777" w:rsidR="00CD3F5A" w:rsidRPr="00F27FB7" w:rsidRDefault="00CD3F5A" w:rsidP="00C177AE">
            <w:pPr>
              <w:rPr>
                <w:rStyle w:val="Strong"/>
                <w:rFonts w:asciiTheme="minorHAnsi" w:eastAsia="Cambria" w:hAnsiTheme="minorHAnsi" w:cstheme="minorHAnsi"/>
              </w:rPr>
            </w:pPr>
            <w:r w:rsidRPr="00F27FB7">
              <w:rPr>
                <w:rStyle w:val="Strong"/>
                <w:rFonts w:asciiTheme="minorHAnsi" w:eastAsia="Cambria" w:hAnsiTheme="minorHAnsi" w:cstheme="minorHAnsi"/>
              </w:rPr>
              <w:t xml:space="preserve">Differences to GO scheme </w:t>
            </w:r>
          </w:p>
        </w:tc>
        <w:tc>
          <w:tcPr>
            <w:tcW w:w="4520" w:type="dxa"/>
            <w:hideMark/>
          </w:tcPr>
          <w:p w14:paraId="0A021A2E" w14:textId="77777777" w:rsidR="00CD3F5A" w:rsidRPr="00F27FB7" w:rsidRDefault="00CD3F5A" w:rsidP="00C177AE">
            <w:pPr>
              <w:pStyle w:val="ListParagraph"/>
              <w:numPr>
                <w:ilvl w:val="0"/>
                <w:numId w:val="36"/>
              </w:num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NGER scheme is facility level emissions accounting whereas GO scheme is product-level emissions accounting. </w:t>
            </w:r>
          </w:p>
          <w:p w14:paraId="0DB312F5" w14:textId="77777777" w:rsidR="00CD3F5A" w:rsidRPr="00F27FB7" w:rsidRDefault="00CD3F5A" w:rsidP="00C177AE">
            <w:pPr>
              <w:pStyle w:val="ListParagraph"/>
              <w:numPr>
                <w:ilvl w:val="0"/>
                <w:numId w:val="36"/>
              </w:numPr>
              <w:spacing w:before="100" w:beforeAutospacing="1" w:afterAutospacing="1"/>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Thresholds are in place for NGER facilities, exceeding this threshold means you are legally obligated to provide information to NGERs. </w:t>
            </w:r>
          </w:p>
        </w:tc>
        <w:tc>
          <w:tcPr>
            <w:tcW w:w="3876" w:type="dxa"/>
            <w:hideMark/>
          </w:tcPr>
          <w:p w14:paraId="7E6BD88E" w14:textId="39E2F639" w:rsidR="006C1AE2" w:rsidRPr="00F27FB7" w:rsidRDefault="006C1AE2" w:rsidP="00C177AE">
            <w:pPr>
              <w:pStyle w:val="ListParagraph"/>
              <w:numPr>
                <w:ilvl w:val="0"/>
                <w:numId w:val="36"/>
              </w:num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Mandatory scheme which sets a baseline for</w:t>
            </w:r>
            <w:r w:rsidR="00CD3F5A" w:rsidRPr="00F27FB7">
              <w:rPr>
                <w:rStyle w:val="Strong"/>
                <w:rFonts w:asciiTheme="minorHAnsi" w:eastAsia="Cambria" w:hAnsiTheme="minorHAnsi" w:cstheme="minorHAnsi"/>
                <w:b w:val="0"/>
                <w:bCs w:val="0"/>
              </w:rPr>
              <w:t xml:space="preserve"> scope 1 </w:t>
            </w:r>
            <w:r w:rsidRPr="00F27FB7">
              <w:rPr>
                <w:rStyle w:val="Strong"/>
                <w:rFonts w:asciiTheme="minorHAnsi" w:eastAsia="Cambria" w:hAnsiTheme="minorHAnsi" w:cstheme="minorHAnsi"/>
                <w:b w:val="0"/>
                <w:bCs w:val="0"/>
              </w:rPr>
              <w:t xml:space="preserve">facility </w:t>
            </w:r>
            <w:r w:rsidR="00CD3F5A" w:rsidRPr="00F27FB7">
              <w:rPr>
                <w:rStyle w:val="Strong"/>
                <w:rFonts w:asciiTheme="minorHAnsi" w:eastAsia="Cambria" w:hAnsiTheme="minorHAnsi" w:cstheme="minorHAnsi"/>
                <w:b w:val="0"/>
                <w:bCs w:val="0"/>
              </w:rPr>
              <w:t>emissions</w:t>
            </w:r>
            <w:r w:rsidRPr="00F27FB7">
              <w:rPr>
                <w:rStyle w:val="Strong"/>
                <w:rFonts w:asciiTheme="minorHAnsi" w:eastAsia="Cambria" w:hAnsiTheme="minorHAnsi" w:cstheme="minorHAnsi"/>
                <w:b w:val="0"/>
                <w:bCs w:val="0"/>
              </w:rPr>
              <w:t xml:space="preserve">. </w:t>
            </w:r>
          </w:p>
          <w:p w14:paraId="35EB61C5" w14:textId="538C7B28" w:rsidR="00CD3F5A" w:rsidRPr="00F27FB7" w:rsidRDefault="00AA10CD" w:rsidP="003B22B0">
            <w:pPr>
              <w:pStyle w:val="ListParagraph"/>
              <w:numPr>
                <w:ilvl w:val="0"/>
                <w:numId w:val="36"/>
              </w:num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Covers</w:t>
            </w:r>
            <w:r w:rsidR="00CD3F5A" w:rsidRPr="00F27FB7">
              <w:rPr>
                <w:rStyle w:val="Strong"/>
                <w:rFonts w:asciiTheme="minorHAnsi" w:eastAsia="Cambria" w:hAnsiTheme="minorHAnsi" w:cstheme="minorHAnsi"/>
                <w:b w:val="0"/>
                <w:bCs w:val="0"/>
              </w:rPr>
              <w:t xml:space="preserve"> scope 1 emissions </w:t>
            </w:r>
            <w:r w:rsidRPr="00F27FB7">
              <w:rPr>
                <w:rStyle w:val="Strong"/>
                <w:rFonts w:asciiTheme="minorHAnsi" w:eastAsia="Cambria" w:hAnsiTheme="minorHAnsi" w:cstheme="minorHAnsi"/>
                <w:b w:val="0"/>
                <w:bCs w:val="0"/>
              </w:rPr>
              <w:t>at the facility level</w:t>
            </w:r>
            <w:r w:rsidR="00CD3F5A" w:rsidRPr="00F27FB7">
              <w:rPr>
                <w:rStyle w:val="Strong"/>
                <w:rFonts w:asciiTheme="minorHAnsi" w:eastAsia="Cambria" w:hAnsiTheme="minorHAnsi" w:cstheme="minorHAnsi"/>
                <w:b w:val="0"/>
                <w:bCs w:val="0"/>
              </w:rPr>
              <w:t xml:space="preserve"> whereas GO incorporates measurement and reporting across scope 1, scope 2 and partial scope 3</w:t>
            </w:r>
            <w:r w:rsidRPr="00F27FB7">
              <w:rPr>
                <w:rStyle w:val="Strong"/>
                <w:rFonts w:asciiTheme="minorHAnsi" w:eastAsia="Cambria" w:hAnsiTheme="minorHAnsi" w:cstheme="minorHAnsi"/>
                <w:b w:val="0"/>
                <w:bCs w:val="0"/>
              </w:rPr>
              <w:t xml:space="preserve"> at the product level</w:t>
            </w:r>
            <w:r w:rsidR="00CD3F5A" w:rsidRPr="00F27FB7">
              <w:rPr>
                <w:rStyle w:val="Strong"/>
                <w:rFonts w:asciiTheme="minorHAnsi" w:eastAsia="Cambria" w:hAnsiTheme="minorHAnsi" w:cstheme="minorHAnsi"/>
                <w:b w:val="0"/>
                <w:bCs w:val="0"/>
              </w:rPr>
              <w:t xml:space="preserve">. </w:t>
            </w:r>
          </w:p>
        </w:tc>
      </w:tr>
      <w:tr w:rsidR="00CD3F5A" w:rsidRPr="00CB5444" w14:paraId="541B41BC" w14:textId="77777777" w:rsidTr="00E76953">
        <w:trPr>
          <w:cnfStyle w:val="000000100000" w:firstRow="0" w:lastRow="0" w:firstColumn="0" w:lastColumn="0" w:oddVBand="0" w:evenVBand="0" w:oddHBand="1" w:evenHBand="0" w:firstRowFirstColumn="0" w:firstRowLastColumn="0" w:lastRowFirstColumn="0" w:lastRowLastColumn="0"/>
          <w:trHeight w:val="3093"/>
        </w:trPr>
        <w:tc>
          <w:tcPr>
            <w:cnfStyle w:val="001000000000" w:firstRow="0" w:lastRow="0" w:firstColumn="1" w:lastColumn="0" w:oddVBand="0" w:evenVBand="0" w:oddHBand="0" w:evenHBand="0" w:firstRowFirstColumn="0" w:firstRowLastColumn="0" w:lastRowFirstColumn="0" w:lastRowLastColumn="0"/>
            <w:tcW w:w="1305" w:type="dxa"/>
            <w:hideMark/>
          </w:tcPr>
          <w:p w14:paraId="3E1B5E0F" w14:textId="77777777" w:rsidR="00CD3F5A" w:rsidRPr="00F27FB7" w:rsidRDefault="00CD3F5A" w:rsidP="00C177AE">
            <w:pPr>
              <w:rPr>
                <w:rStyle w:val="Strong"/>
                <w:rFonts w:asciiTheme="minorHAnsi" w:eastAsia="Cambria" w:hAnsiTheme="minorHAnsi" w:cstheme="minorHAnsi"/>
              </w:rPr>
            </w:pPr>
            <w:r w:rsidRPr="00F27FB7">
              <w:rPr>
                <w:rStyle w:val="Strong"/>
                <w:rFonts w:asciiTheme="minorHAnsi" w:eastAsia="Cambria" w:hAnsiTheme="minorHAnsi" w:cstheme="minorHAnsi"/>
              </w:rPr>
              <w:t>Interactions with GO scheme</w:t>
            </w:r>
          </w:p>
        </w:tc>
        <w:tc>
          <w:tcPr>
            <w:tcW w:w="4520" w:type="dxa"/>
            <w:hideMark/>
          </w:tcPr>
          <w:p w14:paraId="4601D901" w14:textId="3C64073F" w:rsidR="00CD3F5A" w:rsidRPr="00F27FB7" w:rsidRDefault="00CD3F5A" w:rsidP="000E0BAB">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Where there is an overlap between the GO scheme and NGER for a facility reporting under both schemes, the </w:t>
            </w:r>
            <w:r w:rsidR="00D75881" w:rsidRPr="00F27FB7">
              <w:rPr>
                <w:rStyle w:val="Strong"/>
                <w:rFonts w:asciiTheme="minorHAnsi" w:eastAsia="Cambria" w:hAnsiTheme="minorHAnsi" w:cstheme="minorHAnsi"/>
                <w:b w:val="0"/>
                <w:bCs w:val="0"/>
              </w:rPr>
              <w:t>aim is to align</w:t>
            </w:r>
            <w:r w:rsidR="00CC031C" w:rsidRPr="00F27FB7">
              <w:rPr>
                <w:rStyle w:val="Strong"/>
                <w:rFonts w:asciiTheme="minorHAnsi" w:eastAsia="Cambria" w:hAnsiTheme="minorHAnsi" w:cstheme="minorHAnsi"/>
                <w:b w:val="0"/>
                <w:bCs w:val="0"/>
              </w:rPr>
              <w:t xml:space="preserve"> the GO </w:t>
            </w:r>
            <w:r w:rsidRPr="00F27FB7">
              <w:rPr>
                <w:rStyle w:val="Strong"/>
                <w:rFonts w:asciiTheme="minorHAnsi" w:eastAsia="Cambria" w:hAnsiTheme="minorHAnsi" w:cstheme="minorHAnsi"/>
                <w:b w:val="0"/>
                <w:bCs w:val="0"/>
              </w:rPr>
              <w:t>measurement and emissions approach with the NGER prescribed approach.</w:t>
            </w:r>
          </w:p>
        </w:tc>
        <w:tc>
          <w:tcPr>
            <w:tcW w:w="3876" w:type="dxa"/>
            <w:hideMark/>
          </w:tcPr>
          <w:p w14:paraId="1961B2F6" w14:textId="72D33591" w:rsidR="00CD3F5A" w:rsidRPr="00F27FB7" w:rsidRDefault="00AA10CD" w:rsidP="000E0BAB">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GO scheme allows low emissions producers</w:t>
            </w:r>
            <w:r w:rsidR="00092792" w:rsidRPr="00F27FB7">
              <w:rPr>
                <w:rStyle w:val="Strong"/>
                <w:rFonts w:asciiTheme="minorHAnsi" w:eastAsia="Cambria" w:hAnsiTheme="minorHAnsi" w:cstheme="minorHAnsi"/>
                <w:b w:val="0"/>
                <w:bCs w:val="0"/>
              </w:rPr>
              <w:t>, some of whom will be covered by the Safeguard Mechanism</w:t>
            </w:r>
            <w:r w:rsidRPr="00F27FB7">
              <w:rPr>
                <w:rStyle w:val="Strong"/>
                <w:rFonts w:asciiTheme="minorHAnsi" w:eastAsia="Cambria" w:hAnsiTheme="minorHAnsi" w:cstheme="minorHAnsi"/>
                <w:b w:val="0"/>
                <w:bCs w:val="0"/>
              </w:rPr>
              <w:t xml:space="preserve"> to </w:t>
            </w:r>
            <w:r w:rsidR="00092792" w:rsidRPr="00F27FB7">
              <w:rPr>
                <w:rStyle w:val="Strong"/>
                <w:rFonts w:asciiTheme="minorHAnsi" w:eastAsia="Cambria" w:hAnsiTheme="minorHAnsi" w:cstheme="minorHAnsi"/>
                <w:b w:val="0"/>
                <w:bCs w:val="0"/>
              </w:rPr>
              <w:t xml:space="preserve">verify the emissions </w:t>
            </w:r>
            <w:r w:rsidR="00486B09" w:rsidRPr="00F27FB7">
              <w:rPr>
                <w:rStyle w:val="Strong"/>
                <w:rFonts w:asciiTheme="minorHAnsi" w:eastAsia="Cambria" w:hAnsiTheme="minorHAnsi" w:cstheme="minorHAnsi"/>
                <w:b w:val="0"/>
                <w:bCs w:val="0"/>
              </w:rPr>
              <w:t>intensity of their production on a product basis.</w:t>
            </w:r>
          </w:p>
        </w:tc>
      </w:tr>
    </w:tbl>
    <w:p w14:paraId="49DA09FC" w14:textId="77777777" w:rsidR="002C11CF" w:rsidRDefault="002C11CF" w:rsidP="00804B9F">
      <w:pPr>
        <w:pStyle w:val="Caption"/>
        <w:spacing w:before="600"/>
        <w:ind w:left="0" w:firstLine="0"/>
        <w:rPr>
          <w:bCs/>
        </w:rPr>
        <w:sectPr w:rsidR="002C11CF" w:rsidSect="00641B61">
          <w:pgSz w:w="11907" w:h="16840"/>
          <w:pgMar w:top="1559" w:right="851" w:bottom="1701" w:left="851" w:header="567" w:footer="0" w:gutter="0"/>
          <w:cols w:space="708"/>
          <w:docGrid w:linePitch="360"/>
        </w:sectPr>
      </w:pPr>
    </w:p>
    <w:p w14:paraId="55C6050D" w14:textId="78967C46" w:rsidR="004B0E7C" w:rsidRDefault="004B0E7C" w:rsidP="0084395C">
      <w:pPr>
        <w:pStyle w:val="Caption"/>
        <w:spacing w:after="0"/>
        <w:ind w:hanging="1418"/>
      </w:pPr>
      <w:r>
        <w:lastRenderedPageBreak/>
        <w:t xml:space="preserve">Table </w:t>
      </w:r>
      <w:r w:rsidR="00676E0C">
        <w:t>6</w:t>
      </w:r>
      <w:r>
        <w:t>: Incentive schemes summary</w:t>
      </w:r>
    </w:p>
    <w:tbl>
      <w:tblPr>
        <w:tblStyle w:val="EPLTableStandard"/>
        <w:tblW w:w="14743" w:type="dxa"/>
        <w:tblInd w:w="-567" w:type="dxa"/>
        <w:tblLayout w:type="fixed"/>
        <w:tblLook w:val="04A0" w:firstRow="1" w:lastRow="0" w:firstColumn="1" w:lastColumn="0" w:noHBand="0" w:noVBand="1"/>
        <w:tblCaption w:val="Incentive schemes summary"/>
        <w:tblDescription w:val="Summarises and compares the GO scheme and various state and federal incentive schemes including the NSW Renewable Fuel Scheme, WA Renewable Hydrogen, and GreenPower Renewabl Gas certification pilot."/>
      </w:tblPr>
      <w:tblGrid>
        <w:gridCol w:w="1560"/>
        <w:gridCol w:w="3118"/>
        <w:gridCol w:w="2694"/>
        <w:gridCol w:w="2551"/>
        <w:gridCol w:w="2268"/>
        <w:gridCol w:w="2410"/>
        <w:gridCol w:w="142"/>
      </w:tblGrid>
      <w:tr w:rsidR="004113A5" w:rsidRPr="00F27FB7" w14:paraId="08905D43" w14:textId="41672924" w:rsidTr="0084395C">
        <w:trPr>
          <w:gridAfter w:val="1"/>
          <w:cnfStyle w:val="100000000000" w:firstRow="1" w:lastRow="0" w:firstColumn="0" w:lastColumn="0" w:oddVBand="0" w:evenVBand="0" w:oddHBand="0" w:evenHBand="0" w:firstRowFirstColumn="0" w:firstRowLastColumn="0" w:lastRowFirstColumn="0" w:lastRowLastColumn="0"/>
          <w:wAfter w:w="142" w:type="dxa"/>
          <w:trHeight w:val="451"/>
        </w:trPr>
        <w:tc>
          <w:tcPr>
            <w:cnfStyle w:val="001000000000" w:firstRow="0" w:lastRow="0" w:firstColumn="1" w:lastColumn="0" w:oddVBand="0" w:evenVBand="0" w:oddHBand="0" w:evenHBand="0" w:firstRowFirstColumn="0" w:firstRowLastColumn="0" w:lastRowFirstColumn="0" w:lastRowLastColumn="0"/>
            <w:tcW w:w="1560" w:type="dxa"/>
          </w:tcPr>
          <w:p w14:paraId="28BCB46B" w14:textId="77777777" w:rsidR="004113A5" w:rsidRPr="00F27FB7" w:rsidRDefault="004113A5">
            <w:pPr>
              <w:rPr>
                <w:rFonts w:asciiTheme="minorHAnsi" w:hAnsiTheme="minorHAnsi" w:cstheme="minorHAnsi"/>
                <w:b w:val="0"/>
              </w:rPr>
            </w:pPr>
          </w:p>
        </w:tc>
        <w:tc>
          <w:tcPr>
            <w:tcW w:w="3118" w:type="dxa"/>
            <w:hideMark/>
          </w:tcPr>
          <w:p w14:paraId="6A62278A" w14:textId="3F8A3063" w:rsidR="004113A5" w:rsidRPr="00F27FB7" w:rsidRDefault="004113A5">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 xml:space="preserve">Hydrogen </w:t>
            </w:r>
            <w:r w:rsidR="005C3763" w:rsidRPr="00F27FB7">
              <w:rPr>
                <w:rStyle w:val="Strong"/>
                <w:rFonts w:asciiTheme="minorHAnsi" w:eastAsia="Cambria" w:hAnsiTheme="minorHAnsi" w:cstheme="minorHAnsi"/>
                <w:b/>
              </w:rPr>
              <w:t>HeadStart</w:t>
            </w:r>
            <w:r w:rsidRPr="00F27FB7">
              <w:rPr>
                <w:rStyle w:val="Strong"/>
                <w:rFonts w:asciiTheme="minorHAnsi" w:eastAsia="Cambria" w:hAnsiTheme="minorHAnsi" w:cstheme="minorHAnsi"/>
                <w:b/>
              </w:rPr>
              <w:t xml:space="preserve"> </w:t>
            </w:r>
          </w:p>
        </w:tc>
        <w:tc>
          <w:tcPr>
            <w:tcW w:w="2694" w:type="dxa"/>
            <w:hideMark/>
          </w:tcPr>
          <w:p w14:paraId="5293BB96" w14:textId="54F1B375" w:rsidR="004113A5" w:rsidRPr="00F27FB7" w:rsidRDefault="004113A5">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 xml:space="preserve">Hydrogen Production Tax Incentive (HPTI) </w:t>
            </w:r>
            <w:r w:rsidR="003A6AA9" w:rsidRPr="00F27FB7">
              <w:rPr>
                <w:rStyle w:val="Strong"/>
                <w:rFonts w:asciiTheme="minorHAnsi" w:eastAsia="Cambria" w:hAnsiTheme="minorHAnsi" w:cstheme="minorHAnsi"/>
                <w:b/>
              </w:rPr>
              <w:t>(proposed)</w:t>
            </w:r>
          </w:p>
        </w:tc>
        <w:tc>
          <w:tcPr>
            <w:tcW w:w="2551" w:type="dxa"/>
          </w:tcPr>
          <w:p w14:paraId="3B3884CB" w14:textId="49AB5429" w:rsidR="00A14ADD" w:rsidRPr="00F27FB7" w:rsidRDefault="00A14ADD" w:rsidP="003311EC">
            <w:pPr>
              <w:spacing w:after="0"/>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rPr>
            </w:pPr>
            <w:r w:rsidRPr="00F27FB7">
              <w:rPr>
                <w:rStyle w:val="Strong"/>
                <w:rFonts w:asciiTheme="minorHAnsi" w:eastAsia="Cambria" w:hAnsiTheme="minorHAnsi" w:cstheme="minorHAnsi"/>
                <w:b/>
                <w:bCs w:val="0"/>
              </w:rPr>
              <w:t>NSW Renewable Fuel Scheme</w:t>
            </w:r>
          </w:p>
        </w:tc>
        <w:tc>
          <w:tcPr>
            <w:tcW w:w="2268" w:type="dxa"/>
          </w:tcPr>
          <w:p w14:paraId="024B2835" w14:textId="0ACCE64E" w:rsidR="00A14ADD" w:rsidRPr="00F27FB7" w:rsidRDefault="00A14ADD" w:rsidP="003311EC">
            <w:pPr>
              <w:spacing w:after="0"/>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rPr>
            </w:pPr>
            <w:r w:rsidRPr="00F27FB7">
              <w:rPr>
                <w:rStyle w:val="Strong"/>
                <w:rFonts w:asciiTheme="minorHAnsi" w:eastAsia="Cambria" w:hAnsiTheme="minorHAnsi" w:cstheme="minorHAnsi"/>
                <w:b/>
                <w:bCs w:val="0"/>
              </w:rPr>
              <w:t>WA Renewable Hydrogen</w:t>
            </w:r>
          </w:p>
        </w:tc>
        <w:tc>
          <w:tcPr>
            <w:tcW w:w="2410" w:type="dxa"/>
          </w:tcPr>
          <w:p w14:paraId="18521F2C" w14:textId="72BEAE1E" w:rsidR="00A14ADD" w:rsidRPr="00F27FB7" w:rsidRDefault="00A14ADD" w:rsidP="003311EC">
            <w:pPr>
              <w:spacing w:after="0"/>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rPr>
            </w:pPr>
            <w:r w:rsidRPr="00F27FB7">
              <w:rPr>
                <w:rStyle w:val="Strong"/>
                <w:rFonts w:asciiTheme="minorHAnsi" w:eastAsia="Cambria" w:hAnsiTheme="minorHAnsi" w:cstheme="minorHAnsi"/>
                <w:b/>
                <w:bCs w:val="0"/>
              </w:rPr>
              <w:t>GreenPower Renewable Gas Certification Pilot</w:t>
            </w:r>
          </w:p>
        </w:tc>
      </w:tr>
      <w:tr w:rsidR="004113A5" w:rsidRPr="00F27FB7" w14:paraId="2BB58FC5" w14:textId="79B41092" w:rsidTr="0084395C">
        <w:trPr>
          <w:gridAfter w:val="1"/>
          <w:cnfStyle w:val="000000100000" w:firstRow="0" w:lastRow="0" w:firstColumn="0" w:lastColumn="0" w:oddVBand="0" w:evenVBand="0" w:oddHBand="1" w:evenHBand="0" w:firstRowFirstColumn="0" w:firstRowLastColumn="0" w:lastRowFirstColumn="0" w:lastRowLastColumn="0"/>
          <w:wAfter w:w="142" w:type="dxa"/>
          <w:trHeight w:val="1048"/>
        </w:trPr>
        <w:tc>
          <w:tcPr>
            <w:cnfStyle w:val="001000000000" w:firstRow="0" w:lastRow="0" w:firstColumn="1" w:lastColumn="0" w:oddVBand="0" w:evenVBand="0" w:oddHBand="0" w:evenHBand="0" w:firstRowFirstColumn="0" w:firstRowLastColumn="0" w:lastRowFirstColumn="0" w:lastRowLastColumn="0"/>
            <w:tcW w:w="1560" w:type="dxa"/>
            <w:hideMark/>
          </w:tcPr>
          <w:p w14:paraId="255678CE" w14:textId="77777777" w:rsidR="004113A5" w:rsidRPr="00F27FB7" w:rsidRDefault="004113A5">
            <w:pPr>
              <w:rPr>
                <w:rFonts w:asciiTheme="minorHAnsi" w:hAnsiTheme="minorHAnsi" w:cstheme="minorHAnsi"/>
                <w:b/>
                <w:bCs/>
              </w:rPr>
            </w:pPr>
            <w:r w:rsidRPr="00F27FB7">
              <w:rPr>
                <w:rFonts w:asciiTheme="minorHAnsi" w:hAnsiTheme="minorHAnsi" w:cstheme="minorHAnsi"/>
                <w:b/>
                <w:bCs/>
              </w:rPr>
              <w:t xml:space="preserve">Scheme purpose </w:t>
            </w:r>
          </w:p>
        </w:tc>
        <w:tc>
          <w:tcPr>
            <w:tcW w:w="3118" w:type="dxa"/>
          </w:tcPr>
          <w:p w14:paraId="016549C9" w14:textId="11EACA3E" w:rsidR="004113A5" w:rsidRPr="00F27FB7" w:rsidRDefault="00EC4D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The program is intended to accelerate the technical and commercial viability of renewable hydrogen production in Australia.</w:t>
            </w:r>
          </w:p>
        </w:tc>
        <w:tc>
          <w:tcPr>
            <w:tcW w:w="2694" w:type="dxa"/>
            <w:hideMark/>
          </w:tcPr>
          <w:p w14:paraId="25CC5A6B" w14:textId="72AC9BE0" w:rsidR="004113A5" w:rsidRPr="00F27FB7" w:rsidRDefault="004113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To incentivise renewable hydrogen production for eligible Australian resident corporations with a time-limited and </w:t>
            </w:r>
            <w:r w:rsidR="00C92E8D" w:rsidRPr="00F27FB7">
              <w:rPr>
                <w:rFonts w:asciiTheme="minorHAnsi" w:hAnsiTheme="minorHAnsi" w:cstheme="minorHAnsi"/>
              </w:rPr>
              <w:t>demand driven</w:t>
            </w:r>
            <w:r w:rsidRPr="00F27FB7">
              <w:rPr>
                <w:rFonts w:asciiTheme="minorHAnsi" w:hAnsiTheme="minorHAnsi" w:cstheme="minorHAnsi"/>
              </w:rPr>
              <w:t xml:space="preserve"> refundable tax offset.</w:t>
            </w:r>
          </w:p>
        </w:tc>
        <w:tc>
          <w:tcPr>
            <w:tcW w:w="2551" w:type="dxa"/>
          </w:tcPr>
          <w:p w14:paraId="1823CA21" w14:textId="77777777" w:rsidR="00A14ADD" w:rsidRPr="00F27FB7" w:rsidRDefault="00A14ADD" w:rsidP="00A14A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To create a financial incentive for the production and consumption of green hydrogen within NSW</w:t>
            </w:r>
          </w:p>
          <w:p w14:paraId="02FF11B3" w14:textId="67AF4307" w:rsidR="00A14ADD" w:rsidRPr="00F27FB7" w:rsidRDefault="00A14ADD" w:rsidP="00A14A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268" w:type="dxa"/>
          </w:tcPr>
          <w:p w14:paraId="0E56A6EB" w14:textId="4D6168AA" w:rsidR="00A14ADD" w:rsidRPr="00F27FB7" w:rsidRDefault="00A14A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To require a percentage of electricity generated in the South West Interconnected System (SWIS) to be fuelled by renewable hydrogen.</w:t>
            </w:r>
          </w:p>
        </w:tc>
        <w:tc>
          <w:tcPr>
            <w:tcW w:w="2410" w:type="dxa"/>
          </w:tcPr>
          <w:p w14:paraId="2D4E4344" w14:textId="17599CFC" w:rsidR="00A14ADD" w:rsidRPr="00F27FB7" w:rsidRDefault="00A14A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To establish a voluntary market for renewable gases starting with biogas, biomethane and renewable hydrogen.</w:t>
            </w:r>
          </w:p>
        </w:tc>
      </w:tr>
      <w:tr w:rsidR="004113A5" w:rsidRPr="00F27FB7" w14:paraId="6BDDCBA5" w14:textId="017F50A5" w:rsidTr="0084395C">
        <w:trPr>
          <w:gridAfter w:val="1"/>
          <w:cnfStyle w:val="000000010000" w:firstRow="0" w:lastRow="0" w:firstColumn="0" w:lastColumn="0" w:oddVBand="0" w:evenVBand="0" w:oddHBand="0" w:evenHBand="1" w:firstRowFirstColumn="0" w:firstRowLastColumn="0" w:lastRowFirstColumn="0" w:lastRowLastColumn="0"/>
          <w:wAfter w:w="142" w:type="dxa"/>
          <w:trHeight w:val="936"/>
        </w:trPr>
        <w:tc>
          <w:tcPr>
            <w:cnfStyle w:val="001000000000" w:firstRow="0" w:lastRow="0" w:firstColumn="1" w:lastColumn="0" w:oddVBand="0" w:evenVBand="0" w:oddHBand="0" w:evenHBand="0" w:firstRowFirstColumn="0" w:firstRowLastColumn="0" w:lastRowFirstColumn="0" w:lastRowLastColumn="0"/>
            <w:tcW w:w="1560" w:type="dxa"/>
            <w:hideMark/>
          </w:tcPr>
          <w:p w14:paraId="6F592FD3" w14:textId="77777777" w:rsidR="004113A5" w:rsidRPr="00F27FB7" w:rsidRDefault="004113A5">
            <w:pPr>
              <w:rPr>
                <w:rFonts w:asciiTheme="minorHAnsi" w:hAnsiTheme="minorHAnsi" w:cstheme="minorHAnsi"/>
                <w:b/>
                <w:bCs/>
              </w:rPr>
            </w:pPr>
            <w:r w:rsidRPr="00F27FB7">
              <w:rPr>
                <w:rFonts w:asciiTheme="minorHAnsi" w:hAnsiTheme="minorHAnsi" w:cstheme="minorHAnsi"/>
                <w:b/>
                <w:bCs/>
              </w:rPr>
              <w:t xml:space="preserve">Scheme coverage </w:t>
            </w:r>
          </w:p>
        </w:tc>
        <w:tc>
          <w:tcPr>
            <w:tcW w:w="3118" w:type="dxa"/>
            <w:hideMark/>
          </w:tcPr>
          <w:p w14:paraId="204F80E5" w14:textId="77777777" w:rsidR="00755C0C" w:rsidRPr="00F27FB7" w:rsidRDefault="00755C0C" w:rsidP="001A2601">
            <w:pPr>
              <w:spacing w:after="12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The program focuses on high value, high-quality and large-scale </w:t>
            </w:r>
            <w:r w:rsidR="004113A5" w:rsidRPr="00F27FB7">
              <w:rPr>
                <w:rFonts w:asciiTheme="minorHAnsi" w:hAnsiTheme="minorHAnsi" w:cstheme="minorHAnsi"/>
              </w:rPr>
              <w:t xml:space="preserve">renewable hydrogen </w:t>
            </w:r>
            <w:r w:rsidRPr="00F27FB7">
              <w:rPr>
                <w:rFonts w:asciiTheme="minorHAnsi" w:hAnsiTheme="minorHAnsi" w:cstheme="minorHAnsi"/>
              </w:rPr>
              <w:t xml:space="preserve">production projects. </w:t>
            </w:r>
          </w:p>
          <w:p w14:paraId="2390C7E3" w14:textId="77777777" w:rsidR="00755C0C" w:rsidRPr="00F27FB7" w:rsidRDefault="00755C0C" w:rsidP="001A2601">
            <w:pPr>
              <w:spacing w:after="12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Aims to catalyse Australia’s hydrogen industry to take advantage of Australia’s unparalleled opportunity to be a global hydrogen leader.</w:t>
            </w:r>
          </w:p>
          <w:p w14:paraId="7674E7F8" w14:textId="77777777" w:rsidR="004113A5" w:rsidRPr="00F27FB7" w:rsidRDefault="00755C0C" w:rsidP="001A2601">
            <w:pPr>
              <w:spacing w:after="12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Projects</w:t>
            </w:r>
            <w:r w:rsidR="004113A5" w:rsidRPr="00F27FB7">
              <w:rPr>
                <w:rFonts w:asciiTheme="minorHAnsi" w:hAnsiTheme="minorHAnsi" w:cstheme="minorHAnsi"/>
              </w:rPr>
              <w:t xml:space="preserve"> can apply for a production credit delivered over ten years to bridge the gap between the cost of producing renewable hydrogen and the market price.</w:t>
            </w:r>
          </w:p>
          <w:p w14:paraId="6C752419" w14:textId="6F2EFE81" w:rsidR="004113A5" w:rsidRPr="00F27FB7" w:rsidRDefault="007D1909" w:rsidP="001A2601">
            <w:pPr>
              <w:spacing w:after="12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The GO Scheme will be used to verify </w:t>
            </w:r>
            <w:r w:rsidR="007D1236" w:rsidRPr="00F27FB7">
              <w:rPr>
                <w:rFonts w:asciiTheme="minorHAnsi" w:hAnsiTheme="minorHAnsi" w:cstheme="minorHAnsi"/>
              </w:rPr>
              <w:t>the production volume and renewable electricity requirements.</w:t>
            </w:r>
          </w:p>
        </w:tc>
        <w:tc>
          <w:tcPr>
            <w:tcW w:w="2694" w:type="dxa"/>
            <w:hideMark/>
          </w:tcPr>
          <w:p w14:paraId="3A153FDD" w14:textId="77777777" w:rsidR="00C57F5B" w:rsidRPr="00F27FB7" w:rsidRDefault="004113A5" w:rsidP="001A260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The incentive </w:t>
            </w:r>
            <w:r w:rsidR="00263492" w:rsidRPr="00F27FB7">
              <w:rPr>
                <w:rFonts w:asciiTheme="minorHAnsi" w:hAnsiTheme="minorHAnsi" w:cstheme="minorHAnsi"/>
              </w:rPr>
              <w:t xml:space="preserve">is proposed to </w:t>
            </w:r>
            <w:r w:rsidRPr="00F27FB7">
              <w:rPr>
                <w:rFonts w:asciiTheme="minorHAnsi" w:hAnsiTheme="minorHAnsi" w:cstheme="minorHAnsi"/>
              </w:rPr>
              <w:t>provide</w:t>
            </w:r>
            <w:r w:rsidR="00C57F5B" w:rsidRPr="00F27FB7">
              <w:rPr>
                <w:rFonts w:asciiTheme="minorHAnsi" w:hAnsiTheme="minorHAnsi" w:cstheme="minorHAnsi"/>
              </w:rPr>
              <w:t> </w:t>
            </w:r>
            <w:r w:rsidRPr="00F27FB7">
              <w:rPr>
                <w:rFonts w:asciiTheme="minorHAnsi" w:hAnsiTheme="minorHAnsi" w:cstheme="minorHAnsi"/>
              </w:rPr>
              <w:t>$2 per kilogram of hydrogen produced for up to ten years, between 1 July 2027 and 30 June 2040</w:t>
            </w:r>
            <w:r w:rsidR="00C57F5B" w:rsidRPr="00F27FB7">
              <w:rPr>
                <w:rFonts w:asciiTheme="minorHAnsi" w:hAnsiTheme="minorHAnsi" w:cstheme="minorHAnsi"/>
              </w:rPr>
              <w:t>, to eligible renewable hydrogen producers.</w:t>
            </w:r>
          </w:p>
          <w:p w14:paraId="1DA872A4" w14:textId="45AB3C26" w:rsidR="007D1236" w:rsidRPr="00F27FB7" w:rsidRDefault="007D1236" w:rsidP="001A260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The GO Scheme will be used to ve</w:t>
            </w:r>
            <w:r w:rsidR="00B96A67" w:rsidRPr="00F27FB7">
              <w:rPr>
                <w:rFonts w:asciiTheme="minorHAnsi" w:hAnsiTheme="minorHAnsi" w:cstheme="minorHAnsi"/>
              </w:rPr>
              <w:t xml:space="preserve">rify production volume and emissions intensity </w:t>
            </w:r>
            <w:r w:rsidR="00BA3C8B" w:rsidRPr="00F27FB7">
              <w:rPr>
                <w:rFonts w:asciiTheme="minorHAnsi" w:hAnsiTheme="minorHAnsi" w:cstheme="minorHAnsi"/>
              </w:rPr>
              <w:t xml:space="preserve">requirements in order to claim the incentive. </w:t>
            </w:r>
          </w:p>
          <w:p w14:paraId="64F6D1DC" w14:textId="1A497C7E" w:rsidR="004113A5" w:rsidRPr="00F27FB7" w:rsidRDefault="004113A5" w:rsidP="00B814F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551" w:type="dxa"/>
          </w:tcPr>
          <w:p w14:paraId="76430D76" w14:textId="77777777" w:rsidR="00A14ADD" w:rsidRPr="00F27FB7" w:rsidRDefault="00A14ADD" w:rsidP="00B814F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Sets a target for hydrogen production in each compliance period.</w:t>
            </w:r>
          </w:p>
          <w:p w14:paraId="056867C6" w14:textId="77777777" w:rsidR="00A14ADD" w:rsidRPr="00F27FB7" w:rsidRDefault="00A14ADD" w:rsidP="00B814F1">
            <w:pPr>
              <w:spacing w:before="120" w:after="12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Creates a tradeable certificate. </w:t>
            </w:r>
          </w:p>
          <w:p w14:paraId="03892567" w14:textId="1161CCCE" w:rsidR="00A14ADD" w:rsidRPr="00F27FB7" w:rsidRDefault="00A14ADD" w:rsidP="00B814F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Gas retailers and end users that are not retail customers will be required to purchase and surrender RFS certificates to demonstrate compliance with a mandatory target.</w:t>
            </w:r>
          </w:p>
        </w:tc>
        <w:tc>
          <w:tcPr>
            <w:tcW w:w="2268" w:type="dxa"/>
          </w:tcPr>
          <w:p w14:paraId="3F6C8C2D" w14:textId="4A932E3A" w:rsidR="00A14ADD" w:rsidRPr="00F27FB7" w:rsidRDefault="00A14ADD" w:rsidP="000D4E1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Currently at the detailed design phase, proposed to include a Renewable Hydrogen Electricity Generation Certificate for the SWIS which would be created for every MWh of electricity generated via the combustion of renewable hydrogen</w:t>
            </w:r>
          </w:p>
        </w:tc>
        <w:tc>
          <w:tcPr>
            <w:tcW w:w="2410" w:type="dxa"/>
          </w:tcPr>
          <w:p w14:paraId="424A772F" w14:textId="1985CDB4" w:rsidR="00A14ADD" w:rsidRPr="00F27FB7" w:rsidRDefault="00A14ADD" w:rsidP="00807B6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Enables network-connected commercial and industrial gas customers to offset their gas use with Renewable Gas Certificates (RGCs).</w:t>
            </w:r>
          </w:p>
        </w:tc>
      </w:tr>
      <w:tr w:rsidR="00CD3F5A" w:rsidRPr="00F27FB7" w14:paraId="0F7230D5" w14:textId="77777777" w:rsidTr="0084395C">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60" w:type="dxa"/>
            <w:hideMark/>
          </w:tcPr>
          <w:p w14:paraId="09C35B41" w14:textId="40DFF4F8" w:rsidR="00CD3F5A" w:rsidRPr="00F27FB7" w:rsidRDefault="00CD3F5A" w:rsidP="00C177AE">
            <w:pPr>
              <w:rPr>
                <w:rFonts w:asciiTheme="minorHAnsi" w:hAnsiTheme="minorHAnsi" w:cstheme="minorHAnsi"/>
                <w:b/>
                <w:bCs/>
              </w:rPr>
            </w:pPr>
            <w:r w:rsidRPr="00F27FB7">
              <w:rPr>
                <w:rFonts w:asciiTheme="minorHAnsi" w:hAnsiTheme="minorHAnsi" w:cstheme="minorHAnsi"/>
                <w:b/>
                <w:bCs/>
              </w:rPr>
              <w:t>Differences to GO scheme</w:t>
            </w:r>
          </w:p>
        </w:tc>
        <w:tc>
          <w:tcPr>
            <w:tcW w:w="13183" w:type="dxa"/>
            <w:gridSpan w:val="6"/>
          </w:tcPr>
          <w:p w14:paraId="269078AC" w14:textId="39487A0F" w:rsidR="00CD3F5A" w:rsidRPr="00F27FB7" w:rsidRDefault="006D5745" w:rsidP="00C177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With the exception of the </w:t>
            </w:r>
            <w:r w:rsidR="00CB4671" w:rsidRPr="00F27FB7">
              <w:rPr>
                <w:rFonts w:asciiTheme="minorHAnsi" w:hAnsiTheme="minorHAnsi" w:cstheme="minorHAnsi"/>
              </w:rPr>
              <w:t>G</w:t>
            </w:r>
            <w:r w:rsidRPr="00F27FB7">
              <w:rPr>
                <w:rFonts w:asciiTheme="minorHAnsi" w:hAnsiTheme="minorHAnsi" w:cstheme="minorHAnsi"/>
              </w:rPr>
              <w:t>reenpower scheme, t</w:t>
            </w:r>
            <w:r w:rsidR="00CD3F5A" w:rsidRPr="00F27FB7">
              <w:rPr>
                <w:rFonts w:asciiTheme="minorHAnsi" w:hAnsiTheme="minorHAnsi" w:cstheme="minorHAnsi"/>
              </w:rPr>
              <w:t>hese schemes are not emissions accounting schemes</w:t>
            </w:r>
            <w:r w:rsidR="00806AAC" w:rsidRPr="00F27FB7">
              <w:rPr>
                <w:rFonts w:asciiTheme="minorHAnsi" w:hAnsiTheme="minorHAnsi" w:cstheme="minorHAnsi"/>
              </w:rPr>
              <w:t>;</w:t>
            </w:r>
            <w:r w:rsidR="002C11CF" w:rsidRPr="00F27FB7">
              <w:rPr>
                <w:rFonts w:asciiTheme="minorHAnsi" w:hAnsiTheme="minorHAnsi" w:cstheme="minorHAnsi"/>
              </w:rPr>
              <w:t xml:space="preserve"> </w:t>
            </w:r>
            <w:r w:rsidR="00806AAC" w:rsidRPr="00F27FB7">
              <w:rPr>
                <w:rFonts w:asciiTheme="minorHAnsi" w:hAnsiTheme="minorHAnsi" w:cstheme="minorHAnsi"/>
              </w:rPr>
              <w:t>T</w:t>
            </w:r>
            <w:r w:rsidR="002C11CF" w:rsidRPr="00F27FB7">
              <w:rPr>
                <w:rFonts w:asciiTheme="minorHAnsi" w:hAnsiTheme="minorHAnsi" w:cstheme="minorHAnsi"/>
              </w:rPr>
              <w:t>hey</w:t>
            </w:r>
            <w:r w:rsidR="00CD3F5A" w:rsidRPr="00F27FB7">
              <w:rPr>
                <w:rFonts w:asciiTheme="minorHAnsi" w:hAnsiTheme="minorHAnsi" w:cstheme="minorHAnsi"/>
              </w:rPr>
              <w:t xml:space="preserve"> are intended to incentivise a specific low emissions activity.</w:t>
            </w:r>
          </w:p>
        </w:tc>
      </w:tr>
      <w:tr w:rsidR="00CD3F5A" w:rsidRPr="00F27FB7" w14:paraId="6602D8F1" w14:textId="77777777" w:rsidTr="0084395C">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560" w:type="dxa"/>
            <w:hideMark/>
          </w:tcPr>
          <w:p w14:paraId="2AC826C2" w14:textId="735F7884" w:rsidR="00CD3F5A" w:rsidRPr="00F27FB7" w:rsidRDefault="00CD3F5A" w:rsidP="00C177AE">
            <w:pPr>
              <w:rPr>
                <w:rFonts w:asciiTheme="minorHAnsi" w:hAnsiTheme="minorHAnsi" w:cstheme="minorHAnsi"/>
              </w:rPr>
            </w:pPr>
            <w:r w:rsidRPr="00F27FB7">
              <w:rPr>
                <w:rStyle w:val="Strong"/>
                <w:rFonts w:asciiTheme="minorHAnsi" w:eastAsia="Cambria" w:hAnsiTheme="minorHAnsi" w:cstheme="minorHAnsi"/>
              </w:rPr>
              <w:t xml:space="preserve">Interactions with GO </w:t>
            </w:r>
            <w:r w:rsidR="0036729C" w:rsidRPr="00F27FB7">
              <w:rPr>
                <w:rStyle w:val="Strong"/>
                <w:rFonts w:asciiTheme="minorHAnsi" w:eastAsia="Cambria" w:hAnsiTheme="minorHAnsi" w:cstheme="minorHAnsi"/>
              </w:rPr>
              <w:t>Scheme</w:t>
            </w:r>
          </w:p>
        </w:tc>
        <w:tc>
          <w:tcPr>
            <w:tcW w:w="13183" w:type="dxa"/>
            <w:gridSpan w:val="6"/>
          </w:tcPr>
          <w:p w14:paraId="5B83AFF9" w14:textId="0BD9AFAE" w:rsidR="00CD3F5A" w:rsidRPr="00F27FB7" w:rsidRDefault="00CD3F5A" w:rsidP="00C177A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7FB7">
              <w:rPr>
                <w:rFonts w:asciiTheme="minorHAnsi" w:hAnsiTheme="minorHAnsi" w:cstheme="minorHAnsi"/>
              </w:rPr>
              <w:t xml:space="preserve">The GO certificates </w:t>
            </w:r>
            <w:r w:rsidR="00514685" w:rsidRPr="00F27FB7">
              <w:rPr>
                <w:rFonts w:asciiTheme="minorHAnsi" w:hAnsiTheme="minorHAnsi" w:cstheme="minorHAnsi"/>
              </w:rPr>
              <w:t>may</w:t>
            </w:r>
            <w:r w:rsidRPr="00F27FB7">
              <w:rPr>
                <w:rFonts w:asciiTheme="minorHAnsi" w:hAnsiTheme="minorHAnsi" w:cstheme="minorHAnsi"/>
              </w:rPr>
              <w:t xml:space="preserve"> be an input into these schemes, providing a mechanism to identify hydrogen that is eligible for participation and create unbundled certificates based on the GO certificate information.</w:t>
            </w:r>
            <w:r w:rsidR="00C447D0" w:rsidRPr="00F27FB7">
              <w:rPr>
                <w:rFonts w:asciiTheme="minorHAnsi" w:hAnsiTheme="minorHAnsi" w:cstheme="minorHAnsi"/>
              </w:rPr>
              <w:t xml:space="preserve"> Noting the GO scheme will expand to products beyond hydrogen.</w:t>
            </w:r>
          </w:p>
        </w:tc>
      </w:tr>
    </w:tbl>
    <w:p w14:paraId="4CBDF3C5" w14:textId="77777777" w:rsidR="002C11CF" w:rsidRDefault="002C11CF">
      <w:pPr>
        <w:rPr>
          <w:rFonts w:asciiTheme="majorHAnsi" w:hAnsiTheme="majorHAnsi"/>
          <w:b/>
          <w:iCs/>
          <w:color w:val="014463" w:themeColor="text2"/>
          <w:szCs w:val="18"/>
        </w:rPr>
        <w:sectPr w:rsidR="002C11CF" w:rsidSect="0084395C">
          <w:pgSz w:w="16840" w:h="11907" w:orient="landscape"/>
          <w:pgMar w:top="851" w:right="1559" w:bottom="851" w:left="1701" w:header="567" w:footer="0" w:gutter="0"/>
          <w:cols w:space="708"/>
          <w:docGrid w:linePitch="360"/>
        </w:sectPr>
      </w:pPr>
    </w:p>
    <w:p w14:paraId="1F15AE97" w14:textId="0EE49303" w:rsidR="004B0E7C" w:rsidRDefault="004B0E7C" w:rsidP="00E76953">
      <w:pPr>
        <w:pStyle w:val="Caption"/>
      </w:pPr>
      <w:r>
        <w:lastRenderedPageBreak/>
        <w:t xml:space="preserve">Table </w:t>
      </w:r>
      <w:r w:rsidR="00676E0C">
        <w:t>7</w:t>
      </w:r>
      <w:r>
        <w:t xml:space="preserve">: </w:t>
      </w:r>
      <w:r w:rsidRPr="00A878AA">
        <w:t>Voluntary carbon neutral schemes summary</w:t>
      </w:r>
    </w:p>
    <w:tbl>
      <w:tblPr>
        <w:tblStyle w:val="EPLTableStandard"/>
        <w:tblW w:w="0" w:type="auto"/>
        <w:tblInd w:w="3" w:type="dxa"/>
        <w:tblLook w:val="04A0" w:firstRow="1" w:lastRow="0" w:firstColumn="1" w:lastColumn="0" w:noHBand="0" w:noVBand="1"/>
        <w:tblCaption w:val="Voluntary carbon neutral schemes summary"/>
        <w:tblDescription w:val="Summarises and compares the GO scheme with the Climate Active carbon neutral certification, and CERT (Corporate Emissions Reduction Transparency report)."/>
      </w:tblPr>
      <w:tblGrid>
        <w:gridCol w:w="1305"/>
        <w:gridCol w:w="2803"/>
        <w:gridCol w:w="2977"/>
        <w:gridCol w:w="2977"/>
      </w:tblGrid>
      <w:tr w:rsidR="00A2016E" w14:paraId="21F774D8" w14:textId="02BAF337" w:rsidTr="00A218B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05" w:type="dxa"/>
          </w:tcPr>
          <w:p w14:paraId="1EEEEB34" w14:textId="77777777" w:rsidR="00A2016E" w:rsidRPr="00F27FB7" w:rsidRDefault="00A2016E" w:rsidP="00C177AE">
            <w:pPr>
              <w:rPr>
                <w:rStyle w:val="Strong"/>
                <w:rFonts w:asciiTheme="minorHAnsi" w:eastAsia="Cambria" w:hAnsiTheme="minorHAnsi" w:cstheme="minorHAnsi"/>
                <w:b/>
              </w:rPr>
            </w:pPr>
          </w:p>
        </w:tc>
        <w:tc>
          <w:tcPr>
            <w:tcW w:w="2803" w:type="dxa"/>
            <w:hideMark/>
          </w:tcPr>
          <w:p w14:paraId="4EC1E8E8" w14:textId="77777777" w:rsidR="00A2016E" w:rsidRPr="00F27FB7" w:rsidRDefault="00A2016E" w:rsidP="009D4FF3">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 xml:space="preserve">Climate Active </w:t>
            </w:r>
          </w:p>
        </w:tc>
        <w:tc>
          <w:tcPr>
            <w:tcW w:w="2977" w:type="dxa"/>
            <w:hideMark/>
          </w:tcPr>
          <w:p w14:paraId="0010DCE9" w14:textId="77777777" w:rsidR="00A2016E" w:rsidRPr="00F27FB7" w:rsidRDefault="00A2016E" w:rsidP="009D4FF3">
            <w:pPr>
              <w:spacing w:after="0"/>
              <w:jc w:val="left"/>
              <w:cnfStyle w:val="100000000000" w:firstRow="1" w:lastRow="0" w:firstColumn="0" w:lastColumn="0" w:oddVBand="0" w:evenVBand="0" w:oddHBand="0" w:evenHBand="0" w:firstRowFirstColumn="0" w:firstRowLastColumn="0" w:lastRowFirstColumn="0" w:lastRowLastColumn="0"/>
              <w:rPr>
                <w:rStyle w:val="Strong"/>
                <w:rFonts w:asciiTheme="minorHAnsi" w:eastAsia="Cambria" w:hAnsiTheme="minorHAnsi" w:cstheme="minorHAnsi"/>
                <w:b/>
              </w:rPr>
            </w:pPr>
            <w:r w:rsidRPr="00F27FB7">
              <w:rPr>
                <w:rStyle w:val="Strong"/>
                <w:rFonts w:asciiTheme="minorHAnsi" w:eastAsia="Cambria" w:hAnsiTheme="minorHAnsi" w:cstheme="minorHAnsi"/>
                <w:b/>
              </w:rPr>
              <w:t>Corporate Emissions Reduction Transparency Report</w:t>
            </w:r>
          </w:p>
        </w:tc>
        <w:tc>
          <w:tcPr>
            <w:tcW w:w="2977" w:type="dxa"/>
          </w:tcPr>
          <w:p w14:paraId="59114126" w14:textId="01D57A91" w:rsidR="00A2016E" w:rsidRPr="00F27FB7" w:rsidRDefault="006D1A43" w:rsidP="001A2601">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Cambria" w:hAnsiTheme="minorHAnsi" w:cstheme="minorHAnsi"/>
              </w:rPr>
            </w:pPr>
            <w:r w:rsidRPr="00F27FB7">
              <w:rPr>
                <w:rFonts w:asciiTheme="minorHAnsi" w:eastAsia="Cambria" w:hAnsiTheme="minorHAnsi" w:cstheme="minorHAnsi"/>
              </w:rPr>
              <w:t>Mandatory c</w:t>
            </w:r>
            <w:r w:rsidR="00A85DD8" w:rsidRPr="00F27FB7">
              <w:rPr>
                <w:rFonts w:asciiTheme="minorHAnsi" w:eastAsia="Cambria" w:hAnsiTheme="minorHAnsi" w:cstheme="minorHAnsi"/>
              </w:rPr>
              <w:t>limate-related financial disclosures</w:t>
            </w:r>
          </w:p>
        </w:tc>
      </w:tr>
      <w:tr w:rsidR="00696317" w14:paraId="5FD6632D" w14:textId="0E148DB5" w:rsidTr="00A218B8">
        <w:trPr>
          <w:cnfStyle w:val="000000100000" w:firstRow="0" w:lastRow="0" w:firstColumn="0" w:lastColumn="0" w:oddVBand="0" w:evenVBand="0" w:oddHBand="1" w:evenHBand="0" w:firstRowFirstColumn="0" w:firstRowLastColumn="0" w:lastRowFirstColumn="0" w:lastRowLastColumn="0"/>
          <w:trHeight w:val="2277"/>
        </w:trPr>
        <w:tc>
          <w:tcPr>
            <w:cnfStyle w:val="001000000000" w:firstRow="0" w:lastRow="0" w:firstColumn="1" w:lastColumn="0" w:oddVBand="0" w:evenVBand="0" w:oddHBand="0" w:evenHBand="0" w:firstRowFirstColumn="0" w:firstRowLastColumn="0" w:lastRowFirstColumn="0" w:lastRowLastColumn="0"/>
            <w:tcW w:w="0" w:type="dxa"/>
            <w:hideMark/>
          </w:tcPr>
          <w:p w14:paraId="2D4A3DAA" w14:textId="77777777" w:rsidR="00A2016E" w:rsidRPr="00F27FB7" w:rsidRDefault="00A2016E" w:rsidP="00C177AE">
            <w:pPr>
              <w:rPr>
                <w:rStyle w:val="Strong"/>
                <w:rFonts w:asciiTheme="minorHAnsi" w:eastAsia="Cambria" w:hAnsiTheme="minorHAnsi" w:cstheme="minorHAnsi"/>
                <w:b w:val="0"/>
              </w:rPr>
            </w:pPr>
            <w:r w:rsidRPr="00F27FB7">
              <w:rPr>
                <w:rStyle w:val="Strong"/>
                <w:rFonts w:asciiTheme="minorHAnsi" w:eastAsia="Cambria" w:hAnsiTheme="minorHAnsi" w:cstheme="minorHAnsi"/>
              </w:rPr>
              <w:t>Scheme purpose</w:t>
            </w:r>
          </w:p>
        </w:tc>
        <w:tc>
          <w:tcPr>
            <w:tcW w:w="0" w:type="dxa"/>
            <w:hideMark/>
          </w:tcPr>
          <w:p w14:paraId="08DA5516" w14:textId="4B86A52C" w:rsidR="00A2016E" w:rsidRPr="00F27FB7" w:rsidRDefault="006A522F"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Climate Active is an Australian Government program that encourages business decarbonisation through certifying voluntary climate Action. Under current settings, to achieve certification, participating businesses must meet the requirements of the Climate Active Carbon Neutral Standard, which requires them to measure emissions, develop and maintain an emissions reduction strategy, offset remaining emissions using eligible offset units, and verify and publicly report their emissions. Certification is currently available for organisations, products, services, buildings, events and precincts.</w:t>
            </w:r>
          </w:p>
        </w:tc>
        <w:tc>
          <w:tcPr>
            <w:tcW w:w="0" w:type="dxa"/>
            <w:hideMark/>
          </w:tcPr>
          <w:p w14:paraId="3AFEE650" w14:textId="7A5F1E14" w:rsidR="00A2016E" w:rsidRPr="00F27FB7" w:rsidRDefault="0006536C" w:rsidP="00C177AE">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The </w:t>
            </w:r>
            <w:r w:rsidR="00A2016E" w:rsidRPr="00F27FB7">
              <w:rPr>
                <w:rStyle w:val="Strong"/>
                <w:rFonts w:asciiTheme="minorHAnsi" w:eastAsia="Cambria" w:hAnsiTheme="minorHAnsi" w:cstheme="minorHAnsi"/>
                <w:b w:val="0"/>
                <w:bCs w:val="0"/>
              </w:rPr>
              <w:t>Corporate Emissions Reduction Transparency (CERT) report is a voluntary initiative for eligible companies to present a snapshot of their climate-related commitments, progress and net emissions position.</w:t>
            </w:r>
          </w:p>
        </w:tc>
        <w:tc>
          <w:tcPr>
            <w:tcW w:w="0" w:type="dxa"/>
          </w:tcPr>
          <w:p w14:paraId="458D0C74" w14:textId="1D626AA0" w:rsidR="00A2016E" w:rsidRPr="00F27FB7" w:rsidRDefault="00CD60F5" w:rsidP="007260EF">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To improve the quality of climate-related financial disclosures, providing Australians and investors with greater transparency and more comparable information about an entity’s exposure to climate-related financial risks and opportunities and climate-related plans and strategies.</w:t>
            </w:r>
          </w:p>
        </w:tc>
      </w:tr>
      <w:tr w:rsidR="00A2016E" w14:paraId="40E246CD" w14:textId="4602815C" w:rsidTr="00A218B8">
        <w:trPr>
          <w:cnfStyle w:val="000000010000" w:firstRow="0" w:lastRow="0" w:firstColumn="0" w:lastColumn="0" w:oddVBand="0" w:evenVBand="0" w:oddHBand="0" w:evenHBand="1"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305" w:type="dxa"/>
            <w:hideMark/>
          </w:tcPr>
          <w:p w14:paraId="3EA7A691" w14:textId="77777777" w:rsidR="00A2016E" w:rsidRPr="00F27FB7" w:rsidRDefault="00A2016E" w:rsidP="00C177AE">
            <w:pPr>
              <w:rPr>
                <w:rStyle w:val="Strong"/>
                <w:rFonts w:asciiTheme="minorHAnsi" w:eastAsia="Cambria" w:hAnsiTheme="minorHAnsi" w:cstheme="minorHAnsi"/>
                <w:b w:val="0"/>
              </w:rPr>
            </w:pPr>
            <w:r w:rsidRPr="00F27FB7">
              <w:rPr>
                <w:rStyle w:val="Strong"/>
                <w:rFonts w:asciiTheme="minorHAnsi" w:eastAsia="Cambria" w:hAnsiTheme="minorHAnsi" w:cstheme="minorHAnsi"/>
              </w:rPr>
              <w:t>Scheme coverage</w:t>
            </w:r>
          </w:p>
        </w:tc>
        <w:tc>
          <w:tcPr>
            <w:tcW w:w="2803" w:type="dxa"/>
            <w:hideMark/>
          </w:tcPr>
          <w:p w14:paraId="40ADCDC3" w14:textId="6A88F760" w:rsidR="00A2016E" w:rsidRPr="00F27FB7" w:rsidRDefault="00A2016E" w:rsidP="00597FD7">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Voluntary certification available for businesses.</w:t>
            </w:r>
          </w:p>
        </w:tc>
        <w:tc>
          <w:tcPr>
            <w:tcW w:w="2977" w:type="dxa"/>
            <w:hideMark/>
          </w:tcPr>
          <w:p w14:paraId="66BB7772" w14:textId="77777777" w:rsidR="00A2016E" w:rsidRPr="00F27FB7" w:rsidRDefault="00A2016E" w:rsidP="00C177AE">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Voluntary participation for NGER participants above the reporting threshold (50kt combined scope 1 and scope 2 emissions)</w:t>
            </w:r>
          </w:p>
        </w:tc>
        <w:tc>
          <w:tcPr>
            <w:tcW w:w="2977" w:type="dxa"/>
          </w:tcPr>
          <w:p w14:paraId="5F0089E5" w14:textId="05ABD96C" w:rsidR="00F32804" w:rsidRPr="00F27FB7" w:rsidRDefault="00F32804" w:rsidP="00F32804">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Large entities that are required to prepare and lodge annual reports under Chapter 2M of the Corporations Act will be required to disclose information about climate-related risks and </w:t>
            </w:r>
          </w:p>
          <w:p w14:paraId="74FB45DC" w14:textId="77777777" w:rsidR="00A2016E" w:rsidRPr="00F27FB7" w:rsidRDefault="00F32804" w:rsidP="001A2601">
            <w:pPr>
              <w:spacing w:after="120"/>
              <w:contextualSpacing w:val="0"/>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opportunities. </w:t>
            </w:r>
          </w:p>
          <w:p w14:paraId="69298DF8" w14:textId="0E473317" w:rsidR="004D3DB2" w:rsidRPr="00F27FB7" w:rsidRDefault="00766F7B" w:rsidP="001A2601">
            <w:pPr>
              <w:spacing w:after="120"/>
              <w:contextualSpacing w:val="0"/>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color w:val="262626" w:themeColor="text1" w:themeTint="D9"/>
                <w:sz w:val="20"/>
                <w:szCs w:val="20"/>
                <w:lang w:eastAsia="en-US"/>
              </w:rPr>
            </w:pPr>
            <w:r w:rsidRPr="00F27FB7">
              <w:rPr>
                <w:rFonts w:asciiTheme="minorHAnsi" w:hAnsiTheme="minorHAnsi" w:cstheme="minorHAnsi"/>
              </w:rPr>
              <w:t>Coverage will be</w:t>
            </w:r>
            <w:r w:rsidR="009B6E85" w:rsidRPr="00F27FB7">
              <w:rPr>
                <w:rFonts w:asciiTheme="minorHAnsi" w:hAnsiTheme="minorHAnsi" w:cstheme="minorHAnsi"/>
              </w:rPr>
              <w:t xml:space="preserve"> </w:t>
            </w:r>
            <w:r w:rsidRPr="00F27FB7">
              <w:rPr>
                <w:rFonts w:asciiTheme="minorHAnsi" w:hAnsiTheme="minorHAnsi" w:cstheme="minorHAnsi"/>
              </w:rPr>
              <w:t>phased</w:t>
            </w:r>
            <w:r w:rsidR="009B6E85" w:rsidRPr="00F27FB7">
              <w:rPr>
                <w:rFonts w:asciiTheme="minorHAnsi" w:hAnsiTheme="minorHAnsi" w:cstheme="minorHAnsi"/>
              </w:rPr>
              <w:t xml:space="preserve"> </w:t>
            </w:r>
            <w:r w:rsidR="004D3DB2" w:rsidRPr="00F27FB7">
              <w:rPr>
                <w:rFonts w:asciiTheme="minorHAnsi" w:hAnsiTheme="minorHAnsi" w:cstheme="minorHAnsi"/>
              </w:rPr>
              <w:t xml:space="preserve">subject to </w:t>
            </w:r>
            <w:r w:rsidR="00B52917" w:rsidRPr="00F27FB7">
              <w:rPr>
                <w:rFonts w:asciiTheme="minorHAnsi" w:hAnsiTheme="minorHAnsi" w:cstheme="minorHAnsi"/>
              </w:rPr>
              <w:t xml:space="preserve">entity </w:t>
            </w:r>
            <w:r w:rsidR="000927FA" w:rsidRPr="00F27FB7">
              <w:rPr>
                <w:rFonts w:asciiTheme="minorHAnsi" w:hAnsiTheme="minorHAnsi" w:cstheme="minorHAnsi"/>
              </w:rPr>
              <w:t>size (revenue</w:t>
            </w:r>
            <w:r w:rsidR="006A3914" w:rsidRPr="00F27FB7">
              <w:rPr>
                <w:rFonts w:asciiTheme="minorHAnsi" w:hAnsiTheme="minorHAnsi" w:cstheme="minorHAnsi"/>
              </w:rPr>
              <w:t>/gross assets/</w:t>
            </w:r>
            <w:r w:rsidR="00C66D8E" w:rsidRPr="00F27FB7">
              <w:rPr>
                <w:rFonts w:asciiTheme="minorHAnsi" w:hAnsiTheme="minorHAnsi" w:cstheme="minorHAnsi"/>
              </w:rPr>
              <w:t>employee numbers)</w:t>
            </w:r>
            <w:r w:rsidR="00B52917" w:rsidRPr="00F27FB7">
              <w:rPr>
                <w:rFonts w:asciiTheme="minorHAnsi" w:hAnsiTheme="minorHAnsi" w:cstheme="minorHAnsi"/>
              </w:rPr>
              <w:t xml:space="preserve"> </w:t>
            </w:r>
            <w:r w:rsidR="004D3DB2" w:rsidRPr="00F27FB7">
              <w:rPr>
                <w:rFonts w:asciiTheme="minorHAnsi" w:hAnsiTheme="minorHAnsi" w:cstheme="minorHAnsi"/>
              </w:rPr>
              <w:t>over a four-year period</w:t>
            </w:r>
            <w:r w:rsidR="006F48B8" w:rsidRPr="00F27FB7">
              <w:rPr>
                <w:rFonts w:asciiTheme="minorHAnsi" w:hAnsiTheme="minorHAnsi" w:cstheme="minorHAnsi"/>
              </w:rPr>
              <w:t>.</w:t>
            </w:r>
          </w:p>
        </w:tc>
      </w:tr>
      <w:tr w:rsidR="00696317" w14:paraId="7F246288" w14:textId="06F76A05" w:rsidTr="00A218B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0" w:type="dxa"/>
            <w:hideMark/>
          </w:tcPr>
          <w:p w14:paraId="43C30003" w14:textId="77777777" w:rsidR="00A2016E" w:rsidRPr="00F27FB7" w:rsidRDefault="00A2016E" w:rsidP="00C177AE">
            <w:pPr>
              <w:rPr>
                <w:rStyle w:val="Strong"/>
                <w:rFonts w:asciiTheme="minorHAnsi" w:eastAsia="Cambria" w:hAnsiTheme="minorHAnsi" w:cstheme="minorHAnsi"/>
                <w:b w:val="0"/>
              </w:rPr>
            </w:pPr>
            <w:r w:rsidRPr="00F27FB7">
              <w:rPr>
                <w:rStyle w:val="Strong"/>
                <w:rFonts w:asciiTheme="minorHAnsi" w:eastAsia="Cambria" w:hAnsiTheme="minorHAnsi" w:cstheme="minorHAnsi"/>
              </w:rPr>
              <w:t>Similarities to GO scheme</w:t>
            </w:r>
          </w:p>
        </w:tc>
        <w:tc>
          <w:tcPr>
            <w:tcW w:w="0" w:type="dxa"/>
            <w:hideMark/>
          </w:tcPr>
          <w:p w14:paraId="2AE44F41" w14:textId="48917779" w:rsidR="00A2016E" w:rsidRPr="00F27FB7" w:rsidRDefault="00DF5AF6" w:rsidP="00DC566A">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color w:val="262626" w:themeColor="text1" w:themeTint="D9"/>
                <w:sz w:val="20"/>
                <w:szCs w:val="20"/>
                <w:lang w:eastAsia="en-US"/>
              </w:rPr>
            </w:pPr>
            <w:r w:rsidRPr="00F27FB7">
              <w:rPr>
                <w:rStyle w:val="Strong"/>
                <w:rFonts w:asciiTheme="minorHAnsi" w:eastAsia="Cambria" w:hAnsiTheme="minorHAnsi" w:cstheme="minorHAnsi"/>
                <w:b w:val="0"/>
                <w:bCs w:val="0"/>
              </w:rPr>
              <w:t>Climate Active and GO scheme both require emissions accounting.</w:t>
            </w:r>
          </w:p>
        </w:tc>
        <w:tc>
          <w:tcPr>
            <w:tcW w:w="0" w:type="dxa"/>
            <w:hideMark/>
          </w:tcPr>
          <w:p w14:paraId="1CD4961D" w14:textId="77777777" w:rsidR="003952DD" w:rsidRPr="00F27FB7" w:rsidRDefault="003952DD" w:rsidP="003952DD">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Enables market-based scope 2 emissions and renewable electricity use reporting to support companies who are looking to demonstrate performance against their emissions reduction and renewable electricity targets. </w:t>
            </w:r>
          </w:p>
          <w:p w14:paraId="75F97C59" w14:textId="44E2848B" w:rsidR="00A2016E" w:rsidRPr="00F27FB7" w:rsidRDefault="003952DD" w:rsidP="00DC566A">
            <w:pPr>
              <w:spacing w:before="100" w:beforeAutospacing="1" w:afterAutospacing="1"/>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color w:val="262626" w:themeColor="text1" w:themeTint="D9"/>
                <w:sz w:val="20"/>
                <w:szCs w:val="20"/>
                <w:lang w:eastAsia="en-US"/>
              </w:rPr>
            </w:pPr>
            <w:r w:rsidRPr="00F27FB7">
              <w:rPr>
                <w:rStyle w:val="Strong"/>
                <w:rFonts w:asciiTheme="minorHAnsi" w:eastAsia="Cambria" w:hAnsiTheme="minorHAnsi" w:cstheme="minorHAnsi"/>
                <w:b w:val="0"/>
                <w:bCs w:val="0"/>
              </w:rPr>
              <w:t>Covers NGER controlling corporations</w:t>
            </w:r>
          </w:p>
        </w:tc>
        <w:tc>
          <w:tcPr>
            <w:tcW w:w="0" w:type="dxa"/>
          </w:tcPr>
          <w:p w14:paraId="36AB60EF" w14:textId="4369A868" w:rsidR="003B50C7" w:rsidRPr="00F27FB7" w:rsidRDefault="004C7FCB" w:rsidP="003B50C7">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Both schemes seek to p</w:t>
            </w:r>
            <w:r w:rsidR="00937D72" w:rsidRPr="00F27FB7">
              <w:rPr>
                <w:rStyle w:val="Strong"/>
                <w:rFonts w:asciiTheme="minorHAnsi" w:eastAsia="Cambria" w:hAnsiTheme="minorHAnsi" w:cstheme="minorHAnsi"/>
                <w:b w:val="0"/>
                <w:bCs w:val="0"/>
              </w:rPr>
              <w:t xml:space="preserve">rovide </w:t>
            </w:r>
            <w:r w:rsidR="006C656C" w:rsidRPr="00F27FB7">
              <w:rPr>
                <w:rStyle w:val="Strong"/>
                <w:rFonts w:asciiTheme="minorHAnsi" w:eastAsia="Cambria" w:hAnsiTheme="minorHAnsi" w:cstheme="minorHAnsi"/>
                <w:b w:val="0"/>
                <w:bCs w:val="0"/>
              </w:rPr>
              <w:t xml:space="preserve">transparency </w:t>
            </w:r>
            <w:r w:rsidR="003B4A0F" w:rsidRPr="00F27FB7">
              <w:rPr>
                <w:rStyle w:val="Strong"/>
                <w:rFonts w:asciiTheme="minorHAnsi" w:eastAsia="Cambria" w:hAnsiTheme="minorHAnsi" w:cstheme="minorHAnsi"/>
                <w:b w:val="0"/>
                <w:bCs w:val="0"/>
              </w:rPr>
              <w:t xml:space="preserve">and </w:t>
            </w:r>
            <w:r w:rsidRPr="00F27FB7">
              <w:rPr>
                <w:rStyle w:val="Strong"/>
                <w:rFonts w:asciiTheme="minorHAnsi" w:eastAsia="Cambria" w:hAnsiTheme="minorHAnsi" w:cstheme="minorHAnsi"/>
                <w:b w:val="0"/>
                <w:bCs w:val="0"/>
              </w:rPr>
              <w:t xml:space="preserve">help support </w:t>
            </w:r>
            <w:r w:rsidR="003B50C7" w:rsidRPr="00F27FB7">
              <w:rPr>
                <w:rStyle w:val="Strong"/>
                <w:rFonts w:asciiTheme="minorHAnsi" w:eastAsia="Cambria" w:hAnsiTheme="minorHAnsi" w:cstheme="minorHAnsi"/>
                <w:b w:val="0"/>
                <w:bCs w:val="0"/>
              </w:rPr>
              <w:t xml:space="preserve">Australia’s reputation as an attractive destination for international capital, and help draw the investment required </w:t>
            </w:r>
          </w:p>
          <w:p w14:paraId="5CAAEEEC" w14:textId="35B3947E" w:rsidR="00AF4F90" w:rsidRPr="00F27FB7" w:rsidRDefault="003B50C7" w:rsidP="00AF4F90">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for the transition to net zero.</w:t>
            </w:r>
          </w:p>
        </w:tc>
      </w:tr>
      <w:tr w:rsidR="009A3527" w14:paraId="1672F169" w14:textId="4DA0FCD4" w:rsidTr="00A218B8">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1305" w:type="dxa"/>
            <w:hideMark/>
          </w:tcPr>
          <w:p w14:paraId="31E4F384" w14:textId="77777777" w:rsidR="009A3527" w:rsidRPr="00F27FB7" w:rsidRDefault="009A3527" w:rsidP="009A3527">
            <w:pPr>
              <w:rPr>
                <w:rStyle w:val="Strong"/>
                <w:rFonts w:asciiTheme="minorHAnsi" w:eastAsia="Cambria" w:hAnsiTheme="minorHAnsi" w:cstheme="minorHAnsi"/>
                <w:b w:val="0"/>
              </w:rPr>
            </w:pPr>
            <w:r w:rsidRPr="00F27FB7">
              <w:rPr>
                <w:rStyle w:val="Strong"/>
                <w:rFonts w:asciiTheme="minorHAnsi" w:eastAsia="Cambria" w:hAnsiTheme="minorHAnsi" w:cstheme="minorHAnsi"/>
              </w:rPr>
              <w:lastRenderedPageBreak/>
              <w:t xml:space="preserve">Differences to GO scheme </w:t>
            </w:r>
          </w:p>
        </w:tc>
        <w:tc>
          <w:tcPr>
            <w:tcW w:w="2803" w:type="dxa"/>
            <w:hideMark/>
          </w:tcPr>
          <w:p w14:paraId="3553764D" w14:textId="77777777" w:rsidR="00317A64" w:rsidRPr="00F27FB7" w:rsidRDefault="00317A64">
            <w:pPr>
              <w:spacing w:before="120"/>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 xml:space="preserve">Climate Active currently only certifies carbon neutral claims that meet the requirements of the Climate Active Carbon Neutral Standard. </w:t>
            </w:r>
          </w:p>
          <w:p w14:paraId="50127A09" w14:textId="6FB95DE1" w:rsidR="009A3527" w:rsidRPr="00F27FB7" w:rsidRDefault="00317A64" w:rsidP="00317A64">
            <w:pPr>
              <w:spacing w:before="120"/>
              <w:contextualSpacing w:val="0"/>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color w:val="262626" w:themeColor="text1" w:themeTint="D9"/>
                <w:sz w:val="20"/>
                <w:szCs w:val="20"/>
                <w:lang w:eastAsia="en-US"/>
              </w:rPr>
            </w:pPr>
            <w:r w:rsidRPr="00F27FB7">
              <w:rPr>
                <w:rStyle w:val="Strong"/>
                <w:rFonts w:asciiTheme="minorHAnsi" w:eastAsia="Cambria" w:hAnsiTheme="minorHAnsi" w:cstheme="minorHAnsi"/>
                <w:b w:val="0"/>
                <w:bCs w:val="0"/>
              </w:rPr>
              <w:t xml:space="preserve">Climate Active is currently open to a range of organisations, products, services, buildings, events and precincts. Following certification, businesses can use a trade mark (subject to approval) to communicate their claim to consumers. </w:t>
            </w:r>
          </w:p>
        </w:tc>
        <w:tc>
          <w:tcPr>
            <w:tcW w:w="2977" w:type="dxa"/>
            <w:hideMark/>
          </w:tcPr>
          <w:p w14:paraId="6FE099A3" w14:textId="2F859C8E" w:rsidR="009A3527" w:rsidRPr="00F27FB7" w:rsidRDefault="009A3527" w:rsidP="009A3527">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Fonts w:asciiTheme="minorHAnsi" w:hAnsiTheme="minorHAnsi" w:cstheme="minorHAnsi"/>
              </w:rPr>
              <w:t>GO certificates may be recognised in future to the same extent that they would be under NGER. However, under current arrangements NGER covers scope 1 and 2 emissions only, while a GO certificate captures emissions generated outside of the facility emissions boundary, i.e. scope 3 emissions from the perspective of the consuming NGER facility, the two would not intersect in a carbon accounting sense. There may be appetite in future to accept GO certificates towards evidencing against scope 3 targets in CERT.</w:t>
            </w:r>
          </w:p>
        </w:tc>
        <w:tc>
          <w:tcPr>
            <w:tcW w:w="2977" w:type="dxa"/>
          </w:tcPr>
          <w:p w14:paraId="028EA503" w14:textId="131AD976" w:rsidR="00877052" w:rsidRPr="00F27FB7" w:rsidRDefault="00877052" w:rsidP="009A3527">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Climate related financial disclosures</w:t>
            </w:r>
            <w:r w:rsidR="00F76BFB" w:rsidRPr="00F27FB7">
              <w:rPr>
                <w:rStyle w:val="Strong"/>
                <w:rFonts w:asciiTheme="minorHAnsi" w:eastAsia="Cambria" w:hAnsiTheme="minorHAnsi" w:cstheme="minorHAnsi"/>
                <w:b w:val="0"/>
                <w:bCs w:val="0"/>
              </w:rPr>
              <w:t xml:space="preserve"> </w:t>
            </w:r>
            <w:r w:rsidR="00F908F8" w:rsidRPr="00F27FB7">
              <w:rPr>
                <w:rStyle w:val="Strong"/>
                <w:rFonts w:asciiTheme="minorHAnsi" w:eastAsia="Cambria" w:hAnsiTheme="minorHAnsi" w:cstheme="minorHAnsi"/>
                <w:b w:val="0"/>
                <w:bCs w:val="0"/>
              </w:rPr>
              <w:t xml:space="preserve">are </w:t>
            </w:r>
            <w:r w:rsidRPr="00F27FB7">
              <w:rPr>
                <w:rStyle w:val="Strong"/>
                <w:rFonts w:asciiTheme="minorHAnsi" w:eastAsia="Cambria" w:hAnsiTheme="minorHAnsi" w:cstheme="minorHAnsi"/>
                <w:b w:val="0"/>
                <w:bCs w:val="0"/>
              </w:rPr>
              <w:t xml:space="preserve">more focused on </w:t>
            </w:r>
            <w:r w:rsidR="00F908F8" w:rsidRPr="00F27FB7">
              <w:rPr>
                <w:rStyle w:val="Strong"/>
                <w:rFonts w:asciiTheme="minorHAnsi" w:eastAsia="Cambria" w:hAnsiTheme="minorHAnsi" w:cstheme="minorHAnsi"/>
                <w:b w:val="0"/>
                <w:bCs w:val="0"/>
              </w:rPr>
              <w:t xml:space="preserve">organisational </w:t>
            </w:r>
            <w:r w:rsidRPr="00F27FB7">
              <w:rPr>
                <w:rStyle w:val="Strong"/>
                <w:rFonts w:asciiTheme="minorHAnsi" w:eastAsia="Cambria" w:hAnsiTheme="minorHAnsi" w:cstheme="minorHAnsi"/>
                <w:b w:val="0"/>
                <w:bCs w:val="0"/>
              </w:rPr>
              <w:t>governance and risk</w:t>
            </w:r>
          </w:p>
          <w:p w14:paraId="6AAC97D3" w14:textId="77777777" w:rsidR="00877052" w:rsidRPr="00F27FB7" w:rsidRDefault="00877052" w:rsidP="009A3527">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p>
          <w:p w14:paraId="34103B91" w14:textId="62E926BD" w:rsidR="009A3527" w:rsidRPr="00F27FB7" w:rsidRDefault="00AF4F90" w:rsidP="00C97224">
            <w:pPr>
              <w:cnfStyle w:val="000000010000" w:firstRow="0" w:lastRow="0" w:firstColumn="0" w:lastColumn="0" w:oddVBand="0" w:evenVBand="0" w:oddHBand="0" w:evenHBand="1"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While both schemes cover scope 1, 2 and 3 emissions</w:t>
            </w:r>
            <w:r w:rsidR="000B730A" w:rsidRPr="00F27FB7">
              <w:rPr>
                <w:rStyle w:val="Strong"/>
                <w:rFonts w:asciiTheme="minorHAnsi" w:eastAsia="Cambria" w:hAnsiTheme="minorHAnsi" w:cstheme="minorHAnsi"/>
                <w:b w:val="0"/>
                <w:bCs w:val="0"/>
              </w:rPr>
              <w:t>,</w:t>
            </w:r>
            <w:r w:rsidRPr="00F27FB7">
              <w:rPr>
                <w:rStyle w:val="Strong"/>
                <w:rFonts w:asciiTheme="minorHAnsi" w:eastAsia="Cambria" w:hAnsiTheme="minorHAnsi" w:cstheme="minorHAnsi"/>
                <w:b w:val="0"/>
                <w:bCs w:val="0"/>
              </w:rPr>
              <w:t xml:space="preserve"> </w:t>
            </w:r>
            <w:r w:rsidR="00453FBC" w:rsidRPr="00F27FB7">
              <w:rPr>
                <w:rStyle w:val="Strong"/>
                <w:rFonts w:asciiTheme="minorHAnsi" w:eastAsia="Cambria" w:hAnsiTheme="minorHAnsi" w:cstheme="minorHAnsi"/>
                <w:b w:val="0"/>
                <w:bCs w:val="0"/>
              </w:rPr>
              <w:t xml:space="preserve">climate-related </w:t>
            </w:r>
            <w:r w:rsidR="00C97224" w:rsidRPr="00F27FB7">
              <w:rPr>
                <w:rStyle w:val="Strong"/>
                <w:rFonts w:asciiTheme="minorHAnsi" w:eastAsia="Cambria" w:hAnsiTheme="minorHAnsi" w:cstheme="minorHAnsi"/>
                <w:b w:val="0"/>
                <w:bCs w:val="0"/>
              </w:rPr>
              <w:t xml:space="preserve">financial disclosures record </w:t>
            </w:r>
            <w:r w:rsidR="00CE77F9" w:rsidRPr="00F27FB7">
              <w:rPr>
                <w:rStyle w:val="Strong"/>
                <w:rFonts w:asciiTheme="minorHAnsi" w:eastAsia="Cambria" w:hAnsiTheme="minorHAnsi" w:cstheme="minorHAnsi"/>
                <w:b w:val="0"/>
                <w:bCs w:val="0"/>
              </w:rPr>
              <w:t xml:space="preserve">emissions information </w:t>
            </w:r>
            <w:r w:rsidR="00C97224" w:rsidRPr="00F27FB7">
              <w:rPr>
                <w:rStyle w:val="Strong"/>
                <w:rFonts w:asciiTheme="minorHAnsi" w:eastAsia="Cambria" w:hAnsiTheme="minorHAnsi" w:cstheme="minorHAnsi"/>
                <w:b w:val="0"/>
                <w:bCs w:val="0"/>
              </w:rPr>
              <w:t xml:space="preserve">against targets </w:t>
            </w:r>
            <w:r w:rsidR="00EA1304" w:rsidRPr="00F27FB7">
              <w:rPr>
                <w:rStyle w:val="Strong"/>
                <w:rFonts w:asciiTheme="minorHAnsi" w:eastAsia="Cambria" w:hAnsiTheme="minorHAnsi" w:cstheme="minorHAnsi"/>
                <w:b w:val="0"/>
                <w:bCs w:val="0"/>
              </w:rPr>
              <w:t xml:space="preserve">(among other things) </w:t>
            </w:r>
            <w:r w:rsidR="00C97224" w:rsidRPr="00F27FB7">
              <w:rPr>
                <w:rStyle w:val="Strong"/>
                <w:rFonts w:asciiTheme="minorHAnsi" w:eastAsia="Cambria" w:hAnsiTheme="minorHAnsi" w:cstheme="minorHAnsi"/>
                <w:b w:val="0"/>
                <w:bCs w:val="0"/>
              </w:rPr>
              <w:t xml:space="preserve">where </w:t>
            </w:r>
            <w:r w:rsidR="00455EEE" w:rsidRPr="00F27FB7">
              <w:rPr>
                <w:rStyle w:val="Strong"/>
                <w:rFonts w:asciiTheme="minorHAnsi" w:eastAsia="Cambria" w:hAnsiTheme="minorHAnsi" w:cstheme="minorHAnsi"/>
                <w:b w:val="0"/>
                <w:bCs w:val="0"/>
              </w:rPr>
              <w:t>product</w:t>
            </w:r>
            <w:r w:rsidR="00C97224" w:rsidRPr="00F27FB7">
              <w:rPr>
                <w:rStyle w:val="Strong"/>
                <w:rFonts w:asciiTheme="minorHAnsi" w:eastAsia="Cambria" w:hAnsiTheme="minorHAnsi" w:cstheme="minorHAnsi"/>
                <w:b w:val="0"/>
                <w:bCs w:val="0"/>
              </w:rPr>
              <w:t xml:space="preserve"> GO </w:t>
            </w:r>
            <w:r w:rsidR="00455EEE" w:rsidRPr="00F27FB7">
              <w:rPr>
                <w:rStyle w:val="Strong"/>
                <w:rFonts w:asciiTheme="minorHAnsi" w:eastAsia="Cambria" w:hAnsiTheme="minorHAnsi" w:cstheme="minorHAnsi"/>
                <w:b w:val="0"/>
                <w:bCs w:val="0"/>
              </w:rPr>
              <w:t>certificates are</w:t>
            </w:r>
            <w:r w:rsidR="00C97224" w:rsidRPr="00F27FB7">
              <w:rPr>
                <w:rStyle w:val="Strong"/>
                <w:rFonts w:asciiTheme="minorHAnsi" w:eastAsia="Cambria" w:hAnsiTheme="minorHAnsi" w:cstheme="minorHAnsi"/>
                <w:b w:val="0"/>
                <w:bCs w:val="0"/>
              </w:rPr>
              <w:t xml:space="preserve"> focussed on </w:t>
            </w:r>
            <w:r w:rsidR="006459A0" w:rsidRPr="00F27FB7">
              <w:rPr>
                <w:rStyle w:val="Strong"/>
                <w:rFonts w:asciiTheme="minorHAnsi" w:eastAsia="Cambria" w:hAnsiTheme="minorHAnsi" w:cstheme="minorHAnsi"/>
                <w:b w:val="0"/>
                <w:bCs w:val="0"/>
              </w:rPr>
              <w:t xml:space="preserve">the emissions associated with </w:t>
            </w:r>
            <w:r w:rsidR="00C97224" w:rsidRPr="00F27FB7">
              <w:rPr>
                <w:rStyle w:val="Strong"/>
                <w:rFonts w:asciiTheme="minorHAnsi" w:eastAsia="Cambria" w:hAnsiTheme="minorHAnsi" w:cstheme="minorHAnsi"/>
                <w:b w:val="0"/>
                <w:bCs w:val="0"/>
              </w:rPr>
              <w:t>products.</w:t>
            </w:r>
            <w:r w:rsidR="009A3527" w:rsidRPr="00F27FB7">
              <w:rPr>
                <w:rStyle w:val="Strong"/>
                <w:rFonts w:asciiTheme="minorHAnsi" w:eastAsia="Cambria" w:hAnsiTheme="minorHAnsi" w:cstheme="minorHAnsi"/>
                <w:b w:val="0"/>
                <w:bCs w:val="0"/>
              </w:rPr>
              <w:t xml:space="preserve"> </w:t>
            </w:r>
          </w:p>
        </w:tc>
      </w:tr>
      <w:tr w:rsidR="00696317" w14:paraId="38AB522C" w14:textId="71F40717" w:rsidTr="00A218B8">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0" w:type="dxa"/>
            <w:hideMark/>
          </w:tcPr>
          <w:p w14:paraId="52A411E6" w14:textId="77777777" w:rsidR="009A3527" w:rsidRPr="00F27FB7" w:rsidRDefault="009A3527" w:rsidP="009A3527">
            <w:pPr>
              <w:rPr>
                <w:rStyle w:val="Strong"/>
                <w:rFonts w:asciiTheme="minorHAnsi" w:eastAsia="Cambria" w:hAnsiTheme="minorHAnsi" w:cstheme="minorHAnsi"/>
                <w:b w:val="0"/>
              </w:rPr>
            </w:pPr>
            <w:r w:rsidRPr="00F27FB7">
              <w:rPr>
                <w:rStyle w:val="Strong"/>
                <w:rFonts w:asciiTheme="minorHAnsi" w:eastAsia="Cambria" w:hAnsiTheme="minorHAnsi" w:cstheme="minorHAnsi"/>
              </w:rPr>
              <w:t>Interactions with GO scheme</w:t>
            </w:r>
          </w:p>
        </w:tc>
        <w:tc>
          <w:tcPr>
            <w:tcW w:w="0" w:type="dxa"/>
          </w:tcPr>
          <w:p w14:paraId="35D5C1AA" w14:textId="080F7C7A" w:rsidR="009A3527" w:rsidRPr="00F27FB7" w:rsidRDefault="0028416B" w:rsidP="0020137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7FB7">
              <w:rPr>
                <w:rStyle w:val="Strong"/>
                <w:rFonts w:asciiTheme="minorHAnsi" w:eastAsia="Cambria" w:hAnsiTheme="minorHAnsi" w:cstheme="minorHAnsi"/>
                <w:b w:val="0"/>
                <w:bCs w:val="0"/>
              </w:rPr>
              <w:t xml:space="preserve">Subject to future decisions and implementation, emissions information produced under the GO scheme may be able to be used as part of a business’ reporting under Climate Active. </w:t>
            </w:r>
          </w:p>
        </w:tc>
        <w:tc>
          <w:tcPr>
            <w:tcW w:w="0" w:type="dxa"/>
            <w:hideMark/>
          </w:tcPr>
          <w:p w14:paraId="64735C5D" w14:textId="24E7BE8C" w:rsidR="009A3527" w:rsidRPr="00F27FB7" w:rsidRDefault="009A3527" w:rsidP="009A3527">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Fonts w:asciiTheme="minorHAnsi" w:hAnsiTheme="minorHAnsi" w:cstheme="minorHAnsi"/>
              </w:rPr>
              <w:t xml:space="preserve">GO certificates may be recognised in </w:t>
            </w:r>
            <w:r w:rsidR="00D078C4" w:rsidRPr="00F27FB7">
              <w:rPr>
                <w:rFonts w:asciiTheme="minorHAnsi" w:hAnsiTheme="minorHAnsi" w:cstheme="minorHAnsi"/>
              </w:rPr>
              <w:t>the</w:t>
            </w:r>
            <w:r w:rsidRPr="00F27FB7">
              <w:rPr>
                <w:rFonts w:asciiTheme="minorHAnsi" w:hAnsiTheme="minorHAnsi" w:cstheme="minorHAnsi"/>
              </w:rPr>
              <w:t xml:space="preserve"> future </w:t>
            </w:r>
            <w:r w:rsidR="00D078C4" w:rsidRPr="00F27FB7">
              <w:rPr>
                <w:rFonts w:asciiTheme="minorHAnsi" w:hAnsiTheme="minorHAnsi" w:cstheme="minorHAnsi"/>
              </w:rPr>
              <w:t>as</w:t>
            </w:r>
            <w:r w:rsidRPr="00F27FB7" w:rsidDel="00D078C4">
              <w:rPr>
                <w:rFonts w:asciiTheme="minorHAnsi" w:hAnsiTheme="minorHAnsi" w:cstheme="minorHAnsi"/>
              </w:rPr>
              <w:t xml:space="preserve"> they </w:t>
            </w:r>
            <w:r w:rsidRPr="00F27FB7">
              <w:rPr>
                <w:rFonts w:asciiTheme="minorHAnsi" w:hAnsiTheme="minorHAnsi" w:cstheme="minorHAnsi"/>
              </w:rPr>
              <w:t xml:space="preserve">would under NGER. However, under current arrangements NGER covers scope 1 and 2 emissions only, while a GO certificate captures emissions generated outside of the facility emissions boundary, i.e. scope 3 emissions from the perspective of the consuming NGER facility, the two would not intersect in a carbon accounting sense. </w:t>
            </w:r>
          </w:p>
        </w:tc>
        <w:tc>
          <w:tcPr>
            <w:tcW w:w="0" w:type="dxa"/>
          </w:tcPr>
          <w:p w14:paraId="39C103DA" w14:textId="55A22F37" w:rsidR="009A3527" w:rsidRPr="00F27FB7" w:rsidRDefault="009A3527" w:rsidP="009A3527">
            <w:pPr>
              <w:cnfStyle w:val="000000100000" w:firstRow="0" w:lastRow="0" w:firstColumn="0" w:lastColumn="0" w:oddVBand="0" w:evenVBand="0" w:oddHBand="1" w:evenHBand="0" w:firstRowFirstColumn="0" w:firstRowLastColumn="0" w:lastRowFirstColumn="0" w:lastRowLastColumn="0"/>
              <w:rPr>
                <w:rStyle w:val="Strong"/>
                <w:rFonts w:asciiTheme="minorHAnsi" w:eastAsia="Cambria" w:hAnsiTheme="minorHAnsi" w:cstheme="minorHAnsi"/>
                <w:b w:val="0"/>
                <w:bCs w:val="0"/>
              </w:rPr>
            </w:pPr>
            <w:r w:rsidRPr="00F27FB7">
              <w:rPr>
                <w:rStyle w:val="Strong"/>
                <w:rFonts w:asciiTheme="minorHAnsi" w:eastAsia="Cambria" w:hAnsiTheme="minorHAnsi" w:cstheme="minorHAnsi"/>
                <w:b w:val="0"/>
                <w:bCs w:val="0"/>
              </w:rPr>
              <w:t>Reported GO scheme data may be used as an evidence base for an entity’s climate-related financial disclosures</w:t>
            </w:r>
            <w:r w:rsidR="00FA199D" w:rsidRPr="00F27FB7">
              <w:rPr>
                <w:rStyle w:val="Strong"/>
                <w:rFonts w:asciiTheme="minorHAnsi" w:eastAsia="Cambria" w:hAnsiTheme="minorHAnsi" w:cstheme="minorHAnsi"/>
                <w:b w:val="0"/>
                <w:bCs w:val="0"/>
              </w:rPr>
              <w:t xml:space="preserve"> regarding renewable electricity use or</w:t>
            </w:r>
            <w:r w:rsidR="004415C9" w:rsidRPr="00F27FB7">
              <w:rPr>
                <w:rStyle w:val="Strong"/>
                <w:rFonts w:asciiTheme="minorHAnsi" w:eastAsia="Cambria" w:hAnsiTheme="minorHAnsi" w:cstheme="minorHAnsi"/>
                <w:b w:val="0"/>
                <w:bCs w:val="0"/>
              </w:rPr>
              <w:t xml:space="preserve"> environmental attributes of products they use</w:t>
            </w:r>
            <w:r w:rsidRPr="00F27FB7">
              <w:rPr>
                <w:rStyle w:val="Strong"/>
                <w:rFonts w:asciiTheme="minorHAnsi" w:eastAsia="Cambria" w:hAnsiTheme="minorHAnsi" w:cstheme="minorHAnsi"/>
                <w:b w:val="0"/>
                <w:bCs w:val="0"/>
              </w:rPr>
              <w:t>.</w:t>
            </w:r>
          </w:p>
        </w:tc>
      </w:tr>
    </w:tbl>
    <w:p w14:paraId="1F18D7AA" w14:textId="0EA46E4F" w:rsidR="00CD3F5A" w:rsidRPr="00CD3F5A" w:rsidRDefault="00CD3F5A" w:rsidP="00DC566A">
      <w:pPr>
        <w:pStyle w:val="Caption"/>
      </w:pPr>
      <w:r>
        <w:rPr>
          <w:iCs w:val="0"/>
        </w:rPr>
        <w:br w:type="page"/>
      </w:r>
    </w:p>
    <w:p w14:paraId="6D03BF41" w14:textId="77777777" w:rsidR="006C2164" w:rsidRDefault="006C2164" w:rsidP="00993FD0">
      <w:pPr>
        <w:sectPr w:rsidR="006C2164" w:rsidSect="0004173E">
          <w:pgSz w:w="11907" w:h="16840"/>
          <w:pgMar w:top="1559" w:right="851" w:bottom="1701" w:left="851" w:header="567" w:footer="0" w:gutter="0"/>
          <w:cols w:space="708"/>
          <w:docGrid w:linePitch="360"/>
        </w:sectPr>
      </w:pPr>
    </w:p>
    <w:p w14:paraId="47F001F1" w14:textId="7E69B5EF" w:rsidR="003225CB" w:rsidRPr="00747E83" w:rsidRDefault="003225CB" w:rsidP="003225CB">
      <w:pPr>
        <w:keepNext/>
        <w:keepLines/>
        <w:outlineLvl w:val="0"/>
        <w:rPr>
          <w:rFonts w:ascii="Century Gothic" w:eastAsia="Calibri" w:hAnsi="Century Gothic" w:cs="Arial"/>
          <w:b/>
          <w:color w:val="014463"/>
          <w:sz w:val="36"/>
          <w:szCs w:val="36"/>
        </w:rPr>
      </w:pPr>
      <w:bookmarkStart w:id="52" w:name="_Toc359330659"/>
      <w:bookmarkStart w:id="53" w:name="_Toc175312092"/>
      <w:bookmarkStart w:id="54" w:name="_Toc114491239"/>
      <w:r w:rsidRPr="00747E83">
        <w:rPr>
          <w:rFonts w:ascii="Century Gothic" w:eastAsia="Calibri" w:hAnsi="Century Gothic" w:cs="Arial"/>
          <w:b/>
          <w:color w:val="014463" w:themeColor="accent2"/>
          <w:sz w:val="36"/>
          <w:szCs w:val="36"/>
        </w:rPr>
        <w:lastRenderedPageBreak/>
        <w:t xml:space="preserve">Appendix (ii) – Regulatory </w:t>
      </w:r>
      <w:r w:rsidR="002D0C16">
        <w:rPr>
          <w:rFonts w:ascii="Century Gothic" w:eastAsia="Calibri" w:hAnsi="Century Gothic" w:cs="Arial"/>
          <w:b/>
          <w:color w:val="014463" w:themeColor="accent2"/>
          <w:sz w:val="36"/>
          <w:szCs w:val="36"/>
        </w:rPr>
        <w:t>b</w:t>
      </w:r>
      <w:r w:rsidRPr="00747E83">
        <w:rPr>
          <w:rFonts w:ascii="Century Gothic" w:eastAsia="Calibri" w:hAnsi="Century Gothic" w:cs="Arial"/>
          <w:b/>
          <w:color w:val="014463" w:themeColor="accent2"/>
          <w:sz w:val="36"/>
          <w:szCs w:val="36"/>
        </w:rPr>
        <w:t xml:space="preserve">urden </w:t>
      </w:r>
      <w:r w:rsidR="002D0C16">
        <w:rPr>
          <w:rFonts w:ascii="Century Gothic" w:eastAsia="Calibri" w:hAnsi="Century Gothic" w:cs="Arial"/>
          <w:b/>
          <w:color w:val="014463" w:themeColor="accent2"/>
          <w:sz w:val="36"/>
          <w:szCs w:val="36"/>
        </w:rPr>
        <w:t>e</w:t>
      </w:r>
      <w:r w:rsidRPr="00747E83">
        <w:rPr>
          <w:rFonts w:ascii="Century Gothic" w:eastAsia="Calibri" w:hAnsi="Century Gothic" w:cs="Arial"/>
          <w:b/>
          <w:color w:val="014463" w:themeColor="accent2"/>
          <w:sz w:val="36"/>
          <w:szCs w:val="36"/>
        </w:rPr>
        <w:t>stimate</w:t>
      </w:r>
      <w:bookmarkEnd w:id="52"/>
      <w:bookmarkEnd w:id="53"/>
    </w:p>
    <w:p w14:paraId="5D8753B7" w14:textId="11B2CAAB" w:rsidR="003225CB" w:rsidRPr="00122196" w:rsidRDefault="003225CB" w:rsidP="00747E83">
      <w:pPr>
        <w:keepNext/>
        <w:keepLines/>
        <w:spacing w:before="120"/>
        <w:outlineLvl w:val="1"/>
        <w:rPr>
          <w:rFonts w:ascii="Century Gothic" w:eastAsia="Yu Gothic Light" w:hAnsi="Century Gothic" w:cs="Times New Roman"/>
          <w:b/>
          <w:color w:val="014463"/>
          <w:sz w:val="36"/>
          <w:szCs w:val="36"/>
        </w:rPr>
      </w:pPr>
      <w:bookmarkStart w:id="55" w:name="_Toc2043756947"/>
      <w:bookmarkStart w:id="56" w:name="_Toc165367225"/>
      <w:bookmarkStart w:id="57" w:name="_Toc174692338"/>
      <w:bookmarkStart w:id="58" w:name="_Toc175312093"/>
      <w:r w:rsidRPr="00122196">
        <w:rPr>
          <w:rFonts w:ascii="Calibri Light" w:eastAsia="Yu Gothic Light" w:hAnsi="Calibri Light" w:cs="Times New Roman"/>
          <w:b/>
          <w:color w:val="44546A"/>
          <w:sz w:val="36"/>
          <w:szCs w:val="36"/>
        </w:rPr>
        <w:t xml:space="preserve">Regulatory costs </w:t>
      </w:r>
      <w:bookmarkEnd w:id="54"/>
      <w:r w:rsidRPr="00122196">
        <w:rPr>
          <w:rFonts w:ascii="Calibri Light" w:eastAsia="Yu Gothic Light" w:hAnsi="Calibri Light" w:cs="Times New Roman"/>
          <w:b/>
          <w:color w:val="44546A"/>
          <w:sz w:val="36"/>
          <w:szCs w:val="36"/>
        </w:rPr>
        <w:t>of each implementation option</w:t>
      </w:r>
      <w:bookmarkEnd w:id="55"/>
      <w:bookmarkEnd w:id="56"/>
      <w:bookmarkEnd w:id="57"/>
      <w:bookmarkEnd w:id="58"/>
    </w:p>
    <w:p w14:paraId="2BA3732A" w14:textId="160D6E40" w:rsidR="003225CB" w:rsidRDefault="003225CB" w:rsidP="003225CB">
      <w:pPr>
        <w:rPr>
          <w:rFonts w:ascii="Calibri" w:eastAsia="Calibri" w:hAnsi="Calibri" w:cs="Arial"/>
          <w:color w:val="262626"/>
        </w:rPr>
      </w:pPr>
      <w:r w:rsidRPr="00122196">
        <w:rPr>
          <w:rFonts w:ascii="Calibri" w:eastAsia="Calibri" w:hAnsi="Calibri" w:cs="Arial"/>
          <w:color w:val="262626"/>
        </w:rPr>
        <w:t>This appendix includes estimates of the costs for options</w:t>
      </w:r>
      <w:r w:rsidR="007319BF">
        <w:rPr>
          <w:rFonts w:ascii="Calibri" w:eastAsia="Calibri" w:hAnsi="Calibri" w:cs="Arial"/>
          <w:color w:val="262626"/>
        </w:rPr>
        <w:t xml:space="preserve"> 2</w:t>
      </w:r>
      <w:r w:rsidRPr="00122196">
        <w:rPr>
          <w:rFonts w:ascii="Calibri" w:eastAsia="Calibri" w:hAnsi="Calibri" w:cs="Arial"/>
          <w:color w:val="262626"/>
        </w:rPr>
        <w:t xml:space="preserve"> and </w:t>
      </w:r>
      <w:r w:rsidR="007319BF">
        <w:rPr>
          <w:rFonts w:ascii="Calibri" w:eastAsia="Calibri" w:hAnsi="Calibri" w:cs="Arial"/>
          <w:color w:val="262626"/>
        </w:rPr>
        <w:t>3</w:t>
      </w:r>
      <w:r w:rsidR="007D6FCB">
        <w:rPr>
          <w:rFonts w:ascii="Calibri" w:eastAsia="Calibri" w:hAnsi="Calibri" w:cs="Arial"/>
          <w:color w:val="262626"/>
        </w:rPr>
        <w:t xml:space="preserve"> and</w:t>
      </w:r>
      <w:r w:rsidRPr="00122196">
        <w:rPr>
          <w:rFonts w:ascii="Calibri" w:eastAsia="Calibri" w:hAnsi="Calibri" w:cs="Arial"/>
          <w:color w:val="262626"/>
        </w:rPr>
        <w:t xml:space="preserve"> outlines </w:t>
      </w:r>
      <w:r w:rsidR="007D6FCB">
        <w:rPr>
          <w:rFonts w:ascii="Calibri" w:eastAsia="Calibri" w:hAnsi="Calibri" w:cs="Arial"/>
          <w:color w:val="262626"/>
        </w:rPr>
        <w:t xml:space="preserve">the </w:t>
      </w:r>
      <w:r w:rsidRPr="00122196">
        <w:rPr>
          <w:rFonts w:ascii="Calibri" w:eastAsia="Calibri" w:hAnsi="Calibri" w:cs="Arial"/>
          <w:color w:val="262626"/>
        </w:rPr>
        <w:t xml:space="preserve">key assumptions underpinning estimates and modelling. These estimates </w:t>
      </w:r>
      <w:r w:rsidR="00AD7B0A">
        <w:rPr>
          <w:rFonts w:ascii="Calibri" w:eastAsia="Calibri" w:hAnsi="Calibri" w:cs="Arial"/>
          <w:color w:val="262626"/>
        </w:rPr>
        <w:t>have been</w:t>
      </w:r>
      <w:r w:rsidRPr="00122196">
        <w:rPr>
          <w:rFonts w:ascii="Calibri" w:eastAsia="Calibri" w:hAnsi="Calibri" w:cs="Arial"/>
          <w:color w:val="262626"/>
        </w:rPr>
        <w:t xml:space="preserve"> used to compare net benefit of the two options against the status-quo (Option 1).</w:t>
      </w:r>
    </w:p>
    <w:p w14:paraId="6D4CACCF" w14:textId="313B8732" w:rsidR="00EB057E" w:rsidRDefault="00EB057E" w:rsidP="00E76953">
      <w:pPr>
        <w:spacing w:before="60" w:after="60"/>
        <w:rPr>
          <w:rFonts w:ascii="Calibri" w:eastAsia="Calibri" w:hAnsi="Calibri" w:cs="Mangal"/>
          <w:color w:val="262626"/>
          <w:lang w:val="en-GB"/>
        </w:rPr>
      </w:pPr>
      <w:r>
        <w:rPr>
          <w:rFonts w:ascii="Calibri" w:eastAsia="Calibri" w:hAnsi="Calibri" w:cs="Mangal"/>
          <w:color w:val="262626"/>
          <w:lang w:val="en-GB"/>
        </w:rPr>
        <w:t xml:space="preserve">There is no regulatory obligation for entities to comply with the quasi-regulatory (option 2) or regulatory (option 3) approaches proposed. This analysis </w:t>
      </w:r>
      <w:r w:rsidR="00253FBD">
        <w:rPr>
          <w:rFonts w:ascii="Calibri" w:eastAsia="Calibri" w:hAnsi="Calibri" w:cs="Mangal"/>
          <w:color w:val="262626"/>
          <w:lang w:val="en-GB"/>
        </w:rPr>
        <w:t>seeks</w:t>
      </w:r>
      <w:r>
        <w:rPr>
          <w:rFonts w:ascii="Calibri" w:eastAsia="Calibri" w:hAnsi="Calibri" w:cs="Mangal"/>
          <w:color w:val="262626"/>
          <w:lang w:val="en-GB"/>
        </w:rPr>
        <w:t xml:space="preserve"> to capture the impact on businesses who choose to comply because they have some </w:t>
      </w:r>
      <w:r w:rsidR="00FC3F7C">
        <w:rPr>
          <w:rFonts w:ascii="Calibri" w:eastAsia="Calibri" w:hAnsi="Calibri" w:cs="Mangal"/>
          <w:color w:val="262626"/>
          <w:lang w:val="en-GB"/>
        </w:rPr>
        <w:t xml:space="preserve">other </w:t>
      </w:r>
      <w:r w:rsidR="00701E00">
        <w:rPr>
          <w:rFonts w:ascii="Calibri" w:eastAsia="Calibri" w:hAnsi="Calibri" w:cs="Mangal"/>
          <w:color w:val="262626"/>
          <w:lang w:val="en-GB"/>
        </w:rPr>
        <w:t>motivation</w:t>
      </w:r>
      <w:r w:rsidR="00FC3F7C">
        <w:rPr>
          <w:rFonts w:ascii="Calibri" w:eastAsia="Calibri" w:hAnsi="Calibri" w:cs="Mangal"/>
          <w:color w:val="262626"/>
          <w:lang w:val="en-GB"/>
        </w:rPr>
        <w:t xml:space="preserve">, </w:t>
      </w:r>
      <w:r w:rsidR="001B0AA8">
        <w:rPr>
          <w:rFonts w:ascii="Calibri" w:eastAsia="Calibri" w:hAnsi="Calibri" w:cs="Mangal"/>
          <w:color w:val="262626"/>
          <w:lang w:val="en-GB"/>
        </w:rPr>
        <w:t xml:space="preserve">including to facilitate international trade or to </w:t>
      </w:r>
      <w:r w:rsidR="002118E5">
        <w:rPr>
          <w:rFonts w:ascii="Calibri" w:eastAsia="Calibri" w:hAnsi="Calibri" w:cs="Mangal"/>
          <w:color w:val="262626"/>
          <w:lang w:val="en-GB"/>
        </w:rPr>
        <w:t xml:space="preserve">extract a “green premium” for </w:t>
      </w:r>
      <w:r w:rsidR="00FC3F7C">
        <w:rPr>
          <w:rFonts w:ascii="Calibri" w:eastAsia="Calibri" w:hAnsi="Calibri" w:cs="Mangal"/>
          <w:color w:val="262626"/>
          <w:lang w:val="en-GB"/>
        </w:rPr>
        <w:t xml:space="preserve">low emissions products, as discussed in </w:t>
      </w:r>
      <w:r w:rsidR="00FC3F7C" w:rsidRPr="00E76953">
        <w:rPr>
          <w:rFonts w:ascii="Calibri" w:eastAsia="Calibri" w:hAnsi="Calibri" w:cs="Mangal"/>
          <w:b/>
          <w:bCs/>
          <w:color w:val="262626"/>
          <w:lang w:val="en-GB"/>
        </w:rPr>
        <w:t>Chapter 2</w:t>
      </w:r>
      <w:r w:rsidR="00FC3F7C">
        <w:rPr>
          <w:rFonts w:ascii="Calibri" w:eastAsia="Calibri" w:hAnsi="Calibri" w:cs="Mangal"/>
          <w:color w:val="262626"/>
          <w:lang w:val="en-GB"/>
        </w:rPr>
        <w:t>.</w:t>
      </w:r>
    </w:p>
    <w:p w14:paraId="3885EA60" w14:textId="77777777" w:rsidR="003225CB" w:rsidRPr="00122196" w:rsidRDefault="003225CB" w:rsidP="003225CB">
      <w:pPr>
        <w:keepNext/>
        <w:keepLines/>
        <w:spacing w:before="120" w:after="0"/>
        <w:outlineLvl w:val="0"/>
        <w:rPr>
          <w:rFonts w:ascii="Calibri Light" w:eastAsia="Yu Gothic Light" w:hAnsi="Calibri Light" w:cs="Times New Roman"/>
          <w:color w:val="2F5496"/>
          <w:sz w:val="32"/>
          <w:szCs w:val="32"/>
        </w:rPr>
      </w:pPr>
      <w:bookmarkStart w:id="59" w:name="_Toc1292778296"/>
      <w:bookmarkStart w:id="60" w:name="_Toc165367226"/>
      <w:bookmarkStart w:id="61" w:name="_Toc174692339"/>
      <w:bookmarkStart w:id="62" w:name="_Toc175312094"/>
      <w:r w:rsidRPr="00122196">
        <w:rPr>
          <w:rFonts w:ascii="Calibri Light" w:eastAsia="Yu Gothic Light" w:hAnsi="Calibri Light" w:cs="Times New Roman"/>
          <w:color w:val="2F5496"/>
          <w:sz w:val="32"/>
          <w:szCs w:val="32"/>
        </w:rPr>
        <w:t>Methodology</w:t>
      </w:r>
      <w:bookmarkEnd w:id="59"/>
      <w:bookmarkEnd w:id="60"/>
      <w:bookmarkEnd w:id="61"/>
      <w:bookmarkEnd w:id="62"/>
    </w:p>
    <w:p w14:paraId="047D2FBB" w14:textId="77777777" w:rsidR="003225CB" w:rsidRPr="00122196" w:rsidRDefault="003225CB" w:rsidP="003225CB">
      <w:pPr>
        <w:rPr>
          <w:rFonts w:ascii="Calibri" w:eastAsia="Calibri" w:hAnsi="Calibri" w:cs="Arial"/>
          <w:color w:val="262626"/>
        </w:rPr>
      </w:pPr>
      <w:r w:rsidRPr="00122196">
        <w:rPr>
          <w:rFonts w:ascii="Calibri" w:eastAsia="Calibri" w:hAnsi="Calibri" w:cs="Arial"/>
          <w:color w:val="262626"/>
        </w:rPr>
        <w:t xml:space="preserve">These estimates have been prepared consistent with the Australian Government Regulatory Burden Measurement Framework (RBMF). Administrative costs for each business activity are calculated hourly, based on an individual worker completing each step and the level of information required. Substantive compliance costs are expressed as an overall financial cost borne by participant businesses.    </w:t>
      </w:r>
    </w:p>
    <w:p w14:paraId="519CDE04" w14:textId="77777777" w:rsidR="003225CB" w:rsidRPr="00122196" w:rsidRDefault="003225CB" w:rsidP="003225CB">
      <w:pPr>
        <w:rPr>
          <w:rFonts w:ascii="Calibri" w:eastAsia="Calibri" w:hAnsi="Calibri" w:cs="Arial"/>
          <w:color w:val="262626"/>
        </w:rPr>
      </w:pPr>
      <w:r w:rsidRPr="00122196">
        <w:rPr>
          <w:rFonts w:ascii="Calibri" w:eastAsia="Calibri" w:hAnsi="Calibri" w:cs="Arial"/>
          <w:color w:val="262626"/>
        </w:rPr>
        <w:t>The costs involved with each policy option are calculated by:</w:t>
      </w:r>
    </w:p>
    <w:p w14:paraId="09FE2B6E" w14:textId="77777777" w:rsidR="003225CB" w:rsidRPr="00122196" w:rsidRDefault="003225CB" w:rsidP="003225CB">
      <w:pPr>
        <w:numPr>
          <w:ilvl w:val="0"/>
          <w:numId w:val="87"/>
        </w:numPr>
        <w:contextualSpacing/>
        <w:rPr>
          <w:rFonts w:ascii="Calibri" w:eastAsia="Calibri" w:hAnsi="Calibri" w:cs="Arial"/>
          <w:color w:val="262626"/>
        </w:rPr>
      </w:pPr>
      <w:r w:rsidRPr="00122196">
        <w:rPr>
          <w:rFonts w:ascii="Calibri" w:eastAsia="Calibri" w:hAnsi="Calibri" w:cs="Arial"/>
          <w:color w:val="262626"/>
        </w:rPr>
        <w:t>Identifying the key steps for business to comply with the regulatory options.</w:t>
      </w:r>
    </w:p>
    <w:p w14:paraId="76D4C49E" w14:textId="5F895E5F" w:rsidR="003225CB" w:rsidRPr="00122196" w:rsidRDefault="003225CB" w:rsidP="003225CB">
      <w:pPr>
        <w:numPr>
          <w:ilvl w:val="0"/>
          <w:numId w:val="87"/>
        </w:numPr>
        <w:contextualSpacing/>
        <w:rPr>
          <w:rFonts w:ascii="Calibri" w:eastAsia="Calibri" w:hAnsi="Calibri" w:cs="Arial"/>
          <w:color w:val="262626"/>
        </w:rPr>
      </w:pPr>
      <w:r w:rsidRPr="00122196">
        <w:rPr>
          <w:rFonts w:ascii="Calibri" w:eastAsia="Calibri" w:hAnsi="Calibri" w:cs="Arial"/>
          <w:color w:val="262626"/>
        </w:rPr>
        <w:t>Estimating the burden and costs of each step.</w:t>
      </w:r>
    </w:p>
    <w:p w14:paraId="5B87E14D" w14:textId="77777777" w:rsidR="003225CB" w:rsidRPr="00122196" w:rsidRDefault="003225CB" w:rsidP="003225CB">
      <w:pPr>
        <w:numPr>
          <w:ilvl w:val="0"/>
          <w:numId w:val="87"/>
        </w:numPr>
        <w:contextualSpacing/>
        <w:rPr>
          <w:rFonts w:ascii="Calibri" w:eastAsia="Calibri" w:hAnsi="Calibri" w:cs="Arial"/>
          <w:color w:val="262626"/>
        </w:rPr>
      </w:pPr>
      <w:r w:rsidRPr="00122196">
        <w:rPr>
          <w:rFonts w:ascii="Calibri" w:eastAsia="Calibri" w:hAnsi="Calibri" w:cs="Arial"/>
          <w:color w:val="262626"/>
        </w:rPr>
        <w:t>Estimating annual costs for a single business, for initial and ongoing years</w:t>
      </w:r>
    </w:p>
    <w:p w14:paraId="06DB2337" w14:textId="77777777" w:rsidR="003225CB" w:rsidRPr="00122196" w:rsidRDefault="003225CB" w:rsidP="003225CB">
      <w:pPr>
        <w:numPr>
          <w:ilvl w:val="0"/>
          <w:numId w:val="87"/>
        </w:numPr>
        <w:contextualSpacing/>
        <w:rPr>
          <w:rFonts w:ascii="Calibri" w:eastAsia="Calibri" w:hAnsi="Calibri" w:cs="Arial"/>
          <w:color w:val="262626"/>
        </w:rPr>
      </w:pPr>
      <w:r w:rsidRPr="00122196">
        <w:rPr>
          <w:rFonts w:ascii="Calibri" w:eastAsia="Calibri" w:hAnsi="Calibri" w:cs="Arial"/>
          <w:color w:val="262626"/>
        </w:rPr>
        <w:t>Compiling the annual costs scaled over a 10-year period.</w:t>
      </w:r>
    </w:p>
    <w:p w14:paraId="1FE29919" w14:textId="77777777" w:rsidR="003225CB" w:rsidRPr="00122196" w:rsidRDefault="003225CB" w:rsidP="003225CB">
      <w:pPr>
        <w:keepNext/>
        <w:keepLines/>
        <w:spacing w:before="240" w:after="0"/>
        <w:outlineLvl w:val="0"/>
        <w:rPr>
          <w:rFonts w:ascii="Calibri Light" w:eastAsia="Yu Gothic Light" w:hAnsi="Calibri Light" w:cs="Times New Roman"/>
          <w:color w:val="2F5496"/>
          <w:sz w:val="32"/>
          <w:szCs w:val="32"/>
        </w:rPr>
      </w:pPr>
      <w:bookmarkStart w:id="63" w:name="_Toc915160714"/>
      <w:bookmarkStart w:id="64" w:name="_Toc165367227"/>
      <w:bookmarkStart w:id="65" w:name="_Toc174692340"/>
      <w:bookmarkStart w:id="66" w:name="_Toc175312095"/>
      <w:r w:rsidRPr="00122196">
        <w:rPr>
          <w:rFonts w:ascii="Calibri Light" w:eastAsia="Yu Gothic Light" w:hAnsi="Calibri Light" w:cs="Times New Roman"/>
          <w:color w:val="2F5496"/>
          <w:sz w:val="32"/>
          <w:szCs w:val="32"/>
        </w:rPr>
        <w:t>Overarching assumptions</w:t>
      </w:r>
      <w:bookmarkEnd w:id="63"/>
      <w:bookmarkEnd w:id="64"/>
      <w:bookmarkEnd w:id="65"/>
      <w:bookmarkEnd w:id="66"/>
    </w:p>
    <w:p w14:paraId="5EF050F4" w14:textId="4CB8319D" w:rsidR="00336421" w:rsidRPr="009863EC" w:rsidRDefault="003225CB" w:rsidP="009863EC">
      <w:pPr>
        <w:numPr>
          <w:ilvl w:val="0"/>
          <w:numId w:val="86"/>
        </w:numPr>
        <w:spacing w:before="60" w:after="60"/>
        <w:rPr>
          <w:rFonts w:ascii="Calibri" w:eastAsia="Calibri" w:hAnsi="Calibri" w:cs="Mangal"/>
          <w:color w:val="262626"/>
          <w:lang w:val="en-GB"/>
        </w:rPr>
      </w:pPr>
      <w:r w:rsidRPr="00122196">
        <w:rPr>
          <w:rFonts w:ascii="Calibri" w:eastAsia="Calibri" w:hAnsi="Calibri" w:cs="Mangal"/>
          <w:color w:val="262626"/>
          <w:lang w:val="en-GB"/>
        </w:rPr>
        <w:t>For policy options</w:t>
      </w:r>
      <w:r w:rsidR="00353AD5">
        <w:rPr>
          <w:rFonts w:ascii="Calibri" w:eastAsia="Calibri" w:hAnsi="Calibri" w:cs="Mangal"/>
          <w:color w:val="262626"/>
          <w:lang w:val="en-GB"/>
        </w:rPr>
        <w:t xml:space="preserve"> 2 and 3</w:t>
      </w:r>
      <w:r w:rsidRPr="00122196">
        <w:rPr>
          <w:rFonts w:ascii="Calibri" w:eastAsia="Calibri" w:hAnsi="Calibri" w:cs="Mangal"/>
          <w:color w:val="262626"/>
          <w:lang w:val="en-GB"/>
        </w:rPr>
        <w:t xml:space="preserve">, </w:t>
      </w:r>
      <w:r w:rsidR="00B47060">
        <w:rPr>
          <w:rFonts w:ascii="Calibri" w:eastAsia="Calibri" w:hAnsi="Calibri" w:cs="Mangal"/>
          <w:color w:val="262626"/>
          <w:lang w:val="en-GB"/>
        </w:rPr>
        <w:t>it is</w:t>
      </w:r>
      <w:r w:rsidRPr="00122196">
        <w:rPr>
          <w:rFonts w:ascii="Calibri" w:eastAsia="Calibri" w:hAnsi="Calibri" w:cs="Mangal"/>
          <w:color w:val="262626"/>
          <w:lang w:val="en-GB"/>
        </w:rPr>
        <w:t xml:space="preserve"> assum</w:t>
      </w:r>
      <w:r w:rsidR="00B47060">
        <w:rPr>
          <w:rFonts w:ascii="Calibri" w:eastAsia="Calibri" w:hAnsi="Calibri" w:cs="Mangal"/>
          <w:color w:val="262626"/>
          <w:lang w:val="en-GB"/>
        </w:rPr>
        <w:t>ed</w:t>
      </w:r>
      <w:r w:rsidRPr="00122196">
        <w:rPr>
          <w:rFonts w:ascii="Calibri" w:eastAsia="Calibri" w:hAnsi="Calibri" w:cs="Mangal"/>
          <w:color w:val="262626"/>
          <w:lang w:val="en-GB"/>
        </w:rPr>
        <w:t xml:space="preserve"> that each participating business reports on a complete supply chain of a product (within </w:t>
      </w:r>
      <w:r w:rsidR="00BD23B0">
        <w:rPr>
          <w:rFonts w:ascii="Calibri" w:eastAsia="Calibri" w:hAnsi="Calibri" w:cs="Mangal"/>
          <w:color w:val="262626"/>
          <w:lang w:val="en-GB"/>
        </w:rPr>
        <w:t>a</w:t>
      </w:r>
      <w:r w:rsidRPr="00122196">
        <w:rPr>
          <w:rFonts w:ascii="Calibri" w:eastAsia="Calibri" w:hAnsi="Calibri" w:cs="Mangal"/>
          <w:color w:val="262626"/>
          <w:lang w:val="en-GB"/>
        </w:rPr>
        <w:t xml:space="preserve"> well-to-</w:t>
      </w:r>
      <w:r w:rsidR="009D1FEA">
        <w:rPr>
          <w:rFonts w:ascii="Calibri" w:eastAsia="Calibri" w:hAnsi="Calibri" w:cs="Mangal"/>
          <w:color w:val="262626"/>
          <w:lang w:val="en-GB"/>
        </w:rPr>
        <w:t>delivery</w:t>
      </w:r>
      <w:r w:rsidRPr="00122196">
        <w:rPr>
          <w:rFonts w:ascii="Calibri" w:eastAsia="Calibri" w:hAnsi="Calibri" w:cs="Mangal"/>
          <w:color w:val="262626"/>
          <w:lang w:val="en-GB"/>
        </w:rPr>
        <w:t xml:space="preserve"> gate scope</w:t>
      </w:r>
      <w:r w:rsidR="00811CE2">
        <w:rPr>
          <w:rFonts w:ascii="Calibri" w:eastAsia="Calibri" w:hAnsi="Calibri" w:cs="Mangal"/>
          <w:color w:val="262626"/>
          <w:lang w:val="en-GB"/>
        </w:rPr>
        <w:t>)</w:t>
      </w:r>
      <w:r w:rsidR="00E508F2">
        <w:rPr>
          <w:rFonts w:ascii="Calibri" w:eastAsia="Calibri" w:hAnsi="Calibri" w:cs="Mangal"/>
          <w:color w:val="262626"/>
          <w:lang w:val="en-GB"/>
        </w:rPr>
        <w:t xml:space="preserve">. </w:t>
      </w:r>
      <w:r w:rsidR="00336421" w:rsidRPr="009863EC">
        <w:rPr>
          <w:rFonts w:ascii="Calibri" w:eastAsia="Calibri" w:hAnsi="Calibri" w:cs="Mangal"/>
          <w:color w:val="262626"/>
          <w:lang w:val="en-GB"/>
        </w:rPr>
        <w:t xml:space="preserve">Labour estimates are conservative, </w:t>
      </w:r>
      <w:r w:rsidR="00F462F1">
        <w:rPr>
          <w:rFonts w:ascii="Calibri" w:eastAsia="Calibri" w:hAnsi="Calibri" w:cs="Mangal"/>
          <w:color w:val="262626"/>
          <w:lang w:val="en-GB"/>
        </w:rPr>
        <w:t>assuming par</w:t>
      </w:r>
      <w:r w:rsidR="000D0EAF">
        <w:rPr>
          <w:rFonts w:ascii="Calibri" w:eastAsia="Calibri" w:hAnsi="Calibri" w:cs="Mangal"/>
          <w:color w:val="262626"/>
          <w:lang w:val="en-GB"/>
        </w:rPr>
        <w:t xml:space="preserve">ticipants </w:t>
      </w:r>
      <w:r w:rsidR="00E63297">
        <w:rPr>
          <w:rFonts w:ascii="Calibri" w:eastAsia="Calibri" w:hAnsi="Calibri" w:cs="Mangal"/>
          <w:color w:val="262626"/>
          <w:lang w:val="en-GB"/>
        </w:rPr>
        <w:t xml:space="preserve">report information manually – as </w:t>
      </w:r>
      <w:r w:rsidR="00DB58E7">
        <w:rPr>
          <w:rFonts w:ascii="Calibri" w:eastAsia="Calibri" w:hAnsi="Calibri" w:cs="Mangal"/>
          <w:color w:val="262626"/>
          <w:lang w:val="en-GB"/>
        </w:rPr>
        <w:t>opposed</w:t>
      </w:r>
      <w:r w:rsidR="00E63297">
        <w:rPr>
          <w:rFonts w:ascii="Calibri" w:eastAsia="Calibri" w:hAnsi="Calibri" w:cs="Mangal"/>
          <w:color w:val="262626"/>
          <w:lang w:val="en-GB"/>
        </w:rPr>
        <w:t xml:space="preserve"> to using automated reporting </w:t>
      </w:r>
      <w:r w:rsidR="005F5D71">
        <w:rPr>
          <w:rFonts w:ascii="Calibri" w:eastAsia="Calibri" w:hAnsi="Calibri" w:cs="Mangal"/>
          <w:color w:val="262626"/>
          <w:lang w:val="en-GB"/>
        </w:rPr>
        <w:t xml:space="preserve">(e.g. via </w:t>
      </w:r>
      <w:r w:rsidR="00DB58E7" w:rsidRPr="00DB58E7">
        <w:rPr>
          <w:rFonts w:ascii="Calibri" w:eastAsia="Calibri" w:hAnsi="Calibri" w:cs="Mangal"/>
          <w:color w:val="262626"/>
          <w:lang w:val="en-GB"/>
        </w:rPr>
        <w:t>Application Programming Interface</w:t>
      </w:r>
      <w:r w:rsidR="00DB58E7">
        <w:rPr>
          <w:rFonts w:ascii="Calibri" w:eastAsia="Calibri" w:hAnsi="Calibri" w:cs="Mangal"/>
          <w:color w:val="262626"/>
          <w:lang w:val="en-GB"/>
        </w:rPr>
        <w:t>s)</w:t>
      </w:r>
      <w:r w:rsidR="00347315">
        <w:rPr>
          <w:rFonts w:ascii="Calibri" w:eastAsia="Calibri" w:hAnsi="Calibri" w:cs="Mangal"/>
          <w:color w:val="262626"/>
          <w:lang w:val="en-GB"/>
        </w:rPr>
        <w:t xml:space="preserve">, even though it is likely that these efficiencies would be introduced </w:t>
      </w:r>
      <w:r w:rsidR="00E508F2">
        <w:rPr>
          <w:rFonts w:ascii="Calibri" w:eastAsia="Calibri" w:hAnsi="Calibri" w:cs="Mangal"/>
          <w:color w:val="262626"/>
          <w:lang w:val="en-GB"/>
        </w:rPr>
        <w:t>for option 3</w:t>
      </w:r>
      <w:r w:rsidR="00347315">
        <w:rPr>
          <w:rFonts w:ascii="Calibri" w:eastAsia="Calibri" w:hAnsi="Calibri" w:cs="Mangal"/>
          <w:color w:val="262626"/>
          <w:lang w:val="en-GB"/>
        </w:rPr>
        <w:t>.</w:t>
      </w:r>
    </w:p>
    <w:p w14:paraId="5F116626" w14:textId="69BCB16D" w:rsidR="003225CB" w:rsidRPr="00122196" w:rsidRDefault="001711FC" w:rsidP="003225CB">
      <w:pPr>
        <w:numPr>
          <w:ilvl w:val="0"/>
          <w:numId w:val="86"/>
        </w:numPr>
        <w:spacing w:before="60" w:after="60"/>
        <w:rPr>
          <w:rFonts w:ascii="Calibri" w:eastAsia="Calibri" w:hAnsi="Calibri" w:cs="Mangal"/>
          <w:color w:val="262626"/>
          <w:lang w:val="en-GB"/>
        </w:rPr>
      </w:pPr>
      <w:r>
        <w:rPr>
          <w:rFonts w:ascii="Calibri" w:eastAsia="Calibri" w:hAnsi="Calibri" w:cs="Mangal"/>
          <w:color w:val="262626"/>
          <w:lang w:val="en-GB"/>
        </w:rPr>
        <w:t>We have included l</w:t>
      </w:r>
      <w:r w:rsidR="003225CB" w:rsidRPr="00122196">
        <w:rPr>
          <w:rFonts w:ascii="Calibri" w:eastAsia="Calibri" w:hAnsi="Calibri" w:cs="Mangal"/>
          <w:color w:val="262626"/>
          <w:lang w:val="en-GB"/>
        </w:rPr>
        <w:t xml:space="preserve">abour as </w:t>
      </w:r>
      <w:r w:rsidR="007B1302">
        <w:rPr>
          <w:rFonts w:ascii="Calibri" w:eastAsia="Calibri" w:hAnsi="Calibri" w:cs="Mangal"/>
          <w:color w:val="262626"/>
          <w:lang w:val="en-GB"/>
        </w:rPr>
        <w:t xml:space="preserve">an </w:t>
      </w:r>
      <w:r w:rsidR="003225CB" w:rsidRPr="00122196">
        <w:rPr>
          <w:rFonts w:ascii="Calibri" w:eastAsia="Calibri" w:hAnsi="Calibri" w:cs="Mangal"/>
          <w:color w:val="262626"/>
          <w:lang w:val="en-GB"/>
        </w:rPr>
        <w:t xml:space="preserve">administrative cost in line the RBMF and have calculated </w:t>
      </w:r>
      <w:r w:rsidR="00E542ED">
        <w:rPr>
          <w:rFonts w:ascii="Calibri" w:eastAsia="Calibri" w:hAnsi="Calibri" w:cs="Mangal"/>
          <w:color w:val="262626"/>
          <w:lang w:val="en-GB"/>
        </w:rPr>
        <w:t xml:space="preserve">this </w:t>
      </w:r>
      <w:r w:rsidR="003225CB" w:rsidRPr="00122196">
        <w:rPr>
          <w:rFonts w:ascii="Calibri" w:eastAsia="Calibri" w:hAnsi="Calibri" w:cs="Mangal"/>
          <w:color w:val="262626"/>
          <w:lang w:val="en-GB"/>
        </w:rPr>
        <w:t xml:space="preserve">as an hourly figure. These estimates use the default work-related labour costs ($79.63 per hour) listed by the OIA in their RBMF Guidance Note of </w:t>
      </w:r>
      <w:r w:rsidR="004C00A2">
        <w:rPr>
          <w:rFonts w:ascii="Calibri" w:eastAsia="Calibri" w:hAnsi="Calibri" w:cs="Mangal"/>
          <w:color w:val="262626"/>
          <w:lang w:val="en-GB"/>
        </w:rPr>
        <w:t>May 2022</w:t>
      </w:r>
      <w:r w:rsidR="003225CB" w:rsidRPr="00122196">
        <w:rPr>
          <w:rFonts w:ascii="Calibri" w:eastAsia="Calibri" w:hAnsi="Calibri" w:cs="Mangal"/>
          <w:color w:val="262626"/>
          <w:lang w:val="en-GB"/>
        </w:rPr>
        <w:t xml:space="preserve">. </w:t>
      </w:r>
      <w:r w:rsidR="00E542ED">
        <w:rPr>
          <w:rFonts w:ascii="Calibri" w:eastAsia="Calibri" w:hAnsi="Calibri" w:cs="Mangal"/>
          <w:color w:val="262626"/>
          <w:lang w:val="en-GB"/>
        </w:rPr>
        <w:t>We have used t</w:t>
      </w:r>
      <w:r w:rsidR="003225CB" w:rsidRPr="00122196">
        <w:rPr>
          <w:rFonts w:ascii="Calibri" w:eastAsia="Calibri" w:hAnsi="Calibri" w:cs="Mangal"/>
          <w:color w:val="262626"/>
          <w:lang w:val="en-GB"/>
        </w:rPr>
        <w:t xml:space="preserve">he default due to uncertainty around labour rates in these emerging industries. Further speculation on this would likely add undue complexity to the costing process. The default rate cost will likely be an overestimate of costs to the average scheme participant. Businesses will likely realise lower administrative costs in practice. </w:t>
      </w:r>
    </w:p>
    <w:p w14:paraId="51CB74EE" w14:textId="7B8BBE67" w:rsidR="00613BB0" w:rsidRPr="00353AD5" w:rsidRDefault="00353AD5" w:rsidP="0039491B">
      <w:pPr>
        <w:pStyle w:val="ListParagraph"/>
        <w:numPr>
          <w:ilvl w:val="0"/>
          <w:numId w:val="86"/>
        </w:numPr>
        <w:rPr>
          <w:rFonts w:ascii="Calibri" w:eastAsia="Calibri" w:hAnsi="Calibri" w:cs="Arial"/>
          <w:color w:val="262626"/>
        </w:rPr>
      </w:pPr>
      <w:r>
        <w:rPr>
          <w:rFonts w:ascii="Calibri" w:eastAsia="Calibri" w:hAnsi="Calibri" w:cs="Arial"/>
          <w:color w:val="262626"/>
        </w:rPr>
        <w:t>P</w:t>
      </w:r>
      <w:r w:rsidR="0039491B" w:rsidRPr="00353AD5">
        <w:rPr>
          <w:rFonts w:ascii="Calibri" w:eastAsia="Calibri" w:hAnsi="Calibri" w:cs="Arial"/>
          <w:color w:val="262626"/>
        </w:rPr>
        <w:t xml:space="preserve">articipant numbers are approximate </w:t>
      </w:r>
      <w:r w:rsidR="00BB17B2" w:rsidRPr="00353AD5">
        <w:rPr>
          <w:rFonts w:ascii="Calibri" w:eastAsia="Calibri" w:hAnsi="Calibri" w:cs="Arial"/>
          <w:color w:val="262626"/>
        </w:rPr>
        <w:t>based on forecasts of industry growth</w:t>
      </w:r>
      <w:r w:rsidR="0039491B" w:rsidRPr="00353AD5">
        <w:rPr>
          <w:rFonts w:ascii="Calibri" w:eastAsia="Calibri" w:hAnsi="Calibri" w:cs="Arial"/>
          <w:color w:val="262626"/>
        </w:rPr>
        <w:t>. These forecasts consider current renewable electricity generators that participate in the RET, pipeline projects for hydrogen</w:t>
      </w:r>
      <w:r w:rsidR="000A6E41">
        <w:rPr>
          <w:rFonts w:ascii="Calibri" w:eastAsia="Calibri" w:hAnsi="Calibri" w:cs="Arial"/>
          <w:color w:val="262626"/>
        </w:rPr>
        <w:t xml:space="preserve">, </w:t>
      </w:r>
      <w:r w:rsidR="0039491B" w:rsidRPr="00353AD5">
        <w:rPr>
          <w:rFonts w:ascii="Calibri" w:eastAsia="Calibri" w:hAnsi="Calibri" w:cs="Arial"/>
          <w:color w:val="262626"/>
        </w:rPr>
        <w:t xml:space="preserve">renewable generators, </w:t>
      </w:r>
      <w:r w:rsidR="00857478" w:rsidRPr="00353AD5">
        <w:rPr>
          <w:rFonts w:ascii="Calibri" w:eastAsia="Calibri" w:hAnsi="Calibri" w:cs="Arial"/>
          <w:color w:val="262626"/>
        </w:rPr>
        <w:t xml:space="preserve">and (for Option 3) </w:t>
      </w:r>
      <w:r w:rsidR="0039491B" w:rsidRPr="00353AD5">
        <w:rPr>
          <w:rFonts w:ascii="Calibri" w:eastAsia="Calibri" w:hAnsi="Calibri" w:cs="Arial"/>
          <w:color w:val="262626"/>
        </w:rPr>
        <w:t>the incorporation</w:t>
      </w:r>
      <w:r w:rsidR="00857478" w:rsidRPr="00353AD5">
        <w:rPr>
          <w:rFonts w:ascii="Calibri" w:eastAsia="Calibri" w:hAnsi="Calibri" w:cs="Arial"/>
          <w:color w:val="262626"/>
        </w:rPr>
        <w:t xml:space="preserve"> </w:t>
      </w:r>
      <w:r w:rsidR="000A6E41">
        <w:rPr>
          <w:rFonts w:ascii="Calibri" w:eastAsia="Calibri" w:hAnsi="Calibri" w:cs="Arial"/>
          <w:color w:val="262626"/>
        </w:rPr>
        <w:t xml:space="preserve">of </w:t>
      </w:r>
      <w:r w:rsidR="00857478" w:rsidRPr="00353AD5">
        <w:rPr>
          <w:rFonts w:ascii="Calibri" w:eastAsia="Calibri" w:hAnsi="Calibri" w:cs="Arial"/>
          <w:color w:val="262626"/>
        </w:rPr>
        <w:t>other</w:t>
      </w:r>
      <w:r w:rsidR="0039491B" w:rsidRPr="00353AD5">
        <w:rPr>
          <w:rFonts w:ascii="Calibri" w:eastAsia="Calibri" w:hAnsi="Calibri" w:cs="Arial"/>
          <w:color w:val="262626"/>
        </w:rPr>
        <w:t xml:space="preserve"> </w:t>
      </w:r>
      <w:r w:rsidR="00857478" w:rsidRPr="00353AD5">
        <w:rPr>
          <w:rFonts w:ascii="Calibri" w:eastAsia="Calibri" w:hAnsi="Calibri" w:cs="Arial"/>
          <w:color w:val="262626"/>
        </w:rPr>
        <w:t xml:space="preserve">production pathways </w:t>
      </w:r>
      <w:r w:rsidR="0039491B" w:rsidRPr="00353AD5">
        <w:rPr>
          <w:rFonts w:ascii="Calibri" w:eastAsia="Calibri" w:hAnsi="Calibri" w:cs="Arial"/>
          <w:color w:val="262626"/>
        </w:rPr>
        <w:t xml:space="preserve">of hydrogen </w:t>
      </w:r>
      <w:r w:rsidR="007B1A78" w:rsidRPr="00353AD5">
        <w:rPr>
          <w:rFonts w:ascii="Calibri" w:eastAsia="Calibri" w:hAnsi="Calibri" w:cs="Arial"/>
          <w:color w:val="262626"/>
        </w:rPr>
        <w:t xml:space="preserve">and </w:t>
      </w:r>
      <w:r w:rsidR="00DC3F9D" w:rsidRPr="00353AD5">
        <w:rPr>
          <w:rFonts w:ascii="Calibri" w:eastAsia="Calibri" w:hAnsi="Calibri" w:cs="Arial"/>
          <w:color w:val="262626"/>
        </w:rPr>
        <w:t xml:space="preserve">products </w:t>
      </w:r>
      <w:r w:rsidR="00C42413" w:rsidRPr="00353AD5">
        <w:rPr>
          <w:rFonts w:ascii="Calibri" w:eastAsia="Calibri" w:hAnsi="Calibri" w:cs="Arial"/>
          <w:color w:val="262626"/>
        </w:rPr>
        <w:t>likely to be covered</w:t>
      </w:r>
      <w:r w:rsidR="00266CA3" w:rsidRPr="00353AD5">
        <w:rPr>
          <w:rFonts w:ascii="Calibri" w:eastAsia="Calibri" w:hAnsi="Calibri" w:cs="Arial"/>
          <w:color w:val="262626"/>
        </w:rPr>
        <w:t xml:space="preserve"> </w:t>
      </w:r>
      <w:r w:rsidR="00613BB0" w:rsidRPr="00353AD5">
        <w:rPr>
          <w:rFonts w:ascii="Calibri" w:eastAsia="Calibri" w:hAnsi="Calibri" w:cs="Arial"/>
          <w:color w:val="262626"/>
        </w:rPr>
        <w:t>by the scheme</w:t>
      </w:r>
      <w:r w:rsidR="00266CA3" w:rsidRPr="00353AD5">
        <w:rPr>
          <w:rFonts w:ascii="Calibri" w:eastAsia="Calibri" w:hAnsi="Calibri" w:cs="Arial"/>
          <w:color w:val="262626"/>
        </w:rPr>
        <w:t xml:space="preserve"> </w:t>
      </w:r>
      <w:r w:rsidR="00733EF9">
        <w:rPr>
          <w:rFonts w:ascii="Calibri" w:eastAsia="Calibri" w:hAnsi="Calibri" w:cs="Arial"/>
          <w:color w:val="262626"/>
        </w:rPr>
        <w:t>over a 10-year period</w:t>
      </w:r>
      <w:r w:rsidR="00266CA3" w:rsidRPr="00353AD5">
        <w:rPr>
          <w:rFonts w:ascii="Calibri" w:eastAsia="Calibri" w:hAnsi="Calibri" w:cs="Arial"/>
          <w:color w:val="262626"/>
        </w:rPr>
        <w:t>.</w:t>
      </w:r>
      <w:r w:rsidR="0039491B" w:rsidRPr="00353AD5">
        <w:rPr>
          <w:rFonts w:ascii="Calibri" w:eastAsia="Calibri" w:hAnsi="Calibri" w:cs="Arial"/>
          <w:color w:val="262626"/>
        </w:rPr>
        <w:t xml:space="preserve"> </w:t>
      </w:r>
    </w:p>
    <w:p w14:paraId="51BACBD9" w14:textId="422EEA77" w:rsidR="0039491B" w:rsidRPr="00353AD5" w:rsidRDefault="0039491B" w:rsidP="0039491B">
      <w:pPr>
        <w:pStyle w:val="ListParagraph"/>
        <w:numPr>
          <w:ilvl w:val="0"/>
          <w:numId w:val="86"/>
        </w:numPr>
        <w:rPr>
          <w:rFonts w:ascii="Calibri" w:eastAsia="Calibri" w:hAnsi="Calibri" w:cs="Arial"/>
          <w:color w:val="262626"/>
        </w:rPr>
      </w:pPr>
      <w:r w:rsidRPr="00353AD5">
        <w:rPr>
          <w:rFonts w:ascii="Calibri" w:eastAsia="Calibri" w:hAnsi="Calibri" w:cs="Arial"/>
          <w:color w:val="262626"/>
        </w:rPr>
        <w:lastRenderedPageBreak/>
        <w:t xml:space="preserve">The </w:t>
      </w:r>
      <w:r w:rsidR="00761BF4">
        <w:rPr>
          <w:rFonts w:ascii="Calibri" w:eastAsia="Calibri" w:hAnsi="Calibri" w:cs="Arial"/>
          <w:color w:val="262626"/>
        </w:rPr>
        <w:t>impacts o</w:t>
      </w:r>
      <w:r w:rsidR="00942AE6">
        <w:rPr>
          <w:rFonts w:ascii="Calibri" w:eastAsia="Calibri" w:hAnsi="Calibri" w:cs="Arial"/>
          <w:color w:val="262626"/>
        </w:rPr>
        <w:t xml:space="preserve">n the </w:t>
      </w:r>
      <w:r w:rsidRPr="00353AD5">
        <w:rPr>
          <w:rFonts w:ascii="Calibri" w:eastAsia="Calibri" w:hAnsi="Calibri" w:cs="Arial"/>
          <w:color w:val="262626"/>
        </w:rPr>
        <w:t xml:space="preserve">specific sectors that the GO Scheme will expand will be added as addenda to this analysis. Sector wide cost estimates are calculated by applying activity modelling estimates to the single business regulatory costs over a 10-year period. </w:t>
      </w:r>
    </w:p>
    <w:p w14:paraId="4C7A7293" w14:textId="77777777" w:rsidR="003225CB" w:rsidRPr="00122196" w:rsidRDefault="003225CB" w:rsidP="003225CB">
      <w:pPr>
        <w:keepNext/>
        <w:keepLines/>
        <w:spacing w:before="120" w:after="0"/>
        <w:outlineLvl w:val="0"/>
        <w:rPr>
          <w:rFonts w:ascii="Calibri Light" w:eastAsia="Yu Gothic Light" w:hAnsi="Calibri Light" w:cs="Times New Roman"/>
          <w:color w:val="2F5496"/>
          <w:sz w:val="32"/>
          <w:szCs w:val="32"/>
        </w:rPr>
      </w:pPr>
      <w:bookmarkStart w:id="67" w:name="_Toc2003451701"/>
      <w:bookmarkStart w:id="68" w:name="_Toc165367228"/>
      <w:bookmarkStart w:id="69" w:name="_Toc174692341"/>
      <w:bookmarkStart w:id="70" w:name="_Toc175312096"/>
      <w:r w:rsidRPr="00122196">
        <w:rPr>
          <w:rFonts w:ascii="Calibri Light" w:eastAsia="Yu Gothic Light" w:hAnsi="Calibri Light" w:cs="Times New Roman"/>
          <w:color w:val="2F5496"/>
          <w:sz w:val="32"/>
          <w:szCs w:val="32"/>
        </w:rPr>
        <w:t>Exclusions</w:t>
      </w:r>
      <w:bookmarkEnd w:id="67"/>
      <w:bookmarkEnd w:id="68"/>
      <w:bookmarkEnd w:id="69"/>
      <w:bookmarkEnd w:id="70"/>
    </w:p>
    <w:p w14:paraId="108A4181" w14:textId="77777777" w:rsidR="003225CB" w:rsidRPr="00122196" w:rsidRDefault="003225CB" w:rsidP="003225CB">
      <w:pPr>
        <w:spacing w:after="0"/>
        <w:rPr>
          <w:rFonts w:ascii="Calibri" w:eastAsia="Calibri" w:hAnsi="Calibri" w:cs="Arial"/>
          <w:color w:val="262626"/>
        </w:rPr>
      </w:pPr>
      <w:r w:rsidRPr="00122196">
        <w:rPr>
          <w:rFonts w:ascii="Calibri" w:eastAsia="Calibri" w:hAnsi="Calibri" w:cs="Arial"/>
          <w:color w:val="262626"/>
        </w:rPr>
        <w:t>The following costs were excluded from these estimates:</w:t>
      </w:r>
    </w:p>
    <w:p w14:paraId="22FFAC02" w14:textId="4A96E781" w:rsidR="003225CB" w:rsidRPr="00122196" w:rsidRDefault="003225CB" w:rsidP="003225CB">
      <w:pPr>
        <w:numPr>
          <w:ilvl w:val="0"/>
          <w:numId w:val="85"/>
        </w:numPr>
        <w:contextualSpacing/>
        <w:rPr>
          <w:rFonts w:ascii="Calibri" w:eastAsia="Calibri" w:hAnsi="Calibri" w:cs="Arial"/>
          <w:color w:val="262626"/>
        </w:rPr>
      </w:pPr>
      <w:r w:rsidRPr="00122196">
        <w:rPr>
          <w:rFonts w:ascii="Calibri" w:eastAsia="Calibri" w:hAnsi="Calibri" w:cs="Arial"/>
          <w:b/>
          <w:bCs/>
          <w:color w:val="262626"/>
        </w:rPr>
        <w:t>Costs of delay:</w:t>
      </w:r>
      <w:r w:rsidRPr="00122196">
        <w:rPr>
          <w:rFonts w:ascii="Calibri" w:eastAsia="Calibri" w:hAnsi="Calibri" w:cs="Arial"/>
          <w:color w:val="262626"/>
        </w:rPr>
        <w:t xml:space="preserve"> Application and approval delays are excluded. Producers are not forced to await certificate approvals to trade their products meaning assessment times do not impact trade opportunities.</w:t>
      </w:r>
    </w:p>
    <w:p w14:paraId="18E1ED53" w14:textId="5B78BBD5" w:rsidR="003225CB" w:rsidRPr="00E02BF9" w:rsidRDefault="003225CB" w:rsidP="003225CB">
      <w:pPr>
        <w:numPr>
          <w:ilvl w:val="0"/>
          <w:numId w:val="85"/>
        </w:numPr>
        <w:contextualSpacing/>
        <w:rPr>
          <w:rFonts w:ascii="Calibri" w:eastAsia="Calibri" w:hAnsi="Calibri" w:cs="Calibri"/>
          <w:color w:val="262626"/>
        </w:rPr>
      </w:pPr>
      <w:r w:rsidRPr="00E02BF9">
        <w:rPr>
          <w:rFonts w:ascii="Calibri" w:eastAsia="Calibri" w:hAnsi="Calibri" w:cs="Arial"/>
          <w:b/>
          <w:color w:val="262626"/>
        </w:rPr>
        <w:t xml:space="preserve">Direct financial costs: </w:t>
      </w:r>
      <w:r w:rsidRPr="00E02BF9">
        <w:rPr>
          <w:rFonts w:ascii="Calibri" w:eastAsia="Calibri" w:hAnsi="Calibri" w:cs="Arial"/>
          <w:color w:val="262626"/>
        </w:rPr>
        <w:t>Government charges to participate in the scheme have been excluded</w:t>
      </w:r>
      <w:r w:rsidRPr="00E02BF9">
        <w:rPr>
          <w:rFonts w:ascii="Calibri" w:eastAsia="Calibri" w:hAnsi="Calibri" w:cs="Calibri"/>
          <w:color w:val="262626"/>
        </w:rPr>
        <w:t xml:space="preserve">. </w:t>
      </w:r>
      <w:r w:rsidR="008227F8" w:rsidRPr="00E76953">
        <w:rPr>
          <w:rFonts w:ascii="Calibri" w:eastAsia="Calibri" w:hAnsi="Calibri" w:cs="Calibri"/>
          <w:color w:val="262626"/>
        </w:rPr>
        <w:t>The cost to administer the GO scheme would be completely cost recovered, including fees for direct services and levies to cover</w:t>
      </w:r>
      <w:r w:rsidR="00E02BF9" w:rsidRPr="00E76953">
        <w:rPr>
          <w:rFonts w:ascii="Calibri" w:eastAsia="Calibri" w:hAnsi="Calibri" w:cs="Calibri"/>
          <w:color w:val="262626"/>
        </w:rPr>
        <w:t xml:space="preserve"> scheme-wide operational costs</w:t>
      </w:r>
      <w:r w:rsidRPr="00E02BF9">
        <w:rPr>
          <w:rFonts w:ascii="Calibri" w:eastAsia="Calibri" w:hAnsi="Calibri" w:cs="Calibri"/>
          <w:color w:val="262626"/>
        </w:rPr>
        <w:t xml:space="preserve">. </w:t>
      </w:r>
      <w:r w:rsidR="00E02BF9" w:rsidRPr="00E76953">
        <w:rPr>
          <w:rFonts w:ascii="Calibri" w:eastAsia="Calibri" w:hAnsi="Calibri" w:cs="Calibri"/>
          <w:color w:val="262626"/>
        </w:rPr>
        <w:t>Cost recovery would be phased to support nascent industries such as hydrogen</w:t>
      </w:r>
      <w:r w:rsidRPr="00E02BF9">
        <w:rPr>
          <w:rFonts w:ascii="Calibri" w:eastAsia="Calibri" w:hAnsi="Calibri" w:cs="Calibri"/>
          <w:color w:val="262626"/>
        </w:rPr>
        <w:t>.</w:t>
      </w:r>
    </w:p>
    <w:p w14:paraId="5A1098EA" w14:textId="77777777" w:rsidR="0022496C" w:rsidRPr="0022496C" w:rsidRDefault="0022496C" w:rsidP="0022496C">
      <w:pPr>
        <w:ind w:left="720"/>
        <w:contextualSpacing/>
        <w:rPr>
          <w:rFonts w:ascii="Calibri" w:eastAsia="Calibri" w:hAnsi="Calibri" w:cs="Calibri"/>
          <w:color w:val="262626"/>
        </w:rPr>
      </w:pPr>
    </w:p>
    <w:p w14:paraId="1FC34A30" w14:textId="2E5A5235" w:rsidR="00DC5B06" w:rsidRPr="0022496C" w:rsidRDefault="00DC5B06" w:rsidP="0022496C">
      <w:pPr>
        <w:contextualSpacing/>
        <w:rPr>
          <w:rFonts w:ascii="Calibri" w:eastAsia="Calibri" w:hAnsi="Calibri" w:cs="Calibri"/>
          <w:color w:val="262626"/>
        </w:rPr>
      </w:pPr>
      <w:r>
        <w:rPr>
          <w:rFonts w:ascii="Calibri Light" w:eastAsia="Yu Gothic Light" w:hAnsi="Calibri Light" w:cs="Times New Roman"/>
          <w:b/>
          <w:color w:val="44546A"/>
          <w:sz w:val="36"/>
          <w:szCs w:val="36"/>
        </w:rPr>
        <w:t xml:space="preserve">Option 2: </w:t>
      </w:r>
      <w:r w:rsidRPr="00626F9E">
        <w:rPr>
          <w:rFonts w:ascii="Calibri Light" w:eastAsia="Yu Gothic Light" w:hAnsi="Calibri Light" w:cs="Times New Roman"/>
          <w:b/>
          <w:color w:val="44546A"/>
          <w:sz w:val="36"/>
          <w:szCs w:val="36"/>
        </w:rPr>
        <w:t xml:space="preserve">Quasi-regulatory approach </w:t>
      </w:r>
    </w:p>
    <w:p w14:paraId="2201DA06" w14:textId="77777777" w:rsidR="00DC5B06" w:rsidRPr="00122196" w:rsidRDefault="00DC5B06" w:rsidP="00DC5B06">
      <w:pPr>
        <w:keepNext/>
        <w:keepLines/>
        <w:spacing w:before="240" w:after="0"/>
        <w:outlineLvl w:val="0"/>
        <w:rPr>
          <w:rFonts w:ascii="Calibri Light" w:eastAsia="Yu Gothic Light" w:hAnsi="Calibri Light" w:cs="Times New Roman"/>
          <w:color w:val="2F5496"/>
          <w:sz w:val="32"/>
          <w:szCs w:val="32"/>
        </w:rPr>
      </w:pPr>
      <w:bookmarkStart w:id="71" w:name="_Toc174692342"/>
      <w:bookmarkStart w:id="72" w:name="_Toc175312097"/>
      <w:r w:rsidRPr="00122196">
        <w:rPr>
          <w:rFonts w:ascii="Calibri Light" w:eastAsia="Yu Gothic Light" w:hAnsi="Calibri Light" w:cs="Times New Roman"/>
          <w:color w:val="2F5496"/>
          <w:sz w:val="32"/>
          <w:szCs w:val="32"/>
        </w:rPr>
        <w:t>Calculations and assumptions</w:t>
      </w:r>
      <w:bookmarkEnd w:id="71"/>
      <w:bookmarkEnd w:id="72"/>
    </w:p>
    <w:p w14:paraId="3C15CFB4" w14:textId="77777777" w:rsidR="00DC5B06" w:rsidRPr="00122196" w:rsidRDefault="00DC5B06" w:rsidP="00DC5B06">
      <w:pPr>
        <w:keepNext/>
        <w:keepLines/>
        <w:spacing w:before="40" w:after="0"/>
        <w:outlineLvl w:val="2"/>
        <w:rPr>
          <w:rFonts w:ascii="Calibri Light" w:eastAsia="Yu Gothic Light" w:hAnsi="Calibri Light" w:cs="Times New Roman"/>
          <w:color w:val="1F3763"/>
          <w:sz w:val="24"/>
          <w:szCs w:val="24"/>
        </w:rPr>
      </w:pPr>
      <w:bookmarkStart w:id="73" w:name="_Toc174692343"/>
      <w:bookmarkStart w:id="74" w:name="_Toc175312098"/>
      <w:r w:rsidRPr="00122196">
        <w:rPr>
          <w:rFonts w:ascii="Calibri Light" w:eastAsia="Yu Gothic Light" w:hAnsi="Calibri Light" w:cs="Times New Roman"/>
          <w:color w:val="1F3763"/>
          <w:sz w:val="24"/>
          <w:szCs w:val="24"/>
        </w:rPr>
        <w:t>Quasi-regulatory approach only applies to hydrogen production.</w:t>
      </w:r>
      <w:bookmarkEnd w:id="73"/>
      <w:bookmarkEnd w:id="74"/>
    </w:p>
    <w:p w14:paraId="2BCDF6B9" w14:textId="2BF99D14" w:rsidR="00DC5B06" w:rsidRPr="00122196" w:rsidRDefault="00DC5B06" w:rsidP="00DC5B06">
      <w:pPr>
        <w:rPr>
          <w:rFonts w:ascii="Calibri" w:eastAsia="Calibri" w:hAnsi="Calibri" w:cs="Arial"/>
          <w:color w:val="262626"/>
        </w:rPr>
      </w:pPr>
      <w:r w:rsidRPr="00122196">
        <w:rPr>
          <w:rFonts w:ascii="Calibri" w:eastAsia="Calibri" w:hAnsi="Calibri" w:cs="Arial"/>
          <w:color w:val="262626"/>
        </w:rPr>
        <w:t xml:space="preserve">As emissions accounting frameworks are already in place for renewable electricity generation, there is no consideration to introduce a quasi-regulatory policy approach to this sector. As such, the estimates in </w:t>
      </w:r>
      <w:r w:rsidRPr="009327E7">
        <w:rPr>
          <w:rFonts w:ascii="Calibri" w:eastAsia="Calibri" w:hAnsi="Calibri" w:cs="Arial"/>
          <w:b/>
          <w:bCs/>
          <w:color w:val="262626"/>
        </w:rPr>
        <w:t xml:space="preserve">tables </w:t>
      </w:r>
      <w:r w:rsidR="0084395C">
        <w:rPr>
          <w:rFonts w:ascii="Calibri" w:eastAsia="Calibri" w:hAnsi="Calibri" w:cs="Arial"/>
          <w:b/>
          <w:bCs/>
          <w:color w:val="262626"/>
        </w:rPr>
        <w:t>9</w:t>
      </w:r>
      <w:r w:rsidR="00F40FA3" w:rsidRPr="009327E7">
        <w:rPr>
          <w:rFonts w:ascii="Calibri" w:eastAsia="Calibri" w:hAnsi="Calibri" w:cs="Arial"/>
          <w:b/>
          <w:bCs/>
          <w:color w:val="262626"/>
        </w:rPr>
        <w:t xml:space="preserve"> and 1</w:t>
      </w:r>
      <w:r w:rsidR="0084395C">
        <w:rPr>
          <w:rFonts w:ascii="Calibri" w:eastAsia="Calibri" w:hAnsi="Calibri" w:cs="Arial"/>
          <w:b/>
          <w:bCs/>
          <w:color w:val="262626"/>
        </w:rPr>
        <w:t>0</w:t>
      </w:r>
      <w:r w:rsidRPr="00122196">
        <w:rPr>
          <w:rFonts w:ascii="Calibri" w:eastAsia="Calibri" w:hAnsi="Calibri" w:cs="Arial"/>
          <w:color w:val="262626"/>
        </w:rPr>
        <w:t xml:space="preserve"> only cover projected costs to business</w:t>
      </w:r>
      <w:r w:rsidR="00F40FA3">
        <w:rPr>
          <w:rFonts w:ascii="Calibri" w:eastAsia="Calibri" w:hAnsi="Calibri" w:cs="Arial"/>
          <w:color w:val="262626"/>
        </w:rPr>
        <w:t>es</w:t>
      </w:r>
      <w:r w:rsidRPr="00122196">
        <w:rPr>
          <w:rFonts w:ascii="Calibri" w:eastAsia="Calibri" w:hAnsi="Calibri" w:cs="Arial"/>
          <w:color w:val="262626"/>
        </w:rPr>
        <w:t xml:space="preserve"> producing the hydrogen and hydrogen </w:t>
      </w:r>
      <w:r w:rsidR="00F40FA3">
        <w:rPr>
          <w:rFonts w:ascii="Calibri" w:eastAsia="Calibri" w:hAnsi="Calibri" w:cs="Arial"/>
          <w:color w:val="262626"/>
        </w:rPr>
        <w:t xml:space="preserve">derivatives </w:t>
      </w:r>
      <w:r w:rsidRPr="00122196">
        <w:rPr>
          <w:rFonts w:ascii="Calibri" w:eastAsia="Calibri" w:hAnsi="Calibri" w:cs="Arial"/>
          <w:color w:val="262626"/>
        </w:rPr>
        <w:t xml:space="preserve">that would be published in the model code. No additional low-emissions products are considered in </w:t>
      </w:r>
      <w:r w:rsidR="00A475AE">
        <w:rPr>
          <w:rFonts w:ascii="Calibri" w:eastAsia="Calibri" w:hAnsi="Calibri" w:cs="Arial"/>
          <w:color w:val="262626"/>
        </w:rPr>
        <w:t>these estimations.</w:t>
      </w:r>
    </w:p>
    <w:p w14:paraId="58DAFC8F" w14:textId="77777777" w:rsidR="00DC5B06" w:rsidRPr="00122196" w:rsidRDefault="00DC5B06" w:rsidP="00DC5B06">
      <w:pPr>
        <w:keepNext/>
        <w:keepLines/>
        <w:spacing w:before="40" w:after="0"/>
        <w:outlineLvl w:val="2"/>
        <w:rPr>
          <w:rFonts w:ascii="Calibri Light" w:eastAsia="Yu Gothic Light" w:hAnsi="Calibri Light" w:cs="Times New Roman"/>
          <w:color w:val="1F3763"/>
          <w:sz w:val="24"/>
          <w:szCs w:val="24"/>
        </w:rPr>
      </w:pPr>
      <w:bookmarkStart w:id="75" w:name="_Toc174692344"/>
      <w:bookmarkStart w:id="76" w:name="_Toc175312099"/>
      <w:r w:rsidRPr="00122196">
        <w:rPr>
          <w:rFonts w:ascii="Calibri Light" w:eastAsia="Yu Gothic Light" w:hAnsi="Calibri Light" w:cs="Times New Roman"/>
          <w:color w:val="1F3763"/>
          <w:sz w:val="24"/>
          <w:szCs w:val="24"/>
        </w:rPr>
        <w:t>Independent assurance</w:t>
      </w:r>
      <w:bookmarkEnd w:id="75"/>
      <w:bookmarkEnd w:id="76"/>
      <w:r w:rsidRPr="00122196">
        <w:rPr>
          <w:rFonts w:ascii="Calibri Light" w:eastAsia="Yu Gothic Light" w:hAnsi="Calibri Light" w:cs="Times New Roman"/>
          <w:color w:val="1F3763"/>
          <w:sz w:val="24"/>
          <w:szCs w:val="24"/>
        </w:rPr>
        <w:t xml:space="preserve"> </w:t>
      </w:r>
    </w:p>
    <w:p w14:paraId="6417D3DC" w14:textId="05354B45" w:rsidR="00DC5B06" w:rsidRPr="00122196" w:rsidRDefault="007F5ABA" w:rsidP="00DC5B06">
      <w:pPr>
        <w:autoSpaceDE w:val="0"/>
        <w:autoSpaceDN w:val="0"/>
        <w:spacing w:after="0" w:line="276" w:lineRule="auto"/>
        <w:contextualSpacing/>
        <w:rPr>
          <w:rFonts w:ascii="Calibri" w:eastAsia="Calibri" w:hAnsi="Calibri" w:cs="Calibri"/>
          <w:color w:val="auto"/>
        </w:rPr>
      </w:pPr>
      <w:r>
        <w:rPr>
          <w:rFonts w:ascii="Calibri" w:eastAsia="Calibri" w:hAnsi="Calibri" w:cs="Calibri"/>
          <w:color w:val="auto"/>
        </w:rPr>
        <w:t>Some f</w:t>
      </w:r>
      <w:r w:rsidR="00DC5B06" w:rsidRPr="00122196">
        <w:rPr>
          <w:rFonts w:ascii="Calibri" w:eastAsia="Calibri" w:hAnsi="Calibri" w:cs="Calibri"/>
          <w:color w:val="auto"/>
        </w:rPr>
        <w:t xml:space="preserve">unctions that would be performed by government under option 3 </w:t>
      </w:r>
      <w:r w:rsidR="00C21FC0">
        <w:rPr>
          <w:rFonts w:ascii="Calibri" w:eastAsia="Calibri" w:hAnsi="Calibri" w:cs="Calibri"/>
          <w:color w:val="auto"/>
        </w:rPr>
        <w:t xml:space="preserve">(for example, </w:t>
      </w:r>
      <w:r w:rsidR="00C8738F">
        <w:rPr>
          <w:rFonts w:ascii="Calibri" w:eastAsia="Calibri" w:hAnsi="Calibri" w:cs="Calibri"/>
          <w:color w:val="auto"/>
        </w:rPr>
        <w:t xml:space="preserve">assessing the suitability of the facility and </w:t>
      </w:r>
      <w:r w:rsidR="003B7BDC">
        <w:rPr>
          <w:rFonts w:ascii="Calibri" w:eastAsia="Calibri" w:hAnsi="Calibri" w:cs="Calibri"/>
          <w:color w:val="auto"/>
        </w:rPr>
        <w:t>its metering and measurement arrangements</w:t>
      </w:r>
      <w:r w:rsidR="00C8738F">
        <w:rPr>
          <w:rFonts w:ascii="Calibri" w:eastAsia="Calibri" w:hAnsi="Calibri" w:cs="Calibri"/>
          <w:color w:val="auto"/>
        </w:rPr>
        <w:t xml:space="preserve"> </w:t>
      </w:r>
      <w:r w:rsidR="00D93927">
        <w:rPr>
          <w:rFonts w:ascii="Calibri" w:eastAsia="Calibri" w:hAnsi="Calibri" w:cs="Calibri"/>
          <w:color w:val="auto"/>
        </w:rPr>
        <w:t xml:space="preserve">to comply) and </w:t>
      </w:r>
      <w:r w:rsidR="00970E6C">
        <w:rPr>
          <w:rFonts w:ascii="Calibri" w:eastAsia="Calibri" w:hAnsi="Calibri" w:cs="Calibri"/>
          <w:color w:val="auto"/>
        </w:rPr>
        <w:t xml:space="preserve">would </w:t>
      </w:r>
      <w:r w:rsidR="00DC5B06" w:rsidRPr="00122196">
        <w:rPr>
          <w:rFonts w:ascii="Calibri" w:eastAsia="Calibri" w:hAnsi="Calibri" w:cs="Calibri"/>
          <w:color w:val="auto"/>
        </w:rPr>
        <w:t xml:space="preserve">instead </w:t>
      </w:r>
      <w:r w:rsidR="00970E6C">
        <w:rPr>
          <w:rFonts w:ascii="Calibri" w:eastAsia="Calibri" w:hAnsi="Calibri" w:cs="Calibri"/>
          <w:color w:val="auto"/>
        </w:rPr>
        <w:t>be</w:t>
      </w:r>
      <w:r w:rsidR="00DC5B06" w:rsidRPr="00122196">
        <w:rPr>
          <w:rFonts w:ascii="Calibri" w:eastAsia="Calibri" w:hAnsi="Calibri" w:cs="Calibri"/>
          <w:color w:val="auto"/>
        </w:rPr>
        <w:t xml:space="preserve"> </w:t>
      </w:r>
      <w:r w:rsidR="00C4787B">
        <w:rPr>
          <w:rFonts w:ascii="Calibri" w:eastAsia="Calibri" w:hAnsi="Calibri" w:cs="Calibri"/>
          <w:color w:val="auto"/>
        </w:rPr>
        <w:t>required from</w:t>
      </w:r>
      <w:r w:rsidR="00DC5B06" w:rsidRPr="00122196">
        <w:rPr>
          <w:rFonts w:ascii="Calibri" w:eastAsia="Calibri" w:hAnsi="Calibri" w:cs="Calibri"/>
          <w:color w:val="auto"/>
        </w:rPr>
        <w:t xml:space="preserve"> third</w:t>
      </w:r>
      <w:r w:rsidR="00C4787B">
        <w:rPr>
          <w:rFonts w:ascii="Calibri" w:eastAsia="Calibri" w:hAnsi="Calibri" w:cs="Calibri"/>
          <w:color w:val="auto"/>
        </w:rPr>
        <w:t>-</w:t>
      </w:r>
      <w:r w:rsidR="00DC5B06" w:rsidRPr="00122196">
        <w:rPr>
          <w:rFonts w:ascii="Calibri" w:eastAsia="Calibri" w:hAnsi="Calibri" w:cs="Calibri"/>
          <w:color w:val="auto"/>
        </w:rPr>
        <w:t>part</w:t>
      </w:r>
      <w:r w:rsidR="00C4787B">
        <w:rPr>
          <w:rFonts w:ascii="Calibri" w:eastAsia="Calibri" w:hAnsi="Calibri" w:cs="Calibri"/>
          <w:color w:val="auto"/>
        </w:rPr>
        <w:t xml:space="preserve">y audits </w:t>
      </w:r>
      <w:r w:rsidR="00DC5B06" w:rsidRPr="00122196">
        <w:rPr>
          <w:rFonts w:ascii="Calibri" w:eastAsia="Calibri" w:hAnsi="Calibri" w:cs="Calibri"/>
          <w:color w:val="auto"/>
        </w:rPr>
        <w:t xml:space="preserve">under option 2. These substantive compliance costs would be borne by producers. </w:t>
      </w:r>
    </w:p>
    <w:p w14:paraId="01279DEE" w14:textId="68954A37" w:rsidR="00DC5B06" w:rsidRPr="00122196" w:rsidRDefault="00DC5B06" w:rsidP="00DC5B06">
      <w:pPr>
        <w:autoSpaceDE w:val="0"/>
        <w:autoSpaceDN w:val="0"/>
        <w:spacing w:before="120" w:after="0" w:line="276" w:lineRule="auto"/>
        <w:rPr>
          <w:rFonts w:ascii="Calibri" w:eastAsia="Calibri" w:hAnsi="Calibri" w:cs="Calibri"/>
          <w:color w:val="auto"/>
        </w:rPr>
      </w:pPr>
      <w:r w:rsidRPr="00122196">
        <w:rPr>
          <w:rFonts w:ascii="Calibri" w:eastAsia="Calibri" w:hAnsi="Calibri" w:cs="Calibri"/>
          <w:color w:val="auto"/>
        </w:rPr>
        <w:t xml:space="preserve">Producers would need to procure </w:t>
      </w:r>
      <w:r w:rsidR="003E27D5">
        <w:rPr>
          <w:rFonts w:ascii="Calibri" w:eastAsia="Calibri" w:hAnsi="Calibri" w:cs="Calibri"/>
          <w:color w:val="auto"/>
        </w:rPr>
        <w:t xml:space="preserve">more frequent </w:t>
      </w:r>
      <w:r w:rsidRPr="00122196">
        <w:rPr>
          <w:rFonts w:ascii="Calibri" w:eastAsia="Calibri" w:hAnsi="Calibri" w:cs="Calibri"/>
          <w:color w:val="auto"/>
        </w:rPr>
        <w:t>independent assurance of the emissions credentials of their products to ensure compatibility with domestic criteria and export requirements. For these estimates, we assume audits that provide this assurance will be done annually.</w:t>
      </w:r>
    </w:p>
    <w:p w14:paraId="67E2625D" w14:textId="0C09A756" w:rsidR="00DC5B06" w:rsidRPr="00122196" w:rsidRDefault="00DC5B06" w:rsidP="00DC5B06">
      <w:pPr>
        <w:autoSpaceDE w:val="0"/>
        <w:autoSpaceDN w:val="0"/>
        <w:spacing w:before="120" w:after="0" w:line="276" w:lineRule="auto"/>
        <w:rPr>
          <w:rFonts w:ascii="Calibri" w:eastAsia="Calibri" w:hAnsi="Calibri" w:cs="Calibri"/>
          <w:color w:val="auto"/>
        </w:rPr>
      </w:pPr>
      <w:r w:rsidRPr="00122196">
        <w:rPr>
          <w:rFonts w:ascii="Calibri" w:eastAsia="Calibri" w:hAnsi="Calibri" w:cs="Calibri"/>
          <w:color w:val="auto"/>
        </w:rPr>
        <w:t xml:space="preserve">Assurance costs are likely to continually increase over time as the industry scales-up and demand for third-party verification increases. The time-scaled estimates in Table </w:t>
      </w:r>
      <w:r w:rsidR="00676E0C">
        <w:rPr>
          <w:rFonts w:ascii="Calibri" w:eastAsia="Calibri" w:hAnsi="Calibri" w:cs="Calibri"/>
          <w:color w:val="auto"/>
        </w:rPr>
        <w:t>8</w:t>
      </w:r>
      <w:r w:rsidRPr="00122196">
        <w:rPr>
          <w:rFonts w:ascii="Calibri" w:eastAsia="Calibri" w:hAnsi="Calibri" w:cs="Calibri"/>
          <w:color w:val="auto"/>
        </w:rPr>
        <w:t xml:space="preserve"> however are calculated in </w:t>
      </w:r>
      <w:r w:rsidR="00C77BEE">
        <w:rPr>
          <w:rFonts w:ascii="Calibri" w:eastAsia="Calibri" w:hAnsi="Calibri" w:cs="Calibri"/>
          <w:color w:val="auto"/>
        </w:rPr>
        <w:t xml:space="preserve">present day </w:t>
      </w:r>
      <w:r w:rsidR="00335F89">
        <w:rPr>
          <w:rFonts w:ascii="Calibri" w:eastAsia="Calibri" w:hAnsi="Calibri" w:cs="Calibri"/>
          <w:color w:val="auto"/>
        </w:rPr>
        <w:t xml:space="preserve">terms </w:t>
      </w:r>
      <w:r w:rsidRPr="00122196">
        <w:rPr>
          <w:rFonts w:ascii="Calibri" w:eastAsia="Calibri" w:hAnsi="Calibri" w:cs="Calibri"/>
          <w:color w:val="auto"/>
        </w:rPr>
        <w:t xml:space="preserve">in line with the </w:t>
      </w:r>
      <w:r w:rsidR="00335F89">
        <w:rPr>
          <w:rFonts w:ascii="Calibri" w:eastAsia="Calibri" w:hAnsi="Calibri" w:cs="Calibri"/>
          <w:color w:val="auto"/>
        </w:rPr>
        <w:t xml:space="preserve">requirements of the </w:t>
      </w:r>
      <w:r w:rsidRPr="00122196">
        <w:rPr>
          <w:rFonts w:ascii="Calibri" w:eastAsia="Calibri" w:hAnsi="Calibri" w:cs="Calibri"/>
          <w:color w:val="auto"/>
        </w:rPr>
        <w:t>RBMF.</w:t>
      </w:r>
    </w:p>
    <w:p w14:paraId="72E47EBF" w14:textId="77777777" w:rsidR="00DC5B06" w:rsidRPr="00122196" w:rsidRDefault="00DC5B06" w:rsidP="00DC5B06">
      <w:pPr>
        <w:keepNext/>
        <w:keepLines/>
        <w:spacing w:before="120" w:after="0"/>
        <w:outlineLvl w:val="2"/>
        <w:rPr>
          <w:rFonts w:ascii="Calibri Light" w:eastAsia="Yu Gothic Light" w:hAnsi="Calibri Light" w:cs="Times New Roman"/>
          <w:color w:val="1F3763"/>
          <w:sz w:val="24"/>
          <w:szCs w:val="24"/>
        </w:rPr>
      </w:pPr>
      <w:bookmarkStart w:id="77" w:name="_Toc174692345"/>
      <w:bookmarkStart w:id="78" w:name="_Toc175312100"/>
      <w:r w:rsidRPr="00122196">
        <w:rPr>
          <w:rFonts w:ascii="Calibri Light" w:eastAsia="Yu Gothic Light" w:hAnsi="Calibri Light" w:cs="Times New Roman"/>
          <w:color w:val="1F3763"/>
          <w:sz w:val="24"/>
          <w:szCs w:val="24"/>
        </w:rPr>
        <w:t>Individuals</w:t>
      </w:r>
      <w:bookmarkEnd w:id="77"/>
      <w:bookmarkEnd w:id="78"/>
    </w:p>
    <w:p w14:paraId="42DF5F72" w14:textId="09194064" w:rsidR="00DC5B06" w:rsidRPr="00122196" w:rsidRDefault="00AA3207" w:rsidP="00DC5B06">
      <w:pPr>
        <w:autoSpaceDE w:val="0"/>
        <w:autoSpaceDN w:val="0"/>
        <w:spacing w:before="120" w:after="0" w:line="276" w:lineRule="auto"/>
        <w:rPr>
          <w:rFonts w:ascii="Calibri" w:eastAsia="Calibri" w:hAnsi="Calibri" w:cs="Calibri"/>
          <w:color w:val="auto"/>
        </w:rPr>
      </w:pPr>
      <w:r>
        <w:rPr>
          <w:rFonts w:ascii="Calibri" w:eastAsia="Calibri" w:hAnsi="Calibri" w:cs="Calibri"/>
          <w:color w:val="auto"/>
        </w:rPr>
        <w:t>Burden on i</w:t>
      </w:r>
      <w:r w:rsidR="00DC5B06" w:rsidRPr="00122196">
        <w:rPr>
          <w:rFonts w:ascii="Calibri" w:eastAsia="Calibri" w:hAnsi="Calibri" w:cs="Calibri"/>
          <w:color w:val="auto"/>
        </w:rPr>
        <w:t xml:space="preserve">ndividuals </w:t>
      </w:r>
      <w:r>
        <w:rPr>
          <w:rFonts w:ascii="Calibri" w:eastAsia="Calibri" w:hAnsi="Calibri" w:cs="Calibri"/>
          <w:color w:val="auto"/>
        </w:rPr>
        <w:t xml:space="preserve">is </w:t>
      </w:r>
      <w:r w:rsidR="00DC5B06" w:rsidRPr="00122196">
        <w:rPr>
          <w:rFonts w:ascii="Calibri" w:eastAsia="Calibri" w:hAnsi="Calibri" w:cs="Calibri"/>
          <w:color w:val="auto"/>
        </w:rPr>
        <w:t>not included in option 2 estimates as they are not envisaged to participate in the quasi-regulated production of hydrogen or hydrogen-related products.</w:t>
      </w:r>
    </w:p>
    <w:p w14:paraId="5B31E8D0" w14:textId="6E640F2C" w:rsidR="00DC5B06" w:rsidRPr="00122196" w:rsidRDefault="00DC5B06" w:rsidP="00DC5B06">
      <w:pPr>
        <w:keepNext/>
        <w:keepLines/>
        <w:spacing w:before="240" w:after="0"/>
        <w:outlineLvl w:val="0"/>
        <w:rPr>
          <w:rFonts w:ascii="Calibri Light" w:eastAsia="Yu Gothic Light" w:hAnsi="Calibri Light" w:cs="Times New Roman"/>
          <w:color w:val="2F5496"/>
          <w:sz w:val="32"/>
          <w:szCs w:val="32"/>
        </w:rPr>
      </w:pPr>
      <w:bookmarkStart w:id="79" w:name="_Toc174692346"/>
      <w:bookmarkStart w:id="80" w:name="_Toc175312101"/>
      <w:r w:rsidRPr="00122196">
        <w:rPr>
          <w:rFonts w:ascii="Calibri Light" w:eastAsia="Yu Gothic Light" w:hAnsi="Calibri Light" w:cs="Times New Roman"/>
          <w:color w:val="2F5496"/>
          <w:sz w:val="32"/>
          <w:szCs w:val="32"/>
        </w:rPr>
        <w:t>Quasi-regulatory cost estimates</w:t>
      </w:r>
      <w:r w:rsidR="00962091">
        <w:rPr>
          <w:rFonts w:ascii="Calibri Light" w:eastAsia="Yu Gothic Light" w:hAnsi="Calibri Light" w:cs="Times New Roman"/>
          <w:color w:val="2F5496"/>
          <w:sz w:val="32"/>
          <w:szCs w:val="32"/>
        </w:rPr>
        <w:t xml:space="preserve"> (Option 2)</w:t>
      </w:r>
      <w:bookmarkEnd w:id="79"/>
      <w:bookmarkEnd w:id="80"/>
    </w:p>
    <w:p w14:paraId="24BD53EC" w14:textId="0CBD8C59" w:rsidR="00DC5B06" w:rsidRPr="00122196" w:rsidRDefault="00DC5B06" w:rsidP="00DC5B06">
      <w:pPr>
        <w:rPr>
          <w:rFonts w:ascii="Calibri" w:eastAsia="Calibri" w:hAnsi="Calibri" w:cs="Arial"/>
          <w:color w:val="262626"/>
        </w:rPr>
      </w:pPr>
      <w:r w:rsidRPr="00122196">
        <w:rPr>
          <w:rFonts w:ascii="Calibri" w:eastAsia="Calibri" w:hAnsi="Calibri" w:cs="Arial"/>
          <w:color w:val="262626"/>
        </w:rPr>
        <w:t>Estimates in the tables below examine the costs for a single hydrogen producer to operate without a government administered scheme</w:t>
      </w:r>
      <w:r w:rsidR="00C201B1">
        <w:rPr>
          <w:rFonts w:ascii="Calibri" w:eastAsia="Calibri" w:hAnsi="Calibri" w:cs="Arial"/>
          <w:color w:val="262626"/>
        </w:rPr>
        <w:t xml:space="preserve"> but adhering to a model code.</w:t>
      </w:r>
    </w:p>
    <w:p w14:paraId="0E494ED8" w14:textId="4B2AEA80" w:rsidR="00DC5B06" w:rsidRPr="00122196" w:rsidRDefault="00191811" w:rsidP="00DC5B06">
      <w:pPr>
        <w:spacing w:before="120" w:after="160" w:line="256" w:lineRule="auto"/>
        <w:rPr>
          <w:rFonts w:ascii="Calibri" w:eastAsia="Calibri" w:hAnsi="Calibri" w:cs="Arial"/>
          <w:color w:val="262626"/>
        </w:rPr>
      </w:pPr>
      <w:r w:rsidRPr="00191811">
        <w:rPr>
          <w:rFonts w:ascii="Calibri" w:eastAsia="Calibri" w:hAnsi="Calibri" w:cs="Arial"/>
          <w:b/>
          <w:bCs/>
          <w:color w:val="262626"/>
        </w:rPr>
        <w:lastRenderedPageBreak/>
        <w:fldChar w:fldCharType="begin"/>
      </w:r>
      <w:r w:rsidRPr="00191811">
        <w:rPr>
          <w:rFonts w:ascii="Calibri" w:eastAsia="Calibri" w:hAnsi="Calibri" w:cs="Arial"/>
          <w:b/>
          <w:bCs/>
          <w:color w:val="262626"/>
        </w:rPr>
        <w:instrText xml:space="preserve"> REF _Ref166854851 \h </w:instrText>
      </w:r>
      <w:r w:rsidRPr="00191811">
        <w:rPr>
          <w:rFonts w:ascii="Calibri" w:eastAsia="Calibri" w:hAnsi="Calibri" w:cs="Arial"/>
          <w:b/>
          <w:color w:val="262626"/>
        </w:rPr>
        <w:instrText xml:space="preserve"> </w:instrText>
      </w:r>
      <w:r w:rsidRPr="00E76953">
        <w:rPr>
          <w:rFonts w:ascii="Calibri" w:eastAsia="Calibri" w:hAnsi="Calibri" w:cs="Arial"/>
          <w:b/>
          <w:bCs/>
          <w:color w:val="262626"/>
        </w:rPr>
        <w:instrText xml:space="preserve">\* MERGEFORMAT </w:instrText>
      </w:r>
      <w:r w:rsidRPr="00191811">
        <w:rPr>
          <w:rFonts w:ascii="Calibri" w:eastAsia="Calibri" w:hAnsi="Calibri" w:cs="Arial"/>
          <w:b/>
          <w:bCs/>
          <w:color w:val="262626"/>
        </w:rPr>
      </w:r>
      <w:r w:rsidRPr="00191811">
        <w:rPr>
          <w:rFonts w:ascii="Calibri" w:eastAsia="Calibri" w:hAnsi="Calibri" w:cs="Arial"/>
          <w:b/>
          <w:bCs/>
          <w:color w:val="262626"/>
        </w:rPr>
        <w:fldChar w:fldCharType="separate"/>
      </w:r>
      <w:r w:rsidR="00290A84" w:rsidRPr="00290A84">
        <w:rPr>
          <w:b/>
          <w:bCs/>
        </w:rPr>
        <w:t xml:space="preserve">Table </w:t>
      </w:r>
      <w:r w:rsidRPr="00191811">
        <w:rPr>
          <w:rFonts w:ascii="Calibri" w:eastAsia="Calibri" w:hAnsi="Calibri" w:cs="Arial"/>
          <w:b/>
          <w:bCs/>
          <w:color w:val="262626"/>
        </w:rPr>
        <w:fldChar w:fldCharType="end"/>
      </w:r>
      <w:r w:rsidR="00676E0C">
        <w:rPr>
          <w:rFonts w:ascii="Calibri" w:eastAsia="Calibri" w:hAnsi="Calibri" w:cs="Arial"/>
          <w:b/>
          <w:bCs/>
          <w:color w:val="262626"/>
        </w:rPr>
        <w:t>8</w:t>
      </w:r>
      <w:r>
        <w:rPr>
          <w:rFonts w:ascii="Calibri" w:eastAsia="Calibri" w:hAnsi="Calibri" w:cs="Arial"/>
          <w:b/>
          <w:bCs/>
          <w:color w:val="262626"/>
        </w:rPr>
        <w:t xml:space="preserve"> </w:t>
      </w:r>
      <w:r w:rsidR="00DC5B06" w:rsidRPr="00122196">
        <w:rPr>
          <w:rFonts w:ascii="Calibri" w:eastAsia="Calibri" w:hAnsi="Calibri" w:cs="Arial"/>
          <w:color w:val="262626"/>
        </w:rPr>
        <w:t>outline</w:t>
      </w:r>
      <w:r w:rsidR="00DC5B06">
        <w:rPr>
          <w:rFonts w:ascii="Calibri" w:eastAsia="Calibri" w:hAnsi="Calibri" w:cs="Arial"/>
          <w:color w:val="262626"/>
        </w:rPr>
        <w:t>s</w:t>
      </w:r>
      <w:r w:rsidR="00DC5B06" w:rsidRPr="00122196">
        <w:rPr>
          <w:rFonts w:ascii="Calibri" w:eastAsia="Calibri" w:hAnsi="Calibri" w:cs="Arial"/>
          <w:color w:val="262626"/>
        </w:rPr>
        <w:t xml:space="preserve"> implementation and ongoing annual costs to </w:t>
      </w:r>
      <w:r w:rsidR="00C201B1">
        <w:rPr>
          <w:rFonts w:ascii="Calibri" w:eastAsia="Calibri" w:hAnsi="Calibri" w:cs="Arial"/>
          <w:color w:val="262626"/>
        </w:rPr>
        <w:t xml:space="preserve">a </w:t>
      </w:r>
      <w:r w:rsidR="00DC5B06" w:rsidRPr="00122196">
        <w:rPr>
          <w:rFonts w:ascii="Calibri" w:eastAsia="Calibri" w:hAnsi="Calibri" w:cs="Arial"/>
          <w:color w:val="262626"/>
        </w:rPr>
        <w:t xml:space="preserve">hydrogen producer to operate under an emissions accounting framework aligned with a published model code. </w:t>
      </w:r>
      <w:r w:rsidR="004C3345" w:rsidRPr="00293BEE">
        <w:rPr>
          <w:rFonts w:cstheme="minorHAnsi"/>
          <w:color w:val="auto"/>
        </w:rPr>
        <w:t xml:space="preserve">Estimates for </w:t>
      </w:r>
      <w:r w:rsidR="004C3345">
        <w:rPr>
          <w:rFonts w:cstheme="minorHAnsi"/>
          <w:color w:val="auto"/>
        </w:rPr>
        <w:t xml:space="preserve">record keeping and assurance burden and costs were </w:t>
      </w:r>
      <w:r w:rsidR="004C3345" w:rsidRPr="00293BEE">
        <w:rPr>
          <w:rFonts w:cstheme="minorHAnsi"/>
          <w:color w:val="auto"/>
        </w:rPr>
        <w:t xml:space="preserve">provided by the CER </w:t>
      </w:r>
      <w:r w:rsidR="004C3345">
        <w:rPr>
          <w:rFonts w:cstheme="minorHAnsi"/>
          <w:color w:val="auto"/>
        </w:rPr>
        <w:t xml:space="preserve">based </w:t>
      </w:r>
      <w:r w:rsidR="004C3345" w:rsidRPr="00293BEE">
        <w:rPr>
          <w:rFonts w:cstheme="minorHAnsi"/>
          <w:color w:val="auto"/>
        </w:rPr>
        <w:t xml:space="preserve">on </w:t>
      </w:r>
      <w:r w:rsidR="004C3345">
        <w:rPr>
          <w:rFonts w:cstheme="minorHAnsi"/>
          <w:color w:val="auto"/>
        </w:rPr>
        <w:t>participant data from similar schemes that they administer</w:t>
      </w:r>
      <w:r w:rsidR="004C3345">
        <w:rPr>
          <w:rFonts w:ascii="Calibri" w:eastAsia="Calibri" w:hAnsi="Calibri" w:cs="Arial"/>
          <w:color w:val="262626"/>
        </w:rPr>
        <w:t xml:space="preserve">. </w:t>
      </w:r>
    </w:p>
    <w:p w14:paraId="2D625A3C" w14:textId="0D4EEB58" w:rsidR="00DC5B06" w:rsidRDefault="00DC5B06" w:rsidP="00DC5B06">
      <w:pPr>
        <w:spacing w:before="120" w:after="160" w:line="256" w:lineRule="auto"/>
        <w:rPr>
          <w:rFonts w:ascii="Calibri" w:eastAsia="Calibri" w:hAnsi="Calibri" w:cs="Arial"/>
          <w:color w:val="262626"/>
        </w:rPr>
      </w:pPr>
      <w:r w:rsidRPr="00122196">
        <w:rPr>
          <w:rFonts w:ascii="Calibri" w:eastAsia="Calibri" w:hAnsi="Calibri" w:cs="Arial"/>
          <w:color w:val="262626"/>
        </w:rPr>
        <w:t xml:space="preserve">Ongoing annual costs include production related record-keeping and procurement of third-party assurance. This estimate assumes that </w:t>
      </w:r>
      <w:r w:rsidR="004021BB">
        <w:rPr>
          <w:rFonts w:ascii="Calibri" w:eastAsia="Calibri" w:hAnsi="Calibri" w:cs="Arial"/>
          <w:color w:val="262626"/>
        </w:rPr>
        <w:t>hydrogen</w:t>
      </w:r>
      <w:r w:rsidRPr="00122196">
        <w:rPr>
          <w:rFonts w:ascii="Calibri" w:eastAsia="Calibri" w:hAnsi="Calibri" w:cs="Arial"/>
          <w:color w:val="262626"/>
        </w:rPr>
        <w:t xml:space="preserve"> producers will likely spend less time on monthly record keeping under a quasi-regulated model due to being self-regulated. This would likely result in comparatively increased burden for producers and auditors when conducting annual reviews.</w:t>
      </w:r>
    </w:p>
    <w:p w14:paraId="11AE144C" w14:textId="6C0A27DA" w:rsidR="00E02BF9" w:rsidRPr="00E76953" w:rsidRDefault="00E02BF9" w:rsidP="00191811">
      <w:pPr>
        <w:pStyle w:val="Caption"/>
        <w:spacing w:after="0"/>
      </w:pPr>
      <w:bookmarkStart w:id="81" w:name="_Ref166854851"/>
      <w:r>
        <w:t xml:space="preserve">Table </w:t>
      </w:r>
      <w:bookmarkEnd w:id="81"/>
      <w:r w:rsidR="00676E0C">
        <w:t>8</w:t>
      </w:r>
      <w:r>
        <w:t xml:space="preserve">: </w:t>
      </w:r>
      <w:r w:rsidR="004428E0">
        <w:t>R</w:t>
      </w:r>
      <w:r>
        <w:t>egulatory costs of a single producer under option 2</w:t>
      </w:r>
    </w:p>
    <w:tbl>
      <w:tblPr>
        <w:tblpPr w:leftFromText="180" w:rightFromText="180" w:vertAnchor="text" w:horzAnchor="margin" w:tblpY="211"/>
        <w:tblW w:w="10168" w:type="dxa"/>
        <w:tblLook w:val="04A0" w:firstRow="1" w:lastRow="0" w:firstColumn="1" w:lastColumn="0" w:noHBand="0" w:noVBand="1"/>
      </w:tblPr>
      <w:tblGrid>
        <w:gridCol w:w="4561"/>
        <w:gridCol w:w="2814"/>
        <w:gridCol w:w="2793"/>
      </w:tblGrid>
      <w:tr w:rsidR="00DC5B06" w:rsidRPr="00122196" w14:paraId="6BC8729C" w14:textId="77777777" w:rsidTr="00E76953">
        <w:trPr>
          <w:trHeight w:val="600"/>
        </w:trPr>
        <w:tc>
          <w:tcPr>
            <w:tcW w:w="4561" w:type="dxa"/>
            <w:tcBorders>
              <w:top w:val="single" w:sz="4" w:space="0" w:color="auto"/>
              <w:left w:val="single" w:sz="4" w:space="0" w:color="auto"/>
              <w:bottom w:val="single" w:sz="4" w:space="0" w:color="auto"/>
              <w:right w:val="single" w:sz="4" w:space="0" w:color="auto"/>
            </w:tcBorders>
            <w:shd w:val="clear" w:color="auto" w:fill="D1D1D1" w:themeFill="background2"/>
            <w:vAlign w:val="center"/>
            <w:hideMark/>
          </w:tcPr>
          <w:p w14:paraId="4336FE38" w14:textId="683B41C3" w:rsidR="00DC5B06" w:rsidRPr="00122196" w:rsidRDefault="00DC5B06">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xml:space="preserve">GO scheme </w:t>
            </w:r>
            <w:r w:rsidR="00A55510">
              <w:rPr>
                <w:rFonts w:ascii="Calibri" w:eastAsia="Times New Roman" w:hAnsi="Calibri" w:cs="Calibri"/>
                <w:b/>
                <w:bCs/>
                <w:color w:val="auto"/>
                <w:lang w:eastAsia="en-AU"/>
              </w:rPr>
              <w:t>activity</w:t>
            </w:r>
          </w:p>
        </w:tc>
        <w:tc>
          <w:tcPr>
            <w:tcW w:w="2813" w:type="dxa"/>
            <w:tcBorders>
              <w:top w:val="single" w:sz="4" w:space="0" w:color="auto"/>
              <w:left w:val="nil"/>
              <w:bottom w:val="nil"/>
              <w:right w:val="nil"/>
            </w:tcBorders>
            <w:shd w:val="clear" w:color="auto" w:fill="D1D1D1" w:themeFill="background2"/>
            <w:vAlign w:val="bottom"/>
            <w:hideMark/>
          </w:tcPr>
          <w:p w14:paraId="2FC394BE" w14:textId="77777777" w:rsidR="00DC5B06" w:rsidRPr="00122196" w:rsidRDefault="00DC5B06">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Number of hours involved per hydrogen producer</w:t>
            </w:r>
          </w:p>
        </w:tc>
        <w:tc>
          <w:tcPr>
            <w:tcW w:w="2793" w:type="dxa"/>
            <w:tcBorders>
              <w:top w:val="single" w:sz="4" w:space="0" w:color="auto"/>
              <w:left w:val="single" w:sz="4" w:space="0" w:color="auto"/>
              <w:bottom w:val="single" w:sz="4" w:space="0" w:color="auto"/>
              <w:right w:val="single" w:sz="4" w:space="0" w:color="auto"/>
            </w:tcBorders>
            <w:shd w:val="clear" w:color="auto" w:fill="D1D1D1" w:themeFill="background2"/>
            <w:noWrap/>
            <w:vAlign w:val="center"/>
            <w:hideMark/>
          </w:tcPr>
          <w:p w14:paraId="7D2E1429" w14:textId="77777777" w:rsidR="00DC5B06" w:rsidRPr="00122196" w:rsidRDefault="00DC5B06">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Cost per hydrogen producer</w:t>
            </w:r>
          </w:p>
        </w:tc>
      </w:tr>
      <w:tr w:rsidR="00DC5B06" w:rsidRPr="00122196" w14:paraId="07850D45" w14:textId="77777777" w:rsidTr="00E76953">
        <w:trPr>
          <w:trHeight w:val="300"/>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03E1C57C" w14:textId="77777777" w:rsidR="00DC5B06" w:rsidRPr="00122196" w:rsidRDefault="00DC5B06">
            <w:pPr>
              <w:spacing w:after="0" w:line="240" w:lineRule="auto"/>
              <w:rPr>
                <w:rFonts w:ascii="Calibri" w:eastAsia="Times New Roman" w:hAnsi="Calibri" w:cs="Calibri"/>
                <w:color w:val="000000"/>
                <w:lang w:eastAsia="en-AU"/>
              </w:rPr>
            </w:pPr>
            <w:r w:rsidRPr="00122196">
              <w:rPr>
                <w:rFonts w:ascii="Calibri" w:eastAsia="Times New Roman" w:hAnsi="Calibri" w:cs="Calibri"/>
                <w:color w:val="000000"/>
                <w:lang w:eastAsia="en-AU"/>
              </w:rPr>
              <w:t>Establishing data collection processes</w:t>
            </w:r>
          </w:p>
        </w:tc>
        <w:tc>
          <w:tcPr>
            <w:tcW w:w="2813" w:type="dxa"/>
            <w:tcBorders>
              <w:top w:val="single" w:sz="4" w:space="0" w:color="auto"/>
              <w:left w:val="nil"/>
              <w:bottom w:val="single" w:sz="4" w:space="0" w:color="auto"/>
              <w:right w:val="single" w:sz="4" w:space="0" w:color="auto"/>
            </w:tcBorders>
            <w:shd w:val="clear" w:color="auto" w:fill="auto"/>
            <w:noWrap/>
            <w:vAlign w:val="center"/>
            <w:hideMark/>
          </w:tcPr>
          <w:p w14:paraId="0761CE70"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w:t>
            </w:r>
          </w:p>
        </w:tc>
        <w:tc>
          <w:tcPr>
            <w:tcW w:w="2793" w:type="dxa"/>
            <w:tcBorders>
              <w:top w:val="nil"/>
              <w:left w:val="nil"/>
              <w:bottom w:val="single" w:sz="4" w:space="0" w:color="auto"/>
              <w:right w:val="single" w:sz="4" w:space="0" w:color="auto"/>
            </w:tcBorders>
            <w:shd w:val="clear" w:color="auto" w:fill="auto"/>
            <w:noWrap/>
            <w:vAlign w:val="center"/>
            <w:hideMark/>
          </w:tcPr>
          <w:p w14:paraId="4E394E7E" w14:textId="77777777" w:rsidR="00DC5B06" w:rsidRPr="00122196" w:rsidRDefault="00DC5B06">
            <w:pPr>
              <w:spacing w:after="0" w:line="240" w:lineRule="auto"/>
              <w:jc w:val="center"/>
              <w:rPr>
                <w:rFonts w:ascii="Calibri" w:eastAsia="Times New Roman" w:hAnsi="Calibri" w:cs="Calibri"/>
                <w:color w:val="262626"/>
                <w:lang w:eastAsia="en-AU"/>
              </w:rPr>
            </w:pPr>
            <w:r w:rsidRPr="00122196">
              <w:rPr>
                <w:rFonts w:ascii="Calibri" w:eastAsia="Times New Roman" w:hAnsi="Calibri" w:cs="Calibri"/>
                <w:color w:val="262626"/>
                <w:lang w:eastAsia="en-AU"/>
              </w:rPr>
              <w:t>$637</w:t>
            </w:r>
          </w:p>
        </w:tc>
      </w:tr>
      <w:tr w:rsidR="00DC5B06" w:rsidRPr="00122196" w14:paraId="07BD0F7A" w14:textId="77777777" w:rsidTr="00E76953">
        <w:trPr>
          <w:trHeight w:val="300"/>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165ACD36" w14:textId="77777777" w:rsidR="00DC5B06" w:rsidRPr="00122196" w:rsidRDefault="00DC5B06">
            <w:pPr>
              <w:spacing w:after="0" w:line="240" w:lineRule="auto"/>
              <w:rPr>
                <w:rFonts w:ascii="Calibri" w:eastAsia="Times New Roman" w:hAnsi="Calibri" w:cs="Calibri"/>
                <w:color w:val="000000"/>
                <w:lang w:eastAsia="en-AU"/>
              </w:rPr>
            </w:pPr>
            <w:r w:rsidRPr="00122196">
              <w:rPr>
                <w:rFonts w:ascii="Calibri" w:eastAsia="Times New Roman" w:hAnsi="Calibri" w:cs="Calibri"/>
                <w:color w:val="000000"/>
                <w:lang w:eastAsia="en-AU"/>
              </w:rPr>
              <w:t>Assurance reporting framework against model code</w:t>
            </w:r>
          </w:p>
        </w:tc>
        <w:tc>
          <w:tcPr>
            <w:tcW w:w="2813" w:type="dxa"/>
            <w:tcBorders>
              <w:top w:val="nil"/>
              <w:left w:val="nil"/>
              <w:bottom w:val="single" w:sz="4" w:space="0" w:color="auto"/>
              <w:right w:val="single" w:sz="4" w:space="0" w:color="auto"/>
            </w:tcBorders>
            <w:shd w:val="clear" w:color="auto" w:fill="auto"/>
            <w:noWrap/>
            <w:vAlign w:val="center"/>
            <w:hideMark/>
          </w:tcPr>
          <w:p w14:paraId="347F4C7C" w14:textId="77777777" w:rsidR="00DC5B06" w:rsidRPr="00122196" w:rsidRDefault="00DC5B06">
            <w:pPr>
              <w:spacing w:after="0" w:line="240" w:lineRule="auto"/>
              <w:jc w:val="center"/>
              <w:rPr>
                <w:rFonts w:ascii="Calibri" w:eastAsia="Times New Roman" w:hAnsi="Calibri" w:cs="Calibri"/>
                <w:color w:val="000000"/>
                <w:sz w:val="18"/>
                <w:szCs w:val="18"/>
                <w:lang w:eastAsia="en-AU"/>
              </w:rPr>
            </w:pPr>
            <w:r w:rsidRPr="00122196">
              <w:rPr>
                <w:rFonts w:ascii="Calibri" w:eastAsia="Times New Roman" w:hAnsi="Calibri" w:cs="Calibri"/>
                <w:color w:val="000000"/>
                <w:sz w:val="18"/>
                <w:szCs w:val="18"/>
                <w:lang w:eastAsia="en-AU"/>
              </w:rPr>
              <w:t>22</w:t>
            </w:r>
          </w:p>
        </w:tc>
        <w:tc>
          <w:tcPr>
            <w:tcW w:w="2793" w:type="dxa"/>
            <w:tcBorders>
              <w:top w:val="nil"/>
              <w:left w:val="nil"/>
              <w:bottom w:val="single" w:sz="4" w:space="0" w:color="auto"/>
              <w:right w:val="single" w:sz="4" w:space="0" w:color="auto"/>
            </w:tcBorders>
            <w:shd w:val="clear" w:color="auto" w:fill="auto"/>
            <w:noWrap/>
            <w:vAlign w:val="center"/>
            <w:hideMark/>
          </w:tcPr>
          <w:p w14:paraId="12A60FE9"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$1,752</w:t>
            </w:r>
          </w:p>
        </w:tc>
      </w:tr>
      <w:tr w:rsidR="00DC5B06" w:rsidRPr="00122196" w14:paraId="7A3CE4D1" w14:textId="77777777" w:rsidTr="00E76953">
        <w:trPr>
          <w:trHeight w:val="300"/>
        </w:trPr>
        <w:tc>
          <w:tcPr>
            <w:tcW w:w="7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0766C7" w14:textId="77777777" w:rsidR="00DC5B06" w:rsidRPr="00122196" w:rsidRDefault="00DC5B06">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Establishment cost total</w:t>
            </w:r>
          </w:p>
        </w:tc>
        <w:tc>
          <w:tcPr>
            <w:tcW w:w="2793" w:type="dxa"/>
            <w:tcBorders>
              <w:top w:val="nil"/>
              <w:left w:val="nil"/>
              <w:bottom w:val="single" w:sz="4" w:space="0" w:color="auto"/>
              <w:right w:val="single" w:sz="4" w:space="0" w:color="auto"/>
            </w:tcBorders>
            <w:shd w:val="clear" w:color="auto" w:fill="auto"/>
            <w:noWrap/>
            <w:vAlign w:val="center"/>
            <w:hideMark/>
          </w:tcPr>
          <w:p w14:paraId="65FEC79E" w14:textId="77777777" w:rsidR="00DC5B06" w:rsidRPr="00122196" w:rsidRDefault="00DC5B06">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$2,389</w:t>
            </w:r>
          </w:p>
        </w:tc>
      </w:tr>
      <w:tr w:rsidR="00DC5B06" w:rsidRPr="00122196" w14:paraId="13D770D2" w14:textId="77777777" w:rsidTr="00E76953">
        <w:trPr>
          <w:trHeight w:val="353"/>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0D231FC3" w14:textId="77777777" w:rsidR="00DC5B06" w:rsidRPr="00122196" w:rsidRDefault="00DC5B06">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Production</w:t>
            </w:r>
          </w:p>
        </w:tc>
        <w:tc>
          <w:tcPr>
            <w:tcW w:w="560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7863CCE"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not considered an administrative cost</w:t>
            </w:r>
          </w:p>
        </w:tc>
      </w:tr>
      <w:tr w:rsidR="00DC5B06" w:rsidRPr="00122196" w14:paraId="514A4A27" w14:textId="77777777" w:rsidTr="00E76953">
        <w:trPr>
          <w:trHeight w:val="300"/>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4B0FF4CA" w14:textId="77777777" w:rsidR="00DC5B06" w:rsidRPr="00122196" w:rsidRDefault="00DC5B06">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Production record keeping</w:t>
            </w:r>
          </w:p>
        </w:tc>
        <w:tc>
          <w:tcPr>
            <w:tcW w:w="2813" w:type="dxa"/>
            <w:tcBorders>
              <w:top w:val="nil"/>
              <w:left w:val="nil"/>
              <w:bottom w:val="single" w:sz="4" w:space="0" w:color="auto"/>
              <w:right w:val="single" w:sz="4" w:space="0" w:color="auto"/>
            </w:tcBorders>
            <w:shd w:val="clear" w:color="auto" w:fill="auto"/>
            <w:noWrap/>
            <w:vAlign w:val="center"/>
            <w:hideMark/>
          </w:tcPr>
          <w:p w14:paraId="3E2ED4AE"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48</w:t>
            </w:r>
          </w:p>
        </w:tc>
        <w:tc>
          <w:tcPr>
            <w:tcW w:w="2793" w:type="dxa"/>
            <w:tcBorders>
              <w:top w:val="nil"/>
              <w:left w:val="nil"/>
              <w:bottom w:val="single" w:sz="4" w:space="0" w:color="auto"/>
              <w:right w:val="single" w:sz="4" w:space="0" w:color="auto"/>
            </w:tcBorders>
            <w:shd w:val="clear" w:color="auto" w:fill="auto"/>
            <w:noWrap/>
            <w:vAlign w:val="center"/>
            <w:hideMark/>
          </w:tcPr>
          <w:p w14:paraId="25A1F53F"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$3,822</w:t>
            </w:r>
          </w:p>
        </w:tc>
      </w:tr>
      <w:tr w:rsidR="00DC5B06" w:rsidRPr="00122196" w14:paraId="1B824CCE" w14:textId="77777777" w:rsidTr="00E76953">
        <w:trPr>
          <w:trHeight w:val="300"/>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2A0B92F6" w14:textId="77777777" w:rsidR="00DC5B06" w:rsidRPr="00122196" w:rsidRDefault="00DC5B06">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Annual Assurance in line with model code</w:t>
            </w:r>
          </w:p>
        </w:tc>
        <w:tc>
          <w:tcPr>
            <w:tcW w:w="2813" w:type="dxa"/>
            <w:tcBorders>
              <w:top w:val="nil"/>
              <w:left w:val="nil"/>
              <w:bottom w:val="single" w:sz="4" w:space="0" w:color="auto"/>
              <w:right w:val="single" w:sz="4" w:space="0" w:color="auto"/>
            </w:tcBorders>
            <w:shd w:val="clear" w:color="auto" w:fill="auto"/>
            <w:noWrap/>
            <w:vAlign w:val="center"/>
            <w:hideMark/>
          </w:tcPr>
          <w:p w14:paraId="1911A436" w14:textId="77777777" w:rsidR="00DC5B06" w:rsidRPr="00122196" w:rsidRDefault="00DC5B06">
            <w:pPr>
              <w:spacing w:after="0" w:line="240" w:lineRule="auto"/>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4D571F9"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r>
      <w:tr w:rsidR="00DC5B06" w:rsidRPr="00122196" w14:paraId="17B47AB9" w14:textId="77777777" w:rsidTr="00E76953">
        <w:trPr>
          <w:trHeight w:val="317"/>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70C92B29" w14:textId="77777777" w:rsidR="00DC5B06" w:rsidRPr="00122196" w:rsidRDefault="00DC5B06">
            <w:pPr>
              <w:spacing w:after="0" w:line="240" w:lineRule="auto"/>
              <w:ind w:firstLineChars="200" w:firstLine="400"/>
              <w:rPr>
                <w:rFonts w:ascii="Calibri" w:eastAsia="Times New Roman" w:hAnsi="Calibri" w:cs="Calibri"/>
                <w:color w:val="auto"/>
                <w:lang w:eastAsia="en-AU"/>
              </w:rPr>
            </w:pPr>
            <w:r w:rsidRPr="00122196">
              <w:rPr>
                <w:rFonts w:ascii="Calibri" w:eastAsia="Times New Roman" w:hAnsi="Calibri" w:cs="Calibri"/>
                <w:color w:val="auto"/>
                <w:lang w:eastAsia="en-AU"/>
              </w:rPr>
              <w:t>Production assurance</w:t>
            </w:r>
          </w:p>
        </w:tc>
        <w:tc>
          <w:tcPr>
            <w:tcW w:w="2813" w:type="dxa"/>
            <w:tcBorders>
              <w:top w:val="nil"/>
              <w:left w:val="nil"/>
              <w:bottom w:val="single" w:sz="4" w:space="0" w:color="auto"/>
              <w:right w:val="single" w:sz="4" w:space="0" w:color="auto"/>
            </w:tcBorders>
            <w:shd w:val="clear" w:color="auto" w:fill="auto"/>
            <w:noWrap/>
            <w:vAlign w:val="center"/>
            <w:hideMark/>
          </w:tcPr>
          <w:p w14:paraId="7089CA2A"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w:t>
            </w:r>
          </w:p>
        </w:tc>
        <w:tc>
          <w:tcPr>
            <w:tcW w:w="2793" w:type="dxa"/>
            <w:tcBorders>
              <w:top w:val="nil"/>
              <w:left w:val="nil"/>
              <w:bottom w:val="single" w:sz="4" w:space="0" w:color="auto"/>
              <w:right w:val="single" w:sz="4" w:space="0" w:color="auto"/>
            </w:tcBorders>
            <w:shd w:val="clear" w:color="auto" w:fill="auto"/>
            <w:noWrap/>
            <w:vAlign w:val="center"/>
            <w:hideMark/>
          </w:tcPr>
          <w:p w14:paraId="711D9A47"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$18,480</w:t>
            </w:r>
          </w:p>
        </w:tc>
      </w:tr>
      <w:tr w:rsidR="00DC5B06" w:rsidRPr="00122196" w14:paraId="611689C5" w14:textId="77777777" w:rsidTr="00E76953">
        <w:trPr>
          <w:trHeight w:val="649"/>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01D4D876" w14:textId="77777777" w:rsidR="00DC5B06" w:rsidRPr="00122196" w:rsidRDefault="00DC5B06">
            <w:pPr>
              <w:spacing w:after="0" w:line="240" w:lineRule="auto"/>
              <w:ind w:firstLineChars="200" w:firstLine="400"/>
              <w:rPr>
                <w:rFonts w:ascii="Calibri" w:eastAsia="Times New Roman" w:hAnsi="Calibri" w:cs="Calibri"/>
                <w:color w:val="auto"/>
                <w:lang w:eastAsia="en-AU"/>
              </w:rPr>
            </w:pPr>
            <w:r w:rsidRPr="00122196">
              <w:rPr>
                <w:rFonts w:ascii="Calibri" w:eastAsia="Times New Roman" w:hAnsi="Calibri" w:cs="Calibri"/>
                <w:color w:val="auto"/>
                <w:lang w:eastAsia="en-AU"/>
              </w:rPr>
              <w:t>Transport and storage assurance</w:t>
            </w:r>
          </w:p>
        </w:tc>
        <w:tc>
          <w:tcPr>
            <w:tcW w:w="2813" w:type="dxa"/>
            <w:tcBorders>
              <w:top w:val="nil"/>
              <w:left w:val="nil"/>
              <w:bottom w:val="single" w:sz="4" w:space="0" w:color="auto"/>
              <w:right w:val="single" w:sz="4" w:space="0" w:color="auto"/>
            </w:tcBorders>
            <w:shd w:val="clear" w:color="auto" w:fill="auto"/>
            <w:noWrap/>
            <w:vAlign w:val="center"/>
            <w:hideMark/>
          </w:tcPr>
          <w:p w14:paraId="5D80E4C2"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w:t>
            </w:r>
          </w:p>
        </w:tc>
        <w:tc>
          <w:tcPr>
            <w:tcW w:w="2793" w:type="dxa"/>
            <w:tcBorders>
              <w:top w:val="nil"/>
              <w:left w:val="nil"/>
              <w:bottom w:val="single" w:sz="4" w:space="0" w:color="auto"/>
              <w:right w:val="single" w:sz="4" w:space="0" w:color="auto"/>
            </w:tcBorders>
            <w:shd w:val="clear" w:color="auto" w:fill="auto"/>
            <w:noWrap/>
            <w:vAlign w:val="center"/>
            <w:hideMark/>
          </w:tcPr>
          <w:p w14:paraId="34D4C1AB"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$5,544</w:t>
            </w:r>
          </w:p>
        </w:tc>
      </w:tr>
      <w:tr w:rsidR="00DC5B06" w:rsidRPr="00122196" w14:paraId="55AE7697" w14:textId="77777777" w:rsidTr="00E76953">
        <w:trPr>
          <w:trHeight w:val="600"/>
        </w:trPr>
        <w:tc>
          <w:tcPr>
            <w:tcW w:w="4561" w:type="dxa"/>
            <w:tcBorders>
              <w:top w:val="nil"/>
              <w:left w:val="single" w:sz="4" w:space="0" w:color="auto"/>
              <w:bottom w:val="single" w:sz="4" w:space="0" w:color="auto"/>
              <w:right w:val="single" w:sz="4" w:space="0" w:color="auto"/>
            </w:tcBorders>
            <w:shd w:val="clear" w:color="auto" w:fill="auto"/>
            <w:vAlign w:val="center"/>
            <w:hideMark/>
          </w:tcPr>
          <w:p w14:paraId="38B043CD" w14:textId="77777777" w:rsidR="00DC5B06" w:rsidRPr="00122196" w:rsidRDefault="00DC5B06">
            <w:pPr>
              <w:spacing w:after="0" w:line="240" w:lineRule="auto"/>
              <w:ind w:left="384" w:firstLineChars="8" w:firstLine="16"/>
              <w:rPr>
                <w:rFonts w:ascii="Calibri" w:eastAsia="Times New Roman" w:hAnsi="Calibri" w:cs="Calibri"/>
                <w:color w:val="auto"/>
                <w:lang w:eastAsia="en-AU"/>
              </w:rPr>
            </w:pPr>
            <w:r w:rsidRPr="00122196">
              <w:rPr>
                <w:rFonts w:ascii="Calibri" w:eastAsia="Times New Roman" w:hAnsi="Calibri" w:cs="Calibri"/>
                <w:color w:val="auto"/>
                <w:lang w:eastAsia="en-AU"/>
              </w:rPr>
              <w:t>Review facilitation (including site visits and providing information to auditors)</w:t>
            </w:r>
          </w:p>
        </w:tc>
        <w:tc>
          <w:tcPr>
            <w:tcW w:w="2813" w:type="dxa"/>
            <w:tcBorders>
              <w:top w:val="nil"/>
              <w:left w:val="nil"/>
              <w:bottom w:val="single" w:sz="4" w:space="0" w:color="auto"/>
              <w:right w:val="single" w:sz="4" w:space="0" w:color="auto"/>
            </w:tcBorders>
            <w:shd w:val="clear" w:color="auto" w:fill="auto"/>
            <w:noWrap/>
            <w:vAlign w:val="center"/>
            <w:hideMark/>
          </w:tcPr>
          <w:p w14:paraId="5D25E544"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w:t>
            </w:r>
          </w:p>
        </w:tc>
        <w:tc>
          <w:tcPr>
            <w:tcW w:w="2793" w:type="dxa"/>
            <w:tcBorders>
              <w:top w:val="nil"/>
              <w:left w:val="nil"/>
              <w:bottom w:val="single" w:sz="4" w:space="0" w:color="auto"/>
              <w:right w:val="single" w:sz="4" w:space="0" w:color="auto"/>
            </w:tcBorders>
            <w:shd w:val="clear" w:color="auto" w:fill="auto"/>
            <w:noWrap/>
            <w:vAlign w:val="center"/>
            <w:hideMark/>
          </w:tcPr>
          <w:p w14:paraId="11D93AB9" w14:textId="77777777" w:rsidR="00DC5B06" w:rsidRPr="00122196" w:rsidRDefault="00DC5B06">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$637</w:t>
            </w:r>
          </w:p>
        </w:tc>
      </w:tr>
      <w:tr w:rsidR="00DC5B06" w:rsidRPr="00122196" w14:paraId="0F99971F" w14:textId="77777777" w:rsidTr="00E76953">
        <w:trPr>
          <w:trHeight w:val="300"/>
        </w:trPr>
        <w:tc>
          <w:tcPr>
            <w:tcW w:w="73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85F37" w14:textId="77777777" w:rsidR="00DC5B06" w:rsidRPr="00122196" w:rsidRDefault="00DC5B06">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Ongoing annual total</w:t>
            </w:r>
          </w:p>
        </w:tc>
        <w:tc>
          <w:tcPr>
            <w:tcW w:w="2793" w:type="dxa"/>
            <w:tcBorders>
              <w:top w:val="nil"/>
              <w:left w:val="nil"/>
              <w:bottom w:val="single" w:sz="4" w:space="0" w:color="auto"/>
              <w:right w:val="single" w:sz="4" w:space="0" w:color="auto"/>
            </w:tcBorders>
            <w:shd w:val="clear" w:color="auto" w:fill="auto"/>
            <w:noWrap/>
            <w:vAlign w:val="center"/>
            <w:hideMark/>
          </w:tcPr>
          <w:p w14:paraId="59398B15" w14:textId="77777777" w:rsidR="00DC5B06" w:rsidRPr="00122196" w:rsidRDefault="00DC5B06">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$28,483</w:t>
            </w:r>
          </w:p>
        </w:tc>
      </w:tr>
    </w:tbl>
    <w:p w14:paraId="124748B8" w14:textId="77777777" w:rsidR="00DC5B06" w:rsidRDefault="00DC5B06" w:rsidP="00DC5B06">
      <w:pPr>
        <w:spacing w:before="120" w:after="160" w:line="256" w:lineRule="auto"/>
        <w:rPr>
          <w:rFonts w:ascii="Calibri" w:eastAsia="Calibri" w:hAnsi="Calibri" w:cs="Arial"/>
          <w:color w:val="262626"/>
        </w:rPr>
      </w:pPr>
    </w:p>
    <w:p w14:paraId="53BD871F" w14:textId="77777777" w:rsidR="00DC5B06" w:rsidRPr="00122196" w:rsidRDefault="00DC5B06" w:rsidP="00DC5B06">
      <w:pPr>
        <w:spacing w:before="120" w:after="160" w:line="256" w:lineRule="auto"/>
        <w:rPr>
          <w:rFonts w:ascii="Calibri" w:eastAsia="Calibri" w:hAnsi="Calibri" w:cs="Arial"/>
          <w:color w:val="262626"/>
        </w:rPr>
      </w:pPr>
    </w:p>
    <w:p w14:paraId="28F586A8" w14:textId="77777777" w:rsidR="00DC5B06" w:rsidRPr="00122196" w:rsidRDefault="00DC5B06" w:rsidP="00DC5B06">
      <w:pPr>
        <w:spacing w:before="120" w:after="0"/>
        <w:rPr>
          <w:rFonts w:ascii="Calibri" w:eastAsia="Calibri" w:hAnsi="Calibri" w:cs="Arial"/>
          <w:color w:val="262626"/>
        </w:rPr>
      </w:pPr>
    </w:p>
    <w:p w14:paraId="6E3B9F10" w14:textId="77777777" w:rsidR="00DC5B06" w:rsidRPr="00122196" w:rsidRDefault="00DC5B06" w:rsidP="00DC5B06">
      <w:pPr>
        <w:spacing w:after="160" w:line="259" w:lineRule="auto"/>
        <w:rPr>
          <w:rFonts w:ascii="Calibri" w:eastAsia="Calibri" w:hAnsi="Calibri" w:cs="Arial"/>
          <w:color w:val="262626"/>
        </w:rPr>
      </w:pPr>
      <w:r w:rsidRPr="00122196">
        <w:rPr>
          <w:rFonts w:ascii="Calibri" w:eastAsia="Calibri" w:hAnsi="Calibri" w:cs="Arial"/>
          <w:color w:val="262626"/>
        </w:rPr>
        <w:br w:type="page"/>
      </w:r>
    </w:p>
    <w:bookmarkStart w:id="82" w:name="_Hlk171059651"/>
    <w:p w14:paraId="00522652" w14:textId="473B6F73" w:rsidR="00DC5B06" w:rsidRPr="00122196" w:rsidRDefault="00191811" w:rsidP="00DC5B06">
      <w:pPr>
        <w:spacing w:before="120" w:after="0"/>
        <w:rPr>
          <w:rFonts w:ascii="Calibri" w:eastAsia="Calibri" w:hAnsi="Calibri" w:cs="Arial"/>
          <w:color w:val="262626"/>
        </w:rPr>
      </w:pPr>
      <w:r w:rsidRPr="00191811">
        <w:rPr>
          <w:rFonts w:ascii="Calibri" w:eastAsia="Calibri" w:hAnsi="Calibri" w:cs="Arial"/>
          <w:b/>
          <w:color w:val="262626"/>
        </w:rPr>
        <w:lastRenderedPageBreak/>
        <w:fldChar w:fldCharType="begin"/>
      </w:r>
      <w:r w:rsidRPr="00191811">
        <w:rPr>
          <w:rFonts w:ascii="Calibri" w:eastAsia="Calibri" w:hAnsi="Calibri" w:cs="Arial"/>
          <w:b/>
          <w:color w:val="262626"/>
        </w:rPr>
        <w:instrText xml:space="preserve"> REF _Ref166854793 \h  </w:instrText>
      </w:r>
      <w:r w:rsidRPr="00E76953">
        <w:rPr>
          <w:rFonts w:ascii="Calibri" w:eastAsia="Calibri" w:hAnsi="Calibri" w:cs="Arial"/>
          <w:b/>
          <w:color w:val="262626"/>
        </w:rPr>
        <w:instrText xml:space="preserve">\* MERGEFORMAT </w:instrText>
      </w:r>
      <w:r w:rsidRPr="00191811">
        <w:rPr>
          <w:rFonts w:ascii="Calibri" w:eastAsia="Calibri" w:hAnsi="Calibri" w:cs="Arial"/>
          <w:b/>
          <w:color w:val="262626"/>
        </w:rPr>
      </w:r>
      <w:r w:rsidRPr="00191811">
        <w:rPr>
          <w:rFonts w:ascii="Calibri" w:eastAsia="Calibri" w:hAnsi="Calibri" w:cs="Arial"/>
          <w:b/>
          <w:color w:val="262626"/>
        </w:rPr>
        <w:fldChar w:fldCharType="separate"/>
      </w:r>
      <w:r w:rsidR="00290A84" w:rsidRPr="00290A84">
        <w:rPr>
          <w:b/>
        </w:rPr>
        <w:t xml:space="preserve">Table </w:t>
      </w:r>
      <w:r w:rsidRPr="00191811">
        <w:rPr>
          <w:rFonts w:ascii="Calibri" w:eastAsia="Calibri" w:hAnsi="Calibri" w:cs="Arial"/>
          <w:b/>
          <w:color w:val="262626"/>
        </w:rPr>
        <w:fldChar w:fldCharType="end"/>
      </w:r>
      <w:r w:rsidR="00676E0C">
        <w:rPr>
          <w:rFonts w:ascii="Calibri" w:eastAsia="Calibri" w:hAnsi="Calibri" w:cs="Arial"/>
          <w:b/>
          <w:color w:val="262626"/>
        </w:rPr>
        <w:t>9</w:t>
      </w:r>
      <w:r w:rsidR="00DC5B06" w:rsidRPr="00122196">
        <w:rPr>
          <w:rFonts w:ascii="Calibri" w:eastAsia="Calibri" w:hAnsi="Calibri" w:cs="Arial"/>
          <w:color w:val="262626"/>
        </w:rPr>
        <w:t xml:space="preserve"> compare</w:t>
      </w:r>
      <w:r w:rsidR="004E4158">
        <w:rPr>
          <w:rFonts w:ascii="Calibri" w:eastAsia="Calibri" w:hAnsi="Calibri" w:cs="Arial"/>
          <w:color w:val="262626"/>
        </w:rPr>
        <w:t>s</w:t>
      </w:r>
      <w:r w:rsidR="00DC5B06" w:rsidRPr="00122196">
        <w:rPr>
          <w:rFonts w:ascii="Calibri" w:eastAsia="Calibri" w:hAnsi="Calibri" w:cs="Arial"/>
          <w:color w:val="262626"/>
        </w:rPr>
        <w:t xml:space="preserve"> the total costs per producer under the regulatory and quasi-regulatory approaches over a 10-year period in line with the RBMF. </w:t>
      </w:r>
      <w:r w:rsidR="00151EDE" w:rsidRPr="00122196">
        <w:rPr>
          <w:rFonts w:ascii="Calibri" w:eastAsia="Calibri" w:hAnsi="Calibri" w:cs="Arial"/>
          <w:color w:val="262626"/>
        </w:rPr>
        <w:t>While initial costs under option 2 are</w:t>
      </w:r>
      <w:r w:rsidR="00A627C7">
        <w:rPr>
          <w:rFonts w:ascii="Calibri" w:eastAsia="Calibri" w:hAnsi="Calibri" w:cs="Arial"/>
          <w:color w:val="262626"/>
        </w:rPr>
        <w:t xml:space="preserve"> initially</w:t>
      </w:r>
      <w:r w:rsidR="00151EDE" w:rsidRPr="00122196">
        <w:rPr>
          <w:rFonts w:ascii="Calibri" w:eastAsia="Calibri" w:hAnsi="Calibri" w:cs="Arial"/>
          <w:color w:val="262626"/>
        </w:rPr>
        <w:t xml:space="preserve"> lower, our estimates indicate that participants would likely experience decreased burden over the long-term under option 3.</w:t>
      </w:r>
    </w:p>
    <w:p w14:paraId="79DEBC2A" w14:textId="6570DB95" w:rsidR="00195D89" w:rsidRDefault="00195D89" w:rsidP="00191811">
      <w:pPr>
        <w:pStyle w:val="Caption"/>
      </w:pPr>
      <w:bookmarkStart w:id="83" w:name="_Ref166854793"/>
      <w:bookmarkEnd w:id="82"/>
      <w:r>
        <w:t xml:space="preserve">Table </w:t>
      </w:r>
      <w:bookmarkEnd w:id="83"/>
      <w:r w:rsidR="00676E0C">
        <w:t>9</w:t>
      </w:r>
      <w:r>
        <w:t xml:space="preserve">: </w:t>
      </w:r>
      <w:r w:rsidR="00EA3EA6">
        <w:t>Comparison of regulatory costs of a single producer under option 2 and option 3</w:t>
      </w:r>
    </w:p>
    <w:tbl>
      <w:tblPr>
        <w:tblW w:w="6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gridCol w:w="2206"/>
      </w:tblGrid>
      <w:tr w:rsidR="00534697" w:rsidRPr="00534697" w14:paraId="3E62D5CC" w14:textId="77777777" w:rsidTr="00172C54">
        <w:trPr>
          <w:trHeight w:val="159"/>
        </w:trPr>
        <w:tc>
          <w:tcPr>
            <w:tcW w:w="2206" w:type="dxa"/>
            <w:shd w:val="clear" w:color="auto" w:fill="D1D1D1" w:themeFill="background2"/>
            <w:noWrap/>
            <w:vAlign w:val="center"/>
            <w:hideMark/>
          </w:tcPr>
          <w:p w14:paraId="14270005" w14:textId="77777777" w:rsidR="00534697" w:rsidRPr="00E76953" w:rsidRDefault="00534697" w:rsidP="00E76953">
            <w:pPr>
              <w:pStyle w:val="BodyText"/>
              <w:spacing w:before="120" w:after="60"/>
              <w:jc w:val="center"/>
              <w:rPr>
                <w:rFonts w:cstheme="minorHAnsi"/>
                <w:b/>
              </w:rPr>
            </w:pPr>
            <w:r w:rsidRPr="00E76953">
              <w:rPr>
                <w:rFonts w:cstheme="minorHAnsi"/>
                <w:b/>
              </w:rPr>
              <w:t>Year of participation</w:t>
            </w:r>
          </w:p>
        </w:tc>
        <w:tc>
          <w:tcPr>
            <w:tcW w:w="2206" w:type="dxa"/>
            <w:shd w:val="clear" w:color="auto" w:fill="D1D1D1" w:themeFill="background2"/>
            <w:noWrap/>
            <w:vAlign w:val="center"/>
            <w:hideMark/>
          </w:tcPr>
          <w:p w14:paraId="37387E3C" w14:textId="7AED9055" w:rsidR="00534697" w:rsidRPr="00E76953" w:rsidRDefault="00A56629" w:rsidP="00E76953">
            <w:pPr>
              <w:pStyle w:val="BodyText"/>
              <w:spacing w:before="120" w:after="60"/>
              <w:jc w:val="center"/>
              <w:rPr>
                <w:rFonts w:cstheme="minorHAnsi"/>
                <w:b/>
              </w:rPr>
            </w:pPr>
            <w:r>
              <w:rPr>
                <w:rFonts w:cstheme="minorHAnsi"/>
                <w:b/>
              </w:rPr>
              <w:t>Cost</w:t>
            </w:r>
            <w:r w:rsidRPr="00E76953">
              <w:rPr>
                <w:rFonts w:cstheme="minorHAnsi"/>
                <w:b/>
              </w:rPr>
              <w:t xml:space="preserve"> </w:t>
            </w:r>
            <w:r w:rsidR="00534697" w:rsidRPr="00E76953">
              <w:rPr>
                <w:rFonts w:cstheme="minorHAnsi"/>
                <w:b/>
              </w:rPr>
              <w:t>per producer</w:t>
            </w:r>
            <w:r w:rsidR="0051050A">
              <w:rPr>
                <w:rFonts w:cstheme="minorHAnsi"/>
                <w:b/>
              </w:rPr>
              <w:t xml:space="preserve"> (option 2)</w:t>
            </w:r>
          </w:p>
        </w:tc>
        <w:tc>
          <w:tcPr>
            <w:tcW w:w="2206" w:type="dxa"/>
            <w:shd w:val="clear" w:color="auto" w:fill="D1D1D1" w:themeFill="background2"/>
            <w:noWrap/>
            <w:vAlign w:val="center"/>
            <w:hideMark/>
          </w:tcPr>
          <w:p w14:paraId="0D4F830A" w14:textId="3600A595" w:rsidR="00534697" w:rsidRPr="00E76953" w:rsidRDefault="00534697" w:rsidP="00E76953">
            <w:pPr>
              <w:pStyle w:val="BodyText"/>
              <w:spacing w:before="120" w:after="60"/>
              <w:jc w:val="center"/>
              <w:rPr>
                <w:rFonts w:cstheme="minorHAnsi"/>
                <w:b/>
              </w:rPr>
            </w:pPr>
            <w:r w:rsidRPr="00E76953">
              <w:rPr>
                <w:rFonts w:cstheme="minorHAnsi"/>
                <w:b/>
              </w:rPr>
              <w:t>Cost per GO producer</w:t>
            </w:r>
            <w:r w:rsidR="0051050A">
              <w:rPr>
                <w:rFonts w:cstheme="minorHAnsi"/>
                <w:b/>
              </w:rPr>
              <w:t xml:space="preserve"> (option 3)</w:t>
            </w:r>
          </w:p>
        </w:tc>
      </w:tr>
      <w:tr w:rsidR="00534697" w:rsidRPr="00534697" w14:paraId="49D2B0FE" w14:textId="77777777" w:rsidTr="00172C54">
        <w:trPr>
          <w:trHeight w:val="120"/>
        </w:trPr>
        <w:tc>
          <w:tcPr>
            <w:tcW w:w="2206" w:type="dxa"/>
            <w:shd w:val="clear" w:color="auto" w:fill="F2F2F2" w:themeFill="background1" w:themeFillShade="F2"/>
            <w:noWrap/>
            <w:vAlign w:val="center"/>
            <w:hideMark/>
          </w:tcPr>
          <w:p w14:paraId="70B0D1AB"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Initial year</w:t>
            </w:r>
          </w:p>
        </w:tc>
        <w:tc>
          <w:tcPr>
            <w:tcW w:w="2206" w:type="dxa"/>
            <w:shd w:val="clear" w:color="auto" w:fill="auto"/>
            <w:noWrap/>
            <w:vAlign w:val="center"/>
            <w:hideMark/>
          </w:tcPr>
          <w:p w14:paraId="4A686FCD"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$30,872</w:t>
            </w:r>
          </w:p>
        </w:tc>
        <w:tc>
          <w:tcPr>
            <w:tcW w:w="2206" w:type="dxa"/>
            <w:shd w:val="clear" w:color="auto" w:fill="auto"/>
            <w:noWrap/>
            <w:vAlign w:val="center"/>
            <w:hideMark/>
          </w:tcPr>
          <w:p w14:paraId="2395EDDB" w14:textId="5BACCA0F" w:rsidR="00534697" w:rsidRPr="00534697" w:rsidRDefault="009924ED" w:rsidP="00534697">
            <w:pPr>
              <w:spacing w:after="0" w:line="240" w:lineRule="auto"/>
              <w:jc w:val="center"/>
              <w:rPr>
                <w:rFonts w:ascii="Calibri" w:eastAsia="Times New Roman" w:hAnsi="Calibri" w:cs="Calibri"/>
                <w:color w:val="auto"/>
                <w:lang w:eastAsia="en-AU"/>
              </w:rPr>
            </w:pPr>
            <w:r>
              <w:rPr>
                <w:rFonts w:ascii="Calibri" w:eastAsia="Times New Roman" w:hAnsi="Calibri" w:cs="Calibri"/>
                <w:color w:val="auto"/>
                <w:lang w:eastAsia="en-AU"/>
              </w:rPr>
              <w:t>$</w:t>
            </w:r>
            <w:r w:rsidR="00534697" w:rsidRPr="00534697">
              <w:rPr>
                <w:rFonts w:ascii="Calibri" w:eastAsia="Times New Roman" w:hAnsi="Calibri" w:cs="Calibri"/>
                <w:color w:val="auto"/>
                <w:lang w:eastAsia="en-AU"/>
              </w:rPr>
              <w:t>56,260</w:t>
            </w:r>
          </w:p>
        </w:tc>
      </w:tr>
      <w:tr w:rsidR="00534697" w:rsidRPr="00534697" w14:paraId="4D71CB67" w14:textId="77777777" w:rsidTr="00172C54">
        <w:trPr>
          <w:trHeight w:val="150"/>
        </w:trPr>
        <w:tc>
          <w:tcPr>
            <w:tcW w:w="2206" w:type="dxa"/>
            <w:shd w:val="clear" w:color="auto" w:fill="F2F2F2" w:themeFill="background1" w:themeFillShade="F2"/>
            <w:noWrap/>
            <w:vAlign w:val="center"/>
            <w:hideMark/>
          </w:tcPr>
          <w:p w14:paraId="32DCD039"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2</w:t>
            </w:r>
          </w:p>
        </w:tc>
        <w:tc>
          <w:tcPr>
            <w:tcW w:w="2206" w:type="dxa"/>
            <w:shd w:val="clear" w:color="auto" w:fill="auto"/>
            <w:noWrap/>
            <w:vAlign w:val="center"/>
            <w:hideMark/>
          </w:tcPr>
          <w:p w14:paraId="5C2CED47"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42979D13" w14:textId="6E4FCEC3"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2CC7DB03" w14:textId="77777777" w:rsidTr="00172C54">
        <w:trPr>
          <w:trHeight w:val="186"/>
        </w:trPr>
        <w:tc>
          <w:tcPr>
            <w:tcW w:w="2206" w:type="dxa"/>
            <w:shd w:val="clear" w:color="auto" w:fill="F2F2F2" w:themeFill="background1" w:themeFillShade="F2"/>
            <w:noWrap/>
            <w:vAlign w:val="center"/>
            <w:hideMark/>
          </w:tcPr>
          <w:p w14:paraId="2194FEAB"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3</w:t>
            </w:r>
          </w:p>
        </w:tc>
        <w:tc>
          <w:tcPr>
            <w:tcW w:w="2206" w:type="dxa"/>
            <w:shd w:val="clear" w:color="auto" w:fill="auto"/>
            <w:noWrap/>
            <w:vAlign w:val="center"/>
            <w:hideMark/>
          </w:tcPr>
          <w:p w14:paraId="6BFAAE33"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0AF9D0B1" w14:textId="3E23F766"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4A809A08" w14:textId="77777777" w:rsidTr="00172C54">
        <w:trPr>
          <w:trHeight w:val="205"/>
        </w:trPr>
        <w:tc>
          <w:tcPr>
            <w:tcW w:w="2206" w:type="dxa"/>
            <w:shd w:val="clear" w:color="auto" w:fill="F2F2F2" w:themeFill="background1" w:themeFillShade="F2"/>
            <w:noWrap/>
            <w:vAlign w:val="center"/>
            <w:hideMark/>
          </w:tcPr>
          <w:p w14:paraId="0A29CB39"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4</w:t>
            </w:r>
          </w:p>
        </w:tc>
        <w:tc>
          <w:tcPr>
            <w:tcW w:w="2206" w:type="dxa"/>
            <w:shd w:val="clear" w:color="auto" w:fill="auto"/>
            <w:noWrap/>
            <w:vAlign w:val="center"/>
            <w:hideMark/>
          </w:tcPr>
          <w:p w14:paraId="006607FA"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654CB31F" w14:textId="3D6925CD"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45D22F02" w14:textId="77777777" w:rsidTr="00172C54">
        <w:trPr>
          <w:trHeight w:val="86"/>
        </w:trPr>
        <w:tc>
          <w:tcPr>
            <w:tcW w:w="2206" w:type="dxa"/>
            <w:shd w:val="clear" w:color="auto" w:fill="F2F2F2" w:themeFill="background1" w:themeFillShade="F2"/>
            <w:noWrap/>
            <w:vAlign w:val="center"/>
            <w:hideMark/>
          </w:tcPr>
          <w:p w14:paraId="42A2111A"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5</w:t>
            </w:r>
          </w:p>
        </w:tc>
        <w:tc>
          <w:tcPr>
            <w:tcW w:w="2206" w:type="dxa"/>
            <w:shd w:val="clear" w:color="auto" w:fill="auto"/>
            <w:noWrap/>
            <w:vAlign w:val="center"/>
            <w:hideMark/>
          </w:tcPr>
          <w:p w14:paraId="5E76F75F"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14FCEB0E" w14:textId="5D13A542"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1B578263" w14:textId="77777777" w:rsidTr="00172C54">
        <w:trPr>
          <w:trHeight w:val="120"/>
        </w:trPr>
        <w:tc>
          <w:tcPr>
            <w:tcW w:w="2206" w:type="dxa"/>
            <w:shd w:val="clear" w:color="auto" w:fill="F2F2F2" w:themeFill="background1" w:themeFillShade="F2"/>
            <w:noWrap/>
            <w:vAlign w:val="center"/>
            <w:hideMark/>
          </w:tcPr>
          <w:p w14:paraId="2B623F09"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6</w:t>
            </w:r>
          </w:p>
        </w:tc>
        <w:tc>
          <w:tcPr>
            <w:tcW w:w="2206" w:type="dxa"/>
            <w:shd w:val="clear" w:color="auto" w:fill="auto"/>
            <w:noWrap/>
            <w:vAlign w:val="center"/>
            <w:hideMark/>
          </w:tcPr>
          <w:p w14:paraId="731917E7"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24B6FEBE" w14:textId="66E9B7D3" w:rsidR="00534697" w:rsidRPr="00534697" w:rsidRDefault="009924ED" w:rsidP="00534697">
            <w:pPr>
              <w:spacing w:after="0" w:line="240" w:lineRule="auto"/>
              <w:jc w:val="center"/>
              <w:rPr>
                <w:rFonts w:ascii="Calibri" w:eastAsia="Times New Roman" w:hAnsi="Calibri" w:cs="Calibri"/>
                <w:color w:val="auto"/>
                <w:lang w:eastAsia="en-AU"/>
              </w:rPr>
            </w:pPr>
            <w:r>
              <w:rPr>
                <w:rFonts w:ascii="Calibri" w:eastAsia="Times New Roman" w:hAnsi="Calibri" w:cs="Calibri"/>
                <w:color w:val="auto"/>
                <w:lang w:eastAsia="en-AU"/>
              </w:rPr>
              <w:t>$</w:t>
            </w:r>
            <w:r w:rsidR="00534697" w:rsidRPr="00534697">
              <w:rPr>
                <w:rFonts w:ascii="Calibri" w:eastAsia="Times New Roman" w:hAnsi="Calibri" w:cs="Calibri"/>
                <w:color w:val="auto"/>
                <w:lang w:eastAsia="en-AU"/>
              </w:rPr>
              <w:t>25,354</w:t>
            </w:r>
          </w:p>
        </w:tc>
      </w:tr>
      <w:tr w:rsidR="00534697" w:rsidRPr="00534697" w14:paraId="2EFCA36D" w14:textId="77777777" w:rsidTr="00172C54">
        <w:trPr>
          <w:trHeight w:val="75"/>
        </w:trPr>
        <w:tc>
          <w:tcPr>
            <w:tcW w:w="2206" w:type="dxa"/>
            <w:shd w:val="clear" w:color="auto" w:fill="F2F2F2" w:themeFill="background1" w:themeFillShade="F2"/>
            <w:noWrap/>
            <w:vAlign w:val="center"/>
            <w:hideMark/>
          </w:tcPr>
          <w:p w14:paraId="0731CEC2"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7</w:t>
            </w:r>
          </w:p>
        </w:tc>
        <w:tc>
          <w:tcPr>
            <w:tcW w:w="2206" w:type="dxa"/>
            <w:shd w:val="clear" w:color="auto" w:fill="auto"/>
            <w:noWrap/>
            <w:vAlign w:val="center"/>
            <w:hideMark/>
          </w:tcPr>
          <w:p w14:paraId="1CD5A432"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4B08E316" w14:textId="25491EFD"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64141410" w14:textId="77777777" w:rsidTr="00172C54">
        <w:trPr>
          <w:trHeight w:val="75"/>
        </w:trPr>
        <w:tc>
          <w:tcPr>
            <w:tcW w:w="2206" w:type="dxa"/>
            <w:shd w:val="clear" w:color="auto" w:fill="F2F2F2" w:themeFill="background1" w:themeFillShade="F2"/>
            <w:noWrap/>
            <w:vAlign w:val="center"/>
            <w:hideMark/>
          </w:tcPr>
          <w:p w14:paraId="2D165DAC"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8</w:t>
            </w:r>
          </w:p>
        </w:tc>
        <w:tc>
          <w:tcPr>
            <w:tcW w:w="2206" w:type="dxa"/>
            <w:shd w:val="clear" w:color="auto" w:fill="auto"/>
            <w:noWrap/>
            <w:vAlign w:val="center"/>
            <w:hideMark/>
          </w:tcPr>
          <w:p w14:paraId="4E14577D"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7D6D459A" w14:textId="6268F66D"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538B2C89" w14:textId="77777777" w:rsidTr="00172C54">
        <w:trPr>
          <w:trHeight w:val="224"/>
        </w:trPr>
        <w:tc>
          <w:tcPr>
            <w:tcW w:w="2206" w:type="dxa"/>
            <w:shd w:val="clear" w:color="auto" w:fill="F2F2F2" w:themeFill="background1" w:themeFillShade="F2"/>
            <w:noWrap/>
            <w:vAlign w:val="center"/>
            <w:hideMark/>
          </w:tcPr>
          <w:p w14:paraId="71529209"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9</w:t>
            </w:r>
          </w:p>
        </w:tc>
        <w:tc>
          <w:tcPr>
            <w:tcW w:w="2206" w:type="dxa"/>
            <w:shd w:val="clear" w:color="auto" w:fill="auto"/>
            <w:noWrap/>
            <w:vAlign w:val="center"/>
            <w:hideMark/>
          </w:tcPr>
          <w:p w14:paraId="07B95683"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6C38A126" w14:textId="23117C45"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534697" w:rsidRPr="00534697" w14:paraId="11FC5A90" w14:textId="77777777" w:rsidTr="00172C54">
        <w:trPr>
          <w:trHeight w:val="105"/>
        </w:trPr>
        <w:tc>
          <w:tcPr>
            <w:tcW w:w="2206" w:type="dxa"/>
            <w:shd w:val="clear" w:color="auto" w:fill="F2F2F2" w:themeFill="background1" w:themeFillShade="F2"/>
            <w:noWrap/>
            <w:vAlign w:val="center"/>
            <w:hideMark/>
          </w:tcPr>
          <w:p w14:paraId="1D3855D2"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Year 10</w:t>
            </w:r>
          </w:p>
        </w:tc>
        <w:tc>
          <w:tcPr>
            <w:tcW w:w="2206" w:type="dxa"/>
            <w:shd w:val="clear" w:color="auto" w:fill="auto"/>
            <w:noWrap/>
            <w:vAlign w:val="center"/>
            <w:hideMark/>
          </w:tcPr>
          <w:p w14:paraId="154108CC" w14:textId="77777777" w:rsidR="00534697" w:rsidRPr="00534697" w:rsidRDefault="00534697" w:rsidP="00534697">
            <w:pPr>
              <w:spacing w:after="0" w:line="240" w:lineRule="auto"/>
              <w:jc w:val="center"/>
              <w:rPr>
                <w:rFonts w:ascii="Calibri" w:eastAsia="Times New Roman" w:hAnsi="Calibri" w:cs="Calibri"/>
                <w:color w:val="auto"/>
                <w:lang w:eastAsia="en-AU"/>
              </w:rPr>
            </w:pPr>
            <w:r w:rsidRPr="00534697">
              <w:rPr>
                <w:rFonts w:ascii="Calibri" w:eastAsia="Times New Roman" w:hAnsi="Calibri" w:cs="Calibri"/>
                <w:color w:val="auto"/>
                <w:lang w:eastAsia="en-AU"/>
              </w:rPr>
              <w:t>$28,483</w:t>
            </w:r>
          </w:p>
        </w:tc>
        <w:tc>
          <w:tcPr>
            <w:tcW w:w="2206" w:type="dxa"/>
            <w:shd w:val="clear" w:color="auto" w:fill="auto"/>
            <w:noWrap/>
            <w:vAlign w:val="center"/>
            <w:hideMark/>
          </w:tcPr>
          <w:p w14:paraId="7AFB33BA" w14:textId="0B5B00D3" w:rsidR="00534697" w:rsidRPr="00534697" w:rsidRDefault="009924ED" w:rsidP="0053469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w:t>
            </w:r>
            <w:r w:rsidR="00534697" w:rsidRPr="00534697">
              <w:rPr>
                <w:rFonts w:ascii="Calibri" w:eastAsia="Times New Roman" w:hAnsi="Calibri" w:cs="Calibri"/>
                <w:color w:val="000000"/>
                <w:lang w:eastAsia="en-AU"/>
              </w:rPr>
              <w:t>10,252</w:t>
            </w:r>
          </w:p>
        </w:tc>
      </w:tr>
      <w:tr w:rsidR="00315AC9" w:rsidRPr="00534697" w14:paraId="2F95FE5E" w14:textId="77777777" w:rsidTr="00172C54">
        <w:trPr>
          <w:trHeight w:val="65"/>
        </w:trPr>
        <w:tc>
          <w:tcPr>
            <w:tcW w:w="2206" w:type="dxa"/>
            <w:shd w:val="clear" w:color="auto" w:fill="F2F2F2" w:themeFill="background1" w:themeFillShade="F2"/>
            <w:noWrap/>
            <w:vAlign w:val="center"/>
          </w:tcPr>
          <w:p w14:paraId="68586A66" w14:textId="3831890E" w:rsidR="00315AC9" w:rsidRPr="00534697" w:rsidRDefault="00315AC9" w:rsidP="00534697">
            <w:pPr>
              <w:spacing w:after="0" w:line="240" w:lineRule="auto"/>
              <w:jc w:val="center"/>
              <w:rPr>
                <w:rFonts w:ascii="Calibri" w:eastAsia="Times New Roman" w:hAnsi="Calibri" w:cs="Calibri"/>
                <w:b/>
                <w:bCs/>
                <w:color w:val="auto"/>
                <w:lang w:eastAsia="en-AU"/>
              </w:rPr>
            </w:pPr>
            <w:r>
              <w:rPr>
                <w:rFonts w:ascii="Calibri" w:eastAsia="Times New Roman" w:hAnsi="Calibri" w:cs="Calibri"/>
                <w:b/>
                <w:bCs/>
                <w:color w:val="auto"/>
                <w:lang w:eastAsia="en-AU"/>
              </w:rPr>
              <w:t>Annual average</w:t>
            </w:r>
          </w:p>
        </w:tc>
        <w:tc>
          <w:tcPr>
            <w:tcW w:w="2206" w:type="dxa"/>
            <w:shd w:val="clear" w:color="auto" w:fill="auto"/>
            <w:noWrap/>
            <w:vAlign w:val="center"/>
          </w:tcPr>
          <w:p w14:paraId="22F6AF63" w14:textId="2A82B52F" w:rsidR="00315AC9" w:rsidRPr="00534697" w:rsidRDefault="00943982" w:rsidP="00534697">
            <w:pPr>
              <w:spacing w:after="0" w:line="240" w:lineRule="auto"/>
              <w:jc w:val="center"/>
              <w:rPr>
                <w:rFonts w:ascii="Calibri" w:eastAsia="Times New Roman" w:hAnsi="Calibri" w:cs="Calibri"/>
                <w:b/>
                <w:bCs/>
                <w:color w:val="auto"/>
                <w:lang w:eastAsia="en-AU"/>
              </w:rPr>
            </w:pPr>
            <w:r>
              <w:rPr>
                <w:rFonts w:ascii="Calibri" w:eastAsia="Times New Roman" w:hAnsi="Calibri" w:cs="Calibri"/>
                <w:b/>
                <w:bCs/>
                <w:color w:val="auto"/>
                <w:lang w:eastAsia="en-AU"/>
              </w:rPr>
              <w:t>$28,722</w:t>
            </w:r>
          </w:p>
        </w:tc>
        <w:tc>
          <w:tcPr>
            <w:tcW w:w="2206" w:type="dxa"/>
            <w:shd w:val="clear" w:color="auto" w:fill="auto"/>
            <w:noWrap/>
            <w:vAlign w:val="center"/>
          </w:tcPr>
          <w:p w14:paraId="6CB324C1" w14:textId="11975C28" w:rsidR="00315AC9" w:rsidRPr="00534697" w:rsidRDefault="0094162D" w:rsidP="00534697">
            <w:pPr>
              <w:spacing w:after="0" w:line="240" w:lineRule="auto"/>
              <w:jc w:val="center"/>
              <w:rPr>
                <w:rFonts w:ascii="Calibri" w:eastAsia="Times New Roman" w:hAnsi="Calibri" w:cs="Calibri"/>
                <w:b/>
                <w:bCs/>
                <w:color w:val="auto"/>
                <w:lang w:eastAsia="en-AU"/>
              </w:rPr>
            </w:pPr>
            <w:r>
              <w:rPr>
                <w:rFonts w:ascii="Calibri" w:eastAsia="Times New Roman" w:hAnsi="Calibri" w:cs="Calibri"/>
                <w:b/>
                <w:bCs/>
                <w:color w:val="auto"/>
                <w:lang w:eastAsia="en-AU"/>
              </w:rPr>
              <w:t>$16</w:t>
            </w:r>
            <w:r w:rsidR="00195D89">
              <w:rPr>
                <w:rFonts w:ascii="Calibri" w:eastAsia="Times New Roman" w:hAnsi="Calibri" w:cs="Calibri"/>
                <w:b/>
                <w:bCs/>
                <w:color w:val="auto"/>
                <w:lang w:eastAsia="en-AU"/>
              </w:rPr>
              <w:t>,363</w:t>
            </w:r>
          </w:p>
        </w:tc>
      </w:tr>
    </w:tbl>
    <w:p w14:paraId="2AB72FD0" w14:textId="05033080" w:rsidR="00C87489" w:rsidRDefault="0072002D" w:rsidP="0072002D">
      <w:pPr>
        <w:pStyle w:val="BodyText"/>
        <w:spacing w:before="120"/>
      </w:pPr>
      <w:r w:rsidRPr="000930A0">
        <w:rPr>
          <w:b/>
        </w:rPr>
        <w:fldChar w:fldCharType="begin"/>
      </w:r>
      <w:r w:rsidRPr="000930A0">
        <w:rPr>
          <w:b/>
        </w:rPr>
        <w:instrText xml:space="preserve"> REF _Ref166854793 \h  \* MERGEFORMAT </w:instrText>
      </w:r>
      <w:r w:rsidRPr="000930A0">
        <w:rPr>
          <w:b/>
        </w:rPr>
      </w:r>
      <w:r w:rsidRPr="000930A0">
        <w:rPr>
          <w:b/>
        </w:rPr>
        <w:fldChar w:fldCharType="separate"/>
      </w:r>
      <w:r w:rsidR="00290A84" w:rsidRPr="00290A84">
        <w:rPr>
          <w:b/>
        </w:rPr>
        <w:t xml:space="preserve">Table </w:t>
      </w:r>
      <w:r w:rsidRPr="000930A0">
        <w:rPr>
          <w:b/>
        </w:rPr>
        <w:fldChar w:fldCharType="end"/>
      </w:r>
      <w:r w:rsidRPr="000930A0">
        <w:rPr>
          <w:b/>
        </w:rPr>
        <w:t>1</w:t>
      </w:r>
      <w:r w:rsidR="00676E0C">
        <w:rPr>
          <w:b/>
        </w:rPr>
        <w:t>0</w:t>
      </w:r>
      <w:r w:rsidRPr="0072002D">
        <w:t xml:space="preserve"> </w:t>
      </w:r>
      <w:r w:rsidR="000905D5">
        <w:t xml:space="preserve">applies the per-participant costs to forecasts of producers of hydrogen and hydrogen derivative </w:t>
      </w:r>
      <w:r w:rsidR="009327E7">
        <w:t xml:space="preserve">products </w:t>
      </w:r>
      <w:r w:rsidR="005621B7">
        <w:t xml:space="preserve">under </w:t>
      </w:r>
      <w:r w:rsidR="009327E7">
        <w:t>the</w:t>
      </w:r>
      <w:r w:rsidR="00F379CC">
        <w:t xml:space="preserve"> </w:t>
      </w:r>
      <w:r w:rsidR="00F379CC" w:rsidRPr="00122196">
        <w:rPr>
          <w:rFonts w:ascii="Calibri" w:eastAsia="Calibri" w:hAnsi="Calibri" w:cs="Arial"/>
          <w:color w:val="262626"/>
        </w:rPr>
        <w:t>quasi-regulatory approach</w:t>
      </w:r>
      <w:r w:rsidR="00F379CC">
        <w:rPr>
          <w:rFonts w:ascii="Calibri" w:eastAsia="Calibri" w:hAnsi="Calibri" w:cs="Arial"/>
          <w:color w:val="262626"/>
        </w:rPr>
        <w:t xml:space="preserve"> </w:t>
      </w:r>
      <w:r w:rsidR="009327E7">
        <w:rPr>
          <w:rFonts w:ascii="Calibri" w:eastAsia="Calibri" w:hAnsi="Calibri" w:cs="Arial"/>
          <w:color w:val="262626"/>
        </w:rPr>
        <w:t xml:space="preserve">to </w:t>
      </w:r>
      <w:r w:rsidR="00F379CC">
        <w:rPr>
          <w:rFonts w:ascii="Calibri" w:eastAsia="Calibri" w:hAnsi="Calibri" w:cs="Arial"/>
          <w:color w:val="262626"/>
        </w:rPr>
        <w:t>estimate</w:t>
      </w:r>
      <w:r w:rsidR="009327E7">
        <w:rPr>
          <w:rFonts w:ascii="Calibri" w:eastAsia="Calibri" w:hAnsi="Calibri" w:cs="Arial"/>
          <w:color w:val="262626"/>
        </w:rPr>
        <w:t xml:space="preserve"> total </w:t>
      </w:r>
      <w:r>
        <w:t xml:space="preserve">regulatory </w:t>
      </w:r>
      <w:r w:rsidRPr="0072002D">
        <w:t xml:space="preserve">costs </w:t>
      </w:r>
      <w:r w:rsidR="00D5381A">
        <w:t xml:space="preserve">of obtaining certification </w:t>
      </w:r>
      <w:r w:rsidR="00201D98">
        <w:t xml:space="preserve">over </w:t>
      </w:r>
      <w:r w:rsidR="008903D4" w:rsidRPr="00122196">
        <w:rPr>
          <w:rFonts w:ascii="Calibri" w:eastAsia="Calibri" w:hAnsi="Calibri" w:cs="Arial"/>
          <w:color w:val="262626"/>
        </w:rPr>
        <w:t>a 10-year period in line with the RBMF</w:t>
      </w:r>
      <w:r w:rsidR="00CD3D0E">
        <w:rPr>
          <w:rFonts w:ascii="Calibri" w:eastAsia="Calibri" w:hAnsi="Calibri" w:cs="Arial"/>
          <w:color w:val="262626"/>
        </w:rPr>
        <w:t>.</w:t>
      </w:r>
    </w:p>
    <w:p w14:paraId="4D1293B7" w14:textId="7A7C7C52" w:rsidR="00412ED7" w:rsidRDefault="00412ED7" w:rsidP="00412ED7">
      <w:pPr>
        <w:pStyle w:val="Caption"/>
      </w:pPr>
      <w:r>
        <w:t>Table 1</w:t>
      </w:r>
      <w:r w:rsidR="00676E0C">
        <w:t>0</w:t>
      </w:r>
      <w:r>
        <w:t xml:space="preserve">: </w:t>
      </w:r>
      <w:r w:rsidRPr="00412ED7">
        <w:t xml:space="preserve">Regulatory costs by sector </w:t>
      </w:r>
      <w:r w:rsidR="006D27D7">
        <w:t>(</w:t>
      </w:r>
      <w:r w:rsidR="006D27D7" w:rsidRPr="006D27D7">
        <w:t>Hydrogen and derivatives</w:t>
      </w:r>
      <w:r w:rsidR="006D27D7">
        <w:t xml:space="preserve">) </w:t>
      </w:r>
      <w:r w:rsidRPr="00412ED7">
        <w:t xml:space="preserve">over 10 years, </w:t>
      </w:r>
      <w:r>
        <w:t>Quasi-r</w:t>
      </w:r>
      <w:r w:rsidRPr="00412ED7">
        <w:t>egulatory Option</w:t>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218"/>
        <w:gridCol w:w="2149"/>
        <w:gridCol w:w="2469"/>
      </w:tblGrid>
      <w:tr w:rsidR="009924ED" w:rsidRPr="00122196" w14:paraId="6E5C6122" w14:textId="77777777" w:rsidTr="00172C54">
        <w:trPr>
          <w:trHeight w:val="606"/>
        </w:trPr>
        <w:tc>
          <w:tcPr>
            <w:tcW w:w="2178" w:type="dxa"/>
            <w:shd w:val="clear" w:color="auto" w:fill="D1D1D1" w:themeFill="background2"/>
            <w:noWrap/>
            <w:vAlign w:val="center"/>
            <w:hideMark/>
          </w:tcPr>
          <w:p w14:paraId="68C8201C" w14:textId="77777777" w:rsidR="009924ED" w:rsidRPr="00122196" w:rsidRDefault="009924ED" w:rsidP="00E45B87">
            <w:pPr>
              <w:spacing w:after="0" w:line="240" w:lineRule="auto"/>
              <w:jc w:val="center"/>
              <w:rPr>
                <w:rFonts w:ascii="Calibri" w:eastAsia="Times New Roman" w:hAnsi="Calibri" w:cs="Calibri"/>
                <w:b/>
                <w:bCs/>
                <w:color w:val="auto"/>
                <w:kern w:val="2"/>
                <w:lang w:eastAsia="en-AU"/>
                <w14:ligatures w14:val="standardContextual"/>
              </w:rPr>
            </w:pPr>
            <w:r>
              <w:rPr>
                <w:rFonts w:ascii="Calibri" w:eastAsia="Times New Roman" w:hAnsi="Calibri" w:cs="Calibri"/>
                <w:b/>
                <w:bCs/>
                <w:color w:val="auto"/>
                <w:kern w:val="2"/>
                <w:lang w:eastAsia="en-AU"/>
                <w14:ligatures w14:val="standardContextual"/>
              </w:rPr>
              <w:t>Year of participation</w:t>
            </w:r>
          </w:p>
        </w:tc>
        <w:tc>
          <w:tcPr>
            <w:tcW w:w="2218" w:type="dxa"/>
            <w:shd w:val="clear" w:color="auto" w:fill="D1D1D1" w:themeFill="background2"/>
            <w:noWrap/>
            <w:vAlign w:val="center"/>
            <w:hideMark/>
          </w:tcPr>
          <w:p w14:paraId="6084BE4B" w14:textId="7BC07B33" w:rsidR="009924ED" w:rsidRPr="00122196" w:rsidRDefault="009924ED" w:rsidP="00E45B87">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 xml:space="preserve">New </w:t>
            </w:r>
            <w:r w:rsidR="007C40C9">
              <w:rPr>
                <w:rFonts w:ascii="Calibri" w:eastAsia="Times New Roman" w:hAnsi="Calibri" w:cs="Calibri"/>
                <w:b/>
                <w:bCs/>
                <w:color w:val="auto"/>
                <w:kern w:val="2"/>
                <w:lang w:eastAsia="en-AU"/>
                <w14:ligatures w14:val="standardContextual"/>
              </w:rPr>
              <w:t>producer</w:t>
            </w:r>
            <w:r w:rsidRPr="00122196">
              <w:rPr>
                <w:rFonts w:ascii="Calibri" w:eastAsia="Times New Roman" w:hAnsi="Calibri" w:cs="Calibri"/>
                <w:b/>
                <w:bCs/>
                <w:color w:val="auto"/>
                <w:kern w:val="2"/>
                <w:lang w:eastAsia="en-AU"/>
                <w14:ligatures w14:val="standardContextual"/>
              </w:rPr>
              <w:t>s</w:t>
            </w:r>
          </w:p>
        </w:tc>
        <w:tc>
          <w:tcPr>
            <w:tcW w:w="2149" w:type="dxa"/>
            <w:shd w:val="clear" w:color="auto" w:fill="D1D1D1" w:themeFill="background2"/>
            <w:vAlign w:val="center"/>
            <w:hideMark/>
          </w:tcPr>
          <w:p w14:paraId="5F852134" w14:textId="4FC96670" w:rsidR="009924ED" w:rsidRPr="00122196" w:rsidRDefault="009924ED" w:rsidP="00E45B87">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 xml:space="preserve">Total </w:t>
            </w:r>
            <w:r w:rsidR="007C40C9">
              <w:rPr>
                <w:rFonts w:ascii="Calibri" w:eastAsia="Times New Roman" w:hAnsi="Calibri" w:cs="Calibri"/>
                <w:b/>
                <w:bCs/>
                <w:color w:val="auto"/>
                <w:kern w:val="2"/>
                <w:lang w:eastAsia="en-AU"/>
                <w14:ligatures w14:val="standardContextual"/>
              </w:rPr>
              <w:t>p</w:t>
            </w:r>
            <w:r w:rsidR="0001121D">
              <w:rPr>
                <w:rFonts w:ascii="Calibri" w:eastAsia="Times New Roman" w:hAnsi="Calibri" w:cs="Calibri"/>
                <w:b/>
                <w:bCs/>
                <w:color w:val="auto"/>
                <w:kern w:val="2"/>
                <w:lang w:eastAsia="en-AU"/>
                <w14:ligatures w14:val="standardContextual"/>
              </w:rPr>
              <w:t>roducer</w:t>
            </w:r>
            <w:r w:rsidRPr="00122196">
              <w:rPr>
                <w:rFonts w:ascii="Calibri" w:eastAsia="Times New Roman" w:hAnsi="Calibri" w:cs="Calibri"/>
                <w:b/>
                <w:bCs/>
                <w:color w:val="auto"/>
                <w:kern w:val="2"/>
                <w:lang w:eastAsia="en-AU"/>
                <w14:ligatures w14:val="standardContextual"/>
              </w:rPr>
              <w:t>s</w:t>
            </w:r>
          </w:p>
        </w:tc>
        <w:tc>
          <w:tcPr>
            <w:tcW w:w="2469" w:type="dxa"/>
            <w:shd w:val="clear" w:color="auto" w:fill="D1D1D1" w:themeFill="background2"/>
            <w:vAlign w:val="center"/>
            <w:hideMark/>
          </w:tcPr>
          <w:p w14:paraId="1157BF8E" w14:textId="0BE5ACD8" w:rsidR="009924ED" w:rsidRPr="00122196" w:rsidRDefault="009924ED" w:rsidP="00E45B87">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Total</w:t>
            </w:r>
            <w:r>
              <w:rPr>
                <w:rFonts w:ascii="Calibri" w:eastAsia="Times New Roman" w:hAnsi="Calibri" w:cs="Calibri"/>
                <w:b/>
                <w:bCs/>
                <w:color w:val="auto"/>
                <w:kern w:val="2"/>
                <w:lang w:eastAsia="en-AU"/>
                <w14:ligatures w14:val="standardContextual"/>
              </w:rPr>
              <w:t xml:space="preserve"> Annual</w:t>
            </w:r>
            <w:r w:rsidRPr="00122196">
              <w:rPr>
                <w:rFonts w:ascii="Calibri" w:eastAsia="Times New Roman" w:hAnsi="Calibri" w:cs="Calibri"/>
                <w:b/>
                <w:bCs/>
                <w:color w:val="auto"/>
                <w:kern w:val="2"/>
                <w:lang w:eastAsia="en-AU"/>
                <w14:ligatures w14:val="standardContextual"/>
              </w:rPr>
              <w:t xml:space="preserve"> costs</w:t>
            </w:r>
          </w:p>
        </w:tc>
      </w:tr>
      <w:tr w:rsidR="004617D7" w:rsidRPr="00122196" w14:paraId="787FD141" w14:textId="77777777" w:rsidTr="00172C54">
        <w:trPr>
          <w:trHeight w:val="264"/>
        </w:trPr>
        <w:tc>
          <w:tcPr>
            <w:tcW w:w="2178" w:type="dxa"/>
            <w:shd w:val="clear" w:color="auto" w:fill="F2F2F2" w:themeFill="background1" w:themeFillShade="F2"/>
            <w:noWrap/>
            <w:vAlign w:val="center"/>
          </w:tcPr>
          <w:p w14:paraId="6907382E" w14:textId="77777777"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Initial year</w:t>
            </w:r>
          </w:p>
        </w:tc>
        <w:tc>
          <w:tcPr>
            <w:tcW w:w="2218" w:type="dxa"/>
            <w:noWrap/>
          </w:tcPr>
          <w:p w14:paraId="55032D07" w14:textId="66A26296"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A25BB0">
              <w:t>33</w:t>
            </w:r>
          </w:p>
        </w:tc>
        <w:tc>
          <w:tcPr>
            <w:tcW w:w="2149" w:type="dxa"/>
          </w:tcPr>
          <w:p w14:paraId="75E34A18" w14:textId="4FF46E5D"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33</w:t>
            </w:r>
          </w:p>
        </w:tc>
        <w:tc>
          <w:tcPr>
            <w:tcW w:w="2469" w:type="dxa"/>
          </w:tcPr>
          <w:p w14:paraId="2B9E71C8" w14:textId="1D264DB5"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B06512">
              <w:t>$1,018,776</w:t>
            </w:r>
          </w:p>
        </w:tc>
      </w:tr>
      <w:tr w:rsidR="004617D7" w:rsidRPr="00122196" w14:paraId="3F4B795B" w14:textId="77777777" w:rsidTr="00172C54">
        <w:trPr>
          <w:trHeight w:val="264"/>
        </w:trPr>
        <w:tc>
          <w:tcPr>
            <w:tcW w:w="2178" w:type="dxa"/>
            <w:shd w:val="clear" w:color="auto" w:fill="F2F2F2" w:themeFill="background1" w:themeFillShade="F2"/>
            <w:noWrap/>
            <w:vAlign w:val="center"/>
          </w:tcPr>
          <w:p w14:paraId="5A8BB561" w14:textId="426A7D67"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2</w:t>
            </w:r>
          </w:p>
        </w:tc>
        <w:tc>
          <w:tcPr>
            <w:tcW w:w="2218" w:type="dxa"/>
            <w:noWrap/>
          </w:tcPr>
          <w:p w14:paraId="3CBA335D" w14:textId="3BB97017"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12</w:t>
            </w:r>
          </w:p>
        </w:tc>
        <w:tc>
          <w:tcPr>
            <w:tcW w:w="2149" w:type="dxa"/>
          </w:tcPr>
          <w:p w14:paraId="4E514A8E" w14:textId="37ECD7B3"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45</w:t>
            </w:r>
          </w:p>
        </w:tc>
        <w:tc>
          <w:tcPr>
            <w:tcW w:w="2469" w:type="dxa"/>
          </w:tcPr>
          <w:p w14:paraId="1FA60646" w14:textId="2E349DFC"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$1,310,403</w:t>
            </w:r>
          </w:p>
        </w:tc>
      </w:tr>
      <w:tr w:rsidR="004617D7" w:rsidRPr="00122196" w14:paraId="0E8773C3" w14:textId="77777777" w:rsidTr="00172C54">
        <w:trPr>
          <w:trHeight w:val="264"/>
        </w:trPr>
        <w:tc>
          <w:tcPr>
            <w:tcW w:w="2178" w:type="dxa"/>
            <w:shd w:val="clear" w:color="auto" w:fill="F2F2F2" w:themeFill="background1" w:themeFillShade="F2"/>
            <w:noWrap/>
            <w:vAlign w:val="center"/>
          </w:tcPr>
          <w:p w14:paraId="4D7B6E4D" w14:textId="2D82E660"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3</w:t>
            </w:r>
          </w:p>
        </w:tc>
        <w:tc>
          <w:tcPr>
            <w:tcW w:w="2218" w:type="dxa"/>
            <w:noWrap/>
          </w:tcPr>
          <w:p w14:paraId="13435C70" w14:textId="063A3F12"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9</w:t>
            </w:r>
          </w:p>
        </w:tc>
        <w:tc>
          <w:tcPr>
            <w:tcW w:w="2149" w:type="dxa"/>
          </w:tcPr>
          <w:p w14:paraId="1A3DEDB6" w14:textId="1C47844D"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54</w:t>
            </w:r>
          </w:p>
        </w:tc>
        <w:tc>
          <w:tcPr>
            <w:tcW w:w="2469" w:type="dxa"/>
          </w:tcPr>
          <w:p w14:paraId="54D51B5C" w14:textId="3D536BB2"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$1,559,583</w:t>
            </w:r>
          </w:p>
        </w:tc>
      </w:tr>
      <w:tr w:rsidR="004617D7" w:rsidRPr="00122196" w14:paraId="0B77950F" w14:textId="77777777" w:rsidTr="00172C54">
        <w:trPr>
          <w:trHeight w:val="264"/>
        </w:trPr>
        <w:tc>
          <w:tcPr>
            <w:tcW w:w="2178" w:type="dxa"/>
            <w:shd w:val="clear" w:color="auto" w:fill="F2F2F2" w:themeFill="background1" w:themeFillShade="F2"/>
            <w:noWrap/>
            <w:vAlign w:val="center"/>
          </w:tcPr>
          <w:p w14:paraId="7D70C36C" w14:textId="7616FC58"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4</w:t>
            </w:r>
          </w:p>
        </w:tc>
        <w:tc>
          <w:tcPr>
            <w:tcW w:w="2218" w:type="dxa"/>
            <w:noWrap/>
          </w:tcPr>
          <w:p w14:paraId="6A06004A" w14:textId="0CDEE90D"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9</w:t>
            </w:r>
          </w:p>
        </w:tc>
        <w:tc>
          <w:tcPr>
            <w:tcW w:w="2149" w:type="dxa"/>
          </w:tcPr>
          <w:p w14:paraId="0346130B" w14:textId="1FCFB84E"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63</w:t>
            </w:r>
          </w:p>
        </w:tc>
        <w:tc>
          <w:tcPr>
            <w:tcW w:w="2469" w:type="dxa"/>
          </w:tcPr>
          <w:p w14:paraId="32553FA6" w14:textId="673CDEC6"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$1,815,930</w:t>
            </w:r>
          </w:p>
        </w:tc>
      </w:tr>
      <w:tr w:rsidR="004617D7" w:rsidRPr="00122196" w14:paraId="6E63A8A4" w14:textId="77777777" w:rsidTr="00172C54">
        <w:trPr>
          <w:trHeight w:val="264"/>
        </w:trPr>
        <w:tc>
          <w:tcPr>
            <w:tcW w:w="2178" w:type="dxa"/>
            <w:shd w:val="clear" w:color="auto" w:fill="F2F2F2" w:themeFill="background1" w:themeFillShade="F2"/>
            <w:noWrap/>
            <w:vAlign w:val="center"/>
          </w:tcPr>
          <w:p w14:paraId="059E0B16" w14:textId="0764DD0D"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5</w:t>
            </w:r>
          </w:p>
        </w:tc>
        <w:tc>
          <w:tcPr>
            <w:tcW w:w="2218" w:type="dxa"/>
            <w:noWrap/>
          </w:tcPr>
          <w:p w14:paraId="1B1C0C08" w14:textId="31EB06BB"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15</w:t>
            </w:r>
          </w:p>
        </w:tc>
        <w:tc>
          <w:tcPr>
            <w:tcW w:w="2149" w:type="dxa"/>
          </w:tcPr>
          <w:p w14:paraId="1E065BDC" w14:textId="3821C177"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78</w:t>
            </w:r>
          </w:p>
        </w:tc>
        <w:tc>
          <w:tcPr>
            <w:tcW w:w="2469" w:type="dxa"/>
          </w:tcPr>
          <w:p w14:paraId="74FECF4D" w14:textId="6FD073C3"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$2,257,509</w:t>
            </w:r>
          </w:p>
        </w:tc>
      </w:tr>
      <w:tr w:rsidR="004617D7" w:rsidRPr="00122196" w14:paraId="5ED6960A" w14:textId="77777777" w:rsidTr="00172C54">
        <w:trPr>
          <w:trHeight w:val="264"/>
        </w:trPr>
        <w:tc>
          <w:tcPr>
            <w:tcW w:w="2178" w:type="dxa"/>
            <w:shd w:val="clear" w:color="auto" w:fill="F2F2F2" w:themeFill="background1" w:themeFillShade="F2"/>
            <w:noWrap/>
            <w:vAlign w:val="center"/>
          </w:tcPr>
          <w:p w14:paraId="00499C89" w14:textId="43685494"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6</w:t>
            </w:r>
          </w:p>
        </w:tc>
        <w:tc>
          <w:tcPr>
            <w:tcW w:w="2218" w:type="dxa"/>
            <w:noWrap/>
          </w:tcPr>
          <w:p w14:paraId="2306D81D" w14:textId="003DDF70"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3</w:t>
            </w:r>
          </w:p>
        </w:tc>
        <w:tc>
          <w:tcPr>
            <w:tcW w:w="2149" w:type="dxa"/>
          </w:tcPr>
          <w:p w14:paraId="589D87AF" w14:textId="1662402B"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81</w:t>
            </w:r>
          </w:p>
        </w:tc>
        <w:tc>
          <w:tcPr>
            <w:tcW w:w="2469" w:type="dxa"/>
          </w:tcPr>
          <w:p w14:paraId="2E6B20D0" w14:textId="391F06BF"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$2,314,290</w:t>
            </w:r>
          </w:p>
        </w:tc>
      </w:tr>
      <w:tr w:rsidR="004617D7" w:rsidRPr="00122196" w14:paraId="64A9258A" w14:textId="77777777" w:rsidTr="00172C54">
        <w:trPr>
          <w:trHeight w:val="264"/>
        </w:trPr>
        <w:tc>
          <w:tcPr>
            <w:tcW w:w="2178" w:type="dxa"/>
            <w:shd w:val="clear" w:color="auto" w:fill="F2F2F2" w:themeFill="background1" w:themeFillShade="F2"/>
            <w:noWrap/>
            <w:vAlign w:val="center"/>
          </w:tcPr>
          <w:p w14:paraId="6946EC99" w14:textId="4B5F2DC1"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7</w:t>
            </w:r>
          </w:p>
        </w:tc>
        <w:tc>
          <w:tcPr>
            <w:tcW w:w="2218" w:type="dxa"/>
            <w:noWrap/>
          </w:tcPr>
          <w:p w14:paraId="60EFAA28" w14:textId="275425D2"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3</w:t>
            </w:r>
          </w:p>
        </w:tc>
        <w:tc>
          <w:tcPr>
            <w:tcW w:w="2149" w:type="dxa"/>
          </w:tcPr>
          <w:p w14:paraId="655FB50B" w14:textId="287D68E3"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84</w:t>
            </w:r>
          </w:p>
        </w:tc>
        <w:tc>
          <w:tcPr>
            <w:tcW w:w="2469" w:type="dxa"/>
          </w:tcPr>
          <w:p w14:paraId="23B15225" w14:textId="59C6E62F"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$2,399,739</w:t>
            </w:r>
          </w:p>
        </w:tc>
      </w:tr>
      <w:tr w:rsidR="004617D7" w:rsidRPr="00122196" w14:paraId="73BD6090" w14:textId="77777777" w:rsidTr="00172C54">
        <w:trPr>
          <w:trHeight w:val="264"/>
        </w:trPr>
        <w:tc>
          <w:tcPr>
            <w:tcW w:w="2178" w:type="dxa"/>
            <w:shd w:val="clear" w:color="auto" w:fill="F2F2F2" w:themeFill="background1" w:themeFillShade="F2"/>
            <w:noWrap/>
            <w:vAlign w:val="center"/>
          </w:tcPr>
          <w:p w14:paraId="4811FFA4" w14:textId="2FE5DB74"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8</w:t>
            </w:r>
          </w:p>
        </w:tc>
        <w:tc>
          <w:tcPr>
            <w:tcW w:w="2218" w:type="dxa"/>
            <w:noWrap/>
          </w:tcPr>
          <w:p w14:paraId="75890E9E" w14:textId="67325CF0"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2</w:t>
            </w:r>
          </w:p>
        </w:tc>
        <w:tc>
          <w:tcPr>
            <w:tcW w:w="2149" w:type="dxa"/>
          </w:tcPr>
          <w:p w14:paraId="2602ADA6" w14:textId="177ED697"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86</w:t>
            </w:r>
          </w:p>
        </w:tc>
        <w:tc>
          <w:tcPr>
            <w:tcW w:w="2469" w:type="dxa"/>
          </w:tcPr>
          <w:p w14:paraId="4FCC82A9" w14:textId="24AE02B4"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B06512">
              <w:t>$2,449,538</w:t>
            </w:r>
          </w:p>
        </w:tc>
      </w:tr>
      <w:tr w:rsidR="004617D7" w:rsidRPr="00122196" w14:paraId="5A0BA514" w14:textId="77777777" w:rsidTr="00172C54">
        <w:trPr>
          <w:trHeight w:val="264"/>
        </w:trPr>
        <w:tc>
          <w:tcPr>
            <w:tcW w:w="2178" w:type="dxa"/>
            <w:shd w:val="clear" w:color="auto" w:fill="F2F2F2" w:themeFill="background1" w:themeFillShade="F2"/>
            <w:noWrap/>
            <w:vAlign w:val="center"/>
          </w:tcPr>
          <w:p w14:paraId="432E65FB" w14:textId="6D2E5A05"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9</w:t>
            </w:r>
          </w:p>
        </w:tc>
        <w:tc>
          <w:tcPr>
            <w:tcW w:w="2218" w:type="dxa"/>
            <w:noWrap/>
          </w:tcPr>
          <w:p w14:paraId="660B16CA" w14:textId="796AB0F9"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5</w:t>
            </w:r>
          </w:p>
        </w:tc>
        <w:tc>
          <w:tcPr>
            <w:tcW w:w="2149" w:type="dxa"/>
          </w:tcPr>
          <w:p w14:paraId="52761D98" w14:textId="5DADDD61"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91</w:t>
            </w:r>
          </w:p>
        </w:tc>
        <w:tc>
          <w:tcPr>
            <w:tcW w:w="2469" w:type="dxa"/>
          </w:tcPr>
          <w:p w14:paraId="185A44BC" w14:textId="0DE84897"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$2,603,898</w:t>
            </w:r>
          </w:p>
        </w:tc>
      </w:tr>
      <w:tr w:rsidR="004617D7" w:rsidRPr="00122196" w14:paraId="45738AB2" w14:textId="77777777" w:rsidTr="00172C54">
        <w:trPr>
          <w:trHeight w:val="264"/>
        </w:trPr>
        <w:tc>
          <w:tcPr>
            <w:tcW w:w="2178" w:type="dxa"/>
            <w:shd w:val="clear" w:color="auto" w:fill="F2F2F2" w:themeFill="background1" w:themeFillShade="F2"/>
            <w:noWrap/>
            <w:vAlign w:val="center"/>
          </w:tcPr>
          <w:p w14:paraId="0BC8E6BB" w14:textId="21E21A71" w:rsidR="004617D7" w:rsidRPr="00122196" w:rsidRDefault="004617D7" w:rsidP="004617D7">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10</w:t>
            </w:r>
          </w:p>
        </w:tc>
        <w:tc>
          <w:tcPr>
            <w:tcW w:w="2218" w:type="dxa"/>
            <w:noWrap/>
          </w:tcPr>
          <w:p w14:paraId="35484E14" w14:textId="558ABCF5" w:rsidR="004617D7" w:rsidRPr="00122196" w:rsidRDefault="004617D7" w:rsidP="004617D7">
            <w:pPr>
              <w:spacing w:after="0" w:line="240" w:lineRule="auto"/>
              <w:jc w:val="center"/>
              <w:rPr>
                <w:rFonts w:ascii="Calibri" w:eastAsia="Times New Roman" w:hAnsi="Calibri" w:cs="Calibri"/>
                <w:color w:val="auto"/>
                <w:kern w:val="2"/>
                <w:lang w:eastAsia="en-AU"/>
                <w14:ligatures w14:val="standardContextual"/>
              </w:rPr>
            </w:pPr>
            <w:r w:rsidRPr="00A25BB0">
              <w:t>4</w:t>
            </w:r>
          </w:p>
        </w:tc>
        <w:tc>
          <w:tcPr>
            <w:tcW w:w="2149" w:type="dxa"/>
          </w:tcPr>
          <w:p w14:paraId="31E82D4F" w14:textId="33115317" w:rsidR="004617D7" w:rsidRPr="00122196" w:rsidRDefault="004617D7" w:rsidP="004617D7">
            <w:pPr>
              <w:spacing w:after="0" w:line="240" w:lineRule="auto"/>
              <w:jc w:val="center"/>
              <w:rPr>
                <w:rFonts w:ascii="Calibri" w:eastAsia="Times New Roman" w:hAnsi="Calibri" w:cs="Calibri"/>
                <w:color w:val="262626"/>
                <w:kern w:val="2"/>
                <w:lang w:eastAsia="en-AU"/>
                <w14:ligatures w14:val="standardContextual"/>
              </w:rPr>
            </w:pPr>
            <w:r w:rsidRPr="00A25BB0">
              <w:t>95</w:t>
            </w:r>
          </w:p>
        </w:tc>
        <w:tc>
          <w:tcPr>
            <w:tcW w:w="2469" w:type="dxa"/>
          </w:tcPr>
          <w:p w14:paraId="331EF396" w14:textId="552C2358" w:rsidR="004617D7" w:rsidRPr="00122196" w:rsidRDefault="00A80771" w:rsidP="004617D7">
            <w:pPr>
              <w:spacing w:after="0" w:line="240" w:lineRule="auto"/>
              <w:jc w:val="center"/>
              <w:rPr>
                <w:rFonts w:ascii="Calibri" w:eastAsia="Times New Roman" w:hAnsi="Calibri" w:cs="Calibri"/>
                <w:color w:val="262626"/>
                <w:kern w:val="2"/>
                <w:lang w:eastAsia="en-AU"/>
                <w14:ligatures w14:val="standardContextual"/>
              </w:rPr>
            </w:pPr>
            <w:r w:rsidRPr="00A54E46">
              <w:t>$2,715,441</w:t>
            </w:r>
          </w:p>
        </w:tc>
      </w:tr>
    </w:tbl>
    <w:p w14:paraId="6AB6B0D2" w14:textId="77777777" w:rsidR="00DC5B06" w:rsidRPr="00122196" w:rsidRDefault="00DC5B06" w:rsidP="00DC5B06">
      <w:pPr>
        <w:spacing w:after="0"/>
        <w:rPr>
          <w:rFonts w:ascii="Calibri" w:eastAsia="Calibri" w:hAnsi="Calibri" w:cs="Arial"/>
          <w:color w:val="262626"/>
        </w:rPr>
        <w:sectPr w:rsidR="00DC5B06" w:rsidRPr="00122196" w:rsidSect="0004173E">
          <w:footerReference w:type="default" r:id="rId15"/>
          <w:pgSz w:w="16838" w:h="11906" w:orient="landscape"/>
          <w:pgMar w:top="851" w:right="1440" w:bottom="1440" w:left="851" w:header="709" w:footer="0" w:gutter="0"/>
          <w:cols w:space="708"/>
        </w:sectPr>
      </w:pPr>
    </w:p>
    <w:p w14:paraId="59F8268A" w14:textId="77777777" w:rsidR="00DC5B06" w:rsidRPr="00122196" w:rsidRDefault="00DC5B06" w:rsidP="00DC5B06">
      <w:pPr>
        <w:rPr>
          <w:rFonts w:ascii="Calibri" w:eastAsia="Calibri" w:hAnsi="Calibri" w:cs="Arial"/>
          <w:color w:val="262626"/>
        </w:rPr>
        <w:sectPr w:rsidR="00DC5B06" w:rsidRPr="00122196" w:rsidSect="00F63391">
          <w:type w:val="continuous"/>
          <w:pgSz w:w="16838" w:h="11906" w:orient="landscape"/>
          <w:pgMar w:top="851" w:right="1440" w:bottom="1440" w:left="851" w:header="709" w:footer="709" w:gutter="0"/>
          <w:cols w:space="708"/>
        </w:sectPr>
      </w:pPr>
    </w:p>
    <w:p w14:paraId="3E945059" w14:textId="172C8573" w:rsidR="003225CB" w:rsidRPr="00541B9B" w:rsidRDefault="00E27E9D" w:rsidP="00747E83">
      <w:pPr>
        <w:keepNext/>
        <w:keepLines/>
        <w:spacing w:before="240"/>
        <w:outlineLvl w:val="1"/>
        <w:rPr>
          <w:rFonts w:ascii="Calibri Light" w:eastAsia="Yu Gothic Light" w:hAnsi="Calibri Light" w:cs="Times New Roman"/>
          <w:b/>
          <w:color w:val="44546A"/>
          <w:sz w:val="36"/>
          <w:szCs w:val="36"/>
        </w:rPr>
      </w:pPr>
      <w:bookmarkStart w:id="84" w:name="_Toc494458813"/>
      <w:bookmarkStart w:id="85" w:name="_Toc165367229"/>
      <w:bookmarkStart w:id="86" w:name="_Toc174692347"/>
      <w:bookmarkStart w:id="87" w:name="_Toc175312102"/>
      <w:r>
        <w:rPr>
          <w:rFonts w:ascii="Calibri Light" w:eastAsia="Yu Gothic Light" w:hAnsi="Calibri Light" w:cs="Times New Roman"/>
          <w:b/>
          <w:color w:val="44546A"/>
          <w:sz w:val="36"/>
          <w:szCs w:val="36"/>
        </w:rPr>
        <w:lastRenderedPageBreak/>
        <w:t xml:space="preserve">Option 3: </w:t>
      </w:r>
      <w:r w:rsidR="003225CB" w:rsidRPr="00541B9B">
        <w:rPr>
          <w:rFonts w:ascii="Calibri Light" w:eastAsia="Yu Gothic Light" w:hAnsi="Calibri Light" w:cs="Times New Roman"/>
          <w:b/>
          <w:color w:val="44546A"/>
          <w:sz w:val="36"/>
          <w:szCs w:val="36"/>
        </w:rPr>
        <w:t>Regulatory approach</w:t>
      </w:r>
      <w:bookmarkEnd w:id="84"/>
      <w:bookmarkEnd w:id="85"/>
      <w:bookmarkEnd w:id="86"/>
      <w:bookmarkEnd w:id="87"/>
    </w:p>
    <w:p w14:paraId="5ADB2BA4" w14:textId="77777777" w:rsidR="003225CB" w:rsidRPr="00122196" w:rsidRDefault="003225CB" w:rsidP="00747E83">
      <w:pPr>
        <w:keepNext/>
        <w:keepLines/>
        <w:spacing w:before="120" w:after="0"/>
        <w:outlineLvl w:val="0"/>
        <w:rPr>
          <w:rFonts w:ascii="Calibri Light" w:eastAsia="Yu Gothic Light" w:hAnsi="Calibri Light" w:cs="Times New Roman"/>
          <w:color w:val="2F5496"/>
          <w:sz w:val="32"/>
          <w:szCs w:val="32"/>
        </w:rPr>
      </w:pPr>
      <w:bookmarkStart w:id="88" w:name="_Toc1781253580"/>
      <w:bookmarkStart w:id="89" w:name="_Toc165367230"/>
      <w:bookmarkStart w:id="90" w:name="_Toc174692348"/>
      <w:bookmarkStart w:id="91" w:name="_Toc175312103"/>
      <w:r w:rsidRPr="00122196">
        <w:rPr>
          <w:rFonts w:ascii="Calibri Light" w:eastAsia="Yu Gothic Light" w:hAnsi="Calibri Light" w:cs="Times New Roman"/>
          <w:color w:val="2F5496"/>
          <w:sz w:val="32"/>
          <w:szCs w:val="32"/>
        </w:rPr>
        <w:t>Calculations and assumptions</w:t>
      </w:r>
      <w:bookmarkEnd w:id="88"/>
      <w:bookmarkEnd w:id="89"/>
      <w:bookmarkEnd w:id="90"/>
      <w:bookmarkEnd w:id="91"/>
    </w:p>
    <w:p w14:paraId="25260D18" w14:textId="22EF0443" w:rsidR="003225CB" w:rsidRPr="00122196" w:rsidRDefault="005A2191" w:rsidP="003225CB">
      <w:pPr>
        <w:keepNext/>
        <w:keepLines/>
        <w:spacing w:before="120" w:after="0"/>
        <w:outlineLvl w:val="2"/>
        <w:rPr>
          <w:rFonts w:ascii="Calibri Light" w:eastAsia="Yu Gothic Light" w:hAnsi="Calibri Light" w:cs="Times New Roman"/>
          <w:color w:val="1F3763"/>
          <w:sz w:val="24"/>
          <w:szCs w:val="24"/>
        </w:rPr>
      </w:pPr>
      <w:bookmarkStart w:id="92" w:name="_Toc1930786355"/>
      <w:bookmarkStart w:id="93" w:name="_Toc165367231"/>
      <w:bookmarkStart w:id="94" w:name="_Toc174692349"/>
      <w:bookmarkStart w:id="95" w:name="_Toc175312104"/>
      <w:r>
        <w:rPr>
          <w:rFonts w:ascii="Calibri Light" w:eastAsia="Yu Gothic Light" w:hAnsi="Calibri Light" w:cs="Times New Roman"/>
          <w:color w:val="1F3763"/>
          <w:sz w:val="24"/>
          <w:szCs w:val="24"/>
        </w:rPr>
        <w:t>Audit</w:t>
      </w:r>
      <w:r w:rsidR="003225CB" w:rsidRPr="00122196">
        <w:rPr>
          <w:rFonts w:ascii="Calibri Light" w:eastAsia="Yu Gothic Light" w:hAnsi="Calibri Light" w:cs="Times New Roman"/>
          <w:color w:val="1F3763"/>
          <w:sz w:val="24"/>
          <w:szCs w:val="24"/>
        </w:rPr>
        <w:t xml:space="preserve"> costs</w:t>
      </w:r>
      <w:bookmarkEnd w:id="92"/>
      <w:bookmarkEnd w:id="93"/>
      <w:bookmarkEnd w:id="94"/>
      <w:bookmarkEnd w:id="95"/>
    </w:p>
    <w:p w14:paraId="3FD11561" w14:textId="2EB770B4" w:rsidR="003225CB" w:rsidRPr="00122196" w:rsidRDefault="00EB427C" w:rsidP="003225CB">
      <w:pPr>
        <w:rPr>
          <w:rFonts w:ascii="Calibri" w:eastAsia="Calibri" w:hAnsi="Calibri" w:cs="Arial"/>
          <w:color w:val="262626"/>
        </w:rPr>
      </w:pPr>
      <w:r>
        <w:rPr>
          <w:rFonts w:ascii="Calibri" w:eastAsia="Calibri" w:hAnsi="Calibri" w:cs="Arial"/>
          <w:color w:val="262626"/>
        </w:rPr>
        <w:t>Audits</w:t>
      </w:r>
      <w:r w:rsidR="00290DA4">
        <w:rPr>
          <w:rFonts w:ascii="Calibri" w:eastAsia="Calibri" w:hAnsi="Calibri" w:cs="Arial"/>
          <w:color w:val="262626"/>
        </w:rPr>
        <w:t xml:space="preserve"> </w:t>
      </w:r>
      <w:r w:rsidR="003225CB" w:rsidRPr="00122196">
        <w:rPr>
          <w:rFonts w:ascii="Calibri" w:eastAsia="Calibri" w:hAnsi="Calibri" w:cs="Arial"/>
          <w:color w:val="262626"/>
        </w:rPr>
        <w:t xml:space="preserve">are a required process under Option 3 to provide third-party assurance over the life cycle emissions and associated metering of each GO-certified product. Initial </w:t>
      </w:r>
      <w:r>
        <w:rPr>
          <w:rFonts w:ascii="Calibri" w:eastAsia="Calibri" w:hAnsi="Calibri" w:cs="Arial"/>
          <w:color w:val="262626"/>
        </w:rPr>
        <w:t>audits</w:t>
      </w:r>
      <w:r w:rsidR="003225CB" w:rsidRPr="00122196">
        <w:rPr>
          <w:rFonts w:ascii="Calibri" w:eastAsia="Calibri" w:hAnsi="Calibri" w:cs="Arial"/>
          <w:color w:val="262626"/>
        </w:rPr>
        <w:t xml:space="preserve"> would ensure the information provided throughout the registration process is accurate. Latter </w:t>
      </w:r>
      <w:r w:rsidR="00572CC1">
        <w:rPr>
          <w:rFonts w:ascii="Calibri" w:eastAsia="Calibri" w:hAnsi="Calibri" w:cs="Arial"/>
          <w:color w:val="262626"/>
        </w:rPr>
        <w:t>audits</w:t>
      </w:r>
      <w:r w:rsidR="003225CB" w:rsidRPr="00122196">
        <w:rPr>
          <w:rFonts w:ascii="Calibri" w:eastAsia="Calibri" w:hAnsi="Calibri" w:cs="Arial"/>
          <w:color w:val="262626"/>
        </w:rPr>
        <w:t xml:space="preserve"> would ensure ongoing measurement and reporting remains accurate and reflects any production changes.</w:t>
      </w:r>
      <w:r w:rsidR="00426486">
        <w:rPr>
          <w:rFonts w:ascii="Calibri" w:eastAsia="Calibri" w:hAnsi="Calibri" w:cs="Arial"/>
          <w:color w:val="262626"/>
        </w:rPr>
        <w:t xml:space="preserve"> </w:t>
      </w:r>
      <w:r w:rsidR="00572CC1">
        <w:rPr>
          <w:rFonts w:ascii="Calibri" w:eastAsia="Calibri" w:hAnsi="Calibri" w:cs="Arial"/>
          <w:color w:val="262626"/>
        </w:rPr>
        <w:t>Audits</w:t>
      </w:r>
      <w:r w:rsidR="00426486">
        <w:rPr>
          <w:rFonts w:ascii="Calibri" w:eastAsia="Calibri" w:hAnsi="Calibri" w:cs="Arial"/>
          <w:color w:val="262626"/>
        </w:rPr>
        <w:t xml:space="preserve"> are </w:t>
      </w:r>
      <w:r w:rsidR="00426486" w:rsidRPr="00426486">
        <w:rPr>
          <w:rFonts w:ascii="Calibri" w:eastAsia="Calibri" w:hAnsi="Calibri" w:cs="Arial"/>
          <w:color w:val="262626"/>
        </w:rPr>
        <w:t>exclu</w:t>
      </w:r>
      <w:r w:rsidR="00426486">
        <w:rPr>
          <w:rFonts w:ascii="Calibri" w:eastAsia="Calibri" w:hAnsi="Calibri" w:cs="Arial"/>
          <w:color w:val="262626"/>
        </w:rPr>
        <w:t>ded</w:t>
      </w:r>
      <w:r w:rsidR="003F2D3A">
        <w:rPr>
          <w:rFonts w:ascii="Calibri" w:eastAsia="Calibri" w:hAnsi="Calibri" w:cs="Arial"/>
          <w:color w:val="262626"/>
        </w:rPr>
        <w:t xml:space="preserve"> from REGO Producer calculations under the</w:t>
      </w:r>
      <w:r w:rsidR="00426486" w:rsidRPr="00426486">
        <w:rPr>
          <w:rFonts w:ascii="Calibri" w:eastAsia="Calibri" w:hAnsi="Calibri" w:cs="Arial"/>
          <w:color w:val="262626"/>
        </w:rPr>
        <w:t xml:space="preserve"> assumption they </w:t>
      </w:r>
      <w:r w:rsidR="003F2D3A">
        <w:rPr>
          <w:rFonts w:ascii="Calibri" w:eastAsia="Calibri" w:hAnsi="Calibri" w:cs="Arial"/>
          <w:color w:val="262626"/>
        </w:rPr>
        <w:t>will</w:t>
      </w:r>
      <w:r w:rsidR="00426486" w:rsidRPr="00426486">
        <w:rPr>
          <w:rFonts w:ascii="Calibri" w:eastAsia="Calibri" w:hAnsi="Calibri" w:cs="Arial"/>
          <w:color w:val="262626"/>
        </w:rPr>
        <w:t xml:space="preserve"> not </w:t>
      </w:r>
      <w:r w:rsidR="003F2D3A">
        <w:rPr>
          <w:rFonts w:ascii="Calibri" w:eastAsia="Calibri" w:hAnsi="Calibri" w:cs="Arial"/>
          <w:color w:val="262626"/>
        </w:rPr>
        <w:t xml:space="preserve">be </w:t>
      </w:r>
      <w:r w:rsidR="00426486" w:rsidRPr="00426486">
        <w:rPr>
          <w:rFonts w:ascii="Calibri" w:eastAsia="Calibri" w:hAnsi="Calibri" w:cs="Arial"/>
          <w:color w:val="262626"/>
        </w:rPr>
        <w:t>required by default.</w:t>
      </w:r>
    </w:p>
    <w:p w14:paraId="277EE384" w14:textId="3461BC2A" w:rsidR="003225CB" w:rsidRPr="00122196" w:rsidRDefault="00F2047F" w:rsidP="003225CB">
      <w:pPr>
        <w:rPr>
          <w:rFonts w:ascii="Calibri" w:eastAsia="Calibri" w:hAnsi="Calibri" w:cs="Arial"/>
          <w:color w:val="262626"/>
        </w:rPr>
      </w:pPr>
      <w:r>
        <w:rPr>
          <w:rFonts w:ascii="Calibri" w:eastAsia="Calibri" w:hAnsi="Calibri" w:cs="Arial"/>
          <w:color w:val="262626"/>
        </w:rPr>
        <w:t>Audits</w:t>
      </w:r>
      <w:r w:rsidR="003225CB" w:rsidRPr="00122196">
        <w:rPr>
          <w:rFonts w:ascii="Calibri" w:eastAsia="Calibri" w:hAnsi="Calibri" w:cs="Arial"/>
          <w:color w:val="262626"/>
        </w:rPr>
        <w:t xml:space="preserve"> </w:t>
      </w:r>
      <w:r w:rsidR="00A75F65">
        <w:rPr>
          <w:rFonts w:ascii="Calibri" w:eastAsia="Calibri" w:hAnsi="Calibri" w:cs="Arial"/>
          <w:color w:val="262626"/>
        </w:rPr>
        <w:t>will be</w:t>
      </w:r>
      <w:r w:rsidR="003225CB" w:rsidRPr="00122196">
        <w:rPr>
          <w:rFonts w:ascii="Calibri" w:eastAsia="Calibri" w:hAnsi="Calibri" w:cs="Arial"/>
          <w:color w:val="262626"/>
        </w:rPr>
        <w:t xml:space="preserve"> conducted by NGER qualified auditors to provide third-party assurance of the information reported under </w:t>
      </w:r>
      <w:r>
        <w:rPr>
          <w:rFonts w:ascii="Calibri" w:eastAsia="Calibri" w:hAnsi="Calibri" w:cs="Arial"/>
          <w:color w:val="262626"/>
        </w:rPr>
        <w:t>option 3</w:t>
      </w:r>
      <w:r w:rsidR="003225CB" w:rsidRPr="00122196">
        <w:rPr>
          <w:rFonts w:ascii="Calibri" w:eastAsia="Calibri" w:hAnsi="Calibri" w:cs="Arial"/>
          <w:color w:val="262626"/>
        </w:rPr>
        <w:t>. The costs of are borne by participant businesses and as such are captured as substantive compliance costs under the RMBF.</w:t>
      </w:r>
      <w:r w:rsidR="00511205">
        <w:rPr>
          <w:rFonts w:ascii="Calibri" w:eastAsia="Calibri" w:hAnsi="Calibri" w:cs="Arial"/>
          <w:color w:val="262626"/>
        </w:rPr>
        <w:t xml:space="preserve"> </w:t>
      </w:r>
      <w:r w:rsidR="003225CB" w:rsidRPr="00122196">
        <w:rPr>
          <w:rFonts w:ascii="Calibri" w:eastAsia="Calibri" w:hAnsi="Calibri" w:cs="Arial"/>
          <w:color w:val="262626"/>
        </w:rPr>
        <w:t xml:space="preserve">Cost estimates are based on NGER Audit Cost Analysis in November 2022 provided by the CER. In their analysis, the CER identify that s74 NGER audits on average cost $56,014 each. They also identify average hours to be 212 hours (approx. 6 working weeks) with average hourly cost to be $264/hr. </w:t>
      </w:r>
      <w:r w:rsidR="007E0676">
        <w:rPr>
          <w:rFonts w:ascii="Calibri" w:eastAsia="Calibri" w:hAnsi="Calibri" w:cs="Arial"/>
          <w:color w:val="262626"/>
        </w:rPr>
        <w:t>GO audits</w:t>
      </w:r>
      <w:r w:rsidR="003225CB" w:rsidRPr="00122196">
        <w:rPr>
          <w:rFonts w:ascii="Calibri" w:eastAsia="Calibri" w:hAnsi="Calibri" w:cs="Arial"/>
          <w:color w:val="262626"/>
        </w:rPr>
        <w:t xml:space="preserve"> are anticipated to impose significantly less burden than NGER audits but are used as a guide in calculating these estimates due to their similarities.</w:t>
      </w:r>
    </w:p>
    <w:p w14:paraId="49EB1160" w14:textId="34D3D5EA" w:rsidR="003225CB" w:rsidRPr="00122196" w:rsidRDefault="003225CB" w:rsidP="003225CB">
      <w:pPr>
        <w:rPr>
          <w:rFonts w:ascii="Calibri" w:eastAsia="Calibri" w:hAnsi="Calibri" w:cs="Arial"/>
          <w:color w:val="262626"/>
        </w:rPr>
      </w:pPr>
      <w:r w:rsidRPr="00122196">
        <w:rPr>
          <w:rFonts w:ascii="Calibri" w:eastAsia="Calibri" w:hAnsi="Calibri" w:cs="Arial"/>
          <w:color w:val="262626"/>
        </w:rPr>
        <w:t xml:space="preserve">The impact of </w:t>
      </w:r>
      <w:r w:rsidR="007E0676">
        <w:rPr>
          <w:rFonts w:ascii="Calibri" w:eastAsia="Calibri" w:hAnsi="Calibri" w:cs="Arial"/>
          <w:color w:val="262626"/>
        </w:rPr>
        <w:t>audits</w:t>
      </w:r>
      <w:r w:rsidRPr="00122196">
        <w:rPr>
          <w:rFonts w:ascii="Calibri" w:eastAsia="Calibri" w:hAnsi="Calibri" w:cs="Arial"/>
          <w:color w:val="262626"/>
        </w:rPr>
        <w:t xml:space="preserve"> var</w:t>
      </w:r>
      <w:r w:rsidR="00606904">
        <w:rPr>
          <w:rFonts w:ascii="Calibri" w:eastAsia="Calibri" w:hAnsi="Calibri" w:cs="Arial"/>
          <w:color w:val="262626"/>
        </w:rPr>
        <w:t>ies</w:t>
      </w:r>
      <w:r w:rsidRPr="00122196">
        <w:rPr>
          <w:rFonts w:ascii="Calibri" w:eastAsia="Calibri" w:hAnsi="Calibri" w:cs="Arial"/>
          <w:color w:val="262626"/>
        </w:rPr>
        <w:t xml:space="preserve"> between both GO and REGO producers. This reflects the level of information required for each, REGO producer familiarity with similar reviews, and considers that REGO </w:t>
      </w:r>
      <w:r w:rsidR="00BC7789">
        <w:rPr>
          <w:rFonts w:ascii="Calibri" w:eastAsia="Calibri" w:hAnsi="Calibri" w:cs="Arial"/>
          <w:color w:val="262626"/>
        </w:rPr>
        <w:t>audits</w:t>
      </w:r>
      <w:r w:rsidRPr="00122196">
        <w:rPr>
          <w:rFonts w:ascii="Calibri" w:eastAsia="Calibri" w:hAnsi="Calibri" w:cs="Arial"/>
          <w:color w:val="262626"/>
        </w:rPr>
        <w:t xml:space="preserve"> </w:t>
      </w:r>
      <w:r w:rsidR="00BC7789">
        <w:rPr>
          <w:rFonts w:ascii="Calibri" w:eastAsia="Calibri" w:hAnsi="Calibri" w:cs="Arial"/>
          <w:color w:val="262626"/>
        </w:rPr>
        <w:t>only cover production information</w:t>
      </w:r>
      <w:r w:rsidRPr="00122196">
        <w:rPr>
          <w:rFonts w:ascii="Calibri" w:eastAsia="Calibri" w:hAnsi="Calibri" w:cs="Arial"/>
          <w:color w:val="262626"/>
        </w:rPr>
        <w:t>.</w:t>
      </w:r>
    </w:p>
    <w:p w14:paraId="1FF14B7E" w14:textId="77777777" w:rsidR="003225CB" w:rsidRPr="00122196" w:rsidRDefault="003225CB" w:rsidP="003225CB">
      <w:pPr>
        <w:keepNext/>
        <w:keepLines/>
        <w:spacing w:before="120" w:after="0"/>
        <w:outlineLvl w:val="2"/>
        <w:rPr>
          <w:rFonts w:ascii="Calibri Light" w:eastAsia="Yu Gothic Light" w:hAnsi="Calibri Light" w:cs="Times New Roman"/>
          <w:color w:val="1F3763"/>
          <w:sz w:val="24"/>
          <w:szCs w:val="24"/>
        </w:rPr>
      </w:pPr>
      <w:bookmarkStart w:id="96" w:name="_Toc2018210844"/>
      <w:bookmarkStart w:id="97" w:name="_Toc165367233"/>
      <w:bookmarkStart w:id="98" w:name="_Toc174692350"/>
      <w:bookmarkStart w:id="99" w:name="_Toc175312105"/>
      <w:r w:rsidRPr="00122196">
        <w:rPr>
          <w:rFonts w:ascii="Calibri Light" w:eastAsia="Yu Gothic Light" w:hAnsi="Calibri Light" w:cs="Times New Roman"/>
          <w:color w:val="1F3763"/>
          <w:sz w:val="24"/>
          <w:szCs w:val="24"/>
        </w:rPr>
        <w:t>Individuals</w:t>
      </w:r>
      <w:bookmarkEnd w:id="96"/>
      <w:bookmarkEnd w:id="97"/>
      <w:bookmarkEnd w:id="98"/>
      <w:bookmarkEnd w:id="99"/>
    </w:p>
    <w:p w14:paraId="06E9EFE7" w14:textId="77777777" w:rsidR="003225CB" w:rsidRPr="00122196" w:rsidRDefault="003225CB" w:rsidP="003225CB">
      <w:pPr>
        <w:rPr>
          <w:rFonts w:ascii="Calibri Light" w:eastAsia="Yu Gothic Light" w:hAnsi="Calibri Light" w:cs="Times New Roman"/>
          <w:color w:val="2F5496"/>
          <w:sz w:val="32"/>
          <w:szCs w:val="32"/>
        </w:rPr>
      </w:pPr>
      <w:r w:rsidRPr="00122196">
        <w:rPr>
          <w:rFonts w:ascii="Calibri" w:eastAsia="Calibri" w:hAnsi="Calibri" w:cs="Arial"/>
          <w:color w:val="262626"/>
        </w:rPr>
        <w:t>As scheme participation does not mandate individuals to interact with government, there is no real regulatory burden to estimate. The steps involved for individuals who choose to participate with the scheme will be fundamentally the same as those for businesses though far less intensive. The costs to these individuals would be very low and have no material impact in the context of these estimates. For these reasons, the estimates for costs to businesses should be considered to include costs to individuals.</w:t>
      </w:r>
    </w:p>
    <w:p w14:paraId="57A51D33" w14:textId="77777777" w:rsidR="003225CB" w:rsidRPr="00122196" w:rsidRDefault="003225CB" w:rsidP="003225CB">
      <w:pPr>
        <w:keepNext/>
        <w:keepLines/>
        <w:spacing w:before="120" w:after="0"/>
        <w:outlineLvl w:val="0"/>
        <w:rPr>
          <w:rFonts w:ascii="Calibri Light" w:eastAsia="Yu Gothic Light" w:hAnsi="Calibri Light" w:cs="Times New Roman"/>
          <w:color w:val="2F5496"/>
          <w:sz w:val="32"/>
          <w:szCs w:val="32"/>
        </w:rPr>
      </w:pPr>
      <w:bookmarkStart w:id="100" w:name="_Toc686916783"/>
      <w:bookmarkStart w:id="101" w:name="_Toc165367234"/>
      <w:bookmarkStart w:id="102" w:name="_Toc174692351"/>
      <w:bookmarkStart w:id="103" w:name="_Toc175312106"/>
      <w:r w:rsidRPr="00122196">
        <w:rPr>
          <w:rFonts w:ascii="Calibri Light" w:eastAsia="Yu Gothic Light" w:hAnsi="Calibri Light" w:cs="Times New Roman"/>
          <w:color w:val="2F5496"/>
          <w:sz w:val="32"/>
          <w:szCs w:val="32"/>
        </w:rPr>
        <w:t>Regulatory cost estimates</w:t>
      </w:r>
      <w:bookmarkEnd w:id="100"/>
      <w:bookmarkEnd w:id="101"/>
      <w:bookmarkEnd w:id="102"/>
      <w:bookmarkEnd w:id="103"/>
    </w:p>
    <w:p w14:paraId="745E14C7" w14:textId="77777777" w:rsidR="003225CB" w:rsidRPr="00122196" w:rsidRDefault="003225CB" w:rsidP="003225CB">
      <w:pPr>
        <w:rPr>
          <w:rFonts w:ascii="Calibri" w:eastAsia="Calibri" w:hAnsi="Calibri" w:cs="Arial"/>
          <w:color w:val="262626"/>
        </w:rPr>
      </w:pPr>
      <w:r w:rsidRPr="00122196">
        <w:rPr>
          <w:rFonts w:ascii="Calibri" w:eastAsia="Calibri" w:hAnsi="Calibri" w:cs="Arial"/>
          <w:color w:val="262626"/>
        </w:rPr>
        <w:t>The tables below detail the administrative costs for each step involved in participation with a legislated GO Scheme for a single GO and REGO producer.</w:t>
      </w:r>
    </w:p>
    <w:p w14:paraId="74961AB7" w14:textId="77777777" w:rsidR="00B0561F" w:rsidRDefault="00B0561F" w:rsidP="003225CB">
      <w:pPr>
        <w:rPr>
          <w:rFonts w:ascii="Calibri" w:eastAsia="Calibri" w:hAnsi="Calibri" w:cs="Arial"/>
          <w:b/>
          <w:bCs/>
          <w:color w:val="262626"/>
        </w:rPr>
      </w:pPr>
    </w:p>
    <w:p w14:paraId="3AA868C9" w14:textId="77777777" w:rsidR="00B0561F" w:rsidRDefault="00B0561F" w:rsidP="003225CB">
      <w:pPr>
        <w:rPr>
          <w:rFonts w:ascii="Calibri" w:eastAsia="Calibri" w:hAnsi="Calibri" w:cs="Arial"/>
          <w:b/>
          <w:bCs/>
          <w:color w:val="262626"/>
        </w:rPr>
      </w:pPr>
    </w:p>
    <w:p w14:paraId="5611644A" w14:textId="77777777" w:rsidR="00B0561F" w:rsidRDefault="00B0561F" w:rsidP="003225CB">
      <w:pPr>
        <w:rPr>
          <w:rFonts w:ascii="Calibri" w:eastAsia="Calibri" w:hAnsi="Calibri" w:cs="Arial"/>
          <w:b/>
          <w:bCs/>
          <w:color w:val="262626"/>
        </w:rPr>
      </w:pPr>
    </w:p>
    <w:p w14:paraId="0A51B837" w14:textId="77777777" w:rsidR="00B0561F" w:rsidRDefault="00B0561F" w:rsidP="003225CB">
      <w:pPr>
        <w:rPr>
          <w:rFonts w:ascii="Calibri" w:eastAsia="Calibri" w:hAnsi="Calibri" w:cs="Arial"/>
          <w:b/>
          <w:bCs/>
          <w:color w:val="262626"/>
        </w:rPr>
      </w:pPr>
    </w:p>
    <w:p w14:paraId="43C3A7B6" w14:textId="77777777" w:rsidR="00B0561F" w:rsidRDefault="00B0561F" w:rsidP="003225CB">
      <w:pPr>
        <w:rPr>
          <w:rFonts w:ascii="Calibri" w:eastAsia="Calibri" w:hAnsi="Calibri" w:cs="Arial"/>
          <w:b/>
          <w:bCs/>
          <w:color w:val="262626"/>
        </w:rPr>
      </w:pPr>
    </w:p>
    <w:p w14:paraId="2DBAE581" w14:textId="77777777" w:rsidR="00B0561F" w:rsidRDefault="00B0561F" w:rsidP="003225CB">
      <w:pPr>
        <w:rPr>
          <w:rFonts w:ascii="Calibri" w:eastAsia="Calibri" w:hAnsi="Calibri" w:cs="Arial"/>
          <w:b/>
          <w:bCs/>
          <w:color w:val="262626"/>
        </w:rPr>
      </w:pPr>
    </w:p>
    <w:p w14:paraId="78B5227E" w14:textId="77777777" w:rsidR="00B0561F" w:rsidRDefault="00B0561F" w:rsidP="003225CB">
      <w:pPr>
        <w:rPr>
          <w:rFonts w:ascii="Calibri" w:eastAsia="Calibri" w:hAnsi="Calibri" w:cs="Arial"/>
          <w:b/>
          <w:bCs/>
          <w:color w:val="262626"/>
        </w:rPr>
      </w:pPr>
    </w:p>
    <w:p w14:paraId="5183F2FA" w14:textId="0528E150" w:rsidR="001F2770" w:rsidRPr="00122196" w:rsidRDefault="003225CB" w:rsidP="003225CB">
      <w:pPr>
        <w:rPr>
          <w:rFonts w:ascii="Calibri" w:eastAsia="Calibri" w:hAnsi="Calibri" w:cs="Arial"/>
          <w:color w:val="262626"/>
        </w:rPr>
      </w:pPr>
      <w:r w:rsidRPr="00E76953">
        <w:rPr>
          <w:rFonts w:ascii="Calibri" w:eastAsia="Calibri" w:hAnsi="Calibri" w:cs="Arial"/>
          <w:b/>
          <w:bCs/>
          <w:color w:val="262626"/>
        </w:rPr>
        <w:lastRenderedPageBreak/>
        <w:t xml:space="preserve">Table </w:t>
      </w:r>
      <w:r w:rsidR="006D5CAE">
        <w:rPr>
          <w:rFonts w:ascii="Calibri" w:eastAsia="Calibri" w:hAnsi="Calibri" w:cs="Arial"/>
          <w:b/>
          <w:bCs/>
          <w:color w:val="262626"/>
        </w:rPr>
        <w:t>1</w:t>
      </w:r>
      <w:r w:rsidR="00676E0C">
        <w:rPr>
          <w:rFonts w:ascii="Calibri" w:eastAsia="Calibri" w:hAnsi="Calibri" w:cs="Arial"/>
          <w:b/>
          <w:bCs/>
          <w:color w:val="262626"/>
        </w:rPr>
        <w:t>1</w:t>
      </w:r>
      <w:r w:rsidRPr="00122196">
        <w:rPr>
          <w:rFonts w:ascii="Calibri" w:eastAsia="Calibri" w:hAnsi="Calibri" w:cs="Arial"/>
          <w:color w:val="262626"/>
        </w:rPr>
        <w:t xml:space="preserve"> outlines the estimated administrative and compliance costs for producers to register with the GO scheme. These costs would be incurred as a one-off upon scheme participation. Initial registration with the scheme presents significant up-front burden to participants. Increased burden is attributed to GO producers due to the additional requirement to register post-production profiles and provide corresponding </w:t>
      </w:r>
      <w:r w:rsidR="00C83281">
        <w:rPr>
          <w:rFonts w:ascii="Calibri" w:eastAsia="Calibri" w:hAnsi="Calibri" w:cs="Arial"/>
          <w:color w:val="262626"/>
        </w:rPr>
        <w:t>audits</w:t>
      </w:r>
      <w:r w:rsidRPr="00122196">
        <w:rPr>
          <w:rFonts w:ascii="Calibri" w:eastAsia="Calibri" w:hAnsi="Calibri" w:cs="Arial"/>
          <w:color w:val="262626"/>
        </w:rPr>
        <w:t xml:space="preserve">. </w:t>
      </w:r>
    </w:p>
    <w:p w14:paraId="385731C4" w14:textId="4C61B2B9" w:rsidR="00A55510" w:rsidRPr="00E76953" w:rsidRDefault="002112D9" w:rsidP="003225CB">
      <w:pPr>
        <w:rPr>
          <w:rFonts w:ascii="Calibri" w:eastAsia="Calibri" w:hAnsi="Calibri" w:cs="Arial"/>
          <w:color w:val="262626"/>
        </w:rPr>
      </w:pPr>
      <w:r w:rsidRPr="00E76953">
        <w:rPr>
          <w:rFonts w:ascii="Calibri" w:eastAsia="Calibri" w:hAnsi="Calibri" w:cs="Arial"/>
          <w:color w:val="262626"/>
        </w:rPr>
        <w:t xml:space="preserve">Values </w:t>
      </w:r>
      <w:r w:rsidR="00FE15ED">
        <w:rPr>
          <w:rFonts w:ascii="Calibri" w:eastAsia="Calibri" w:hAnsi="Calibri" w:cs="Arial"/>
          <w:color w:val="262626"/>
        </w:rPr>
        <w:t xml:space="preserve">are included </w:t>
      </w:r>
      <w:r w:rsidRPr="00E76953">
        <w:rPr>
          <w:rFonts w:ascii="Calibri" w:eastAsia="Calibri" w:hAnsi="Calibri" w:cs="Arial"/>
          <w:color w:val="262626"/>
        </w:rPr>
        <w:t>for REGO participation including and excluding audits</w:t>
      </w:r>
      <w:r w:rsidR="00FE15ED" w:rsidRPr="00E76953">
        <w:rPr>
          <w:rFonts w:ascii="Calibri" w:eastAsia="Calibri" w:hAnsi="Calibri" w:cs="Arial"/>
          <w:color w:val="262626"/>
        </w:rPr>
        <w:t xml:space="preserve">. </w:t>
      </w:r>
      <w:r w:rsidR="00FE15ED">
        <w:rPr>
          <w:rFonts w:ascii="Calibri" w:eastAsia="Calibri" w:hAnsi="Calibri" w:cs="Arial"/>
          <w:color w:val="262626"/>
        </w:rPr>
        <w:t xml:space="preserve">It is assumed that audits will not be required </w:t>
      </w:r>
      <w:r w:rsidR="00CA5A1B">
        <w:rPr>
          <w:rFonts w:ascii="Calibri" w:eastAsia="Calibri" w:hAnsi="Calibri" w:cs="Arial"/>
          <w:color w:val="262626"/>
        </w:rPr>
        <w:t xml:space="preserve">as this will better align with existing policy approach under the RET scheme, however these values are provided for </w:t>
      </w:r>
      <w:r w:rsidR="00173F5C">
        <w:rPr>
          <w:rFonts w:ascii="Calibri" w:eastAsia="Calibri" w:hAnsi="Calibri" w:cs="Arial"/>
          <w:color w:val="262626"/>
        </w:rPr>
        <w:t>reference.</w:t>
      </w:r>
    </w:p>
    <w:p w14:paraId="56EB0599" w14:textId="0F2AC244" w:rsidR="00A55510" w:rsidRDefault="00A55510" w:rsidP="00E76953">
      <w:pPr>
        <w:pStyle w:val="Caption"/>
        <w:jc w:val="both"/>
      </w:pPr>
      <w:r>
        <w:t xml:space="preserve">Table </w:t>
      </w:r>
      <w:r w:rsidR="00150571">
        <w:fldChar w:fldCharType="begin"/>
      </w:r>
      <w:r w:rsidR="00150571">
        <w:instrText xml:space="preserve"> SEQ Table \* ARABIC </w:instrText>
      </w:r>
      <w:r w:rsidR="00150571">
        <w:fldChar w:fldCharType="separate"/>
      </w:r>
      <w:r w:rsidR="00290A84">
        <w:rPr>
          <w:noProof/>
        </w:rPr>
        <w:t>1</w:t>
      </w:r>
      <w:r w:rsidR="00150571">
        <w:rPr>
          <w:noProof/>
        </w:rPr>
        <w:fldChar w:fldCharType="end"/>
      </w:r>
      <w:r w:rsidR="00676E0C">
        <w:rPr>
          <w:noProof/>
        </w:rPr>
        <w:t>1</w:t>
      </w:r>
      <w:r>
        <w:t xml:space="preserve">: </w:t>
      </w:r>
      <w:r w:rsidRPr="00973AC8">
        <w:t>Enrolment, profile registration and initial LSTR costs (initial year of participation)</w:t>
      </w:r>
    </w:p>
    <w:tbl>
      <w:tblPr>
        <w:tblpPr w:leftFromText="180" w:rightFromText="180" w:vertAnchor="text" w:horzAnchor="margin" w:tblpY="-14"/>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690"/>
        <w:gridCol w:w="1560"/>
        <w:gridCol w:w="1701"/>
        <w:gridCol w:w="1984"/>
        <w:gridCol w:w="2126"/>
      </w:tblGrid>
      <w:tr w:rsidR="003225CB" w:rsidRPr="00122196" w14:paraId="7E4A0413" w14:textId="198770D4" w:rsidTr="00F27FB7">
        <w:trPr>
          <w:trHeight w:val="525"/>
        </w:trPr>
        <w:tc>
          <w:tcPr>
            <w:tcW w:w="5104" w:type="dxa"/>
            <w:shd w:val="clear" w:color="auto" w:fill="D1D1D1" w:themeFill="background2"/>
            <w:vAlign w:val="center"/>
            <w:hideMark/>
          </w:tcPr>
          <w:p w14:paraId="718C2561" w14:textId="43888E79"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xml:space="preserve">GO scheme </w:t>
            </w:r>
            <w:r w:rsidR="00A55510">
              <w:rPr>
                <w:rFonts w:ascii="Calibri" w:eastAsia="Times New Roman" w:hAnsi="Calibri" w:cs="Calibri"/>
                <w:b/>
                <w:bCs/>
                <w:color w:val="auto"/>
                <w:lang w:eastAsia="en-AU"/>
              </w:rPr>
              <w:t>activity</w:t>
            </w:r>
          </w:p>
        </w:tc>
        <w:tc>
          <w:tcPr>
            <w:tcW w:w="1690" w:type="dxa"/>
            <w:shd w:val="clear" w:color="auto" w:fill="D1D1D1" w:themeFill="background2"/>
            <w:vAlign w:val="center"/>
            <w:hideMark/>
          </w:tcPr>
          <w:p w14:paraId="2882E77C" w14:textId="68CE94F1"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xml:space="preserve">Number of hours involved per GO </w:t>
            </w:r>
            <w:r w:rsidR="00A55510">
              <w:rPr>
                <w:rFonts w:ascii="Calibri" w:eastAsia="Times New Roman" w:hAnsi="Calibri" w:cs="Calibri"/>
                <w:b/>
                <w:bCs/>
                <w:color w:val="auto"/>
                <w:lang w:eastAsia="en-AU"/>
              </w:rPr>
              <w:t>p</w:t>
            </w:r>
            <w:r w:rsidRPr="00122196">
              <w:rPr>
                <w:rFonts w:ascii="Calibri" w:eastAsia="Times New Roman" w:hAnsi="Calibri" w:cs="Calibri"/>
                <w:b/>
                <w:bCs/>
                <w:color w:val="auto"/>
                <w:lang w:eastAsia="en-AU"/>
              </w:rPr>
              <w:t>roducer</w:t>
            </w:r>
          </w:p>
        </w:tc>
        <w:tc>
          <w:tcPr>
            <w:tcW w:w="1560" w:type="dxa"/>
            <w:shd w:val="clear" w:color="auto" w:fill="D1D1D1" w:themeFill="background2"/>
            <w:vAlign w:val="center"/>
            <w:hideMark/>
          </w:tcPr>
          <w:p w14:paraId="40F75398"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xml:space="preserve">Cost per GO producer </w:t>
            </w:r>
          </w:p>
        </w:tc>
        <w:tc>
          <w:tcPr>
            <w:tcW w:w="1701" w:type="dxa"/>
            <w:shd w:val="clear" w:color="auto" w:fill="D1D1D1" w:themeFill="background2"/>
            <w:vAlign w:val="center"/>
            <w:hideMark/>
          </w:tcPr>
          <w:p w14:paraId="6B4EB5FF"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Number of hours involved per REGO producer</w:t>
            </w:r>
          </w:p>
        </w:tc>
        <w:tc>
          <w:tcPr>
            <w:tcW w:w="1984" w:type="dxa"/>
            <w:shd w:val="clear" w:color="auto" w:fill="D1D1D1" w:themeFill="background2"/>
            <w:vAlign w:val="center"/>
            <w:hideMark/>
          </w:tcPr>
          <w:p w14:paraId="17D1A34F" w14:textId="77777777" w:rsidR="00A55510" w:rsidRDefault="003225CB" w:rsidP="00A55510">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Cost per new REGO producer</w:t>
            </w:r>
            <w:r w:rsidR="00A55510">
              <w:rPr>
                <w:rFonts w:ascii="Calibri" w:eastAsia="Times New Roman" w:hAnsi="Calibri" w:cs="Calibri"/>
                <w:b/>
                <w:bCs/>
                <w:color w:val="auto"/>
                <w:lang w:eastAsia="en-AU"/>
              </w:rPr>
              <w:t xml:space="preserve"> </w:t>
            </w:r>
          </w:p>
          <w:p w14:paraId="45A8F84A" w14:textId="2A6C4CF9" w:rsidR="003225CB" w:rsidRPr="00122196" w:rsidRDefault="00A55510">
            <w:pPr>
              <w:spacing w:after="0" w:line="240" w:lineRule="auto"/>
              <w:jc w:val="center"/>
              <w:rPr>
                <w:rFonts w:ascii="Calibri" w:eastAsia="Times New Roman" w:hAnsi="Calibri" w:cs="Calibri"/>
                <w:b/>
                <w:bCs/>
                <w:color w:val="auto"/>
                <w:lang w:eastAsia="en-AU"/>
              </w:rPr>
            </w:pPr>
            <w:r>
              <w:rPr>
                <w:rFonts w:ascii="Calibri" w:eastAsia="Times New Roman" w:hAnsi="Calibri" w:cs="Calibri"/>
                <w:b/>
                <w:bCs/>
                <w:color w:val="auto"/>
                <w:lang w:eastAsia="en-AU"/>
              </w:rPr>
              <w:t>(inc. audits)</w:t>
            </w:r>
          </w:p>
        </w:tc>
        <w:tc>
          <w:tcPr>
            <w:tcW w:w="2126" w:type="dxa"/>
            <w:shd w:val="clear" w:color="auto" w:fill="D1D1D1" w:themeFill="background2"/>
          </w:tcPr>
          <w:p w14:paraId="05412075" w14:textId="4F59EBBD" w:rsidR="00A55510" w:rsidRPr="00122196" w:rsidRDefault="00A55510" w:rsidP="00A55510">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Cost per new REGO producer</w:t>
            </w:r>
            <w:r>
              <w:rPr>
                <w:rFonts w:ascii="Calibri" w:eastAsia="Times New Roman" w:hAnsi="Calibri" w:cs="Calibri"/>
                <w:b/>
                <w:bCs/>
                <w:color w:val="auto"/>
                <w:lang w:eastAsia="en-AU"/>
              </w:rPr>
              <w:t xml:space="preserve"> (no audits - aligned with RET)</w:t>
            </w:r>
          </w:p>
        </w:tc>
      </w:tr>
      <w:tr w:rsidR="003225CB" w:rsidRPr="00122196" w14:paraId="5086F8F0" w14:textId="15F41888" w:rsidTr="00F27FB7">
        <w:trPr>
          <w:trHeight w:val="255"/>
        </w:trPr>
        <w:tc>
          <w:tcPr>
            <w:tcW w:w="5104" w:type="dxa"/>
            <w:shd w:val="clear" w:color="auto" w:fill="auto"/>
            <w:vAlign w:val="center"/>
            <w:hideMark/>
          </w:tcPr>
          <w:p w14:paraId="788B3AE5"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Participant enrolment</w:t>
            </w:r>
          </w:p>
        </w:tc>
        <w:tc>
          <w:tcPr>
            <w:tcW w:w="1690" w:type="dxa"/>
            <w:shd w:val="clear" w:color="auto" w:fill="auto"/>
            <w:noWrap/>
            <w:hideMark/>
          </w:tcPr>
          <w:p w14:paraId="105F55E9" w14:textId="77777777" w:rsidR="003225CB" w:rsidRPr="00122196" w:rsidRDefault="003225CB">
            <w:pPr>
              <w:spacing w:after="0" w:line="240" w:lineRule="auto"/>
              <w:rPr>
                <w:rFonts w:ascii="Calibri" w:eastAsia="Times New Roman" w:hAnsi="Calibri" w:cs="Calibri"/>
                <w:color w:val="000000"/>
                <w:lang w:eastAsia="en-AU"/>
              </w:rPr>
            </w:pPr>
          </w:p>
        </w:tc>
        <w:tc>
          <w:tcPr>
            <w:tcW w:w="1560" w:type="dxa"/>
            <w:shd w:val="clear" w:color="auto" w:fill="auto"/>
            <w:noWrap/>
            <w:hideMark/>
          </w:tcPr>
          <w:p w14:paraId="346F82B8" w14:textId="77777777" w:rsidR="003225CB" w:rsidRPr="00122196" w:rsidRDefault="003225CB">
            <w:pPr>
              <w:spacing w:after="0" w:line="240" w:lineRule="auto"/>
              <w:rPr>
                <w:rFonts w:ascii="Calibri" w:eastAsia="Times New Roman" w:hAnsi="Calibri" w:cs="Calibri"/>
                <w:color w:val="000000"/>
                <w:lang w:eastAsia="en-AU"/>
              </w:rPr>
            </w:pPr>
          </w:p>
        </w:tc>
        <w:tc>
          <w:tcPr>
            <w:tcW w:w="1701" w:type="dxa"/>
            <w:shd w:val="clear" w:color="auto" w:fill="auto"/>
            <w:noWrap/>
            <w:hideMark/>
          </w:tcPr>
          <w:p w14:paraId="34F693BA" w14:textId="77777777" w:rsidR="003225CB" w:rsidRPr="00122196" w:rsidRDefault="003225CB">
            <w:pPr>
              <w:spacing w:after="0" w:line="240" w:lineRule="auto"/>
              <w:rPr>
                <w:rFonts w:ascii="Calibri" w:eastAsia="Times New Roman" w:hAnsi="Calibri" w:cs="Calibri"/>
                <w:color w:val="000000"/>
                <w:lang w:eastAsia="en-AU"/>
              </w:rPr>
            </w:pPr>
          </w:p>
        </w:tc>
        <w:tc>
          <w:tcPr>
            <w:tcW w:w="1984" w:type="dxa"/>
            <w:shd w:val="clear" w:color="auto" w:fill="auto"/>
            <w:noWrap/>
            <w:hideMark/>
          </w:tcPr>
          <w:p w14:paraId="728E19F6" w14:textId="77777777" w:rsidR="003225CB" w:rsidRPr="00122196" w:rsidRDefault="003225CB">
            <w:pPr>
              <w:spacing w:after="0" w:line="240" w:lineRule="auto"/>
              <w:rPr>
                <w:rFonts w:ascii="Calibri" w:eastAsia="Times New Roman" w:hAnsi="Calibri" w:cs="Calibri"/>
                <w:color w:val="000000"/>
                <w:lang w:eastAsia="en-AU"/>
              </w:rPr>
            </w:pPr>
          </w:p>
        </w:tc>
        <w:tc>
          <w:tcPr>
            <w:tcW w:w="2126" w:type="dxa"/>
          </w:tcPr>
          <w:p w14:paraId="0477FD71" w14:textId="77777777" w:rsidR="00A55510" w:rsidRPr="00122196" w:rsidRDefault="00A55510" w:rsidP="00A55510">
            <w:pPr>
              <w:spacing w:after="0" w:line="240" w:lineRule="auto"/>
              <w:rPr>
                <w:rFonts w:ascii="Calibri" w:eastAsia="Times New Roman" w:hAnsi="Calibri" w:cs="Calibri"/>
                <w:color w:val="000000"/>
                <w:lang w:eastAsia="en-AU"/>
              </w:rPr>
            </w:pPr>
          </w:p>
        </w:tc>
      </w:tr>
      <w:tr w:rsidR="003225CB" w:rsidRPr="00122196" w14:paraId="69D525A1" w14:textId="7C84AF4D" w:rsidTr="00F27FB7">
        <w:trPr>
          <w:trHeight w:val="255"/>
        </w:trPr>
        <w:tc>
          <w:tcPr>
            <w:tcW w:w="5104" w:type="dxa"/>
            <w:shd w:val="clear" w:color="auto" w:fill="auto"/>
            <w:vAlign w:val="center"/>
            <w:hideMark/>
          </w:tcPr>
          <w:p w14:paraId="6508F1B7"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Completing online forms</w:t>
            </w:r>
          </w:p>
        </w:tc>
        <w:tc>
          <w:tcPr>
            <w:tcW w:w="1690" w:type="dxa"/>
            <w:shd w:val="clear" w:color="auto" w:fill="auto"/>
            <w:noWrap/>
            <w:hideMark/>
          </w:tcPr>
          <w:p w14:paraId="232DF437"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560" w:type="dxa"/>
            <w:shd w:val="clear" w:color="auto" w:fill="auto"/>
            <w:noWrap/>
            <w:hideMark/>
          </w:tcPr>
          <w:p w14:paraId="34FEA9B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1701" w:type="dxa"/>
            <w:shd w:val="clear" w:color="auto" w:fill="auto"/>
            <w:noWrap/>
            <w:hideMark/>
          </w:tcPr>
          <w:p w14:paraId="28C0984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984" w:type="dxa"/>
            <w:shd w:val="clear" w:color="auto" w:fill="auto"/>
            <w:noWrap/>
            <w:hideMark/>
          </w:tcPr>
          <w:p w14:paraId="7F9DF536"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2126" w:type="dxa"/>
          </w:tcPr>
          <w:p w14:paraId="371932EA" w14:textId="26A2B008"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$159</w:t>
            </w:r>
          </w:p>
        </w:tc>
      </w:tr>
      <w:tr w:rsidR="003225CB" w:rsidRPr="00122196" w14:paraId="2A8FF50E" w14:textId="0C27814D" w:rsidTr="00F27FB7">
        <w:trPr>
          <w:trHeight w:val="255"/>
        </w:trPr>
        <w:tc>
          <w:tcPr>
            <w:tcW w:w="5104" w:type="dxa"/>
            <w:shd w:val="clear" w:color="auto" w:fill="auto"/>
            <w:vAlign w:val="center"/>
            <w:hideMark/>
          </w:tcPr>
          <w:p w14:paraId="31118BFF"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Fit and proper person information provision (e.g. ID)</w:t>
            </w:r>
          </w:p>
        </w:tc>
        <w:tc>
          <w:tcPr>
            <w:tcW w:w="1690" w:type="dxa"/>
            <w:shd w:val="clear" w:color="auto" w:fill="auto"/>
            <w:noWrap/>
            <w:hideMark/>
          </w:tcPr>
          <w:p w14:paraId="09348EC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560" w:type="dxa"/>
            <w:shd w:val="clear" w:color="auto" w:fill="auto"/>
            <w:noWrap/>
            <w:hideMark/>
          </w:tcPr>
          <w:p w14:paraId="40572E2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1701" w:type="dxa"/>
            <w:shd w:val="clear" w:color="auto" w:fill="auto"/>
            <w:noWrap/>
            <w:hideMark/>
          </w:tcPr>
          <w:p w14:paraId="6B928CA5"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984" w:type="dxa"/>
            <w:shd w:val="clear" w:color="auto" w:fill="auto"/>
            <w:noWrap/>
            <w:hideMark/>
          </w:tcPr>
          <w:p w14:paraId="702A872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2126" w:type="dxa"/>
          </w:tcPr>
          <w:p w14:paraId="52AB3253" w14:textId="4A47F5A1"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$159</w:t>
            </w:r>
          </w:p>
        </w:tc>
      </w:tr>
      <w:tr w:rsidR="003225CB" w:rsidRPr="00122196" w14:paraId="57187449" w14:textId="212A209B" w:rsidTr="00F27FB7">
        <w:trPr>
          <w:trHeight w:val="255"/>
        </w:trPr>
        <w:tc>
          <w:tcPr>
            <w:tcW w:w="5104" w:type="dxa"/>
            <w:shd w:val="clear" w:color="auto" w:fill="auto"/>
            <w:vAlign w:val="center"/>
            <w:hideMark/>
          </w:tcPr>
          <w:p w14:paraId="6FB8E6BC"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Preparatory data collection</w:t>
            </w:r>
          </w:p>
        </w:tc>
        <w:tc>
          <w:tcPr>
            <w:tcW w:w="1690" w:type="dxa"/>
            <w:shd w:val="clear" w:color="auto" w:fill="auto"/>
            <w:noWrap/>
            <w:hideMark/>
          </w:tcPr>
          <w:p w14:paraId="2378B388"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560" w:type="dxa"/>
            <w:shd w:val="clear" w:color="auto" w:fill="auto"/>
            <w:noWrap/>
            <w:hideMark/>
          </w:tcPr>
          <w:p w14:paraId="688C3E59"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701" w:type="dxa"/>
            <w:shd w:val="clear" w:color="auto" w:fill="auto"/>
            <w:noWrap/>
            <w:hideMark/>
          </w:tcPr>
          <w:p w14:paraId="6740C348"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984" w:type="dxa"/>
            <w:shd w:val="clear" w:color="auto" w:fill="auto"/>
            <w:noWrap/>
            <w:hideMark/>
          </w:tcPr>
          <w:p w14:paraId="3A909106"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2126" w:type="dxa"/>
          </w:tcPr>
          <w:p w14:paraId="38D577BF" w14:textId="77777777" w:rsidR="00A55510" w:rsidRPr="00122196" w:rsidRDefault="00A55510" w:rsidP="00A55510">
            <w:pPr>
              <w:spacing w:after="0" w:line="240" w:lineRule="auto"/>
              <w:jc w:val="center"/>
              <w:rPr>
                <w:rFonts w:ascii="Calibri" w:eastAsia="Times New Roman" w:hAnsi="Calibri" w:cs="Calibri"/>
                <w:color w:val="000000"/>
                <w:lang w:eastAsia="en-AU"/>
              </w:rPr>
            </w:pPr>
          </w:p>
        </w:tc>
      </w:tr>
      <w:tr w:rsidR="003225CB" w:rsidRPr="00122196" w14:paraId="3688D67A" w14:textId="7E9655BA" w:rsidTr="00F27FB7">
        <w:trPr>
          <w:trHeight w:val="255"/>
        </w:trPr>
        <w:tc>
          <w:tcPr>
            <w:tcW w:w="5104" w:type="dxa"/>
            <w:shd w:val="clear" w:color="auto" w:fill="auto"/>
            <w:vAlign w:val="center"/>
            <w:hideMark/>
          </w:tcPr>
          <w:p w14:paraId="6031FDF1"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Gather profile data</w:t>
            </w:r>
          </w:p>
        </w:tc>
        <w:tc>
          <w:tcPr>
            <w:tcW w:w="1690" w:type="dxa"/>
            <w:shd w:val="clear" w:color="auto" w:fill="auto"/>
            <w:noWrap/>
            <w:hideMark/>
          </w:tcPr>
          <w:p w14:paraId="78E7F63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560" w:type="dxa"/>
            <w:shd w:val="clear" w:color="auto" w:fill="auto"/>
            <w:noWrap/>
            <w:hideMark/>
          </w:tcPr>
          <w:p w14:paraId="75DCA85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1701" w:type="dxa"/>
            <w:shd w:val="clear" w:color="auto" w:fill="auto"/>
            <w:noWrap/>
            <w:hideMark/>
          </w:tcPr>
          <w:p w14:paraId="2D33EDA6"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984" w:type="dxa"/>
            <w:shd w:val="clear" w:color="auto" w:fill="auto"/>
            <w:noWrap/>
            <w:hideMark/>
          </w:tcPr>
          <w:p w14:paraId="3C30C88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2126" w:type="dxa"/>
          </w:tcPr>
          <w:p w14:paraId="41854B9C" w14:textId="45A6F4D9"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$637</w:t>
            </w:r>
          </w:p>
        </w:tc>
      </w:tr>
      <w:tr w:rsidR="003225CB" w:rsidRPr="00122196" w14:paraId="37E7FF5C" w14:textId="5FD64BC4" w:rsidTr="00F27FB7">
        <w:trPr>
          <w:trHeight w:val="255"/>
        </w:trPr>
        <w:tc>
          <w:tcPr>
            <w:tcW w:w="5104" w:type="dxa"/>
            <w:shd w:val="clear" w:color="auto" w:fill="auto"/>
            <w:vAlign w:val="center"/>
            <w:hideMark/>
          </w:tcPr>
          <w:p w14:paraId="3A98E973"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Profile registration</w:t>
            </w:r>
            <w:r w:rsidRPr="00122196">
              <w:rPr>
                <w:rFonts w:ascii="Calibri" w:eastAsia="Times New Roman" w:hAnsi="Calibri" w:cs="Calibri"/>
                <w:color w:val="262626"/>
                <w:lang w:eastAsia="en-AU"/>
              </w:rPr>
              <w:t>    </w:t>
            </w:r>
          </w:p>
        </w:tc>
        <w:tc>
          <w:tcPr>
            <w:tcW w:w="1690" w:type="dxa"/>
            <w:shd w:val="clear" w:color="auto" w:fill="auto"/>
            <w:noWrap/>
            <w:hideMark/>
          </w:tcPr>
          <w:p w14:paraId="1740C688"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560" w:type="dxa"/>
            <w:shd w:val="clear" w:color="auto" w:fill="auto"/>
            <w:noWrap/>
            <w:hideMark/>
          </w:tcPr>
          <w:p w14:paraId="2B0D1C82"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701" w:type="dxa"/>
            <w:shd w:val="clear" w:color="auto" w:fill="auto"/>
            <w:noWrap/>
            <w:hideMark/>
          </w:tcPr>
          <w:p w14:paraId="310B7D8C"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1984" w:type="dxa"/>
            <w:shd w:val="clear" w:color="auto" w:fill="auto"/>
            <w:noWrap/>
            <w:hideMark/>
          </w:tcPr>
          <w:p w14:paraId="20DC20EE" w14:textId="77777777" w:rsidR="003225CB" w:rsidRPr="00122196" w:rsidRDefault="003225CB">
            <w:pPr>
              <w:spacing w:after="0" w:line="240" w:lineRule="auto"/>
              <w:jc w:val="center"/>
              <w:rPr>
                <w:rFonts w:ascii="Calibri" w:eastAsia="Times New Roman" w:hAnsi="Calibri" w:cs="Calibri"/>
                <w:color w:val="000000"/>
                <w:lang w:eastAsia="en-AU"/>
              </w:rPr>
            </w:pPr>
          </w:p>
        </w:tc>
        <w:tc>
          <w:tcPr>
            <w:tcW w:w="2126" w:type="dxa"/>
          </w:tcPr>
          <w:p w14:paraId="0F54CC3B" w14:textId="77777777" w:rsidR="00A55510" w:rsidRPr="00122196" w:rsidRDefault="00A55510" w:rsidP="00A55510">
            <w:pPr>
              <w:spacing w:after="0" w:line="240" w:lineRule="auto"/>
              <w:jc w:val="center"/>
              <w:rPr>
                <w:rFonts w:ascii="Calibri" w:eastAsia="Times New Roman" w:hAnsi="Calibri" w:cs="Calibri"/>
                <w:color w:val="000000"/>
                <w:lang w:eastAsia="en-AU"/>
              </w:rPr>
            </w:pPr>
          </w:p>
        </w:tc>
      </w:tr>
      <w:tr w:rsidR="003225CB" w:rsidRPr="00122196" w14:paraId="700DD75B" w14:textId="4276EAF4" w:rsidTr="00F27FB7">
        <w:trPr>
          <w:trHeight w:val="255"/>
        </w:trPr>
        <w:tc>
          <w:tcPr>
            <w:tcW w:w="5104" w:type="dxa"/>
            <w:shd w:val="clear" w:color="auto" w:fill="auto"/>
            <w:vAlign w:val="center"/>
            <w:hideMark/>
          </w:tcPr>
          <w:p w14:paraId="5A3C4F67"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Product profile</w:t>
            </w:r>
          </w:p>
        </w:tc>
        <w:tc>
          <w:tcPr>
            <w:tcW w:w="1690" w:type="dxa"/>
            <w:shd w:val="clear" w:color="auto" w:fill="auto"/>
            <w:noWrap/>
            <w:hideMark/>
          </w:tcPr>
          <w:p w14:paraId="56BEFA3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560" w:type="dxa"/>
            <w:shd w:val="clear" w:color="auto" w:fill="auto"/>
            <w:noWrap/>
            <w:hideMark/>
          </w:tcPr>
          <w:p w14:paraId="7792A523"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1701" w:type="dxa"/>
            <w:shd w:val="clear" w:color="auto" w:fill="auto"/>
            <w:noWrap/>
            <w:hideMark/>
          </w:tcPr>
          <w:p w14:paraId="4FD62BA5"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984" w:type="dxa"/>
            <w:shd w:val="clear" w:color="auto" w:fill="auto"/>
            <w:noWrap/>
            <w:hideMark/>
          </w:tcPr>
          <w:p w14:paraId="6655439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2126" w:type="dxa"/>
          </w:tcPr>
          <w:p w14:paraId="71D1E0FD" w14:textId="310BF26A"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$637</w:t>
            </w:r>
          </w:p>
        </w:tc>
      </w:tr>
      <w:tr w:rsidR="003225CB" w:rsidRPr="00122196" w14:paraId="2D63AE41" w14:textId="19DF02A2" w:rsidTr="00F27FB7">
        <w:trPr>
          <w:trHeight w:val="255"/>
        </w:trPr>
        <w:tc>
          <w:tcPr>
            <w:tcW w:w="5104" w:type="dxa"/>
            <w:shd w:val="clear" w:color="auto" w:fill="auto"/>
            <w:vAlign w:val="center"/>
            <w:hideMark/>
          </w:tcPr>
          <w:p w14:paraId="5E0BBB6A" w14:textId="1A123ADE" w:rsidR="003225CB" w:rsidRPr="00122196" w:rsidRDefault="00A50914">
            <w:pPr>
              <w:spacing w:after="0" w:line="240" w:lineRule="auto"/>
              <w:ind w:firstLineChars="200" w:firstLine="400"/>
              <w:rPr>
                <w:rFonts w:ascii="Calibri" w:eastAsia="Times New Roman" w:hAnsi="Calibri" w:cs="Calibri"/>
                <w:color w:val="000000"/>
                <w:lang w:eastAsia="en-AU"/>
              </w:rPr>
            </w:pPr>
            <w:r>
              <w:rPr>
                <w:rFonts w:ascii="Calibri" w:eastAsia="Times New Roman" w:hAnsi="Calibri" w:cs="Calibri"/>
                <w:color w:val="000000"/>
                <w:lang w:eastAsia="en-AU"/>
              </w:rPr>
              <w:t>Delivery</w:t>
            </w:r>
            <w:r w:rsidR="003225CB" w:rsidRPr="00122196">
              <w:rPr>
                <w:rFonts w:ascii="Calibri" w:eastAsia="Times New Roman" w:hAnsi="Calibri" w:cs="Calibri"/>
                <w:color w:val="000000"/>
                <w:lang w:eastAsia="en-AU"/>
              </w:rPr>
              <w:t xml:space="preserve"> profile</w:t>
            </w:r>
          </w:p>
        </w:tc>
        <w:tc>
          <w:tcPr>
            <w:tcW w:w="1690" w:type="dxa"/>
            <w:shd w:val="clear" w:color="auto" w:fill="auto"/>
            <w:noWrap/>
            <w:hideMark/>
          </w:tcPr>
          <w:p w14:paraId="0321A701" w14:textId="43470E8C" w:rsidR="003225CB" w:rsidRPr="00122196" w:rsidRDefault="00A5091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w:t>
            </w:r>
          </w:p>
        </w:tc>
        <w:tc>
          <w:tcPr>
            <w:tcW w:w="1560" w:type="dxa"/>
            <w:shd w:val="clear" w:color="auto" w:fill="auto"/>
            <w:noWrap/>
            <w:hideMark/>
          </w:tcPr>
          <w:p w14:paraId="3D108E81" w14:textId="010DDC1F"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w:t>
            </w:r>
            <w:r w:rsidR="00486854">
              <w:rPr>
                <w:rFonts w:ascii="Calibri" w:eastAsia="Calibri" w:hAnsi="Calibri" w:cs="Arial"/>
                <w:color w:val="262626"/>
              </w:rPr>
              <w:t>796</w:t>
            </w:r>
          </w:p>
        </w:tc>
        <w:tc>
          <w:tcPr>
            <w:tcW w:w="1701" w:type="dxa"/>
            <w:shd w:val="clear" w:color="auto" w:fill="auto"/>
            <w:noWrap/>
            <w:hideMark/>
          </w:tcPr>
          <w:p w14:paraId="3F37CD19"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1984" w:type="dxa"/>
            <w:shd w:val="clear" w:color="auto" w:fill="auto"/>
            <w:noWrap/>
            <w:hideMark/>
          </w:tcPr>
          <w:p w14:paraId="5AC4079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2126" w:type="dxa"/>
          </w:tcPr>
          <w:p w14:paraId="553CC6E3" w14:textId="325F8E39"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N/A</w:t>
            </w:r>
          </w:p>
        </w:tc>
      </w:tr>
      <w:tr w:rsidR="003225CB" w:rsidRPr="00122196" w14:paraId="154A02B0" w14:textId="7A87A645" w:rsidTr="00F27FB7">
        <w:trPr>
          <w:trHeight w:val="255"/>
        </w:trPr>
        <w:tc>
          <w:tcPr>
            <w:tcW w:w="5104" w:type="dxa"/>
            <w:shd w:val="clear" w:color="auto" w:fill="auto"/>
            <w:vAlign w:val="center"/>
            <w:hideMark/>
          </w:tcPr>
          <w:p w14:paraId="1F74299E"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Consumption profile</w:t>
            </w:r>
          </w:p>
        </w:tc>
        <w:tc>
          <w:tcPr>
            <w:tcW w:w="1690" w:type="dxa"/>
            <w:shd w:val="clear" w:color="auto" w:fill="auto"/>
            <w:noWrap/>
            <w:hideMark/>
          </w:tcPr>
          <w:p w14:paraId="466D653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560" w:type="dxa"/>
            <w:shd w:val="clear" w:color="auto" w:fill="auto"/>
            <w:noWrap/>
            <w:hideMark/>
          </w:tcPr>
          <w:p w14:paraId="6DCFFDF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1701" w:type="dxa"/>
            <w:shd w:val="clear" w:color="auto" w:fill="auto"/>
            <w:noWrap/>
            <w:hideMark/>
          </w:tcPr>
          <w:p w14:paraId="5F4FB00B"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2</w:t>
            </w:r>
          </w:p>
        </w:tc>
        <w:tc>
          <w:tcPr>
            <w:tcW w:w="1984" w:type="dxa"/>
            <w:shd w:val="clear" w:color="auto" w:fill="auto"/>
            <w:noWrap/>
            <w:hideMark/>
          </w:tcPr>
          <w:p w14:paraId="0F218DC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$159</w:t>
            </w:r>
          </w:p>
        </w:tc>
        <w:tc>
          <w:tcPr>
            <w:tcW w:w="2126" w:type="dxa"/>
          </w:tcPr>
          <w:p w14:paraId="20B5AFF7" w14:textId="2593ACF6"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$159</w:t>
            </w:r>
          </w:p>
        </w:tc>
      </w:tr>
      <w:tr w:rsidR="003225CB" w:rsidRPr="00122196" w14:paraId="3FB03A02" w14:textId="2E7E1EF2" w:rsidTr="00F27FB7">
        <w:trPr>
          <w:trHeight w:val="300"/>
        </w:trPr>
        <w:tc>
          <w:tcPr>
            <w:tcW w:w="5104" w:type="dxa"/>
            <w:shd w:val="clear" w:color="auto" w:fill="auto"/>
            <w:vAlign w:val="center"/>
            <w:hideMark/>
          </w:tcPr>
          <w:p w14:paraId="5355CE29"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Preliminary assessment of application and profiles</w:t>
            </w:r>
          </w:p>
        </w:tc>
        <w:tc>
          <w:tcPr>
            <w:tcW w:w="6935" w:type="dxa"/>
            <w:gridSpan w:val="4"/>
            <w:shd w:val="clear" w:color="000000" w:fill="D9D9D9"/>
            <w:noWrap/>
            <w:vAlign w:val="center"/>
            <w:hideMark/>
          </w:tcPr>
          <w:p w14:paraId="1DD2EBE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only work is conducted by the CER</w:t>
            </w:r>
          </w:p>
        </w:tc>
        <w:tc>
          <w:tcPr>
            <w:tcW w:w="2126" w:type="dxa"/>
            <w:shd w:val="clear" w:color="000000" w:fill="D9D9D9"/>
          </w:tcPr>
          <w:p w14:paraId="36C2B6EC" w14:textId="77777777" w:rsidR="00A55510" w:rsidRPr="00122196" w:rsidRDefault="00A55510" w:rsidP="00A55510">
            <w:pPr>
              <w:spacing w:after="0" w:line="240" w:lineRule="auto"/>
              <w:jc w:val="center"/>
              <w:rPr>
                <w:rFonts w:ascii="Calibri" w:eastAsia="Times New Roman" w:hAnsi="Calibri" w:cs="Calibri"/>
                <w:color w:val="000000"/>
                <w:lang w:eastAsia="en-AU"/>
              </w:rPr>
            </w:pPr>
          </w:p>
        </w:tc>
      </w:tr>
      <w:tr w:rsidR="003225CB" w:rsidRPr="00122196" w14:paraId="6FCD5E10" w14:textId="1397A091" w:rsidTr="00F27FB7">
        <w:trPr>
          <w:trHeight w:val="255"/>
        </w:trPr>
        <w:tc>
          <w:tcPr>
            <w:tcW w:w="5104" w:type="dxa"/>
            <w:shd w:val="clear" w:color="auto" w:fill="auto"/>
            <w:vAlign w:val="center"/>
            <w:hideMark/>
          </w:tcPr>
          <w:p w14:paraId="66AE30B2" w14:textId="7074B4E1" w:rsidR="003225CB" w:rsidRPr="00122196" w:rsidRDefault="00237021">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Audits</w:t>
            </w:r>
          </w:p>
        </w:tc>
        <w:tc>
          <w:tcPr>
            <w:tcW w:w="1690" w:type="dxa"/>
            <w:shd w:val="clear" w:color="auto" w:fill="auto"/>
            <w:noWrap/>
            <w:vAlign w:val="center"/>
            <w:hideMark/>
          </w:tcPr>
          <w:p w14:paraId="438F11ED" w14:textId="77777777" w:rsidR="003225CB" w:rsidRPr="00122196" w:rsidRDefault="003225CB">
            <w:pPr>
              <w:spacing w:after="0" w:line="240" w:lineRule="auto"/>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560" w:type="dxa"/>
            <w:shd w:val="clear" w:color="auto" w:fill="auto"/>
            <w:noWrap/>
            <w:vAlign w:val="center"/>
            <w:hideMark/>
          </w:tcPr>
          <w:p w14:paraId="62AF9533"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701" w:type="dxa"/>
            <w:shd w:val="clear" w:color="auto" w:fill="auto"/>
            <w:noWrap/>
            <w:vAlign w:val="center"/>
            <w:hideMark/>
          </w:tcPr>
          <w:p w14:paraId="04FBB925"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984" w:type="dxa"/>
            <w:shd w:val="clear" w:color="auto" w:fill="auto"/>
            <w:noWrap/>
            <w:vAlign w:val="bottom"/>
            <w:hideMark/>
          </w:tcPr>
          <w:p w14:paraId="47FA7E55" w14:textId="77777777" w:rsidR="003225CB" w:rsidRPr="00122196" w:rsidRDefault="003225CB">
            <w:pPr>
              <w:spacing w:after="0" w:line="240" w:lineRule="auto"/>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2126" w:type="dxa"/>
          </w:tcPr>
          <w:p w14:paraId="10874044" w14:textId="77777777" w:rsidR="00A55510" w:rsidRPr="00122196" w:rsidRDefault="00A55510" w:rsidP="00A55510">
            <w:pPr>
              <w:spacing w:after="0" w:line="240" w:lineRule="auto"/>
              <w:rPr>
                <w:rFonts w:ascii="Calibri" w:eastAsia="Times New Roman" w:hAnsi="Calibri" w:cs="Calibri"/>
                <w:color w:val="000000"/>
                <w:lang w:eastAsia="en-AU"/>
              </w:rPr>
            </w:pPr>
          </w:p>
        </w:tc>
      </w:tr>
      <w:tr w:rsidR="003225CB" w:rsidRPr="00122196" w14:paraId="654418FE" w14:textId="381D9821" w:rsidTr="00F27FB7">
        <w:trPr>
          <w:trHeight w:val="270"/>
        </w:trPr>
        <w:tc>
          <w:tcPr>
            <w:tcW w:w="5104" w:type="dxa"/>
            <w:shd w:val="clear" w:color="auto" w:fill="auto"/>
            <w:vAlign w:val="center"/>
            <w:hideMark/>
          </w:tcPr>
          <w:p w14:paraId="349E8E30"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Production profile review (audit costs)</w:t>
            </w:r>
          </w:p>
        </w:tc>
        <w:tc>
          <w:tcPr>
            <w:tcW w:w="1690" w:type="dxa"/>
            <w:shd w:val="clear" w:color="auto" w:fill="auto"/>
            <w:noWrap/>
            <w:hideMark/>
          </w:tcPr>
          <w:p w14:paraId="41C1A36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1560" w:type="dxa"/>
            <w:shd w:val="clear" w:color="auto" w:fill="auto"/>
            <w:noWrap/>
            <w:hideMark/>
          </w:tcPr>
          <w:p w14:paraId="3CA56ED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$18,480</w:t>
            </w:r>
          </w:p>
        </w:tc>
        <w:tc>
          <w:tcPr>
            <w:tcW w:w="1701" w:type="dxa"/>
            <w:shd w:val="clear" w:color="auto" w:fill="auto"/>
            <w:noWrap/>
            <w:hideMark/>
          </w:tcPr>
          <w:p w14:paraId="319A2D8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1984" w:type="dxa"/>
            <w:shd w:val="clear" w:color="auto" w:fill="auto"/>
            <w:noWrap/>
            <w:hideMark/>
          </w:tcPr>
          <w:p w14:paraId="02D29FAB"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$9,240</w:t>
            </w:r>
          </w:p>
        </w:tc>
        <w:tc>
          <w:tcPr>
            <w:tcW w:w="2126" w:type="dxa"/>
          </w:tcPr>
          <w:p w14:paraId="6C30647C" w14:textId="4214C3E9"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N/A</w:t>
            </w:r>
          </w:p>
        </w:tc>
      </w:tr>
      <w:tr w:rsidR="006F56B2" w:rsidRPr="00122196" w14:paraId="73EA6453" w14:textId="45C4C204" w:rsidTr="00F27FB7">
        <w:trPr>
          <w:trHeight w:val="347"/>
        </w:trPr>
        <w:tc>
          <w:tcPr>
            <w:tcW w:w="5104" w:type="dxa"/>
            <w:shd w:val="clear" w:color="auto" w:fill="auto"/>
            <w:vAlign w:val="center"/>
            <w:hideMark/>
          </w:tcPr>
          <w:p w14:paraId="007FB91F" w14:textId="2ED41027" w:rsidR="003225CB" w:rsidRPr="00122196" w:rsidRDefault="00F7062F">
            <w:pPr>
              <w:spacing w:after="0" w:line="240" w:lineRule="auto"/>
              <w:ind w:left="384" w:firstLineChars="8" w:firstLine="16"/>
              <w:rPr>
                <w:rFonts w:ascii="Calibri" w:eastAsia="Times New Roman" w:hAnsi="Calibri" w:cs="Calibri"/>
                <w:color w:val="000000"/>
                <w:lang w:eastAsia="en-AU"/>
              </w:rPr>
            </w:pPr>
            <w:r>
              <w:rPr>
                <w:rFonts w:ascii="Calibri" w:eastAsia="Times New Roman" w:hAnsi="Calibri" w:cs="Calibri"/>
                <w:color w:val="000000"/>
                <w:lang w:eastAsia="en-AU"/>
              </w:rPr>
              <w:t>Delivery</w:t>
            </w:r>
            <w:r w:rsidR="003225CB" w:rsidRPr="00122196">
              <w:rPr>
                <w:rFonts w:ascii="Calibri" w:eastAsia="Times New Roman" w:hAnsi="Calibri" w:cs="Calibri"/>
                <w:color w:val="000000"/>
                <w:lang w:eastAsia="en-AU"/>
              </w:rPr>
              <w:t xml:space="preserve"> profile review (audit costs)</w:t>
            </w:r>
          </w:p>
        </w:tc>
        <w:tc>
          <w:tcPr>
            <w:tcW w:w="1690" w:type="dxa"/>
            <w:shd w:val="clear" w:color="auto" w:fill="auto"/>
            <w:noWrap/>
            <w:hideMark/>
          </w:tcPr>
          <w:p w14:paraId="3EED938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1560" w:type="dxa"/>
            <w:shd w:val="clear" w:color="auto" w:fill="auto"/>
            <w:noWrap/>
            <w:hideMark/>
          </w:tcPr>
          <w:p w14:paraId="3B40B36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$9,240</w:t>
            </w:r>
          </w:p>
        </w:tc>
        <w:tc>
          <w:tcPr>
            <w:tcW w:w="1701" w:type="dxa"/>
            <w:shd w:val="clear" w:color="auto" w:fill="auto"/>
            <w:noWrap/>
            <w:hideMark/>
          </w:tcPr>
          <w:p w14:paraId="3C2E445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1984" w:type="dxa"/>
            <w:shd w:val="clear" w:color="auto" w:fill="auto"/>
            <w:noWrap/>
            <w:hideMark/>
          </w:tcPr>
          <w:p w14:paraId="55FF941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N/A</w:t>
            </w:r>
          </w:p>
        </w:tc>
        <w:tc>
          <w:tcPr>
            <w:tcW w:w="2126" w:type="dxa"/>
          </w:tcPr>
          <w:p w14:paraId="3B52CEFA" w14:textId="7F3B1F14"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N/A</w:t>
            </w:r>
          </w:p>
        </w:tc>
      </w:tr>
      <w:tr w:rsidR="003225CB" w:rsidRPr="00122196" w14:paraId="46CBF0E6" w14:textId="54B1EA34" w:rsidTr="00F27FB7">
        <w:trPr>
          <w:trHeight w:val="510"/>
        </w:trPr>
        <w:tc>
          <w:tcPr>
            <w:tcW w:w="5104" w:type="dxa"/>
            <w:shd w:val="clear" w:color="auto" w:fill="auto"/>
            <w:vAlign w:val="center"/>
            <w:hideMark/>
          </w:tcPr>
          <w:p w14:paraId="263307CC" w14:textId="77777777" w:rsidR="003225CB" w:rsidRPr="00122196" w:rsidRDefault="003225CB">
            <w:pPr>
              <w:spacing w:after="0" w:line="240" w:lineRule="auto"/>
              <w:ind w:left="370" w:firstLineChars="15" w:firstLine="30"/>
              <w:rPr>
                <w:rFonts w:ascii="Calibri" w:eastAsia="Times New Roman" w:hAnsi="Calibri" w:cs="Calibri"/>
                <w:color w:val="000000"/>
                <w:lang w:eastAsia="en-AU"/>
              </w:rPr>
            </w:pPr>
            <w:r w:rsidRPr="00122196">
              <w:rPr>
                <w:rFonts w:ascii="Calibri" w:eastAsia="Times New Roman" w:hAnsi="Calibri" w:cs="Calibri"/>
                <w:color w:val="000000"/>
                <w:lang w:eastAsia="en-AU"/>
              </w:rPr>
              <w:t>Review facilitation (including site visits and providing information to auditors)</w:t>
            </w:r>
          </w:p>
        </w:tc>
        <w:tc>
          <w:tcPr>
            <w:tcW w:w="1690" w:type="dxa"/>
            <w:shd w:val="clear" w:color="auto" w:fill="auto"/>
            <w:noWrap/>
            <w:hideMark/>
          </w:tcPr>
          <w:p w14:paraId="0EBEF30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560" w:type="dxa"/>
            <w:shd w:val="clear" w:color="auto" w:fill="auto"/>
            <w:noWrap/>
            <w:hideMark/>
          </w:tcPr>
          <w:p w14:paraId="4E7F20A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1701" w:type="dxa"/>
            <w:shd w:val="clear" w:color="auto" w:fill="auto"/>
            <w:noWrap/>
            <w:hideMark/>
          </w:tcPr>
          <w:p w14:paraId="7E155659"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8</w:t>
            </w:r>
          </w:p>
        </w:tc>
        <w:tc>
          <w:tcPr>
            <w:tcW w:w="1984" w:type="dxa"/>
            <w:shd w:val="clear" w:color="auto" w:fill="auto"/>
            <w:noWrap/>
            <w:hideMark/>
          </w:tcPr>
          <w:p w14:paraId="139E9BC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Calibri" w:hAnsi="Calibri" w:cs="Arial"/>
                <w:color w:val="262626"/>
              </w:rPr>
              <w:t>$637</w:t>
            </w:r>
          </w:p>
        </w:tc>
        <w:tc>
          <w:tcPr>
            <w:tcW w:w="2126" w:type="dxa"/>
          </w:tcPr>
          <w:p w14:paraId="31A5B699" w14:textId="52847174" w:rsidR="00A55510" w:rsidRPr="00122196" w:rsidRDefault="00A55510" w:rsidP="00A55510">
            <w:pPr>
              <w:spacing w:after="0" w:line="240" w:lineRule="auto"/>
              <w:jc w:val="center"/>
              <w:rPr>
                <w:rFonts w:ascii="Calibri" w:eastAsia="Calibri" w:hAnsi="Calibri" w:cs="Arial"/>
                <w:color w:val="262626"/>
              </w:rPr>
            </w:pPr>
            <w:r w:rsidRPr="00122196">
              <w:rPr>
                <w:rFonts w:ascii="Calibri" w:eastAsia="Calibri" w:hAnsi="Calibri" w:cs="Arial"/>
                <w:color w:val="262626"/>
              </w:rPr>
              <w:t>N/A</w:t>
            </w:r>
          </w:p>
        </w:tc>
      </w:tr>
      <w:tr w:rsidR="003225CB" w:rsidRPr="00122196" w14:paraId="23204C57" w14:textId="76D028FC" w:rsidTr="00F27FB7">
        <w:trPr>
          <w:trHeight w:val="300"/>
        </w:trPr>
        <w:tc>
          <w:tcPr>
            <w:tcW w:w="5104" w:type="dxa"/>
            <w:shd w:val="clear" w:color="auto" w:fill="auto"/>
            <w:vAlign w:val="center"/>
            <w:hideMark/>
          </w:tcPr>
          <w:p w14:paraId="18E570D6" w14:textId="23D332F0"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xml:space="preserve">Final assessment of application, profiles and </w:t>
            </w:r>
            <w:r w:rsidR="00DC322B">
              <w:rPr>
                <w:rFonts w:ascii="Calibri" w:eastAsia="Times New Roman" w:hAnsi="Calibri" w:cs="Calibri"/>
                <w:b/>
                <w:bCs/>
                <w:color w:val="000000"/>
                <w:lang w:eastAsia="en-AU"/>
              </w:rPr>
              <w:t>audits</w:t>
            </w:r>
          </w:p>
        </w:tc>
        <w:tc>
          <w:tcPr>
            <w:tcW w:w="6935" w:type="dxa"/>
            <w:gridSpan w:val="4"/>
            <w:shd w:val="clear" w:color="000000" w:fill="D9D9D9"/>
            <w:noWrap/>
            <w:vAlign w:val="center"/>
            <w:hideMark/>
          </w:tcPr>
          <w:p w14:paraId="35268DF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only work is conducted by the CER</w:t>
            </w:r>
          </w:p>
        </w:tc>
        <w:tc>
          <w:tcPr>
            <w:tcW w:w="2126" w:type="dxa"/>
            <w:shd w:val="clear" w:color="000000" w:fill="D9D9D9"/>
          </w:tcPr>
          <w:p w14:paraId="384BD77C" w14:textId="77777777" w:rsidR="00A55510" w:rsidRPr="00122196" w:rsidRDefault="00A55510" w:rsidP="00A55510">
            <w:pPr>
              <w:spacing w:after="0" w:line="240" w:lineRule="auto"/>
              <w:jc w:val="center"/>
              <w:rPr>
                <w:rFonts w:ascii="Calibri" w:eastAsia="Times New Roman" w:hAnsi="Calibri" w:cs="Calibri"/>
                <w:color w:val="000000"/>
                <w:lang w:eastAsia="en-AU"/>
              </w:rPr>
            </w:pPr>
          </w:p>
        </w:tc>
      </w:tr>
      <w:tr w:rsidR="003225CB" w:rsidRPr="00122196" w14:paraId="4AA9ADAF" w14:textId="621079A7" w:rsidTr="00F27FB7">
        <w:trPr>
          <w:trHeight w:val="270"/>
        </w:trPr>
        <w:tc>
          <w:tcPr>
            <w:tcW w:w="6794" w:type="dxa"/>
            <w:gridSpan w:val="2"/>
            <w:shd w:val="clear" w:color="auto" w:fill="auto"/>
            <w:noWrap/>
            <w:vAlign w:val="center"/>
            <w:hideMark/>
          </w:tcPr>
          <w:p w14:paraId="291D6DC3"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xml:space="preserve">Total </w:t>
            </w:r>
          </w:p>
        </w:tc>
        <w:tc>
          <w:tcPr>
            <w:tcW w:w="1560" w:type="dxa"/>
            <w:shd w:val="clear" w:color="auto" w:fill="auto"/>
            <w:hideMark/>
          </w:tcPr>
          <w:p w14:paraId="6908A89B"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Calibri" w:hAnsi="Calibri" w:cs="Arial"/>
                <w:b/>
                <w:bCs/>
                <w:color w:val="262626"/>
              </w:rPr>
              <w:t>$30,905</w:t>
            </w:r>
          </w:p>
        </w:tc>
        <w:tc>
          <w:tcPr>
            <w:tcW w:w="1701" w:type="dxa"/>
            <w:shd w:val="clear" w:color="auto" w:fill="auto"/>
            <w:hideMark/>
          </w:tcPr>
          <w:p w14:paraId="0C392930" w14:textId="77777777" w:rsidR="003225CB" w:rsidRPr="00122196" w:rsidRDefault="003225CB">
            <w:pPr>
              <w:spacing w:after="0" w:line="240" w:lineRule="auto"/>
              <w:jc w:val="center"/>
              <w:rPr>
                <w:rFonts w:ascii="Calibri" w:eastAsia="Times New Roman" w:hAnsi="Calibri" w:cs="Calibri"/>
                <w:b/>
                <w:bCs/>
                <w:color w:val="000000"/>
                <w:lang w:eastAsia="en-AU"/>
              </w:rPr>
            </w:pPr>
          </w:p>
        </w:tc>
        <w:tc>
          <w:tcPr>
            <w:tcW w:w="1984" w:type="dxa"/>
            <w:shd w:val="clear" w:color="auto" w:fill="auto"/>
            <w:noWrap/>
            <w:hideMark/>
          </w:tcPr>
          <w:p w14:paraId="07EDD8FA" w14:textId="77777777" w:rsidR="003225CB" w:rsidRPr="00E76953" w:rsidRDefault="003225CB">
            <w:pPr>
              <w:spacing w:after="0" w:line="240" w:lineRule="auto"/>
              <w:jc w:val="center"/>
              <w:rPr>
                <w:rFonts w:ascii="Calibri" w:eastAsia="Times New Roman" w:hAnsi="Calibri" w:cs="Calibri"/>
                <w:color w:val="000000"/>
                <w:lang w:eastAsia="en-AU"/>
              </w:rPr>
            </w:pPr>
            <w:r w:rsidRPr="00E76953">
              <w:rPr>
                <w:rFonts w:ascii="Calibri" w:eastAsia="Calibri" w:hAnsi="Calibri" w:cs="Arial"/>
                <w:color w:val="262626"/>
              </w:rPr>
              <w:t>$11,629</w:t>
            </w:r>
          </w:p>
        </w:tc>
        <w:tc>
          <w:tcPr>
            <w:tcW w:w="2126" w:type="dxa"/>
          </w:tcPr>
          <w:p w14:paraId="49C34D1B" w14:textId="7D03072E" w:rsidR="00A55510" w:rsidRDefault="00A55510" w:rsidP="00A55510">
            <w:pPr>
              <w:spacing w:after="0" w:line="240" w:lineRule="auto"/>
              <w:jc w:val="center"/>
              <w:rPr>
                <w:rFonts w:ascii="Calibri" w:eastAsia="Calibri" w:hAnsi="Calibri" w:cs="Arial"/>
                <w:b/>
                <w:bCs/>
                <w:color w:val="262626"/>
              </w:rPr>
            </w:pPr>
            <w:r>
              <w:rPr>
                <w:rFonts w:ascii="Calibri" w:eastAsia="Calibri" w:hAnsi="Calibri" w:cs="Arial"/>
                <w:b/>
                <w:bCs/>
                <w:color w:val="262626"/>
              </w:rPr>
              <w:t>$</w:t>
            </w:r>
            <w:r w:rsidR="004E7E13">
              <w:rPr>
                <w:rFonts w:ascii="Calibri" w:eastAsia="Calibri" w:hAnsi="Calibri" w:cs="Arial"/>
                <w:b/>
                <w:bCs/>
                <w:color w:val="262626"/>
              </w:rPr>
              <w:t>1</w:t>
            </w:r>
            <w:r>
              <w:rPr>
                <w:rFonts w:ascii="Calibri" w:eastAsia="Calibri" w:hAnsi="Calibri" w:cs="Arial"/>
                <w:b/>
                <w:bCs/>
                <w:color w:val="262626"/>
              </w:rPr>
              <w:t>,7</w:t>
            </w:r>
            <w:r w:rsidR="004E7E13">
              <w:rPr>
                <w:rFonts w:ascii="Calibri" w:eastAsia="Calibri" w:hAnsi="Calibri" w:cs="Arial"/>
                <w:b/>
                <w:bCs/>
                <w:color w:val="262626"/>
              </w:rPr>
              <w:t>52</w:t>
            </w:r>
          </w:p>
        </w:tc>
      </w:tr>
    </w:tbl>
    <w:p w14:paraId="1E547F59" w14:textId="77777777" w:rsidR="00CC5289" w:rsidRDefault="00CC5289" w:rsidP="003225CB">
      <w:pPr>
        <w:spacing w:before="120"/>
        <w:rPr>
          <w:rFonts w:ascii="Calibri" w:eastAsia="Calibri" w:hAnsi="Calibri" w:cs="Arial"/>
          <w:color w:val="262626"/>
        </w:rPr>
      </w:pPr>
    </w:p>
    <w:p w14:paraId="549A108A" w14:textId="125BAC5F" w:rsidR="00CC5289" w:rsidRDefault="001F2770">
      <w:pPr>
        <w:rPr>
          <w:rFonts w:ascii="Calibri" w:eastAsia="Calibri" w:hAnsi="Calibri" w:cs="Arial"/>
          <w:color w:val="262626"/>
        </w:rPr>
      </w:pPr>
      <w:r>
        <w:rPr>
          <w:rFonts w:ascii="Calibri" w:eastAsia="Calibri" w:hAnsi="Calibri" w:cs="Arial"/>
          <w:color w:val="262626"/>
        </w:rPr>
        <w:br w:type="page"/>
      </w:r>
    </w:p>
    <w:p w14:paraId="43F46A99" w14:textId="3EB40896" w:rsidR="0008195B" w:rsidRPr="0008195B" w:rsidRDefault="0008195B" w:rsidP="0008195B">
      <w:pPr>
        <w:rPr>
          <w:rFonts w:ascii="Calibri" w:eastAsia="Calibri" w:hAnsi="Calibri" w:cs="Arial"/>
          <w:color w:val="262626"/>
        </w:rPr>
      </w:pPr>
      <w:r w:rsidRPr="0008195B">
        <w:rPr>
          <w:rFonts w:ascii="Calibri" w:eastAsia="Calibri" w:hAnsi="Calibri" w:cs="Arial"/>
          <w:b/>
          <w:bCs/>
          <w:color w:val="262626"/>
        </w:rPr>
        <w:lastRenderedPageBreak/>
        <w:t>Table 12</w:t>
      </w:r>
      <w:r w:rsidRPr="0008195B">
        <w:rPr>
          <w:rFonts w:ascii="Calibri" w:eastAsia="Calibri" w:hAnsi="Calibri" w:cs="Arial"/>
          <w:color w:val="262626"/>
        </w:rPr>
        <w:t xml:space="preserve"> outlines the estimated ongoing annual administrative cost for producers to participate in the scheme. This includes entering batch data to create GO certificates and an Annual Reconciliation Check (ARC). The range of frequency for GO certificate creation ranges between hourly and annually. For these estimates, we have assumed the producer is completing this activity monthly. Profile variations are required if a producer varies their production or post-production processes. The CER estimate that 15 per cent of participants will vary their profiles annually based on RET operational experience.</w:t>
      </w:r>
    </w:p>
    <w:p w14:paraId="5ABF33E7" w14:textId="22842E64" w:rsidR="00A55510" w:rsidRDefault="00A55510" w:rsidP="00E76953">
      <w:pPr>
        <w:pStyle w:val="Caption"/>
      </w:pPr>
      <w:r>
        <w:t>Table</w:t>
      </w:r>
      <w:r w:rsidR="0008195B">
        <w:t xml:space="preserve"> 12</w:t>
      </w:r>
      <w:r>
        <w:t xml:space="preserve">: </w:t>
      </w:r>
      <w:r w:rsidRPr="00D067A6">
        <w:t>Batch information, ARC, and profile variation costs (ongoing annual costs)</w:t>
      </w:r>
    </w:p>
    <w:tbl>
      <w:tblPr>
        <w:tblW w:w="1218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1842"/>
        <w:gridCol w:w="1701"/>
        <w:gridCol w:w="1843"/>
        <w:gridCol w:w="1843"/>
      </w:tblGrid>
      <w:tr w:rsidR="003108F1" w:rsidRPr="00122196" w14:paraId="44151C0C" w14:textId="77777777" w:rsidTr="00F27FB7">
        <w:trPr>
          <w:trHeight w:val="437"/>
        </w:trPr>
        <w:tc>
          <w:tcPr>
            <w:tcW w:w="4952" w:type="dxa"/>
            <w:shd w:val="clear" w:color="auto" w:fill="D1D1D1" w:themeFill="background2"/>
            <w:vAlign w:val="center"/>
            <w:hideMark/>
          </w:tcPr>
          <w:p w14:paraId="541E42D5" w14:textId="5D1F78AD"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xml:space="preserve">GO scheme </w:t>
            </w:r>
            <w:r w:rsidR="00A55510">
              <w:rPr>
                <w:rFonts w:ascii="Calibri" w:eastAsia="Times New Roman" w:hAnsi="Calibri" w:cs="Calibri"/>
                <w:b/>
                <w:bCs/>
                <w:color w:val="auto"/>
                <w:lang w:eastAsia="en-AU"/>
              </w:rPr>
              <w:t>activity</w:t>
            </w:r>
          </w:p>
        </w:tc>
        <w:tc>
          <w:tcPr>
            <w:tcW w:w="1842" w:type="dxa"/>
            <w:shd w:val="clear" w:color="auto" w:fill="D1D1D1" w:themeFill="background2"/>
            <w:vAlign w:val="center"/>
            <w:hideMark/>
          </w:tcPr>
          <w:p w14:paraId="27F6BF25"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Number of hours per GO producer</w:t>
            </w:r>
          </w:p>
        </w:tc>
        <w:tc>
          <w:tcPr>
            <w:tcW w:w="1701" w:type="dxa"/>
            <w:shd w:val="clear" w:color="auto" w:fill="D1D1D1" w:themeFill="background2"/>
            <w:vAlign w:val="center"/>
            <w:hideMark/>
          </w:tcPr>
          <w:p w14:paraId="400FB925"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Cost per GO producer</w:t>
            </w:r>
          </w:p>
        </w:tc>
        <w:tc>
          <w:tcPr>
            <w:tcW w:w="1843" w:type="dxa"/>
            <w:shd w:val="clear" w:color="auto" w:fill="D1D1D1" w:themeFill="background2"/>
            <w:vAlign w:val="center"/>
            <w:hideMark/>
          </w:tcPr>
          <w:p w14:paraId="363E9DF4"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Number of hours per REGO producer</w:t>
            </w:r>
          </w:p>
        </w:tc>
        <w:tc>
          <w:tcPr>
            <w:tcW w:w="1843" w:type="dxa"/>
            <w:shd w:val="clear" w:color="auto" w:fill="D1D1D1" w:themeFill="background2"/>
            <w:vAlign w:val="center"/>
            <w:hideMark/>
          </w:tcPr>
          <w:p w14:paraId="1B3E677E"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Cost per REGO producer</w:t>
            </w:r>
          </w:p>
        </w:tc>
      </w:tr>
      <w:tr w:rsidR="00957B5C" w:rsidRPr="00122196" w14:paraId="0F207814" w14:textId="77777777" w:rsidTr="00F27FB7">
        <w:trPr>
          <w:trHeight w:val="255"/>
        </w:trPr>
        <w:tc>
          <w:tcPr>
            <w:tcW w:w="4952" w:type="dxa"/>
            <w:shd w:val="clear" w:color="auto" w:fill="auto"/>
            <w:vAlign w:val="center"/>
            <w:hideMark/>
          </w:tcPr>
          <w:p w14:paraId="78E1D8F0"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Production</w:t>
            </w:r>
          </w:p>
        </w:tc>
        <w:tc>
          <w:tcPr>
            <w:tcW w:w="7229" w:type="dxa"/>
            <w:gridSpan w:val="4"/>
            <w:shd w:val="clear" w:color="000000" w:fill="D9D9D9"/>
            <w:noWrap/>
            <w:vAlign w:val="center"/>
            <w:hideMark/>
          </w:tcPr>
          <w:p w14:paraId="0B4C749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activity is not mandated by regulation</w:t>
            </w:r>
          </w:p>
        </w:tc>
      </w:tr>
      <w:tr w:rsidR="00957B5C" w:rsidRPr="00122196" w14:paraId="521B1881" w14:textId="77777777" w:rsidTr="00F27FB7">
        <w:trPr>
          <w:trHeight w:val="255"/>
        </w:trPr>
        <w:tc>
          <w:tcPr>
            <w:tcW w:w="4952" w:type="dxa"/>
            <w:shd w:val="clear" w:color="auto" w:fill="auto"/>
            <w:vAlign w:val="center"/>
            <w:hideMark/>
          </w:tcPr>
          <w:p w14:paraId="6BAB60D8"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Batch information</w:t>
            </w:r>
            <w:r w:rsidRPr="00122196">
              <w:rPr>
                <w:rFonts w:ascii="Calibri" w:eastAsia="Times New Roman" w:hAnsi="Calibri" w:cs="Calibri"/>
                <w:color w:val="262626"/>
                <w:lang w:eastAsia="en-AU"/>
              </w:rPr>
              <w:t>  </w:t>
            </w:r>
          </w:p>
        </w:tc>
        <w:tc>
          <w:tcPr>
            <w:tcW w:w="1842" w:type="dxa"/>
            <w:shd w:val="clear" w:color="auto" w:fill="auto"/>
            <w:noWrap/>
            <w:vAlign w:val="center"/>
            <w:hideMark/>
          </w:tcPr>
          <w:p w14:paraId="28AF268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701" w:type="dxa"/>
            <w:shd w:val="clear" w:color="auto" w:fill="auto"/>
            <w:noWrap/>
            <w:vAlign w:val="center"/>
            <w:hideMark/>
          </w:tcPr>
          <w:p w14:paraId="626687D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noWrap/>
            <w:vAlign w:val="center"/>
            <w:hideMark/>
          </w:tcPr>
          <w:p w14:paraId="12776D0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vAlign w:val="center"/>
            <w:hideMark/>
          </w:tcPr>
          <w:p w14:paraId="0A9D5D90" w14:textId="77777777" w:rsidR="003225CB" w:rsidRPr="00355FA1" w:rsidRDefault="003225CB">
            <w:pPr>
              <w:spacing w:after="0" w:line="240" w:lineRule="auto"/>
              <w:jc w:val="center"/>
              <w:rPr>
                <w:rFonts w:ascii="Calibri" w:eastAsia="Times New Roman" w:hAnsi="Calibri" w:cs="Calibri"/>
                <w:color w:val="auto"/>
                <w:lang w:eastAsia="en-AU"/>
              </w:rPr>
            </w:pPr>
            <w:r w:rsidRPr="00355FA1">
              <w:rPr>
                <w:rFonts w:ascii="Calibri" w:eastAsia="Times New Roman" w:hAnsi="Calibri" w:cs="Calibri"/>
                <w:color w:val="auto"/>
                <w:lang w:eastAsia="en-AU"/>
              </w:rPr>
              <w:t> </w:t>
            </w:r>
          </w:p>
        </w:tc>
      </w:tr>
      <w:tr w:rsidR="00957B5C" w:rsidRPr="00122196" w14:paraId="64671BE1" w14:textId="77777777" w:rsidTr="00F27FB7">
        <w:trPr>
          <w:trHeight w:val="255"/>
        </w:trPr>
        <w:tc>
          <w:tcPr>
            <w:tcW w:w="4952" w:type="dxa"/>
            <w:shd w:val="clear" w:color="auto" w:fill="auto"/>
            <w:vAlign w:val="center"/>
            <w:hideMark/>
          </w:tcPr>
          <w:p w14:paraId="7487F9BB"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Product batch</w:t>
            </w:r>
          </w:p>
        </w:tc>
        <w:tc>
          <w:tcPr>
            <w:tcW w:w="1842" w:type="dxa"/>
            <w:shd w:val="clear" w:color="auto" w:fill="auto"/>
            <w:noWrap/>
            <w:vAlign w:val="center"/>
            <w:hideMark/>
          </w:tcPr>
          <w:p w14:paraId="1F847837"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4</w:t>
            </w:r>
          </w:p>
        </w:tc>
        <w:tc>
          <w:tcPr>
            <w:tcW w:w="1701" w:type="dxa"/>
            <w:shd w:val="clear" w:color="auto" w:fill="auto"/>
            <w:noWrap/>
            <w:vAlign w:val="center"/>
            <w:hideMark/>
          </w:tcPr>
          <w:p w14:paraId="3804A46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$319</w:t>
            </w:r>
          </w:p>
        </w:tc>
        <w:tc>
          <w:tcPr>
            <w:tcW w:w="1843" w:type="dxa"/>
            <w:shd w:val="clear" w:color="auto" w:fill="auto"/>
            <w:noWrap/>
            <w:vAlign w:val="center"/>
            <w:hideMark/>
          </w:tcPr>
          <w:p w14:paraId="2524F09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4</w:t>
            </w:r>
          </w:p>
        </w:tc>
        <w:tc>
          <w:tcPr>
            <w:tcW w:w="1843" w:type="dxa"/>
            <w:shd w:val="clear" w:color="auto" w:fill="auto"/>
            <w:noWrap/>
            <w:vAlign w:val="center"/>
            <w:hideMark/>
          </w:tcPr>
          <w:p w14:paraId="152FC36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$319</w:t>
            </w:r>
          </w:p>
        </w:tc>
      </w:tr>
      <w:tr w:rsidR="00957B5C" w:rsidRPr="00122196" w14:paraId="358AB224" w14:textId="77777777" w:rsidTr="00F27FB7">
        <w:trPr>
          <w:trHeight w:val="255"/>
        </w:trPr>
        <w:tc>
          <w:tcPr>
            <w:tcW w:w="4952" w:type="dxa"/>
            <w:shd w:val="clear" w:color="auto" w:fill="auto"/>
            <w:vAlign w:val="center"/>
            <w:hideMark/>
          </w:tcPr>
          <w:p w14:paraId="62A5770E" w14:textId="5F0AA07D" w:rsidR="003225CB" w:rsidRPr="00122196" w:rsidRDefault="00F7062F">
            <w:pPr>
              <w:spacing w:after="0" w:line="240" w:lineRule="auto"/>
              <w:ind w:firstLineChars="200" w:firstLine="400"/>
              <w:rPr>
                <w:rFonts w:ascii="Calibri" w:eastAsia="Times New Roman" w:hAnsi="Calibri" w:cs="Calibri"/>
                <w:color w:val="000000"/>
                <w:lang w:eastAsia="en-AU"/>
              </w:rPr>
            </w:pPr>
            <w:r>
              <w:rPr>
                <w:rFonts w:ascii="Calibri" w:eastAsia="Times New Roman" w:hAnsi="Calibri" w:cs="Calibri"/>
                <w:color w:val="000000"/>
                <w:lang w:eastAsia="en-AU"/>
              </w:rPr>
              <w:t>Delivery</w:t>
            </w:r>
            <w:r w:rsidR="003225CB" w:rsidRPr="00122196">
              <w:rPr>
                <w:rFonts w:ascii="Calibri" w:eastAsia="Times New Roman" w:hAnsi="Calibri" w:cs="Calibri"/>
                <w:color w:val="000000"/>
                <w:lang w:eastAsia="en-AU"/>
              </w:rPr>
              <w:t xml:space="preserve"> batch</w:t>
            </w:r>
          </w:p>
        </w:tc>
        <w:tc>
          <w:tcPr>
            <w:tcW w:w="1842" w:type="dxa"/>
            <w:shd w:val="clear" w:color="auto" w:fill="auto"/>
            <w:noWrap/>
            <w:vAlign w:val="center"/>
            <w:hideMark/>
          </w:tcPr>
          <w:p w14:paraId="00D538A5" w14:textId="02103148" w:rsidR="003225CB" w:rsidRPr="00122196" w:rsidRDefault="00F7062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1701" w:type="dxa"/>
            <w:shd w:val="clear" w:color="auto" w:fill="auto"/>
            <w:noWrap/>
            <w:vAlign w:val="center"/>
            <w:hideMark/>
          </w:tcPr>
          <w:p w14:paraId="0EEABC47" w14:textId="709AD639"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w:t>
            </w:r>
            <w:r w:rsidR="00F7062F">
              <w:rPr>
                <w:rFonts w:ascii="Calibri" w:eastAsia="Times New Roman" w:hAnsi="Calibri" w:cs="Calibri"/>
                <w:color w:val="000000"/>
                <w:lang w:eastAsia="en-AU"/>
              </w:rPr>
              <w:t>318</w:t>
            </w:r>
          </w:p>
        </w:tc>
        <w:tc>
          <w:tcPr>
            <w:tcW w:w="1843" w:type="dxa"/>
            <w:shd w:val="clear" w:color="auto" w:fill="auto"/>
            <w:noWrap/>
            <w:vAlign w:val="center"/>
            <w:hideMark/>
          </w:tcPr>
          <w:p w14:paraId="5E45BB5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w:t>
            </w:r>
          </w:p>
        </w:tc>
        <w:tc>
          <w:tcPr>
            <w:tcW w:w="1843" w:type="dxa"/>
            <w:shd w:val="clear" w:color="auto" w:fill="auto"/>
            <w:noWrap/>
            <w:vAlign w:val="bottom"/>
            <w:hideMark/>
          </w:tcPr>
          <w:p w14:paraId="343021BA" w14:textId="77777777" w:rsidR="003225CB" w:rsidRPr="00122196" w:rsidRDefault="003225CB">
            <w:pPr>
              <w:spacing w:after="0" w:line="240" w:lineRule="auto"/>
              <w:jc w:val="center"/>
              <w:rPr>
                <w:rFonts w:ascii="Calibri" w:eastAsia="Times New Roman" w:hAnsi="Calibri" w:cs="Calibri"/>
                <w:color w:val="auto"/>
                <w:lang w:eastAsia="en-AU"/>
              </w:rPr>
            </w:pPr>
            <w:r w:rsidRPr="00122196">
              <w:rPr>
                <w:rFonts w:ascii="Calibri" w:eastAsia="Times New Roman" w:hAnsi="Calibri" w:cs="Calibri"/>
                <w:color w:val="auto"/>
                <w:lang w:eastAsia="en-AU"/>
              </w:rPr>
              <w:t>N/A</w:t>
            </w:r>
          </w:p>
        </w:tc>
      </w:tr>
      <w:tr w:rsidR="00957B5C" w:rsidRPr="00122196" w14:paraId="591EA04E" w14:textId="77777777" w:rsidTr="00F27FB7">
        <w:trPr>
          <w:trHeight w:val="255"/>
        </w:trPr>
        <w:tc>
          <w:tcPr>
            <w:tcW w:w="4952" w:type="dxa"/>
            <w:shd w:val="clear" w:color="auto" w:fill="auto"/>
            <w:vAlign w:val="center"/>
            <w:hideMark/>
          </w:tcPr>
          <w:p w14:paraId="5B9E0A67"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Consumption batch</w:t>
            </w:r>
          </w:p>
        </w:tc>
        <w:tc>
          <w:tcPr>
            <w:tcW w:w="1842" w:type="dxa"/>
            <w:shd w:val="clear" w:color="auto" w:fill="auto"/>
            <w:noWrap/>
            <w:vAlign w:val="center"/>
            <w:hideMark/>
          </w:tcPr>
          <w:p w14:paraId="5901E9FB"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701" w:type="dxa"/>
            <w:shd w:val="clear" w:color="auto" w:fill="auto"/>
            <w:noWrap/>
            <w:vAlign w:val="center"/>
            <w:hideMark/>
          </w:tcPr>
          <w:p w14:paraId="397A36D9"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c>
          <w:tcPr>
            <w:tcW w:w="1843" w:type="dxa"/>
            <w:shd w:val="clear" w:color="auto" w:fill="auto"/>
            <w:noWrap/>
            <w:vAlign w:val="center"/>
            <w:hideMark/>
          </w:tcPr>
          <w:p w14:paraId="2096F58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843" w:type="dxa"/>
            <w:shd w:val="clear" w:color="auto" w:fill="auto"/>
            <w:noWrap/>
            <w:vAlign w:val="center"/>
            <w:hideMark/>
          </w:tcPr>
          <w:p w14:paraId="5A57107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r>
      <w:tr w:rsidR="00957B5C" w:rsidRPr="00122196" w14:paraId="75A75C20" w14:textId="77777777" w:rsidTr="00F27FB7">
        <w:trPr>
          <w:trHeight w:val="259"/>
        </w:trPr>
        <w:tc>
          <w:tcPr>
            <w:tcW w:w="4952" w:type="dxa"/>
            <w:shd w:val="clear" w:color="auto" w:fill="auto"/>
            <w:vAlign w:val="center"/>
            <w:hideMark/>
          </w:tcPr>
          <w:p w14:paraId="06F8C7B3"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CER assessment of certificates and batch data</w:t>
            </w:r>
          </w:p>
        </w:tc>
        <w:tc>
          <w:tcPr>
            <w:tcW w:w="7229" w:type="dxa"/>
            <w:gridSpan w:val="4"/>
            <w:shd w:val="clear" w:color="000000" w:fill="D9D9D9"/>
            <w:noWrap/>
            <w:vAlign w:val="center"/>
            <w:hideMark/>
          </w:tcPr>
          <w:p w14:paraId="1111DF1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only work is conducted by the CER</w:t>
            </w:r>
          </w:p>
        </w:tc>
      </w:tr>
      <w:tr w:rsidR="00957B5C" w:rsidRPr="00122196" w14:paraId="0112CA49" w14:textId="77777777" w:rsidTr="00F27FB7">
        <w:trPr>
          <w:trHeight w:val="255"/>
        </w:trPr>
        <w:tc>
          <w:tcPr>
            <w:tcW w:w="6794" w:type="dxa"/>
            <w:gridSpan w:val="2"/>
            <w:shd w:val="clear" w:color="auto" w:fill="auto"/>
            <w:noWrap/>
            <w:vAlign w:val="center"/>
            <w:hideMark/>
          </w:tcPr>
          <w:p w14:paraId="3086265F"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Total (monthly)</w:t>
            </w:r>
          </w:p>
        </w:tc>
        <w:tc>
          <w:tcPr>
            <w:tcW w:w="1701" w:type="dxa"/>
            <w:shd w:val="clear" w:color="auto" w:fill="auto"/>
            <w:noWrap/>
            <w:vAlign w:val="center"/>
            <w:hideMark/>
          </w:tcPr>
          <w:p w14:paraId="257ACFF9"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$717</w:t>
            </w:r>
          </w:p>
        </w:tc>
        <w:tc>
          <w:tcPr>
            <w:tcW w:w="1843" w:type="dxa"/>
            <w:shd w:val="clear" w:color="auto" w:fill="auto"/>
            <w:noWrap/>
            <w:vAlign w:val="center"/>
            <w:hideMark/>
          </w:tcPr>
          <w:p w14:paraId="7389458A"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vAlign w:val="center"/>
            <w:hideMark/>
          </w:tcPr>
          <w:p w14:paraId="743DC746"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$398</w:t>
            </w:r>
          </w:p>
        </w:tc>
      </w:tr>
      <w:tr w:rsidR="00957B5C" w:rsidRPr="00122196" w14:paraId="4EB28B90" w14:textId="77777777" w:rsidTr="00F27FB7">
        <w:trPr>
          <w:trHeight w:val="259"/>
        </w:trPr>
        <w:tc>
          <w:tcPr>
            <w:tcW w:w="6794" w:type="dxa"/>
            <w:gridSpan w:val="2"/>
            <w:shd w:val="clear" w:color="auto" w:fill="auto"/>
            <w:noWrap/>
            <w:vAlign w:val="center"/>
            <w:hideMark/>
          </w:tcPr>
          <w:p w14:paraId="48E6FDC1"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Total (annually)</w:t>
            </w:r>
          </w:p>
        </w:tc>
        <w:tc>
          <w:tcPr>
            <w:tcW w:w="1701" w:type="dxa"/>
            <w:shd w:val="clear" w:color="auto" w:fill="auto"/>
            <w:noWrap/>
            <w:vAlign w:val="center"/>
            <w:hideMark/>
          </w:tcPr>
          <w:p w14:paraId="60A1A789"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$8,600</w:t>
            </w:r>
          </w:p>
        </w:tc>
        <w:tc>
          <w:tcPr>
            <w:tcW w:w="1843" w:type="dxa"/>
            <w:shd w:val="clear" w:color="auto" w:fill="auto"/>
            <w:noWrap/>
            <w:vAlign w:val="center"/>
            <w:hideMark/>
          </w:tcPr>
          <w:p w14:paraId="34A51095"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vAlign w:val="center"/>
            <w:hideMark/>
          </w:tcPr>
          <w:p w14:paraId="3B79E77D"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$4,778</w:t>
            </w:r>
          </w:p>
        </w:tc>
      </w:tr>
      <w:tr w:rsidR="00957B5C" w:rsidRPr="00122196" w14:paraId="7A9F0B77" w14:textId="77777777" w:rsidTr="00F27FB7">
        <w:trPr>
          <w:trHeight w:val="345"/>
        </w:trPr>
        <w:tc>
          <w:tcPr>
            <w:tcW w:w="4952" w:type="dxa"/>
            <w:shd w:val="clear" w:color="auto" w:fill="auto"/>
            <w:vAlign w:val="center"/>
            <w:hideMark/>
          </w:tcPr>
          <w:p w14:paraId="32A0F565"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CER produce Annual Reconciliation Check (ARC) report</w:t>
            </w:r>
          </w:p>
        </w:tc>
        <w:tc>
          <w:tcPr>
            <w:tcW w:w="7229" w:type="dxa"/>
            <w:gridSpan w:val="4"/>
            <w:shd w:val="clear" w:color="000000" w:fill="D9D9D9"/>
            <w:noWrap/>
            <w:vAlign w:val="center"/>
            <w:hideMark/>
          </w:tcPr>
          <w:p w14:paraId="63F2F49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only work is conducted by the CER</w:t>
            </w:r>
          </w:p>
        </w:tc>
      </w:tr>
      <w:tr w:rsidR="00957B5C" w:rsidRPr="00122196" w14:paraId="1AA1123C" w14:textId="77777777" w:rsidTr="00F27FB7">
        <w:trPr>
          <w:trHeight w:val="255"/>
        </w:trPr>
        <w:tc>
          <w:tcPr>
            <w:tcW w:w="4952" w:type="dxa"/>
            <w:shd w:val="clear" w:color="auto" w:fill="auto"/>
            <w:vAlign w:val="center"/>
            <w:hideMark/>
          </w:tcPr>
          <w:p w14:paraId="4287CBAB"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Producer conducts ARC</w:t>
            </w:r>
          </w:p>
        </w:tc>
        <w:tc>
          <w:tcPr>
            <w:tcW w:w="1842" w:type="dxa"/>
            <w:shd w:val="clear" w:color="auto" w:fill="auto"/>
            <w:noWrap/>
            <w:vAlign w:val="center"/>
            <w:hideMark/>
          </w:tcPr>
          <w:p w14:paraId="6E9D2746"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701" w:type="dxa"/>
            <w:shd w:val="clear" w:color="auto" w:fill="auto"/>
            <w:noWrap/>
            <w:vAlign w:val="center"/>
            <w:hideMark/>
          </w:tcPr>
          <w:p w14:paraId="1DF8A59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noWrap/>
            <w:vAlign w:val="center"/>
            <w:hideMark/>
          </w:tcPr>
          <w:p w14:paraId="66F445F9"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vAlign w:val="center"/>
            <w:hideMark/>
          </w:tcPr>
          <w:p w14:paraId="442D584B" w14:textId="77777777" w:rsidR="003225CB" w:rsidRPr="00355FA1" w:rsidRDefault="003225CB">
            <w:pPr>
              <w:spacing w:after="0" w:line="240" w:lineRule="auto"/>
              <w:jc w:val="center"/>
              <w:rPr>
                <w:rFonts w:ascii="Calibri" w:eastAsia="Times New Roman" w:hAnsi="Calibri" w:cs="Calibri"/>
                <w:color w:val="auto"/>
                <w:lang w:eastAsia="en-AU"/>
              </w:rPr>
            </w:pPr>
            <w:r w:rsidRPr="00355FA1">
              <w:rPr>
                <w:rFonts w:ascii="Calibri" w:eastAsia="Times New Roman" w:hAnsi="Calibri" w:cs="Calibri"/>
                <w:color w:val="auto"/>
                <w:lang w:eastAsia="en-AU"/>
              </w:rPr>
              <w:t> </w:t>
            </w:r>
          </w:p>
        </w:tc>
      </w:tr>
      <w:tr w:rsidR="00957B5C" w:rsidRPr="00122196" w14:paraId="0E31BBAA" w14:textId="77777777" w:rsidTr="00F27FB7">
        <w:trPr>
          <w:trHeight w:val="255"/>
        </w:trPr>
        <w:tc>
          <w:tcPr>
            <w:tcW w:w="4952" w:type="dxa"/>
            <w:shd w:val="clear" w:color="auto" w:fill="auto"/>
            <w:vAlign w:val="center"/>
            <w:hideMark/>
          </w:tcPr>
          <w:p w14:paraId="30454B3C"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Profile information</w:t>
            </w:r>
          </w:p>
        </w:tc>
        <w:tc>
          <w:tcPr>
            <w:tcW w:w="1842" w:type="dxa"/>
            <w:shd w:val="clear" w:color="auto" w:fill="auto"/>
            <w:noWrap/>
            <w:vAlign w:val="center"/>
            <w:hideMark/>
          </w:tcPr>
          <w:p w14:paraId="6D64028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4</w:t>
            </w:r>
          </w:p>
        </w:tc>
        <w:tc>
          <w:tcPr>
            <w:tcW w:w="1701" w:type="dxa"/>
            <w:shd w:val="clear" w:color="auto" w:fill="auto"/>
            <w:noWrap/>
            <w:vAlign w:val="center"/>
            <w:hideMark/>
          </w:tcPr>
          <w:p w14:paraId="30C2DF8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$319</w:t>
            </w:r>
          </w:p>
        </w:tc>
        <w:tc>
          <w:tcPr>
            <w:tcW w:w="1843" w:type="dxa"/>
            <w:shd w:val="clear" w:color="auto" w:fill="auto"/>
            <w:noWrap/>
            <w:vAlign w:val="center"/>
            <w:hideMark/>
          </w:tcPr>
          <w:p w14:paraId="3F06CF4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2</w:t>
            </w:r>
          </w:p>
        </w:tc>
        <w:tc>
          <w:tcPr>
            <w:tcW w:w="1843" w:type="dxa"/>
            <w:shd w:val="clear" w:color="auto" w:fill="auto"/>
            <w:noWrap/>
            <w:vAlign w:val="center"/>
            <w:hideMark/>
          </w:tcPr>
          <w:p w14:paraId="034BCE3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$159</w:t>
            </w:r>
          </w:p>
        </w:tc>
      </w:tr>
      <w:tr w:rsidR="00957B5C" w:rsidRPr="00122196" w14:paraId="4BD030FF" w14:textId="77777777" w:rsidTr="00F27FB7">
        <w:trPr>
          <w:trHeight w:val="255"/>
        </w:trPr>
        <w:tc>
          <w:tcPr>
            <w:tcW w:w="4952" w:type="dxa"/>
            <w:shd w:val="clear" w:color="auto" w:fill="auto"/>
            <w:vAlign w:val="center"/>
            <w:hideMark/>
          </w:tcPr>
          <w:p w14:paraId="24F93364"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Batch information</w:t>
            </w:r>
          </w:p>
        </w:tc>
        <w:tc>
          <w:tcPr>
            <w:tcW w:w="1842" w:type="dxa"/>
            <w:shd w:val="clear" w:color="auto" w:fill="auto"/>
            <w:noWrap/>
            <w:vAlign w:val="center"/>
            <w:hideMark/>
          </w:tcPr>
          <w:p w14:paraId="07354A8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w:t>
            </w:r>
          </w:p>
        </w:tc>
        <w:tc>
          <w:tcPr>
            <w:tcW w:w="1701" w:type="dxa"/>
            <w:shd w:val="clear" w:color="auto" w:fill="auto"/>
            <w:noWrap/>
            <w:vAlign w:val="center"/>
            <w:hideMark/>
          </w:tcPr>
          <w:p w14:paraId="22784C7F"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$637</w:t>
            </w:r>
          </w:p>
        </w:tc>
        <w:tc>
          <w:tcPr>
            <w:tcW w:w="1843" w:type="dxa"/>
            <w:shd w:val="clear" w:color="auto" w:fill="auto"/>
            <w:noWrap/>
            <w:vAlign w:val="center"/>
            <w:hideMark/>
          </w:tcPr>
          <w:p w14:paraId="7C1B73DB"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w:t>
            </w:r>
          </w:p>
        </w:tc>
        <w:tc>
          <w:tcPr>
            <w:tcW w:w="1843" w:type="dxa"/>
            <w:shd w:val="clear" w:color="auto" w:fill="auto"/>
            <w:noWrap/>
            <w:vAlign w:val="center"/>
            <w:hideMark/>
          </w:tcPr>
          <w:p w14:paraId="4438A2F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$637</w:t>
            </w:r>
          </w:p>
        </w:tc>
      </w:tr>
      <w:tr w:rsidR="00957B5C" w:rsidRPr="00122196" w14:paraId="61A18019" w14:textId="77777777" w:rsidTr="00F27FB7">
        <w:trPr>
          <w:trHeight w:val="255"/>
        </w:trPr>
        <w:tc>
          <w:tcPr>
            <w:tcW w:w="4952" w:type="dxa"/>
            <w:shd w:val="clear" w:color="auto" w:fill="auto"/>
            <w:vAlign w:val="center"/>
            <w:hideMark/>
          </w:tcPr>
          <w:p w14:paraId="0CF495FC"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Input certificate use</w:t>
            </w:r>
          </w:p>
        </w:tc>
        <w:tc>
          <w:tcPr>
            <w:tcW w:w="1842" w:type="dxa"/>
            <w:shd w:val="clear" w:color="auto" w:fill="auto"/>
            <w:noWrap/>
            <w:vAlign w:val="center"/>
            <w:hideMark/>
          </w:tcPr>
          <w:p w14:paraId="1E2A94E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4</w:t>
            </w:r>
          </w:p>
        </w:tc>
        <w:tc>
          <w:tcPr>
            <w:tcW w:w="1701" w:type="dxa"/>
            <w:shd w:val="clear" w:color="auto" w:fill="auto"/>
            <w:noWrap/>
            <w:vAlign w:val="center"/>
            <w:hideMark/>
          </w:tcPr>
          <w:p w14:paraId="629E354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$319</w:t>
            </w:r>
          </w:p>
        </w:tc>
        <w:tc>
          <w:tcPr>
            <w:tcW w:w="1843" w:type="dxa"/>
            <w:shd w:val="clear" w:color="auto" w:fill="auto"/>
            <w:noWrap/>
            <w:vAlign w:val="center"/>
            <w:hideMark/>
          </w:tcPr>
          <w:p w14:paraId="6A6EF82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w:t>
            </w:r>
          </w:p>
        </w:tc>
        <w:tc>
          <w:tcPr>
            <w:tcW w:w="1843" w:type="dxa"/>
            <w:shd w:val="clear" w:color="auto" w:fill="auto"/>
            <w:noWrap/>
            <w:vAlign w:val="center"/>
            <w:hideMark/>
          </w:tcPr>
          <w:p w14:paraId="3E33BB3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w:t>
            </w:r>
          </w:p>
        </w:tc>
      </w:tr>
      <w:tr w:rsidR="00957B5C" w:rsidRPr="00122196" w14:paraId="498CBD0A" w14:textId="77777777" w:rsidTr="00F27FB7">
        <w:trPr>
          <w:trHeight w:val="255"/>
        </w:trPr>
        <w:tc>
          <w:tcPr>
            <w:tcW w:w="4952" w:type="dxa"/>
            <w:shd w:val="clear" w:color="auto" w:fill="auto"/>
            <w:vAlign w:val="center"/>
            <w:hideMark/>
          </w:tcPr>
          <w:p w14:paraId="0BBC207E"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Production changes since last LSTR</w:t>
            </w:r>
          </w:p>
        </w:tc>
        <w:tc>
          <w:tcPr>
            <w:tcW w:w="1842" w:type="dxa"/>
            <w:shd w:val="clear" w:color="auto" w:fill="auto"/>
            <w:noWrap/>
            <w:vAlign w:val="center"/>
            <w:hideMark/>
          </w:tcPr>
          <w:p w14:paraId="4B373A5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2</w:t>
            </w:r>
          </w:p>
        </w:tc>
        <w:tc>
          <w:tcPr>
            <w:tcW w:w="1701" w:type="dxa"/>
            <w:shd w:val="clear" w:color="auto" w:fill="auto"/>
            <w:noWrap/>
            <w:vAlign w:val="center"/>
            <w:hideMark/>
          </w:tcPr>
          <w:p w14:paraId="20C6212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$159</w:t>
            </w:r>
          </w:p>
        </w:tc>
        <w:tc>
          <w:tcPr>
            <w:tcW w:w="1843" w:type="dxa"/>
            <w:shd w:val="clear" w:color="auto" w:fill="auto"/>
            <w:noWrap/>
            <w:vAlign w:val="center"/>
            <w:hideMark/>
          </w:tcPr>
          <w:p w14:paraId="6BF1BCB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2</w:t>
            </w:r>
          </w:p>
        </w:tc>
        <w:tc>
          <w:tcPr>
            <w:tcW w:w="1843" w:type="dxa"/>
            <w:shd w:val="clear" w:color="auto" w:fill="auto"/>
            <w:noWrap/>
            <w:vAlign w:val="center"/>
            <w:hideMark/>
          </w:tcPr>
          <w:p w14:paraId="33E093A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$159</w:t>
            </w:r>
          </w:p>
        </w:tc>
      </w:tr>
      <w:tr w:rsidR="00957B5C" w:rsidRPr="00122196" w14:paraId="65778681" w14:textId="77777777" w:rsidTr="00F27FB7">
        <w:trPr>
          <w:trHeight w:val="255"/>
        </w:trPr>
        <w:tc>
          <w:tcPr>
            <w:tcW w:w="4952" w:type="dxa"/>
            <w:shd w:val="clear" w:color="auto" w:fill="auto"/>
            <w:vAlign w:val="center"/>
            <w:hideMark/>
          </w:tcPr>
          <w:p w14:paraId="373D06E5"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ARC Declaration</w:t>
            </w:r>
          </w:p>
        </w:tc>
        <w:tc>
          <w:tcPr>
            <w:tcW w:w="1842" w:type="dxa"/>
            <w:shd w:val="clear" w:color="auto" w:fill="auto"/>
            <w:noWrap/>
            <w:vAlign w:val="center"/>
            <w:hideMark/>
          </w:tcPr>
          <w:p w14:paraId="3B3E460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701" w:type="dxa"/>
            <w:shd w:val="clear" w:color="auto" w:fill="auto"/>
            <w:noWrap/>
            <w:vAlign w:val="center"/>
            <w:hideMark/>
          </w:tcPr>
          <w:p w14:paraId="5F103A6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noWrap/>
            <w:vAlign w:val="center"/>
            <w:hideMark/>
          </w:tcPr>
          <w:p w14:paraId="0C9E4BEE"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c>
          <w:tcPr>
            <w:tcW w:w="1843" w:type="dxa"/>
            <w:shd w:val="clear" w:color="auto" w:fill="auto"/>
            <w:noWrap/>
            <w:vAlign w:val="center"/>
            <w:hideMark/>
          </w:tcPr>
          <w:p w14:paraId="2FD3A541"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 </w:t>
            </w:r>
          </w:p>
        </w:tc>
      </w:tr>
      <w:tr w:rsidR="00957B5C" w:rsidRPr="00122196" w14:paraId="07861790" w14:textId="77777777" w:rsidTr="00F27FB7">
        <w:trPr>
          <w:trHeight w:val="255"/>
        </w:trPr>
        <w:tc>
          <w:tcPr>
            <w:tcW w:w="4952" w:type="dxa"/>
            <w:shd w:val="clear" w:color="auto" w:fill="auto"/>
            <w:vAlign w:val="center"/>
            <w:hideMark/>
          </w:tcPr>
          <w:p w14:paraId="356FDF2D"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 xml:space="preserve">Formal declaration </w:t>
            </w:r>
          </w:p>
        </w:tc>
        <w:tc>
          <w:tcPr>
            <w:tcW w:w="1842" w:type="dxa"/>
            <w:shd w:val="clear" w:color="auto" w:fill="auto"/>
            <w:noWrap/>
            <w:vAlign w:val="center"/>
            <w:hideMark/>
          </w:tcPr>
          <w:p w14:paraId="1FD192CC"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701" w:type="dxa"/>
            <w:shd w:val="clear" w:color="auto" w:fill="auto"/>
            <w:noWrap/>
            <w:vAlign w:val="center"/>
            <w:hideMark/>
          </w:tcPr>
          <w:p w14:paraId="45F96098"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c>
          <w:tcPr>
            <w:tcW w:w="1843" w:type="dxa"/>
            <w:shd w:val="clear" w:color="auto" w:fill="auto"/>
            <w:noWrap/>
            <w:vAlign w:val="center"/>
            <w:hideMark/>
          </w:tcPr>
          <w:p w14:paraId="0AFB81D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843" w:type="dxa"/>
            <w:shd w:val="clear" w:color="auto" w:fill="auto"/>
            <w:noWrap/>
            <w:vAlign w:val="center"/>
            <w:hideMark/>
          </w:tcPr>
          <w:p w14:paraId="6DAFACD3"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r>
      <w:tr w:rsidR="00957B5C" w:rsidRPr="00122196" w14:paraId="7659D3BD" w14:textId="77777777" w:rsidTr="00F27FB7">
        <w:trPr>
          <w:trHeight w:val="255"/>
        </w:trPr>
        <w:tc>
          <w:tcPr>
            <w:tcW w:w="4952" w:type="dxa"/>
            <w:shd w:val="clear" w:color="auto" w:fill="auto"/>
            <w:vAlign w:val="center"/>
            <w:hideMark/>
          </w:tcPr>
          <w:p w14:paraId="3E429AFF" w14:textId="77777777" w:rsidR="003225CB" w:rsidRPr="00122196" w:rsidRDefault="003225CB">
            <w:pPr>
              <w:spacing w:after="0" w:line="240" w:lineRule="auto"/>
              <w:ind w:firstLineChars="200" w:firstLine="400"/>
              <w:rPr>
                <w:rFonts w:ascii="Calibri" w:eastAsia="Times New Roman" w:hAnsi="Calibri" w:cs="Calibri"/>
                <w:color w:val="000000"/>
                <w:lang w:eastAsia="en-AU"/>
              </w:rPr>
            </w:pPr>
            <w:r w:rsidRPr="00122196">
              <w:rPr>
                <w:rFonts w:ascii="Calibri" w:eastAsia="Times New Roman" w:hAnsi="Calibri" w:cs="Calibri"/>
                <w:color w:val="000000"/>
                <w:lang w:eastAsia="en-AU"/>
              </w:rPr>
              <w:t>Submit declaration and evidence to CER</w:t>
            </w:r>
          </w:p>
        </w:tc>
        <w:tc>
          <w:tcPr>
            <w:tcW w:w="1842" w:type="dxa"/>
            <w:shd w:val="clear" w:color="auto" w:fill="auto"/>
            <w:noWrap/>
            <w:vAlign w:val="center"/>
            <w:hideMark/>
          </w:tcPr>
          <w:p w14:paraId="1C40FE82"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701" w:type="dxa"/>
            <w:shd w:val="clear" w:color="auto" w:fill="auto"/>
            <w:noWrap/>
            <w:vAlign w:val="center"/>
            <w:hideMark/>
          </w:tcPr>
          <w:p w14:paraId="04707ADA"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c>
          <w:tcPr>
            <w:tcW w:w="1843" w:type="dxa"/>
            <w:shd w:val="clear" w:color="auto" w:fill="auto"/>
            <w:noWrap/>
            <w:vAlign w:val="center"/>
            <w:hideMark/>
          </w:tcPr>
          <w:p w14:paraId="6A25A475"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1</w:t>
            </w:r>
          </w:p>
        </w:tc>
        <w:tc>
          <w:tcPr>
            <w:tcW w:w="1843" w:type="dxa"/>
            <w:shd w:val="clear" w:color="auto" w:fill="auto"/>
            <w:noWrap/>
            <w:vAlign w:val="center"/>
            <w:hideMark/>
          </w:tcPr>
          <w:p w14:paraId="4122FD3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$80</w:t>
            </w:r>
          </w:p>
        </w:tc>
      </w:tr>
      <w:tr w:rsidR="00957B5C" w:rsidRPr="00122196" w14:paraId="39245F25" w14:textId="77777777" w:rsidTr="00F27FB7">
        <w:trPr>
          <w:trHeight w:val="255"/>
        </w:trPr>
        <w:tc>
          <w:tcPr>
            <w:tcW w:w="6794" w:type="dxa"/>
            <w:gridSpan w:val="2"/>
            <w:shd w:val="clear" w:color="auto" w:fill="auto"/>
            <w:noWrap/>
            <w:vAlign w:val="center"/>
            <w:hideMark/>
          </w:tcPr>
          <w:p w14:paraId="6F1CFDE8"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Total</w:t>
            </w:r>
          </w:p>
        </w:tc>
        <w:tc>
          <w:tcPr>
            <w:tcW w:w="1701" w:type="dxa"/>
            <w:shd w:val="clear" w:color="auto" w:fill="auto"/>
            <w:noWrap/>
            <w:vAlign w:val="center"/>
            <w:hideMark/>
          </w:tcPr>
          <w:p w14:paraId="46459E0C"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$1,593</w:t>
            </w:r>
          </w:p>
        </w:tc>
        <w:tc>
          <w:tcPr>
            <w:tcW w:w="1843" w:type="dxa"/>
            <w:shd w:val="clear" w:color="auto" w:fill="auto"/>
            <w:noWrap/>
            <w:vAlign w:val="center"/>
            <w:hideMark/>
          </w:tcPr>
          <w:p w14:paraId="77CD1A6F"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vAlign w:val="center"/>
            <w:hideMark/>
          </w:tcPr>
          <w:p w14:paraId="127BF9A1" w14:textId="77777777" w:rsidR="003225CB" w:rsidRPr="00122196" w:rsidRDefault="003225CB">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$1,115</w:t>
            </w:r>
          </w:p>
        </w:tc>
      </w:tr>
      <w:tr w:rsidR="00957B5C" w:rsidRPr="00122196" w14:paraId="47F80616" w14:textId="77777777" w:rsidTr="00F27FB7">
        <w:trPr>
          <w:trHeight w:val="255"/>
        </w:trPr>
        <w:tc>
          <w:tcPr>
            <w:tcW w:w="4952" w:type="dxa"/>
            <w:shd w:val="clear" w:color="auto" w:fill="auto"/>
            <w:noWrap/>
            <w:vAlign w:val="center"/>
            <w:hideMark/>
          </w:tcPr>
          <w:p w14:paraId="4362D71F"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Profile variations</w:t>
            </w:r>
          </w:p>
        </w:tc>
        <w:tc>
          <w:tcPr>
            <w:tcW w:w="1842" w:type="dxa"/>
            <w:shd w:val="clear" w:color="auto" w:fill="auto"/>
            <w:noWrap/>
            <w:vAlign w:val="center"/>
            <w:hideMark/>
          </w:tcPr>
          <w:p w14:paraId="41E3A172"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701" w:type="dxa"/>
            <w:shd w:val="clear" w:color="auto" w:fill="auto"/>
            <w:noWrap/>
            <w:vAlign w:val="center"/>
            <w:hideMark/>
          </w:tcPr>
          <w:p w14:paraId="54B55C71"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noWrap/>
            <w:vAlign w:val="center"/>
            <w:hideMark/>
          </w:tcPr>
          <w:p w14:paraId="4CA84693"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vAlign w:val="center"/>
            <w:hideMark/>
          </w:tcPr>
          <w:p w14:paraId="6EA841FA" w14:textId="1B655F70" w:rsidR="003225CB" w:rsidRPr="00122196" w:rsidRDefault="00A55510">
            <w:pPr>
              <w:spacing w:after="0" w:line="240" w:lineRule="auto"/>
              <w:jc w:val="center"/>
              <w:rPr>
                <w:rFonts w:ascii="Calibri" w:eastAsia="Times New Roman" w:hAnsi="Calibri" w:cs="Calibri"/>
                <w:b/>
                <w:bCs/>
                <w:color w:val="auto"/>
                <w:lang w:eastAsia="en-AU"/>
              </w:rPr>
            </w:pPr>
            <w:r w:rsidRPr="00122196">
              <w:rPr>
                <w:rFonts w:ascii="Calibri" w:eastAsia="Times New Roman" w:hAnsi="Calibri" w:cs="Calibri"/>
                <w:b/>
                <w:bCs/>
                <w:color w:val="auto"/>
                <w:lang w:eastAsia="en-AU"/>
              </w:rPr>
              <w:t> </w:t>
            </w:r>
          </w:p>
        </w:tc>
      </w:tr>
      <w:tr w:rsidR="00957B5C" w:rsidRPr="00122196" w14:paraId="3C08ED0D" w14:textId="77777777" w:rsidTr="00F27FB7">
        <w:trPr>
          <w:trHeight w:val="255"/>
        </w:trPr>
        <w:tc>
          <w:tcPr>
            <w:tcW w:w="4952" w:type="dxa"/>
            <w:shd w:val="clear" w:color="auto" w:fill="auto"/>
            <w:noWrap/>
            <w:vAlign w:val="bottom"/>
            <w:hideMark/>
          </w:tcPr>
          <w:p w14:paraId="110E53FC" w14:textId="77777777" w:rsidR="003225CB" w:rsidRPr="00122196" w:rsidRDefault="003225CB">
            <w:pPr>
              <w:spacing w:after="0" w:line="240" w:lineRule="auto"/>
              <w:rPr>
                <w:rFonts w:ascii="Calibri" w:eastAsia="Times New Roman" w:hAnsi="Calibri" w:cs="Calibri"/>
                <w:i/>
                <w:iCs/>
                <w:color w:val="000000"/>
                <w:lang w:eastAsia="en-AU"/>
              </w:rPr>
            </w:pPr>
            <w:r w:rsidRPr="00122196">
              <w:rPr>
                <w:rFonts w:ascii="Calibri" w:eastAsia="Times New Roman" w:hAnsi="Calibri" w:cs="Calibri"/>
                <w:i/>
                <w:iCs/>
                <w:color w:val="000000"/>
                <w:lang w:eastAsia="en-AU"/>
              </w:rPr>
              <w:t>15% of participants to vary annually (5hr task)</w:t>
            </w:r>
          </w:p>
        </w:tc>
        <w:tc>
          <w:tcPr>
            <w:tcW w:w="1842" w:type="dxa"/>
            <w:shd w:val="clear" w:color="auto" w:fill="auto"/>
            <w:noWrap/>
            <w:vAlign w:val="center"/>
            <w:hideMark/>
          </w:tcPr>
          <w:p w14:paraId="6DB8A3CA"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0.75</w:t>
            </w:r>
          </w:p>
        </w:tc>
        <w:tc>
          <w:tcPr>
            <w:tcW w:w="1701" w:type="dxa"/>
            <w:shd w:val="clear" w:color="auto" w:fill="auto"/>
            <w:noWrap/>
            <w:vAlign w:val="center"/>
            <w:hideMark/>
          </w:tcPr>
          <w:p w14:paraId="5F7073E4"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$60</w:t>
            </w:r>
          </w:p>
        </w:tc>
        <w:tc>
          <w:tcPr>
            <w:tcW w:w="1843" w:type="dxa"/>
            <w:shd w:val="clear" w:color="auto" w:fill="auto"/>
            <w:noWrap/>
            <w:vAlign w:val="center"/>
            <w:hideMark/>
          </w:tcPr>
          <w:p w14:paraId="781AE73D"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0.75</w:t>
            </w:r>
          </w:p>
        </w:tc>
        <w:tc>
          <w:tcPr>
            <w:tcW w:w="1843" w:type="dxa"/>
            <w:shd w:val="clear" w:color="auto" w:fill="auto"/>
            <w:noWrap/>
            <w:vAlign w:val="center"/>
            <w:hideMark/>
          </w:tcPr>
          <w:p w14:paraId="3B260134" w14:textId="1B0B1652" w:rsidR="003225CB" w:rsidRPr="00122196" w:rsidRDefault="00A55510">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$60</w:t>
            </w:r>
          </w:p>
        </w:tc>
      </w:tr>
      <w:tr w:rsidR="00957B5C" w:rsidRPr="00122196" w14:paraId="2E8EE44A" w14:textId="77777777" w:rsidTr="00F27FB7">
        <w:trPr>
          <w:trHeight w:val="270"/>
        </w:trPr>
        <w:tc>
          <w:tcPr>
            <w:tcW w:w="4952" w:type="dxa"/>
            <w:shd w:val="clear" w:color="auto" w:fill="auto"/>
            <w:vAlign w:val="center"/>
            <w:hideMark/>
          </w:tcPr>
          <w:p w14:paraId="3D7AD84D" w14:textId="77777777" w:rsidR="003225CB" w:rsidRPr="00122196" w:rsidRDefault="003225CB">
            <w:pPr>
              <w:spacing w:after="0" w:line="240" w:lineRule="auto"/>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CER assessment of ARC</w:t>
            </w:r>
          </w:p>
        </w:tc>
        <w:tc>
          <w:tcPr>
            <w:tcW w:w="7229" w:type="dxa"/>
            <w:gridSpan w:val="4"/>
            <w:shd w:val="clear" w:color="000000" w:fill="D9D9D9"/>
            <w:noWrap/>
            <w:vAlign w:val="center"/>
            <w:hideMark/>
          </w:tcPr>
          <w:p w14:paraId="2CC8CDE0" w14:textId="77777777" w:rsidR="003225CB" w:rsidRPr="00122196" w:rsidRDefault="003225CB">
            <w:pPr>
              <w:spacing w:after="0" w:line="240" w:lineRule="auto"/>
              <w:jc w:val="center"/>
              <w:rPr>
                <w:rFonts w:ascii="Calibri" w:eastAsia="Times New Roman" w:hAnsi="Calibri" w:cs="Calibri"/>
                <w:color w:val="000000"/>
                <w:lang w:eastAsia="en-AU"/>
              </w:rPr>
            </w:pPr>
            <w:r w:rsidRPr="00122196">
              <w:rPr>
                <w:rFonts w:ascii="Calibri" w:eastAsia="Times New Roman" w:hAnsi="Calibri" w:cs="Calibri"/>
                <w:color w:val="000000"/>
                <w:lang w:eastAsia="en-AU"/>
              </w:rPr>
              <w:t>N/A - During this period, the only work is conducted by the CER</w:t>
            </w:r>
          </w:p>
        </w:tc>
      </w:tr>
      <w:tr w:rsidR="00957B5C" w:rsidRPr="00122196" w14:paraId="4405E2D4" w14:textId="77777777" w:rsidTr="00F27FB7">
        <w:trPr>
          <w:trHeight w:val="270"/>
        </w:trPr>
        <w:tc>
          <w:tcPr>
            <w:tcW w:w="6794" w:type="dxa"/>
            <w:gridSpan w:val="2"/>
            <w:shd w:val="clear" w:color="auto" w:fill="auto"/>
            <w:noWrap/>
            <w:vAlign w:val="center"/>
            <w:hideMark/>
          </w:tcPr>
          <w:p w14:paraId="3AD8C386"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Ongoing annual total</w:t>
            </w:r>
          </w:p>
        </w:tc>
        <w:tc>
          <w:tcPr>
            <w:tcW w:w="1701" w:type="dxa"/>
            <w:shd w:val="clear" w:color="auto" w:fill="auto"/>
            <w:vAlign w:val="center"/>
            <w:hideMark/>
          </w:tcPr>
          <w:p w14:paraId="28D1C0F3"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$10,252</w:t>
            </w:r>
          </w:p>
        </w:tc>
        <w:tc>
          <w:tcPr>
            <w:tcW w:w="1843" w:type="dxa"/>
            <w:shd w:val="clear" w:color="auto" w:fill="auto"/>
            <w:vAlign w:val="center"/>
            <w:hideMark/>
          </w:tcPr>
          <w:p w14:paraId="11E3F8E1"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 </w:t>
            </w:r>
          </w:p>
        </w:tc>
        <w:tc>
          <w:tcPr>
            <w:tcW w:w="1843" w:type="dxa"/>
            <w:shd w:val="clear" w:color="auto" w:fill="auto"/>
            <w:vAlign w:val="center"/>
            <w:hideMark/>
          </w:tcPr>
          <w:p w14:paraId="71CF97F7" w14:textId="77777777" w:rsidR="003225CB" w:rsidRPr="00122196" w:rsidRDefault="003225CB">
            <w:pPr>
              <w:spacing w:after="0" w:line="240" w:lineRule="auto"/>
              <w:jc w:val="center"/>
              <w:rPr>
                <w:rFonts w:ascii="Calibri" w:eastAsia="Times New Roman" w:hAnsi="Calibri" w:cs="Calibri"/>
                <w:b/>
                <w:bCs/>
                <w:color w:val="000000"/>
                <w:lang w:eastAsia="en-AU"/>
              </w:rPr>
            </w:pPr>
            <w:r w:rsidRPr="00122196">
              <w:rPr>
                <w:rFonts w:ascii="Calibri" w:eastAsia="Times New Roman" w:hAnsi="Calibri" w:cs="Calibri"/>
                <w:b/>
                <w:bCs/>
                <w:color w:val="000000"/>
                <w:lang w:eastAsia="en-AU"/>
              </w:rPr>
              <w:t>$5,952</w:t>
            </w:r>
          </w:p>
        </w:tc>
      </w:tr>
    </w:tbl>
    <w:p w14:paraId="4177E484" w14:textId="77777777" w:rsidR="009772DA" w:rsidRDefault="009772DA">
      <w:pPr>
        <w:rPr>
          <w:rFonts w:ascii="Calibri" w:eastAsia="Calibri" w:hAnsi="Calibri" w:cs="Arial"/>
          <w:color w:val="262626"/>
        </w:rPr>
      </w:pPr>
      <w:r>
        <w:rPr>
          <w:rFonts w:ascii="Calibri" w:eastAsia="Calibri" w:hAnsi="Calibri" w:cs="Arial"/>
          <w:color w:val="262626"/>
        </w:rPr>
        <w:br w:type="page"/>
      </w:r>
    </w:p>
    <w:p w14:paraId="4D3902B4" w14:textId="138B08FF" w:rsidR="003225CB" w:rsidRPr="00122196" w:rsidRDefault="003225CB" w:rsidP="003225CB">
      <w:pPr>
        <w:spacing w:before="120"/>
        <w:rPr>
          <w:rFonts w:ascii="Calibri" w:eastAsia="Calibri" w:hAnsi="Calibri" w:cs="Arial"/>
          <w:color w:val="262626"/>
        </w:rPr>
      </w:pPr>
      <w:r w:rsidRPr="00E76953">
        <w:rPr>
          <w:rFonts w:ascii="Calibri" w:eastAsia="Calibri" w:hAnsi="Calibri" w:cs="Arial"/>
          <w:b/>
          <w:bCs/>
          <w:color w:val="262626"/>
        </w:rPr>
        <w:lastRenderedPageBreak/>
        <w:t xml:space="preserve">Table </w:t>
      </w:r>
      <w:r w:rsidR="00A55510">
        <w:rPr>
          <w:rFonts w:ascii="Calibri" w:eastAsia="Calibri" w:hAnsi="Calibri" w:cs="Arial"/>
          <w:b/>
          <w:bCs/>
          <w:color w:val="262626"/>
        </w:rPr>
        <w:t>1</w:t>
      </w:r>
      <w:r w:rsidR="00676E0C">
        <w:rPr>
          <w:rFonts w:ascii="Calibri" w:eastAsia="Calibri" w:hAnsi="Calibri" w:cs="Arial"/>
          <w:b/>
          <w:bCs/>
          <w:color w:val="262626"/>
        </w:rPr>
        <w:t>3</w:t>
      </w:r>
      <w:r w:rsidRPr="00122196">
        <w:rPr>
          <w:rFonts w:ascii="Calibri" w:eastAsia="Calibri" w:hAnsi="Calibri" w:cs="Arial"/>
          <w:color w:val="262626"/>
        </w:rPr>
        <w:t xml:space="preserve"> outlines the estimated annual administrative cost to producers to undertake</w:t>
      </w:r>
      <w:r w:rsidR="00923C5A">
        <w:rPr>
          <w:rFonts w:ascii="Calibri" w:eastAsia="Calibri" w:hAnsi="Calibri" w:cs="Arial"/>
          <w:color w:val="262626"/>
        </w:rPr>
        <w:t xml:space="preserve"> audits</w:t>
      </w:r>
      <w:r w:rsidRPr="00122196">
        <w:rPr>
          <w:rFonts w:ascii="Calibri" w:eastAsia="Calibri" w:hAnsi="Calibri" w:cs="Arial"/>
          <w:color w:val="262626"/>
        </w:rPr>
        <w:t xml:space="preserve"> required to maintain registration with the scheme. </w:t>
      </w:r>
      <w:r w:rsidR="00923C5A">
        <w:rPr>
          <w:rFonts w:ascii="Calibri" w:eastAsia="Calibri" w:hAnsi="Calibri" w:cs="Arial"/>
          <w:color w:val="262626"/>
        </w:rPr>
        <w:t>Audits</w:t>
      </w:r>
      <w:r w:rsidRPr="00122196">
        <w:rPr>
          <w:rFonts w:ascii="Calibri" w:eastAsia="Calibri" w:hAnsi="Calibri" w:cs="Arial"/>
          <w:color w:val="262626"/>
        </w:rPr>
        <w:t xml:space="preserve"> would be done as part of the ARC within the first year of participation and every five years thereafter.</w:t>
      </w:r>
    </w:p>
    <w:p w14:paraId="6AD5FF29" w14:textId="71F3F53E" w:rsidR="00A55510" w:rsidRDefault="00A55510" w:rsidP="009027A6">
      <w:pPr>
        <w:pStyle w:val="Caption"/>
      </w:pPr>
      <w:r>
        <w:t xml:space="preserve">Table </w:t>
      </w:r>
      <w:r w:rsidR="0008195B">
        <w:t>1</w:t>
      </w:r>
      <w:r w:rsidR="00676E0C">
        <w:rPr>
          <w:noProof/>
        </w:rPr>
        <w:t>3</w:t>
      </w:r>
      <w:r>
        <w:t xml:space="preserve">: </w:t>
      </w:r>
      <w:r w:rsidR="00EA0860">
        <w:t>Audit</w:t>
      </w:r>
      <w:r w:rsidRPr="001538AD">
        <w:t xml:space="preserve"> costs</w:t>
      </w:r>
    </w:p>
    <w:tbl>
      <w:tblPr>
        <w:tblW w:w="142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551"/>
        <w:gridCol w:w="2552"/>
        <w:gridCol w:w="2693"/>
        <w:gridCol w:w="2378"/>
      </w:tblGrid>
      <w:tr w:rsidR="00BE425E" w:rsidRPr="00122196" w14:paraId="71636351" w14:textId="77777777" w:rsidTr="00F27FB7">
        <w:trPr>
          <w:trHeight w:val="270"/>
        </w:trPr>
        <w:tc>
          <w:tcPr>
            <w:tcW w:w="4111" w:type="dxa"/>
            <w:shd w:val="clear" w:color="auto" w:fill="D1D1D1" w:themeFill="background2"/>
            <w:noWrap/>
            <w:vAlign w:val="center"/>
            <w:hideMark/>
          </w:tcPr>
          <w:p w14:paraId="1296B26B" w14:textId="77777777" w:rsidR="003225CB" w:rsidRPr="00122196" w:rsidRDefault="003225CB">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GO scheme period</w:t>
            </w:r>
          </w:p>
        </w:tc>
        <w:tc>
          <w:tcPr>
            <w:tcW w:w="2551" w:type="dxa"/>
            <w:shd w:val="clear" w:color="auto" w:fill="D1D1D1" w:themeFill="background2"/>
            <w:noWrap/>
            <w:vAlign w:val="center"/>
            <w:hideMark/>
          </w:tcPr>
          <w:p w14:paraId="3A47685F" w14:textId="77777777" w:rsidR="003225CB" w:rsidRPr="00122196" w:rsidRDefault="003225CB">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Number of hours involved per GO producer</w:t>
            </w:r>
          </w:p>
        </w:tc>
        <w:tc>
          <w:tcPr>
            <w:tcW w:w="2552" w:type="dxa"/>
            <w:shd w:val="clear" w:color="auto" w:fill="D1D1D1" w:themeFill="background2"/>
            <w:noWrap/>
            <w:vAlign w:val="center"/>
            <w:hideMark/>
          </w:tcPr>
          <w:p w14:paraId="607BD283" w14:textId="77777777" w:rsidR="003225CB" w:rsidRPr="00122196" w:rsidRDefault="003225CB">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Cost per GO producer</w:t>
            </w:r>
          </w:p>
        </w:tc>
        <w:tc>
          <w:tcPr>
            <w:tcW w:w="2693" w:type="dxa"/>
            <w:shd w:val="clear" w:color="auto" w:fill="D1D1D1" w:themeFill="background2"/>
            <w:noWrap/>
            <w:vAlign w:val="center"/>
            <w:hideMark/>
          </w:tcPr>
          <w:p w14:paraId="0947C8CE" w14:textId="77777777" w:rsidR="003225CB" w:rsidRPr="00122196" w:rsidRDefault="003225CB">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Number of hours involved per REGO producer</w:t>
            </w:r>
          </w:p>
        </w:tc>
        <w:tc>
          <w:tcPr>
            <w:tcW w:w="2378" w:type="dxa"/>
            <w:shd w:val="clear" w:color="auto" w:fill="D1D1D1" w:themeFill="background2"/>
            <w:vAlign w:val="center"/>
            <w:hideMark/>
          </w:tcPr>
          <w:p w14:paraId="21EF38D1" w14:textId="03EC9CA5" w:rsidR="003225CB" w:rsidRPr="00122196" w:rsidRDefault="003225CB">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Cost per REGO producer</w:t>
            </w:r>
            <w:r w:rsidR="00CE3398">
              <w:rPr>
                <w:rFonts w:ascii="Calibri" w:eastAsia="Times New Roman" w:hAnsi="Calibri" w:cs="Calibri"/>
                <w:b/>
                <w:bCs/>
                <w:color w:val="auto"/>
                <w:kern w:val="2"/>
                <w:lang w:eastAsia="en-AU"/>
                <w14:ligatures w14:val="standardContextual"/>
              </w:rPr>
              <w:t>*</w:t>
            </w:r>
          </w:p>
        </w:tc>
      </w:tr>
      <w:tr w:rsidR="00062CB7" w:rsidRPr="00122196" w14:paraId="16F611E2" w14:textId="77777777" w:rsidTr="00F27FB7">
        <w:trPr>
          <w:trHeight w:val="255"/>
        </w:trPr>
        <w:tc>
          <w:tcPr>
            <w:tcW w:w="4111" w:type="dxa"/>
            <w:noWrap/>
            <w:vAlign w:val="center"/>
            <w:hideMark/>
          </w:tcPr>
          <w:p w14:paraId="0CE61FE0" w14:textId="608DCA33" w:rsidR="003225CB" w:rsidRPr="00122196" w:rsidRDefault="00EA0860">
            <w:pPr>
              <w:spacing w:after="0" w:line="240" w:lineRule="auto"/>
              <w:rPr>
                <w:rFonts w:ascii="Calibri" w:eastAsia="Times New Roman" w:hAnsi="Calibri" w:cs="Calibri"/>
                <w:b/>
                <w:bCs/>
                <w:color w:val="000000"/>
                <w:kern w:val="2"/>
                <w:lang w:eastAsia="en-AU"/>
                <w14:ligatures w14:val="standardContextual"/>
              </w:rPr>
            </w:pPr>
            <w:r>
              <w:rPr>
                <w:rFonts w:ascii="Calibri" w:eastAsia="Times New Roman" w:hAnsi="Calibri" w:cs="Calibri"/>
                <w:b/>
                <w:bCs/>
                <w:color w:val="000000"/>
                <w:kern w:val="2"/>
                <w:lang w:eastAsia="en-AU"/>
                <w14:ligatures w14:val="standardContextual"/>
              </w:rPr>
              <w:t>Audit</w:t>
            </w:r>
          </w:p>
        </w:tc>
        <w:tc>
          <w:tcPr>
            <w:tcW w:w="2551" w:type="dxa"/>
            <w:noWrap/>
            <w:vAlign w:val="center"/>
            <w:hideMark/>
          </w:tcPr>
          <w:p w14:paraId="73619B2E"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 </w:t>
            </w:r>
          </w:p>
        </w:tc>
        <w:tc>
          <w:tcPr>
            <w:tcW w:w="2552" w:type="dxa"/>
            <w:noWrap/>
            <w:vAlign w:val="center"/>
            <w:hideMark/>
          </w:tcPr>
          <w:p w14:paraId="028B2681"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 </w:t>
            </w:r>
          </w:p>
        </w:tc>
        <w:tc>
          <w:tcPr>
            <w:tcW w:w="2693" w:type="dxa"/>
            <w:noWrap/>
            <w:vAlign w:val="center"/>
            <w:hideMark/>
          </w:tcPr>
          <w:p w14:paraId="2F50E0D5"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 </w:t>
            </w:r>
          </w:p>
        </w:tc>
        <w:tc>
          <w:tcPr>
            <w:tcW w:w="2378" w:type="dxa"/>
            <w:vAlign w:val="center"/>
            <w:hideMark/>
          </w:tcPr>
          <w:p w14:paraId="4CCE072C"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 </w:t>
            </w:r>
          </w:p>
        </w:tc>
      </w:tr>
      <w:tr w:rsidR="00062CB7" w:rsidRPr="00122196" w14:paraId="6542B4A8" w14:textId="77777777" w:rsidTr="00F27FB7">
        <w:trPr>
          <w:trHeight w:val="255"/>
        </w:trPr>
        <w:tc>
          <w:tcPr>
            <w:tcW w:w="4111" w:type="dxa"/>
            <w:noWrap/>
            <w:vAlign w:val="center"/>
            <w:hideMark/>
          </w:tcPr>
          <w:p w14:paraId="7918B7FB" w14:textId="056AC723" w:rsidR="003225CB" w:rsidRPr="00122196" w:rsidRDefault="003225CB">
            <w:pPr>
              <w:spacing w:after="0" w:line="240" w:lineRule="auto"/>
              <w:ind w:firstLineChars="200" w:firstLine="400"/>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GO production + post</w:t>
            </w:r>
            <w:r w:rsidR="00156FF1">
              <w:rPr>
                <w:rFonts w:ascii="Calibri" w:eastAsia="Times New Roman" w:hAnsi="Calibri" w:cs="Calibri"/>
                <w:color w:val="000000"/>
                <w:kern w:val="2"/>
                <w:lang w:eastAsia="en-AU"/>
                <w14:ligatures w14:val="standardContextual"/>
              </w:rPr>
              <w:t>-</w:t>
            </w:r>
            <w:r w:rsidRPr="00122196">
              <w:rPr>
                <w:rFonts w:ascii="Calibri" w:eastAsia="Times New Roman" w:hAnsi="Calibri" w:cs="Calibri"/>
                <w:color w:val="000000"/>
                <w:kern w:val="2"/>
                <w:lang w:eastAsia="en-AU"/>
                <w14:ligatures w14:val="standardContextual"/>
              </w:rPr>
              <w:t>production review</w:t>
            </w:r>
          </w:p>
        </w:tc>
        <w:tc>
          <w:tcPr>
            <w:tcW w:w="2551" w:type="dxa"/>
            <w:noWrap/>
            <w:vAlign w:val="center"/>
            <w:hideMark/>
          </w:tcPr>
          <w:p w14:paraId="445710D1"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c>
          <w:tcPr>
            <w:tcW w:w="2552" w:type="dxa"/>
            <w:noWrap/>
            <w:vAlign w:val="center"/>
            <w:hideMark/>
          </w:tcPr>
          <w:p w14:paraId="5B2D0CD9"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$14,784</w:t>
            </w:r>
          </w:p>
        </w:tc>
        <w:tc>
          <w:tcPr>
            <w:tcW w:w="2693" w:type="dxa"/>
            <w:noWrap/>
            <w:vAlign w:val="center"/>
            <w:hideMark/>
          </w:tcPr>
          <w:p w14:paraId="6A52C263"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c>
          <w:tcPr>
            <w:tcW w:w="2378" w:type="dxa"/>
            <w:noWrap/>
            <w:vAlign w:val="center"/>
            <w:hideMark/>
          </w:tcPr>
          <w:p w14:paraId="03F83CD7"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r>
      <w:tr w:rsidR="00062CB7" w:rsidRPr="00122196" w14:paraId="20BFBFC6" w14:textId="77777777" w:rsidTr="00F27FB7">
        <w:trPr>
          <w:trHeight w:val="255"/>
        </w:trPr>
        <w:tc>
          <w:tcPr>
            <w:tcW w:w="4111" w:type="dxa"/>
            <w:noWrap/>
            <w:vAlign w:val="center"/>
            <w:hideMark/>
          </w:tcPr>
          <w:p w14:paraId="4B1985D8" w14:textId="77777777" w:rsidR="003225CB" w:rsidRPr="00122196" w:rsidRDefault="003225CB">
            <w:pPr>
              <w:spacing w:after="0" w:line="240" w:lineRule="auto"/>
              <w:ind w:firstLineChars="200" w:firstLine="400"/>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REGO production review</w:t>
            </w:r>
          </w:p>
        </w:tc>
        <w:tc>
          <w:tcPr>
            <w:tcW w:w="2551" w:type="dxa"/>
            <w:noWrap/>
            <w:vAlign w:val="center"/>
            <w:hideMark/>
          </w:tcPr>
          <w:p w14:paraId="2D309021"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c>
          <w:tcPr>
            <w:tcW w:w="2552" w:type="dxa"/>
            <w:noWrap/>
            <w:vAlign w:val="bottom"/>
            <w:hideMark/>
          </w:tcPr>
          <w:p w14:paraId="3B16019A"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c>
          <w:tcPr>
            <w:tcW w:w="2693" w:type="dxa"/>
            <w:noWrap/>
            <w:vAlign w:val="bottom"/>
            <w:hideMark/>
          </w:tcPr>
          <w:p w14:paraId="564852F3"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w:t>
            </w:r>
          </w:p>
        </w:tc>
        <w:tc>
          <w:tcPr>
            <w:tcW w:w="2378" w:type="dxa"/>
            <w:noWrap/>
            <w:vAlign w:val="center"/>
            <w:hideMark/>
          </w:tcPr>
          <w:p w14:paraId="2FA32499"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$9,240</w:t>
            </w:r>
          </w:p>
        </w:tc>
      </w:tr>
      <w:tr w:rsidR="00C56478" w:rsidRPr="00122196" w14:paraId="670A3CCC" w14:textId="77777777" w:rsidTr="00F27FB7">
        <w:trPr>
          <w:trHeight w:val="510"/>
        </w:trPr>
        <w:tc>
          <w:tcPr>
            <w:tcW w:w="4111" w:type="dxa"/>
            <w:vAlign w:val="center"/>
            <w:hideMark/>
          </w:tcPr>
          <w:p w14:paraId="772CDFA0" w14:textId="77777777" w:rsidR="003225CB" w:rsidRPr="00122196" w:rsidRDefault="003225CB" w:rsidP="00E76953">
            <w:pPr>
              <w:spacing w:after="0" w:line="240" w:lineRule="auto"/>
              <w:ind w:firstLineChars="8" w:firstLine="16"/>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Review facilitation</w:t>
            </w:r>
            <w:r w:rsidRPr="00122196">
              <w:rPr>
                <w:rFonts w:ascii="Calibri" w:eastAsia="Times New Roman" w:hAnsi="Calibri" w:cs="Calibri"/>
                <w:color w:val="262626"/>
                <w:kern w:val="2"/>
                <w:lang w:eastAsia="en-AU"/>
                <w14:ligatures w14:val="standardContextual"/>
              </w:rPr>
              <w:t> </w:t>
            </w:r>
            <w:r w:rsidRPr="00122196">
              <w:rPr>
                <w:rFonts w:ascii="Calibri" w:eastAsia="Times New Roman" w:hAnsi="Calibri" w:cs="Calibri"/>
                <w:color w:val="000000"/>
                <w:kern w:val="2"/>
                <w:lang w:eastAsia="en-AU"/>
                <w14:ligatures w14:val="standardContextual"/>
              </w:rPr>
              <w:t>(including site visits and providing information to auditors)</w:t>
            </w:r>
          </w:p>
        </w:tc>
        <w:tc>
          <w:tcPr>
            <w:tcW w:w="2551" w:type="dxa"/>
            <w:noWrap/>
            <w:vAlign w:val="center"/>
            <w:hideMark/>
          </w:tcPr>
          <w:p w14:paraId="0F8BEF05"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4</w:t>
            </w:r>
          </w:p>
        </w:tc>
        <w:tc>
          <w:tcPr>
            <w:tcW w:w="2552" w:type="dxa"/>
            <w:noWrap/>
            <w:vAlign w:val="center"/>
            <w:hideMark/>
          </w:tcPr>
          <w:p w14:paraId="065D49E4"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$319</w:t>
            </w:r>
          </w:p>
        </w:tc>
        <w:tc>
          <w:tcPr>
            <w:tcW w:w="2693" w:type="dxa"/>
            <w:noWrap/>
            <w:vAlign w:val="center"/>
            <w:hideMark/>
          </w:tcPr>
          <w:p w14:paraId="43E876B6"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4</w:t>
            </w:r>
          </w:p>
        </w:tc>
        <w:tc>
          <w:tcPr>
            <w:tcW w:w="2378" w:type="dxa"/>
            <w:noWrap/>
            <w:vAlign w:val="center"/>
            <w:hideMark/>
          </w:tcPr>
          <w:p w14:paraId="481EF783"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$319</w:t>
            </w:r>
          </w:p>
        </w:tc>
      </w:tr>
      <w:tr w:rsidR="00062CB7" w:rsidRPr="00122196" w14:paraId="70E6DCFB" w14:textId="77777777" w:rsidTr="00F27FB7">
        <w:trPr>
          <w:trHeight w:val="255"/>
        </w:trPr>
        <w:tc>
          <w:tcPr>
            <w:tcW w:w="4111" w:type="dxa"/>
            <w:vAlign w:val="center"/>
            <w:hideMark/>
          </w:tcPr>
          <w:p w14:paraId="0ECB40A5" w14:textId="77FE0144" w:rsidR="003225CB" w:rsidRPr="00122196" w:rsidRDefault="003225CB">
            <w:pPr>
              <w:spacing w:after="0" w:line="240" w:lineRule="auto"/>
              <w:rPr>
                <w:rFonts w:ascii="Calibri" w:eastAsia="Times New Roman" w:hAnsi="Calibri" w:cs="Calibri"/>
                <w:b/>
                <w:bCs/>
                <w:color w:val="000000"/>
                <w:kern w:val="2"/>
                <w:lang w:eastAsia="en-AU"/>
                <w14:ligatures w14:val="standardContextual"/>
              </w:rPr>
            </w:pPr>
            <w:r w:rsidRPr="00122196">
              <w:rPr>
                <w:rFonts w:ascii="Calibri" w:eastAsia="Times New Roman" w:hAnsi="Calibri" w:cs="Calibri"/>
                <w:b/>
                <w:bCs/>
                <w:color w:val="000000"/>
                <w:kern w:val="2"/>
                <w:lang w:eastAsia="en-AU"/>
                <w14:ligatures w14:val="standardContextual"/>
              </w:rPr>
              <w:t xml:space="preserve">CER assessment of </w:t>
            </w:r>
            <w:r w:rsidR="00EA0860">
              <w:rPr>
                <w:rFonts w:ascii="Calibri" w:eastAsia="Times New Roman" w:hAnsi="Calibri" w:cs="Calibri"/>
                <w:b/>
                <w:bCs/>
                <w:color w:val="000000"/>
                <w:kern w:val="2"/>
                <w:lang w:eastAsia="en-AU"/>
                <w14:ligatures w14:val="standardContextual"/>
              </w:rPr>
              <w:t>audit</w:t>
            </w:r>
          </w:p>
        </w:tc>
        <w:tc>
          <w:tcPr>
            <w:tcW w:w="10174" w:type="dxa"/>
            <w:gridSpan w:val="4"/>
            <w:shd w:val="clear" w:color="auto" w:fill="D9D9D9" w:themeFill="background1" w:themeFillShade="D9"/>
            <w:noWrap/>
            <w:vAlign w:val="center"/>
            <w:hideMark/>
          </w:tcPr>
          <w:p w14:paraId="267BA7F3" w14:textId="77777777" w:rsidR="003225CB" w:rsidRPr="00122196" w:rsidRDefault="003225CB">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000000"/>
                <w:kern w:val="2"/>
                <w:lang w:eastAsia="en-AU"/>
                <w14:ligatures w14:val="standardContextual"/>
              </w:rPr>
              <w:t>N/A - During this period, the only work is conducted by the CER</w:t>
            </w:r>
          </w:p>
        </w:tc>
      </w:tr>
      <w:tr w:rsidR="00062CB7" w:rsidRPr="00122196" w14:paraId="2E7A1C6C" w14:textId="77777777" w:rsidTr="00F27FB7">
        <w:trPr>
          <w:trHeight w:val="270"/>
        </w:trPr>
        <w:tc>
          <w:tcPr>
            <w:tcW w:w="6662" w:type="dxa"/>
            <w:gridSpan w:val="2"/>
            <w:noWrap/>
            <w:vAlign w:val="center"/>
            <w:hideMark/>
          </w:tcPr>
          <w:p w14:paraId="63B882DE" w14:textId="77777777" w:rsidR="003225CB" w:rsidRPr="00122196" w:rsidRDefault="003225CB">
            <w:pPr>
              <w:spacing w:after="0" w:line="240" w:lineRule="auto"/>
              <w:jc w:val="center"/>
              <w:rPr>
                <w:rFonts w:ascii="Calibri" w:eastAsia="Times New Roman" w:hAnsi="Calibri" w:cs="Calibri"/>
                <w:b/>
                <w:bCs/>
                <w:color w:val="000000"/>
                <w:kern w:val="2"/>
                <w:lang w:eastAsia="en-AU"/>
                <w14:ligatures w14:val="standardContextual"/>
              </w:rPr>
            </w:pPr>
            <w:r w:rsidRPr="00122196">
              <w:rPr>
                <w:rFonts w:ascii="Calibri" w:eastAsia="Times New Roman" w:hAnsi="Calibri" w:cs="Calibri"/>
                <w:b/>
                <w:bCs/>
                <w:color w:val="000000"/>
                <w:kern w:val="2"/>
                <w:lang w:eastAsia="en-AU"/>
                <w14:ligatures w14:val="standardContextual"/>
              </w:rPr>
              <w:t>Total</w:t>
            </w:r>
          </w:p>
        </w:tc>
        <w:tc>
          <w:tcPr>
            <w:tcW w:w="2552" w:type="dxa"/>
            <w:vAlign w:val="center"/>
            <w:hideMark/>
          </w:tcPr>
          <w:p w14:paraId="388157E4" w14:textId="77777777" w:rsidR="003225CB" w:rsidRPr="00122196" w:rsidRDefault="003225CB">
            <w:pPr>
              <w:spacing w:after="0" w:line="240" w:lineRule="auto"/>
              <w:jc w:val="center"/>
              <w:rPr>
                <w:rFonts w:ascii="Calibri" w:eastAsia="Times New Roman" w:hAnsi="Calibri" w:cs="Calibri"/>
                <w:b/>
                <w:bCs/>
                <w:color w:val="000000"/>
                <w:kern w:val="2"/>
                <w:lang w:eastAsia="en-AU"/>
                <w14:ligatures w14:val="standardContextual"/>
              </w:rPr>
            </w:pPr>
            <w:r w:rsidRPr="00122196">
              <w:rPr>
                <w:rFonts w:ascii="Calibri" w:eastAsia="Times New Roman" w:hAnsi="Calibri" w:cs="Calibri"/>
                <w:b/>
                <w:bCs/>
                <w:color w:val="000000"/>
                <w:kern w:val="2"/>
                <w:lang w:eastAsia="en-AU"/>
                <w14:ligatures w14:val="standardContextual"/>
              </w:rPr>
              <w:t>$15,103</w:t>
            </w:r>
          </w:p>
        </w:tc>
        <w:tc>
          <w:tcPr>
            <w:tcW w:w="2693" w:type="dxa"/>
            <w:vAlign w:val="center"/>
            <w:hideMark/>
          </w:tcPr>
          <w:p w14:paraId="5515861E" w14:textId="77777777" w:rsidR="003225CB" w:rsidRPr="00122196" w:rsidRDefault="003225CB">
            <w:pPr>
              <w:spacing w:after="0" w:line="240" w:lineRule="auto"/>
              <w:jc w:val="center"/>
              <w:rPr>
                <w:rFonts w:ascii="Calibri" w:eastAsia="Times New Roman" w:hAnsi="Calibri" w:cs="Calibri"/>
                <w:b/>
                <w:bCs/>
                <w:color w:val="000000"/>
                <w:kern w:val="2"/>
                <w:lang w:eastAsia="en-AU"/>
                <w14:ligatures w14:val="standardContextual"/>
              </w:rPr>
            </w:pPr>
            <w:r w:rsidRPr="00122196">
              <w:rPr>
                <w:rFonts w:ascii="Calibri" w:eastAsia="Times New Roman" w:hAnsi="Calibri" w:cs="Calibri"/>
                <w:b/>
                <w:bCs/>
                <w:color w:val="000000"/>
                <w:kern w:val="2"/>
                <w:lang w:eastAsia="en-AU"/>
                <w14:ligatures w14:val="standardContextual"/>
              </w:rPr>
              <w:t> </w:t>
            </w:r>
          </w:p>
        </w:tc>
        <w:tc>
          <w:tcPr>
            <w:tcW w:w="2378" w:type="dxa"/>
            <w:vAlign w:val="center"/>
            <w:hideMark/>
          </w:tcPr>
          <w:p w14:paraId="35C700E5" w14:textId="3AF7F16C" w:rsidR="003225CB" w:rsidRPr="00122196" w:rsidRDefault="003225CB">
            <w:pPr>
              <w:spacing w:after="0" w:line="240" w:lineRule="auto"/>
              <w:jc w:val="center"/>
              <w:rPr>
                <w:rFonts w:ascii="Calibri" w:eastAsia="Times New Roman" w:hAnsi="Calibri" w:cs="Calibri"/>
                <w:b/>
                <w:bCs/>
                <w:color w:val="000000"/>
                <w:kern w:val="2"/>
                <w:lang w:eastAsia="en-AU"/>
                <w14:ligatures w14:val="standardContextual"/>
              </w:rPr>
            </w:pPr>
            <w:r w:rsidRPr="7A5FE0D9">
              <w:rPr>
                <w:rFonts w:ascii="Calibri" w:eastAsia="Times New Roman" w:hAnsi="Calibri" w:cs="Calibri"/>
                <w:b/>
                <w:color w:val="000000" w:themeColor="text1"/>
                <w:lang w:eastAsia="en-AU"/>
              </w:rPr>
              <w:t>$9,559</w:t>
            </w:r>
          </w:p>
        </w:tc>
      </w:tr>
    </w:tbl>
    <w:p w14:paraId="18C3BFEB" w14:textId="648F6BF0" w:rsidR="00CE3398" w:rsidRDefault="00CE3398" w:rsidP="003225CB">
      <w:pPr>
        <w:spacing w:before="120"/>
        <w:rPr>
          <w:rFonts w:ascii="Calibri" w:eastAsia="Calibri" w:hAnsi="Calibri" w:cs="Arial"/>
          <w:b/>
          <w:bCs/>
          <w:color w:val="262626"/>
        </w:rPr>
      </w:pPr>
      <w:r>
        <w:rPr>
          <w:rFonts w:ascii="Calibri" w:eastAsia="Calibri" w:hAnsi="Calibri" w:cs="Arial"/>
          <w:b/>
          <w:bCs/>
          <w:color w:val="262626"/>
        </w:rPr>
        <w:t xml:space="preserve">* Note: </w:t>
      </w:r>
      <w:r w:rsidR="001516C2">
        <w:rPr>
          <w:rFonts w:ascii="Calibri" w:eastAsia="Calibri" w:hAnsi="Calibri" w:cs="Arial"/>
          <w:b/>
          <w:bCs/>
          <w:color w:val="262626"/>
        </w:rPr>
        <w:t>Limited scope technical review audits are not anticipated to be required for REGO participants</w:t>
      </w:r>
    </w:p>
    <w:p w14:paraId="1DA11CCD" w14:textId="66C9ED49" w:rsidR="003225CB" w:rsidRPr="00122196" w:rsidRDefault="003225CB" w:rsidP="003225CB">
      <w:pPr>
        <w:spacing w:before="120"/>
        <w:rPr>
          <w:rFonts w:ascii="Calibri" w:eastAsia="Calibri" w:hAnsi="Calibri" w:cs="Arial"/>
          <w:color w:val="262626"/>
        </w:rPr>
      </w:pPr>
      <w:r w:rsidRPr="00E76953">
        <w:rPr>
          <w:rFonts w:ascii="Calibri" w:eastAsia="Calibri" w:hAnsi="Calibri" w:cs="Arial"/>
          <w:b/>
          <w:bCs/>
          <w:color w:val="262626"/>
        </w:rPr>
        <w:t xml:space="preserve">Table </w:t>
      </w:r>
      <w:r w:rsidR="00BE3084">
        <w:rPr>
          <w:rFonts w:ascii="Calibri" w:eastAsia="Calibri" w:hAnsi="Calibri" w:cs="Arial"/>
          <w:b/>
          <w:bCs/>
          <w:color w:val="262626"/>
        </w:rPr>
        <w:t>1</w:t>
      </w:r>
      <w:r w:rsidR="00676E0C">
        <w:rPr>
          <w:rFonts w:ascii="Calibri" w:eastAsia="Calibri" w:hAnsi="Calibri" w:cs="Arial"/>
          <w:b/>
          <w:bCs/>
          <w:color w:val="262626"/>
        </w:rPr>
        <w:t>4</w:t>
      </w:r>
      <w:r w:rsidRPr="00122196">
        <w:rPr>
          <w:rFonts w:ascii="Calibri" w:eastAsia="Calibri" w:hAnsi="Calibri" w:cs="Arial"/>
          <w:color w:val="262626"/>
        </w:rPr>
        <w:t xml:space="preserve"> incorporate</w:t>
      </w:r>
      <w:r w:rsidR="00B71EDB">
        <w:rPr>
          <w:rFonts w:ascii="Calibri" w:eastAsia="Calibri" w:hAnsi="Calibri" w:cs="Arial"/>
          <w:color w:val="262626"/>
        </w:rPr>
        <w:t>s</w:t>
      </w:r>
      <w:r w:rsidRPr="00122196">
        <w:rPr>
          <w:rFonts w:ascii="Calibri" w:eastAsia="Calibri" w:hAnsi="Calibri" w:cs="Arial"/>
          <w:color w:val="262626"/>
        </w:rPr>
        <w:t xml:space="preserve"> the total cost estimates per </w:t>
      </w:r>
      <w:r w:rsidR="008E39F9">
        <w:rPr>
          <w:rFonts w:ascii="Calibri" w:eastAsia="Calibri" w:hAnsi="Calibri" w:cs="Arial"/>
          <w:color w:val="262626"/>
        </w:rPr>
        <w:t xml:space="preserve">GO and REGO </w:t>
      </w:r>
      <w:r w:rsidRPr="00122196">
        <w:rPr>
          <w:rFonts w:ascii="Calibri" w:eastAsia="Calibri" w:hAnsi="Calibri" w:cs="Arial"/>
          <w:color w:val="262626"/>
        </w:rPr>
        <w:t xml:space="preserve">producer for each year of participation with the scheme over a 10-year duration in line with the RBMF. While initial burden is estimated to be quite high, option 3 becomes less burdensome over time and yields long-term efficiencies to participants. This reduction in burden in the long-term is explored in further detail in Table </w:t>
      </w:r>
      <w:r w:rsidR="00ED3281">
        <w:rPr>
          <w:rFonts w:ascii="Calibri" w:eastAsia="Calibri" w:hAnsi="Calibri" w:cs="Arial"/>
          <w:color w:val="262626"/>
        </w:rPr>
        <w:t>10</w:t>
      </w:r>
      <w:r w:rsidRPr="00122196">
        <w:rPr>
          <w:rFonts w:ascii="Calibri" w:eastAsia="Calibri" w:hAnsi="Calibri" w:cs="Arial"/>
          <w:color w:val="262626"/>
        </w:rPr>
        <w:t xml:space="preserve"> where these costs are compared to those estimated under option 2.</w:t>
      </w:r>
    </w:p>
    <w:p w14:paraId="48DA957A" w14:textId="77777777" w:rsidR="003225CB" w:rsidRPr="00122196" w:rsidRDefault="003225CB" w:rsidP="003225CB">
      <w:pPr>
        <w:spacing w:after="0"/>
        <w:rPr>
          <w:rFonts w:ascii="Calibri" w:eastAsia="Calibri" w:hAnsi="Calibri" w:cs="Arial"/>
          <w:color w:val="262626"/>
        </w:rPr>
        <w:sectPr w:rsidR="003225CB" w:rsidRPr="00122196" w:rsidSect="00A55510">
          <w:pgSz w:w="16838" w:h="11906" w:orient="landscape"/>
          <w:pgMar w:top="851" w:right="1440" w:bottom="1021" w:left="851" w:header="709" w:footer="335" w:gutter="0"/>
          <w:cols w:space="720"/>
        </w:sectPr>
      </w:pPr>
    </w:p>
    <w:tbl>
      <w:tblPr>
        <w:tblpPr w:leftFromText="180" w:rightFromText="180" w:vertAnchor="text" w:horzAnchor="margin" w:tblpY="538"/>
        <w:tblW w:w="6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2218"/>
        <w:gridCol w:w="2218"/>
      </w:tblGrid>
      <w:tr w:rsidR="004941DE" w:rsidRPr="00122196" w14:paraId="450EDBDA" w14:textId="77777777" w:rsidTr="00467C0D">
        <w:trPr>
          <w:trHeight w:val="246"/>
        </w:trPr>
        <w:tc>
          <w:tcPr>
            <w:tcW w:w="2217" w:type="dxa"/>
            <w:shd w:val="clear" w:color="auto" w:fill="D1D1D1" w:themeFill="background2"/>
            <w:noWrap/>
            <w:vAlign w:val="center"/>
            <w:hideMark/>
          </w:tcPr>
          <w:p w14:paraId="326C9A66" w14:textId="77777777" w:rsidR="004941DE" w:rsidRPr="00122196" w:rsidRDefault="004941DE" w:rsidP="00EF22DA">
            <w:pPr>
              <w:spacing w:after="0" w:line="240" w:lineRule="auto"/>
              <w:jc w:val="center"/>
              <w:rPr>
                <w:rFonts w:ascii="Calibri" w:eastAsia="Times New Roman" w:hAnsi="Calibri" w:cs="Calibri"/>
                <w:b/>
                <w:bCs/>
                <w:color w:val="auto"/>
                <w:kern w:val="2"/>
                <w:lang w:eastAsia="en-AU"/>
                <w14:ligatures w14:val="standardContextual"/>
              </w:rPr>
            </w:pPr>
            <w:r>
              <w:rPr>
                <w:rFonts w:ascii="Calibri" w:eastAsia="Times New Roman" w:hAnsi="Calibri" w:cs="Calibri"/>
                <w:b/>
                <w:bCs/>
                <w:color w:val="auto"/>
                <w:kern w:val="2"/>
                <w:lang w:eastAsia="en-AU"/>
                <w14:ligatures w14:val="standardContextual"/>
              </w:rPr>
              <w:t>Y</w:t>
            </w:r>
            <w:r w:rsidRPr="00122196">
              <w:rPr>
                <w:rFonts w:ascii="Calibri" w:eastAsia="Times New Roman" w:hAnsi="Calibri" w:cs="Calibri"/>
                <w:b/>
                <w:bCs/>
                <w:color w:val="auto"/>
                <w:kern w:val="2"/>
                <w:lang w:eastAsia="en-AU"/>
                <w14:ligatures w14:val="standardContextual"/>
              </w:rPr>
              <w:t>ear of participation</w:t>
            </w:r>
          </w:p>
        </w:tc>
        <w:tc>
          <w:tcPr>
            <w:tcW w:w="2218" w:type="dxa"/>
            <w:shd w:val="clear" w:color="auto" w:fill="D1D1D1" w:themeFill="background2"/>
            <w:noWrap/>
            <w:vAlign w:val="center"/>
            <w:hideMark/>
          </w:tcPr>
          <w:p w14:paraId="0B6C0038" w14:textId="77777777" w:rsidR="004941DE" w:rsidRPr="00122196" w:rsidRDefault="004941DE" w:rsidP="00EF22DA">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Cost per GO producer</w:t>
            </w:r>
          </w:p>
        </w:tc>
        <w:tc>
          <w:tcPr>
            <w:tcW w:w="2218" w:type="dxa"/>
            <w:shd w:val="clear" w:color="auto" w:fill="D1D1D1" w:themeFill="background2"/>
            <w:noWrap/>
            <w:vAlign w:val="center"/>
            <w:hideMark/>
          </w:tcPr>
          <w:p w14:paraId="49510A8F" w14:textId="77777777" w:rsidR="004941DE" w:rsidRPr="00122196" w:rsidRDefault="004941DE" w:rsidP="00EF22DA">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Cost per REGO producer</w:t>
            </w:r>
          </w:p>
        </w:tc>
      </w:tr>
      <w:tr w:rsidR="004941DE" w:rsidRPr="00122196" w14:paraId="3EF4F7FB" w14:textId="77777777" w:rsidTr="00467C0D">
        <w:trPr>
          <w:trHeight w:val="246"/>
        </w:trPr>
        <w:tc>
          <w:tcPr>
            <w:tcW w:w="2217" w:type="dxa"/>
            <w:shd w:val="clear" w:color="auto" w:fill="F2F2F2" w:themeFill="background1" w:themeFillShade="F2"/>
            <w:noWrap/>
            <w:vAlign w:val="center"/>
            <w:hideMark/>
          </w:tcPr>
          <w:p w14:paraId="6615141B"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Initial year</w:t>
            </w:r>
          </w:p>
        </w:tc>
        <w:tc>
          <w:tcPr>
            <w:tcW w:w="2218" w:type="dxa"/>
            <w:noWrap/>
            <w:hideMark/>
          </w:tcPr>
          <w:p w14:paraId="51B14ED0"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Calibri" w:hAnsi="Calibri" w:cs="Arial"/>
                <w:color w:val="262626"/>
                <w:kern w:val="2"/>
                <w14:ligatures w14:val="standardContextual"/>
              </w:rPr>
              <w:t>$56,260</w:t>
            </w:r>
          </w:p>
        </w:tc>
        <w:tc>
          <w:tcPr>
            <w:tcW w:w="2218" w:type="dxa"/>
            <w:vAlign w:val="bottom"/>
            <w:hideMark/>
          </w:tcPr>
          <w:p w14:paraId="1A2956D5"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$7,704</w:t>
            </w:r>
          </w:p>
        </w:tc>
      </w:tr>
      <w:tr w:rsidR="004941DE" w:rsidRPr="00122196" w14:paraId="7B694610" w14:textId="77777777" w:rsidTr="00467C0D">
        <w:trPr>
          <w:trHeight w:val="246"/>
        </w:trPr>
        <w:tc>
          <w:tcPr>
            <w:tcW w:w="2217" w:type="dxa"/>
            <w:shd w:val="clear" w:color="auto" w:fill="F2F2F2" w:themeFill="background1" w:themeFillShade="F2"/>
            <w:noWrap/>
            <w:vAlign w:val="center"/>
            <w:hideMark/>
          </w:tcPr>
          <w:p w14:paraId="56DA206A"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2</w:t>
            </w:r>
          </w:p>
        </w:tc>
        <w:tc>
          <w:tcPr>
            <w:tcW w:w="2218" w:type="dxa"/>
            <w:noWrap/>
            <w:hideMark/>
          </w:tcPr>
          <w:p w14:paraId="091A603F"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53EB0D4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60E264F8" w14:textId="77777777" w:rsidTr="00467C0D">
        <w:trPr>
          <w:trHeight w:val="246"/>
        </w:trPr>
        <w:tc>
          <w:tcPr>
            <w:tcW w:w="2217" w:type="dxa"/>
            <w:shd w:val="clear" w:color="auto" w:fill="F2F2F2" w:themeFill="background1" w:themeFillShade="F2"/>
            <w:noWrap/>
            <w:vAlign w:val="center"/>
            <w:hideMark/>
          </w:tcPr>
          <w:p w14:paraId="10B1DBE3"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3</w:t>
            </w:r>
          </w:p>
        </w:tc>
        <w:tc>
          <w:tcPr>
            <w:tcW w:w="2218" w:type="dxa"/>
            <w:noWrap/>
            <w:hideMark/>
          </w:tcPr>
          <w:p w14:paraId="124D418D"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38D86689"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0861BAAA" w14:textId="77777777" w:rsidTr="00467C0D">
        <w:trPr>
          <w:trHeight w:val="246"/>
        </w:trPr>
        <w:tc>
          <w:tcPr>
            <w:tcW w:w="2217" w:type="dxa"/>
            <w:shd w:val="clear" w:color="auto" w:fill="F2F2F2" w:themeFill="background1" w:themeFillShade="F2"/>
            <w:noWrap/>
            <w:vAlign w:val="center"/>
            <w:hideMark/>
          </w:tcPr>
          <w:p w14:paraId="684857B5"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4</w:t>
            </w:r>
          </w:p>
        </w:tc>
        <w:tc>
          <w:tcPr>
            <w:tcW w:w="2218" w:type="dxa"/>
            <w:noWrap/>
            <w:hideMark/>
          </w:tcPr>
          <w:p w14:paraId="3A599DE2"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1B0ACCDB"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18531E3F" w14:textId="77777777" w:rsidTr="00467C0D">
        <w:trPr>
          <w:trHeight w:val="246"/>
        </w:trPr>
        <w:tc>
          <w:tcPr>
            <w:tcW w:w="2217" w:type="dxa"/>
            <w:shd w:val="clear" w:color="auto" w:fill="F2F2F2" w:themeFill="background1" w:themeFillShade="F2"/>
            <w:noWrap/>
            <w:vAlign w:val="center"/>
            <w:hideMark/>
          </w:tcPr>
          <w:p w14:paraId="2842BBB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5</w:t>
            </w:r>
          </w:p>
        </w:tc>
        <w:tc>
          <w:tcPr>
            <w:tcW w:w="2218" w:type="dxa"/>
            <w:noWrap/>
            <w:hideMark/>
          </w:tcPr>
          <w:p w14:paraId="2328188D"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54428E1F"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328CA1F1" w14:textId="77777777" w:rsidTr="00467C0D">
        <w:trPr>
          <w:trHeight w:val="246"/>
        </w:trPr>
        <w:tc>
          <w:tcPr>
            <w:tcW w:w="2217" w:type="dxa"/>
            <w:shd w:val="clear" w:color="auto" w:fill="F2F2F2" w:themeFill="background1" w:themeFillShade="F2"/>
            <w:noWrap/>
            <w:vAlign w:val="center"/>
            <w:hideMark/>
          </w:tcPr>
          <w:p w14:paraId="47BC085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6</w:t>
            </w:r>
          </w:p>
        </w:tc>
        <w:tc>
          <w:tcPr>
            <w:tcW w:w="2218" w:type="dxa"/>
            <w:noWrap/>
            <w:hideMark/>
          </w:tcPr>
          <w:p w14:paraId="1398C6F4"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Calibri" w:hAnsi="Calibri" w:cs="Arial"/>
                <w:color w:val="262626"/>
                <w:kern w:val="2"/>
                <w14:ligatures w14:val="standardContextual"/>
              </w:rPr>
              <w:t>$25,355</w:t>
            </w:r>
          </w:p>
        </w:tc>
        <w:tc>
          <w:tcPr>
            <w:tcW w:w="2218" w:type="dxa"/>
            <w:vAlign w:val="bottom"/>
            <w:hideMark/>
          </w:tcPr>
          <w:p w14:paraId="67152DD8"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6C687D1C" w14:textId="77777777" w:rsidTr="00467C0D">
        <w:trPr>
          <w:trHeight w:val="246"/>
        </w:trPr>
        <w:tc>
          <w:tcPr>
            <w:tcW w:w="2217" w:type="dxa"/>
            <w:shd w:val="clear" w:color="auto" w:fill="F2F2F2" w:themeFill="background1" w:themeFillShade="F2"/>
            <w:noWrap/>
            <w:vAlign w:val="center"/>
            <w:hideMark/>
          </w:tcPr>
          <w:p w14:paraId="582D78A9"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7</w:t>
            </w:r>
          </w:p>
        </w:tc>
        <w:tc>
          <w:tcPr>
            <w:tcW w:w="2218" w:type="dxa"/>
            <w:noWrap/>
            <w:hideMark/>
          </w:tcPr>
          <w:p w14:paraId="637ACAA0"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78BC572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7AA8B043" w14:textId="77777777" w:rsidTr="00467C0D">
        <w:trPr>
          <w:trHeight w:val="246"/>
        </w:trPr>
        <w:tc>
          <w:tcPr>
            <w:tcW w:w="2217" w:type="dxa"/>
            <w:shd w:val="clear" w:color="auto" w:fill="F2F2F2" w:themeFill="background1" w:themeFillShade="F2"/>
            <w:noWrap/>
            <w:vAlign w:val="center"/>
            <w:hideMark/>
          </w:tcPr>
          <w:p w14:paraId="7F948471"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8</w:t>
            </w:r>
          </w:p>
        </w:tc>
        <w:tc>
          <w:tcPr>
            <w:tcW w:w="2218" w:type="dxa"/>
            <w:noWrap/>
            <w:hideMark/>
          </w:tcPr>
          <w:p w14:paraId="7FA9EB31"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34B0B8A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4E72B43E" w14:textId="77777777" w:rsidTr="00467C0D">
        <w:trPr>
          <w:trHeight w:val="246"/>
        </w:trPr>
        <w:tc>
          <w:tcPr>
            <w:tcW w:w="2217" w:type="dxa"/>
            <w:shd w:val="clear" w:color="auto" w:fill="F2F2F2" w:themeFill="background1" w:themeFillShade="F2"/>
            <w:noWrap/>
            <w:vAlign w:val="center"/>
            <w:hideMark/>
          </w:tcPr>
          <w:p w14:paraId="347EF320"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9</w:t>
            </w:r>
          </w:p>
        </w:tc>
        <w:tc>
          <w:tcPr>
            <w:tcW w:w="2218" w:type="dxa"/>
            <w:noWrap/>
            <w:hideMark/>
          </w:tcPr>
          <w:p w14:paraId="0541E4FA"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4BF9EFD6"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4941DE" w:rsidRPr="00122196" w14:paraId="591BC06B" w14:textId="77777777" w:rsidTr="00467C0D">
        <w:trPr>
          <w:trHeight w:val="246"/>
        </w:trPr>
        <w:tc>
          <w:tcPr>
            <w:tcW w:w="2217" w:type="dxa"/>
            <w:shd w:val="clear" w:color="auto" w:fill="F2F2F2" w:themeFill="background1" w:themeFillShade="F2"/>
            <w:noWrap/>
            <w:vAlign w:val="center"/>
            <w:hideMark/>
          </w:tcPr>
          <w:p w14:paraId="21797DA6"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10</w:t>
            </w:r>
          </w:p>
        </w:tc>
        <w:tc>
          <w:tcPr>
            <w:tcW w:w="2218" w:type="dxa"/>
            <w:noWrap/>
            <w:hideMark/>
          </w:tcPr>
          <w:p w14:paraId="4CD61BF3" w14:textId="77777777" w:rsidR="004941DE" w:rsidRPr="00122196" w:rsidRDefault="004941DE" w:rsidP="00EF22DA">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Calibri" w:hAnsi="Calibri" w:cs="Arial"/>
                <w:color w:val="262626"/>
                <w:kern w:val="2"/>
                <w14:ligatures w14:val="standardContextual"/>
              </w:rPr>
              <w:t>$10,252</w:t>
            </w:r>
          </w:p>
        </w:tc>
        <w:tc>
          <w:tcPr>
            <w:tcW w:w="2218" w:type="dxa"/>
            <w:vAlign w:val="bottom"/>
            <w:hideMark/>
          </w:tcPr>
          <w:p w14:paraId="4CFB2087" w14:textId="77777777" w:rsidR="004941DE" w:rsidRPr="00122196" w:rsidRDefault="004941DE" w:rsidP="00EF22DA">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000000"/>
              </w:rPr>
              <w:t>$5,952</w:t>
            </w:r>
          </w:p>
        </w:tc>
      </w:tr>
      <w:tr w:rsidR="008C5F42" w:rsidRPr="002D7E76" w14:paraId="3FBB782E" w14:textId="77777777" w:rsidTr="00467C0D">
        <w:trPr>
          <w:trHeight w:val="246"/>
        </w:trPr>
        <w:tc>
          <w:tcPr>
            <w:tcW w:w="2217" w:type="dxa"/>
            <w:shd w:val="clear" w:color="auto" w:fill="F2F2F2" w:themeFill="background1" w:themeFillShade="F2"/>
            <w:noWrap/>
            <w:vAlign w:val="center"/>
            <w:hideMark/>
          </w:tcPr>
          <w:p w14:paraId="18B1BFDC" w14:textId="77777777" w:rsidR="004941DE" w:rsidRPr="00E76953"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E76953">
              <w:rPr>
                <w:rFonts w:ascii="Calibri" w:eastAsia="Times New Roman" w:hAnsi="Calibri" w:cs="Calibri"/>
                <w:color w:val="auto"/>
                <w:kern w:val="2"/>
                <w:lang w:eastAsia="en-AU"/>
                <w14:ligatures w14:val="standardContextual"/>
              </w:rPr>
              <w:t>Total</w:t>
            </w:r>
          </w:p>
        </w:tc>
        <w:tc>
          <w:tcPr>
            <w:tcW w:w="2218" w:type="dxa"/>
            <w:noWrap/>
            <w:hideMark/>
          </w:tcPr>
          <w:p w14:paraId="761A1F7A" w14:textId="77777777" w:rsidR="004941DE" w:rsidRPr="00E76953"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E76953">
              <w:rPr>
                <w:rFonts w:ascii="Calibri" w:eastAsia="Calibri" w:hAnsi="Calibri" w:cs="Arial"/>
                <w:color w:val="262626"/>
                <w:kern w:val="2"/>
                <w14:ligatures w14:val="standardContextual"/>
              </w:rPr>
              <w:t>$163,634</w:t>
            </w:r>
            <w:r w:rsidRPr="00E76953" w:rsidDel="00882E51">
              <w:rPr>
                <w:rFonts w:ascii="Calibri" w:eastAsia="Calibri" w:hAnsi="Calibri" w:cs="Arial"/>
                <w:color w:val="262626"/>
                <w:kern w:val="2"/>
                <w14:ligatures w14:val="standardContextual"/>
              </w:rPr>
              <w:t xml:space="preserve"> </w:t>
            </w:r>
          </w:p>
        </w:tc>
        <w:tc>
          <w:tcPr>
            <w:tcW w:w="2218" w:type="dxa"/>
            <w:hideMark/>
          </w:tcPr>
          <w:p w14:paraId="6336933D" w14:textId="77777777" w:rsidR="004941DE" w:rsidRPr="00E76953" w:rsidRDefault="004941DE" w:rsidP="00EF22DA">
            <w:pPr>
              <w:spacing w:after="0" w:line="240" w:lineRule="auto"/>
              <w:jc w:val="center"/>
              <w:rPr>
                <w:rFonts w:ascii="Calibri" w:eastAsia="Times New Roman" w:hAnsi="Calibri" w:cs="Calibri"/>
                <w:color w:val="auto"/>
                <w:kern w:val="2"/>
                <w:lang w:eastAsia="en-AU"/>
                <w14:ligatures w14:val="standardContextual"/>
              </w:rPr>
            </w:pPr>
            <w:r w:rsidRPr="00E76953">
              <w:rPr>
                <w:rFonts w:ascii="Calibri" w:eastAsia="Calibri" w:hAnsi="Calibri" w:cs="Arial"/>
                <w:color w:val="262626"/>
                <w:kern w:val="2"/>
                <w14:ligatures w14:val="standardContextual"/>
              </w:rPr>
              <w:t>$61,275</w:t>
            </w:r>
          </w:p>
        </w:tc>
      </w:tr>
      <w:tr w:rsidR="008C5F42" w:rsidRPr="00122196" w14:paraId="4ECC2229" w14:textId="77777777" w:rsidTr="00467C0D">
        <w:trPr>
          <w:trHeight w:val="246"/>
        </w:trPr>
        <w:tc>
          <w:tcPr>
            <w:tcW w:w="2217" w:type="dxa"/>
            <w:shd w:val="clear" w:color="auto" w:fill="F2F2F2" w:themeFill="background1" w:themeFillShade="F2"/>
            <w:noWrap/>
            <w:vAlign w:val="center"/>
            <w:hideMark/>
          </w:tcPr>
          <w:p w14:paraId="15FE6191" w14:textId="77777777" w:rsidR="004941DE" w:rsidRPr="00122196" w:rsidRDefault="004941DE" w:rsidP="00EF22DA">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Annual average</w:t>
            </w:r>
          </w:p>
        </w:tc>
        <w:tc>
          <w:tcPr>
            <w:tcW w:w="2218" w:type="dxa"/>
            <w:noWrap/>
            <w:hideMark/>
          </w:tcPr>
          <w:p w14:paraId="5AF1BDE2" w14:textId="77777777" w:rsidR="004941DE" w:rsidRPr="00122196" w:rsidRDefault="004941DE" w:rsidP="00EF22DA">
            <w:pPr>
              <w:spacing w:after="0" w:line="240" w:lineRule="auto"/>
              <w:jc w:val="center"/>
              <w:rPr>
                <w:rFonts w:ascii="Calibri" w:eastAsia="Calibri" w:hAnsi="Calibri" w:cs="Arial"/>
                <w:b/>
                <w:bCs/>
                <w:color w:val="262626"/>
                <w:kern w:val="2"/>
                <w14:ligatures w14:val="standardContextual"/>
              </w:rPr>
            </w:pPr>
            <w:r>
              <w:rPr>
                <w:rFonts w:ascii="Calibri" w:eastAsia="Calibri" w:hAnsi="Calibri" w:cs="Arial"/>
                <w:b/>
                <w:bCs/>
                <w:color w:val="262626"/>
                <w:kern w:val="2"/>
                <w14:ligatures w14:val="standardContextual"/>
              </w:rPr>
              <w:t>$16,363</w:t>
            </w:r>
          </w:p>
        </w:tc>
        <w:tc>
          <w:tcPr>
            <w:tcW w:w="2218" w:type="dxa"/>
            <w:hideMark/>
          </w:tcPr>
          <w:p w14:paraId="070E6883" w14:textId="77777777" w:rsidR="004941DE" w:rsidRPr="00122196" w:rsidRDefault="004941DE" w:rsidP="00EF22DA">
            <w:pPr>
              <w:spacing w:after="0" w:line="240" w:lineRule="auto"/>
              <w:jc w:val="center"/>
              <w:rPr>
                <w:rFonts w:ascii="Calibri" w:eastAsia="Calibri" w:hAnsi="Calibri" w:cs="Arial"/>
                <w:b/>
                <w:bCs/>
                <w:color w:val="262626"/>
                <w:kern w:val="2"/>
                <w14:ligatures w14:val="standardContextual"/>
              </w:rPr>
            </w:pPr>
            <w:r>
              <w:rPr>
                <w:rFonts w:ascii="Calibri" w:eastAsia="Calibri" w:hAnsi="Calibri" w:cs="Arial"/>
                <w:b/>
                <w:bCs/>
                <w:color w:val="262626"/>
                <w:kern w:val="2"/>
                <w14:ligatures w14:val="standardContextual"/>
              </w:rPr>
              <w:t>$6,128</w:t>
            </w:r>
          </w:p>
        </w:tc>
      </w:tr>
    </w:tbl>
    <w:p w14:paraId="4314DADD" w14:textId="7D20871D" w:rsidR="003225CB" w:rsidRDefault="00BE3084" w:rsidP="00E76953">
      <w:pPr>
        <w:pStyle w:val="Caption"/>
      </w:pPr>
      <w:r>
        <w:t xml:space="preserve">Table </w:t>
      </w:r>
      <w:r w:rsidR="0008195B">
        <w:t>1</w:t>
      </w:r>
      <w:r w:rsidR="0008195B">
        <w:rPr>
          <w:noProof/>
        </w:rPr>
        <w:t>4</w:t>
      </w:r>
      <w:r w:rsidR="0008195B">
        <w:t xml:space="preserve">: </w:t>
      </w:r>
      <w:r w:rsidRPr="002E5C97">
        <w:t>10-year costs PGO and REGO</w:t>
      </w:r>
    </w:p>
    <w:p w14:paraId="064FE37F" w14:textId="77777777" w:rsidR="004941DE" w:rsidRDefault="004941DE" w:rsidP="004941DE"/>
    <w:p w14:paraId="771F69D1" w14:textId="77777777" w:rsidR="004941DE" w:rsidRDefault="004941DE" w:rsidP="004941DE"/>
    <w:p w14:paraId="1CEDA5AB" w14:textId="77777777" w:rsidR="004941DE" w:rsidRDefault="004941DE" w:rsidP="004941DE"/>
    <w:p w14:paraId="6492FCF7" w14:textId="5610A74D" w:rsidR="004941DE" w:rsidRPr="004941DE" w:rsidRDefault="004941DE" w:rsidP="004941DE">
      <w:pPr>
        <w:sectPr w:rsidR="004941DE" w:rsidRPr="004941DE" w:rsidSect="0004173E">
          <w:type w:val="continuous"/>
          <w:pgSz w:w="16838" w:h="11906" w:orient="landscape"/>
          <w:pgMar w:top="851" w:right="1387" w:bottom="1440" w:left="851" w:header="708" w:footer="708" w:gutter="0"/>
          <w:cols w:num="2" w:space="708"/>
        </w:sectPr>
      </w:pPr>
    </w:p>
    <w:p w14:paraId="75FF8909" w14:textId="42D126DA" w:rsidR="003225CB" w:rsidRDefault="0008195B" w:rsidP="003225CB">
      <w:pPr>
        <w:spacing w:before="120" w:after="0" w:line="240" w:lineRule="auto"/>
        <w:rPr>
          <w:rFonts w:ascii="Calibri" w:eastAsia="Calibri" w:hAnsi="Calibri" w:cs="Arial"/>
          <w:color w:val="262626"/>
        </w:rPr>
      </w:pPr>
      <w:r>
        <w:rPr>
          <w:rFonts w:ascii="Calibri" w:eastAsia="Calibri" w:hAnsi="Calibri" w:cs="Arial"/>
          <w:b/>
          <w:bCs/>
          <w:color w:val="262626"/>
        </w:rPr>
        <w:lastRenderedPageBreak/>
        <w:t>Table 15</w:t>
      </w:r>
      <w:r w:rsidR="003225CB" w:rsidRPr="00122196">
        <w:rPr>
          <w:rFonts w:ascii="Calibri" w:eastAsia="Calibri" w:hAnsi="Calibri" w:cs="Arial"/>
          <w:b/>
          <w:bCs/>
          <w:color w:val="262626"/>
        </w:rPr>
        <w:t xml:space="preserve"> </w:t>
      </w:r>
      <w:r w:rsidR="003B767B">
        <w:rPr>
          <w:rFonts w:ascii="Calibri" w:eastAsia="Calibri" w:hAnsi="Calibri" w:cs="Arial"/>
          <w:color w:val="262626"/>
        </w:rPr>
        <w:t>estimate</w:t>
      </w:r>
      <w:r w:rsidR="003225CB" w:rsidRPr="00122196">
        <w:rPr>
          <w:rFonts w:ascii="Calibri" w:eastAsia="Calibri" w:hAnsi="Calibri" w:cs="Arial"/>
          <w:color w:val="262626"/>
        </w:rPr>
        <w:t xml:space="preserve">s </w:t>
      </w:r>
      <w:r w:rsidR="00CF6607">
        <w:rPr>
          <w:rFonts w:ascii="Calibri" w:eastAsia="Calibri" w:hAnsi="Calibri" w:cs="Arial"/>
          <w:color w:val="262626"/>
        </w:rPr>
        <w:t>future participant numbers and</w:t>
      </w:r>
      <w:r w:rsidR="003225CB" w:rsidRPr="00122196">
        <w:rPr>
          <w:rFonts w:ascii="Calibri" w:eastAsia="Calibri" w:hAnsi="Calibri" w:cs="Arial"/>
          <w:color w:val="262626"/>
        </w:rPr>
        <w:t xml:space="preserve"> total regulatory cost to the </w:t>
      </w:r>
      <w:r w:rsidR="00A80A93">
        <w:rPr>
          <w:rFonts w:ascii="Calibri" w:eastAsia="Calibri" w:hAnsi="Calibri" w:cs="Arial"/>
          <w:color w:val="262626"/>
        </w:rPr>
        <w:t>h</w:t>
      </w:r>
      <w:r w:rsidR="009C64B5">
        <w:rPr>
          <w:rFonts w:ascii="Calibri" w:eastAsia="Calibri" w:hAnsi="Calibri" w:cs="Arial"/>
          <w:color w:val="262626"/>
        </w:rPr>
        <w:t>ydrogen</w:t>
      </w:r>
      <w:r w:rsidR="00A80A93">
        <w:rPr>
          <w:rFonts w:ascii="Calibri" w:eastAsia="Calibri" w:hAnsi="Calibri" w:cs="Arial"/>
          <w:color w:val="262626"/>
        </w:rPr>
        <w:t xml:space="preserve"> </w:t>
      </w:r>
      <w:r w:rsidR="003225CB" w:rsidRPr="00122196">
        <w:rPr>
          <w:rFonts w:ascii="Calibri" w:eastAsia="Calibri" w:hAnsi="Calibri" w:cs="Arial"/>
          <w:color w:val="262626"/>
        </w:rPr>
        <w:t>sector to comply with the scheme</w:t>
      </w:r>
      <w:r w:rsidR="00B438FD">
        <w:rPr>
          <w:rFonts w:ascii="Calibri" w:eastAsia="Calibri" w:hAnsi="Calibri" w:cs="Arial"/>
          <w:color w:val="262626"/>
        </w:rPr>
        <w:t xml:space="preserve"> over a 10</w:t>
      </w:r>
      <w:r w:rsidR="006A597B">
        <w:rPr>
          <w:rFonts w:ascii="Calibri" w:eastAsia="Calibri" w:hAnsi="Calibri" w:cs="Arial"/>
          <w:color w:val="262626"/>
        </w:rPr>
        <w:t>-</w:t>
      </w:r>
      <w:r w:rsidR="00B438FD">
        <w:rPr>
          <w:rFonts w:ascii="Calibri" w:eastAsia="Calibri" w:hAnsi="Calibri" w:cs="Arial"/>
          <w:color w:val="262626"/>
        </w:rPr>
        <w:t>year period</w:t>
      </w:r>
      <w:r w:rsidR="003225CB" w:rsidRPr="00122196">
        <w:rPr>
          <w:rFonts w:ascii="Calibri" w:eastAsia="Calibri" w:hAnsi="Calibri" w:cs="Arial"/>
          <w:color w:val="262626"/>
        </w:rPr>
        <w:t>.</w:t>
      </w:r>
      <w:r w:rsidR="00A80A93">
        <w:rPr>
          <w:rFonts w:ascii="Calibri" w:eastAsia="Calibri" w:hAnsi="Calibri" w:cs="Arial"/>
          <w:color w:val="262626"/>
        </w:rPr>
        <w:t xml:space="preserve"> This includes </w:t>
      </w:r>
      <w:r w:rsidR="00643280">
        <w:rPr>
          <w:rFonts w:ascii="Calibri" w:eastAsia="Calibri" w:hAnsi="Calibri" w:cs="Arial"/>
          <w:color w:val="262626"/>
        </w:rPr>
        <w:t>participants producing</w:t>
      </w:r>
      <w:r w:rsidR="00A80A93">
        <w:rPr>
          <w:rFonts w:ascii="Calibri" w:eastAsia="Calibri" w:hAnsi="Calibri" w:cs="Arial"/>
          <w:color w:val="262626"/>
        </w:rPr>
        <w:t xml:space="preserve"> hydrogen derivatives </w:t>
      </w:r>
      <w:r w:rsidR="00D15306">
        <w:rPr>
          <w:rFonts w:ascii="Calibri" w:eastAsia="Calibri" w:hAnsi="Calibri" w:cs="Arial"/>
          <w:color w:val="262626"/>
        </w:rPr>
        <w:t>(</w:t>
      </w:r>
      <w:r w:rsidR="00A80A93">
        <w:rPr>
          <w:rFonts w:ascii="Calibri" w:eastAsia="Calibri" w:hAnsi="Calibri" w:cs="Arial"/>
          <w:color w:val="262626"/>
        </w:rPr>
        <w:t xml:space="preserve">such as </w:t>
      </w:r>
      <w:r w:rsidR="00D15306">
        <w:rPr>
          <w:rFonts w:ascii="Calibri" w:eastAsia="Calibri" w:hAnsi="Calibri" w:cs="Arial"/>
          <w:color w:val="262626"/>
        </w:rPr>
        <w:t>ammonia)</w:t>
      </w:r>
      <w:r w:rsidR="00BF7F8B">
        <w:rPr>
          <w:rFonts w:ascii="Calibri" w:eastAsia="Calibri" w:hAnsi="Calibri" w:cs="Arial"/>
          <w:color w:val="262626"/>
        </w:rPr>
        <w:t xml:space="preserve"> as well as </w:t>
      </w:r>
      <w:r w:rsidR="00016723">
        <w:rPr>
          <w:rFonts w:ascii="Calibri" w:eastAsia="Calibri" w:hAnsi="Calibri" w:cs="Arial"/>
          <w:color w:val="262626"/>
        </w:rPr>
        <w:t>hydrogen production methods</w:t>
      </w:r>
      <w:r w:rsidR="00D919D0">
        <w:rPr>
          <w:rFonts w:ascii="Calibri" w:eastAsia="Calibri" w:hAnsi="Calibri" w:cs="Arial"/>
          <w:color w:val="262626"/>
        </w:rPr>
        <w:t xml:space="preserve"> that will not be initially covered in the scheme but may be added</w:t>
      </w:r>
      <w:r w:rsidR="00016723">
        <w:rPr>
          <w:rFonts w:ascii="Calibri" w:eastAsia="Calibri" w:hAnsi="Calibri" w:cs="Arial"/>
          <w:color w:val="262626"/>
        </w:rPr>
        <w:t xml:space="preserve"> </w:t>
      </w:r>
      <w:r w:rsidR="004535F2">
        <w:rPr>
          <w:rFonts w:ascii="Calibri" w:eastAsia="Calibri" w:hAnsi="Calibri" w:cs="Arial"/>
          <w:color w:val="262626"/>
        </w:rPr>
        <w:t>over time.</w:t>
      </w:r>
    </w:p>
    <w:p w14:paraId="745864B2" w14:textId="3F16A3F5" w:rsidR="003E4EBF" w:rsidRDefault="003E4EBF" w:rsidP="003E4EBF">
      <w:pPr>
        <w:pStyle w:val="Caption"/>
      </w:pPr>
      <w:r>
        <w:t>Table 1</w:t>
      </w:r>
      <w:r w:rsidR="00676E0C">
        <w:t>5</w:t>
      </w:r>
      <w:r>
        <w:t>:</w:t>
      </w:r>
      <w:bookmarkStart w:id="104" w:name="_Ref166758966"/>
      <w:r w:rsidR="008D2943">
        <w:t xml:space="preserve"> </w:t>
      </w:r>
      <w:bookmarkStart w:id="105" w:name="_Hlk174611054"/>
      <w:r w:rsidR="008D2943">
        <w:t>Regulatory costs by sector</w:t>
      </w:r>
      <w:r w:rsidR="000D2C32">
        <w:t xml:space="preserve"> </w:t>
      </w:r>
      <w:r>
        <w:t>(</w:t>
      </w:r>
      <w:r w:rsidR="00E50F37">
        <w:t>h</w:t>
      </w:r>
      <w:r w:rsidRPr="006D27D7">
        <w:t xml:space="preserve">ydrogen and </w:t>
      </w:r>
      <w:r w:rsidR="00E50F37">
        <w:t xml:space="preserve">hydrogen </w:t>
      </w:r>
      <w:r w:rsidRPr="006D27D7">
        <w:t>derivatives</w:t>
      </w:r>
      <w:r>
        <w:t xml:space="preserve">) </w:t>
      </w:r>
      <w:r w:rsidRPr="00412ED7">
        <w:t xml:space="preserve">over 10 years, </w:t>
      </w:r>
      <w:r w:rsidR="009E36E3">
        <w:t>R</w:t>
      </w:r>
      <w:r w:rsidRPr="00412ED7">
        <w:t>egulatory Option</w:t>
      </w:r>
    </w:p>
    <w:tbl>
      <w:tblPr>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842"/>
        <w:gridCol w:w="1701"/>
        <w:gridCol w:w="1985"/>
      </w:tblGrid>
      <w:tr w:rsidR="003E4EBF" w:rsidRPr="00122196" w14:paraId="2CCABDC9" w14:textId="77777777" w:rsidTr="00F27FB7">
        <w:trPr>
          <w:trHeight w:val="585"/>
        </w:trPr>
        <w:tc>
          <w:tcPr>
            <w:tcW w:w="2117" w:type="dxa"/>
            <w:shd w:val="clear" w:color="auto" w:fill="D1D1D1" w:themeFill="background2"/>
            <w:noWrap/>
            <w:vAlign w:val="center"/>
            <w:hideMark/>
          </w:tcPr>
          <w:p w14:paraId="7E1BEE21" w14:textId="77777777" w:rsidR="003E4EBF" w:rsidRPr="00122196" w:rsidRDefault="003E4EBF">
            <w:pPr>
              <w:spacing w:after="0" w:line="240" w:lineRule="auto"/>
              <w:jc w:val="center"/>
              <w:rPr>
                <w:rFonts w:ascii="Calibri" w:eastAsia="Times New Roman" w:hAnsi="Calibri" w:cs="Calibri"/>
                <w:b/>
                <w:bCs/>
                <w:color w:val="auto"/>
                <w:kern w:val="2"/>
                <w:lang w:eastAsia="en-AU"/>
                <w14:ligatures w14:val="standardContextual"/>
              </w:rPr>
            </w:pPr>
            <w:r>
              <w:rPr>
                <w:rFonts w:ascii="Calibri" w:eastAsia="Times New Roman" w:hAnsi="Calibri" w:cs="Calibri"/>
                <w:b/>
                <w:bCs/>
                <w:color w:val="auto"/>
                <w:kern w:val="2"/>
                <w:lang w:eastAsia="en-AU"/>
                <w14:ligatures w14:val="standardContextual"/>
              </w:rPr>
              <w:t>Year of participation</w:t>
            </w:r>
          </w:p>
        </w:tc>
        <w:tc>
          <w:tcPr>
            <w:tcW w:w="1842" w:type="dxa"/>
            <w:shd w:val="clear" w:color="auto" w:fill="D1D1D1" w:themeFill="background2"/>
            <w:noWrap/>
            <w:vAlign w:val="center"/>
            <w:hideMark/>
          </w:tcPr>
          <w:p w14:paraId="108B76BB" w14:textId="46603E56" w:rsidR="003E4EBF" w:rsidRPr="00122196" w:rsidRDefault="00857BC3">
            <w:pPr>
              <w:spacing w:after="0" w:line="240" w:lineRule="auto"/>
              <w:jc w:val="center"/>
              <w:rPr>
                <w:rFonts w:ascii="Calibri" w:eastAsia="Times New Roman" w:hAnsi="Calibri" w:cs="Calibri"/>
                <w:b/>
                <w:bCs/>
                <w:color w:val="auto"/>
                <w:kern w:val="2"/>
                <w:lang w:eastAsia="en-AU"/>
                <w14:ligatures w14:val="standardContextual"/>
              </w:rPr>
            </w:pPr>
            <w:r>
              <w:rPr>
                <w:rFonts w:ascii="Calibri" w:eastAsia="Times New Roman" w:hAnsi="Calibri" w:cs="Calibri"/>
                <w:b/>
                <w:bCs/>
                <w:color w:val="auto"/>
                <w:kern w:val="2"/>
                <w:lang w:eastAsia="en-AU"/>
                <w14:ligatures w14:val="standardContextual"/>
              </w:rPr>
              <w:t xml:space="preserve">New </w:t>
            </w:r>
            <w:r w:rsidR="00AC2AB0">
              <w:rPr>
                <w:rFonts w:ascii="Calibri" w:eastAsia="Times New Roman" w:hAnsi="Calibri" w:cs="Calibri"/>
                <w:b/>
                <w:bCs/>
                <w:color w:val="auto"/>
                <w:kern w:val="2"/>
                <w:lang w:eastAsia="en-AU"/>
                <w14:ligatures w14:val="standardContextual"/>
              </w:rPr>
              <w:t>GO participants</w:t>
            </w:r>
            <w:r w:rsidR="00982D70">
              <w:rPr>
                <w:rFonts w:ascii="Calibri" w:eastAsia="Times New Roman" w:hAnsi="Calibri" w:cs="Calibri"/>
                <w:b/>
                <w:bCs/>
                <w:color w:val="auto"/>
                <w:kern w:val="2"/>
                <w:lang w:eastAsia="en-AU"/>
                <w14:ligatures w14:val="standardContextual"/>
              </w:rPr>
              <w:t xml:space="preserve"> </w:t>
            </w:r>
            <w:r w:rsidR="00982D70" w:rsidRPr="00982D70">
              <w:rPr>
                <w:rFonts w:ascii="Calibri" w:eastAsia="Times New Roman" w:hAnsi="Calibri" w:cs="Calibri"/>
                <w:color w:val="auto"/>
                <w:kern w:val="2"/>
                <w:lang w:eastAsia="en-AU"/>
                <w14:ligatures w14:val="standardContextual"/>
              </w:rPr>
              <w:t>(Hydrogen and derivatives)</w:t>
            </w:r>
          </w:p>
        </w:tc>
        <w:tc>
          <w:tcPr>
            <w:tcW w:w="1701" w:type="dxa"/>
            <w:shd w:val="clear" w:color="auto" w:fill="D1D1D1" w:themeFill="background2"/>
            <w:vAlign w:val="center"/>
            <w:hideMark/>
          </w:tcPr>
          <w:p w14:paraId="3D4E7BB6" w14:textId="77777777" w:rsidR="003E4EBF" w:rsidRDefault="003E4EBF">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 xml:space="preserve">Total </w:t>
            </w:r>
            <w:r w:rsidR="00AC2AB0">
              <w:rPr>
                <w:rFonts w:ascii="Calibri" w:eastAsia="Times New Roman" w:hAnsi="Calibri" w:cs="Calibri"/>
                <w:b/>
                <w:bCs/>
                <w:color w:val="auto"/>
                <w:kern w:val="2"/>
                <w:lang w:eastAsia="en-AU"/>
                <w14:ligatures w14:val="standardContextual"/>
              </w:rPr>
              <w:t>GO participants</w:t>
            </w:r>
          </w:p>
          <w:p w14:paraId="51569875" w14:textId="06ECCEE3" w:rsidR="00857BC3" w:rsidRPr="00122196" w:rsidRDefault="00857BC3">
            <w:pPr>
              <w:spacing w:after="0" w:line="240" w:lineRule="auto"/>
              <w:jc w:val="center"/>
              <w:rPr>
                <w:rFonts w:ascii="Calibri" w:eastAsia="Times New Roman" w:hAnsi="Calibri" w:cs="Calibri"/>
                <w:b/>
                <w:bCs/>
                <w:color w:val="auto"/>
                <w:kern w:val="2"/>
                <w:lang w:eastAsia="en-AU"/>
                <w14:ligatures w14:val="standardContextual"/>
              </w:rPr>
            </w:pPr>
            <w:r w:rsidRPr="00982D70">
              <w:rPr>
                <w:rFonts w:ascii="Calibri" w:eastAsia="Times New Roman" w:hAnsi="Calibri" w:cs="Calibri"/>
                <w:color w:val="auto"/>
                <w:kern w:val="2"/>
                <w:lang w:eastAsia="en-AU"/>
                <w14:ligatures w14:val="standardContextual"/>
              </w:rPr>
              <w:t>(Hydrogen and derivatives)</w:t>
            </w:r>
          </w:p>
        </w:tc>
        <w:tc>
          <w:tcPr>
            <w:tcW w:w="1985" w:type="dxa"/>
            <w:shd w:val="clear" w:color="auto" w:fill="D1D1D1" w:themeFill="background2"/>
            <w:vAlign w:val="center"/>
            <w:hideMark/>
          </w:tcPr>
          <w:p w14:paraId="0223A703" w14:textId="6D45712C" w:rsidR="003E4EBF" w:rsidRPr="00122196" w:rsidRDefault="003E4EBF">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Total</w:t>
            </w:r>
            <w:r>
              <w:rPr>
                <w:rFonts w:ascii="Calibri" w:eastAsia="Times New Roman" w:hAnsi="Calibri" w:cs="Calibri"/>
                <w:b/>
                <w:bCs/>
                <w:color w:val="auto"/>
                <w:kern w:val="2"/>
                <w:lang w:eastAsia="en-AU"/>
                <w14:ligatures w14:val="standardContextual"/>
              </w:rPr>
              <w:t xml:space="preserve"> </w:t>
            </w:r>
            <w:r w:rsidR="000C6129">
              <w:rPr>
                <w:rFonts w:ascii="Calibri" w:eastAsia="Times New Roman" w:hAnsi="Calibri" w:cs="Calibri"/>
                <w:b/>
                <w:bCs/>
                <w:color w:val="auto"/>
                <w:kern w:val="2"/>
                <w:lang w:eastAsia="en-AU"/>
                <w14:ligatures w14:val="standardContextual"/>
              </w:rPr>
              <w:t>a</w:t>
            </w:r>
            <w:r>
              <w:rPr>
                <w:rFonts w:ascii="Calibri" w:eastAsia="Times New Roman" w:hAnsi="Calibri" w:cs="Calibri"/>
                <w:b/>
                <w:bCs/>
                <w:color w:val="auto"/>
                <w:kern w:val="2"/>
                <w:lang w:eastAsia="en-AU"/>
                <w14:ligatures w14:val="standardContextual"/>
              </w:rPr>
              <w:t>nnual</w:t>
            </w:r>
            <w:r w:rsidRPr="00122196">
              <w:rPr>
                <w:rFonts w:ascii="Calibri" w:eastAsia="Times New Roman" w:hAnsi="Calibri" w:cs="Calibri"/>
                <w:b/>
                <w:bCs/>
                <w:color w:val="auto"/>
                <w:kern w:val="2"/>
                <w:lang w:eastAsia="en-AU"/>
                <w14:ligatures w14:val="standardContextual"/>
              </w:rPr>
              <w:t xml:space="preserve"> costs</w:t>
            </w:r>
          </w:p>
        </w:tc>
      </w:tr>
      <w:tr w:rsidR="00213E50" w:rsidRPr="00122196" w14:paraId="53A3A331" w14:textId="77777777" w:rsidTr="00F27FB7">
        <w:trPr>
          <w:trHeight w:val="255"/>
        </w:trPr>
        <w:tc>
          <w:tcPr>
            <w:tcW w:w="2117" w:type="dxa"/>
            <w:shd w:val="clear" w:color="auto" w:fill="F2F2F2" w:themeFill="background1" w:themeFillShade="F2"/>
            <w:noWrap/>
            <w:vAlign w:val="center"/>
          </w:tcPr>
          <w:p w14:paraId="78DF9B7D"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Initial year</w:t>
            </w:r>
          </w:p>
        </w:tc>
        <w:tc>
          <w:tcPr>
            <w:tcW w:w="1842" w:type="dxa"/>
            <w:noWrap/>
          </w:tcPr>
          <w:p w14:paraId="355D0897"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A25BB0">
              <w:t>33</w:t>
            </w:r>
          </w:p>
        </w:tc>
        <w:tc>
          <w:tcPr>
            <w:tcW w:w="1701" w:type="dxa"/>
          </w:tcPr>
          <w:p w14:paraId="4D1F5E33"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33</w:t>
            </w:r>
          </w:p>
        </w:tc>
        <w:tc>
          <w:tcPr>
            <w:tcW w:w="1985" w:type="dxa"/>
          </w:tcPr>
          <w:p w14:paraId="476DA018" w14:textId="1E3CDA81"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$1,856,580 </w:t>
            </w:r>
          </w:p>
        </w:tc>
      </w:tr>
      <w:tr w:rsidR="00213E50" w:rsidRPr="00122196" w14:paraId="204BACA0" w14:textId="77777777" w:rsidTr="00F27FB7">
        <w:trPr>
          <w:trHeight w:val="255"/>
        </w:trPr>
        <w:tc>
          <w:tcPr>
            <w:tcW w:w="2117" w:type="dxa"/>
            <w:shd w:val="clear" w:color="auto" w:fill="F2F2F2" w:themeFill="background1" w:themeFillShade="F2"/>
            <w:noWrap/>
            <w:vAlign w:val="center"/>
          </w:tcPr>
          <w:p w14:paraId="47B86CE9"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2</w:t>
            </w:r>
          </w:p>
        </w:tc>
        <w:tc>
          <w:tcPr>
            <w:tcW w:w="1842" w:type="dxa"/>
            <w:noWrap/>
          </w:tcPr>
          <w:p w14:paraId="093705E2"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12</w:t>
            </w:r>
          </w:p>
        </w:tc>
        <w:tc>
          <w:tcPr>
            <w:tcW w:w="1701" w:type="dxa"/>
          </w:tcPr>
          <w:p w14:paraId="1EE95D69"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45</w:t>
            </w:r>
          </w:p>
        </w:tc>
        <w:tc>
          <w:tcPr>
            <w:tcW w:w="1985" w:type="dxa"/>
          </w:tcPr>
          <w:p w14:paraId="79B1425C" w14:textId="0841264C"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$1,013,436 </w:t>
            </w:r>
          </w:p>
        </w:tc>
      </w:tr>
      <w:tr w:rsidR="00213E50" w:rsidRPr="00122196" w14:paraId="2B4A33CD" w14:textId="77777777" w:rsidTr="00F27FB7">
        <w:trPr>
          <w:trHeight w:val="255"/>
        </w:trPr>
        <w:tc>
          <w:tcPr>
            <w:tcW w:w="2117" w:type="dxa"/>
            <w:shd w:val="clear" w:color="auto" w:fill="F2F2F2" w:themeFill="background1" w:themeFillShade="F2"/>
            <w:noWrap/>
            <w:vAlign w:val="center"/>
          </w:tcPr>
          <w:p w14:paraId="122A2A81"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3</w:t>
            </w:r>
          </w:p>
        </w:tc>
        <w:tc>
          <w:tcPr>
            <w:tcW w:w="1842" w:type="dxa"/>
            <w:noWrap/>
          </w:tcPr>
          <w:p w14:paraId="76AD4910"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9</w:t>
            </w:r>
          </w:p>
        </w:tc>
        <w:tc>
          <w:tcPr>
            <w:tcW w:w="1701" w:type="dxa"/>
          </w:tcPr>
          <w:p w14:paraId="70D8DF79"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54</w:t>
            </w:r>
          </w:p>
        </w:tc>
        <w:tc>
          <w:tcPr>
            <w:tcW w:w="1985" w:type="dxa"/>
          </w:tcPr>
          <w:p w14:paraId="4B021E1E" w14:textId="7583423F"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$967,680 </w:t>
            </w:r>
          </w:p>
        </w:tc>
      </w:tr>
      <w:tr w:rsidR="00213E50" w:rsidRPr="00122196" w14:paraId="4E4EADA3" w14:textId="77777777" w:rsidTr="00F27FB7">
        <w:trPr>
          <w:trHeight w:val="255"/>
        </w:trPr>
        <w:tc>
          <w:tcPr>
            <w:tcW w:w="2117" w:type="dxa"/>
            <w:shd w:val="clear" w:color="auto" w:fill="F2F2F2" w:themeFill="background1" w:themeFillShade="F2"/>
            <w:noWrap/>
            <w:vAlign w:val="center"/>
          </w:tcPr>
          <w:p w14:paraId="58B1FD36"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4</w:t>
            </w:r>
          </w:p>
        </w:tc>
        <w:tc>
          <w:tcPr>
            <w:tcW w:w="1842" w:type="dxa"/>
            <w:noWrap/>
          </w:tcPr>
          <w:p w14:paraId="3F4BF43B"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9</w:t>
            </w:r>
          </w:p>
        </w:tc>
        <w:tc>
          <w:tcPr>
            <w:tcW w:w="1701" w:type="dxa"/>
          </w:tcPr>
          <w:p w14:paraId="5FE55FB0"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63</w:t>
            </w:r>
          </w:p>
        </w:tc>
        <w:tc>
          <w:tcPr>
            <w:tcW w:w="1985" w:type="dxa"/>
          </w:tcPr>
          <w:p w14:paraId="7D94BE1F" w14:textId="2EE8F892"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$1,059,948 </w:t>
            </w:r>
          </w:p>
        </w:tc>
      </w:tr>
      <w:tr w:rsidR="00213E50" w:rsidRPr="00122196" w14:paraId="1793AA76" w14:textId="77777777" w:rsidTr="00F27FB7">
        <w:trPr>
          <w:trHeight w:val="255"/>
        </w:trPr>
        <w:tc>
          <w:tcPr>
            <w:tcW w:w="2117" w:type="dxa"/>
            <w:shd w:val="clear" w:color="auto" w:fill="F2F2F2" w:themeFill="background1" w:themeFillShade="F2"/>
            <w:noWrap/>
            <w:vAlign w:val="center"/>
          </w:tcPr>
          <w:p w14:paraId="3B682227"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5</w:t>
            </w:r>
          </w:p>
        </w:tc>
        <w:tc>
          <w:tcPr>
            <w:tcW w:w="1842" w:type="dxa"/>
            <w:noWrap/>
          </w:tcPr>
          <w:p w14:paraId="24F30723"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15</w:t>
            </w:r>
          </w:p>
        </w:tc>
        <w:tc>
          <w:tcPr>
            <w:tcW w:w="1701" w:type="dxa"/>
          </w:tcPr>
          <w:p w14:paraId="1A65A2CF"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78</w:t>
            </w:r>
          </w:p>
        </w:tc>
        <w:tc>
          <w:tcPr>
            <w:tcW w:w="1985" w:type="dxa"/>
          </w:tcPr>
          <w:p w14:paraId="4823918D" w14:textId="7A6DB34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$1,489,776 </w:t>
            </w:r>
          </w:p>
        </w:tc>
      </w:tr>
      <w:tr w:rsidR="00213E50" w:rsidRPr="00122196" w14:paraId="7822A8D2" w14:textId="77777777" w:rsidTr="00F27FB7">
        <w:trPr>
          <w:trHeight w:val="255"/>
        </w:trPr>
        <w:tc>
          <w:tcPr>
            <w:tcW w:w="2117" w:type="dxa"/>
            <w:shd w:val="clear" w:color="auto" w:fill="F2F2F2" w:themeFill="background1" w:themeFillShade="F2"/>
            <w:noWrap/>
            <w:vAlign w:val="center"/>
          </w:tcPr>
          <w:p w14:paraId="16FF3B59"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6</w:t>
            </w:r>
          </w:p>
        </w:tc>
        <w:tc>
          <w:tcPr>
            <w:tcW w:w="1842" w:type="dxa"/>
            <w:noWrap/>
          </w:tcPr>
          <w:p w14:paraId="58948DF0"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3</w:t>
            </w:r>
          </w:p>
        </w:tc>
        <w:tc>
          <w:tcPr>
            <w:tcW w:w="1701" w:type="dxa"/>
          </w:tcPr>
          <w:p w14:paraId="56160A66"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81</w:t>
            </w:r>
          </w:p>
        </w:tc>
        <w:tc>
          <w:tcPr>
            <w:tcW w:w="1985" w:type="dxa"/>
          </w:tcPr>
          <w:p w14:paraId="2699DF92" w14:textId="1E94725A"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$1,466,835 </w:t>
            </w:r>
          </w:p>
        </w:tc>
      </w:tr>
      <w:tr w:rsidR="00213E50" w:rsidRPr="00122196" w14:paraId="53F1D9CC" w14:textId="77777777" w:rsidTr="00F27FB7">
        <w:trPr>
          <w:trHeight w:val="255"/>
        </w:trPr>
        <w:tc>
          <w:tcPr>
            <w:tcW w:w="2117" w:type="dxa"/>
            <w:shd w:val="clear" w:color="auto" w:fill="F2F2F2" w:themeFill="background1" w:themeFillShade="F2"/>
            <w:noWrap/>
            <w:vAlign w:val="center"/>
          </w:tcPr>
          <w:p w14:paraId="64B376C0"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7</w:t>
            </w:r>
          </w:p>
        </w:tc>
        <w:tc>
          <w:tcPr>
            <w:tcW w:w="1842" w:type="dxa"/>
            <w:noWrap/>
          </w:tcPr>
          <w:p w14:paraId="53DF8455"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3</w:t>
            </w:r>
          </w:p>
        </w:tc>
        <w:tc>
          <w:tcPr>
            <w:tcW w:w="1701" w:type="dxa"/>
          </w:tcPr>
          <w:p w14:paraId="40E48FE3"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84</w:t>
            </w:r>
          </w:p>
        </w:tc>
        <w:tc>
          <w:tcPr>
            <w:tcW w:w="1985" w:type="dxa"/>
          </w:tcPr>
          <w:p w14:paraId="1B70DD98" w14:textId="7EE181FD"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$1,180,428 </w:t>
            </w:r>
          </w:p>
        </w:tc>
      </w:tr>
      <w:tr w:rsidR="00213E50" w:rsidRPr="00122196" w14:paraId="44DFD95D" w14:textId="77777777" w:rsidTr="00F27FB7">
        <w:trPr>
          <w:trHeight w:val="255"/>
        </w:trPr>
        <w:tc>
          <w:tcPr>
            <w:tcW w:w="2117" w:type="dxa"/>
            <w:shd w:val="clear" w:color="auto" w:fill="F2F2F2" w:themeFill="background1" w:themeFillShade="F2"/>
            <w:noWrap/>
            <w:vAlign w:val="center"/>
          </w:tcPr>
          <w:p w14:paraId="003D4F30"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8</w:t>
            </w:r>
          </w:p>
        </w:tc>
        <w:tc>
          <w:tcPr>
            <w:tcW w:w="1842" w:type="dxa"/>
            <w:noWrap/>
          </w:tcPr>
          <w:p w14:paraId="4B13A360"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2</w:t>
            </w:r>
          </w:p>
        </w:tc>
        <w:tc>
          <w:tcPr>
            <w:tcW w:w="1701" w:type="dxa"/>
          </w:tcPr>
          <w:p w14:paraId="4B6F89E5"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86</w:t>
            </w:r>
          </w:p>
        </w:tc>
        <w:tc>
          <w:tcPr>
            <w:tcW w:w="1985" w:type="dxa"/>
          </w:tcPr>
          <w:p w14:paraId="1109ED43" w14:textId="670A4486"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$1,109,615 </w:t>
            </w:r>
          </w:p>
        </w:tc>
      </w:tr>
      <w:tr w:rsidR="00213E50" w:rsidRPr="00122196" w14:paraId="32FA3350" w14:textId="77777777" w:rsidTr="00F27FB7">
        <w:trPr>
          <w:trHeight w:val="255"/>
        </w:trPr>
        <w:tc>
          <w:tcPr>
            <w:tcW w:w="2117" w:type="dxa"/>
            <w:shd w:val="clear" w:color="auto" w:fill="F2F2F2" w:themeFill="background1" w:themeFillShade="F2"/>
            <w:noWrap/>
            <w:vAlign w:val="center"/>
          </w:tcPr>
          <w:p w14:paraId="5AA29D33"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9</w:t>
            </w:r>
          </w:p>
        </w:tc>
        <w:tc>
          <w:tcPr>
            <w:tcW w:w="1842" w:type="dxa"/>
            <w:noWrap/>
          </w:tcPr>
          <w:p w14:paraId="2B759441"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5</w:t>
            </w:r>
          </w:p>
        </w:tc>
        <w:tc>
          <w:tcPr>
            <w:tcW w:w="1701" w:type="dxa"/>
          </w:tcPr>
          <w:p w14:paraId="58C55C93"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91</w:t>
            </w:r>
          </w:p>
        </w:tc>
        <w:tc>
          <w:tcPr>
            <w:tcW w:w="1985" w:type="dxa"/>
          </w:tcPr>
          <w:p w14:paraId="267D60E0" w14:textId="116F3154"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$1,298,899 </w:t>
            </w:r>
          </w:p>
        </w:tc>
      </w:tr>
      <w:tr w:rsidR="00213E50" w:rsidRPr="00122196" w14:paraId="3D477BA4" w14:textId="77777777" w:rsidTr="00F27FB7">
        <w:trPr>
          <w:trHeight w:val="255"/>
        </w:trPr>
        <w:tc>
          <w:tcPr>
            <w:tcW w:w="2117" w:type="dxa"/>
            <w:shd w:val="clear" w:color="auto" w:fill="F2F2F2" w:themeFill="background1" w:themeFillShade="F2"/>
            <w:noWrap/>
            <w:vAlign w:val="center"/>
          </w:tcPr>
          <w:p w14:paraId="438F57E8" w14:textId="77777777" w:rsidR="00213E50" w:rsidRPr="00122196" w:rsidRDefault="00213E50" w:rsidP="00213E50">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10</w:t>
            </w:r>
          </w:p>
        </w:tc>
        <w:tc>
          <w:tcPr>
            <w:tcW w:w="1842" w:type="dxa"/>
            <w:noWrap/>
          </w:tcPr>
          <w:p w14:paraId="6D2C42EF" w14:textId="77777777" w:rsidR="00213E50" w:rsidRPr="00122196" w:rsidRDefault="00213E50" w:rsidP="00213E50">
            <w:pPr>
              <w:spacing w:after="0" w:line="240" w:lineRule="auto"/>
              <w:jc w:val="center"/>
              <w:rPr>
                <w:rFonts w:ascii="Calibri" w:eastAsia="Times New Roman" w:hAnsi="Calibri" w:cs="Calibri"/>
                <w:color w:val="auto"/>
                <w:kern w:val="2"/>
                <w:lang w:eastAsia="en-AU"/>
                <w14:ligatures w14:val="standardContextual"/>
              </w:rPr>
            </w:pPr>
            <w:r w:rsidRPr="00A25BB0">
              <w:t>4</w:t>
            </w:r>
          </w:p>
        </w:tc>
        <w:tc>
          <w:tcPr>
            <w:tcW w:w="1701" w:type="dxa"/>
          </w:tcPr>
          <w:p w14:paraId="5610BAFE" w14:textId="77777777"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A25BB0">
              <w:t>95</w:t>
            </w:r>
          </w:p>
        </w:tc>
        <w:tc>
          <w:tcPr>
            <w:tcW w:w="1985" w:type="dxa"/>
          </w:tcPr>
          <w:p w14:paraId="5AE278F7" w14:textId="097F4DC9" w:rsidR="00213E50" w:rsidRPr="00122196" w:rsidRDefault="00213E50" w:rsidP="00213E50">
            <w:pPr>
              <w:spacing w:after="0" w:line="240" w:lineRule="auto"/>
              <w:jc w:val="center"/>
              <w:rPr>
                <w:rFonts w:ascii="Calibri" w:eastAsia="Times New Roman" w:hAnsi="Calibri" w:cs="Calibri"/>
                <w:color w:val="262626"/>
                <w:kern w:val="2"/>
                <w:lang w:eastAsia="en-AU"/>
                <w14:ligatures w14:val="standardContextual"/>
              </w:rPr>
            </w:pPr>
            <w:r w:rsidRPr="00965547">
              <w:t xml:space="preserve"> $1,384,517 </w:t>
            </w:r>
          </w:p>
        </w:tc>
      </w:tr>
    </w:tbl>
    <w:p w14:paraId="16AD4AFE" w14:textId="042D60A6" w:rsidR="00582F24" w:rsidRDefault="006F2B58" w:rsidP="00131E13">
      <w:pPr>
        <w:pStyle w:val="BodyText"/>
        <w:spacing w:before="120"/>
      </w:pPr>
      <w:bookmarkStart w:id="106" w:name="_Ref166758976"/>
      <w:r>
        <w:rPr>
          <w:b/>
          <w:bCs/>
        </w:rPr>
        <w:t>Table 1</w:t>
      </w:r>
      <w:r w:rsidR="003050E0">
        <w:rPr>
          <w:b/>
          <w:bCs/>
        </w:rPr>
        <w:t>6</w:t>
      </w:r>
      <w:r w:rsidR="00131E13" w:rsidRPr="00122196">
        <w:rPr>
          <w:b/>
          <w:bCs/>
        </w:rPr>
        <w:t xml:space="preserve"> </w:t>
      </w:r>
      <w:r w:rsidR="00E21A16" w:rsidRPr="00E21A16">
        <w:t>outlines</w:t>
      </w:r>
      <w:r w:rsidR="00131E13" w:rsidRPr="00122196">
        <w:t xml:space="preserve"> the total regulatory cost</w:t>
      </w:r>
      <w:r w:rsidR="000C6129">
        <w:t>s</w:t>
      </w:r>
      <w:r w:rsidR="00131E13" w:rsidRPr="00122196">
        <w:t xml:space="preserve"> to </w:t>
      </w:r>
      <w:r w:rsidR="000C6129">
        <w:t xml:space="preserve">other </w:t>
      </w:r>
      <w:r w:rsidR="00E21A16" w:rsidRPr="00E21A16">
        <w:t>sector</w:t>
      </w:r>
      <w:r w:rsidR="000C6129">
        <w:t>s</w:t>
      </w:r>
      <w:r w:rsidR="00E21A16" w:rsidRPr="00E21A16">
        <w:t xml:space="preserve"> to </w:t>
      </w:r>
      <w:r w:rsidR="00131E13" w:rsidRPr="00122196">
        <w:t xml:space="preserve">comply with </w:t>
      </w:r>
      <w:r w:rsidR="00E21A16" w:rsidRPr="00E21A16">
        <w:t xml:space="preserve">the scheme. Participant number forecasts are based on </w:t>
      </w:r>
      <w:r w:rsidR="00712E00">
        <w:t xml:space="preserve">current production </w:t>
      </w:r>
      <w:r w:rsidR="008D60A9">
        <w:t>data collated by</w:t>
      </w:r>
      <w:r w:rsidR="00E21A16" w:rsidRPr="00E21A16">
        <w:t xml:space="preserve"> the CER. The spike in REGO producers in Year 5 reflects the scheduled sunset of the RET where most RET participants are expected to transition into the</w:t>
      </w:r>
      <w:r w:rsidR="00336FD0">
        <w:t xml:space="preserve"> GO</w:t>
      </w:r>
      <w:r w:rsidR="00131E13" w:rsidRPr="00122196">
        <w:t xml:space="preserve"> scheme</w:t>
      </w:r>
      <w:r w:rsidR="00336FD0">
        <w:t xml:space="preserve"> </w:t>
      </w:r>
      <w:r w:rsidR="00E21A16" w:rsidRPr="00E21A16">
        <w:t>during this corresponding year. RET participants are not expected to participate in the scheme until 2024-25 due to proposed start dates</w:t>
      </w:r>
      <w:r w:rsidR="00336FD0">
        <w:t xml:space="preserve"> and </w:t>
      </w:r>
      <w:r w:rsidR="00E21A16" w:rsidRPr="00E21A16">
        <w:t>the existing RET.</w:t>
      </w:r>
    </w:p>
    <w:p w14:paraId="7DAD7D3B" w14:textId="5213C9F2" w:rsidR="008D2943" w:rsidRDefault="008D2943" w:rsidP="00E76953">
      <w:pPr>
        <w:pStyle w:val="Caption"/>
      </w:pPr>
      <w:r>
        <w:t xml:space="preserve">Table </w:t>
      </w:r>
      <w:bookmarkEnd w:id="106"/>
      <w:r w:rsidR="00CC73D7">
        <w:t>16</w:t>
      </w:r>
      <w:r>
        <w:t>: Regulatory costs by sector</w:t>
      </w:r>
      <w:r w:rsidR="000D2C32">
        <w:t xml:space="preserve"> </w:t>
      </w:r>
      <w:r w:rsidR="003B253B">
        <w:t>(</w:t>
      </w:r>
      <w:r w:rsidR="00975AEE">
        <w:t>other</w:t>
      </w:r>
      <w:r w:rsidR="003B253B">
        <w:t xml:space="preserve"> products</w:t>
      </w:r>
      <w:r w:rsidR="00E50F37">
        <w:t xml:space="preserve">, </w:t>
      </w:r>
      <w:r w:rsidR="00F74841">
        <w:t xml:space="preserve">renewable </w:t>
      </w:r>
      <w:r w:rsidR="00791780">
        <w:t>electricity</w:t>
      </w:r>
      <w:r w:rsidR="003B253B">
        <w:t xml:space="preserve">) </w:t>
      </w:r>
      <w:r w:rsidR="000D2C32">
        <w:t xml:space="preserve">over </w:t>
      </w:r>
      <w:r>
        <w:t>10 year</w:t>
      </w:r>
      <w:bookmarkEnd w:id="104"/>
      <w:r w:rsidR="000D2C32">
        <w:t>s, Regulatory Option</w:t>
      </w:r>
      <w:bookmarkEnd w:id="105"/>
    </w:p>
    <w:tbl>
      <w:tblPr>
        <w:tblW w:w="13320" w:type="dxa"/>
        <w:tblLook w:val="04A0" w:firstRow="1" w:lastRow="0" w:firstColumn="1" w:lastColumn="0" w:noHBand="0" w:noVBand="1"/>
      </w:tblPr>
      <w:tblGrid>
        <w:gridCol w:w="2185"/>
        <w:gridCol w:w="1738"/>
        <w:gridCol w:w="1743"/>
        <w:gridCol w:w="1979"/>
        <w:gridCol w:w="1910"/>
        <w:gridCol w:w="1593"/>
        <w:gridCol w:w="2172"/>
      </w:tblGrid>
      <w:tr w:rsidR="00163AC6" w:rsidRPr="00122196" w14:paraId="180C7CDB" w14:textId="77777777" w:rsidTr="000C6129">
        <w:trPr>
          <w:trHeight w:val="585"/>
        </w:trPr>
        <w:tc>
          <w:tcPr>
            <w:tcW w:w="2185" w:type="dxa"/>
            <w:tcBorders>
              <w:top w:val="single" w:sz="4" w:space="0" w:color="auto"/>
              <w:left w:val="single" w:sz="8" w:space="0" w:color="auto"/>
              <w:bottom w:val="single" w:sz="8" w:space="0" w:color="auto"/>
              <w:right w:val="single" w:sz="8" w:space="0" w:color="auto"/>
            </w:tcBorders>
            <w:shd w:val="clear" w:color="auto" w:fill="D1D1D1" w:themeFill="background2"/>
            <w:noWrap/>
            <w:vAlign w:val="center"/>
            <w:hideMark/>
          </w:tcPr>
          <w:p w14:paraId="0018DE1F" w14:textId="24CE2194" w:rsidR="0014161C" w:rsidRPr="00122196" w:rsidRDefault="00266B9A" w:rsidP="005C62A1">
            <w:pPr>
              <w:spacing w:after="0" w:line="240" w:lineRule="auto"/>
              <w:jc w:val="center"/>
              <w:rPr>
                <w:rFonts w:ascii="Calibri" w:eastAsia="Times New Roman" w:hAnsi="Calibri" w:cs="Calibri"/>
                <w:b/>
                <w:bCs/>
                <w:color w:val="auto"/>
                <w:kern w:val="2"/>
                <w:lang w:eastAsia="en-AU"/>
                <w14:ligatures w14:val="standardContextual"/>
              </w:rPr>
            </w:pPr>
            <w:r>
              <w:rPr>
                <w:rFonts w:ascii="Calibri" w:eastAsia="Times New Roman" w:hAnsi="Calibri" w:cs="Calibri"/>
                <w:b/>
                <w:bCs/>
                <w:color w:val="auto"/>
                <w:kern w:val="2"/>
                <w:lang w:eastAsia="en-AU"/>
                <w14:ligatures w14:val="standardContextual"/>
              </w:rPr>
              <w:t>Year of participation</w:t>
            </w:r>
          </w:p>
        </w:tc>
        <w:tc>
          <w:tcPr>
            <w:tcW w:w="1738" w:type="dxa"/>
            <w:tcBorders>
              <w:top w:val="single" w:sz="4" w:space="0" w:color="auto"/>
              <w:left w:val="nil"/>
              <w:bottom w:val="single" w:sz="8" w:space="0" w:color="auto"/>
              <w:right w:val="single" w:sz="4" w:space="0" w:color="auto"/>
            </w:tcBorders>
            <w:shd w:val="clear" w:color="auto" w:fill="D1D1D1" w:themeFill="background2"/>
            <w:noWrap/>
            <w:vAlign w:val="center"/>
            <w:hideMark/>
          </w:tcPr>
          <w:p w14:paraId="5E128258" w14:textId="77777777" w:rsidR="0014161C"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New GO participants</w:t>
            </w:r>
          </w:p>
          <w:p w14:paraId="550DF4D9" w14:textId="3848D74B" w:rsidR="00857BC3" w:rsidRPr="00857BC3" w:rsidRDefault="00857BC3" w:rsidP="005C62A1">
            <w:pPr>
              <w:spacing w:after="0" w:line="240" w:lineRule="auto"/>
              <w:jc w:val="center"/>
              <w:rPr>
                <w:rFonts w:ascii="Calibri" w:eastAsia="Times New Roman" w:hAnsi="Calibri" w:cs="Calibri"/>
                <w:color w:val="auto"/>
                <w:kern w:val="2"/>
                <w:lang w:eastAsia="en-AU"/>
                <w14:ligatures w14:val="standardContextual"/>
              </w:rPr>
            </w:pPr>
            <w:r w:rsidRPr="00857BC3">
              <w:rPr>
                <w:rFonts w:ascii="Calibri" w:eastAsia="Times New Roman" w:hAnsi="Calibri" w:cs="Calibri"/>
                <w:color w:val="auto"/>
                <w:kern w:val="2"/>
                <w:lang w:eastAsia="en-AU"/>
                <w14:ligatures w14:val="standardContextual"/>
              </w:rPr>
              <w:t>(</w:t>
            </w:r>
            <w:r w:rsidR="00956093">
              <w:rPr>
                <w:rFonts w:ascii="Calibri" w:eastAsia="Times New Roman" w:hAnsi="Calibri" w:cs="Calibri"/>
                <w:color w:val="auto"/>
                <w:kern w:val="2"/>
                <w:lang w:eastAsia="en-AU"/>
                <w14:ligatures w14:val="standardContextual"/>
              </w:rPr>
              <w:t>Other</w:t>
            </w:r>
            <w:r w:rsidRPr="00857BC3">
              <w:rPr>
                <w:rFonts w:ascii="Calibri" w:eastAsia="Times New Roman" w:hAnsi="Calibri" w:cs="Calibri"/>
                <w:color w:val="auto"/>
                <w:kern w:val="2"/>
                <w:lang w:eastAsia="en-AU"/>
                <w14:ligatures w14:val="standardContextual"/>
              </w:rPr>
              <w:t xml:space="preserve"> products)</w:t>
            </w:r>
          </w:p>
        </w:tc>
        <w:tc>
          <w:tcPr>
            <w:tcW w:w="1743" w:type="dxa"/>
            <w:tcBorders>
              <w:top w:val="single" w:sz="4" w:space="0" w:color="auto"/>
              <w:left w:val="nil"/>
              <w:bottom w:val="single" w:sz="8" w:space="0" w:color="auto"/>
              <w:right w:val="single" w:sz="4" w:space="0" w:color="auto"/>
            </w:tcBorders>
            <w:shd w:val="clear" w:color="auto" w:fill="D1D1D1" w:themeFill="background2"/>
            <w:vAlign w:val="center"/>
            <w:hideMark/>
          </w:tcPr>
          <w:p w14:paraId="7158F31F" w14:textId="77777777" w:rsidR="0014161C"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Total GO participants</w:t>
            </w:r>
          </w:p>
          <w:p w14:paraId="1376FB68" w14:textId="7C1B074D" w:rsidR="00857BC3" w:rsidRPr="00857BC3" w:rsidRDefault="00857BC3" w:rsidP="005C62A1">
            <w:pPr>
              <w:spacing w:after="0" w:line="240" w:lineRule="auto"/>
              <w:jc w:val="center"/>
              <w:rPr>
                <w:rFonts w:ascii="Calibri" w:eastAsia="Times New Roman" w:hAnsi="Calibri" w:cs="Calibri"/>
                <w:color w:val="auto"/>
                <w:kern w:val="2"/>
                <w:lang w:eastAsia="en-AU"/>
                <w14:ligatures w14:val="standardContextual"/>
              </w:rPr>
            </w:pPr>
            <w:r w:rsidRPr="00857BC3">
              <w:rPr>
                <w:rFonts w:ascii="Calibri" w:eastAsia="Times New Roman" w:hAnsi="Calibri" w:cs="Calibri"/>
                <w:color w:val="auto"/>
                <w:kern w:val="2"/>
                <w:lang w:eastAsia="en-AU"/>
                <w14:ligatures w14:val="standardContextual"/>
              </w:rPr>
              <w:t>(</w:t>
            </w:r>
            <w:r w:rsidR="00956093">
              <w:rPr>
                <w:rFonts w:ascii="Calibri" w:eastAsia="Times New Roman" w:hAnsi="Calibri" w:cs="Calibri"/>
                <w:color w:val="auto"/>
                <w:kern w:val="2"/>
                <w:lang w:eastAsia="en-AU"/>
                <w14:ligatures w14:val="standardContextual"/>
              </w:rPr>
              <w:t xml:space="preserve">Other </w:t>
            </w:r>
            <w:r w:rsidRPr="00857BC3">
              <w:rPr>
                <w:rFonts w:ascii="Calibri" w:eastAsia="Times New Roman" w:hAnsi="Calibri" w:cs="Calibri"/>
                <w:color w:val="auto"/>
                <w:kern w:val="2"/>
                <w:lang w:eastAsia="en-AU"/>
                <w14:ligatures w14:val="standardContextual"/>
              </w:rPr>
              <w:t>products)</w:t>
            </w:r>
          </w:p>
        </w:tc>
        <w:tc>
          <w:tcPr>
            <w:tcW w:w="1979" w:type="dxa"/>
            <w:tcBorders>
              <w:top w:val="single" w:sz="4" w:space="0" w:color="auto"/>
              <w:left w:val="single" w:sz="4" w:space="0" w:color="auto"/>
              <w:bottom w:val="single" w:sz="8" w:space="0" w:color="auto"/>
              <w:right w:val="single" w:sz="18" w:space="0" w:color="auto"/>
            </w:tcBorders>
            <w:shd w:val="clear" w:color="auto" w:fill="D1D1D1" w:themeFill="background2"/>
            <w:vAlign w:val="center"/>
            <w:hideMark/>
          </w:tcPr>
          <w:p w14:paraId="56978C56" w14:textId="18FE9724" w:rsidR="0014161C" w:rsidRPr="00122196"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 xml:space="preserve">Total </w:t>
            </w:r>
            <w:r w:rsidR="000C6129">
              <w:rPr>
                <w:rFonts w:ascii="Calibri" w:eastAsia="Times New Roman" w:hAnsi="Calibri" w:cs="Calibri"/>
                <w:b/>
                <w:bCs/>
                <w:color w:val="auto"/>
                <w:kern w:val="2"/>
                <w:lang w:eastAsia="en-AU"/>
                <w14:ligatures w14:val="standardContextual"/>
              </w:rPr>
              <w:t>a</w:t>
            </w:r>
            <w:r w:rsidR="00897636">
              <w:rPr>
                <w:rFonts w:ascii="Calibri" w:eastAsia="Times New Roman" w:hAnsi="Calibri" w:cs="Calibri"/>
                <w:b/>
                <w:bCs/>
                <w:color w:val="auto"/>
                <w:kern w:val="2"/>
                <w:lang w:eastAsia="en-AU"/>
                <w14:ligatures w14:val="standardContextual"/>
              </w:rPr>
              <w:t>nnual</w:t>
            </w:r>
            <w:r w:rsidRPr="00122196">
              <w:rPr>
                <w:rFonts w:ascii="Calibri" w:eastAsia="Times New Roman" w:hAnsi="Calibri" w:cs="Calibri"/>
                <w:b/>
                <w:bCs/>
                <w:color w:val="auto"/>
                <w:kern w:val="2"/>
                <w:lang w:eastAsia="en-AU"/>
                <w14:ligatures w14:val="standardContextual"/>
              </w:rPr>
              <w:t xml:space="preserve"> costs</w:t>
            </w:r>
          </w:p>
        </w:tc>
        <w:tc>
          <w:tcPr>
            <w:tcW w:w="1910" w:type="dxa"/>
            <w:tcBorders>
              <w:top w:val="single" w:sz="4" w:space="0" w:color="auto"/>
              <w:left w:val="single" w:sz="18" w:space="0" w:color="auto"/>
              <w:bottom w:val="single" w:sz="8" w:space="0" w:color="auto"/>
              <w:right w:val="single" w:sz="4" w:space="0" w:color="auto"/>
            </w:tcBorders>
            <w:shd w:val="clear" w:color="auto" w:fill="D1D1D1" w:themeFill="background2"/>
            <w:vAlign w:val="center"/>
            <w:hideMark/>
          </w:tcPr>
          <w:p w14:paraId="0EEFAAFE" w14:textId="77777777" w:rsidR="0014161C" w:rsidRPr="00122196"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New REGO participants</w:t>
            </w:r>
          </w:p>
        </w:tc>
        <w:tc>
          <w:tcPr>
            <w:tcW w:w="1593" w:type="dxa"/>
            <w:tcBorders>
              <w:top w:val="single" w:sz="4" w:space="0" w:color="auto"/>
              <w:left w:val="nil"/>
              <w:bottom w:val="single" w:sz="8" w:space="0" w:color="auto"/>
              <w:right w:val="single" w:sz="4" w:space="0" w:color="auto"/>
            </w:tcBorders>
            <w:shd w:val="clear" w:color="auto" w:fill="D1D1D1" w:themeFill="background2"/>
            <w:vAlign w:val="center"/>
            <w:hideMark/>
          </w:tcPr>
          <w:p w14:paraId="1B7F8D65" w14:textId="77777777" w:rsidR="0014161C" w:rsidRPr="00122196"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Total REGO participants</w:t>
            </w:r>
          </w:p>
        </w:tc>
        <w:tc>
          <w:tcPr>
            <w:tcW w:w="2172" w:type="dxa"/>
            <w:tcBorders>
              <w:top w:val="single" w:sz="4" w:space="0" w:color="auto"/>
              <w:left w:val="nil"/>
              <w:bottom w:val="single" w:sz="8" w:space="0" w:color="auto"/>
              <w:right w:val="single" w:sz="8" w:space="0" w:color="auto"/>
            </w:tcBorders>
            <w:shd w:val="clear" w:color="auto" w:fill="D1D1D1" w:themeFill="background2"/>
            <w:vAlign w:val="center"/>
            <w:hideMark/>
          </w:tcPr>
          <w:p w14:paraId="07601B3C" w14:textId="4E1D6738" w:rsidR="0014161C" w:rsidRPr="00122196" w:rsidRDefault="0014161C" w:rsidP="005C62A1">
            <w:pPr>
              <w:spacing w:after="0" w:line="240" w:lineRule="auto"/>
              <w:jc w:val="center"/>
              <w:rPr>
                <w:rFonts w:ascii="Calibri" w:eastAsia="Times New Roman" w:hAnsi="Calibri" w:cs="Calibri"/>
                <w:b/>
                <w:bCs/>
                <w:color w:val="auto"/>
                <w:kern w:val="2"/>
                <w:lang w:eastAsia="en-AU"/>
                <w14:ligatures w14:val="standardContextual"/>
              </w:rPr>
            </w:pPr>
            <w:r w:rsidRPr="00122196">
              <w:rPr>
                <w:rFonts w:ascii="Calibri" w:eastAsia="Times New Roman" w:hAnsi="Calibri" w:cs="Calibri"/>
                <w:b/>
                <w:bCs/>
                <w:color w:val="auto"/>
                <w:kern w:val="2"/>
                <w:lang w:eastAsia="en-AU"/>
                <w14:ligatures w14:val="standardContextual"/>
              </w:rPr>
              <w:t xml:space="preserve">Total </w:t>
            </w:r>
            <w:r w:rsidR="00897636">
              <w:rPr>
                <w:rFonts w:ascii="Calibri" w:eastAsia="Times New Roman" w:hAnsi="Calibri" w:cs="Calibri"/>
                <w:b/>
                <w:bCs/>
                <w:color w:val="auto"/>
                <w:kern w:val="2"/>
                <w:lang w:eastAsia="en-AU"/>
                <w14:ligatures w14:val="standardContextual"/>
              </w:rPr>
              <w:t xml:space="preserve">Annual </w:t>
            </w:r>
            <w:r w:rsidRPr="00122196">
              <w:rPr>
                <w:rFonts w:ascii="Calibri" w:eastAsia="Times New Roman" w:hAnsi="Calibri" w:cs="Calibri"/>
                <w:b/>
                <w:bCs/>
                <w:color w:val="auto"/>
                <w:kern w:val="2"/>
                <w:lang w:eastAsia="en-AU"/>
                <w14:ligatures w14:val="standardContextual"/>
              </w:rPr>
              <w:t>REGO costs</w:t>
            </w:r>
          </w:p>
        </w:tc>
      </w:tr>
      <w:tr w:rsidR="007E5EB9" w:rsidRPr="00122196" w14:paraId="69F1772D"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0DD0CD09" w14:textId="4EECA2E5"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Initial year</w:t>
            </w:r>
          </w:p>
        </w:tc>
        <w:tc>
          <w:tcPr>
            <w:tcW w:w="1738" w:type="dxa"/>
            <w:tcBorders>
              <w:top w:val="nil"/>
              <w:left w:val="nil"/>
              <w:bottom w:val="single" w:sz="4" w:space="0" w:color="auto"/>
              <w:right w:val="single" w:sz="4" w:space="0" w:color="auto"/>
            </w:tcBorders>
            <w:noWrap/>
            <w:vAlign w:val="bottom"/>
          </w:tcPr>
          <w:p w14:paraId="1E569016" w14:textId="7FC06AE0" w:rsidR="007E5EB9" w:rsidRPr="0029009F"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29009F">
              <w:rPr>
                <w:rFonts w:ascii="Calibri" w:hAnsi="Calibri" w:cs="Calibri"/>
                <w:color w:val="000000"/>
              </w:rPr>
              <w:t>0</w:t>
            </w:r>
          </w:p>
        </w:tc>
        <w:tc>
          <w:tcPr>
            <w:tcW w:w="1743" w:type="dxa"/>
            <w:tcBorders>
              <w:top w:val="nil"/>
              <w:left w:val="nil"/>
              <w:bottom w:val="single" w:sz="4" w:space="0" w:color="auto"/>
              <w:right w:val="single" w:sz="4" w:space="0" w:color="auto"/>
            </w:tcBorders>
            <w:vAlign w:val="bottom"/>
          </w:tcPr>
          <w:p w14:paraId="79E27035" w14:textId="66740BA1"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0</w:t>
            </w:r>
          </w:p>
        </w:tc>
        <w:tc>
          <w:tcPr>
            <w:tcW w:w="1979" w:type="dxa"/>
            <w:tcBorders>
              <w:top w:val="nil"/>
              <w:left w:val="single" w:sz="4" w:space="0" w:color="auto"/>
              <w:bottom w:val="single" w:sz="4" w:space="0" w:color="auto"/>
              <w:right w:val="single" w:sz="18" w:space="0" w:color="auto"/>
            </w:tcBorders>
          </w:tcPr>
          <w:p w14:paraId="7EF7A7BF" w14:textId="0D487D94"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85079">
              <w:t xml:space="preserve"> </w:t>
            </w:r>
            <w:r>
              <w:t>-</w:t>
            </w:r>
          </w:p>
        </w:tc>
        <w:tc>
          <w:tcPr>
            <w:tcW w:w="1910" w:type="dxa"/>
            <w:tcBorders>
              <w:top w:val="nil"/>
              <w:left w:val="single" w:sz="18" w:space="0" w:color="auto"/>
              <w:bottom w:val="single" w:sz="4" w:space="0" w:color="auto"/>
              <w:right w:val="single" w:sz="4" w:space="0" w:color="auto"/>
            </w:tcBorders>
            <w:vAlign w:val="center"/>
          </w:tcPr>
          <w:p w14:paraId="7DEB4C62" w14:textId="77777777" w:rsidR="007E5EB9" w:rsidRPr="00122196" w:rsidRDefault="007E5EB9" w:rsidP="007E5EB9">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262626"/>
              </w:rPr>
              <w:t>383</w:t>
            </w:r>
          </w:p>
        </w:tc>
        <w:tc>
          <w:tcPr>
            <w:tcW w:w="1593" w:type="dxa"/>
            <w:tcBorders>
              <w:top w:val="nil"/>
              <w:left w:val="nil"/>
              <w:bottom w:val="single" w:sz="4" w:space="0" w:color="auto"/>
              <w:right w:val="single" w:sz="4" w:space="0" w:color="auto"/>
            </w:tcBorders>
            <w:vAlign w:val="center"/>
          </w:tcPr>
          <w:p w14:paraId="46DE5180" w14:textId="77777777" w:rsidR="007E5EB9" w:rsidRPr="005A51D6" w:rsidRDefault="007E5EB9" w:rsidP="007E5EB9">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262626"/>
              </w:rPr>
              <w:t>383</w:t>
            </w:r>
          </w:p>
        </w:tc>
        <w:tc>
          <w:tcPr>
            <w:tcW w:w="2172" w:type="dxa"/>
            <w:tcBorders>
              <w:top w:val="nil"/>
              <w:left w:val="nil"/>
              <w:bottom w:val="single" w:sz="4" w:space="0" w:color="auto"/>
              <w:right w:val="single" w:sz="8" w:space="0" w:color="auto"/>
            </w:tcBorders>
            <w:vAlign w:val="bottom"/>
          </w:tcPr>
          <w:p w14:paraId="59E965C1" w14:textId="6A503AE1"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$2,950,710</w:t>
            </w:r>
          </w:p>
        </w:tc>
      </w:tr>
      <w:tr w:rsidR="007E5EB9" w:rsidRPr="00122196" w14:paraId="7B2F2545"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6F75DFEC" w14:textId="1DABD443"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2</w:t>
            </w:r>
          </w:p>
        </w:tc>
        <w:tc>
          <w:tcPr>
            <w:tcW w:w="1738" w:type="dxa"/>
            <w:tcBorders>
              <w:top w:val="nil"/>
              <w:left w:val="nil"/>
              <w:bottom w:val="single" w:sz="4" w:space="0" w:color="auto"/>
              <w:right w:val="single" w:sz="4" w:space="0" w:color="auto"/>
            </w:tcBorders>
            <w:noWrap/>
            <w:vAlign w:val="bottom"/>
          </w:tcPr>
          <w:p w14:paraId="181C5420" w14:textId="55C693A6"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7</w:t>
            </w:r>
          </w:p>
        </w:tc>
        <w:tc>
          <w:tcPr>
            <w:tcW w:w="1743" w:type="dxa"/>
            <w:tcBorders>
              <w:top w:val="nil"/>
              <w:left w:val="nil"/>
              <w:bottom w:val="single" w:sz="4" w:space="0" w:color="auto"/>
              <w:right w:val="single" w:sz="4" w:space="0" w:color="auto"/>
            </w:tcBorders>
            <w:vAlign w:val="bottom"/>
          </w:tcPr>
          <w:p w14:paraId="11D41EFA" w14:textId="487DCA90"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7</w:t>
            </w:r>
          </w:p>
        </w:tc>
        <w:tc>
          <w:tcPr>
            <w:tcW w:w="1979" w:type="dxa"/>
            <w:tcBorders>
              <w:top w:val="nil"/>
              <w:left w:val="single" w:sz="4" w:space="0" w:color="auto"/>
              <w:bottom w:val="single" w:sz="4" w:space="0" w:color="auto"/>
              <w:right w:val="single" w:sz="18" w:space="0" w:color="auto"/>
            </w:tcBorders>
          </w:tcPr>
          <w:p w14:paraId="11B51E03" w14:textId="1C8EE0C6"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$393,820 </w:t>
            </w:r>
          </w:p>
        </w:tc>
        <w:tc>
          <w:tcPr>
            <w:tcW w:w="1910" w:type="dxa"/>
            <w:tcBorders>
              <w:top w:val="nil"/>
              <w:left w:val="single" w:sz="18" w:space="0" w:color="auto"/>
              <w:bottom w:val="single" w:sz="4" w:space="0" w:color="auto"/>
              <w:right w:val="single" w:sz="4" w:space="0" w:color="auto"/>
            </w:tcBorders>
            <w:vAlign w:val="center"/>
          </w:tcPr>
          <w:p w14:paraId="6C4D0D9D"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202</w:t>
            </w:r>
          </w:p>
        </w:tc>
        <w:tc>
          <w:tcPr>
            <w:tcW w:w="1593" w:type="dxa"/>
            <w:tcBorders>
              <w:top w:val="nil"/>
              <w:left w:val="nil"/>
              <w:bottom w:val="single" w:sz="4" w:space="0" w:color="auto"/>
              <w:right w:val="single" w:sz="4" w:space="0" w:color="auto"/>
            </w:tcBorders>
            <w:vAlign w:val="center"/>
          </w:tcPr>
          <w:p w14:paraId="63102689"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585</w:t>
            </w:r>
          </w:p>
        </w:tc>
        <w:tc>
          <w:tcPr>
            <w:tcW w:w="2172" w:type="dxa"/>
            <w:tcBorders>
              <w:top w:val="nil"/>
              <w:left w:val="nil"/>
              <w:bottom w:val="single" w:sz="4" w:space="0" w:color="auto"/>
              <w:right w:val="single" w:sz="8" w:space="0" w:color="auto"/>
            </w:tcBorders>
            <w:vAlign w:val="bottom"/>
          </w:tcPr>
          <w:p w14:paraId="7DA34230" w14:textId="0910D2FA"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$3,835,996</w:t>
            </w:r>
          </w:p>
        </w:tc>
      </w:tr>
      <w:tr w:rsidR="007E5EB9" w:rsidRPr="00122196" w14:paraId="35E763C0"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5AB5AF64" w14:textId="2AAFE9A3"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3</w:t>
            </w:r>
          </w:p>
        </w:tc>
        <w:tc>
          <w:tcPr>
            <w:tcW w:w="1738" w:type="dxa"/>
            <w:tcBorders>
              <w:top w:val="nil"/>
              <w:left w:val="nil"/>
              <w:bottom w:val="single" w:sz="4" w:space="0" w:color="auto"/>
              <w:right w:val="single" w:sz="4" w:space="0" w:color="auto"/>
            </w:tcBorders>
            <w:noWrap/>
            <w:vAlign w:val="bottom"/>
          </w:tcPr>
          <w:p w14:paraId="07167BC1" w14:textId="32FB6CCB"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8</w:t>
            </w:r>
          </w:p>
        </w:tc>
        <w:tc>
          <w:tcPr>
            <w:tcW w:w="1743" w:type="dxa"/>
            <w:tcBorders>
              <w:top w:val="nil"/>
              <w:left w:val="nil"/>
              <w:bottom w:val="single" w:sz="4" w:space="0" w:color="auto"/>
              <w:right w:val="single" w:sz="4" w:space="0" w:color="auto"/>
            </w:tcBorders>
            <w:vAlign w:val="bottom"/>
          </w:tcPr>
          <w:p w14:paraId="04964839" w14:textId="0C32DFE0"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15</w:t>
            </w:r>
          </w:p>
        </w:tc>
        <w:tc>
          <w:tcPr>
            <w:tcW w:w="1979" w:type="dxa"/>
            <w:tcBorders>
              <w:top w:val="nil"/>
              <w:left w:val="single" w:sz="4" w:space="0" w:color="auto"/>
              <w:bottom w:val="single" w:sz="4" w:space="0" w:color="auto"/>
              <w:right w:val="single" w:sz="18" w:space="0" w:color="auto"/>
            </w:tcBorders>
          </w:tcPr>
          <w:p w14:paraId="145D7386" w14:textId="4CF795A2"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$521,844 </w:t>
            </w:r>
          </w:p>
        </w:tc>
        <w:tc>
          <w:tcPr>
            <w:tcW w:w="1910" w:type="dxa"/>
            <w:tcBorders>
              <w:top w:val="nil"/>
              <w:left w:val="single" w:sz="18" w:space="0" w:color="auto"/>
              <w:bottom w:val="single" w:sz="4" w:space="0" w:color="auto"/>
              <w:right w:val="single" w:sz="4" w:space="0" w:color="auto"/>
            </w:tcBorders>
            <w:vAlign w:val="center"/>
          </w:tcPr>
          <w:p w14:paraId="602593B9"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rPr>
              <w:t>219</w:t>
            </w:r>
          </w:p>
        </w:tc>
        <w:tc>
          <w:tcPr>
            <w:tcW w:w="1593" w:type="dxa"/>
            <w:tcBorders>
              <w:top w:val="nil"/>
              <w:left w:val="nil"/>
              <w:bottom w:val="single" w:sz="4" w:space="0" w:color="auto"/>
              <w:right w:val="single" w:sz="4" w:space="0" w:color="auto"/>
            </w:tcBorders>
            <w:vAlign w:val="center"/>
          </w:tcPr>
          <w:p w14:paraId="1CA11B51"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804</w:t>
            </w:r>
          </w:p>
        </w:tc>
        <w:tc>
          <w:tcPr>
            <w:tcW w:w="2172" w:type="dxa"/>
            <w:tcBorders>
              <w:top w:val="nil"/>
              <w:left w:val="nil"/>
              <w:bottom w:val="single" w:sz="4" w:space="0" w:color="auto"/>
              <w:right w:val="single" w:sz="8" w:space="0" w:color="auto"/>
            </w:tcBorders>
            <w:vAlign w:val="bottom"/>
          </w:tcPr>
          <w:p w14:paraId="6BA1B69C" w14:textId="5FF18115"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$5,169,341</w:t>
            </w:r>
          </w:p>
        </w:tc>
      </w:tr>
      <w:tr w:rsidR="007E5EB9" w:rsidRPr="00122196" w14:paraId="3B414969"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08EA97F1" w14:textId="367272DC"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4</w:t>
            </w:r>
          </w:p>
        </w:tc>
        <w:tc>
          <w:tcPr>
            <w:tcW w:w="1738" w:type="dxa"/>
            <w:tcBorders>
              <w:top w:val="nil"/>
              <w:left w:val="nil"/>
              <w:bottom w:val="single" w:sz="4" w:space="0" w:color="auto"/>
              <w:right w:val="single" w:sz="4" w:space="0" w:color="auto"/>
            </w:tcBorders>
            <w:noWrap/>
            <w:vAlign w:val="bottom"/>
          </w:tcPr>
          <w:p w14:paraId="2AD3AE33" w14:textId="1FCD0E36"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22</w:t>
            </w:r>
          </w:p>
        </w:tc>
        <w:tc>
          <w:tcPr>
            <w:tcW w:w="1743" w:type="dxa"/>
            <w:tcBorders>
              <w:top w:val="nil"/>
              <w:left w:val="nil"/>
              <w:bottom w:val="single" w:sz="4" w:space="0" w:color="auto"/>
              <w:right w:val="single" w:sz="4" w:space="0" w:color="auto"/>
            </w:tcBorders>
            <w:vAlign w:val="bottom"/>
          </w:tcPr>
          <w:p w14:paraId="15CEB678" w14:textId="5B7A7572"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37</w:t>
            </w:r>
          </w:p>
        </w:tc>
        <w:tc>
          <w:tcPr>
            <w:tcW w:w="1979" w:type="dxa"/>
            <w:tcBorders>
              <w:top w:val="nil"/>
              <w:left w:val="single" w:sz="4" w:space="0" w:color="auto"/>
              <w:bottom w:val="single" w:sz="4" w:space="0" w:color="auto"/>
              <w:right w:val="single" w:sz="18" w:space="0" w:color="auto"/>
            </w:tcBorders>
          </w:tcPr>
          <w:p w14:paraId="363AC833" w14:textId="5B05A94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$1,391,500 </w:t>
            </w:r>
          </w:p>
        </w:tc>
        <w:tc>
          <w:tcPr>
            <w:tcW w:w="1910" w:type="dxa"/>
            <w:tcBorders>
              <w:top w:val="nil"/>
              <w:left w:val="single" w:sz="18" w:space="0" w:color="auto"/>
              <w:bottom w:val="single" w:sz="4" w:space="0" w:color="auto"/>
              <w:right w:val="single" w:sz="4" w:space="0" w:color="auto"/>
            </w:tcBorders>
            <w:vAlign w:val="center"/>
          </w:tcPr>
          <w:p w14:paraId="081F259F"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166</w:t>
            </w:r>
          </w:p>
        </w:tc>
        <w:tc>
          <w:tcPr>
            <w:tcW w:w="1593" w:type="dxa"/>
            <w:tcBorders>
              <w:top w:val="nil"/>
              <w:left w:val="nil"/>
              <w:bottom w:val="single" w:sz="4" w:space="0" w:color="auto"/>
              <w:right w:val="single" w:sz="4" w:space="0" w:color="auto"/>
            </w:tcBorders>
            <w:vAlign w:val="center"/>
          </w:tcPr>
          <w:p w14:paraId="2DF2F71D"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970</w:t>
            </w:r>
          </w:p>
        </w:tc>
        <w:tc>
          <w:tcPr>
            <w:tcW w:w="2172" w:type="dxa"/>
            <w:tcBorders>
              <w:top w:val="nil"/>
              <w:left w:val="nil"/>
              <w:bottom w:val="single" w:sz="4" w:space="0" w:color="auto"/>
              <w:right w:val="single" w:sz="8" w:space="0" w:color="auto"/>
            </w:tcBorders>
            <w:vAlign w:val="bottom"/>
          </w:tcPr>
          <w:p w14:paraId="5CFEEFC5" w14:textId="22AC1648"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$6,064,581</w:t>
            </w:r>
          </w:p>
        </w:tc>
      </w:tr>
      <w:tr w:rsidR="007E5EB9" w:rsidRPr="00122196" w14:paraId="786935A7"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52AA09C0" w14:textId="11A9F2BC"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5</w:t>
            </w:r>
          </w:p>
        </w:tc>
        <w:tc>
          <w:tcPr>
            <w:tcW w:w="1738" w:type="dxa"/>
            <w:tcBorders>
              <w:top w:val="nil"/>
              <w:left w:val="nil"/>
              <w:bottom w:val="single" w:sz="4" w:space="0" w:color="auto"/>
              <w:right w:val="single" w:sz="4" w:space="0" w:color="auto"/>
            </w:tcBorders>
            <w:noWrap/>
            <w:vAlign w:val="bottom"/>
          </w:tcPr>
          <w:p w14:paraId="6044E4F6" w14:textId="2D01D3D3"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34</w:t>
            </w:r>
          </w:p>
        </w:tc>
        <w:tc>
          <w:tcPr>
            <w:tcW w:w="1743" w:type="dxa"/>
            <w:tcBorders>
              <w:top w:val="nil"/>
              <w:left w:val="nil"/>
              <w:bottom w:val="single" w:sz="4" w:space="0" w:color="auto"/>
              <w:right w:val="single" w:sz="4" w:space="0" w:color="auto"/>
            </w:tcBorders>
            <w:vAlign w:val="bottom"/>
          </w:tcPr>
          <w:p w14:paraId="4E10A5E1" w14:textId="6E810D91"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71</w:t>
            </w:r>
          </w:p>
        </w:tc>
        <w:tc>
          <w:tcPr>
            <w:tcW w:w="1979" w:type="dxa"/>
            <w:tcBorders>
              <w:top w:val="nil"/>
              <w:left w:val="single" w:sz="4" w:space="0" w:color="auto"/>
              <w:bottom w:val="single" w:sz="4" w:space="0" w:color="auto"/>
              <w:right w:val="single" w:sz="18" w:space="0" w:color="auto"/>
            </w:tcBorders>
          </w:tcPr>
          <w:p w14:paraId="6FB893E2" w14:textId="7B9B90F5"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$2,292,164 </w:t>
            </w:r>
          </w:p>
        </w:tc>
        <w:tc>
          <w:tcPr>
            <w:tcW w:w="1910" w:type="dxa"/>
            <w:tcBorders>
              <w:top w:val="nil"/>
              <w:left w:val="single" w:sz="18" w:space="0" w:color="auto"/>
              <w:bottom w:val="single" w:sz="4" w:space="0" w:color="auto"/>
              <w:right w:val="single" w:sz="4" w:space="0" w:color="auto"/>
            </w:tcBorders>
            <w:vAlign w:val="center"/>
          </w:tcPr>
          <w:p w14:paraId="170E3B91" w14:textId="77777777" w:rsidR="007E5EB9" w:rsidRPr="00122196" w:rsidRDefault="007E5EB9" w:rsidP="007E5EB9">
            <w:pPr>
              <w:spacing w:after="0" w:line="240" w:lineRule="auto"/>
              <w:jc w:val="center"/>
              <w:rPr>
                <w:rFonts w:ascii="Calibri" w:eastAsia="Times New Roman" w:hAnsi="Calibri" w:cs="Calibri"/>
                <w:color w:val="auto"/>
                <w:kern w:val="2"/>
                <w:lang w:eastAsia="en-AU"/>
                <w14:ligatures w14:val="standardContextual"/>
              </w:rPr>
            </w:pPr>
            <w:r>
              <w:rPr>
                <w:rFonts w:ascii="Calibri" w:hAnsi="Calibri" w:cs="Calibri"/>
                <w:color w:val="262626"/>
              </w:rPr>
              <w:t>306</w:t>
            </w:r>
          </w:p>
        </w:tc>
        <w:tc>
          <w:tcPr>
            <w:tcW w:w="1593" w:type="dxa"/>
            <w:tcBorders>
              <w:top w:val="nil"/>
              <w:left w:val="nil"/>
              <w:bottom w:val="single" w:sz="4" w:space="0" w:color="auto"/>
              <w:right w:val="single" w:sz="4" w:space="0" w:color="auto"/>
            </w:tcBorders>
            <w:vAlign w:val="center"/>
          </w:tcPr>
          <w:p w14:paraId="180FE3E6"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1276</w:t>
            </w:r>
          </w:p>
        </w:tc>
        <w:tc>
          <w:tcPr>
            <w:tcW w:w="2172" w:type="dxa"/>
            <w:tcBorders>
              <w:top w:val="nil"/>
              <w:left w:val="nil"/>
              <w:bottom w:val="single" w:sz="4" w:space="0" w:color="auto"/>
              <w:right w:val="single" w:sz="8" w:space="0" w:color="auto"/>
            </w:tcBorders>
            <w:vAlign w:val="bottom"/>
          </w:tcPr>
          <w:p w14:paraId="34A6A734" w14:textId="3CB186CC"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$8,131,258</w:t>
            </w:r>
          </w:p>
        </w:tc>
      </w:tr>
      <w:tr w:rsidR="007E5EB9" w:rsidRPr="00122196" w14:paraId="076EB303"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773C379C" w14:textId="6DD7A6DE"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6</w:t>
            </w:r>
          </w:p>
        </w:tc>
        <w:tc>
          <w:tcPr>
            <w:tcW w:w="1738" w:type="dxa"/>
            <w:tcBorders>
              <w:top w:val="nil"/>
              <w:left w:val="nil"/>
              <w:bottom w:val="single" w:sz="4" w:space="0" w:color="auto"/>
              <w:right w:val="single" w:sz="4" w:space="0" w:color="auto"/>
            </w:tcBorders>
            <w:noWrap/>
            <w:vAlign w:val="bottom"/>
          </w:tcPr>
          <w:p w14:paraId="5C2E43E5" w14:textId="2C0E6755"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28</w:t>
            </w:r>
          </w:p>
        </w:tc>
        <w:tc>
          <w:tcPr>
            <w:tcW w:w="1743" w:type="dxa"/>
            <w:tcBorders>
              <w:top w:val="nil"/>
              <w:left w:val="nil"/>
              <w:bottom w:val="single" w:sz="4" w:space="0" w:color="auto"/>
              <w:right w:val="single" w:sz="4" w:space="0" w:color="auto"/>
            </w:tcBorders>
            <w:vAlign w:val="bottom"/>
          </w:tcPr>
          <w:p w14:paraId="75EF9B81" w14:textId="572420CC"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99</w:t>
            </w:r>
          </w:p>
        </w:tc>
        <w:tc>
          <w:tcPr>
            <w:tcW w:w="1979" w:type="dxa"/>
            <w:tcBorders>
              <w:top w:val="nil"/>
              <w:left w:val="single" w:sz="4" w:space="0" w:color="auto"/>
              <w:bottom w:val="single" w:sz="4" w:space="0" w:color="auto"/>
              <w:right w:val="single" w:sz="18" w:space="0" w:color="auto"/>
            </w:tcBorders>
          </w:tcPr>
          <w:p w14:paraId="042D929C" w14:textId="31C2A506"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$2,303,172 </w:t>
            </w:r>
          </w:p>
        </w:tc>
        <w:tc>
          <w:tcPr>
            <w:tcW w:w="1910" w:type="dxa"/>
            <w:tcBorders>
              <w:top w:val="nil"/>
              <w:left w:val="single" w:sz="18" w:space="0" w:color="auto"/>
              <w:bottom w:val="single" w:sz="4" w:space="0" w:color="auto"/>
              <w:right w:val="single" w:sz="4" w:space="0" w:color="auto"/>
            </w:tcBorders>
            <w:vAlign w:val="center"/>
          </w:tcPr>
          <w:p w14:paraId="635E3021" w14:textId="77777777" w:rsidR="007E5EB9" w:rsidRPr="00074D5C" w:rsidRDefault="007E5EB9" w:rsidP="007E5EB9">
            <w:pPr>
              <w:spacing w:after="0" w:line="240" w:lineRule="auto"/>
              <w:jc w:val="center"/>
              <w:rPr>
                <w:rFonts w:ascii="Calibri" w:eastAsia="Times New Roman" w:hAnsi="Calibri" w:cs="Calibri"/>
                <w:bCs/>
                <w:color w:val="262626"/>
                <w:kern w:val="2"/>
                <w:lang w:eastAsia="en-AU"/>
                <w14:ligatures w14:val="standardContextual"/>
              </w:rPr>
            </w:pPr>
            <w:r w:rsidRPr="00074D5C">
              <w:rPr>
                <w:rFonts w:ascii="Calibri" w:hAnsi="Calibri" w:cs="Calibri"/>
                <w:bCs/>
                <w:color w:val="262626"/>
              </w:rPr>
              <w:t>2869</w:t>
            </w:r>
          </w:p>
        </w:tc>
        <w:tc>
          <w:tcPr>
            <w:tcW w:w="1593" w:type="dxa"/>
            <w:tcBorders>
              <w:top w:val="nil"/>
              <w:left w:val="nil"/>
              <w:bottom w:val="single" w:sz="4" w:space="0" w:color="auto"/>
              <w:right w:val="single" w:sz="4" w:space="0" w:color="auto"/>
            </w:tcBorders>
            <w:vAlign w:val="center"/>
          </w:tcPr>
          <w:p w14:paraId="2F694A71"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4145</w:t>
            </w:r>
          </w:p>
        </w:tc>
        <w:tc>
          <w:tcPr>
            <w:tcW w:w="2172" w:type="dxa"/>
            <w:tcBorders>
              <w:top w:val="nil"/>
              <w:left w:val="nil"/>
              <w:bottom w:val="single" w:sz="4" w:space="0" w:color="auto"/>
              <w:right w:val="single" w:sz="8" w:space="0" w:color="auto"/>
            </w:tcBorders>
            <w:vAlign w:val="bottom"/>
          </w:tcPr>
          <w:p w14:paraId="75598C77" w14:textId="1A12C80B"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$29,698,546</w:t>
            </w:r>
          </w:p>
        </w:tc>
      </w:tr>
      <w:tr w:rsidR="007E5EB9" w:rsidRPr="00122196" w14:paraId="2734B482"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3CD61E48" w14:textId="244485C7"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7</w:t>
            </w:r>
          </w:p>
        </w:tc>
        <w:tc>
          <w:tcPr>
            <w:tcW w:w="1738" w:type="dxa"/>
            <w:tcBorders>
              <w:top w:val="nil"/>
              <w:left w:val="nil"/>
              <w:bottom w:val="single" w:sz="4" w:space="0" w:color="auto"/>
              <w:right w:val="single" w:sz="4" w:space="0" w:color="auto"/>
            </w:tcBorders>
            <w:noWrap/>
            <w:vAlign w:val="bottom"/>
          </w:tcPr>
          <w:p w14:paraId="7D547FBA" w14:textId="4FBBDC6A"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31</w:t>
            </w:r>
          </w:p>
        </w:tc>
        <w:tc>
          <w:tcPr>
            <w:tcW w:w="1743" w:type="dxa"/>
            <w:tcBorders>
              <w:top w:val="nil"/>
              <w:left w:val="nil"/>
              <w:bottom w:val="single" w:sz="4" w:space="0" w:color="auto"/>
              <w:right w:val="single" w:sz="4" w:space="0" w:color="auto"/>
            </w:tcBorders>
            <w:vAlign w:val="bottom"/>
          </w:tcPr>
          <w:p w14:paraId="2DB4FF07" w14:textId="65403F24"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130</w:t>
            </w:r>
          </w:p>
        </w:tc>
        <w:tc>
          <w:tcPr>
            <w:tcW w:w="1979" w:type="dxa"/>
            <w:tcBorders>
              <w:top w:val="nil"/>
              <w:left w:val="single" w:sz="4" w:space="0" w:color="auto"/>
              <w:bottom w:val="single" w:sz="4" w:space="0" w:color="auto"/>
              <w:right w:val="single" w:sz="18" w:space="0" w:color="auto"/>
            </w:tcBorders>
          </w:tcPr>
          <w:p w14:paraId="13A87E25" w14:textId="561D6D6F"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$2,864,729 </w:t>
            </w:r>
          </w:p>
        </w:tc>
        <w:tc>
          <w:tcPr>
            <w:tcW w:w="1910" w:type="dxa"/>
            <w:tcBorders>
              <w:top w:val="nil"/>
              <w:left w:val="single" w:sz="18" w:space="0" w:color="auto"/>
              <w:bottom w:val="single" w:sz="4" w:space="0" w:color="auto"/>
              <w:right w:val="single" w:sz="4" w:space="0" w:color="auto"/>
            </w:tcBorders>
            <w:vAlign w:val="center"/>
          </w:tcPr>
          <w:p w14:paraId="41FC19AC"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223</w:t>
            </w:r>
          </w:p>
        </w:tc>
        <w:tc>
          <w:tcPr>
            <w:tcW w:w="1593" w:type="dxa"/>
            <w:tcBorders>
              <w:top w:val="nil"/>
              <w:left w:val="nil"/>
              <w:bottom w:val="single" w:sz="4" w:space="0" w:color="auto"/>
              <w:right w:val="single" w:sz="4" w:space="0" w:color="auto"/>
            </w:tcBorders>
            <w:vAlign w:val="center"/>
          </w:tcPr>
          <w:p w14:paraId="7F71B937"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4368</w:t>
            </w:r>
          </w:p>
        </w:tc>
        <w:tc>
          <w:tcPr>
            <w:tcW w:w="2172" w:type="dxa"/>
            <w:tcBorders>
              <w:top w:val="nil"/>
              <w:left w:val="nil"/>
              <w:bottom w:val="single" w:sz="4" w:space="0" w:color="auto"/>
              <w:right w:val="single" w:sz="8" w:space="0" w:color="auto"/>
            </w:tcBorders>
            <w:vAlign w:val="bottom"/>
          </w:tcPr>
          <w:p w14:paraId="48DB7C19" w14:textId="56E430B0"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$26,390,497</w:t>
            </w:r>
          </w:p>
        </w:tc>
      </w:tr>
      <w:tr w:rsidR="007E5EB9" w:rsidRPr="00122196" w14:paraId="36D452CC"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2BFDA882" w14:textId="18268966"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8</w:t>
            </w:r>
          </w:p>
        </w:tc>
        <w:tc>
          <w:tcPr>
            <w:tcW w:w="1738" w:type="dxa"/>
            <w:tcBorders>
              <w:top w:val="nil"/>
              <w:left w:val="nil"/>
              <w:bottom w:val="single" w:sz="4" w:space="0" w:color="auto"/>
              <w:right w:val="single" w:sz="4" w:space="0" w:color="auto"/>
            </w:tcBorders>
            <w:noWrap/>
            <w:vAlign w:val="bottom"/>
          </w:tcPr>
          <w:p w14:paraId="3D364F6E" w14:textId="2A46DA05"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34</w:t>
            </w:r>
          </w:p>
        </w:tc>
        <w:tc>
          <w:tcPr>
            <w:tcW w:w="1743" w:type="dxa"/>
            <w:tcBorders>
              <w:top w:val="nil"/>
              <w:left w:val="nil"/>
              <w:bottom w:val="single" w:sz="4" w:space="0" w:color="auto"/>
              <w:right w:val="single" w:sz="4" w:space="0" w:color="auto"/>
            </w:tcBorders>
            <w:vAlign w:val="bottom"/>
          </w:tcPr>
          <w:p w14:paraId="6791FE62" w14:textId="1A1AAAF2"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164</w:t>
            </w:r>
          </w:p>
        </w:tc>
        <w:tc>
          <w:tcPr>
            <w:tcW w:w="1979" w:type="dxa"/>
            <w:tcBorders>
              <w:top w:val="nil"/>
              <w:left w:val="single" w:sz="4" w:space="0" w:color="auto"/>
              <w:bottom w:val="single" w:sz="4" w:space="0" w:color="auto"/>
              <w:right w:val="single" w:sz="18" w:space="0" w:color="auto"/>
            </w:tcBorders>
          </w:tcPr>
          <w:p w14:paraId="66D8E41E" w14:textId="7EAADF1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$3,366,424 </w:t>
            </w:r>
          </w:p>
        </w:tc>
        <w:tc>
          <w:tcPr>
            <w:tcW w:w="1910" w:type="dxa"/>
            <w:tcBorders>
              <w:top w:val="nil"/>
              <w:left w:val="single" w:sz="18" w:space="0" w:color="auto"/>
              <w:bottom w:val="single" w:sz="4" w:space="0" w:color="auto"/>
              <w:right w:val="single" w:sz="4" w:space="0" w:color="auto"/>
            </w:tcBorders>
            <w:vAlign w:val="center"/>
          </w:tcPr>
          <w:p w14:paraId="29B45008"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218</w:t>
            </w:r>
          </w:p>
        </w:tc>
        <w:tc>
          <w:tcPr>
            <w:tcW w:w="1593" w:type="dxa"/>
            <w:tcBorders>
              <w:top w:val="nil"/>
              <w:left w:val="nil"/>
              <w:bottom w:val="single" w:sz="4" w:space="0" w:color="auto"/>
              <w:right w:val="single" w:sz="4" w:space="0" w:color="auto"/>
            </w:tcBorders>
            <w:vAlign w:val="center"/>
          </w:tcPr>
          <w:p w14:paraId="056F036C"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4586</w:t>
            </w:r>
          </w:p>
        </w:tc>
        <w:tc>
          <w:tcPr>
            <w:tcW w:w="2172" w:type="dxa"/>
            <w:tcBorders>
              <w:top w:val="nil"/>
              <w:left w:val="nil"/>
              <w:bottom w:val="single" w:sz="4" w:space="0" w:color="auto"/>
              <w:right w:val="single" w:sz="8" w:space="0" w:color="auto"/>
            </w:tcBorders>
            <w:vAlign w:val="bottom"/>
          </w:tcPr>
          <w:p w14:paraId="0EE308C6" w14:textId="5C58CA2E"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$27,679,348</w:t>
            </w:r>
          </w:p>
        </w:tc>
      </w:tr>
      <w:tr w:rsidR="007E5EB9" w:rsidRPr="00122196" w14:paraId="6B6DEE0B"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0A791ECD" w14:textId="3F676A0F"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9</w:t>
            </w:r>
          </w:p>
        </w:tc>
        <w:tc>
          <w:tcPr>
            <w:tcW w:w="1738" w:type="dxa"/>
            <w:tcBorders>
              <w:top w:val="nil"/>
              <w:left w:val="nil"/>
              <w:bottom w:val="single" w:sz="4" w:space="0" w:color="auto"/>
              <w:right w:val="single" w:sz="4" w:space="0" w:color="auto"/>
            </w:tcBorders>
            <w:noWrap/>
            <w:vAlign w:val="bottom"/>
          </w:tcPr>
          <w:p w14:paraId="639F44E9" w14:textId="18CD4FD0"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23</w:t>
            </w:r>
          </w:p>
        </w:tc>
        <w:tc>
          <w:tcPr>
            <w:tcW w:w="1743" w:type="dxa"/>
            <w:tcBorders>
              <w:top w:val="nil"/>
              <w:left w:val="nil"/>
              <w:bottom w:val="single" w:sz="4" w:space="0" w:color="auto"/>
              <w:right w:val="single" w:sz="4" w:space="0" w:color="auto"/>
            </w:tcBorders>
            <w:vAlign w:val="bottom"/>
          </w:tcPr>
          <w:p w14:paraId="70237F73" w14:textId="446B89BA"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187</w:t>
            </w:r>
          </w:p>
        </w:tc>
        <w:tc>
          <w:tcPr>
            <w:tcW w:w="1979" w:type="dxa"/>
            <w:tcBorders>
              <w:top w:val="nil"/>
              <w:left w:val="single" w:sz="4" w:space="0" w:color="auto"/>
              <w:bottom w:val="single" w:sz="4" w:space="0" w:color="auto"/>
              <w:right w:val="single" w:sz="18" w:space="0" w:color="auto"/>
            </w:tcBorders>
          </w:tcPr>
          <w:p w14:paraId="1CDD52B2" w14:textId="5C91A398"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$3,307,574 </w:t>
            </w:r>
          </w:p>
        </w:tc>
        <w:tc>
          <w:tcPr>
            <w:tcW w:w="1910" w:type="dxa"/>
            <w:tcBorders>
              <w:top w:val="nil"/>
              <w:left w:val="single" w:sz="18" w:space="0" w:color="auto"/>
              <w:bottom w:val="single" w:sz="4" w:space="0" w:color="auto"/>
              <w:right w:val="single" w:sz="4" w:space="0" w:color="auto"/>
            </w:tcBorders>
            <w:vAlign w:val="center"/>
          </w:tcPr>
          <w:p w14:paraId="71BA2A23"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rPr>
              <w:t>201</w:t>
            </w:r>
          </w:p>
        </w:tc>
        <w:tc>
          <w:tcPr>
            <w:tcW w:w="1593" w:type="dxa"/>
            <w:tcBorders>
              <w:top w:val="nil"/>
              <w:left w:val="nil"/>
              <w:bottom w:val="single" w:sz="4" w:space="0" w:color="auto"/>
              <w:right w:val="single" w:sz="4" w:space="0" w:color="auto"/>
            </w:tcBorders>
            <w:vAlign w:val="center"/>
          </w:tcPr>
          <w:p w14:paraId="0DEF78C1"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4787</w:t>
            </w:r>
          </w:p>
        </w:tc>
        <w:tc>
          <w:tcPr>
            <w:tcW w:w="2172" w:type="dxa"/>
            <w:tcBorders>
              <w:top w:val="nil"/>
              <w:left w:val="nil"/>
              <w:bottom w:val="single" w:sz="4" w:space="0" w:color="auto"/>
              <w:right w:val="single" w:sz="8" w:space="0" w:color="auto"/>
            </w:tcBorders>
            <w:vAlign w:val="bottom"/>
          </w:tcPr>
          <w:p w14:paraId="36F8374A" w14:textId="55F70544"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$28,845,987</w:t>
            </w:r>
          </w:p>
        </w:tc>
      </w:tr>
      <w:tr w:rsidR="007E5EB9" w:rsidRPr="00122196" w14:paraId="3C653C54" w14:textId="77777777" w:rsidTr="000C6129">
        <w:trPr>
          <w:trHeight w:val="255"/>
        </w:trPr>
        <w:tc>
          <w:tcPr>
            <w:tcW w:w="2185" w:type="dxa"/>
            <w:tcBorders>
              <w:top w:val="nil"/>
              <w:left w:val="single" w:sz="8" w:space="0" w:color="auto"/>
              <w:bottom w:val="single" w:sz="4" w:space="0" w:color="auto"/>
              <w:right w:val="single" w:sz="8" w:space="0" w:color="auto"/>
            </w:tcBorders>
            <w:shd w:val="clear" w:color="auto" w:fill="F2F2F2" w:themeFill="background1" w:themeFillShade="F2"/>
            <w:noWrap/>
            <w:vAlign w:val="center"/>
          </w:tcPr>
          <w:p w14:paraId="735205DE" w14:textId="7CC85D5C" w:rsidR="007E5EB9" w:rsidRPr="00122196" w:rsidRDefault="007E5EB9" w:rsidP="007E5EB9">
            <w:pPr>
              <w:spacing w:after="0" w:line="240" w:lineRule="auto"/>
              <w:jc w:val="center"/>
              <w:rPr>
                <w:rFonts w:ascii="Calibri" w:eastAsia="Times New Roman" w:hAnsi="Calibri" w:cs="Calibri"/>
                <w:color w:val="000000"/>
                <w:kern w:val="2"/>
                <w:lang w:eastAsia="en-AU"/>
                <w14:ligatures w14:val="standardContextual"/>
              </w:rPr>
            </w:pPr>
            <w:r w:rsidRPr="00122196">
              <w:rPr>
                <w:rFonts w:ascii="Calibri" w:eastAsia="Times New Roman" w:hAnsi="Calibri" w:cs="Calibri"/>
                <w:color w:val="auto"/>
                <w:kern w:val="2"/>
                <w:lang w:eastAsia="en-AU"/>
                <w14:ligatures w14:val="standardContextual"/>
              </w:rPr>
              <w:t xml:space="preserve">Year </w:t>
            </w:r>
            <w:r>
              <w:rPr>
                <w:rFonts w:ascii="Calibri" w:eastAsia="Times New Roman" w:hAnsi="Calibri" w:cs="Calibri"/>
                <w:color w:val="auto"/>
                <w:kern w:val="2"/>
                <w:lang w:eastAsia="en-AU"/>
                <w14:ligatures w14:val="standardContextual"/>
              </w:rPr>
              <w:t>10</w:t>
            </w:r>
          </w:p>
        </w:tc>
        <w:tc>
          <w:tcPr>
            <w:tcW w:w="1738" w:type="dxa"/>
            <w:tcBorders>
              <w:top w:val="nil"/>
              <w:left w:val="nil"/>
              <w:bottom w:val="single" w:sz="4" w:space="0" w:color="auto"/>
              <w:right w:val="single" w:sz="4" w:space="0" w:color="auto"/>
            </w:tcBorders>
            <w:noWrap/>
            <w:vAlign w:val="bottom"/>
          </w:tcPr>
          <w:p w14:paraId="2CB808D1" w14:textId="7ACC593B" w:rsidR="007E5EB9" w:rsidRPr="0029009F" w:rsidRDefault="007E5EB9" w:rsidP="007E5EB9">
            <w:pPr>
              <w:spacing w:after="0" w:line="240" w:lineRule="auto"/>
              <w:jc w:val="center"/>
              <w:rPr>
                <w:rFonts w:ascii="Calibri" w:eastAsia="Times New Roman" w:hAnsi="Calibri" w:cs="Calibri"/>
                <w:color w:val="auto"/>
                <w:kern w:val="2"/>
                <w:lang w:eastAsia="en-AU"/>
                <w14:ligatures w14:val="standardContextual"/>
              </w:rPr>
            </w:pPr>
            <w:r w:rsidRPr="0029009F">
              <w:rPr>
                <w:rFonts w:ascii="Calibri" w:hAnsi="Calibri" w:cs="Calibri"/>
                <w:color w:val="000000"/>
              </w:rPr>
              <w:t>26</w:t>
            </w:r>
          </w:p>
        </w:tc>
        <w:tc>
          <w:tcPr>
            <w:tcW w:w="1743" w:type="dxa"/>
            <w:tcBorders>
              <w:top w:val="nil"/>
              <w:left w:val="nil"/>
              <w:bottom w:val="single" w:sz="4" w:space="0" w:color="auto"/>
              <w:right w:val="single" w:sz="4" w:space="0" w:color="auto"/>
            </w:tcBorders>
            <w:vAlign w:val="bottom"/>
          </w:tcPr>
          <w:p w14:paraId="2B36F472" w14:textId="557EB002" w:rsidR="007E5EB9" w:rsidRPr="0029009F"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29009F">
              <w:rPr>
                <w:rFonts w:ascii="Calibri" w:hAnsi="Calibri" w:cs="Calibri"/>
                <w:color w:val="000000"/>
              </w:rPr>
              <w:t>213</w:t>
            </w:r>
          </w:p>
        </w:tc>
        <w:tc>
          <w:tcPr>
            <w:tcW w:w="1979" w:type="dxa"/>
            <w:tcBorders>
              <w:top w:val="nil"/>
              <w:left w:val="single" w:sz="4" w:space="0" w:color="auto"/>
              <w:bottom w:val="single" w:sz="4" w:space="0" w:color="auto"/>
              <w:right w:val="single" w:sz="18" w:space="0" w:color="auto"/>
            </w:tcBorders>
          </w:tcPr>
          <w:p w14:paraId="764C8DEE" w14:textId="143CEA9A"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567E9E">
              <w:t xml:space="preserve"> $3,893,386 </w:t>
            </w:r>
          </w:p>
        </w:tc>
        <w:tc>
          <w:tcPr>
            <w:tcW w:w="1910" w:type="dxa"/>
            <w:tcBorders>
              <w:top w:val="nil"/>
              <w:left w:val="single" w:sz="18" w:space="0" w:color="auto"/>
              <w:bottom w:val="single" w:sz="4" w:space="0" w:color="auto"/>
              <w:right w:val="single" w:sz="4" w:space="0" w:color="auto"/>
            </w:tcBorders>
            <w:vAlign w:val="bottom"/>
          </w:tcPr>
          <w:p w14:paraId="71EDDF77"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sidRPr="00E76953">
              <w:rPr>
                <w:rFonts w:ascii="Calibri" w:hAnsi="Calibri" w:cs="Calibri"/>
                <w:color w:val="000000" w:themeColor="text1"/>
              </w:rPr>
              <w:t>210</w:t>
            </w:r>
          </w:p>
        </w:tc>
        <w:tc>
          <w:tcPr>
            <w:tcW w:w="1593" w:type="dxa"/>
            <w:tcBorders>
              <w:top w:val="nil"/>
              <w:left w:val="nil"/>
              <w:bottom w:val="single" w:sz="4" w:space="0" w:color="auto"/>
              <w:right w:val="single" w:sz="4" w:space="0" w:color="auto"/>
            </w:tcBorders>
            <w:vAlign w:val="center"/>
          </w:tcPr>
          <w:p w14:paraId="4DA2C9BF" w14:textId="77777777"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262626"/>
              </w:rPr>
              <w:t>4997</w:t>
            </w:r>
          </w:p>
        </w:tc>
        <w:tc>
          <w:tcPr>
            <w:tcW w:w="2172" w:type="dxa"/>
            <w:tcBorders>
              <w:top w:val="nil"/>
              <w:left w:val="nil"/>
              <w:bottom w:val="single" w:sz="4" w:space="0" w:color="auto"/>
              <w:right w:val="single" w:sz="8" w:space="0" w:color="auto"/>
            </w:tcBorders>
            <w:vAlign w:val="bottom"/>
          </w:tcPr>
          <w:p w14:paraId="7922856A" w14:textId="2A638216" w:rsidR="007E5EB9" w:rsidRPr="00122196" w:rsidRDefault="007E5EB9" w:rsidP="007E5EB9">
            <w:pPr>
              <w:spacing w:after="0" w:line="240" w:lineRule="auto"/>
              <w:jc w:val="center"/>
              <w:rPr>
                <w:rFonts w:ascii="Calibri" w:eastAsia="Times New Roman" w:hAnsi="Calibri" w:cs="Calibri"/>
                <w:color w:val="262626"/>
                <w:kern w:val="2"/>
                <w:lang w:eastAsia="en-AU"/>
                <w14:ligatures w14:val="standardContextual"/>
              </w:rPr>
            </w:pPr>
            <w:r>
              <w:rPr>
                <w:rFonts w:ascii="Calibri" w:hAnsi="Calibri" w:cs="Calibri"/>
                <w:color w:val="000000"/>
              </w:rPr>
              <w:t xml:space="preserve">$30,111,746 </w:t>
            </w:r>
          </w:p>
        </w:tc>
      </w:tr>
    </w:tbl>
    <w:p w14:paraId="622CA15D" w14:textId="33F0BCD8" w:rsidR="00D5581F" w:rsidRPr="0088319B" w:rsidRDefault="00D5581F" w:rsidP="00385AC2">
      <w:pPr>
        <w:keepNext/>
        <w:keepLines/>
        <w:spacing w:after="60"/>
        <w:outlineLvl w:val="0"/>
      </w:pPr>
    </w:p>
    <w:sectPr w:rsidR="00D5581F" w:rsidRPr="0088319B" w:rsidSect="0004173E">
      <w:pgSz w:w="16838" w:h="11906" w:orient="landscape" w:code="9"/>
      <w:pgMar w:top="567" w:right="1440" w:bottom="567" w:left="73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367AD" w14:textId="77777777" w:rsidR="007F714F" w:rsidRDefault="007F714F" w:rsidP="00B95533">
      <w:pPr>
        <w:spacing w:after="0" w:line="240" w:lineRule="auto"/>
      </w:pPr>
      <w:r>
        <w:separator/>
      </w:r>
    </w:p>
  </w:endnote>
  <w:endnote w:type="continuationSeparator" w:id="0">
    <w:p w14:paraId="4FFAC386" w14:textId="77777777" w:rsidR="007F714F" w:rsidRDefault="007F714F" w:rsidP="00B95533">
      <w:pPr>
        <w:spacing w:after="0" w:line="240" w:lineRule="auto"/>
      </w:pPr>
      <w:r>
        <w:continuationSeparator/>
      </w:r>
    </w:p>
  </w:endnote>
  <w:endnote w:type="continuationNotice" w:id="1">
    <w:p w14:paraId="44ACCC55" w14:textId="77777777" w:rsidR="007F714F" w:rsidRDefault="007F71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libri"/>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1ABC" w14:textId="368625FA" w:rsidR="00766072" w:rsidRDefault="00D31A45">
    <w:pPr>
      <w:pStyle w:val="Footer"/>
    </w:pPr>
    <w:r>
      <w:rPr>
        <w:noProof/>
        <w:lang w:eastAsia="en-AU"/>
      </w:rPr>
      <mc:AlternateContent>
        <mc:Choice Requires="wps">
          <w:drawing>
            <wp:anchor distT="0" distB="0" distL="0" distR="0" simplePos="0" relativeHeight="251658252" behindDoc="0" locked="0" layoutInCell="1" allowOverlap="1" wp14:anchorId="536BBCCA" wp14:editId="7BEC514A">
              <wp:simplePos x="635" y="635"/>
              <wp:positionH relativeFrom="page">
                <wp:align>center</wp:align>
              </wp:positionH>
              <wp:positionV relativeFrom="page">
                <wp:align>bottom</wp:align>
              </wp:positionV>
              <wp:extent cx="551815" cy="394970"/>
              <wp:effectExtent l="0" t="0" r="635" b="0"/>
              <wp:wrapNone/>
              <wp:docPr id="93148230" name="Text Box 2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2D9F7CAC" w14:textId="5A7EAEB8"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36BBCCA" id="_x0000_t202" coordsize="21600,21600" o:spt="202" path="m,l,21600r21600,l21600,xe">
              <v:stroke joinstyle="miter"/>
              <v:path gradientshapeok="t" o:connecttype="rect"/>
            </v:shapetype>
            <v:shape id="Text Box 23" o:spid="_x0000_s1029" type="#_x0000_t202" alt="OFFICIAL" style="position:absolute;left:0;text-align:left;margin-left:0;margin-top:0;width:43.45pt;height:31.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" filled="f" stroked="f">
              <v:textbox style="mso-fit-shape-to-text:t" inset="0,0,0,15pt">
                <w:txbxContent>
                  <w:p w14:paraId="2D9F7CAC" w14:textId="5A7EAEB8"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mc:AlternateContent>
        <mc:Choice Requires="wps">
          <w:drawing>
            <wp:anchor distT="0" distB="0" distL="0" distR="0" simplePos="0" relativeHeight="251658249" behindDoc="0" locked="0" layoutInCell="1" allowOverlap="1" wp14:anchorId="0C19F2C9" wp14:editId="6B779E8A">
              <wp:simplePos x="635" y="635"/>
              <wp:positionH relativeFrom="page">
                <wp:align>center</wp:align>
              </wp:positionH>
              <wp:positionV relativeFrom="page">
                <wp:align>bottom</wp:align>
              </wp:positionV>
              <wp:extent cx="551815" cy="394970"/>
              <wp:effectExtent l="0" t="0" r="635" b="0"/>
              <wp:wrapNone/>
              <wp:docPr id="1052788036" name="Text Box 2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0AA6C887" w14:textId="3B679FE3"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19F2C9" id="Text Box 20" o:spid="_x0000_s1030" type="#_x0000_t202" alt="OFFICIAL" style="position:absolute;left:0;text-align:left;margin-left:0;margin-top:0;width:43.45pt;height:31.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" filled="f" stroked="f">
              <v:textbox style="mso-fit-shape-to-text:t" inset="0,0,0,15pt">
                <w:txbxContent>
                  <w:p w14:paraId="0AA6C887" w14:textId="3B679FE3"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81FA7" w14:textId="6B671AA0" w:rsidR="00766072" w:rsidRPr="00311B15" w:rsidRDefault="00766072" w:rsidP="00CB3CE2">
    <w:pPr>
      <w:pStyle w:val="Footerline"/>
      <w:tabs>
        <w:tab w:val="right" w:pos="14547"/>
      </w:tabs>
      <w:rPr>
        <w:rFonts w:cstheme="minorHAnsi"/>
        <w:b/>
        <w:bCs/>
        <w:sz w:val="16"/>
        <w:szCs w:val="16"/>
      </w:rPr>
    </w:pPr>
    <w:r>
      <w:rPr>
        <w:lang w:eastAsia="en-AU"/>
      </w:rPr>
      <mc:AlternateContent>
        <mc:Choice Requires="wps">
          <w:drawing>
            <wp:anchor distT="45720" distB="45720" distL="114300" distR="114300" simplePos="0" relativeHeight="251658240" behindDoc="0" locked="1" layoutInCell="1" allowOverlap="1" wp14:anchorId="2C92C50F" wp14:editId="51FE9FDF">
              <wp:simplePos x="0" y="0"/>
              <wp:positionH relativeFrom="margin">
                <wp:posOffset>6146165</wp:posOffset>
              </wp:positionH>
              <wp:positionV relativeFrom="page">
                <wp:posOffset>10203815</wp:posOffset>
              </wp:positionV>
              <wp:extent cx="332105" cy="478790"/>
              <wp:effectExtent l="0" t="0" r="10795" b="0"/>
              <wp:wrapNone/>
              <wp:docPr id="458910636" name="Text Box 458910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78790"/>
                      </a:xfrm>
                      <a:prstGeom prst="rect">
                        <a:avLst/>
                      </a:prstGeom>
                      <a:noFill/>
                      <a:ln w="9525">
                        <a:noFill/>
                        <a:miter lim="800000"/>
                        <a:headEnd/>
                        <a:tailEnd/>
                      </a:ln>
                    </wps:spPr>
                    <wps:txbx>
                      <w:txbxContent>
                        <w:p w14:paraId="3F94830C" w14:textId="07FCE2A3" w:rsidR="00766072" w:rsidRPr="00D21FA2" w:rsidRDefault="00766072" w:rsidP="001007B9">
                          <w:pPr>
                            <w:pStyle w:val="Footer"/>
                            <w:rPr>
                              <w:rFonts w:asciiTheme="minorHAnsi" w:hAnsiTheme="minorHAnsi" w:cstheme="minorHAnsi"/>
                              <w:b w:val="0"/>
                              <w:bCs/>
                              <w:sz w:val="16"/>
                              <w:szCs w:val="16"/>
                            </w:rPr>
                          </w:pPr>
                          <w:r w:rsidRPr="005A51D6">
                            <w:rPr>
                              <w:rFonts w:asciiTheme="minorHAnsi" w:hAnsiTheme="minorHAnsi" w:cstheme="minorHAnsi"/>
                              <w:b w:val="0"/>
                              <w:bCs/>
                              <w:sz w:val="16"/>
                              <w:szCs w:val="16"/>
                            </w:rPr>
                            <w:fldChar w:fldCharType="begin"/>
                          </w:r>
                          <w:r w:rsidRPr="005A51D6">
                            <w:rPr>
                              <w:rFonts w:asciiTheme="minorHAnsi" w:hAnsiTheme="minorHAnsi" w:cstheme="minorHAnsi"/>
                              <w:b w:val="0"/>
                              <w:bCs/>
                              <w:sz w:val="16"/>
                              <w:szCs w:val="16"/>
                            </w:rPr>
                            <w:instrText xml:space="preserve"> PAGE   \* MERGEFORMAT </w:instrText>
                          </w:r>
                          <w:r w:rsidRPr="005A51D6">
                            <w:rPr>
                              <w:rFonts w:asciiTheme="minorHAnsi" w:hAnsiTheme="minorHAnsi" w:cstheme="minorHAnsi"/>
                              <w:b w:val="0"/>
                              <w:bCs/>
                              <w:sz w:val="16"/>
                              <w:szCs w:val="16"/>
                            </w:rPr>
                            <w:fldChar w:fldCharType="separate"/>
                          </w:r>
                          <w:r w:rsidR="00150571">
                            <w:rPr>
                              <w:rFonts w:asciiTheme="minorHAnsi" w:hAnsiTheme="minorHAnsi" w:cstheme="minorHAnsi"/>
                              <w:b w:val="0"/>
                              <w:bCs/>
                              <w:noProof/>
                              <w:sz w:val="16"/>
                              <w:szCs w:val="16"/>
                            </w:rPr>
                            <w:t>2</w:t>
                          </w:r>
                          <w:r w:rsidRPr="005A51D6">
                            <w:rPr>
                              <w:rFonts w:asciiTheme="minorHAnsi" w:hAnsiTheme="minorHAnsi" w:cstheme="minorHAnsi"/>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92C50F" id="_x0000_t202" coordsize="21600,21600" o:spt="202" path="m,l,21600r21600,l21600,xe">
              <v:stroke joinstyle="miter"/>
              <v:path gradientshapeok="t" o:connecttype="rect"/>
            </v:shapetype>
            <v:shape id="Text Box 458910636" o:spid="_x0000_s1031" type="#_x0000_t202" style="position:absolute;margin-left:483.95pt;margin-top:803.45pt;width:26.15pt;height:37.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" filled="f" stroked="f">
              <v:textbox inset="0,0,0,0">
                <w:txbxContent>
                  <w:p w14:paraId="3F94830C" w14:textId="07FCE2A3" w:rsidR="00766072" w:rsidRPr="00D21FA2" w:rsidRDefault="00766072" w:rsidP="001007B9">
                    <w:pPr>
                      <w:pStyle w:val="Footer"/>
                      <w:rPr>
                        <w:rFonts w:asciiTheme="minorHAnsi" w:hAnsiTheme="minorHAnsi" w:cstheme="minorHAnsi"/>
                        <w:b w:val="0"/>
                        <w:bCs/>
                        <w:sz w:val="16"/>
                        <w:szCs w:val="16"/>
                      </w:rPr>
                    </w:pPr>
                    <w:r w:rsidRPr="005A51D6">
                      <w:rPr>
                        <w:rFonts w:asciiTheme="minorHAnsi" w:hAnsiTheme="minorHAnsi" w:cstheme="minorHAnsi"/>
                        <w:b w:val="0"/>
                        <w:bCs/>
                        <w:sz w:val="16"/>
                        <w:szCs w:val="16"/>
                      </w:rPr>
                      <w:fldChar w:fldCharType="begin"/>
                    </w:r>
                    <w:r w:rsidRPr="005A51D6">
                      <w:rPr>
                        <w:rFonts w:asciiTheme="minorHAnsi" w:hAnsiTheme="minorHAnsi" w:cstheme="minorHAnsi"/>
                        <w:b w:val="0"/>
                        <w:bCs/>
                        <w:sz w:val="16"/>
                        <w:szCs w:val="16"/>
                      </w:rPr>
                      <w:instrText xml:space="preserve"> PAGE   \* MERGEFORMAT </w:instrText>
                    </w:r>
                    <w:r w:rsidRPr="005A51D6">
                      <w:rPr>
                        <w:rFonts w:asciiTheme="minorHAnsi" w:hAnsiTheme="minorHAnsi" w:cstheme="minorHAnsi"/>
                        <w:b w:val="0"/>
                        <w:bCs/>
                        <w:sz w:val="16"/>
                        <w:szCs w:val="16"/>
                      </w:rPr>
                      <w:fldChar w:fldCharType="separate"/>
                    </w:r>
                    <w:r w:rsidR="00150571">
                      <w:rPr>
                        <w:rFonts w:asciiTheme="minorHAnsi" w:hAnsiTheme="minorHAnsi" w:cstheme="minorHAnsi"/>
                        <w:b w:val="0"/>
                        <w:bCs/>
                        <w:noProof/>
                        <w:sz w:val="16"/>
                        <w:szCs w:val="16"/>
                      </w:rPr>
                      <w:t>2</w:t>
                    </w:r>
                    <w:r w:rsidRPr="005A51D6">
                      <w:rPr>
                        <w:rFonts w:asciiTheme="minorHAnsi" w:hAnsiTheme="minorHAnsi" w:cstheme="minorHAnsi"/>
                        <w:b w:val="0"/>
                        <w:bCs/>
                        <w:noProof/>
                        <w:sz w:val="16"/>
                        <w:szCs w:val="16"/>
                      </w:rPr>
                      <w:fldChar w:fldCharType="end"/>
                    </w:r>
                  </w:p>
                </w:txbxContent>
              </v:textbox>
              <w10:wrap anchorx="margin" anchory="page"/>
              <w10:anchorlock/>
            </v:shape>
          </w:pict>
        </mc:Fallback>
      </mc:AlternateContent>
    </w:r>
    <w:r w:rsidRPr="00DC21A0">
      <w:rPr>
        <w:rFonts w:cstheme="minorHAnsi"/>
        <w:bCs/>
        <w:sz w:val="16"/>
        <w:szCs w:val="16"/>
      </w:rPr>
      <w:t xml:space="preserve">DCCEEW | </w:t>
    </w:r>
    <w:sdt>
      <w:sdtPr>
        <w:rPr>
          <w:rFonts w:cstheme="minorHAnsi"/>
          <w:b/>
          <w:bCs/>
          <w:caps w:val="0"/>
          <w:sz w:val="16"/>
          <w:szCs w:val="16"/>
        </w:rPr>
        <w:alias w:val="Document Heading"/>
        <w:tag w:val="DH"/>
        <w:id w:val="-883257012"/>
        <w:placeholder>
          <w:docPart w:val="219620ADD92642389C5D4B3C4F0DC506"/>
        </w:placeholder>
        <w:dataBinding w:xpath="/root[1]/DH[1]" w:storeItemID="{00000000-0000-0000-0000-000000000000}"/>
        <w:text/>
      </w:sdtPr>
      <w:sdtEndPr/>
      <w:sdtContent>
        <w:r w:rsidRPr="00DC21A0">
          <w:rPr>
            <w:rFonts w:cstheme="minorHAnsi"/>
            <w:bCs/>
            <w:caps w:val="0"/>
            <w:sz w:val="16"/>
            <w:szCs w:val="16"/>
          </w:rPr>
          <w:t>Implementing a Guarantee of Origin Scheme</w:t>
        </w:r>
      </w:sdtContent>
    </w:sdt>
    <w:r w:rsidR="00CB3CE2">
      <w:rPr>
        <w:rFonts w:cstheme="minorHAnsi"/>
        <w:b/>
        <w:bCs/>
        <w:caps w:val="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57E0D" w14:textId="77777777" w:rsidR="00652BAB" w:rsidRDefault="00652B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990B" w14:textId="64E4B0AC" w:rsidR="00CB3CE2" w:rsidRPr="005667AB" w:rsidRDefault="00CB3CE2" w:rsidP="00CB3CE2">
    <w:pPr>
      <w:pStyle w:val="Footerline"/>
      <w:tabs>
        <w:tab w:val="right" w:pos="14547"/>
      </w:tabs>
      <w:rPr>
        <w:rFonts w:cstheme="minorHAnsi"/>
        <w:bCs/>
        <w:color w:val="014463" w:themeColor="text2"/>
        <w:sz w:val="16"/>
        <w:szCs w:val="16"/>
      </w:rPr>
    </w:pPr>
    <w:r>
      <w:rPr>
        <w:lang w:eastAsia="en-AU"/>
      </w:rPr>
      <mc:AlternateContent>
        <mc:Choice Requires="wps">
          <w:drawing>
            <wp:anchor distT="45720" distB="45720" distL="114300" distR="114300" simplePos="0" relativeHeight="251660300" behindDoc="0" locked="1" layoutInCell="1" allowOverlap="1" wp14:anchorId="2EA50926" wp14:editId="0C5CBB98">
              <wp:simplePos x="0" y="0"/>
              <wp:positionH relativeFrom="margin">
                <wp:posOffset>6146165</wp:posOffset>
              </wp:positionH>
              <wp:positionV relativeFrom="page">
                <wp:posOffset>10203815</wp:posOffset>
              </wp:positionV>
              <wp:extent cx="332105" cy="478790"/>
              <wp:effectExtent l="0" t="0" r="10795" b="0"/>
              <wp:wrapNone/>
              <wp:docPr id="1975778118" name="Text Box 1975778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78790"/>
                      </a:xfrm>
                      <a:prstGeom prst="rect">
                        <a:avLst/>
                      </a:prstGeom>
                      <a:noFill/>
                      <a:ln w="9525">
                        <a:noFill/>
                        <a:miter lim="800000"/>
                        <a:headEnd/>
                        <a:tailEnd/>
                      </a:ln>
                    </wps:spPr>
                    <wps:txbx>
                      <w:txbxContent>
                        <w:p w14:paraId="3537A4E4" w14:textId="13CC75E5" w:rsidR="00CB3CE2" w:rsidRPr="00D21FA2" w:rsidRDefault="00CB3CE2" w:rsidP="001007B9">
                          <w:pPr>
                            <w:pStyle w:val="Footer"/>
                            <w:rPr>
                              <w:rFonts w:asciiTheme="minorHAnsi" w:hAnsiTheme="minorHAnsi" w:cstheme="minorHAnsi"/>
                              <w:b w:val="0"/>
                              <w:bCs/>
                              <w:sz w:val="16"/>
                              <w:szCs w:val="16"/>
                            </w:rPr>
                          </w:pPr>
                          <w:r w:rsidRPr="005A51D6">
                            <w:rPr>
                              <w:rFonts w:asciiTheme="minorHAnsi" w:hAnsiTheme="minorHAnsi" w:cstheme="minorHAnsi"/>
                              <w:b w:val="0"/>
                              <w:bCs/>
                              <w:sz w:val="16"/>
                              <w:szCs w:val="16"/>
                            </w:rPr>
                            <w:fldChar w:fldCharType="begin"/>
                          </w:r>
                          <w:r w:rsidRPr="005A51D6">
                            <w:rPr>
                              <w:rFonts w:asciiTheme="minorHAnsi" w:hAnsiTheme="minorHAnsi" w:cstheme="minorHAnsi"/>
                              <w:b w:val="0"/>
                              <w:bCs/>
                              <w:sz w:val="16"/>
                              <w:szCs w:val="16"/>
                            </w:rPr>
                            <w:instrText xml:space="preserve"> PAGE   \* MERGEFORMAT </w:instrText>
                          </w:r>
                          <w:r w:rsidRPr="005A51D6">
                            <w:rPr>
                              <w:rFonts w:asciiTheme="minorHAnsi" w:hAnsiTheme="minorHAnsi" w:cstheme="minorHAnsi"/>
                              <w:b w:val="0"/>
                              <w:bCs/>
                              <w:sz w:val="16"/>
                              <w:szCs w:val="16"/>
                            </w:rPr>
                            <w:fldChar w:fldCharType="separate"/>
                          </w:r>
                          <w:r w:rsidR="00150571">
                            <w:rPr>
                              <w:rFonts w:asciiTheme="minorHAnsi" w:hAnsiTheme="minorHAnsi" w:cstheme="minorHAnsi"/>
                              <w:b w:val="0"/>
                              <w:bCs/>
                              <w:noProof/>
                              <w:sz w:val="16"/>
                              <w:szCs w:val="16"/>
                            </w:rPr>
                            <w:t>48</w:t>
                          </w:r>
                          <w:r w:rsidRPr="005A51D6">
                            <w:rPr>
                              <w:rFonts w:asciiTheme="minorHAnsi" w:hAnsiTheme="minorHAnsi" w:cstheme="minorHAnsi"/>
                              <w:b w:val="0"/>
                              <w:bCs/>
                              <w:noProof/>
                              <w:sz w:val="16"/>
                              <w:szCs w:val="16"/>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A50926" id="_x0000_t202" coordsize="21600,21600" o:spt="202" path="m,l,21600r21600,l21600,xe">
              <v:stroke joinstyle="miter"/>
              <v:path gradientshapeok="t" o:connecttype="rect"/>
            </v:shapetype>
            <v:shape id="Text Box 1975778118" o:spid="_x0000_s1032" type="#_x0000_t202" style="position:absolute;margin-left:483.95pt;margin-top:803.45pt;width:26.15pt;height:37.7pt;z-index:251660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" filled="f" stroked="f">
              <v:textbox inset="0,0,0,0">
                <w:txbxContent>
                  <w:p w14:paraId="3537A4E4" w14:textId="13CC75E5" w:rsidR="00CB3CE2" w:rsidRPr="00D21FA2" w:rsidRDefault="00CB3CE2" w:rsidP="001007B9">
                    <w:pPr>
                      <w:pStyle w:val="Footer"/>
                      <w:rPr>
                        <w:rFonts w:asciiTheme="minorHAnsi" w:hAnsiTheme="minorHAnsi" w:cstheme="minorHAnsi"/>
                        <w:b w:val="0"/>
                        <w:bCs/>
                        <w:sz w:val="16"/>
                        <w:szCs w:val="16"/>
                      </w:rPr>
                    </w:pPr>
                    <w:r w:rsidRPr="005A51D6">
                      <w:rPr>
                        <w:rFonts w:asciiTheme="minorHAnsi" w:hAnsiTheme="minorHAnsi" w:cstheme="minorHAnsi"/>
                        <w:b w:val="0"/>
                        <w:bCs/>
                        <w:sz w:val="16"/>
                        <w:szCs w:val="16"/>
                      </w:rPr>
                      <w:fldChar w:fldCharType="begin"/>
                    </w:r>
                    <w:r w:rsidRPr="005A51D6">
                      <w:rPr>
                        <w:rFonts w:asciiTheme="minorHAnsi" w:hAnsiTheme="minorHAnsi" w:cstheme="minorHAnsi"/>
                        <w:b w:val="0"/>
                        <w:bCs/>
                        <w:sz w:val="16"/>
                        <w:szCs w:val="16"/>
                      </w:rPr>
                      <w:instrText xml:space="preserve"> PAGE   \* MERGEFORMAT </w:instrText>
                    </w:r>
                    <w:r w:rsidRPr="005A51D6">
                      <w:rPr>
                        <w:rFonts w:asciiTheme="minorHAnsi" w:hAnsiTheme="minorHAnsi" w:cstheme="minorHAnsi"/>
                        <w:b w:val="0"/>
                        <w:bCs/>
                        <w:sz w:val="16"/>
                        <w:szCs w:val="16"/>
                      </w:rPr>
                      <w:fldChar w:fldCharType="separate"/>
                    </w:r>
                    <w:r w:rsidR="00150571">
                      <w:rPr>
                        <w:rFonts w:asciiTheme="minorHAnsi" w:hAnsiTheme="minorHAnsi" w:cstheme="minorHAnsi"/>
                        <w:b w:val="0"/>
                        <w:bCs/>
                        <w:noProof/>
                        <w:sz w:val="16"/>
                        <w:szCs w:val="16"/>
                      </w:rPr>
                      <w:t>48</w:t>
                    </w:r>
                    <w:r w:rsidRPr="005A51D6">
                      <w:rPr>
                        <w:rFonts w:asciiTheme="minorHAnsi" w:hAnsiTheme="minorHAnsi" w:cstheme="minorHAnsi"/>
                        <w:b w:val="0"/>
                        <w:bCs/>
                        <w:noProof/>
                        <w:sz w:val="16"/>
                        <w:szCs w:val="16"/>
                      </w:rPr>
                      <w:fldChar w:fldCharType="end"/>
                    </w:r>
                  </w:p>
                </w:txbxContent>
              </v:textbox>
              <w10:wrap anchorx="margin" anchory="page"/>
              <w10:anchorlock/>
            </v:shape>
          </w:pict>
        </mc:Fallback>
      </mc:AlternateContent>
    </w:r>
    <w:r w:rsidRPr="00DC21A0">
      <w:rPr>
        <w:rFonts w:cstheme="minorHAnsi"/>
        <w:bCs/>
        <w:sz w:val="16"/>
        <w:szCs w:val="16"/>
      </w:rPr>
      <w:t xml:space="preserve">DCCEEW | </w:t>
    </w:r>
    <w:sdt>
      <w:sdtPr>
        <w:rPr>
          <w:rFonts w:cstheme="minorHAnsi"/>
          <w:b/>
          <w:bCs/>
          <w:caps w:val="0"/>
          <w:sz w:val="16"/>
          <w:szCs w:val="16"/>
        </w:rPr>
        <w:alias w:val="Document Heading"/>
        <w:tag w:val="DH"/>
        <w:id w:val="1966384305"/>
        <w:placeholder>
          <w:docPart w:val="C65AEBD77E3F42BFB67E4C525D0900F3"/>
        </w:placeholder>
        <w:dataBinding w:xpath="/root[1]/DH[1]" w:storeItemID="{00000000-0000-0000-0000-000000000000}"/>
        <w:text/>
      </w:sdtPr>
      <w:sdtEndPr/>
      <w:sdtContent>
        <w:r w:rsidRPr="00DC21A0">
          <w:rPr>
            <w:rFonts w:cstheme="minorHAnsi"/>
            <w:bCs/>
            <w:caps w:val="0"/>
            <w:sz w:val="16"/>
            <w:szCs w:val="16"/>
          </w:rPr>
          <w:t>Implementing a Guarantee of Origin Scheme</w:t>
        </w:r>
      </w:sdtContent>
    </w:sdt>
    <w:r>
      <w:rPr>
        <w:rFonts w:cstheme="minorHAnsi"/>
        <w:b/>
        <w:bCs/>
        <w:caps w:val="0"/>
        <w:sz w:val="16"/>
        <w:szCs w:val="16"/>
      </w:rPr>
      <w:tab/>
    </w:r>
    <w:r w:rsidR="005667AB" w:rsidRPr="005667AB">
      <w:rPr>
        <w:rFonts w:cstheme="minorHAnsi"/>
        <w:bCs/>
        <w:color w:val="014463" w:themeColor="text2"/>
        <w:sz w:val="16"/>
        <w:szCs w:val="16"/>
      </w:rPr>
      <w:fldChar w:fldCharType="begin"/>
    </w:r>
    <w:r w:rsidR="005667AB" w:rsidRPr="005667AB">
      <w:rPr>
        <w:rFonts w:cstheme="minorHAnsi"/>
        <w:bCs/>
        <w:color w:val="014463" w:themeColor="text2"/>
        <w:sz w:val="16"/>
        <w:szCs w:val="16"/>
      </w:rPr>
      <w:instrText xml:space="preserve"> PAGE   \* MERGEFORMAT </w:instrText>
    </w:r>
    <w:r w:rsidR="005667AB" w:rsidRPr="005667AB">
      <w:rPr>
        <w:rFonts w:cstheme="minorHAnsi"/>
        <w:bCs/>
        <w:color w:val="014463" w:themeColor="text2"/>
        <w:sz w:val="16"/>
        <w:szCs w:val="16"/>
      </w:rPr>
      <w:fldChar w:fldCharType="separate"/>
    </w:r>
    <w:r w:rsidR="00150571">
      <w:rPr>
        <w:rFonts w:cstheme="minorHAnsi"/>
        <w:bCs/>
        <w:color w:val="014463" w:themeColor="text2"/>
        <w:sz w:val="16"/>
        <w:szCs w:val="16"/>
      </w:rPr>
      <w:t>48</w:t>
    </w:r>
    <w:r w:rsidR="005667AB" w:rsidRPr="005667AB">
      <w:rPr>
        <w:rFonts w:cstheme="minorHAnsi"/>
        <w:bCs/>
        <w:color w:val="014463" w:themeColor="tex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D6BA6" w14:textId="77777777" w:rsidR="007F714F" w:rsidRPr="003A7E73" w:rsidRDefault="007F714F" w:rsidP="00B95533">
      <w:pPr>
        <w:spacing w:after="0" w:line="240" w:lineRule="auto"/>
        <w:rPr>
          <w:color w:val="014463" w:themeColor="accent2"/>
        </w:rPr>
      </w:pPr>
      <w:r w:rsidRPr="003A7E73">
        <w:rPr>
          <w:color w:val="014463" w:themeColor="accent2"/>
        </w:rPr>
        <w:separator/>
      </w:r>
    </w:p>
  </w:footnote>
  <w:footnote w:type="continuationSeparator" w:id="0">
    <w:p w14:paraId="04B355AA" w14:textId="77777777" w:rsidR="007F714F" w:rsidRPr="003A7E73" w:rsidRDefault="007F714F" w:rsidP="00B95533">
      <w:pPr>
        <w:spacing w:after="0" w:line="240" w:lineRule="auto"/>
        <w:rPr>
          <w:color w:val="014463" w:themeColor="accent2"/>
        </w:rPr>
      </w:pPr>
      <w:r w:rsidRPr="003A7E73">
        <w:rPr>
          <w:color w:val="014463" w:themeColor="accent2"/>
        </w:rPr>
        <w:continuationSeparator/>
      </w:r>
    </w:p>
  </w:footnote>
  <w:footnote w:type="continuationNotice" w:id="1">
    <w:p w14:paraId="263C0DEF" w14:textId="77777777" w:rsidR="007F714F" w:rsidRDefault="007F714F">
      <w:pPr>
        <w:spacing w:after="0" w:line="240" w:lineRule="auto"/>
      </w:pPr>
    </w:p>
  </w:footnote>
  <w:footnote w:id="2">
    <w:p w14:paraId="73B52AE2" w14:textId="21425E40" w:rsidR="00AF59B3" w:rsidRDefault="00AF59B3" w:rsidP="00AF59B3">
      <w:pPr>
        <w:pStyle w:val="FootnoteText"/>
      </w:pPr>
      <w:r>
        <w:rPr>
          <w:rStyle w:val="FootnoteReference"/>
        </w:rPr>
        <w:footnoteRef/>
      </w:r>
      <w:r>
        <w:t xml:space="preserve"> </w:t>
      </w:r>
      <w:r>
        <w:rPr>
          <w:sz w:val="16"/>
          <w:szCs w:val="16"/>
        </w:rPr>
        <w:t xml:space="preserve">CSIRO </w:t>
      </w:r>
      <w:hyperlink r:id="rId1" w:anchor=":~:text=It%27s%20estimated%20that%20a%20clean,and%20reduce%20greenhouse%20gas%20emissions.&amp;text=So%2C%20with%20a%20strong%20global,re%20at%20a%20critical%20stage" w:history="1">
        <w:r>
          <w:rPr>
            <w:rStyle w:val="Hyperlink"/>
            <w:sz w:val="16"/>
            <w:szCs w:val="16"/>
          </w:rPr>
          <w:t>Hydrogen – Fuels – Estimated Emission Reduction</w:t>
        </w:r>
      </w:hyperlink>
      <w:r w:rsidR="007541AA" w:rsidRPr="00A170F2">
        <w:rPr>
          <w:rStyle w:val="Hyperlink"/>
          <w:color w:val="auto"/>
          <w:sz w:val="16"/>
          <w:szCs w:val="16"/>
          <w:u w:val="none"/>
        </w:rPr>
        <w:t>, n.d.</w:t>
      </w:r>
      <w:r w:rsidR="00A170F2" w:rsidRPr="00A170F2">
        <w:rPr>
          <w:rStyle w:val="Hyperlink"/>
          <w:color w:val="auto"/>
          <w:sz w:val="16"/>
          <w:szCs w:val="16"/>
          <w:u w:val="none"/>
        </w:rPr>
        <w:t>,</w:t>
      </w:r>
      <w:r w:rsidRPr="00A170F2">
        <w:rPr>
          <w:color w:val="auto"/>
          <w:sz w:val="16"/>
          <w:szCs w:val="16"/>
        </w:rPr>
        <w:t xml:space="preserve"> accessed </w:t>
      </w:r>
      <w:r>
        <w:rPr>
          <w:sz w:val="16"/>
          <w:szCs w:val="16"/>
        </w:rPr>
        <w:t>29 November 2023</w:t>
      </w:r>
    </w:p>
  </w:footnote>
  <w:footnote w:id="3">
    <w:p w14:paraId="2D9C1849" w14:textId="4FE325CB" w:rsidR="008825FB" w:rsidRDefault="008825FB" w:rsidP="008825FB">
      <w:pPr>
        <w:pStyle w:val="FootnoteText"/>
      </w:pPr>
      <w:r>
        <w:rPr>
          <w:rStyle w:val="FootnoteReference"/>
        </w:rPr>
        <w:footnoteRef/>
      </w:r>
      <w:r>
        <w:t xml:space="preserve"> </w:t>
      </w:r>
      <w:r w:rsidRPr="00572328">
        <w:rPr>
          <w:sz w:val="16"/>
          <w:szCs w:val="16"/>
        </w:rPr>
        <w:t>World Economic Forum (WEF</w:t>
      </w:r>
      <w:r w:rsidRPr="00572328" w:rsidDel="00D16E24">
        <w:rPr>
          <w:sz w:val="16"/>
          <w:szCs w:val="16"/>
        </w:rPr>
        <w:t xml:space="preserve">) </w:t>
      </w:r>
      <w:hyperlink r:id="rId2" w:history="1">
        <w:r w:rsidRPr="00572328">
          <w:rPr>
            <w:rStyle w:val="Hyperlink"/>
            <w:sz w:val="16"/>
            <w:szCs w:val="16"/>
          </w:rPr>
          <w:t>Emissions accounting key to unleashing power of circularity | World Economic Forum (weforum.org)</w:t>
        </w:r>
      </w:hyperlink>
      <w:r w:rsidR="00CD73F3">
        <w:rPr>
          <w:sz w:val="16"/>
          <w:szCs w:val="16"/>
        </w:rPr>
        <w:t xml:space="preserve">, </w:t>
      </w:r>
      <w:r w:rsidR="00C03594">
        <w:rPr>
          <w:sz w:val="16"/>
          <w:szCs w:val="16"/>
        </w:rPr>
        <w:t>September 11 2023,</w:t>
      </w:r>
      <w:r w:rsidR="00D16E24">
        <w:rPr>
          <w:sz w:val="16"/>
          <w:szCs w:val="16"/>
        </w:rPr>
        <w:t xml:space="preserve"> </w:t>
      </w:r>
      <w:r w:rsidRPr="00572328">
        <w:rPr>
          <w:sz w:val="16"/>
          <w:szCs w:val="16"/>
        </w:rPr>
        <w:t>accessed 17 June 2024</w:t>
      </w:r>
    </w:p>
  </w:footnote>
  <w:footnote w:id="4">
    <w:p w14:paraId="21E05BA9" w14:textId="3C9D35BB" w:rsidR="00004E0A" w:rsidRDefault="00004E0A" w:rsidP="00004E0A">
      <w:pPr>
        <w:pStyle w:val="FootnoteText"/>
      </w:pPr>
      <w:r>
        <w:rPr>
          <w:rStyle w:val="FootnoteReference"/>
        </w:rPr>
        <w:footnoteRef/>
      </w:r>
      <w:r>
        <w:t xml:space="preserve"> </w:t>
      </w:r>
      <w:r w:rsidRPr="00CC6CB9">
        <w:rPr>
          <w:sz w:val="16"/>
          <w:szCs w:val="16"/>
        </w:rPr>
        <w:t xml:space="preserve">International Renewable Energy Agency (IRENA) </w:t>
      </w:r>
      <w:hyperlink r:id="rId3" w:history="1">
        <w:r w:rsidRPr="00CC6CB9">
          <w:rPr>
            <w:rStyle w:val="Hyperlink"/>
            <w:sz w:val="16"/>
            <w:szCs w:val="16"/>
          </w:rPr>
          <w:t>Hydrogen (irena.org)</w:t>
        </w:r>
      </w:hyperlink>
      <w:r w:rsidRPr="00CC6CB9">
        <w:rPr>
          <w:sz w:val="16"/>
          <w:szCs w:val="16"/>
        </w:rPr>
        <w:t xml:space="preserve"> </w:t>
      </w:r>
      <w:r w:rsidR="007E6E22">
        <w:rPr>
          <w:sz w:val="16"/>
          <w:szCs w:val="16"/>
        </w:rPr>
        <w:t xml:space="preserve">(2022) </w:t>
      </w:r>
      <w:r w:rsidRPr="00CC6CB9">
        <w:rPr>
          <w:sz w:val="16"/>
          <w:szCs w:val="16"/>
        </w:rPr>
        <w:t>accessed 4 July 2024</w:t>
      </w:r>
    </w:p>
  </w:footnote>
  <w:footnote w:id="5">
    <w:p w14:paraId="2250AC4D" w14:textId="0FE813DD" w:rsidR="00912CD1" w:rsidRDefault="00912CD1" w:rsidP="00912CD1">
      <w:pPr>
        <w:pStyle w:val="FootnoteText"/>
      </w:pPr>
      <w:r>
        <w:rPr>
          <w:rStyle w:val="FootnoteReference"/>
        </w:rPr>
        <w:footnoteRef/>
      </w:r>
      <w:r>
        <w:t xml:space="preserve"> </w:t>
      </w:r>
      <w:r w:rsidRPr="00992F58">
        <w:rPr>
          <w:sz w:val="16"/>
          <w:szCs w:val="16"/>
        </w:rPr>
        <w:t xml:space="preserve">Clean Energy Regulator (CER) </w:t>
      </w:r>
      <w:hyperlink r:id="rId4" w:history="1">
        <w:r w:rsidR="002A4EB7">
          <w:rPr>
            <w:rStyle w:val="Hyperlink"/>
            <w:sz w:val="16"/>
            <w:szCs w:val="16"/>
          </w:rPr>
          <w:t>Corporate Emissions Reduction Transparency report</w:t>
        </w:r>
      </w:hyperlink>
      <w:r w:rsidR="00944548" w:rsidRPr="00944548">
        <w:rPr>
          <w:rStyle w:val="Hyperlink"/>
          <w:color w:val="auto"/>
          <w:sz w:val="16"/>
          <w:szCs w:val="16"/>
          <w:u w:val="none"/>
        </w:rPr>
        <w:t xml:space="preserve">, n.d., </w:t>
      </w:r>
      <w:r w:rsidRPr="00944548">
        <w:rPr>
          <w:color w:val="auto"/>
          <w:sz w:val="16"/>
          <w:szCs w:val="16"/>
        </w:rPr>
        <w:t xml:space="preserve">accessed </w:t>
      </w:r>
      <w:r w:rsidRPr="00992F58">
        <w:rPr>
          <w:sz w:val="16"/>
          <w:szCs w:val="16"/>
        </w:rPr>
        <w:t>5 July 2024</w:t>
      </w:r>
    </w:p>
  </w:footnote>
  <w:footnote w:id="6">
    <w:p w14:paraId="25DDDE3F" w14:textId="2E497D35" w:rsidR="00C65B9C" w:rsidRDefault="00C65B9C" w:rsidP="00C65B9C">
      <w:pPr>
        <w:pStyle w:val="FootnoteText"/>
      </w:pPr>
      <w:r>
        <w:rPr>
          <w:rStyle w:val="FootnoteReference"/>
        </w:rPr>
        <w:footnoteRef/>
      </w:r>
      <w:r>
        <w:t xml:space="preserve"> </w:t>
      </w:r>
      <w:r w:rsidR="008C69EA" w:rsidRPr="00533411">
        <w:rPr>
          <w:sz w:val="16"/>
          <w:szCs w:val="16"/>
        </w:rPr>
        <w:t>Frontier Economics</w:t>
      </w:r>
      <w:r w:rsidR="008C69EA" w:rsidRPr="001D2C67" w:rsidDel="008C69EA">
        <w:rPr>
          <w:sz w:val="16"/>
          <w:szCs w:val="16"/>
        </w:rPr>
        <w:t xml:space="preserve"> </w:t>
      </w:r>
      <w:hyperlink r:id="rId5" w:history="1">
        <w:r w:rsidR="00E266DD">
          <w:rPr>
            <w:rStyle w:val="Hyperlink"/>
            <w:sz w:val="16"/>
            <w:szCs w:val="16"/>
          </w:rPr>
          <w:t>Power-to-X Study</w:t>
        </w:r>
      </w:hyperlink>
      <w:r w:rsidR="00533411">
        <w:rPr>
          <w:sz w:val="16"/>
          <w:szCs w:val="16"/>
        </w:rPr>
        <w:t xml:space="preserve">, </w:t>
      </w:r>
      <w:r w:rsidR="00E266DD" w:rsidRPr="00E266DD">
        <w:rPr>
          <w:sz w:val="16"/>
          <w:szCs w:val="16"/>
        </w:rPr>
        <w:t>World Energy Council</w:t>
      </w:r>
      <w:r w:rsidR="00533411">
        <w:rPr>
          <w:sz w:val="16"/>
          <w:szCs w:val="16"/>
        </w:rPr>
        <w:t xml:space="preserve">, </w:t>
      </w:r>
      <w:r w:rsidR="00CA7998">
        <w:rPr>
          <w:sz w:val="16"/>
          <w:szCs w:val="16"/>
        </w:rPr>
        <w:t>18</w:t>
      </w:r>
      <w:r w:rsidR="006B55A6">
        <w:rPr>
          <w:sz w:val="16"/>
          <w:szCs w:val="16"/>
        </w:rPr>
        <w:t xml:space="preserve"> October 2018, </w:t>
      </w:r>
      <w:r w:rsidRPr="001D2C67">
        <w:rPr>
          <w:sz w:val="16"/>
          <w:szCs w:val="16"/>
        </w:rPr>
        <w:t>accessed 24 November 2023</w:t>
      </w:r>
    </w:p>
  </w:footnote>
  <w:footnote w:id="7">
    <w:p w14:paraId="4BA3DE98" w14:textId="65AA79F0" w:rsidR="00C65B9C" w:rsidRDefault="00C65B9C" w:rsidP="00C65B9C">
      <w:pPr>
        <w:pStyle w:val="FootnoteText"/>
      </w:pPr>
      <w:r>
        <w:rPr>
          <w:rStyle w:val="FootnoteReference"/>
        </w:rPr>
        <w:footnoteRef/>
      </w:r>
      <w:r>
        <w:t xml:space="preserve"> </w:t>
      </w:r>
      <w:r w:rsidRPr="001D2C67">
        <w:rPr>
          <w:sz w:val="16"/>
          <w:szCs w:val="16"/>
        </w:rPr>
        <w:t xml:space="preserve">International Energy Agency </w:t>
      </w:r>
      <w:hyperlink r:id="rId6" w:history="1">
        <w:r w:rsidR="00C808A5">
          <w:rPr>
            <w:rStyle w:val="Hyperlink"/>
            <w:sz w:val="16"/>
            <w:szCs w:val="16"/>
          </w:rPr>
          <w:t>World Energy Outlook 2023</w:t>
        </w:r>
      </w:hyperlink>
      <w:r w:rsidR="00CE6A30">
        <w:rPr>
          <w:sz w:val="16"/>
          <w:szCs w:val="16"/>
        </w:rPr>
        <w:t xml:space="preserve">, </w:t>
      </w:r>
      <w:r w:rsidR="008C75AA">
        <w:rPr>
          <w:sz w:val="16"/>
          <w:szCs w:val="16"/>
        </w:rPr>
        <w:t xml:space="preserve">October </w:t>
      </w:r>
      <w:r w:rsidR="00CE6A30">
        <w:rPr>
          <w:sz w:val="16"/>
          <w:szCs w:val="16"/>
        </w:rPr>
        <w:t xml:space="preserve">2023, </w:t>
      </w:r>
      <w:r w:rsidRPr="001D2C67">
        <w:rPr>
          <w:sz w:val="16"/>
          <w:szCs w:val="16"/>
        </w:rPr>
        <w:t>accessed 24 November 2023</w:t>
      </w:r>
    </w:p>
  </w:footnote>
  <w:footnote w:id="8">
    <w:p w14:paraId="407BC75F" w14:textId="5B7DFDFF" w:rsidR="00C65B9C" w:rsidRDefault="00C65B9C" w:rsidP="00C65B9C">
      <w:pPr>
        <w:pStyle w:val="FootnoteText"/>
      </w:pPr>
      <w:r>
        <w:rPr>
          <w:rStyle w:val="FootnoteReference"/>
        </w:rPr>
        <w:footnoteRef/>
      </w:r>
      <w:r>
        <w:t xml:space="preserve"> </w:t>
      </w:r>
      <w:r w:rsidRPr="00311B15">
        <w:rPr>
          <w:sz w:val="16"/>
          <w:szCs w:val="16"/>
        </w:rPr>
        <w:t>Deloitte</w:t>
      </w:r>
      <w:r>
        <w:rPr>
          <w:sz w:val="16"/>
          <w:szCs w:val="16"/>
        </w:rPr>
        <w:t xml:space="preserve"> </w:t>
      </w:r>
      <w:hyperlink r:id="rId7" w:history="1">
        <w:r>
          <w:rPr>
            <w:rStyle w:val="Hyperlink"/>
            <w:sz w:val="16"/>
            <w:szCs w:val="16"/>
          </w:rPr>
          <w:t>Green hydrogen: Energizing the path to net zero</w:t>
        </w:r>
      </w:hyperlink>
      <w:r w:rsidR="00EA2D1E">
        <w:rPr>
          <w:sz w:val="16"/>
          <w:szCs w:val="16"/>
        </w:rPr>
        <w:t>, 19 June 2023,</w:t>
      </w:r>
      <w:r>
        <w:rPr>
          <w:sz w:val="16"/>
          <w:szCs w:val="16"/>
        </w:rPr>
        <w:t xml:space="preserve"> </w:t>
      </w:r>
      <w:r w:rsidRPr="00311B15">
        <w:rPr>
          <w:sz w:val="16"/>
          <w:szCs w:val="16"/>
        </w:rPr>
        <w:t>accessed 29 November 2023</w:t>
      </w:r>
    </w:p>
  </w:footnote>
  <w:footnote w:id="9">
    <w:p w14:paraId="21836F94" w14:textId="5E29804F" w:rsidR="00540D9C" w:rsidRDefault="00540D9C" w:rsidP="00540D9C">
      <w:pPr>
        <w:pStyle w:val="FootnoteText"/>
      </w:pPr>
      <w:r>
        <w:rPr>
          <w:rStyle w:val="FootnoteReference"/>
        </w:rPr>
        <w:footnoteRef/>
      </w:r>
      <w:r>
        <w:t xml:space="preserve"> </w:t>
      </w:r>
      <w:r w:rsidRPr="00311B15">
        <w:rPr>
          <w:sz w:val="16"/>
          <w:szCs w:val="16"/>
        </w:rPr>
        <w:t xml:space="preserve">Deloitte </w:t>
      </w:r>
      <w:hyperlink r:id="rId8" w:history="1">
        <w:r w:rsidRPr="00311B15">
          <w:rPr>
            <w:rStyle w:val="Hyperlink"/>
            <w:sz w:val="16"/>
            <w:szCs w:val="16"/>
          </w:rPr>
          <w:t>Emerging green hydrogen market set to help reshape global energy map by end of decade, creating US$1.4 trillion market by 2050</w:t>
        </w:r>
      </w:hyperlink>
      <w:r w:rsidR="00C14C6A">
        <w:rPr>
          <w:sz w:val="16"/>
          <w:szCs w:val="16"/>
        </w:rPr>
        <w:t xml:space="preserve">, 13 June 2023, </w:t>
      </w:r>
      <w:r w:rsidRPr="001D2C67">
        <w:rPr>
          <w:sz w:val="16"/>
          <w:szCs w:val="16"/>
        </w:rPr>
        <w:t xml:space="preserve">accessed </w:t>
      </w:r>
      <w:r>
        <w:rPr>
          <w:sz w:val="16"/>
          <w:szCs w:val="16"/>
        </w:rPr>
        <w:t>30</w:t>
      </w:r>
      <w:r w:rsidRPr="001D2C67">
        <w:rPr>
          <w:sz w:val="16"/>
          <w:szCs w:val="16"/>
        </w:rPr>
        <w:t xml:space="preserve"> </w:t>
      </w:r>
      <w:r>
        <w:rPr>
          <w:sz w:val="16"/>
          <w:szCs w:val="16"/>
        </w:rPr>
        <w:t>April</w:t>
      </w:r>
      <w:r w:rsidRPr="001D2C67">
        <w:rPr>
          <w:sz w:val="16"/>
          <w:szCs w:val="16"/>
        </w:rPr>
        <w:t xml:space="preserve"> 202</w:t>
      </w:r>
      <w:r>
        <w:rPr>
          <w:sz w:val="16"/>
          <w:szCs w:val="16"/>
        </w:rPr>
        <w:t>4</w:t>
      </w:r>
    </w:p>
  </w:footnote>
  <w:footnote w:id="10">
    <w:p w14:paraId="160771B9" w14:textId="74AA2733" w:rsidR="00FF5326" w:rsidRPr="002B3090" w:rsidRDefault="00FF5326" w:rsidP="00FF5326">
      <w:pPr>
        <w:pStyle w:val="FootnoteText"/>
        <w:rPr>
          <w:sz w:val="16"/>
          <w:szCs w:val="16"/>
        </w:rPr>
      </w:pPr>
      <w:r w:rsidRPr="002B3090">
        <w:rPr>
          <w:rStyle w:val="FootnoteReference"/>
          <w:sz w:val="16"/>
          <w:szCs w:val="16"/>
        </w:rPr>
        <w:footnoteRef/>
      </w:r>
      <w:r w:rsidRPr="002B3090">
        <w:rPr>
          <w:sz w:val="16"/>
          <w:szCs w:val="16"/>
        </w:rPr>
        <w:t xml:space="preserve"> Accenture 2021, </w:t>
      </w:r>
      <w:hyperlink r:id="rId9" w:history="1">
        <w:r w:rsidRPr="00507B29">
          <w:rPr>
            <w:rStyle w:val="Hyperlink"/>
            <w:sz w:val="16"/>
            <w:szCs w:val="16"/>
          </w:rPr>
          <w:t>Sunshot: Australia’s opportunity to create 395,000 clean jobs</w:t>
        </w:r>
      </w:hyperlink>
      <w:r w:rsidR="005B33DE" w:rsidRPr="00507B29">
        <w:rPr>
          <w:sz w:val="16"/>
          <w:szCs w:val="16"/>
        </w:rPr>
        <w:t xml:space="preserve">, </w:t>
      </w:r>
      <w:r w:rsidR="004A3DC8" w:rsidRPr="00507B29">
        <w:rPr>
          <w:sz w:val="16"/>
          <w:szCs w:val="16"/>
        </w:rPr>
        <w:t>October</w:t>
      </w:r>
      <w:r w:rsidR="004A3DC8">
        <w:rPr>
          <w:sz w:val="16"/>
          <w:szCs w:val="16"/>
        </w:rPr>
        <w:t xml:space="preserve"> 2021</w:t>
      </w:r>
      <w:r w:rsidR="00570E78">
        <w:rPr>
          <w:sz w:val="16"/>
          <w:szCs w:val="16"/>
        </w:rPr>
        <w:t xml:space="preserve">, </w:t>
      </w:r>
      <w:r w:rsidR="00CB74E1">
        <w:rPr>
          <w:sz w:val="16"/>
          <w:szCs w:val="16"/>
        </w:rPr>
        <w:t>accessed</w:t>
      </w:r>
      <w:r w:rsidR="008A799A">
        <w:rPr>
          <w:sz w:val="16"/>
          <w:szCs w:val="16"/>
        </w:rPr>
        <w:t xml:space="preserve"> 21 August 2024.</w:t>
      </w:r>
    </w:p>
  </w:footnote>
  <w:footnote w:id="11">
    <w:p w14:paraId="58CA43FD" w14:textId="6CF557B0" w:rsidR="00C134B1" w:rsidRDefault="00C134B1" w:rsidP="00C134B1">
      <w:pPr>
        <w:pStyle w:val="FootnoteText"/>
      </w:pPr>
      <w:r w:rsidRPr="74F498C1">
        <w:rPr>
          <w:rStyle w:val="FootnoteReference"/>
        </w:rPr>
        <w:footnoteRef/>
      </w:r>
      <w:r>
        <w:t xml:space="preserve"> </w:t>
      </w:r>
      <w:r w:rsidRPr="00201375">
        <w:rPr>
          <w:sz w:val="16"/>
          <w:szCs w:val="16"/>
        </w:rPr>
        <w:t>I</w:t>
      </w:r>
      <w:r w:rsidR="00960E74">
        <w:rPr>
          <w:sz w:val="16"/>
          <w:szCs w:val="16"/>
        </w:rPr>
        <w:t xml:space="preserve">nternational </w:t>
      </w:r>
      <w:r w:rsidRPr="00201375">
        <w:rPr>
          <w:sz w:val="16"/>
          <w:szCs w:val="16"/>
        </w:rPr>
        <w:t>E</w:t>
      </w:r>
      <w:r w:rsidR="00960E74">
        <w:rPr>
          <w:sz w:val="16"/>
          <w:szCs w:val="16"/>
        </w:rPr>
        <w:t xml:space="preserve">nergy </w:t>
      </w:r>
      <w:r w:rsidRPr="00201375">
        <w:rPr>
          <w:sz w:val="16"/>
          <w:szCs w:val="16"/>
        </w:rPr>
        <w:t>A</w:t>
      </w:r>
      <w:r w:rsidR="00960E74">
        <w:rPr>
          <w:sz w:val="16"/>
          <w:szCs w:val="16"/>
        </w:rPr>
        <w:t>gency</w:t>
      </w:r>
      <w:r w:rsidR="004A2DE0">
        <w:rPr>
          <w:sz w:val="16"/>
          <w:szCs w:val="16"/>
        </w:rPr>
        <w:t>,</w:t>
      </w:r>
      <w:r w:rsidRPr="00201375">
        <w:rPr>
          <w:sz w:val="16"/>
          <w:szCs w:val="16"/>
        </w:rPr>
        <w:t xml:space="preserve"> </w:t>
      </w:r>
      <w:hyperlink r:id="rId10" w:history="1">
        <w:r w:rsidRPr="00507B29">
          <w:rPr>
            <w:rStyle w:val="Hyperlink"/>
            <w:sz w:val="16"/>
            <w:szCs w:val="16"/>
          </w:rPr>
          <w:t>Global Hydrogen Review</w:t>
        </w:r>
      </w:hyperlink>
      <w:r w:rsidR="005B2ED9" w:rsidRPr="00507B29">
        <w:rPr>
          <w:sz w:val="16"/>
          <w:szCs w:val="16"/>
        </w:rPr>
        <w:t>, September</w:t>
      </w:r>
      <w:r w:rsidR="005B2ED9">
        <w:rPr>
          <w:sz w:val="16"/>
          <w:szCs w:val="16"/>
        </w:rPr>
        <w:t xml:space="preserve"> 2023, accessed 21 August 2024</w:t>
      </w:r>
      <w:r w:rsidR="00EA4E75">
        <w:rPr>
          <w:sz w:val="16"/>
          <w:szCs w:val="16"/>
        </w:rPr>
        <w:t>.</w:t>
      </w:r>
    </w:p>
  </w:footnote>
  <w:footnote w:id="12">
    <w:p w14:paraId="629F34BF" w14:textId="4835ED46" w:rsidR="00C134B1" w:rsidRDefault="00C134B1" w:rsidP="00C134B1">
      <w:pPr>
        <w:pStyle w:val="FootnoteText"/>
      </w:pPr>
      <w:r w:rsidRPr="00C23290">
        <w:rPr>
          <w:rStyle w:val="FootnoteReference"/>
        </w:rPr>
        <w:footnoteRef/>
      </w:r>
      <w:r w:rsidRPr="00E94A5B">
        <w:t xml:space="preserve"> </w:t>
      </w:r>
      <w:r w:rsidRPr="00201375">
        <w:rPr>
          <w:sz w:val="16"/>
          <w:szCs w:val="16"/>
        </w:rPr>
        <w:t>D</w:t>
      </w:r>
      <w:r w:rsidR="00F51A7A">
        <w:rPr>
          <w:sz w:val="16"/>
          <w:szCs w:val="16"/>
        </w:rPr>
        <w:t xml:space="preserve">epartment of </w:t>
      </w:r>
      <w:r w:rsidRPr="00201375">
        <w:rPr>
          <w:sz w:val="16"/>
          <w:szCs w:val="16"/>
        </w:rPr>
        <w:t>I</w:t>
      </w:r>
      <w:r w:rsidR="00F51A7A">
        <w:rPr>
          <w:sz w:val="16"/>
          <w:szCs w:val="16"/>
        </w:rPr>
        <w:t xml:space="preserve">ndustry, </w:t>
      </w:r>
      <w:r w:rsidRPr="00201375">
        <w:rPr>
          <w:sz w:val="16"/>
          <w:szCs w:val="16"/>
        </w:rPr>
        <w:t>S</w:t>
      </w:r>
      <w:r w:rsidR="00F51A7A">
        <w:rPr>
          <w:sz w:val="16"/>
          <w:szCs w:val="16"/>
        </w:rPr>
        <w:t xml:space="preserve">cience and </w:t>
      </w:r>
      <w:r w:rsidRPr="00201375">
        <w:rPr>
          <w:sz w:val="16"/>
          <w:szCs w:val="16"/>
        </w:rPr>
        <w:t>R</w:t>
      </w:r>
      <w:r w:rsidR="00960E74">
        <w:rPr>
          <w:sz w:val="16"/>
          <w:szCs w:val="16"/>
        </w:rPr>
        <w:t>esources</w:t>
      </w:r>
      <w:r w:rsidRPr="00201375">
        <w:rPr>
          <w:sz w:val="16"/>
          <w:szCs w:val="16"/>
        </w:rPr>
        <w:t xml:space="preserve">, </w:t>
      </w:r>
      <w:hyperlink r:id="rId11" w:history="1">
        <w:r w:rsidRPr="00507B29">
          <w:rPr>
            <w:rStyle w:val="Hyperlink"/>
            <w:sz w:val="16"/>
            <w:szCs w:val="16"/>
          </w:rPr>
          <w:t>Resources and energy major projects 2023</w:t>
        </w:r>
      </w:hyperlink>
      <w:r w:rsidR="006600D0" w:rsidRPr="00507B29">
        <w:rPr>
          <w:rStyle w:val="Hyperlink"/>
          <w:color w:val="auto"/>
          <w:sz w:val="16"/>
          <w:szCs w:val="16"/>
          <w:u w:val="none"/>
        </w:rPr>
        <w:t>, 18 December</w:t>
      </w:r>
      <w:r w:rsidR="006600D0" w:rsidRPr="002B3090">
        <w:rPr>
          <w:rStyle w:val="Hyperlink"/>
          <w:color w:val="auto"/>
          <w:sz w:val="16"/>
          <w:szCs w:val="16"/>
          <w:u w:val="none"/>
        </w:rPr>
        <w:t xml:space="preserve"> 2023</w:t>
      </w:r>
      <w:r w:rsidR="00FF0C8F">
        <w:rPr>
          <w:sz w:val="16"/>
          <w:szCs w:val="16"/>
        </w:rPr>
        <w:t xml:space="preserve">, accessed </w:t>
      </w:r>
      <w:r w:rsidR="00EA4E75">
        <w:rPr>
          <w:sz w:val="16"/>
          <w:szCs w:val="16"/>
        </w:rPr>
        <w:t>21 August 2024.</w:t>
      </w:r>
    </w:p>
  </w:footnote>
  <w:footnote w:id="13">
    <w:p w14:paraId="32A13E20" w14:textId="2DC5E6D9" w:rsidR="00023FFB" w:rsidRPr="00992F58" w:rsidRDefault="00023FFB">
      <w:pPr>
        <w:pStyle w:val="FootnoteText"/>
        <w:rPr>
          <w:sz w:val="16"/>
          <w:szCs w:val="16"/>
        </w:rPr>
      </w:pPr>
      <w:r>
        <w:rPr>
          <w:rStyle w:val="FootnoteReference"/>
        </w:rPr>
        <w:footnoteRef/>
      </w:r>
      <w:r w:rsidR="008C380D">
        <w:t xml:space="preserve"> </w:t>
      </w:r>
      <w:r w:rsidR="003B433A">
        <w:rPr>
          <w:sz w:val="16"/>
          <w:szCs w:val="16"/>
        </w:rPr>
        <w:t>DCCEEW,</w:t>
      </w:r>
      <w:r w:rsidR="00A73F79" w:rsidRPr="00A73F79">
        <w:rPr>
          <w:sz w:val="16"/>
          <w:szCs w:val="16"/>
        </w:rPr>
        <w:t xml:space="preserve"> </w:t>
      </w:r>
      <w:hyperlink r:id="rId12" w:history="1">
        <w:r w:rsidR="004F23A5">
          <w:rPr>
            <w:rStyle w:val="Hyperlink"/>
            <w:sz w:val="16"/>
            <w:szCs w:val="16"/>
          </w:rPr>
          <w:t>Hydrogen Certification Survey</w:t>
        </w:r>
      </w:hyperlink>
      <w:r w:rsidR="003B433A" w:rsidRPr="002B3090">
        <w:rPr>
          <w:rStyle w:val="Hyperlink"/>
          <w:color w:val="auto"/>
          <w:sz w:val="16"/>
          <w:szCs w:val="16"/>
          <w:u w:val="none"/>
        </w:rPr>
        <w:t xml:space="preserve">, </w:t>
      </w:r>
      <w:r w:rsidR="00177A8D" w:rsidRPr="002B3090">
        <w:rPr>
          <w:rStyle w:val="Hyperlink"/>
          <w:color w:val="auto"/>
          <w:sz w:val="16"/>
          <w:szCs w:val="16"/>
          <w:u w:val="none"/>
        </w:rPr>
        <w:t>n.d.</w:t>
      </w:r>
      <w:r w:rsidR="00107155" w:rsidRPr="002B3090">
        <w:rPr>
          <w:rStyle w:val="Hyperlink"/>
          <w:color w:val="auto"/>
          <w:sz w:val="16"/>
          <w:szCs w:val="16"/>
          <w:u w:val="none"/>
        </w:rPr>
        <w:t>,</w:t>
      </w:r>
      <w:r w:rsidR="00A73F79" w:rsidRPr="002B3090">
        <w:rPr>
          <w:color w:val="auto"/>
          <w:sz w:val="16"/>
          <w:szCs w:val="16"/>
        </w:rPr>
        <w:t xml:space="preserve"> accessed </w:t>
      </w:r>
      <w:r w:rsidR="00822F23">
        <w:rPr>
          <w:sz w:val="16"/>
          <w:szCs w:val="16"/>
        </w:rPr>
        <w:t>9 April</w:t>
      </w:r>
      <w:r w:rsidR="00A73F79" w:rsidRPr="00A73F79">
        <w:rPr>
          <w:sz w:val="16"/>
          <w:szCs w:val="16"/>
        </w:rPr>
        <w:t xml:space="preserve"> 2024</w:t>
      </w:r>
    </w:p>
  </w:footnote>
  <w:footnote w:id="14">
    <w:p w14:paraId="4EC837D0" w14:textId="370303E2" w:rsidR="005177C9" w:rsidRPr="00992F58" w:rsidRDefault="005177C9">
      <w:pPr>
        <w:pStyle w:val="FootnoteText"/>
        <w:rPr>
          <w:sz w:val="16"/>
          <w:szCs w:val="16"/>
        </w:rPr>
      </w:pPr>
      <w:r>
        <w:rPr>
          <w:rStyle w:val="FootnoteReference"/>
        </w:rPr>
        <w:footnoteRef/>
      </w:r>
      <w:r>
        <w:t xml:space="preserve"> </w:t>
      </w:r>
      <w:r w:rsidR="008C380D" w:rsidRPr="008C380D">
        <w:rPr>
          <w:sz w:val="16"/>
          <w:szCs w:val="16"/>
        </w:rPr>
        <w:t>Energetics</w:t>
      </w:r>
      <w:r w:rsidR="00C819DC" w:rsidRPr="00C819DC">
        <w:rPr>
          <w:sz w:val="16"/>
          <w:szCs w:val="16"/>
        </w:rPr>
        <w:t xml:space="preserve"> </w:t>
      </w:r>
      <w:hyperlink r:id="rId13" w:history="1">
        <w:r w:rsidR="008C380D">
          <w:rPr>
            <w:rStyle w:val="Hyperlink"/>
            <w:sz w:val="16"/>
            <w:szCs w:val="16"/>
          </w:rPr>
          <w:t>Hydrogen Guarantee of Origins for Australia</w:t>
        </w:r>
      </w:hyperlink>
      <w:r w:rsidR="0058572D">
        <w:rPr>
          <w:sz w:val="16"/>
          <w:szCs w:val="16"/>
        </w:rPr>
        <w:t xml:space="preserve">, </w:t>
      </w:r>
      <w:r w:rsidR="00C4494C">
        <w:rPr>
          <w:sz w:val="16"/>
          <w:szCs w:val="16"/>
        </w:rPr>
        <w:t>Department of Industry, Science, Energy and Resources (DISER)</w:t>
      </w:r>
      <w:r w:rsidR="0070569B">
        <w:rPr>
          <w:sz w:val="16"/>
          <w:szCs w:val="16"/>
        </w:rPr>
        <w:t xml:space="preserve">, </w:t>
      </w:r>
      <w:r w:rsidR="00682538">
        <w:rPr>
          <w:sz w:val="16"/>
          <w:szCs w:val="16"/>
        </w:rPr>
        <w:t xml:space="preserve">24 February 2021, </w:t>
      </w:r>
      <w:r w:rsidR="00C819DC">
        <w:rPr>
          <w:sz w:val="16"/>
          <w:szCs w:val="16"/>
        </w:rPr>
        <w:t xml:space="preserve">accessed </w:t>
      </w:r>
      <w:r w:rsidR="00822F23">
        <w:rPr>
          <w:sz w:val="16"/>
          <w:szCs w:val="16"/>
        </w:rPr>
        <w:t>2</w:t>
      </w:r>
      <w:r w:rsidR="00C819DC">
        <w:rPr>
          <w:sz w:val="16"/>
          <w:szCs w:val="16"/>
        </w:rPr>
        <w:t>7 June 2024</w:t>
      </w:r>
    </w:p>
  </w:footnote>
  <w:footnote w:id="15">
    <w:p w14:paraId="29748DD2" w14:textId="77777777" w:rsidR="00E17DBC" w:rsidRDefault="00E17DBC" w:rsidP="00E17DBC">
      <w:pPr>
        <w:pStyle w:val="FootnoteText"/>
      </w:pPr>
      <w:r>
        <w:rPr>
          <w:rStyle w:val="FootnoteReference"/>
        </w:rPr>
        <w:footnoteRef/>
      </w:r>
      <w:r>
        <w:t xml:space="preserve"> </w:t>
      </w:r>
      <w:r w:rsidRPr="00992F58">
        <w:rPr>
          <w:sz w:val="16"/>
          <w:szCs w:val="16"/>
        </w:rPr>
        <w:t xml:space="preserve">International Partnership for Hydrogen and Fuel Cells in the Economy (IPHE) </w:t>
      </w:r>
      <w:hyperlink r:id="rId14" w:history="1">
        <w:r>
          <w:rPr>
            <w:rStyle w:val="Hyperlink"/>
            <w:sz w:val="16"/>
            <w:szCs w:val="16"/>
          </w:rPr>
          <w:t>IPHE WP Methodology Doc Oct 2021</w:t>
        </w:r>
      </w:hyperlink>
      <w:r w:rsidRPr="00992F58">
        <w:rPr>
          <w:sz w:val="16"/>
          <w:szCs w:val="16"/>
        </w:rPr>
        <w:t xml:space="preserve"> accessed 27 June 2024.</w:t>
      </w:r>
    </w:p>
  </w:footnote>
  <w:footnote w:id="16">
    <w:p w14:paraId="2B767B0F" w14:textId="6A4FEBD6" w:rsidR="001F1A54" w:rsidRPr="002B3090" w:rsidRDefault="001F1A54">
      <w:pPr>
        <w:pStyle w:val="FootnoteText"/>
        <w:rPr>
          <w:sz w:val="16"/>
          <w:szCs w:val="16"/>
        </w:rPr>
      </w:pPr>
      <w:r>
        <w:rPr>
          <w:rStyle w:val="FootnoteReference"/>
        </w:rPr>
        <w:footnoteRef/>
      </w:r>
      <w:r>
        <w:t xml:space="preserve"> </w:t>
      </w:r>
      <w:r w:rsidR="00682538" w:rsidRPr="008C380D">
        <w:rPr>
          <w:sz w:val="16"/>
          <w:szCs w:val="16"/>
        </w:rPr>
        <w:t>Energetics</w:t>
      </w:r>
      <w:r w:rsidR="00682538" w:rsidRPr="00C819DC">
        <w:rPr>
          <w:sz w:val="16"/>
          <w:szCs w:val="16"/>
        </w:rPr>
        <w:t xml:space="preserve"> </w:t>
      </w:r>
      <w:hyperlink r:id="rId15" w:history="1">
        <w:r w:rsidR="00682538">
          <w:rPr>
            <w:rStyle w:val="Hyperlink"/>
            <w:sz w:val="16"/>
            <w:szCs w:val="16"/>
          </w:rPr>
          <w:t>Hydrogen Guarantee of Origins for Australia</w:t>
        </w:r>
      </w:hyperlink>
      <w:r w:rsidR="00682538">
        <w:rPr>
          <w:sz w:val="16"/>
          <w:szCs w:val="16"/>
        </w:rPr>
        <w:t xml:space="preserve">, DISER, 24 February 2021, accessed 27 June </w:t>
      </w:r>
      <w:r w:rsidR="00F744C7" w:rsidRPr="00992F58" w:rsidDel="00682538">
        <w:rPr>
          <w:sz w:val="16"/>
          <w:szCs w:val="16"/>
        </w:rPr>
        <w:t>2024</w:t>
      </w:r>
    </w:p>
  </w:footnote>
  <w:footnote w:id="17">
    <w:p w14:paraId="1E6C94F9" w14:textId="1AE250EE" w:rsidR="00970ECE" w:rsidRPr="00992F58" w:rsidRDefault="00970ECE">
      <w:pPr>
        <w:pStyle w:val="FootnoteText"/>
        <w:rPr>
          <w:sz w:val="16"/>
          <w:szCs w:val="16"/>
        </w:rPr>
      </w:pPr>
      <w:r>
        <w:rPr>
          <w:rStyle w:val="FootnoteReference"/>
        </w:rPr>
        <w:footnoteRef/>
      </w:r>
      <w:r>
        <w:t xml:space="preserve"> </w:t>
      </w:r>
      <w:r w:rsidRPr="00992F58">
        <w:rPr>
          <w:sz w:val="16"/>
          <w:szCs w:val="16"/>
        </w:rPr>
        <w:t xml:space="preserve">Clean Energy Regulator (CER) </w:t>
      </w:r>
      <w:hyperlink r:id="rId16" w:history="1">
        <w:r w:rsidR="004B644C">
          <w:rPr>
            <w:rStyle w:val="Hyperlink"/>
            <w:sz w:val="16"/>
            <w:szCs w:val="16"/>
          </w:rPr>
          <w:t>Designing the Guarantee of Origin</w:t>
        </w:r>
      </w:hyperlink>
      <w:r w:rsidR="004266D3">
        <w:rPr>
          <w:sz w:val="16"/>
          <w:szCs w:val="16"/>
        </w:rPr>
        <w:t xml:space="preserve">, n.d., </w:t>
      </w:r>
      <w:r w:rsidRPr="00992F58">
        <w:rPr>
          <w:sz w:val="16"/>
          <w:szCs w:val="16"/>
        </w:rPr>
        <w:t xml:space="preserve">accessed </w:t>
      </w:r>
      <w:r w:rsidR="00822F23">
        <w:rPr>
          <w:sz w:val="16"/>
          <w:szCs w:val="16"/>
        </w:rPr>
        <w:t>9 April</w:t>
      </w:r>
      <w:r w:rsidRPr="00992F58">
        <w:rPr>
          <w:sz w:val="16"/>
          <w:szCs w:val="16"/>
        </w:rPr>
        <w:t xml:space="preserve"> 2024</w:t>
      </w:r>
    </w:p>
  </w:footnote>
  <w:footnote w:id="18">
    <w:p w14:paraId="64E7396F" w14:textId="481A6038" w:rsidR="00C30841" w:rsidRDefault="00C30841">
      <w:pPr>
        <w:pStyle w:val="FootnoteText"/>
      </w:pPr>
      <w:r>
        <w:rPr>
          <w:rStyle w:val="FootnoteReference"/>
        </w:rPr>
        <w:footnoteRef/>
      </w:r>
      <w:r>
        <w:t xml:space="preserve"> </w:t>
      </w:r>
      <w:r w:rsidR="009643FE" w:rsidRPr="00992F58">
        <w:rPr>
          <w:sz w:val="16"/>
          <w:szCs w:val="16"/>
        </w:rPr>
        <w:t xml:space="preserve">DCCEEW </w:t>
      </w:r>
      <w:hyperlink r:id="rId17" w:history="1">
        <w:r w:rsidR="00A16CE4">
          <w:rPr>
            <w:rStyle w:val="Hyperlink"/>
            <w:sz w:val="16"/>
            <w:szCs w:val="16"/>
          </w:rPr>
          <w:t>Australia’s Guarantee of Origin Scheme: consultation papers</w:t>
        </w:r>
      </w:hyperlink>
      <w:r w:rsidR="00A16CE4" w:rsidRPr="002B3090">
        <w:rPr>
          <w:rStyle w:val="Hyperlink"/>
          <w:color w:val="auto"/>
          <w:sz w:val="16"/>
          <w:szCs w:val="16"/>
          <w:u w:val="none"/>
        </w:rPr>
        <w:t>, n.d.,</w:t>
      </w:r>
      <w:r w:rsidR="009643FE" w:rsidRPr="002B3090">
        <w:rPr>
          <w:color w:val="auto"/>
          <w:sz w:val="16"/>
          <w:szCs w:val="16"/>
        </w:rPr>
        <w:t xml:space="preserve"> accessed </w:t>
      </w:r>
      <w:r w:rsidR="009643FE" w:rsidRPr="00992F58">
        <w:rPr>
          <w:sz w:val="16"/>
          <w:szCs w:val="16"/>
        </w:rPr>
        <w:t>27 June 2024</w:t>
      </w:r>
    </w:p>
  </w:footnote>
  <w:footnote w:id="19">
    <w:p w14:paraId="6F86B55B" w14:textId="13DF517B" w:rsidR="003B33AC" w:rsidRPr="008C7FAD" w:rsidRDefault="003B33AC">
      <w:pPr>
        <w:pStyle w:val="FootnoteText"/>
        <w:rPr>
          <w:color w:val="auto"/>
        </w:rPr>
      </w:pPr>
      <w:r>
        <w:rPr>
          <w:rStyle w:val="FootnoteReference"/>
        </w:rPr>
        <w:footnoteRef/>
      </w:r>
      <w:r>
        <w:t xml:space="preserve"> </w:t>
      </w:r>
      <w:r w:rsidR="00E27829" w:rsidRPr="00E551FA">
        <w:rPr>
          <w:sz w:val="16"/>
          <w:szCs w:val="16"/>
        </w:rPr>
        <w:t>DCCEEW</w:t>
      </w:r>
      <w:r w:rsidR="00E27829">
        <w:rPr>
          <w:sz w:val="16"/>
          <w:szCs w:val="16"/>
        </w:rPr>
        <w:t xml:space="preserve"> </w:t>
      </w:r>
      <w:hyperlink r:id="rId18" w:history="1">
        <w:r w:rsidR="001D1AB6">
          <w:rPr>
            <w:rStyle w:val="Hyperlink"/>
            <w:sz w:val="16"/>
            <w:szCs w:val="16"/>
          </w:rPr>
          <w:t>Australia’s Guarantee of Origin Scheme: consultation on scheme design, emissions accounting and renewable electricity certification</w:t>
        </w:r>
      </w:hyperlink>
      <w:r w:rsidR="001D1AB6" w:rsidRPr="002B3090">
        <w:rPr>
          <w:rStyle w:val="Hyperlink"/>
          <w:color w:val="auto"/>
          <w:sz w:val="16"/>
          <w:szCs w:val="16"/>
          <w:u w:val="none"/>
        </w:rPr>
        <w:t>, n.d.</w:t>
      </w:r>
      <w:r w:rsidR="00E27829" w:rsidRPr="002B3090">
        <w:rPr>
          <w:color w:val="auto"/>
          <w:sz w:val="16"/>
          <w:szCs w:val="16"/>
        </w:rPr>
        <w:t xml:space="preserve"> accessed 27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EF81" w14:textId="04368D9A" w:rsidR="00766072" w:rsidRDefault="00D31A45">
    <w:pPr>
      <w:pStyle w:val="Header"/>
    </w:pPr>
    <w:r>
      <w:rPr>
        <w:noProof/>
        <w:lang w:eastAsia="en-AU"/>
      </w:rPr>
      <mc:AlternateContent>
        <mc:Choice Requires="wps">
          <w:drawing>
            <wp:anchor distT="0" distB="0" distL="0" distR="0" simplePos="0" relativeHeight="251658246" behindDoc="0" locked="0" layoutInCell="1" allowOverlap="1" wp14:anchorId="3BE30837" wp14:editId="2DBD5B43">
              <wp:simplePos x="635" y="635"/>
              <wp:positionH relativeFrom="page">
                <wp:align>center</wp:align>
              </wp:positionH>
              <wp:positionV relativeFrom="page">
                <wp:align>top</wp:align>
              </wp:positionV>
              <wp:extent cx="551815" cy="394970"/>
              <wp:effectExtent l="0" t="0" r="635" b="5080"/>
              <wp:wrapNone/>
              <wp:docPr id="938427768" name="Text Box 1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2B8EA24D" w14:textId="19F532CD"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BE30837" id="_x0000_t202" coordsize="21600,21600" o:spt="202" path="m,l,21600r21600,l21600,xe">
              <v:stroke joinstyle="miter"/>
              <v:path gradientshapeok="t" o:connecttype="rect"/>
            </v:shapetype>
            <v:shape id="Text Box 17" o:spid="_x0000_s1027" type="#_x0000_t202" alt="OFFICIAL" style="position:absolute;margin-left:0;margin-top:0;width:43.45pt;height:31.1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" filled="f" stroked="f">
              <v:textbox style="mso-fit-shape-to-text:t" inset="0,15pt,0,0">
                <w:txbxContent>
                  <w:p w14:paraId="2B8EA24D" w14:textId="19F532CD"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v:textbox>
              <w10:wrap anchorx="page" anchory="page"/>
            </v:shape>
          </w:pict>
        </mc:Fallback>
      </mc:AlternateContent>
    </w:r>
    <w:r>
      <w:rPr>
        <w:noProof/>
        <w:lang w:eastAsia="en-AU"/>
      </w:rPr>
      <mc:AlternateContent>
        <mc:Choice Requires="wps">
          <w:drawing>
            <wp:anchor distT="0" distB="0" distL="0" distR="0" simplePos="0" relativeHeight="251658243" behindDoc="0" locked="0" layoutInCell="1" allowOverlap="1" wp14:anchorId="2CD30D46" wp14:editId="58B8A93F">
              <wp:simplePos x="635" y="635"/>
              <wp:positionH relativeFrom="page">
                <wp:align>center</wp:align>
              </wp:positionH>
              <wp:positionV relativeFrom="page">
                <wp:align>top</wp:align>
              </wp:positionV>
              <wp:extent cx="551815" cy="394970"/>
              <wp:effectExtent l="0" t="0" r="635" b="5080"/>
              <wp:wrapNone/>
              <wp:docPr id="2062784091" name="Text Box 1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551815" cy="394970"/>
                      </a:xfrm>
                      <a:prstGeom prst="rect">
                        <a:avLst/>
                      </a:prstGeom>
                      <a:noFill/>
                      <a:ln>
                        <a:noFill/>
                      </a:ln>
                    </wps:spPr>
                    <wps:txbx>
                      <w:txbxContent>
                        <w:p w14:paraId="1CA7D150" w14:textId="6D15ACD2"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CD30D46" id="Text Box 14" o:spid="_x0000_s1028" type="#_x0000_t202" alt="OFFICIAL" style="position:absolute;margin-left:0;margin-top:0;width:43.45pt;height:31.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" filled="f" stroked="f">
              <v:textbox style="mso-fit-shape-to-text:t" inset="0,15pt,0,0">
                <w:txbxContent>
                  <w:p w14:paraId="1CA7D150" w14:textId="6D15ACD2" w:rsidR="00D31A45" w:rsidRPr="00D31A45" w:rsidRDefault="00D31A45" w:rsidP="00D31A45">
                    <w:pPr>
                      <w:spacing w:after="0"/>
                      <w:rPr>
                        <w:rFonts w:ascii="Calibri" w:eastAsia="Calibri" w:hAnsi="Calibri" w:cs="Calibri"/>
                        <w:noProof/>
                        <w:color w:val="FF0000"/>
                        <w:sz w:val="24"/>
                        <w:szCs w:val="24"/>
                      </w:rPr>
                    </w:pPr>
                    <w:r w:rsidRPr="00D31A45">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AC59B" w14:textId="76291DF9" w:rsidR="00766072" w:rsidRPr="00753174" w:rsidRDefault="00766072" w:rsidP="00753174">
    <w:pPr>
      <w:pStyle w:val="Header"/>
    </w:pPr>
  </w:p>
  <w:p w14:paraId="70ABA31F" w14:textId="77777777" w:rsidR="00766072" w:rsidRPr="00753174" w:rsidRDefault="00766072" w:rsidP="007531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9C28" w14:textId="4987C615" w:rsidR="00766072" w:rsidRDefault="00766072" w:rsidP="00CB61F0">
    <w:pPr>
      <w:pStyle w:val="Header"/>
    </w:pPr>
    <w:r>
      <w:rPr>
        <w:noProof/>
        <w:lang w:eastAsia="en-AU"/>
      </w:rPr>
      <w:drawing>
        <wp:anchor distT="0" distB="0" distL="114300" distR="114300" simplePos="0" relativeHeight="251658241" behindDoc="1" locked="0" layoutInCell="1" allowOverlap="1" wp14:anchorId="369A1A2A" wp14:editId="78C6EF7D">
          <wp:simplePos x="0" y="0"/>
          <wp:positionH relativeFrom="page">
            <wp:align>left</wp:align>
          </wp:positionH>
          <wp:positionV relativeFrom="paragraph">
            <wp:posOffset>-359636</wp:posOffset>
          </wp:positionV>
          <wp:extent cx="7559610" cy="10693190"/>
          <wp:effectExtent l="0" t="0" r="3810" b="0"/>
          <wp:wrapNone/>
          <wp:docPr id="601824045" name="Picture 60182404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0"/>
                  </a:xfrm>
                  <a:prstGeom prst="rect">
                    <a:avLst/>
                  </a:prstGeom>
                </pic:spPr>
              </pic:pic>
            </a:graphicData>
          </a:graphic>
          <wp14:sizeRelH relativeFrom="margin">
            <wp14:pctWidth>0</wp14:pctWidth>
          </wp14:sizeRelH>
          <wp14:sizeRelV relativeFrom="margin">
            <wp14:pctHeight>0</wp14:pctHeight>
          </wp14:sizeRelV>
        </wp:anchor>
      </w:drawing>
    </w:r>
  </w:p>
  <w:p w14:paraId="16BA7995" w14:textId="77777777" w:rsidR="00766072" w:rsidRPr="00073D52" w:rsidRDefault="00766072" w:rsidP="00663EAD">
    <w:pPr>
      <w:pStyle w:val="Footerline"/>
    </w:pPr>
  </w:p>
  <w:p w14:paraId="0AD714CF" w14:textId="77777777" w:rsidR="00766072" w:rsidRDefault="00766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E4C"/>
    <w:multiLevelType w:val="hybridMultilevel"/>
    <w:tmpl w:val="3C141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745C8"/>
    <w:multiLevelType w:val="hybridMultilevel"/>
    <w:tmpl w:val="362A56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32A1A5D"/>
    <w:multiLevelType w:val="hybridMultilevel"/>
    <w:tmpl w:val="3C92288C"/>
    <w:lvl w:ilvl="0" w:tplc="F7BEE392">
      <w:start w:val="1"/>
      <w:numFmt w:val="bullet"/>
      <w:lvlText w:val=""/>
      <w:lvlJc w:val="left"/>
      <w:pPr>
        <w:ind w:left="720" w:hanging="360"/>
      </w:pPr>
      <w:rPr>
        <w:rFonts w:ascii="Symbol" w:hAnsi="Symbol"/>
      </w:rPr>
    </w:lvl>
    <w:lvl w:ilvl="1" w:tplc="DD580424">
      <w:start w:val="1"/>
      <w:numFmt w:val="bullet"/>
      <w:lvlText w:val=""/>
      <w:lvlJc w:val="left"/>
      <w:pPr>
        <w:ind w:left="720" w:hanging="360"/>
      </w:pPr>
      <w:rPr>
        <w:rFonts w:ascii="Symbol" w:hAnsi="Symbol"/>
      </w:rPr>
    </w:lvl>
    <w:lvl w:ilvl="2" w:tplc="3A0E9D74">
      <w:start w:val="1"/>
      <w:numFmt w:val="bullet"/>
      <w:lvlText w:val=""/>
      <w:lvlJc w:val="left"/>
      <w:pPr>
        <w:ind w:left="720" w:hanging="360"/>
      </w:pPr>
      <w:rPr>
        <w:rFonts w:ascii="Symbol" w:hAnsi="Symbol"/>
      </w:rPr>
    </w:lvl>
    <w:lvl w:ilvl="3" w:tplc="ED8EF91E">
      <w:start w:val="1"/>
      <w:numFmt w:val="bullet"/>
      <w:lvlText w:val=""/>
      <w:lvlJc w:val="left"/>
      <w:pPr>
        <w:ind w:left="720" w:hanging="360"/>
      </w:pPr>
      <w:rPr>
        <w:rFonts w:ascii="Symbol" w:hAnsi="Symbol"/>
      </w:rPr>
    </w:lvl>
    <w:lvl w:ilvl="4" w:tplc="89FE62BA">
      <w:start w:val="1"/>
      <w:numFmt w:val="bullet"/>
      <w:lvlText w:val=""/>
      <w:lvlJc w:val="left"/>
      <w:pPr>
        <w:ind w:left="720" w:hanging="360"/>
      </w:pPr>
      <w:rPr>
        <w:rFonts w:ascii="Symbol" w:hAnsi="Symbol"/>
      </w:rPr>
    </w:lvl>
    <w:lvl w:ilvl="5" w:tplc="16C01BA4">
      <w:start w:val="1"/>
      <w:numFmt w:val="bullet"/>
      <w:lvlText w:val=""/>
      <w:lvlJc w:val="left"/>
      <w:pPr>
        <w:ind w:left="720" w:hanging="360"/>
      </w:pPr>
      <w:rPr>
        <w:rFonts w:ascii="Symbol" w:hAnsi="Symbol"/>
      </w:rPr>
    </w:lvl>
    <w:lvl w:ilvl="6" w:tplc="A7AC2202">
      <w:start w:val="1"/>
      <w:numFmt w:val="bullet"/>
      <w:lvlText w:val=""/>
      <w:lvlJc w:val="left"/>
      <w:pPr>
        <w:ind w:left="720" w:hanging="360"/>
      </w:pPr>
      <w:rPr>
        <w:rFonts w:ascii="Symbol" w:hAnsi="Symbol"/>
      </w:rPr>
    </w:lvl>
    <w:lvl w:ilvl="7" w:tplc="06F073C2">
      <w:start w:val="1"/>
      <w:numFmt w:val="bullet"/>
      <w:lvlText w:val=""/>
      <w:lvlJc w:val="left"/>
      <w:pPr>
        <w:ind w:left="720" w:hanging="360"/>
      </w:pPr>
      <w:rPr>
        <w:rFonts w:ascii="Symbol" w:hAnsi="Symbol"/>
      </w:rPr>
    </w:lvl>
    <w:lvl w:ilvl="8" w:tplc="3B824B14">
      <w:start w:val="1"/>
      <w:numFmt w:val="bullet"/>
      <w:lvlText w:val=""/>
      <w:lvlJc w:val="left"/>
      <w:pPr>
        <w:ind w:left="720" w:hanging="360"/>
      </w:pPr>
      <w:rPr>
        <w:rFonts w:ascii="Symbol" w:hAnsi="Symbol"/>
      </w:rPr>
    </w:lvl>
  </w:abstractNum>
  <w:abstractNum w:abstractNumId="3" w15:restartNumberingAfterBreak="0">
    <w:nsid w:val="034D490A"/>
    <w:multiLevelType w:val="hybridMultilevel"/>
    <w:tmpl w:val="362A56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08E8604F"/>
    <w:multiLevelType w:val="hybridMultilevel"/>
    <w:tmpl w:val="1C4AC632"/>
    <w:lvl w:ilvl="0" w:tplc="164840B6">
      <w:start w:val="1"/>
      <w:numFmt w:val="bullet"/>
      <w:lvlText w:val=""/>
      <w:lvlJc w:val="left"/>
      <w:pPr>
        <w:ind w:left="720" w:hanging="360"/>
      </w:pPr>
      <w:rPr>
        <w:rFonts w:ascii="Symbol" w:hAnsi="Symbol"/>
      </w:rPr>
    </w:lvl>
    <w:lvl w:ilvl="1" w:tplc="0FA48CD8">
      <w:start w:val="1"/>
      <w:numFmt w:val="bullet"/>
      <w:lvlText w:val=""/>
      <w:lvlJc w:val="left"/>
      <w:pPr>
        <w:ind w:left="720" w:hanging="360"/>
      </w:pPr>
      <w:rPr>
        <w:rFonts w:ascii="Symbol" w:hAnsi="Symbol"/>
      </w:rPr>
    </w:lvl>
    <w:lvl w:ilvl="2" w:tplc="DA8CBC66">
      <w:start w:val="1"/>
      <w:numFmt w:val="bullet"/>
      <w:lvlText w:val=""/>
      <w:lvlJc w:val="left"/>
      <w:pPr>
        <w:ind w:left="720" w:hanging="360"/>
      </w:pPr>
      <w:rPr>
        <w:rFonts w:ascii="Symbol" w:hAnsi="Symbol"/>
      </w:rPr>
    </w:lvl>
    <w:lvl w:ilvl="3" w:tplc="15E8DD8A">
      <w:start w:val="1"/>
      <w:numFmt w:val="bullet"/>
      <w:lvlText w:val=""/>
      <w:lvlJc w:val="left"/>
      <w:pPr>
        <w:ind w:left="720" w:hanging="360"/>
      </w:pPr>
      <w:rPr>
        <w:rFonts w:ascii="Symbol" w:hAnsi="Symbol"/>
      </w:rPr>
    </w:lvl>
    <w:lvl w:ilvl="4" w:tplc="B76C4BCE">
      <w:start w:val="1"/>
      <w:numFmt w:val="bullet"/>
      <w:lvlText w:val=""/>
      <w:lvlJc w:val="left"/>
      <w:pPr>
        <w:ind w:left="720" w:hanging="360"/>
      </w:pPr>
      <w:rPr>
        <w:rFonts w:ascii="Symbol" w:hAnsi="Symbol"/>
      </w:rPr>
    </w:lvl>
    <w:lvl w:ilvl="5" w:tplc="7D64F2C8">
      <w:start w:val="1"/>
      <w:numFmt w:val="bullet"/>
      <w:lvlText w:val=""/>
      <w:lvlJc w:val="left"/>
      <w:pPr>
        <w:ind w:left="720" w:hanging="360"/>
      </w:pPr>
      <w:rPr>
        <w:rFonts w:ascii="Symbol" w:hAnsi="Symbol"/>
      </w:rPr>
    </w:lvl>
    <w:lvl w:ilvl="6" w:tplc="8384D6D8">
      <w:start w:val="1"/>
      <w:numFmt w:val="bullet"/>
      <w:lvlText w:val=""/>
      <w:lvlJc w:val="left"/>
      <w:pPr>
        <w:ind w:left="720" w:hanging="360"/>
      </w:pPr>
      <w:rPr>
        <w:rFonts w:ascii="Symbol" w:hAnsi="Symbol"/>
      </w:rPr>
    </w:lvl>
    <w:lvl w:ilvl="7" w:tplc="A1C6969C">
      <w:start w:val="1"/>
      <w:numFmt w:val="bullet"/>
      <w:lvlText w:val=""/>
      <w:lvlJc w:val="left"/>
      <w:pPr>
        <w:ind w:left="720" w:hanging="360"/>
      </w:pPr>
      <w:rPr>
        <w:rFonts w:ascii="Symbol" w:hAnsi="Symbol"/>
      </w:rPr>
    </w:lvl>
    <w:lvl w:ilvl="8" w:tplc="7C286B52">
      <w:start w:val="1"/>
      <w:numFmt w:val="bullet"/>
      <w:lvlText w:val=""/>
      <w:lvlJc w:val="left"/>
      <w:pPr>
        <w:ind w:left="720" w:hanging="360"/>
      </w:pPr>
      <w:rPr>
        <w:rFonts w:ascii="Symbol" w:hAnsi="Symbol"/>
      </w:rPr>
    </w:lvl>
  </w:abstractNum>
  <w:abstractNum w:abstractNumId="6" w15:restartNumberingAfterBreak="0">
    <w:nsid w:val="0C0548DF"/>
    <w:multiLevelType w:val="hybridMultilevel"/>
    <w:tmpl w:val="D38C4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8" w15:restartNumberingAfterBreak="0">
    <w:nsid w:val="0CB34E21"/>
    <w:multiLevelType w:val="hybridMultilevel"/>
    <w:tmpl w:val="0716538A"/>
    <w:lvl w:ilvl="0" w:tplc="4664BBD6">
      <w:start w:val="1"/>
      <w:numFmt w:val="bullet"/>
      <w:lvlText w:val=""/>
      <w:lvlJc w:val="left"/>
      <w:pPr>
        <w:ind w:left="1440" w:hanging="360"/>
      </w:pPr>
      <w:rPr>
        <w:rFonts w:ascii="Symbol" w:hAnsi="Symbol"/>
      </w:rPr>
    </w:lvl>
    <w:lvl w:ilvl="1" w:tplc="977CE164">
      <w:start w:val="1"/>
      <w:numFmt w:val="bullet"/>
      <w:lvlText w:val=""/>
      <w:lvlJc w:val="left"/>
      <w:pPr>
        <w:ind w:left="1440" w:hanging="360"/>
      </w:pPr>
      <w:rPr>
        <w:rFonts w:ascii="Symbol" w:hAnsi="Symbol"/>
      </w:rPr>
    </w:lvl>
    <w:lvl w:ilvl="2" w:tplc="39B2C562">
      <w:start w:val="1"/>
      <w:numFmt w:val="bullet"/>
      <w:lvlText w:val=""/>
      <w:lvlJc w:val="left"/>
      <w:pPr>
        <w:ind w:left="1440" w:hanging="360"/>
      </w:pPr>
      <w:rPr>
        <w:rFonts w:ascii="Symbol" w:hAnsi="Symbol"/>
      </w:rPr>
    </w:lvl>
    <w:lvl w:ilvl="3" w:tplc="D88AE842">
      <w:start w:val="1"/>
      <w:numFmt w:val="bullet"/>
      <w:lvlText w:val=""/>
      <w:lvlJc w:val="left"/>
      <w:pPr>
        <w:ind w:left="1440" w:hanging="360"/>
      </w:pPr>
      <w:rPr>
        <w:rFonts w:ascii="Symbol" w:hAnsi="Symbol"/>
      </w:rPr>
    </w:lvl>
    <w:lvl w:ilvl="4" w:tplc="AAD8B38E">
      <w:start w:val="1"/>
      <w:numFmt w:val="bullet"/>
      <w:lvlText w:val=""/>
      <w:lvlJc w:val="left"/>
      <w:pPr>
        <w:ind w:left="1440" w:hanging="360"/>
      </w:pPr>
      <w:rPr>
        <w:rFonts w:ascii="Symbol" w:hAnsi="Symbol"/>
      </w:rPr>
    </w:lvl>
    <w:lvl w:ilvl="5" w:tplc="EC52C102">
      <w:start w:val="1"/>
      <w:numFmt w:val="bullet"/>
      <w:lvlText w:val=""/>
      <w:lvlJc w:val="left"/>
      <w:pPr>
        <w:ind w:left="1440" w:hanging="360"/>
      </w:pPr>
      <w:rPr>
        <w:rFonts w:ascii="Symbol" w:hAnsi="Symbol"/>
      </w:rPr>
    </w:lvl>
    <w:lvl w:ilvl="6" w:tplc="F93AC51A">
      <w:start w:val="1"/>
      <w:numFmt w:val="bullet"/>
      <w:lvlText w:val=""/>
      <w:lvlJc w:val="left"/>
      <w:pPr>
        <w:ind w:left="1440" w:hanging="360"/>
      </w:pPr>
      <w:rPr>
        <w:rFonts w:ascii="Symbol" w:hAnsi="Symbol"/>
      </w:rPr>
    </w:lvl>
    <w:lvl w:ilvl="7" w:tplc="07AE1528">
      <w:start w:val="1"/>
      <w:numFmt w:val="bullet"/>
      <w:lvlText w:val=""/>
      <w:lvlJc w:val="left"/>
      <w:pPr>
        <w:ind w:left="1440" w:hanging="360"/>
      </w:pPr>
      <w:rPr>
        <w:rFonts w:ascii="Symbol" w:hAnsi="Symbol"/>
      </w:rPr>
    </w:lvl>
    <w:lvl w:ilvl="8" w:tplc="F5C0836C">
      <w:start w:val="1"/>
      <w:numFmt w:val="bullet"/>
      <w:lvlText w:val=""/>
      <w:lvlJc w:val="left"/>
      <w:pPr>
        <w:ind w:left="1440" w:hanging="360"/>
      </w:pPr>
      <w:rPr>
        <w:rFonts w:ascii="Symbol" w:hAnsi="Symbol"/>
      </w:rPr>
    </w:lvl>
  </w:abstractNum>
  <w:abstractNum w:abstractNumId="9" w15:restartNumberingAfterBreak="0">
    <w:nsid w:val="0E16234E"/>
    <w:multiLevelType w:val="hybridMultilevel"/>
    <w:tmpl w:val="292E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5E6D4F"/>
    <w:multiLevelType w:val="hybridMultilevel"/>
    <w:tmpl w:val="A03EE898"/>
    <w:lvl w:ilvl="0" w:tplc="A43C3BF6">
      <w:start w:val="1"/>
      <w:numFmt w:val="bullet"/>
      <w:lvlText w:val=""/>
      <w:lvlJc w:val="left"/>
      <w:pPr>
        <w:ind w:left="1440" w:hanging="360"/>
      </w:pPr>
      <w:rPr>
        <w:rFonts w:ascii="Symbol" w:hAnsi="Symbol"/>
      </w:rPr>
    </w:lvl>
    <w:lvl w:ilvl="1" w:tplc="B2C6DE9C">
      <w:start w:val="1"/>
      <w:numFmt w:val="bullet"/>
      <w:lvlText w:val=""/>
      <w:lvlJc w:val="left"/>
      <w:pPr>
        <w:ind w:left="2160" w:hanging="360"/>
      </w:pPr>
      <w:rPr>
        <w:rFonts w:ascii="Symbol" w:hAnsi="Symbol"/>
      </w:rPr>
    </w:lvl>
    <w:lvl w:ilvl="2" w:tplc="1A185646">
      <w:start w:val="1"/>
      <w:numFmt w:val="bullet"/>
      <w:lvlText w:val=""/>
      <w:lvlJc w:val="left"/>
      <w:pPr>
        <w:ind w:left="1440" w:hanging="360"/>
      </w:pPr>
      <w:rPr>
        <w:rFonts w:ascii="Symbol" w:hAnsi="Symbol"/>
      </w:rPr>
    </w:lvl>
    <w:lvl w:ilvl="3" w:tplc="0D82AF64">
      <w:start w:val="1"/>
      <w:numFmt w:val="bullet"/>
      <w:lvlText w:val=""/>
      <w:lvlJc w:val="left"/>
      <w:pPr>
        <w:ind w:left="1440" w:hanging="360"/>
      </w:pPr>
      <w:rPr>
        <w:rFonts w:ascii="Symbol" w:hAnsi="Symbol"/>
      </w:rPr>
    </w:lvl>
    <w:lvl w:ilvl="4" w:tplc="3072EDE6">
      <w:start w:val="1"/>
      <w:numFmt w:val="bullet"/>
      <w:lvlText w:val=""/>
      <w:lvlJc w:val="left"/>
      <w:pPr>
        <w:ind w:left="1440" w:hanging="360"/>
      </w:pPr>
      <w:rPr>
        <w:rFonts w:ascii="Symbol" w:hAnsi="Symbol"/>
      </w:rPr>
    </w:lvl>
    <w:lvl w:ilvl="5" w:tplc="46D00BF8">
      <w:start w:val="1"/>
      <w:numFmt w:val="bullet"/>
      <w:lvlText w:val=""/>
      <w:lvlJc w:val="left"/>
      <w:pPr>
        <w:ind w:left="1440" w:hanging="360"/>
      </w:pPr>
      <w:rPr>
        <w:rFonts w:ascii="Symbol" w:hAnsi="Symbol"/>
      </w:rPr>
    </w:lvl>
    <w:lvl w:ilvl="6" w:tplc="916A1444">
      <w:start w:val="1"/>
      <w:numFmt w:val="bullet"/>
      <w:lvlText w:val=""/>
      <w:lvlJc w:val="left"/>
      <w:pPr>
        <w:ind w:left="1440" w:hanging="360"/>
      </w:pPr>
      <w:rPr>
        <w:rFonts w:ascii="Symbol" w:hAnsi="Symbol"/>
      </w:rPr>
    </w:lvl>
    <w:lvl w:ilvl="7" w:tplc="BF8E332C">
      <w:start w:val="1"/>
      <w:numFmt w:val="bullet"/>
      <w:lvlText w:val=""/>
      <w:lvlJc w:val="left"/>
      <w:pPr>
        <w:ind w:left="1440" w:hanging="360"/>
      </w:pPr>
      <w:rPr>
        <w:rFonts w:ascii="Symbol" w:hAnsi="Symbol"/>
      </w:rPr>
    </w:lvl>
    <w:lvl w:ilvl="8" w:tplc="72E8A826">
      <w:start w:val="1"/>
      <w:numFmt w:val="bullet"/>
      <w:lvlText w:val=""/>
      <w:lvlJc w:val="left"/>
      <w:pPr>
        <w:ind w:left="1440" w:hanging="360"/>
      </w:pPr>
      <w:rPr>
        <w:rFonts w:ascii="Symbol" w:hAnsi="Symbol"/>
      </w:rPr>
    </w:lvl>
  </w:abstractNum>
  <w:abstractNum w:abstractNumId="11" w15:restartNumberingAfterBreak="0">
    <w:nsid w:val="10646D93"/>
    <w:multiLevelType w:val="hybridMultilevel"/>
    <w:tmpl w:val="FCFA928A"/>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2" w15:restartNumberingAfterBreak="0">
    <w:nsid w:val="10BB7CE6"/>
    <w:multiLevelType w:val="hybridMultilevel"/>
    <w:tmpl w:val="BF6C16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87183"/>
    <w:multiLevelType w:val="hybridMultilevel"/>
    <w:tmpl w:val="AD0AF07E"/>
    <w:lvl w:ilvl="0" w:tplc="0C09000F">
      <w:start w:val="1"/>
      <w:numFmt w:val="decimal"/>
      <w:lvlText w:val="%1."/>
      <w:lvlJc w:val="left"/>
      <w:pPr>
        <w:ind w:left="360" w:hanging="360"/>
      </w:pPr>
      <w:rPr>
        <w:b w:val="0"/>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137819BB"/>
    <w:multiLevelType w:val="hybridMultilevel"/>
    <w:tmpl w:val="D12AF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A02421"/>
    <w:multiLevelType w:val="hybridMultilevel"/>
    <w:tmpl w:val="B938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750630"/>
    <w:multiLevelType w:val="hybridMultilevel"/>
    <w:tmpl w:val="D38C4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53A7A9B"/>
    <w:multiLevelType w:val="hybridMultilevel"/>
    <w:tmpl w:val="A0486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D77532"/>
    <w:multiLevelType w:val="hybridMultilevel"/>
    <w:tmpl w:val="5A5CE82C"/>
    <w:lvl w:ilvl="0" w:tplc="162030DA">
      <w:numFmt w:val="bullet"/>
      <w:lvlText w:val=""/>
      <w:lvlJc w:val="left"/>
      <w:pPr>
        <w:ind w:left="720" w:hanging="360"/>
      </w:pPr>
      <w:rPr>
        <w:rFonts w:ascii="Symbol" w:eastAsia="Calibri" w:hAnsi="Symbol" w:cs="Mang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FB4CB1"/>
    <w:multiLevelType w:val="hybridMultilevel"/>
    <w:tmpl w:val="C792B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FA0C1D"/>
    <w:multiLevelType w:val="hybridMultilevel"/>
    <w:tmpl w:val="B0925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DA0DF3"/>
    <w:multiLevelType w:val="hybridMultilevel"/>
    <w:tmpl w:val="BD82BC58"/>
    <w:lvl w:ilvl="0" w:tplc="4D4CF264">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902A96"/>
    <w:multiLevelType w:val="hybridMultilevel"/>
    <w:tmpl w:val="2FAC1EDA"/>
    <w:lvl w:ilvl="0" w:tplc="FC3E7D3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D97F54"/>
    <w:multiLevelType w:val="hybridMultilevel"/>
    <w:tmpl w:val="D700A21E"/>
    <w:lvl w:ilvl="0" w:tplc="DFCE8E3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C7E3E96"/>
    <w:multiLevelType w:val="hybridMultilevel"/>
    <w:tmpl w:val="DD107162"/>
    <w:lvl w:ilvl="0" w:tplc="3CE8F06C">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9B13DE"/>
    <w:multiLevelType w:val="hybridMultilevel"/>
    <w:tmpl w:val="4FC2398C"/>
    <w:lvl w:ilvl="0" w:tplc="0E0C59EC">
      <w:numFmt w:val="bullet"/>
      <w:lvlText w:val=""/>
      <w:lvlJc w:val="left"/>
      <w:pPr>
        <w:ind w:left="720" w:hanging="360"/>
      </w:pPr>
      <w:rPr>
        <w:rFonts w:ascii="Symbol" w:eastAsiaTheme="minorHAnsi" w:hAnsi="Symbol"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AB0D1D"/>
    <w:multiLevelType w:val="hybridMultilevel"/>
    <w:tmpl w:val="A0869D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CD8480E"/>
    <w:multiLevelType w:val="multilevel"/>
    <w:tmpl w:val="2C0E8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E782547"/>
    <w:multiLevelType w:val="hybridMultilevel"/>
    <w:tmpl w:val="A3740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E9F6901"/>
    <w:multiLevelType w:val="hybridMultilevel"/>
    <w:tmpl w:val="D106544E"/>
    <w:lvl w:ilvl="0" w:tplc="FB9C5636">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0284594"/>
    <w:multiLevelType w:val="hybridMultilevel"/>
    <w:tmpl w:val="9E3E34C6"/>
    <w:lvl w:ilvl="0" w:tplc="5D3C3306">
      <w:start w:val="1"/>
      <w:numFmt w:val="bullet"/>
      <w:lvlText w:val=""/>
      <w:lvlJc w:val="left"/>
      <w:pPr>
        <w:ind w:left="1440" w:hanging="360"/>
      </w:pPr>
      <w:rPr>
        <w:rFonts w:ascii="Symbol" w:hAnsi="Symbol"/>
      </w:rPr>
    </w:lvl>
    <w:lvl w:ilvl="1" w:tplc="123CD26A">
      <w:start w:val="1"/>
      <w:numFmt w:val="bullet"/>
      <w:lvlText w:val=""/>
      <w:lvlJc w:val="left"/>
      <w:pPr>
        <w:ind w:left="2160" w:hanging="360"/>
      </w:pPr>
      <w:rPr>
        <w:rFonts w:ascii="Symbol" w:hAnsi="Symbol"/>
      </w:rPr>
    </w:lvl>
    <w:lvl w:ilvl="2" w:tplc="669A9886">
      <w:start w:val="1"/>
      <w:numFmt w:val="bullet"/>
      <w:lvlText w:val=""/>
      <w:lvlJc w:val="left"/>
      <w:pPr>
        <w:ind w:left="1440" w:hanging="360"/>
      </w:pPr>
      <w:rPr>
        <w:rFonts w:ascii="Symbol" w:hAnsi="Symbol"/>
      </w:rPr>
    </w:lvl>
    <w:lvl w:ilvl="3" w:tplc="E1CA8238">
      <w:start w:val="1"/>
      <w:numFmt w:val="bullet"/>
      <w:lvlText w:val=""/>
      <w:lvlJc w:val="left"/>
      <w:pPr>
        <w:ind w:left="1440" w:hanging="360"/>
      </w:pPr>
      <w:rPr>
        <w:rFonts w:ascii="Symbol" w:hAnsi="Symbol"/>
      </w:rPr>
    </w:lvl>
    <w:lvl w:ilvl="4" w:tplc="3DEE6366">
      <w:start w:val="1"/>
      <w:numFmt w:val="bullet"/>
      <w:lvlText w:val=""/>
      <w:lvlJc w:val="left"/>
      <w:pPr>
        <w:ind w:left="1440" w:hanging="360"/>
      </w:pPr>
      <w:rPr>
        <w:rFonts w:ascii="Symbol" w:hAnsi="Symbol"/>
      </w:rPr>
    </w:lvl>
    <w:lvl w:ilvl="5" w:tplc="D2742A76">
      <w:start w:val="1"/>
      <w:numFmt w:val="bullet"/>
      <w:lvlText w:val=""/>
      <w:lvlJc w:val="left"/>
      <w:pPr>
        <w:ind w:left="1440" w:hanging="360"/>
      </w:pPr>
      <w:rPr>
        <w:rFonts w:ascii="Symbol" w:hAnsi="Symbol"/>
      </w:rPr>
    </w:lvl>
    <w:lvl w:ilvl="6" w:tplc="669CC7B6">
      <w:start w:val="1"/>
      <w:numFmt w:val="bullet"/>
      <w:lvlText w:val=""/>
      <w:lvlJc w:val="left"/>
      <w:pPr>
        <w:ind w:left="1440" w:hanging="360"/>
      </w:pPr>
      <w:rPr>
        <w:rFonts w:ascii="Symbol" w:hAnsi="Symbol"/>
      </w:rPr>
    </w:lvl>
    <w:lvl w:ilvl="7" w:tplc="303E282E">
      <w:start w:val="1"/>
      <w:numFmt w:val="bullet"/>
      <w:lvlText w:val=""/>
      <w:lvlJc w:val="left"/>
      <w:pPr>
        <w:ind w:left="1440" w:hanging="360"/>
      </w:pPr>
      <w:rPr>
        <w:rFonts w:ascii="Symbol" w:hAnsi="Symbol"/>
      </w:rPr>
    </w:lvl>
    <w:lvl w:ilvl="8" w:tplc="F3FA4906">
      <w:start w:val="1"/>
      <w:numFmt w:val="bullet"/>
      <w:lvlText w:val=""/>
      <w:lvlJc w:val="left"/>
      <w:pPr>
        <w:ind w:left="1440" w:hanging="360"/>
      </w:pPr>
      <w:rPr>
        <w:rFonts w:ascii="Symbol" w:hAnsi="Symbol"/>
      </w:rPr>
    </w:lvl>
  </w:abstractNum>
  <w:abstractNum w:abstractNumId="32" w15:restartNumberingAfterBreak="0">
    <w:nsid w:val="20EE0364"/>
    <w:multiLevelType w:val="hybridMultilevel"/>
    <w:tmpl w:val="6EC62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1556987"/>
    <w:multiLevelType w:val="hybridMultilevel"/>
    <w:tmpl w:val="4BAC9CBE"/>
    <w:lvl w:ilvl="0" w:tplc="A4E2F30E">
      <w:start w:val="1"/>
      <w:numFmt w:val="bullet"/>
      <w:lvlText w:val=""/>
      <w:lvlJc w:val="left"/>
      <w:pPr>
        <w:ind w:left="720" w:hanging="360"/>
      </w:pPr>
      <w:rPr>
        <w:rFonts w:ascii="Symbol" w:hAnsi="Symbol"/>
      </w:rPr>
    </w:lvl>
    <w:lvl w:ilvl="1" w:tplc="2A6A9578">
      <w:start w:val="1"/>
      <w:numFmt w:val="bullet"/>
      <w:lvlText w:val=""/>
      <w:lvlJc w:val="left"/>
      <w:pPr>
        <w:ind w:left="720" w:hanging="360"/>
      </w:pPr>
      <w:rPr>
        <w:rFonts w:ascii="Symbol" w:hAnsi="Symbol"/>
      </w:rPr>
    </w:lvl>
    <w:lvl w:ilvl="2" w:tplc="9440039C">
      <w:start w:val="1"/>
      <w:numFmt w:val="bullet"/>
      <w:lvlText w:val=""/>
      <w:lvlJc w:val="left"/>
      <w:pPr>
        <w:ind w:left="720" w:hanging="360"/>
      </w:pPr>
      <w:rPr>
        <w:rFonts w:ascii="Symbol" w:hAnsi="Symbol"/>
      </w:rPr>
    </w:lvl>
    <w:lvl w:ilvl="3" w:tplc="EE4687EA">
      <w:start w:val="1"/>
      <w:numFmt w:val="bullet"/>
      <w:lvlText w:val=""/>
      <w:lvlJc w:val="left"/>
      <w:pPr>
        <w:ind w:left="720" w:hanging="360"/>
      </w:pPr>
      <w:rPr>
        <w:rFonts w:ascii="Symbol" w:hAnsi="Symbol"/>
      </w:rPr>
    </w:lvl>
    <w:lvl w:ilvl="4" w:tplc="A274A3CA">
      <w:start w:val="1"/>
      <w:numFmt w:val="bullet"/>
      <w:lvlText w:val=""/>
      <w:lvlJc w:val="left"/>
      <w:pPr>
        <w:ind w:left="720" w:hanging="360"/>
      </w:pPr>
      <w:rPr>
        <w:rFonts w:ascii="Symbol" w:hAnsi="Symbol"/>
      </w:rPr>
    </w:lvl>
    <w:lvl w:ilvl="5" w:tplc="07D27736">
      <w:start w:val="1"/>
      <w:numFmt w:val="bullet"/>
      <w:lvlText w:val=""/>
      <w:lvlJc w:val="left"/>
      <w:pPr>
        <w:ind w:left="720" w:hanging="360"/>
      </w:pPr>
      <w:rPr>
        <w:rFonts w:ascii="Symbol" w:hAnsi="Symbol"/>
      </w:rPr>
    </w:lvl>
    <w:lvl w:ilvl="6" w:tplc="BC86D1F6">
      <w:start w:val="1"/>
      <w:numFmt w:val="bullet"/>
      <w:lvlText w:val=""/>
      <w:lvlJc w:val="left"/>
      <w:pPr>
        <w:ind w:left="720" w:hanging="360"/>
      </w:pPr>
      <w:rPr>
        <w:rFonts w:ascii="Symbol" w:hAnsi="Symbol"/>
      </w:rPr>
    </w:lvl>
    <w:lvl w:ilvl="7" w:tplc="703628A6">
      <w:start w:val="1"/>
      <w:numFmt w:val="bullet"/>
      <w:lvlText w:val=""/>
      <w:lvlJc w:val="left"/>
      <w:pPr>
        <w:ind w:left="720" w:hanging="360"/>
      </w:pPr>
      <w:rPr>
        <w:rFonts w:ascii="Symbol" w:hAnsi="Symbol"/>
      </w:rPr>
    </w:lvl>
    <w:lvl w:ilvl="8" w:tplc="D6DEB54A">
      <w:start w:val="1"/>
      <w:numFmt w:val="bullet"/>
      <w:lvlText w:val=""/>
      <w:lvlJc w:val="left"/>
      <w:pPr>
        <w:ind w:left="720" w:hanging="360"/>
      </w:pPr>
      <w:rPr>
        <w:rFonts w:ascii="Symbol" w:hAnsi="Symbol"/>
      </w:rPr>
    </w:lvl>
  </w:abstractNum>
  <w:abstractNum w:abstractNumId="34" w15:restartNumberingAfterBreak="0">
    <w:nsid w:val="21B265BA"/>
    <w:multiLevelType w:val="hybridMultilevel"/>
    <w:tmpl w:val="19C874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47135D3"/>
    <w:multiLevelType w:val="hybridMultilevel"/>
    <w:tmpl w:val="2056D08C"/>
    <w:lvl w:ilvl="0" w:tplc="33C4784C">
      <w:start w:val="1"/>
      <w:numFmt w:val="bullet"/>
      <w:lvlText w:val=""/>
      <w:lvlJc w:val="left"/>
      <w:pPr>
        <w:ind w:left="1440" w:hanging="360"/>
      </w:pPr>
      <w:rPr>
        <w:rFonts w:ascii="Symbol" w:hAnsi="Symbol"/>
      </w:rPr>
    </w:lvl>
    <w:lvl w:ilvl="1" w:tplc="5B4E520E">
      <w:start w:val="1"/>
      <w:numFmt w:val="bullet"/>
      <w:lvlText w:val=""/>
      <w:lvlJc w:val="left"/>
      <w:pPr>
        <w:ind w:left="1440" w:hanging="360"/>
      </w:pPr>
      <w:rPr>
        <w:rFonts w:ascii="Symbol" w:hAnsi="Symbol"/>
      </w:rPr>
    </w:lvl>
    <w:lvl w:ilvl="2" w:tplc="45B47EC6">
      <w:start w:val="1"/>
      <w:numFmt w:val="bullet"/>
      <w:lvlText w:val=""/>
      <w:lvlJc w:val="left"/>
      <w:pPr>
        <w:ind w:left="1440" w:hanging="360"/>
      </w:pPr>
      <w:rPr>
        <w:rFonts w:ascii="Symbol" w:hAnsi="Symbol"/>
      </w:rPr>
    </w:lvl>
    <w:lvl w:ilvl="3" w:tplc="1A5E0D5A">
      <w:start w:val="1"/>
      <w:numFmt w:val="bullet"/>
      <w:lvlText w:val=""/>
      <w:lvlJc w:val="left"/>
      <w:pPr>
        <w:ind w:left="1440" w:hanging="360"/>
      </w:pPr>
      <w:rPr>
        <w:rFonts w:ascii="Symbol" w:hAnsi="Symbol"/>
      </w:rPr>
    </w:lvl>
    <w:lvl w:ilvl="4" w:tplc="9D0A1912">
      <w:start w:val="1"/>
      <w:numFmt w:val="bullet"/>
      <w:lvlText w:val=""/>
      <w:lvlJc w:val="left"/>
      <w:pPr>
        <w:ind w:left="1440" w:hanging="360"/>
      </w:pPr>
      <w:rPr>
        <w:rFonts w:ascii="Symbol" w:hAnsi="Symbol"/>
      </w:rPr>
    </w:lvl>
    <w:lvl w:ilvl="5" w:tplc="07C8F91C">
      <w:start w:val="1"/>
      <w:numFmt w:val="bullet"/>
      <w:lvlText w:val=""/>
      <w:lvlJc w:val="left"/>
      <w:pPr>
        <w:ind w:left="1440" w:hanging="360"/>
      </w:pPr>
      <w:rPr>
        <w:rFonts w:ascii="Symbol" w:hAnsi="Symbol"/>
      </w:rPr>
    </w:lvl>
    <w:lvl w:ilvl="6" w:tplc="31560CC2">
      <w:start w:val="1"/>
      <w:numFmt w:val="bullet"/>
      <w:lvlText w:val=""/>
      <w:lvlJc w:val="left"/>
      <w:pPr>
        <w:ind w:left="1440" w:hanging="360"/>
      </w:pPr>
      <w:rPr>
        <w:rFonts w:ascii="Symbol" w:hAnsi="Symbol"/>
      </w:rPr>
    </w:lvl>
    <w:lvl w:ilvl="7" w:tplc="F44E0536">
      <w:start w:val="1"/>
      <w:numFmt w:val="bullet"/>
      <w:lvlText w:val=""/>
      <w:lvlJc w:val="left"/>
      <w:pPr>
        <w:ind w:left="1440" w:hanging="360"/>
      </w:pPr>
      <w:rPr>
        <w:rFonts w:ascii="Symbol" w:hAnsi="Symbol"/>
      </w:rPr>
    </w:lvl>
    <w:lvl w:ilvl="8" w:tplc="2D9630E4">
      <w:start w:val="1"/>
      <w:numFmt w:val="bullet"/>
      <w:lvlText w:val=""/>
      <w:lvlJc w:val="left"/>
      <w:pPr>
        <w:ind w:left="1440" w:hanging="360"/>
      </w:pPr>
      <w:rPr>
        <w:rFonts w:ascii="Symbol" w:hAnsi="Symbol"/>
      </w:rPr>
    </w:lvl>
  </w:abstractNum>
  <w:abstractNum w:abstractNumId="36" w15:restartNumberingAfterBreak="0">
    <w:nsid w:val="262928A1"/>
    <w:multiLevelType w:val="hybridMultilevel"/>
    <w:tmpl w:val="C68C819E"/>
    <w:lvl w:ilvl="0" w:tplc="062046F2">
      <w:start w:val="1"/>
      <w:numFmt w:val="bullet"/>
      <w:lvlText w:val=""/>
      <w:lvlJc w:val="left"/>
      <w:pPr>
        <w:ind w:left="720" w:hanging="360"/>
      </w:pPr>
      <w:rPr>
        <w:rFonts w:ascii="Symbol" w:hAnsi="Symbol"/>
      </w:rPr>
    </w:lvl>
    <w:lvl w:ilvl="1" w:tplc="49769AE2">
      <w:start w:val="1"/>
      <w:numFmt w:val="bullet"/>
      <w:lvlText w:val=""/>
      <w:lvlJc w:val="left"/>
      <w:pPr>
        <w:ind w:left="720" w:hanging="360"/>
      </w:pPr>
      <w:rPr>
        <w:rFonts w:ascii="Symbol" w:hAnsi="Symbol"/>
      </w:rPr>
    </w:lvl>
    <w:lvl w:ilvl="2" w:tplc="6712B1C6">
      <w:start w:val="1"/>
      <w:numFmt w:val="bullet"/>
      <w:lvlText w:val=""/>
      <w:lvlJc w:val="left"/>
      <w:pPr>
        <w:ind w:left="720" w:hanging="360"/>
      </w:pPr>
      <w:rPr>
        <w:rFonts w:ascii="Symbol" w:hAnsi="Symbol"/>
      </w:rPr>
    </w:lvl>
    <w:lvl w:ilvl="3" w:tplc="68E6B286">
      <w:start w:val="1"/>
      <w:numFmt w:val="bullet"/>
      <w:lvlText w:val=""/>
      <w:lvlJc w:val="left"/>
      <w:pPr>
        <w:ind w:left="720" w:hanging="360"/>
      </w:pPr>
      <w:rPr>
        <w:rFonts w:ascii="Symbol" w:hAnsi="Symbol"/>
      </w:rPr>
    </w:lvl>
    <w:lvl w:ilvl="4" w:tplc="61D0D2DE">
      <w:start w:val="1"/>
      <w:numFmt w:val="bullet"/>
      <w:lvlText w:val=""/>
      <w:lvlJc w:val="left"/>
      <w:pPr>
        <w:ind w:left="720" w:hanging="360"/>
      </w:pPr>
      <w:rPr>
        <w:rFonts w:ascii="Symbol" w:hAnsi="Symbol"/>
      </w:rPr>
    </w:lvl>
    <w:lvl w:ilvl="5" w:tplc="50960310">
      <w:start w:val="1"/>
      <w:numFmt w:val="bullet"/>
      <w:lvlText w:val=""/>
      <w:lvlJc w:val="left"/>
      <w:pPr>
        <w:ind w:left="720" w:hanging="360"/>
      </w:pPr>
      <w:rPr>
        <w:rFonts w:ascii="Symbol" w:hAnsi="Symbol"/>
      </w:rPr>
    </w:lvl>
    <w:lvl w:ilvl="6" w:tplc="E4F631CA">
      <w:start w:val="1"/>
      <w:numFmt w:val="bullet"/>
      <w:lvlText w:val=""/>
      <w:lvlJc w:val="left"/>
      <w:pPr>
        <w:ind w:left="720" w:hanging="360"/>
      </w:pPr>
      <w:rPr>
        <w:rFonts w:ascii="Symbol" w:hAnsi="Symbol"/>
      </w:rPr>
    </w:lvl>
    <w:lvl w:ilvl="7" w:tplc="9C18E4FA">
      <w:start w:val="1"/>
      <w:numFmt w:val="bullet"/>
      <w:lvlText w:val=""/>
      <w:lvlJc w:val="left"/>
      <w:pPr>
        <w:ind w:left="720" w:hanging="360"/>
      </w:pPr>
      <w:rPr>
        <w:rFonts w:ascii="Symbol" w:hAnsi="Symbol"/>
      </w:rPr>
    </w:lvl>
    <w:lvl w:ilvl="8" w:tplc="109A3B22">
      <w:start w:val="1"/>
      <w:numFmt w:val="bullet"/>
      <w:lvlText w:val=""/>
      <w:lvlJc w:val="left"/>
      <w:pPr>
        <w:ind w:left="720" w:hanging="360"/>
      </w:pPr>
      <w:rPr>
        <w:rFonts w:ascii="Symbol" w:hAnsi="Symbol"/>
      </w:rPr>
    </w:lvl>
  </w:abstractNum>
  <w:abstractNum w:abstractNumId="37" w15:restartNumberingAfterBreak="0">
    <w:nsid w:val="26EC5348"/>
    <w:multiLevelType w:val="hybridMultilevel"/>
    <w:tmpl w:val="7212A9AA"/>
    <w:lvl w:ilvl="0" w:tplc="3CE8F06C">
      <w:start w:val="1"/>
      <w:numFmt w:val="bullet"/>
      <w:lvlText w:val=""/>
      <w:lvlJc w:val="left"/>
      <w:pPr>
        <w:ind w:left="720" w:hanging="360"/>
      </w:pPr>
      <w:rPr>
        <w:rFonts w:ascii="Symbol" w:hAnsi="Symbol"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70816AE"/>
    <w:multiLevelType w:val="hybridMultilevel"/>
    <w:tmpl w:val="8F08B53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617D30"/>
    <w:multiLevelType w:val="hybridMultilevel"/>
    <w:tmpl w:val="91B657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77B54AD"/>
    <w:multiLevelType w:val="hybridMultilevel"/>
    <w:tmpl w:val="5184C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B23CFA"/>
    <w:multiLevelType w:val="hybridMultilevel"/>
    <w:tmpl w:val="DBE810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2D4E4549"/>
    <w:multiLevelType w:val="hybridMultilevel"/>
    <w:tmpl w:val="ACC0E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774C5C"/>
    <w:multiLevelType w:val="hybridMultilevel"/>
    <w:tmpl w:val="49549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EA6636A"/>
    <w:multiLevelType w:val="hybridMultilevel"/>
    <w:tmpl w:val="5508A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56447F"/>
    <w:multiLevelType w:val="hybridMultilevel"/>
    <w:tmpl w:val="A23EA3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3A74E65"/>
    <w:multiLevelType w:val="hybridMultilevel"/>
    <w:tmpl w:val="930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43161F"/>
    <w:multiLevelType w:val="hybridMultilevel"/>
    <w:tmpl w:val="C72C8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F40CF2"/>
    <w:multiLevelType w:val="hybridMultilevel"/>
    <w:tmpl w:val="7EE49158"/>
    <w:lvl w:ilvl="0" w:tplc="3C2AA51A">
      <w:numFmt w:val="bullet"/>
      <w:lvlText w:val=""/>
      <w:lvlJc w:val="left"/>
      <w:pPr>
        <w:ind w:left="720" w:hanging="360"/>
      </w:pPr>
      <w:rPr>
        <w:rFonts w:ascii="Symbol" w:eastAsia="Aptos"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36906212"/>
    <w:multiLevelType w:val="hybridMultilevel"/>
    <w:tmpl w:val="309E9A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6C31BC1"/>
    <w:multiLevelType w:val="hybridMultilevel"/>
    <w:tmpl w:val="2814EF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52" w15:restartNumberingAfterBreak="0">
    <w:nsid w:val="37BF587F"/>
    <w:multiLevelType w:val="hybridMultilevel"/>
    <w:tmpl w:val="9D369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622381"/>
    <w:multiLevelType w:val="hybridMultilevel"/>
    <w:tmpl w:val="7B6C6CB8"/>
    <w:lvl w:ilvl="0" w:tplc="58A2C522">
      <w:start w:val="1"/>
      <w:numFmt w:val="decimal"/>
      <w:lvlText w:val="%1."/>
      <w:lvlJc w:val="left"/>
      <w:pPr>
        <w:ind w:left="1020" w:hanging="360"/>
      </w:pPr>
    </w:lvl>
    <w:lvl w:ilvl="1" w:tplc="31B69F52">
      <w:start w:val="1"/>
      <w:numFmt w:val="decimal"/>
      <w:lvlText w:val="%2."/>
      <w:lvlJc w:val="left"/>
      <w:pPr>
        <w:ind w:left="1020" w:hanging="360"/>
      </w:pPr>
    </w:lvl>
    <w:lvl w:ilvl="2" w:tplc="B9821FE0">
      <w:start w:val="1"/>
      <w:numFmt w:val="decimal"/>
      <w:lvlText w:val="%3."/>
      <w:lvlJc w:val="left"/>
      <w:pPr>
        <w:ind w:left="1020" w:hanging="360"/>
      </w:pPr>
    </w:lvl>
    <w:lvl w:ilvl="3" w:tplc="167A9BFA">
      <w:start w:val="1"/>
      <w:numFmt w:val="decimal"/>
      <w:lvlText w:val="%4."/>
      <w:lvlJc w:val="left"/>
      <w:pPr>
        <w:ind w:left="1020" w:hanging="360"/>
      </w:pPr>
    </w:lvl>
    <w:lvl w:ilvl="4" w:tplc="5414F964">
      <w:start w:val="1"/>
      <w:numFmt w:val="decimal"/>
      <w:lvlText w:val="%5."/>
      <w:lvlJc w:val="left"/>
      <w:pPr>
        <w:ind w:left="1020" w:hanging="360"/>
      </w:pPr>
    </w:lvl>
    <w:lvl w:ilvl="5" w:tplc="00EA5F86">
      <w:start w:val="1"/>
      <w:numFmt w:val="decimal"/>
      <w:lvlText w:val="%6."/>
      <w:lvlJc w:val="left"/>
      <w:pPr>
        <w:ind w:left="1020" w:hanging="360"/>
      </w:pPr>
    </w:lvl>
    <w:lvl w:ilvl="6" w:tplc="EB90860C">
      <w:start w:val="1"/>
      <w:numFmt w:val="decimal"/>
      <w:lvlText w:val="%7."/>
      <w:lvlJc w:val="left"/>
      <w:pPr>
        <w:ind w:left="1020" w:hanging="360"/>
      </w:pPr>
    </w:lvl>
    <w:lvl w:ilvl="7" w:tplc="E6863F0C">
      <w:start w:val="1"/>
      <w:numFmt w:val="decimal"/>
      <w:lvlText w:val="%8."/>
      <w:lvlJc w:val="left"/>
      <w:pPr>
        <w:ind w:left="1020" w:hanging="360"/>
      </w:pPr>
    </w:lvl>
    <w:lvl w:ilvl="8" w:tplc="3F947B2E">
      <w:start w:val="1"/>
      <w:numFmt w:val="decimal"/>
      <w:lvlText w:val="%9."/>
      <w:lvlJc w:val="left"/>
      <w:pPr>
        <w:ind w:left="1020" w:hanging="360"/>
      </w:pPr>
    </w:lvl>
  </w:abstractNum>
  <w:abstractNum w:abstractNumId="54" w15:restartNumberingAfterBreak="0">
    <w:nsid w:val="39A062CF"/>
    <w:multiLevelType w:val="hybridMultilevel"/>
    <w:tmpl w:val="E80C94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A213227"/>
    <w:multiLevelType w:val="hybridMultilevel"/>
    <w:tmpl w:val="7CDA2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311A08"/>
    <w:multiLevelType w:val="hybridMultilevel"/>
    <w:tmpl w:val="CEDA2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883EBB"/>
    <w:multiLevelType w:val="hybridMultilevel"/>
    <w:tmpl w:val="64847C4C"/>
    <w:lvl w:ilvl="0" w:tplc="C1C8BD08">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C430960"/>
    <w:multiLevelType w:val="hybridMultilevel"/>
    <w:tmpl w:val="22BCCBD0"/>
    <w:lvl w:ilvl="0" w:tplc="C25E0C4C">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CB64B65"/>
    <w:multiLevelType w:val="hybridMultilevel"/>
    <w:tmpl w:val="47B41AF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93D00F3A">
      <w:numFmt w:val="bullet"/>
      <w:lvlText w:val="•"/>
      <w:lvlJc w:val="left"/>
      <w:pPr>
        <w:ind w:left="2520" w:hanging="72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3F695C4D"/>
    <w:multiLevelType w:val="hybridMultilevel"/>
    <w:tmpl w:val="7CDEF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F71184D"/>
    <w:multiLevelType w:val="hybridMultilevel"/>
    <w:tmpl w:val="44ECA404"/>
    <w:lvl w:ilvl="0" w:tplc="52F4B884">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622E0D"/>
    <w:multiLevelType w:val="hybridMultilevel"/>
    <w:tmpl w:val="E5AE0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3" w15:restartNumberingAfterBreak="0">
    <w:nsid w:val="40827307"/>
    <w:multiLevelType w:val="hybridMultilevel"/>
    <w:tmpl w:val="FC26EB42"/>
    <w:lvl w:ilvl="0" w:tplc="099C11F0">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25162BD"/>
    <w:multiLevelType w:val="hybridMultilevel"/>
    <w:tmpl w:val="4118B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642047C"/>
    <w:multiLevelType w:val="hybridMultilevel"/>
    <w:tmpl w:val="85660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47136EF0"/>
    <w:multiLevelType w:val="hybridMultilevel"/>
    <w:tmpl w:val="DA601EB4"/>
    <w:lvl w:ilvl="0" w:tplc="3CE8F06C">
      <w:start w:val="1"/>
      <w:numFmt w:val="bullet"/>
      <w:lvlText w:val=""/>
      <w:lvlJc w:val="left"/>
      <w:pPr>
        <w:ind w:left="720" w:hanging="360"/>
      </w:pPr>
      <w:rPr>
        <w:rFonts w:ascii="Symbol" w:hAnsi="Symbol"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71B111A"/>
    <w:multiLevelType w:val="hybridMultilevel"/>
    <w:tmpl w:val="9A566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7694FE8"/>
    <w:multiLevelType w:val="multilevel"/>
    <w:tmpl w:val="5788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D03DE1"/>
    <w:multiLevelType w:val="hybridMultilevel"/>
    <w:tmpl w:val="BF14D4BA"/>
    <w:lvl w:ilvl="0" w:tplc="6EFEA44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AA5162"/>
    <w:multiLevelType w:val="hybridMultilevel"/>
    <w:tmpl w:val="FD3EBE20"/>
    <w:lvl w:ilvl="0" w:tplc="496C1B42">
      <w:start w:val="3"/>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72" w15:restartNumberingAfterBreak="0">
    <w:nsid w:val="52F13851"/>
    <w:multiLevelType w:val="hybridMultilevel"/>
    <w:tmpl w:val="72468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534C5417"/>
    <w:multiLevelType w:val="hybridMultilevel"/>
    <w:tmpl w:val="8ADC8BC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4" w15:restartNumberingAfterBreak="0">
    <w:nsid w:val="539C3DA0"/>
    <w:multiLevelType w:val="hybridMultilevel"/>
    <w:tmpl w:val="D0667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4185E0F"/>
    <w:multiLevelType w:val="hybridMultilevel"/>
    <w:tmpl w:val="A6CA2BF0"/>
    <w:lvl w:ilvl="0" w:tplc="DDB02A1A">
      <w:start w:val="1"/>
      <w:numFmt w:val="decimal"/>
      <w:lvlText w:val="%1."/>
      <w:lvlJc w:val="left"/>
      <w:pPr>
        <w:ind w:left="720" w:hanging="360"/>
      </w:pPr>
      <w:rPr>
        <w:rFonts w:hint="default"/>
        <w:b w:val="0"/>
        <w:bCs/>
        <w:i w:val="0"/>
      </w:rPr>
    </w:lvl>
    <w:lvl w:ilvl="1" w:tplc="E36889C0">
      <w:numFmt w:val="bullet"/>
      <w:lvlText w:val="-"/>
      <w:lvlJc w:val="left"/>
      <w:pPr>
        <w:ind w:left="644" w:hanging="360"/>
      </w:pPr>
      <w:rPr>
        <w:rFonts w:ascii="Calibri" w:eastAsiaTheme="minorHAnsi" w:hAnsi="Calibri" w:cs="Calibri" w:hint="default"/>
      </w:rPr>
    </w:lvl>
    <w:lvl w:ilvl="2" w:tplc="0C090005">
      <w:start w:val="1"/>
      <w:numFmt w:val="bullet"/>
      <w:lvlText w:val=""/>
      <w:lvlJc w:val="left"/>
      <w:pPr>
        <w:ind w:left="927"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59B6E9F"/>
    <w:multiLevelType w:val="hybridMultilevel"/>
    <w:tmpl w:val="2E3AB730"/>
    <w:lvl w:ilvl="0" w:tplc="4D4CF264">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636308A"/>
    <w:multiLevelType w:val="hybridMultilevel"/>
    <w:tmpl w:val="A3CC3B18"/>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66409E2"/>
    <w:multiLevelType w:val="hybridMultilevel"/>
    <w:tmpl w:val="CC184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6E44370"/>
    <w:multiLevelType w:val="hybridMultilevel"/>
    <w:tmpl w:val="D38C47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7047875"/>
    <w:multiLevelType w:val="hybridMultilevel"/>
    <w:tmpl w:val="A49438FE"/>
    <w:lvl w:ilvl="0" w:tplc="8C82DDA6">
      <w:start w:val="10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271F41"/>
    <w:multiLevelType w:val="hybridMultilevel"/>
    <w:tmpl w:val="829CF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A0117CB"/>
    <w:multiLevelType w:val="hybridMultilevel"/>
    <w:tmpl w:val="E0468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5BA93C62"/>
    <w:multiLevelType w:val="hybridMultilevel"/>
    <w:tmpl w:val="709A1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7B7454"/>
    <w:multiLevelType w:val="hybridMultilevel"/>
    <w:tmpl w:val="3AC27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E617AB5"/>
    <w:multiLevelType w:val="hybridMultilevel"/>
    <w:tmpl w:val="BCC8DBAC"/>
    <w:lvl w:ilvl="0" w:tplc="726AC00A">
      <w:start w:val="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5E832403"/>
    <w:multiLevelType w:val="hybridMultilevel"/>
    <w:tmpl w:val="204ED9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8"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89" w15:restartNumberingAfterBreak="0">
    <w:nsid w:val="60D04BB4"/>
    <w:multiLevelType w:val="hybridMultilevel"/>
    <w:tmpl w:val="4B1CCC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61AE2C42"/>
    <w:multiLevelType w:val="hybridMultilevel"/>
    <w:tmpl w:val="FF8E7468"/>
    <w:lvl w:ilvl="0" w:tplc="6F487A5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1BB17DD"/>
    <w:multiLevelType w:val="hybridMultilevel"/>
    <w:tmpl w:val="D8BE9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39C2555"/>
    <w:multiLevelType w:val="hybridMultilevel"/>
    <w:tmpl w:val="7B8E7634"/>
    <w:lvl w:ilvl="0" w:tplc="4D4CF264">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B80E35"/>
    <w:multiLevelType w:val="hybridMultilevel"/>
    <w:tmpl w:val="2C16A2F2"/>
    <w:lvl w:ilvl="0" w:tplc="7DDCFC0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6657BDB"/>
    <w:multiLevelType w:val="hybridMultilevel"/>
    <w:tmpl w:val="4EA21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7213148"/>
    <w:multiLevelType w:val="hybridMultilevel"/>
    <w:tmpl w:val="DF625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D71D9D"/>
    <w:multiLevelType w:val="hybridMultilevel"/>
    <w:tmpl w:val="A660593E"/>
    <w:lvl w:ilvl="0" w:tplc="BADE7F32">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A1441FC"/>
    <w:multiLevelType w:val="hybridMultilevel"/>
    <w:tmpl w:val="4344DADA"/>
    <w:lvl w:ilvl="0" w:tplc="9EC20C8E">
      <w:start w:val="1"/>
      <w:numFmt w:val="decimal"/>
      <w:lvlText w:val="%1."/>
      <w:lvlJc w:val="left"/>
      <w:pPr>
        <w:ind w:left="1020" w:hanging="360"/>
      </w:pPr>
    </w:lvl>
    <w:lvl w:ilvl="1" w:tplc="F6FCC758">
      <w:start w:val="1"/>
      <w:numFmt w:val="decimal"/>
      <w:lvlText w:val="%2."/>
      <w:lvlJc w:val="left"/>
      <w:pPr>
        <w:ind w:left="1020" w:hanging="360"/>
      </w:pPr>
    </w:lvl>
    <w:lvl w:ilvl="2" w:tplc="36C44A5C">
      <w:start w:val="1"/>
      <w:numFmt w:val="decimal"/>
      <w:lvlText w:val="%3."/>
      <w:lvlJc w:val="left"/>
      <w:pPr>
        <w:ind w:left="1020" w:hanging="360"/>
      </w:pPr>
    </w:lvl>
    <w:lvl w:ilvl="3" w:tplc="2584BF4E">
      <w:start w:val="1"/>
      <w:numFmt w:val="decimal"/>
      <w:lvlText w:val="%4."/>
      <w:lvlJc w:val="left"/>
      <w:pPr>
        <w:ind w:left="1020" w:hanging="360"/>
      </w:pPr>
    </w:lvl>
    <w:lvl w:ilvl="4" w:tplc="93E05F88">
      <w:start w:val="1"/>
      <w:numFmt w:val="decimal"/>
      <w:lvlText w:val="%5."/>
      <w:lvlJc w:val="left"/>
      <w:pPr>
        <w:ind w:left="1020" w:hanging="360"/>
      </w:pPr>
    </w:lvl>
    <w:lvl w:ilvl="5" w:tplc="3F040A2A">
      <w:start w:val="1"/>
      <w:numFmt w:val="decimal"/>
      <w:lvlText w:val="%6."/>
      <w:lvlJc w:val="left"/>
      <w:pPr>
        <w:ind w:left="1020" w:hanging="360"/>
      </w:pPr>
    </w:lvl>
    <w:lvl w:ilvl="6" w:tplc="286ADEF2">
      <w:start w:val="1"/>
      <w:numFmt w:val="decimal"/>
      <w:lvlText w:val="%7."/>
      <w:lvlJc w:val="left"/>
      <w:pPr>
        <w:ind w:left="1020" w:hanging="360"/>
      </w:pPr>
    </w:lvl>
    <w:lvl w:ilvl="7" w:tplc="7F4293A8">
      <w:start w:val="1"/>
      <w:numFmt w:val="decimal"/>
      <w:lvlText w:val="%8."/>
      <w:lvlJc w:val="left"/>
      <w:pPr>
        <w:ind w:left="1020" w:hanging="360"/>
      </w:pPr>
    </w:lvl>
    <w:lvl w:ilvl="8" w:tplc="418CF034">
      <w:start w:val="1"/>
      <w:numFmt w:val="decimal"/>
      <w:lvlText w:val="%9."/>
      <w:lvlJc w:val="left"/>
      <w:pPr>
        <w:ind w:left="1020" w:hanging="360"/>
      </w:pPr>
    </w:lvl>
  </w:abstractNum>
  <w:abstractNum w:abstractNumId="98" w15:restartNumberingAfterBreak="0">
    <w:nsid w:val="6E190FFE"/>
    <w:multiLevelType w:val="hybridMultilevel"/>
    <w:tmpl w:val="6CDCBD0E"/>
    <w:lvl w:ilvl="0" w:tplc="4D4CF264">
      <w:numFmt w:val="bullet"/>
      <w:lvlText w:val="•"/>
      <w:lvlJc w:val="left"/>
      <w:pPr>
        <w:ind w:left="1080" w:hanging="72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9" w15:restartNumberingAfterBreak="0">
    <w:nsid w:val="6F487F41"/>
    <w:multiLevelType w:val="hybridMultilevel"/>
    <w:tmpl w:val="B38EDF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713A1163"/>
    <w:multiLevelType w:val="hybridMultilevel"/>
    <w:tmpl w:val="600E5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2EF1E09"/>
    <w:multiLevelType w:val="multilevel"/>
    <w:tmpl w:val="99B09908"/>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02"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104" w15:restartNumberingAfterBreak="0">
    <w:nsid w:val="73AC609A"/>
    <w:multiLevelType w:val="hybridMultilevel"/>
    <w:tmpl w:val="B5EE1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4261F87"/>
    <w:multiLevelType w:val="hybridMultilevel"/>
    <w:tmpl w:val="566018B8"/>
    <w:lvl w:ilvl="0" w:tplc="D34ED14A">
      <w:start w:val="1"/>
      <w:numFmt w:val="bullet"/>
      <w:lvlText w:val=""/>
      <w:lvlJc w:val="left"/>
      <w:pPr>
        <w:ind w:left="1440" w:hanging="360"/>
      </w:pPr>
      <w:rPr>
        <w:rFonts w:ascii="Symbol" w:hAnsi="Symbol"/>
      </w:rPr>
    </w:lvl>
    <w:lvl w:ilvl="1" w:tplc="91BA3556">
      <w:start w:val="1"/>
      <w:numFmt w:val="bullet"/>
      <w:lvlText w:val=""/>
      <w:lvlJc w:val="left"/>
      <w:pPr>
        <w:ind w:left="1440" w:hanging="360"/>
      </w:pPr>
      <w:rPr>
        <w:rFonts w:ascii="Symbol" w:hAnsi="Symbol"/>
      </w:rPr>
    </w:lvl>
    <w:lvl w:ilvl="2" w:tplc="8AAC68CC">
      <w:start w:val="1"/>
      <w:numFmt w:val="bullet"/>
      <w:lvlText w:val=""/>
      <w:lvlJc w:val="left"/>
      <w:pPr>
        <w:ind w:left="1440" w:hanging="360"/>
      </w:pPr>
      <w:rPr>
        <w:rFonts w:ascii="Symbol" w:hAnsi="Symbol"/>
      </w:rPr>
    </w:lvl>
    <w:lvl w:ilvl="3" w:tplc="D80A988E">
      <w:start w:val="1"/>
      <w:numFmt w:val="bullet"/>
      <w:lvlText w:val=""/>
      <w:lvlJc w:val="left"/>
      <w:pPr>
        <w:ind w:left="1440" w:hanging="360"/>
      </w:pPr>
      <w:rPr>
        <w:rFonts w:ascii="Symbol" w:hAnsi="Symbol"/>
      </w:rPr>
    </w:lvl>
    <w:lvl w:ilvl="4" w:tplc="0E983624">
      <w:start w:val="1"/>
      <w:numFmt w:val="bullet"/>
      <w:lvlText w:val=""/>
      <w:lvlJc w:val="left"/>
      <w:pPr>
        <w:ind w:left="1440" w:hanging="360"/>
      </w:pPr>
      <w:rPr>
        <w:rFonts w:ascii="Symbol" w:hAnsi="Symbol"/>
      </w:rPr>
    </w:lvl>
    <w:lvl w:ilvl="5" w:tplc="5FC0D3EC">
      <w:start w:val="1"/>
      <w:numFmt w:val="bullet"/>
      <w:lvlText w:val=""/>
      <w:lvlJc w:val="left"/>
      <w:pPr>
        <w:ind w:left="1440" w:hanging="360"/>
      </w:pPr>
      <w:rPr>
        <w:rFonts w:ascii="Symbol" w:hAnsi="Symbol"/>
      </w:rPr>
    </w:lvl>
    <w:lvl w:ilvl="6" w:tplc="BE08C908">
      <w:start w:val="1"/>
      <w:numFmt w:val="bullet"/>
      <w:lvlText w:val=""/>
      <w:lvlJc w:val="left"/>
      <w:pPr>
        <w:ind w:left="1440" w:hanging="360"/>
      </w:pPr>
      <w:rPr>
        <w:rFonts w:ascii="Symbol" w:hAnsi="Symbol"/>
      </w:rPr>
    </w:lvl>
    <w:lvl w:ilvl="7" w:tplc="B6C2B002">
      <w:start w:val="1"/>
      <w:numFmt w:val="bullet"/>
      <w:lvlText w:val=""/>
      <w:lvlJc w:val="left"/>
      <w:pPr>
        <w:ind w:left="1440" w:hanging="360"/>
      </w:pPr>
      <w:rPr>
        <w:rFonts w:ascii="Symbol" w:hAnsi="Symbol"/>
      </w:rPr>
    </w:lvl>
    <w:lvl w:ilvl="8" w:tplc="D2268F00">
      <w:start w:val="1"/>
      <w:numFmt w:val="bullet"/>
      <w:lvlText w:val=""/>
      <w:lvlJc w:val="left"/>
      <w:pPr>
        <w:ind w:left="1440" w:hanging="360"/>
      </w:pPr>
      <w:rPr>
        <w:rFonts w:ascii="Symbol" w:hAnsi="Symbol"/>
      </w:rPr>
    </w:lvl>
  </w:abstractNum>
  <w:abstractNum w:abstractNumId="106" w15:restartNumberingAfterBreak="0">
    <w:nsid w:val="765E4043"/>
    <w:multiLevelType w:val="hybridMultilevel"/>
    <w:tmpl w:val="B38EDF6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9D414BF"/>
    <w:multiLevelType w:val="hybridMultilevel"/>
    <w:tmpl w:val="DAB86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A6D7840"/>
    <w:multiLevelType w:val="hybridMultilevel"/>
    <w:tmpl w:val="5F84B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C5C21E6"/>
    <w:multiLevelType w:val="hybridMultilevel"/>
    <w:tmpl w:val="6226CBD6"/>
    <w:lvl w:ilvl="0" w:tplc="2B6C5464">
      <w:start w:val="1"/>
      <w:numFmt w:val="bullet"/>
      <w:lvlText w:val=""/>
      <w:lvlJc w:val="left"/>
      <w:pPr>
        <w:ind w:left="1440" w:hanging="360"/>
      </w:pPr>
      <w:rPr>
        <w:rFonts w:ascii="Symbol" w:hAnsi="Symbol"/>
      </w:rPr>
    </w:lvl>
    <w:lvl w:ilvl="1" w:tplc="695EC202">
      <w:start w:val="1"/>
      <w:numFmt w:val="bullet"/>
      <w:lvlText w:val=""/>
      <w:lvlJc w:val="left"/>
      <w:pPr>
        <w:ind w:left="2160" w:hanging="360"/>
      </w:pPr>
      <w:rPr>
        <w:rFonts w:ascii="Symbol" w:hAnsi="Symbol"/>
      </w:rPr>
    </w:lvl>
    <w:lvl w:ilvl="2" w:tplc="857094BA">
      <w:start w:val="1"/>
      <w:numFmt w:val="bullet"/>
      <w:lvlText w:val=""/>
      <w:lvlJc w:val="left"/>
      <w:pPr>
        <w:ind w:left="1440" w:hanging="360"/>
      </w:pPr>
      <w:rPr>
        <w:rFonts w:ascii="Symbol" w:hAnsi="Symbol"/>
      </w:rPr>
    </w:lvl>
    <w:lvl w:ilvl="3" w:tplc="15DCDE74">
      <w:start w:val="1"/>
      <w:numFmt w:val="bullet"/>
      <w:lvlText w:val=""/>
      <w:lvlJc w:val="left"/>
      <w:pPr>
        <w:ind w:left="1440" w:hanging="360"/>
      </w:pPr>
      <w:rPr>
        <w:rFonts w:ascii="Symbol" w:hAnsi="Symbol"/>
      </w:rPr>
    </w:lvl>
    <w:lvl w:ilvl="4" w:tplc="AD4E178E">
      <w:start w:val="1"/>
      <w:numFmt w:val="bullet"/>
      <w:lvlText w:val=""/>
      <w:lvlJc w:val="left"/>
      <w:pPr>
        <w:ind w:left="1440" w:hanging="360"/>
      </w:pPr>
      <w:rPr>
        <w:rFonts w:ascii="Symbol" w:hAnsi="Symbol"/>
      </w:rPr>
    </w:lvl>
    <w:lvl w:ilvl="5" w:tplc="1C4E6618">
      <w:start w:val="1"/>
      <w:numFmt w:val="bullet"/>
      <w:lvlText w:val=""/>
      <w:lvlJc w:val="left"/>
      <w:pPr>
        <w:ind w:left="1440" w:hanging="360"/>
      </w:pPr>
      <w:rPr>
        <w:rFonts w:ascii="Symbol" w:hAnsi="Symbol"/>
      </w:rPr>
    </w:lvl>
    <w:lvl w:ilvl="6" w:tplc="45A6515A">
      <w:start w:val="1"/>
      <w:numFmt w:val="bullet"/>
      <w:lvlText w:val=""/>
      <w:lvlJc w:val="left"/>
      <w:pPr>
        <w:ind w:left="1440" w:hanging="360"/>
      </w:pPr>
      <w:rPr>
        <w:rFonts w:ascii="Symbol" w:hAnsi="Symbol"/>
      </w:rPr>
    </w:lvl>
    <w:lvl w:ilvl="7" w:tplc="772E9184">
      <w:start w:val="1"/>
      <w:numFmt w:val="bullet"/>
      <w:lvlText w:val=""/>
      <w:lvlJc w:val="left"/>
      <w:pPr>
        <w:ind w:left="1440" w:hanging="360"/>
      </w:pPr>
      <w:rPr>
        <w:rFonts w:ascii="Symbol" w:hAnsi="Symbol"/>
      </w:rPr>
    </w:lvl>
    <w:lvl w:ilvl="8" w:tplc="DBEECC2A">
      <w:start w:val="1"/>
      <w:numFmt w:val="bullet"/>
      <w:lvlText w:val=""/>
      <w:lvlJc w:val="left"/>
      <w:pPr>
        <w:ind w:left="1440" w:hanging="360"/>
      </w:pPr>
      <w:rPr>
        <w:rFonts w:ascii="Symbol" w:hAnsi="Symbol"/>
      </w:rPr>
    </w:lvl>
  </w:abstractNum>
  <w:abstractNum w:abstractNumId="110" w15:restartNumberingAfterBreak="0">
    <w:nsid w:val="7C925285"/>
    <w:multiLevelType w:val="hybridMultilevel"/>
    <w:tmpl w:val="126E4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E931D8D"/>
    <w:multiLevelType w:val="hybridMultilevel"/>
    <w:tmpl w:val="D04EE3CA"/>
    <w:lvl w:ilvl="0" w:tplc="7C88037A">
      <w:start w:val="5"/>
      <w:numFmt w:val="decimal"/>
      <w:lvlText w:val="%1."/>
      <w:lvlJc w:val="left"/>
      <w:pPr>
        <w:ind w:left="720" w:hanging="360"/>
      </w:pPr>
      <w:rPr>
        <w:rFonts w:hint="default"/>
        <w:b/>
        <w:bCs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87"/>
  </w:num>
  <w:num w:numId="3">
    <w:abstractNumId w:val="51"/>
  </w:num>
  <w:num w:numId="4">
    <w:abstractNumId w:val="102"/>
  </w:num>
  <w:num w:numId="5">
    <w:abstractNumId w:val="88"/>
  </w:num>
  <w:num w:numId="6">
    <w:abstractNumId w:val="87"/>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51"/>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51"/>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51"/>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51"/>
    <w:lvlOverride w:ilvl="0">
      <w:startOverride w:val="1"/>
      <w:lvl w:ilvl="0">
        <w:start w:val="1"/>
        <w:numFmt w:val="decimal"/>
        <w:pStyle w:val="TableNumbering"/>
        <w:lvlText w:val="%1."/>
        <w:lvlJc w:val="left"/>
        <w:pPr>
          <w:ind w:left="397" w:hanging="397"/>
        </w:pPr>
        <w:rPr>
          <w:rFonts w:hint="default"/>
          <w:color w:val="A91117"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88"/>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88"/>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51"/>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6">
    <w:abstractNumId w:val="51"/>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7"/>
  </w:num>
  <w:num w:numId="18">
    <w:abstractNumId w:val="7"/>
    <w:lvlOverride w:ilvl="0">
      <w:lvl w:ilvl="0">
        <w:start w:val="1"/>
        <w:numFmt w:val="decimal"/>
        <w:pStyle w:val="List"/>
        <w:lvlText w:val="%1"/>
        <w:lvlJc w:val="left"/>
        <w:pPr>
          <w:ind w:left="432" w:hanging="317"/>
        </w:pPr>
        <w:rPr>
          <w:rFonts w:hint="default"/>
          <w:color w:val="25303B" w:themeColor="accent1"/>
        </w:rPr>
      </w:lvl>
    </w:lvlOverride>
    <w:lvlOverride w:ilvl="1">
      <w:lvl w:ilvl="1">
        <w:start w:val="1"/>
        <w:numFmt w:val="lowerRoman"/>
        <w:lvlText w:val="%2"/>
        <w:lvlJc w:val="left"/>
        <w:pPr>
          <w:ind w:left="720" w:hanging="317"/>
        </w:pPr>
        <w:rPr>
          <w:rFonts w:hint="default"/>
          <w:color w:val="25303B" w:themeColor="accent1"/>
        </w:rPr>
      </w:lvl>
    </w:lvlOverride>
    <w:lvlOverride w:ilvl="2">
      <w:lvl w:ilvl="2">
        <w:start w:val="1"/>
        <w:numFmt w:val="upperRoman"/>
        <w:lvlText w:val="%3"/>
        <w:lvlJc w:val="left"/>
        <w:pPr>
          <w:ind w:left="1008" w:hanging="317"/>
        </w:pPr>
        <w:rPr>
          <w:rFonts w:hint="default"/>
          <w:color w:val="25303B"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71"/>
  </w:num>
  <w:num w:numId="20">
    <w:abstractNumId w:val="103"/>
  </w:num>
  <w:num w:numId="21">
    <w:abstractNumId w:val="4"/>
  </w:num>
  <w:num w:numId="22">
    <w:abstractNumId w:val="101"/>
  </w:num>
  <w:num w:numId="23">
    <w:abstractNumId w:val="101"/>
    <w:lvlOverride w:ilvl="0">
      <w:lvl w:ilvl="0">
        <w:start w:val="1"/>
        <w:numFmt w:val="decimal"/>
        <w:pStyle w:val="NumberedListlvl1"/>
        <w:lvlText w:val="%1."/>
        <w:lvlJc w:val="left"/>
        <w:pPr>
          <w:ind w:left="567" w:hanging="283"/>
        </w:pPr>
        <w:rPr>
          <w:rFonts w:hint="default"/>
        </w:rPr>
      </w:lvl>
    </w:lvlOverride>
    <w:lvlOverride w:ilvl="1">
      <w:lvl w:ilvl="1">
        <w:start w:val="1"/>
        <w:numFmt w:val="lowerLetter"/>
        <w:pStyle w:val="NumberedListlvl2"/>
        <w:lvlText w:val="%2."/>
        <w:lvlJc w:val="left"/>
        <w:pPr>
          <w:ind w:left="1021" w:hanging="283"/>
        </w:pPr>
        <w:rPr>
          <w:rFonts w:hint="default"/>
        </w:rPr>
      </w:lvl>
    </w:lvlOverride>
    <w:lvlOverride w:ilvl="2">
      <w:lvl w:ilvl="2">
        <w:start w:val="1"/>
        <w:numFmt w:val="lowerRoman"/>
        <w:pStyle w:val="NumberedListlv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51"/>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51"/>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103"/>
  </w:num>
  <w:num w:numId="27">
    <w:abstractNumId w:val="103"/>
  </w:num>
  <w:num w:numId="28">
    <w:abstractNumId w:val="103"/>
  </w:num>
  <w:num w:numId="29">
    <w:abstractNumId w:val="103"/>
  </w:num>
  <w:num w:numId="30">
    <w:abstractNumId w:val="103"/>
  </w:num>
  <w:num w:numId="31">
    <w:abstractNumId w:val="103"/>
  </w:num>
  <w:num w:numId="32">
    <w:abstractNumId w:val="103"/>
  </w:num>
  <w:num w:numId="33">
    <w:abstractNumId w:val="103"/>
  </w:num>
  <w:num w:numId="34">
    <w:abstractNumId w:val="103"/>
  </w:num>
  <w:num w:numId="35">
    <w:abstractNumId w:val="86"/>
  </w:num>
  <w:num w:numId="36">
    <w:abstractNumId w:val="14"/>
  </w:num>
  <w:num w:numId="37">
    <w:abstractNumId w:val="44"/>
  </w:num>
  <w:num w:numId="38">
    <w:abstractNumId w:val="104"/>
  </w:num>
  <w:num w:numId="39">
    <w:abstractNumId w:val="82"/>
  </w:num>
  <w:num w:numId="40">
    <w:abstractNumId w:val="65"/>
  </w:num>
  <w:num w:numId="41">
    <w:abstractNumId w:val="107"/>
  </w:num>
  <w:num w:numId="42">
    <w:abstractNumId w:val="83"/>
  </w:num>
  <w:num w:numId="43">
    <w:abstractNumId w:val="92"/>
  </w:num>
  <w:num w:numId="44">
    <w:abstractNumId w:val="76"/>
  </w:num>
  <w:num w:numId="45">
    <w:abstractNumId w:val="21"/>
  </w:num>
  <w:num w:numId="46">
    <w:abstractNumId w:val="25"/>
  </w:num>
  <w:num w:numId="47">
    <w:abstractNumId w:val="22"/>
  </w:num>
  <w:num w:numId="48">
    <w:abstractNumId w:val="38"/>
  </w:num>
  <w:num w:numId="49">
    <w:abstractNumId w:val="94"/>
  </w:num>
  <w:num w:numId="50">
    <w:abstractNumId w:val="75"/>
    <w:lvlOverride w:ilvl="0">
      <w:startOverride w:val="1"/>
    </w:lvlOverride>
    <w:lvlOverride w:ilvl="1"/>
    <w:lvlOverride w:ilvl="2"/>
    <w:lvlOverride w:ilvl="3"/>
    <w:lvlOverride w:ilvl="4"/>
    <w:lvlOverride w:ilvl="5"/>
    <w:lvlOverride w:ilvl="6"/>
    <w:lvlOverride w:ilvl="7"/>
    <w:lvlOverride w:ilvl="8"/>
  </w:num>
  <w:num w:numId="51">
    <w:abstractNumId w:val="63"/>
    <w:lvlOverride w:ilvl="0">
      <w:startOverride w:val="1"/>
    </w:lvlOverride>
    <w:lvlOverride w:ilvl="1"/>
    <w:lvlOverride w:ilvl="2"/>
    <w:lvlOverride w:ilvl="3"/>
    <w:lvlOverride w:ilvl="4"/>
    <w:lvlOverride w:ilvl="5"/>
    <w:lvlOverride w:ilvl="6"/>
    <w:lvlOverride w:ilvl="7"/>
    <w:lvlOverride w:ilvl="8"/>
  </w:num>
  <w:num w:numId="52">
    <w:abstractNumId w:val="61"/>
  </w:num>
  <w:num w:numId="53">
    <w:abstractNumId w:val="26"/>
  </w:num>
  <w:num w:numId="54">
    <w:abstractNumId w:val="98"/>
  </w:num>
  <w:num w:numId="55">
    <w:abstractNumId w:val="29"/>
  </w:num>
  <w:num w:numId="56">
    <w:abstractNumId w:val="62"/>
  </w:num>
  <w:num w:numId="57">
    <w:abstractNumId w:val="58"/>
  </w:num>
  <w:num w:numId="58">
    <w:abstractNumId w:val="75"/>
  </w:num>
  <w:num w:numId="59">
    <w:abstractNumId w:val="111"/>
  </w:num>
  <w:num w:numId="60">
    <w:abstractNumId w:val="96"/>
  </w:num>
  <w:num w:numId="61">
    <w:abstractNumId w:val="91"/>
  </w:num>
  <w:num w:numId="62">
    <w:abstractNumId w:val="73"/>
  </w:num>
  <w:num w:numId="63">
    <w:abstractNumId w:val="79"/>
  </w:num>
  <w:num w:numId="64">
    <w:abstractNumId w:val="11"/>
  </w:num>
  <w:num w:numId="65">
    <w:abstractNumId w:val="45"/>
  </w:num>
  <w:num w:numId="66">
    <w:abstractNumId w:val="16"/>
  </w:num>
  <w:num w:numId="67">
    <w:abstractNumId w:val="12"/>
  </w:num>
  <w:num w:numId="68">
    <w:abstractNumId w:val="42"/>
  </w:num>
  <w:num w:numId="69">
    <w:abstractNumId w:val="3"/>
  </w:num>
  <w:num w:numId="70">
    <w:abstractNumId w:val="60"/>
  </w:num>
  <w:num w:numId="71">
    <w:abstractNumId w:val="50"/>
  </w:num>
  <w:num w:numId="72">
    <w:abstractNumId w:val="108"/>
  </w:num>
  <w:num w:numId="73">
    <w:abstractNumId w:val="6"/>
  </w:num>
  <w:num w:numId="74">
    <w:abstractNumId w:val="49"/>
  </w:num>
  <w:num w:numId="75">
    <w:abstractNumId w:val="99"/>
  </w:num>
  <w:num w:numId="76">
    <w:abstractNumId w:val="81"/>
  </w:num>
  <w:num w:numId="77">
    <w:abstractNumId w:val="90"/>
  </w:num>
  <w:num w:numId="78">
    <w:abstractNumId w:val="17"/>
  </w:num>
  <w:num w:numId="79">
    <w:abstractNumId w:val="47"/>
  </w:num>
  <w:num w:numId="80">
    <w:abstractNumId w:val="23"/>
  </w:num>
  <w:num w:numId="81">
    <w:abstractNumId w:val="9"/>
  </w:num>
  <w:num w:numId="82">
    <w:abstractNumId w:val="93"/>
  </w:num>
  <w:num w:numId="83">
    <w:abstractNumId w:val="55"/>
  </w:num>
  <w:num w:numId="84">
    <w:abstractNumId w:val="40"/>
  </w:num>
  <w:num w:numId="85">
    <w:abstractNumId w:val="72"/>
  </w:num>
  <w:num w:numId="86">
    <w:abstractNumId w:val="18"/>
  </w:num>
  <w:num w:numId="87">
    <w:abstractNumId w:val="84"/>
  </w:num>
  <w:num w:numId="88">
    <w:abstractNumId w:val="46"/>
  </w:num>
  <w:num w:numId="89">
    <w:abstractNumId w:val="36"/>
  </w:num>
  <w:num w:numId="90">
    <w:abstractNumId w:val="5"/>
  </w:num>
  <w:num w:numId="91">
    <w:abstractNumId w:val="56"/>
  </w:num>
  <w:num w:numId="92">
    <w:abstractNumId w:val="24"/>
  </w:num>
  <w:num w:numId="93">
    <w:abstractNumId w:val="57"/>
  </w:num>
  <w:num w:numId="94">
    <w:abstractNumId w:val="27"/>
  </w:num>
  <w:num w:numId="95">
    <w:abstractNumId w:val="74"/>
  </w:num>
  <w:num w:numId="96">
    <w:abstractNumId w:val="67"/>
  </w:num>
  <w:num w:numId="97">
    <w:abstractNumId w:val="0"/>
  </w:num>
  <w:num w:numId="98">
    <w:abstractNumId w:val="34"/>
  </w:num>
  <w:num w:numId="99">
    <w:abstractNumId w:val="33"/>
  </w:num>
  <w:num w:numId="100">
    <w:abstractNumId w:val="2"/>
  </w:num>
  <w:num w:numId="101">
    <w:abstractNumId w:val="66"/>
  </w:num>
  <w:num w:numId="102">
    <w:abstractNumId w:val="37"/>
  </w:num>
  <w:num w:numId="103">
    <w:abstractNumId w:val="59"/>
  </w:num>
  <w:num w:numId="104">
    <w:abstractNumId w:val="77"/>
  </w:num>
  <w:num w:numId="105">
    <w:abstractNumId w:val="80"/>
  </w:num>
  <w:num w:numId="106">
    <w:abstractNumId w:val="19"/>
  </w:num>
  <w:num w:numId="107">
    <w:abstractNumId w:val="85"/>
  </w:num>
  <w:num w:numId="108">
    <w:abstractNumId w:val="64"/>
  </w:num>
  <w:num w:numId="109">
    <w:abstractNumId w:val="20"/>
  </w:num>
  <w:num w:numId="110">
    <w:abstractNumId w:val="95"/>
  </w:num>
  <w:num w:numId="111">
    <w:abstractNumId w:val="52"/>
  </w:num>
  <w:num w:numId="112">
    <w:abstractNumId w:val="15"/>
  </w:num>
  <w:num w:numId="113">
    <w:abstractNumId w:val="78"/>
  </w:num>
  <w:num w:numId="114">
    <w:abstractNumId w:val="13"/>
  </w:num>
  <w:num w:numId="115">
    <w:abstractNumId w:val="110"/>
  </w:num>
  <w:num w:numId="116">
    <w:abstractNumId w:val="100"/>
  </w:num>
  <w:num w:numId="117">
    <w:abstractNumId w:val="70"/>
  </w:num>
  <w:num w:numId="118">
    <w:abstractNumId w:val="97"/>
  </w:num>
  <w:num w:numId="119">
    <w:abstractNumId w:val="53"/>
  </w:num>
  <w:num w:numId="120">
    <w:abstractNumId w:val="35"/>
  </w:num>
  <w:num w:numId="121">
    <w:abstractNumId w:val="109"/>
  </w:num>
  <w:num w:numId="122">
    <w:abstractNumId w:val="8"/>
  </w:num>
  <w:num w:numId="123">
    <w:abstractNumId w:val="105"/>
  </w:num>
  <w:num w:numId="124">
    <w:abstractNumId w:val="31"/>
  </w:num>
  <w:num w:numId="125">
    <w:abstractNumId w:val="10"/>
  </w:num>
  <w:num w:numId="126">
    <w:abstractNumId w:val="68"/>
  </w:num>
  <w:num w:numId="127">
    <w:abstractNumId w:val="32"/>
  </w:num>
  <w:num w:numId="128">
    <w:abstractNumId w:val="89"/>
  </w:num>
  <w:num w:numId="129">
    <w:abstractNumId w:val="41"/>
  </w:num>
  <w:num w:numId="130">
    <w:abstractNumId w:val="39"/>
  </w:num>
  <w:num w:numId="131">
    <w:abstractNumId w:val="54"/>
  </w:num>
  <w:num w:numId="132">
    <w:abstractNumId w:val="1"/>
  </w:num>
  <w:num w:numId="133">
    <w:abstractNumId w:val="106"/>
  </w:num>
  <w:num w:numId="134">
    <w:abstractNumId w:val="48"/>
  </w:num>
  <w:num w:numId="135">
    <w:abstractNumId w:val="69"/>
  </w:num>
  <w:num w:numId="136">
    <w:abstractNumId w:val="30"/>
  </w:num>
  <w:num w:numId="137">
    <w:abstractNumId w:val="4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85"/>
    <w:rsid w:val="00000027"/>
    <w:rsid w:val="000001A1"/>
    <w:rsid w:val="000001EF"/>
    <w:rsid w:val="000006DF"/>
    <w:rsid w:val="000006E2"/>
    <w:rsid w:val="0000118B"/>
    <w:rsid w:val="00001380"/>
    <w:rsid w:val="00001465"/>
    <w:rsid w:val="00001703"/>
    <w:rsid w:val="0000172A"/>
    <w:rsid w:val="00001D18"/>
    <w:rsid w:val="00001FD9"/>
    <w:rsid w:val="0000250A"/>
    <w:rsid w:val="00002F73"/>
    <w:rsid w:val="0000321C"/>
    <w:rsid w:val="00003603"/>
    <w:rsid w:val="00003BE3"/>
    <w:rsid w:val="00003C3F"/>
    <w:rsid w:val="00004078"/>
    <w:rsid w:val="000042CB"/>
    <w:rsid w:val="00004540"/>
    <w:rsid w:val="00004722"/>
    <w:rsid w:val="000047EB"/>
    <w:rsid w:val="00004888"/>
    <w:rsid w:val="000048B7"/>
    <w:rsid w:val="000048BF"/>
    <w:rsid w:val="00004E0A"/>
    <w:rsid w:val="00004E5E"/>
    <w:rsid w:val="0000503C"/>
    <w:rsid w:val="0000505B"/>
    <w:rsid w:val="0000548A"/>
    <w:rsid w:val="00005CFA"/>
    <w:rsid w:val="00006074"/>
    <w:rsid w:val="00006357"/>
    <w:rsid w:val="0000644A"/>
    <w:rsid w:val="00006752"/>
    <w:rsid w:val="00006A7B"/>
    <w:rsid w:val="00006AA1"/>
    <w:rsid w:val="00006C04"/>
    <w:rsid w:val="00007311"/>
    <w:rsid w:val="00007339"/>
    <w:rsid w:val="000075AB"/>
    <w:rsid w:val="000077E7"/>
    <w:rsid w:val="000077FE"/>
    <w:rsid w:val="0000781F"/>
    <w:rsid w:val="000078FA"/>
    <w:rsid w:val="00007DBF"/>
    <w:rsid w:val="00007EE4"/>
    <w:rsid w:val="000102EB"/>
    <w:rsid w:val="000107FD"/>
    <w:rsid w:val="000108CF"/>
    <w:rsid w:val="0001121D"/>
    <w:rsid w:val="0001138B"/>
    <w:rsid w:val="000113EE"/>
    <w:rsid w:val="0001140E"/>
    <w:rsid w:val="000115D3"/>
    <w:rsid w:val="000117E8"/>
    <w:rsid w:val="00011C07"/>
    <w:rsid w:val="00011D19"/>
    <w:rsid w:val="00011D40"/>
    <w:rsid w:val="000121FF"/>
    <w:rsid w:val="00012329"/>
    <w:rsid w:val="00012485"/>
    <w:rsid w:val="000125CC"/>
    <w:rsid w:val="0001291D"/>
    <w:rsid w:val="000129EA"/>
    <w:rsid w:val="00012B8F"/>
    <w:rsid w:val="00013083"/>
    <w:rsid w:val="00013292"/>
    <w:rsid w:val="00013425"/>
    <w:rsid w:val="00013730"/>
    <w:rsid w:val="00013E8D"/>
    <w:rsid w:val="00014191"/>
    <w:rsid w:val="0001440F"/>
    <w:rsid w:val="00014772"/>
    <w:rsid w:val="0001481C"/>
    <w:rsid w:val="00014AB7"/>
    <w:rsid w:val="00014B45"/>
    <w:rsid w:val="00014D1C"/>
    <w:rsid w:val="00014E7A"/>
    <w:rsid w:val="00014FA6"/>
    <w:rsid w:val="0001506E"/>
    <w:rsid w:val="00015267"/>
    <w:rsid w:val="0001538D"/>
    <w:rsid w:val="000157B9"/>
    <w:rsid w:val="000159C8"/>
    <w:rsid w:val="000161A6"/>
    <w:rsid w:val="000162C2"/>
    <w:rsid w:val="00016437"/>
    <w:rsid w:val="0001657C"/>
    <w:rsid w:val="00016723"/>
    <w:rsid w:val="0001691F"/>
    <w:rsid w:val="00016F10"/>
    <w:rsid w:val="00017135"/>
    <w:rsid w:val="00017234"/>
    <w:rsid w:val="00017347"/>
    <w:rsid w:val="0001753F"/>
    <w:rsid w:val="00017685"/>
    <w:rsid w:val="00017873"/>
    <w:rsid w:val="00017EE8"/>
    <w:rsid w:val="00017F43"/>
    <w:rsid w:val="0002053F"/>
    <w:rsid w:val="0002068D"/>
    <w:rsid w:val="0002089A"/>
    <w:rsid w:val="000209F5"/>
    <w:rsid w:val="00021CB3"/>
    <w:rsid w:val="00022413"/>
    <w:rsid w:val="00022531"/>
    <w:rsid w:val="00022657"/>
    <w:rsid w:val="000227B4"/>
    <w:rsid w:val="00022EDA"/>
    <w:rsid w:val="00022FFE"/>
    <w:rsid w:val="0002312F"/>
    <w:rsid w:val="0002316E"/>
    <w:rsid w:val="00023525"/>
    <w:rsid w:val="0002386F"/>
    <w:rsid w:val="00023AC4"/>
    <w:rsid w:val="00023CEC"/>
    <w:rsid w:val="00023FFB"/>
    <w:rsid w:val="000240AF"/>
    <w:rsid w:val="00024174"/>
    <w:rsid w:val="00024390"/>
    <w:rsid w:val="000243FD"/>
    <w:rsid w:val="000246CD"/>
    <w:rsid w:val="000246D6"/>
    <w:rsid w:val="0002478D"/>
    <w:rsid w:val="00024AFB"/>
    <w:rsid w:val="00024B67"/>
    <w:rsid w:val="00024CFD"/>
    <w:rsid w:val="00024D3A"/>
    <w:rsid w:val="00024E19"/>
    <w:rsid w:val="00024F73"/>
    <w:rsid w:val="0002523D"/>
    <w:rsid w:val="000252F8"/>
    <w:rsid w:val="00025556"/>
    <w:rsid w:val="00025732"/>
    <w:rsid w:val="00025A4C"/>
    <w:rsid w:val="00026196"/>
    <w:rsid w:val="000264DE"/>
    <w:rsid w:val="000265E5"/>
    <w:rsid w:val="000265F7"/>
    <w:rsid w:val="000266D8"/>
    <w:rsid w:val="000267A7"/>
    <w:rsid w:val="0002689F"/>
    <w:rsid w:val="00026930"/>
    <w:rsid w:val="00026B9B"/>
    <w:rsid w:val="000271A8"/>
    <w:rsid w:val="00027839"/>
    <w:rsid w:val="00027BC4"/>
    <w:rsid w:val="00027E21"/>
    <w:rsid w:val="00027FBD"/>
    <w:rsid w:val="0003019F"/>
    <w:rsid w:val="000304B2"/>
    <w:rsid w:val="000306D7"/>
    <w:rsid w:val="00030AE0"/>
    <w:rsid w:val="00030B37"/>
    <w:rsid w:val="00030CC3"/>
    <w:rsid w:val="00030EAB"/>
    <w:rsid w:val="0003109C"/>
    <w:rsid w:val="0003168F"/>
    <w:rsid w:val="000319D6"/>
    <w:rsid w:val="00031B5C"/>
    <w:rsid w:val="00031B89"/>
    <w:rsid w:val="00031E06"/>
    <w:rsid w:val="00032579"/>
    <w:rsid w:val="000326DD"/>
    <w:rsid w:val="0003274E"/>
    <w:rsid w:val="0003305C"/>
    <w:rsid w:val="000334B0"/>
    <w:rsid w:val="0003394F"/>
    <w:rsid w:val="00033ABA"/>
    <w:rsid w:val="00033AFE"/>
    <w:rsid w:val="00033DBD"/>
    <w:rsid w:val="00033DF5"/>
    <w:rsid w:val="00033EAD"/>
    <w:rsid w:val="00033F06"/>
    <w:rsid w:val="00033F40"/>
    <w:rsid w:val="000341AE"/>
    <w:rsid w:val="000343BC"/>
    <w:rsid w:val="00034B09"/>
    <w:rsid w:val="00034FEC"/>
    <w:rsid w:val="0003510C"/>
    <w:rsid w:val="00035A5C"/>
    <w:rsid w:val="00035D09"/>
    <w:rsid w:val="0003605D"/>
    <w:rsid w:val="00036654"/>
    <w:rsid w:val="000368E1"/>
    <w:rsid w:val="00036916"/>
    <w:rsid w:val="00036B37"/>
    <w:rsid w:val="00036C4D"/>
    <w:rsid w:val="00036CC0"/>
    <w:rsid w:val="00036F7F"/>
    <w:rsid w:val="00037088"/>
    <w:rsid w:val="000372D2"/>
    <w:rsid w:val="000373EA"/>
    <w:rsid w:val="00037DB2"/>
    <w:rsid w:val="000402C5"/>
    <w:rsid w:val="000402DB"/>
    <w:rsid w:val="000405EB"/>
    <w:rsid w:val="00040741"/>
    <w:rsid w:val="00040DF4"/>
    <w:rsid w:val="000413B6"/>
    <w:rsid w:val="000415FD"/>
    <w:rsid w:val="0004173E"/>
    <w:rsid w:val="000417C6"/>
    <w:rsid w:val="00041845"/>
    <w:rsid w:val="00041879"/>
    <w:rsid w:val="00041986"/>
    <w:rsid w:val="0004199D"/>
    <w:rsid w:val="00041CD0"/>
    <w:rsid w:val="00041E78"/>
    <w:rsid w:val="00041FEC"/>
    <w:rsid w:val="0004243C"/>
    <w:rsid w:val="0004248C"/>
    <w:rsid w:val="000427B7"/>
    <w:rsid w:val="00042D26"/>
    <w:rsid w:val="00042E89"/>
    <w:rsid w:val="00042FF0"/>
    <w:rsid w:val="0004364F"/>
    <w:rsid w:val="000436E3"/>
    <w:rsid w:val="000439B8"/>
    <w:rsid w:val="000439DF"/>
    <w:rsid w:val="00043A5F"/>
    <w:rsid w:val="00043CD0"/>
    <w:rsid w:val="00044250"/>
    <w:rsid w:val="00044AD0"/>
    <w:rsid w:val="00044BF9"/>
    <w:rsid w:val="00044C67"/>
    <w:rsid w:val="00044CF1"/>
    <w:rsid w:val="00044FAC"/>
    <w:rsid w:val="000453A9"/>
    <w:rsid w:val="00046030"/>
    <w:rsid w:val="00046326"/>
    <w:rsid w:val="00046D1C"/>
    <w:rsid w:val="00046DAB"/>
    <w:rsid w:val="00046E62"/>
    <w:rsid w:val="000472F3"/>
    <w:rsid w:val="00047BFD"/>
    <w:rsid w:val="00047E71"/>
    <w:rsid w:val="00050044"/>
    <w:rsid w:val="00050063"/>
    <w:rsid w:val="000503A6"/>
    <w:rsid w:val="000503C4"/>
    <w:rsid w:val="00050434"/>
    <w:rsid w:val="00050619"/>
    <w:rsid w:val="00050A1A"/>
    <w:rsid w:val="00050C59"/>
    <w:rsid w:val="00050E89"/>
    <w:rsid w:val="0005158F"/>
    <w:rsid w:val="000516B8"/>
    <w:rsid w:val="00051ADA"/>
    <w:rsid w:val="00051FAA"/>
    <w:rsid w:val="00052053"/>
    <w:rsid w:val="0005249C"/>
    <w:rsid w:val="00052772"/>
    <w:rsid w:val="00052A00"/>
    <w:rsid w:val="00052C79"/>
    <w:rsid w:val="00052EAD"/>
    <w:rsid w:val="00053366"/>
    <w:rsid w:val="000535F6"/>
    <w:rsid w:val="00053649"/>
    <w:rsid w:val="00053B78"/>
    <w:rsid w:val="00053CA3"/>
    <w:rsid w:val="00053CD9"/>
    <w:rsid w:val="00053FDC"/>
    <w:rsid w:val="00054605"/>
    <w:rsid w:val="000546AF"/>
    <w:rsid w:val="000550F4"/>
    <w:rsid w:val="000558A7"/>
    <w:rsid w:val="00055D26"/>
    <w:rsid w:val="00055E07"/>
    <w:rsid w:val="00055F13"/>
    <w:rsid w:val="00056278"/>
    <w:rsid w:val="000564B2"/>
    <w:rsid w:val="00056B58"/>
    <w:rsid w:val="00056CD2"/>
    <w:rsid w:val="00056DCC"/>
    <w:rsid w:val="00056DFF"/>
    <w:rsid w:val="00056E00"/>
    <w:rsid w:val="00057359"/>
    <w:rsid w:val="000575EA"/>
    <w:rsid w:val="00057BCD"/>
    <w:rsid w:val="00060237"/>
    <w:rsid w:val="000605A3"/>
    <w:rsid w:val="00060EB6"/>
    <w:rsid w:val="0006119A"/>
    <w:rsid w:val="00061232"/>
    <w:rsid w:val="00061363"/>
    <w:rsid w:val="00061415"/>
    <w:rsid w:val="00061596"/>
    <w:rsid w:val="00061670"/>
    <w:rsid w:val="000617C5"/>
    <w:rsid w:val="0006185F"/>
    <w:rsid w:val="0006188B"/>
    <w:rsid w:val="00061AF1"/>
    <w:rsid w:val="00061B70"/>
    <w:rsid w:val="00061F37"/>
    <w:rsid w:val="0006214C"/>
    <w:rsid w:val="00062219"/>
    <w:rsid w:val="000626A8"/>
    <w:rsid w:val="00062733"/>
    <w:rsid w:val="00062738"/>
    <w:rsid w:val="00062775"/>
    <w:rsid w:val="0006279F"/>
    <w:rsid w:val="0006282E"/>
    <w:rsid w:val="000629C2"/>
    <w:rsid w:val="00062CB7"/>
    <w:rsid w:val="00063034"/>
    <w:rsid w:val="000633D0"/>
    <w:rsid w:val="00063753"/>
    <w:rsid w:val="00063799"/>
    <w:rsid w:val="00063896"/>
    <w:rsid w:val="000639B1"/>
    <w:rsid w:val="00063B69"/>
    <w:rsid w:val="00063C9E"/>
    <w:rsid w:val="00064147"/>
    <w:rsid w:val="00064391"/>
    <w:rsid w:val="000643F1"/>
    <w:rsid w:val="0006469C"/>
    <w:rsid w:val="00064A19"/>
    <w:rsid w:val="00064D6D"/>
    <w:rsid w:val="00064E82"/>
    <w:rsid w:val="00064F34"/>
    <w:rsid w:val="0006536C"/>
    <w:rsid w:val="00065695"/>
    <w:rsid w:val="000657E5"/>
    <w:rsid w:val="0006582E"/>
    <w:rsid w:val="00065BED"/>
    <w:rsid w:val="00065C2E"/>
    <w:rsid w:val="00065C59"/>
    <w:rsid w:val="00066194"/>
    <w:rsid w:val="00066553"/>
    <w:rsid w:val="00066762"/>
    <w:rsid w:val="00066DB2"/>
    <w:rsid w:val="000671D3"/>
    <w:rsid w:val="00067AD8"/>
    <w:rsid w:val="00067F2E"/>
    <w:rsid w:val="000704BA"/>
    <w:rsid w:val="0007054F"/>
    <w:rsid w:val="000708E3"/>
    <w:rsid w:val="00070CFB"/>
    <w:rsid w:val="00071128"/>
    <w:rsid w:val="0007165B"/>
    <w:rsid w:val="00071A9C"/>
    <w:rsid w:val="00071CFE"/>
    <w:rsid w:val="0007213D"/>
    <w:rsid w:val="000721D6"/>
    <w:rsid w:val="00072296"/>
    <w:rsid w:val="000723EE"/>
    <w:rsid w:val="000725E8"/>
    <w:rsid w:val="00072716"/>
    <w:rsid w:val="000727F3"/>
    <w:rsid w:val="00072BB0"/>
    <w:rsid w:val="00072E1B"/>
    <w:rsid w:val="00073054"/>
    <w:rsid w:val="0007323F"/>
    <w:rsid w:val="0007351A"/>
    <w:rsid w:val="000738AF"/>
    <w:rsid w:val="000738E5"/>
    <w:rsid w:val="00073D52"/>
    <w:rsid w:val="00073DCF"/>
    <w:rsid w:val="00074216"/>
    <w:rsid w:val="00074410"/>
    <w:rsid w:val="00074505"/>
    <w:rsid w:val="00074804"/>
    <w:rsid w:val="000748E7"/>
    <w:rsid w:val="00074A14"/>
    <w:rsid w:val="00074BE6"/>
    <w:rsid w:val="00074D5C"/>
    <w:rsid w:val="00074E3B"/>
    <w:rsid w:val="000750C7"/>
    <w:rsid w:val="000753AC"/>
    <w:rsid w:val="0007583B"/>
    <w:rsid w:val="000759E2"/>
    <w:rsid w:val="00075A45"/>
    <w:rsid w:val="00075A5C"/>
    <w:rsid w:val="00075BB5"/>
    <w:rsid w:val="00075E2F"/>
    <w:rsid w:val="00075E9E"/>
    <w:rsid w:val="0007653B"/>
    <w:rsid w:val="000767B4"/>
    <w:rsid w:val="000767E4"/>
    <w:rsid w:val="00076830"/>
    <w:rsid w:val="00076AD1"/>
    <w:rsid w:val="00076B00"/>
    <w:rsid w:val="00076C08"/>
    <w:rsid w:val="00076FFB"/>
    <w:rsid w:val="00077032"/>
    <w:rsid w:val="000771FD"/>
    <w:rsid w:val="0007721A"/>
    <w:rsid w:val="00077353"/>
    <w:rsid w:val="000774CA"/>
    <w:rsid w:val="000776FA"/>
    <w:rsid w:val="000779D7"/>
    <w:rsid w:val="00077F0A"/>
    <w:rsid w:val="0008008F"/>
    <w:rsid w:val="000800EB"/>
    <w:rsid w:val="000803CA"/>
    <w:rsid w:val="00080461"/>
    <w:rsid w:val="000805C9"/>
    <w:rsid w:val="00080839"/>
    <w:rsid w:val="000808AE"/>
    <w:rsid w:val="00080D5E"/>
    <w:rsid w:val="00080E77"/>
    <w:rsid w:val="0008127F"/>
    <w:rsid w:val="0008143E"/>
    <w:rsid w:val="00081449"/>
    <w:rsid w:val="00081452"/>
    <w:rsid w:val="000815D4"/>
    <w:rsid w:val="00081672"/>
    <w:rsid w:val="00081709"/>
    <w:rsid w:val="00081762"/>
    <w:rsid w:val="000817F4"/>
    <w:rsid w:val="0008195B"/>
    <w:rsid w:val="00082144"/>
    <w:rsid w:val="000821D8"/>
    <w:rsid w:val="0008254F"/>
    <w:rsid w:val="0008294E"/>
    <w:rsid w:val="00082A03"/>
    <w:rsid w:val="00082A8B"/>
    <w:rsid w:val="00082ADD"/>
    <w:rsid w:val="0008322E"/>
    <w:rsid w:val="000832F1"/>
    <w:rsid w:val="0008330A"/>
    <w:rsid w:val="00083397"/>
    <w:rsid w:val="00083634"/>
    <w:rsid w:val="00083670"/>
    <w:rsid w:val="000837B0"/>
    <w:rsid w:val="000837E8"/>
    <w:rsid w:val="0008381A"/>
    <w:rsid w:val="0008394B"/>
    <w:rsid w:val="00083B3E"/>
    <w:rsid w:val="00083DA8"/>
    <w:rsid w:val="00084083"/>
    <w:rsid w:val="00084189"/>
    <w:rsid w:val="00084275"/>
    <w:rsid w:val="0008427C"/>
    <w:rsid w:val="0008466A"/>
    <w:rsid w:val="00084863"/>
    <w:rsid w:val="00084C37"/>
    <w:rsid w:val="0008526D"/>
    <w:rsid w:val="0008549E"/>
    <w:rsid w:val="00085573"/>
    <w:rsid w:val="00085723"/>
    <w:rsid w:val="00085793"/>
    <w:rsid w:val="00085922"/>
    <w:rsid w:val="00085AE1"/>
    <w:rsid w:val="00085DA3"/>
    <w:rsid w:val="00085FF7"/>
    <w:rsid w:val="0008632F"/>
    <w:rsid w:val="000863B8"/>
    <w:rsid w:val="0008643C"/>
    <w:rsid w:val="000867AB"/>
    <w:rsid w:val="0008695D"/>
    <w:rsid w:val="00086A89"/>
    <w:rsid w:val="00086AAD"/>
    <w:rsid w:val="00086D2F"/>
    <w:rsid w:val="00086FB3"/>
    <w:rsid w:val="000870A6"/>
    <w:rsid w:val="000872EB"/>
    <w:rsid w:val="00087AEB"/>
    <w:rsid w:val="00087B63"/>
    <w:rsid w:val="000902D4"/>
    <w:rsid w:val="00090495"/>
    <w:rsid w:val="000905D5"/>
    <w:rsid w:val="00090668"/>
    <w:rsid w:val="00090826"/>
    <w:rsid w:val="000908E2"/>
    <w:rsid w:val="00090B0B"/>
    <w:rsid w:val="00090B15"/>
    <w:rsid w:val="00091133"/>
    <w:rsid w:val="00091588"/>
    <w:rsid w:val="000915AD"/>
    <w:rsid w:val="00091613"/>
    <w:rsid w:val="000918C7"/>
    <w:rsid w:val="0009192E"/>
    <w:rsid w:val="00091BCD"/>
    <w:rsid w:val="00091BFB"/>
    <w:rsid w:val="00091F4D"/>
    <w:rsid w:val="00091FF4"/>
    <w:rsid w:val="0009229E"/>
    <w:rsid w:val="0009265A"/>
    <w:rsid w:val="00092792"/>
    <w:rsid w:val="000927FA"/>
    <w:rsid w:val="00092A60"/>
    <w:rsid w:val="00092F6A"/>
    <w:rsid w:val="0009306E"/>
    <w:rsid w:val="00093090"/>
    <w:rsid w:val="000930A0"/>
    <w:rsid w:val="00093550"/>
    <w:rsid w:val="000937DC"/>
    <w:rsid w:val="00093870"/>
    <w:rsid w:val="00093A07"/>
    <w:rsid w:val="0009404F"/>
    <w:rsid w:val="000943DD"/>
    <w:rsid w:val="0009449B"/>
    <w:rsid w:val="0009468E"/>
    <w:rsid w:val="000946E7"/>
    <w:rsid w:val="000948BB"/>
    <w:rsid w:val="00094F15"/>
    <w:rsid w:val="00094F9A"/>
    <w:rsid w:val="00094FC2"/>
    <w:rsid w:val="00095525"/>
    <w:rsid w:val="00095645"/>
    <w:rsid w:val="000958DB"/>
    <w:rsid w:val="00095A78"/>
    <w:rsid w:val="00095B79"/>
    <w:rsid w:val="00095BF3"/>
    <w:rsid w:val="00095C9E"/>
    <w:rsid w:val="00095EF0"/>
    <w:rsid w:val="0009610C"/>
    <w:rsid w:val="0009688C"/>
    <w:rsid w:val="000968F9"/>
    <w:rsid w:val="000969F8"/>
    <w:rsid w:val="00096FD3"/>
    <w:rsid w:val="00097876"/>
    <w:rsid w:val="000A0167"/>
    <w:rsid w:val="000A038E"/>
    <w:rsid w:val="000A0492"/>
    <w:rsid w:val="000A080C"/>
    <w:rsid w:val="000A08CA"/>
    <w:rsid w:val="000A0E4C"/>
    <w:rsid w:val="000A0ED4"/>
    <w:rsid w:val="000A0FA9"/>
    <w:rsid w:val="000A0FFC"/>
    <w:rsid w:val="000A110F"/>
    <w:rsid w:val="000A124D"/>
    <w:rsid w:val="000A1351"/>
    <w:rsid w:val="000A1423"/>
    <w:rsid w:val="000A142A"/>
    <w:rsid w:val="000A1644"/>
    <w:rsid w:val="000A17B0"/>
    <w:rsid w:val="000A1AAF"/>
    <w:rsid w:val="000A1AD2"/>
    <w:rsid w:val="000A2726"/>
    <w:rsid w:val="000A2A49"/>
    <w:rsid w:val="000A2D59"/>
    <w:rsid w:val="000A2EAA"/>
    <w:rsid w:val="000A2EFC"/>
    <w:rsid w:val="000A2F7C"/>
    <w:rsid w:val="000A3165"/>
    <w:rsid w:val="000A3589"/>
    <w:rsid w:val="000A3CAC"/>
    <w:rsid w:val="000A4044"/>
    <w:rsid w:val="000A4354"/>
    <w:rsid w:val="000A465B"/>
    <w:rsid w:val="000A468C"/>
    <w:rsid w:val="000A4916"/>
    <w:rsid w:val="000A4C57"/>
    <w:rsid w:val="000A4CC1"/>
    <w:rsid w:val="000A5728"/>
    <w:rsid w:val="000A5996"/>
    <w:rsid w:val="000A5B2C"/>
    <w:rsid w:val="000A5BC3"/>
    <w:rsid w:val="000A5CA4"/>
    <w:rsid w:val="000A5ECB"/>
    <w:rsid w:val="000A617D"/>
    <w:rsid w:val="000A643D"/>
    <w:rsid w:val="000A6611"/>
    <w:rsid w:val="000A68CD"/>
    <w:rsid w:val="000A6B87"/>
    <w:rsid w:val="000A6BAD"/>
    <w:rsid w:val="000A6BB9"/>
    <w:rsid w:val="000A6BFD"/>
    <w:rsid w:val="000A6E41"/>
    <w:rsid w:val="000A7283"/>
    <w:rsid w:val="000A74F3"/>
    <w:rsid w:val="000A7531"/>
    <w:rsid w:val="000A7679"/>
    <w:rsid w:val="000A788B"/>
    <w:rsid w:val="000A79A4"/>
    <w:rsid w:val="000A7C33"/>
    <w:rsid w:val="000B108F"/>
    <w:rsid w:val="000B17D3"/>
    <w:rsid w:val="000B1D1F"/>
    <w:rsid w:val="000B1DFB"/>
    <w:rsid w:val="000B1FCB"/>
    <w:rsid w:val="000B224A"/>
    <w:rsid w:val="000B245A"/>
    <w:rsid w:val="000B2883"/>
    <w:rsid w:val="000B2961"/>
    <w:rsid w:val="000B2CEA"/>
    <w:rsid w:val="000B2DB8"/>
    <w:rsid w:val="000B2E4F"/>
    <w:rsid w:val="000B30AD"/>
    <w:rsid w:val="000B3300"/>
    <w:rsid w:val="000B3366"/>
    <w:rsid w:val="000B3C9B"/>
    <w:rsid w:val="000B3DEA"/>
    <w:rsid w:val="000B4057"/>
    <w:rsid w:val="000B418F"/>
    <w:rsid w:val="000B4238"/>
    <w:rsid w:val="000B4653"/>
    <w:rsid w:val="000B481F"/>
    <w:rsid w:val="000B4871"/>
    <w:rsid w:val="000B48C3"/>
    <w:rsid w:val="000B4E3B"/>
    <w:rsid w:val="000B4F99"/>
    <w:rsid w:val="000B4FE5"/>
    <w:rsid w:val="000B509D"/>
    <w:rsid w:val="000B513B"/>
    <w:rsid w:val="000B5145"/>
    <w:rsid w:val="000B5232"/>
    <w:rsid w:val="000B5510"/>
    <w:rsid w:val="000B55ED"/>
    <w:rsid w:val="000B5908"/>
    <w:rsid w:val="000B5D7F"/>
    <w:rsid w:val="000B5E2F"/>
    <w:rsid w:val="000B5E33"/>
    <w:rsid w:val="000B5E79"/>
    <w:rsid w:val="000B6755"/>
    <w:rsid w:val="000B6C17"/>
    <w:rsid w:val="000B71ED"/>
    <w:rsid w:val="000B72AF"/>
    <w:rsid w:val="000B730A"/>
    <w:rsid w:val="000B756F"/>
    <w:rsid w:val="000B7A4F"/>
    <w:rsid w:val="000B7BFD"/>
    <w:rsid w:val="000B7C19"/>
    <w:rsid w:val="000B7D30"/>
    <w:rsid w:val="000B7E67"/>
    <w:rsid w:val="000B7FD3"/>
    <w:rsid w:val="000C01F8"/>
    <w:rsid w:val="000C027D"/>
    <w:rsid w:val="000C0561"/>
    <w:rsid w:val="000C06B8"/>
    <w:rsid w:val="000C06E8"/>
    <w:rsid w:val="000C087C"/>
    <w:rsid w:val="000C0A58"/>
    <w:rsid w:val="000C0B83"/>
    <w:rsid w:val="000C0BD8"/>
    <w:rsid w:val="000C12C9"/>
    <w:rsid w:val="000C1378"/>
    <w:rsid w:val="000C13FE"/>
    <w:rsid w:val="000C1677"/>
    <w:rsid w:val="000C1B31"/>
    <w:rsid w:val="000C210A"/>
    <w:rsid w:val="000C2119"/>
    <w:rsid w:val="000C2311"/>
    <w:rsid w:val="000C2AF5"/>
    <w:rsid w:val="000C328B"/>
    <w:rsid w:val="000C3841"/>
    <w:rsid w:val="000C384C"/>
    <w:rsid w:val="000C3A2A"/>
    <w:rsid w:val="000C3A99"/>
    <w:rsid w:val="000C3B60"/>
    <w:rsid w:val="000C3FF1"/>
    <w:rsid w:val="000C42E6"/>
    <w:rsid w:val="000C45B3"/>
    <w:rsid w:val="000C4825"/>
    <w:rsid w:val="000C492E"/>
    <w:rsid w:val="000C49FC"/>
    <w:rsid w:val="000C516C"/>
    <w:rsid w:val="000C518F"/>
    <w:rsid w:val="000C53C7"/>
    <w:rsid w:val="000C5461"/>
    <w:rsid w:val="000C55D5"/>
    <w:rsid w:val="000C5732"/>
    <w:rsid w:val="000C580B"/>
    <w:rsid w:val="000C5D43"/>
    <w:rsid w:val="000C5D53"/>
    <w:rsid w:val="000C6129"/>
    <w:rsid w:val="000C6161"/>
    <w:rsid w:val="000C62AF"/>
    <w:rsid w:val="000C64D6"/>
    <w:rsid w:val="000C658F"/>
    <w:rsid w:val="000C6938"/>
    <w:rsid w:val="000C6A8E"/>
    <w:rsid w:val="000C6B7B"/>
    <w:rsid w:val="000C6F48"/>
    <w:rsid w:val="000C7039"/>
    <w:rsid w:val="000C74F5"/>
    <w:rsid w:val="000C7514"/>
    <w:rsid w:val="000C7A2B"/>
    <w:rsid w:val="000C7E28"/>
    <w:rsid w:val="000C7FD7"/>
    <w:rsid w:val="000D0187"/>
    <w:rsid w:val="000D0259"/>
    <w:rsid w:val="000D0994"/>
    <w:rsid w:val="000D0B77"/>
    <w:rsid w:val="000D0C3B"/>
    <w:rsid w:val="000D0EAF"/>
    <w:rsid w:val="000D10C4"/>
    <w:rsid w:val="000D12B0"/>
    <w:rsid w:val="000D203F"/>
    <w:rsid w:val="000D28DE"/>
    <w:rsid w:val="000D293E"/>
    <w:rsid w:val="000D2B99"/>
    <w:rsid w:val="000D2C32"/>
    <w:rsid w:val="000D2EE1"/>
    <w:rsid w:val="000D2FF0"/>
    <w:rsid w:val="000D3091"/>
    <w:rsid w:val="000D31DD"/>
    <w:rsid w:val="000D3252"/>
    <w:rsid w:val="000D3323"/>
    <w:rsid w:val="000D3400"/>
    <w:rsid w:val="000D3416"/>
    <w:rsid w:val="000D34F3"/>
    <w:rsid w:val="000D3534"/>
    <w:rsid w:val="000D36A4"/>
    <w:rsid w:val="000D3925"/>
    <w:rsid w:val="000D3C8A"/>
    <w:rsid w:val="000D3DF3"/>
    <w:rsid w:val="000D3FE3"/>
    <w:rsid w:val="000D4093"/>
    <w:rsid w:val="000D45C3"/>
    <w:rsid w:val="000D45C6"/>
    <w:rsid w:val="000D4B7B"/>
    <w:rsid w:val="000D4E1E"/>
    <w:rsid w:val="000D4E47"/>
    <w:rsid w:val="000D575E"/>
    <w:rsid w:val="000D5F2F"/>
    <w:rsid w:val="000D614B"/>
    <w:rsid w:val="000D6508"/>
    <w:rsid w:val="000D6AAF"/>
    <w:rsid w:val="000D6C98"/>
    <w:rsid w:val="000D72E6"/>
    <w:rsid w:val="000D78B1"/>
    <w:rsid w:val="000D7943"/>
    <w:rsid w:val="000E0486"/>
    <w:rsid w:val="000E058C"/>
    <w:rsid w:val="000E0663"/>
    <w:rsid w:val="000E0BAB"/>
    <w:rsid w:val="000E0BE6"/>
    <w:rsid w:val="000E0C89"/>
    <w:rsid w:val="000E0CA5"/>
    <w:rsid w:val="000E0D0A"/>
    <w:rsid w:val="000E0D62"/>
    <w:rsid w:val="000E0D77"/>
    <w:rsid w:val="000E0DE1"/>
    <w:rsid w:val="000E0EFB"/>
    <w:rsid w:val="000E1177"/>
    <w:rsid w:val="000E12A8"/>
    <w:rsid w:val="000E15AC"/>
    <w:rsid w:val="000E1772"/>
    <w:rsid w:val="000E192D"/>
    <w:rsid w:val="000E199F"/>
    <w:rsid w:val="000E244F"/>
    <w:rsid w:val="000E264E"/>
    <w:rsid w:val="000E26C9"/>
    <w:rsid w:val="000E2A8F"/>
    <w:rsid w:val="000E2AFF"/>
    <w:rsid w:val="000E2C54"/>
    <w:rsid w:val="000E2D01"/>
    <w:rsid w:val="000E2E0C"/>
    <w:rsid w:val="000E326F"/>
    <w:rsid w:val="000E33E7"/>
    <w:rsid w:val="000E34CE"/>
    <w:rsid w:val="000E36A4"/>
    <w:rsid w:val="000E375A"/>
    <w:rsid w:val="000E3B7E"/>
    <w:rsid w:val="000E3E48"/>
    <w:rsid w:val="000E4726"/>
    <w:rsid w:val="000E5100"/>
    <w:rsid w:val="000E55F3"/>
    <w:rsid w:val="000E5BD5"/>
    <w:rsid w:val="000E5CE6"/>
    <w:rsid w:val="000E6100"/>
    <w:rsid w:val="000E6187"/>
    <w:rsid w:val="000E65DB"/>
    <w:rsid w:val="000E6724"/>
    <w:rsid w:val="000E68D8"/>
    <w:rsid w:val="000E695B"/>
    <w:rsid w:val="000E699D"/>
    <w:rsid w:val="000E6C38"/>
    <w:rsid w:val="000E6DCB"/>
    <w:rsid w:val="000E7027"/>
    <w:rsid w:val="000E73AE"/>
    <w:rsid w:val="000E73DF"/>
    <w:rsid w:val="000E7B35"/>
    <w:rsid w:val="000F062B"/>
    <w:rsid w:val="000F076F"/>
    <w:rsid w:val="000F0D81"/>
    <w:rsid w:val="000F0FCE"/>
    <w:rsid w:val="000F107F"/>
    <w:rsid w:val="000F1200"/>
    <w:rsid w:val="000F161F"/>
    <w:rsid w:val="000F16FC"/>
    <w:rsid w:val="000F1710"/>
    <w:rsid w:val="000F178C"/>
    <w:rsid w:val="000F1914"/>
    <w:rsid w:val="000F1D0A"/>
    <w:rsid w:val="000F1D22"/>
    <w:rsid w:val="000F23B0"/>
    <w:rsid w:val="000F23BF"/>
    <w:rsid w:val="000F24A8"/>
    <w:rsid w:val="000F250F"/>
    <w:rsid w:val="000F2682"/>
    <w:rsid w:val="000F29AC"/>
    <w:rsid w:val="000F2A1D"/>
    <w:rsid w:val="000F2F3D"/>
    <w:rsid w:val="000F3020"/>
    <w:rsid w:val="000F3264"/>
    <w:rsid w:val="000F337A"/>
    <w:rsid w:val="000F3383"/>
    <w:rsid w:val="000F34C2"/>
    <w:rsid w:val="000F34D2"/>
    <w:rsid w:val="000F3567"/>
    <w:rsid w:val="000F3734"/>
    <w:rsid w:val="000F3C14"/>
    <w:rsid w:val="000F4225"/>
    <w:rsid w:val="000F4624"/>
    <w:rsid w:val="000F465A"/>
    <w:rsid w:val="000F48AB"/>
    <w:rsid w:val="000F4938"/>
    <w:rsid w:val="000F51F5"/>
    <w:rsid w:val="000F51F8"/>
    <w:rsid w:val="000F522A"/>
    <w:rsid w:val="000F5748"/>
    <w:rsid w:val="000F5994"/>
    <w:rsid w:val="000F5B2B"/>
    <w:rsid w:val="000F6011"/>
    <w:rsid w:val="000F60D0"/>
    <w:rsid w:val="000F60D2"/>
    <w:rsid w:val="000F66F4"/>
    <w:rsid w:val="000F6BD2"/>
    <w:rsid w:val="000F6D7F"/>
    <w:rsid w:val="000F747C"/>
    <w:rsid w:val="000F7A9D"/>
    <w:rsid w:val="000F7AC8"/>
    <w:rsid w:val="000F7AF3"/>
    <w:rsid w:val="001001BD"/>
    <w:rsid w:val="00100328"/>
    <w:rsid w:val="001003B6"/>
    <w:rsid w:val="0010050B"/>
    <w:rsid w:val="00100584"/>
    <w:rsid w:val="001005FE"/>
    <w:rsid w:val="001007B9"/>
    <w:rsid w:val="00100E8B"/>
    <w:rsid w:val="00101061"/>
    <w:rsid w:val="00101084"/>
    <w:rsid w:val="001011C5"/>
    <w:rsid w:val="001012CD"/>
    <w:rsid w:val="001015AB"/>
    <w:rsid w:val="00101678"/>
    <w:rsid w:val="00101798"/>
    <w:rsid w:val="00101A6E"/>
    <w:rsid w:val="00101CF0"/>
    <w:rsid w:val="00101D6C"/>
    <w:rsid w:val="00101E39"/>
    <w:rsid w:val="001023F9"/>
    <w:rsid w:val="001024D6"/>
    <w:rsid w:val="001025F3"/>
    <w:rsid w:val="001035DD"/>
    <w:rsid w:val="00103CD3"/>
    <w:rsid w:val="00104035"/>
    <w:rsid w:val="0010409A"/>
    <w:rsid w:val="001042DA"/>
    <w:rsid w:val="00104323"/>
    <w:rsid w:val="001049BD"/>
    <w:rsid w:val="00104ABC"/>
    <w:rsid w:val="00104B62"/>
    <w:rsid w:val="00104EC5"/>
    <w:rsid w:val="00105028"/>
    <w:rsid w:val="00105192"/>
    <w:rsid w:val="00105694"/>
    <w:rsid w:val="001056D5"/>
    <w:rsid w:val="001056E6"/>
    <w:rsid w:val="00105757"/>
    <w:rsid w:val="00105D74"/>
    <w:rsid w:val="00105DA9"/>
    <w:rsid w:val="00105E02"/>
    <w:rsid w:val="00105ECB"/>
    <w:rsid w:val="00105F64"/>
    <w:rsid w:val="001064DD"/>
    <w:rsid w:val="00106BCF"/>
    <w:rsid w:val="00106CDD"/>
    <w:rsid w:val="00107155"/>
    <w:rsid w:val="00107509"/>
    <w:rsid w:val="00107717"/>
    <w:rsid w:val="00107C29"/>
    <w:rsid w:val="00110597"/>
    <w:rsid w:val="00110643"/>
    <w:rsid w:val="00110759"/>
    <w:rsid w:val="001107F8"/>
    <w:rsid w:val="00110FC8"/>
    <w:rsid w:val="00111220"/>
    <w:rsid w:val="001116CD"/>
    <w:rsid w:val="00111999"/>
    <w:rsid w:val="00111D2D"/>
    <w:rsid w:val="00111DA2"/>
    <w:rsid w:val="0011200A"/>
    <w:rsid w:val="001120C7"/>
    <w:rsid w:val="0011263B"/>
    <w:rsid w:val="00112789"/>
    <w:rsid w:val="00112C2A"/>
    <w:rsid w:val="00112E7E"/>
    <w:rsid w:val="00112ED3"/>
    <w:rsid w:val="0011303F"/>
    <w:rsid w:val="00113415"/>
    <w:rsid w:val="0011379A"/>
    <w:rsid w:val="00113AA4"/>
    <w:rsid w:val="00113D29"/>
    <w:rsid w:val="00114462"/>
    <w:rsid w:val="0011460F"/>
    <w:rsid w:val="00114B48"/>
    <w:rsid w:val="00114B77"/>
    <w:rsid w:val="00114C4A"/>
    <w:rsid w:val="00114DC4"/>
    <w:rsid w:val="0011508F"/>
    <w:rsid w:val="001150CF"/>
    <w:rsid w:val="00115310"/>
    <w:rsid w:val="00115452"/>
    <w:rsid w:val="00115858"/>
    <w:rsid w:val="001158DC"/>
    <w:rsid w:val="001159CC"/>
    <w:rsid w:val="00115D03"/>
    <w:rsid w:val="00115E27"/>
    <w:rsid w:val="00116257"/>
    <w:rsid w:val="001162F7"/>
    <w:rsid w:val="00116468"/>
    <w:rsid w:val="0011660A"/>
    <w:rsid w:val="00116784"/>
    <w:rsid w:val="00116A74"/>
    <w:rsid w:val="00116BD2"/>
    <w:rsid w:val="00116BE4"/>
    <w:rsid w:val="00116D6B"/>
    <w:rsid w:val="001170EB"/>
    <w:rsid w:val="0011710F"/>
    <w:rsid w:val="00117142"/>
    <w:rsid w:val="00117198"/>
    <w:rsid w:val="001175F0"/>
    <w:rsid w:val="00117716"/>
    <w:rsid w:val="00117966"/>
    <w:rsid w:val="00117BEB"/>
    <w:rsid w:val="00120585"/>
    <w:rsid w:val="00120977"/>
    <w:rsid w:val="00120A13"/>
    <w:rsid w:val="00120A94"/>
    <w:rsid w:val="00120B34"/>
    <w:rsid w:val="00120EE0"/>
    <w:rsid w:val="00120F39"/>
    <w:rsid w:val="00120FD4"/>
    <w:rsid w:val="001210DD"/>
    <w:rsid w:val="00121218"/>
    <w:rsid w:val="00121356"/>
    <w:rsid w:val="00121864"/>
    <w:rsid w:val="00121CFE"/>
    <w:rsid w:val="00121F0A"/>
    <w:rsid w:val="0012240E"/>
    <w:rsid w:val="001225D9"/>
    <w:rsid w:val="00122691"/>
    <w:rsid w:val="001229CE"/>
    <w:rsid w:val="00122AAC"/>
    <w:rsid w:val="00122BA0"/>
    <w:rsid w:val="00122C56"/>
    <w:rsid w:val="00123005"/>
    <w:rsid w:val="0012311C"/>
    <w:rsid w:val="00123837"/>
    <w:rsid w:val="00123A20"/>
    <w:rsid w:val="00123A88"/>
    <w:rsid w:val="001242BF"/>
    <w:rsid w:val="001242CE"/>
    <w:rsid w:val="00124503"/>
    <w:rsid w:val="0012492A"/>
    <w:rsid w:val="00124C23"/>
    <w:rsid w:val="001251D0"/>
    <w:rsid w:val="00125614"/>
    <w:rsid w:val="00125860"/>
    <w:rsid w:val="00125873"/>
    <w:rsid w:val="00125985"/>
    <w:rsid w:val="00125BBF"/>
    <w:rsid w:val="00125C2D"/>
    <w:rsid w:val="00125E39"/>
    <w:rsid w:val="00126167"/>
    <w:rsid w:val="00126249"/>
    <w:rsid w:val="00126D6C"/>
    <w:rsid w:val="00126E65"/>
    <w:rsid w:val="00126F36"/>
    <w:rsid w:val="00126FBA"/>
    <w:rsid w:val="00127247"/>
    <w:rsid w:val="00127503"/>
    <w:rsid w:val="00127569"/>
    <w:rsid w:val="0012791A"/>
    <w:rsid w:val="00127AE3"/>
    <w:rsid w:val="00127B91"/>
    <w:rsid w:val="00127E1C"/>
    <w:rsid w:val="00127E91"/>
    <w:rsid w:val="001301FA"/>
    <w:rsid w:val="00130287"/>
    <w:rsid w:val="0013055A"/>
    <w:rsid w:val="00130A5E"/>
    <w:rsid w:val="00130F4A"/>
    <w:rsid w:val="00130F69"/>
    <w:rsid w:val="00131234"/>
    <w:rsid w:val="00131315"/>
    <w:rsid w:val="00131B97"/>
    <w:rsid w:val="00131BB1"/>
    <w:rsid w:val="00131BCF"/>
    <w:rsid w:val="00131D69"/>
    <w:rsid w:val="00131E13"/>
    <w:rsid w:val="00131F17"/>
    <w:rsid w:val="00131F73"/>
    <w:rsid w:val="00131FE3"/>
    <w:rsid w:val="00132268"/>
    <w:rsid w:val="001324FA"/>
    <w:rsid w:val="001325F6"/>
    <w:rsid w:val="001326A2"/>
    <w:rsid w:val="00132968"/>
    <w:rsid w:val="00132AB1"/>
    <w:rsid w:val="00132D2E"/>
    <w:rsid w:val="0013301C"/>
    <w:rsid w:val="0013303E"/>
    <w:rsid w:val="001330CA"/>
    <w:rsid w:val="001334D5"/>
    <w:rsid w:val="00133572"/>
    <w:rsid w:val="00133978"/>
    <w:rsid w:val="00134511"/>
    <w:rsid w:val="00134566"/>
    <w:rsid w:val="001349DF"/>
    <w:rsid w:val="00134A80"/>
    <w:rsid w:val="00134CF1"/>
    <w:rsid w:val="00134E63"/>
    <w:rsid w:val="0013501C"/>
    <w:rsid w:val="00135120"/>
    <w:rsid w:val="00135167"/>
    <w:rsid w:val="001351A8"/>
    <w:rsid w:val="001351C9"/>
    <w:rsid w:val="001352EC"/>
    <w:rsid w:val="001353D4"/>
    <w:rsid w:val="00135694"/>
    <w:rsid w:val="00135C15"/>
    <w:rsid w:val="00135E24"/>
    <w:rsid w:val="00135F6E"/>
    <w:rsid w:val="00136409"/>
    <w:rsid w:val="00136432"/>
    <w:rsid w:val="001367B4"/>
    <w:rsid w:val="001369D1"/>
    <w:rsid w:val="001370BF"/>
    <w:rsid w:val="00137265"/>
    <w:rsid w:val="00137470"/>
    <w:rsid w:val="0013773E"/>
    <w:rsid w:val="00137AA8"/>
    <w:rsid w:val="00137ACB"/>
    <w:rsid w:val="00137CED"/>
    <w:rsid w:val="00137E8F"/>
    <w:rsid w:val="00137F63"/>
    <w:rsid w:val="00140133"/>
    <w:rsid w:val="00140457"/>
    <w:rsid w:val="0014049F"/>
    <w:rsid w:val="001406AB"/>
    <w:rsid w:val="00140C05"/>
    <w:rsid w:val="00141091"/>
    <w:rsid w:val="001411A5"/>
    <w:rsid w:val="00141269"/>
    <w:rsid w:val="001412AC"/>
    <w:rsid w:val="0014161C"/>
    <w:rsid w:val="001417F6"/>
    <w:rsid w:val="00141DA1"/>
    <w:rsid w:val="00141F14"/>
    <w:rsid w:val="001423BA"/>
    <w:rsid w:val="0014274F"/>
    <w:rsid w:val="0014302D"/>
    <w:rsid w:val="0014317A"/>
    <w:rsid w:val="001431AA"/>
    <w:rsid w:val="00143365"/>
    <w:rsid w:val="00143D4F"/>
    <w:rsid w:val="00143E29"/>
    <w:rsid w:val="00144148"/>
    <w:rsid w:val="001441D8"/>
    <w:rsid w:val="0014476A"/>
    <w:rsid w:val="001447AD"/>
    <w:rsid w:val="001449F5"/>
    <w:rsid w:val="00144A25"/>
    <w:rsid w:val="00144ADC"/>
    <w:rsid w:val="001452A1"/>
    <w:rsid w:val="00145427"/>
    <w:rsid w:val="0014549A"/>
    <w:rsid w:val="001454FF"/>
    <w:rsid w:val="0014551B"/>
    <w:rsid w:val="00145B6E"/>
    <w:rsid w:val="00145CB6"/>
    <w:rsid w:val="00145E64"/>
    <w:rsid w:val="00146277"/>
    <w:rsid w:val="00146819"/>
    <w:rsid w:val="00146E36"/>
    <w:rsid w:val="001473CB"/>
    <w:rsid w:val="00147441"/>
    <w:rsid w:val="0014780F"/>
    <w:rsid w:val="00147AE3"/>
    <w:rsid w:val="0015024C"/>
    <w:rsid w:val="001502E9"/>
    <w:rsid w:val="001504A6"/>
    <w:rsid w:val="00150571"/>
    <w:rsid w:val="00150751"/>
    <w:rsid w:val="00150760"/>
    <w:rsid w:val="0015089E"/>
    <w:rsid w:val="00150AE9"/>
    <w:rsid w:val="0015117F"/>
    <w:rsid w:val="00151193"/>
    <w:rsid w:val="001511A6"/>
    <w:rsid w:val="001516C2"/>
    <w:rsid w:val="00151892"/>
    <w:rsid w:val="0015198C"/>
    <w:rsid w:val="00151B4D"/>
    <w:rsid w:val="00151E37"/>
    <w:rsid w:val="00151EDE"/>
    <w:rsid w:val="00151F1C"/>
    <w:rsid w:val="00152217"/>
    <w:rsid w:val="001523EE"/>
    <w:rsid w:val="00152531"/>
    <w:rsid w:val="0015256B"/>
    <w:rsid w:val="001525CC"/>
    <w:rsid w:val="00152B92"/>
    <w:rsid w:val="00152C42"/>
    <w:rsid w:val="00152C52"/>
    <w:rsid w:val="00152C59"/>
    <w:rsid w:val="00152C60"/>
    <w:rsid w:val="00152F01"/>
    <w:rsid w:val="00153303"/>
    <w:rsid w:val="001536C8"/>
    <w:rsid w:val="001538B9"/>
    <w:rsid w:val="00153B8A"/>
    <w:rsid w:val="00154035"/>
    <w:rsid w:val="00154380"/>
    <w:rsid w:val="00154A17"/>
    <w:rsid w:val="00154E54"/>
    <w:rsid w:val="00155076"/>
    <w:rsid w:val="00155232"/>
    <w:rsid w:val="0015537B"/>
    <w:rsid w:val="001555CF"/>
    <w:rsid w:val="0015562D"/>
    <w:rsid w:val="0015574E"/>
    <w:rsid w:val="00155B1B"/>
    <w:rsid w:val="00155D73"/>
    <w:rsid w:val="001560AC"/>
    <w:rsid w:val="001560B0"/>
    <w:rsid w:val="00156241"/>
    <w:rsid w:val="00156F04"/>
    <w:rsid w:val="00156FF1"/>
    <w:rsid w:val="0015770B"/>
    <w:rsid w:val="00157943"/>
    <w:rsid w:val="00157ABA"/>
    <w:rsid w:val="00157B30"/>
    <w:rsid w:val="00157E04"/>
    <w:rsid w:val="00157F4B"/>
    <w:rsid w:val="0016009B"/>
    <w:rsid w:val="001600EF"/>
    <w:rsid w:val="0016045E"/>
    <w:rsid w:val="00160639"/>
    <w:rsid w:val="00160A97"/>
    <w:rsid w:val="00160E27"/>
    <w:rsid w:val="0016117C"/>
    <w:rsid w:val="00161552"/>
    <w:rsid w:val="00161676"/>
    <w:rsid w:val="001617FD"/>
    <w:rsid w:val="0016185A"/>
    <w:rsid w:val="00161B75"/>
    <w:rsid w:val="00161B7D"/>
    <w:rsid w:val="001621ED"/>
    <w:rsid w:val="001625D6"/>
    <w:rsid w:val="00162D50"/>
    <w:rsid w:val="00162D98"/>
    <w:rsid w:val="00162EB8"/>
    <w:rsid w:val="001630AF"/>
    <w:rsid w:val="0016325E"/>
    <w:rsid w:val="00163AA5"/>
    <w:rsid w:val="00163AC6"/>
    <w:rsid w:val="00163B15"/>
    <w:rsid w:val="00163FB5"/>
    <w:rsid w:val="00164163"/>
    <w:rsid w:val="0016491C"/>
    <w:rsid w:val="001649A5"/>
    <w:rsid w:val="00164B39"/>
    <w:rsid w:val="00164BBF"/>
    <w:rsid w:val="0016521A"/>
    <w:rsid w:val="00165475"/>
    <w:rsid w:val="001655AA"/>
    <w:rsid w:val="001656C1"/>
    <w:rsid w:val="00165DA0"/>
    <w:rsid w:val="001661B3"/>
    <w:rsid w:val="00166826"/>
    <w:rsid w:val="001668CE"/>
    <w:rsid w:val="001669A2"/>
    <w:rsid w:val="00166BC7"/>
    <w:rsid w:val="00166DBB"/>
    <w:rsid w:val="00166F32"/>
    <w:rsid w:val="00167871"/>
    <w:rsid w:val="0016798E"/>
    <w:rsid w:val="00167C2B"/>
    <w:rsid w:val="00167D8B"/>
    <w:rsid w:val="00167F84"/>
    <w:rsid w:val="001702D7"/>
    <w:rsid w:val="001703C9"/>
    <w:rsid w:val="001704DA"/>
    <w:rsid w:val="001704ED"/>
    <w:rsid w:val="001705B3"/>
    <w:rsid w:val="001708F8"/>
    <w:rsid w:val="0017096F"/>
    <w:rsid w:val="00170980"/>
    <w:rsid w:val="001710E0"/>
    <w:rsid w:val="001711FC"/>
    <w:rsid w:val="00171545"/>
    <w:rsid w:val="0017170F"/>
    <w:rsid w:val="00171786"/>
    <w:rsid w:val="00171D08"/>
    <w:rsid w:val="00171D9C"/>
    <w:rsid w:val="00171DD6"/>
    <w:rsid w:val="00171E4D"/>
    <w:rsid w:val="00171EA4"/>
    <w:rsid w:val="001727AF"/>
    <w:rsid w:val="00172C54"/>
    <w:rsid w:val="00172D9C"/>
    <w:rsid w:val="00173083"/>
    <w:rsid w:val="00173440"/>
    <w:rsid w:val="0017368E"/>
    <w:rsid w:val="001736C2"/>
    <w:rsid w:val="00173724"/>
    <w:rsid w:val="00173B54"/>
    <w:rsid w:val="00173D8E"/>
    <w:rsid w:val="00173DF6"/>
    <w:rsid w:val="00173E7A"/>
    <w:rsid w:val="00173F5C"/>
    <w:rsid w:val="001740EC"/>
    <w:rsid w:val="001744BD"/>
    <w:rsid w:val="0017455F"/>
    <w:rsid w:val="00174769"/>
    <w:rsid w:val="00174B82"/>
    <w:rsid w:val="00174DD3"/>
    <w:rsid w:val="001756FE"/>
    <w:rsid w:val="00175C11"/>
    <w:rsid w:val="00175F71"/>
    <w:rsid w:val="00176170"/>
    <w:rsid w:val="001761B2"/>
    <w:rsid w:val="0017621D"/>
    <w:rsid w:val="001762B7"/>
    <w:rsid w:val="0017630F"/>
    <w:rsid w:val="00176545"/>
    <w:rsid w:val="0017667B"/>
    <w:rsid w:val="00176BA1"/>
    <w:rsid w:val="00176EA5"/>
    <w:rsid w:val="00176EC9"/>
    <w:rsid w:val="00176EF7"/>
    <w:rsid w:val="00177293"/>
    <w:rsid w:val="0017743B"/>
    <w:rsid w:val="0017747E"/>
    <w:rsid w:val="0017757C"/>
    <w:rsid w:val="001775D4"/>
    <w:rsid w:val="00177611"/>
    <w:rsid w:val="0017798C"/>
    <w:rsid w:val="00177A8D"/>
    <w:rsid w:val="00177D66"/>
    <w:rsid w:val="00180018"/>
    <w:rsid w:val="00180056"/>
    <w:rsid w:val="001804A0"/>
    <w:rsid w:val="001808BC"/>
    <w:rsid w:val="001809C6"/>
    <w:rsid w:val="00180BE6"/>
    <w:rsid w:val="001811F4"/>
    <w:rsid w:val="001813A4"/>
    <w:rsid w:val="0018151D"/>
    <w:rsid w:val="00181941"/>
    <w:rsid w:val="00181A54"/>
    <w:rsid w:val="00181A6C"/>
    <w:rsid w:val="00182014"/>
    <w:rsid w:val="00182053"/>
    <w:rsid w:val="00182380"/>
    <w:rsid w:val="001823F3"/>
    <w:rsid w:val="001827EE"/>
    <w:rsid w:val="00182830"/>
    <w:rsid w:val="00182945"/>
    <w:rsid w:val="00182B2F"/>
    <w:rsid w:val="00183008"/>
    <w:rsid w:val="00183209"/>
    <w:rsid w:val="00183324"/>
    <w:rsid w:val="001835A9"/>
    <w:rsid w:val="00183E0A"/>
    <w:rsid w:val="0018401B"/>
    <w:rsid w:val="001847BF"/>
    <w:rsid w:val="0018484F"/>
    <w:rsid w:val="00184908"/>
    <w:rsid w:val="001849BA"/>
    <w:rsid w:val="00184AE8"/>
    <w:rsid w:val="00184D2A"/>
    <w:rsid w:val="00184DF0"/>
    <w:rsid w:val="00184E29"/>
    <w:rsid w:val="00184FFB"/>
    <w:rsid w:val="001850CB"/>
    <w:rsid w:val="00185327"/>
    <w:rsid w:val="00185758"/>
    <w:rsid w:val="00185786"/>
    <w:rsid w:val="00185889"/>
    <w:rsid w:val="00185AD3"/>
    <w:rsid w:val="00185D86"/>
    <w:rsid w:val="0018610A"/>
    <w:rsid w:val="0018657D"/>
    <w:rsid w:val="00186798"/>
    <w:rsid w:val="001868A2"/>
    <w:rsid w:val="00186968"/>
    <w:rsid w:val="00186ABB"/>
    <w:rsid w:val="001871D8"/>
    <w:rsid w:val="00187489"/>
    <w:rsid w:val="0018781E"/>
    <w:rsid w:val="00190082"/>
    <w:rsid w:val="001901E3"/>
    <w:rsid w:val="00190B01"/>
    <w:rsid w:val="00190C2A"/>
    <w:rsid w:val="00191087"/>
    <w:rsid w:val="00191811"/>
    <w:rsid w:val="0019191F"/>
    <w:rsid w:val="00191DB5"/>
    <w:rsid w:val="00191E32"/>
    <w:rsid w:val="00192097"/>
    <w:rsid w:val="0019214C"/>
    <w:rsid w:val="00192E19"/>
    <w:rsid w:val="0019310C"/>
    <w:rsid w:val="0019320A"/>
    <w:rsid w:val="001933A5"/>
    <w:rsid w:val="00193657"/>
    <w:rsid w:val="00193A02"/>
    <w:rsid w:val="00193B82"/>
    <w:rsid w:val="0019431D"/>
    <w:rsid w:val="001943AE"/>
    <w:rsid w:val="00194518"/>
    <w:rsid w:val="001945DD"/>
    <w:rsid w:val="00194B6C"/>
    <w:rsid w:val="00194F4C"/>
    <w:rsid w:val="001956EA"/>
    <w:rsid w:val="001957C8"/>
    <w:rsid w:val="0019593E"/>
    <w:rsid w:val="00195B49"/>
    <w:rsid w:val="00195BA8"/>
    <w:rsid w:val="00195C07"/>
    <w:rsid w:val="00195C45"/>
    <w:rsid w:val="00195D4A"/>
    <w:rsid w:val="00195D89"/>
    <w:rsid w:val="00196121"/>
    <w:rsid w:val="0019637E"/>
    <w:rsid w:val="00196820"/>
    <w:rsid w:val="00196F3F"/>
    <w:rsid w:val="00197075"/>
    <w:rsid w:val="00197612"/>
    <w:rsid w:val="00197BFD"/>
    <w:rsid w:val="00197D25"/>
    <w:rsid w:val="00197ED2"/>
    <w:rsid w:val="001A0306"/>
    <w:rsid w:val="001A0ADA"/>
    <w:rsid w:val="001A0C7A"/>
    <w:rsid w:val="001A1282"/>
    <w:rsid w:val="001A1B92"/>
    <w:rsid w:val="001A1C8F"/>
    <w:rsid w:val="001A1FA1"/>
    <w:rsid w:val="001A20D2"/>
    <w:rsid w:val="001A21EC"/>
    <w:rsid w:val="001A2249"/>
    <w:rsid w:val="001A22B2"/>
    <w:rsid w:val="001A2450"/>
    <w:rsid w:val="001A2601"/>
    <w:rsid w:val="001A276B"/>
    <w:rsid w:val="001A27AE"/>
    <w:rsid w:val="001A2970"/>
    <w:rsid w:val="001A2A4E"/>
    <w:rsid w:val="001A2AE8"/>
    <w:rsid w:val="001A2B02"/>
    <w:rsid w:val="001A2BFD"/>
    <w:rsid w:val="001A2D7C"/>
    <w:rsid w:val="001A2F86"/>
    <w:rsid w:val="001A352E"/>
    <w:rsid w:val="001A3A99"/>
    <w:rsid w:val="001A3E02"/>
    <w:rsid w:val="001A4247"/>
    <w:rsid w:val="001A4B09"/>
    <w:rsid w:val="001A4F80"/>
    <w:rsid w:val="001A558A"/>
    <w:rsid w:val="001A5FE9"/>
    <w:rsid w:val="001A655D"/>
    <w:rsid w:val="001A658A"/>
    <w:rsid w:val="001A66AD"/>
    <w:rsid w:val="001A6986"/>
    <w:rsid w:val="001A6C1A"/>
    <w:rsid w:val="001A6EA9"/>
    <w:rsid w:val="001A6FC3"/>
    <w:rsid w:val="001A7035"/>
    <w:rsid w:val="001A727B"/>
    <w:rsid w:val="001A781B"/>
    <w:rsid w:val="001A78A0"/>
    <w:rsid w:val="001A792F"/>
    <w:rsid w:val="001A7BE7"/>
    <w:rsid w:val="001A7C63"/>
    <w:rsid w:val="001B00E0"/>
    <w:rsid w:val="001B0144"/>
    <w:rsid w:val="001B01C0"/>
    <w:rsid w:val="001B04FD"/>
    <w:rsid w:val="001B05D4"/>
    <w:rsid w:val="001B062B"/>
    <w:rsid w:val="001B0AA8"/>
    <w:rsid w:val="001B0B31"/>
    <w:rsid w:val="001B0CA3"/>
    <w:rsid w:val="001B10ED"/>
    <w:rsid w:val="001B11A5"/>
    <w:rsid w:val="001B125D"/>
    <w:rsid w:val="001B13CE"/>
    <w:rsid w:val="001B158A"/>
    <w:rsid w:val="001B1AB7"/>
    <w:rsid w:val="001B1B94"/>
    <w:rsid w:val="001B1C66"/>
    <w:rsid w:val="001B24E9"/>
    <w:rsid w:val="001B250E"/>
    <w:rsid w:val="001B2552"/>
    <w:rsid w:val="001B2AD6"/>
    <w:rsid w:val="001B302F"/>
    <w:rsid w:val="001B30CC"/>
    <w:rsid w:val="001B3174"/>
    <w:rsid w:val="001B3539"/>
    <w:rsid w:val="001B366C"/>
    <w:rsid w:val="001B3871"/>
    <w:rsid w:val="001B3E22"/>
    <w:rsid w:val="001B4260"/>
    <w:rsid w:val="001B4357"/>
    <w:rsid w:val="001B4646"/>
    <w:rsid w:val="001B4B55"/>
    <w:rsid w:val="001B4CFF"/>
    <w:rsid w:val="001B4D09"/>
    <w:rsid w:val="001B504A"/>
    <w:rsid w:val="001B5661"/>
    <w:rsid w:val="001B5BDC"/>
    <w:rsid w:val="001B5D5B"/>
    <w:rsid w:val="001B603F"/>
    <w:rsid w:val="001B6415"/>
    <w:rsid w:val="001B6527"/>
    <w:rsid w:val="001B6649"/>
    <w:rsid w:val="001B68AD"/>
    <w:rsid w:val="001B6A9C"/>
    <w:rsid w:val="001B6DD2"/>
    <w:rsid w:val="001B6EA9"/>
    <w:rsid w:val="001B739D"/>
    <w:rsid w:val="001B7402"/>
    <w:rsid w:val="001B7609"/>
    <w:rsid w:val="001B77EC"/>
    <w:rsid w:val="001B7D2B"/>
    <w:rsid w:val="001C01B6"/>
    <w:rsid w:val="001C0277"/>
    <w:rsid w:val="001C04B7"/>
    <w:rsid w:val="001C0806"/>
    <w:rsid w:val="001C0A99"/>
    <w:rsid w:val="001C0AD5"/>
    <w:rsid w:val="001C0C72"/>
    <w:rsid w:val="001C0F47"/>
    <w:rsid w:val="001C10F5"/>
    <w:rsid w:val="001C116D"/>
    <w:rsid w:val="001C1288"/>
    <w:rsid w:val="001C1389"/>
    <w:rsid w:val="001C17FD"/>
    <w:rsid w:val="001C1AAB"/>
    <w:rsid w:val="001C208B"/>
    <w:rsid w:val="001C210B"/>
    <w:rsid w:val="001C285C"/>
    <w:rsid w:val="001C2AA6"/>
    <w:rsid w:val="001C2C70"/>
    <w:rsid w:val="001C2D70"/>
    <w:rsid w:val="001C3767"/>
    <w:rsid w:val="001C38DC"/>
    <w:rsid w:val="001C3AE6"/>
    <w:rsid w:val="001C3B56"/>
    <w:rsid w:val="001C3F47"/>
    <w:rsid w:val="001C4228"/>
    <w:rsid w:val="001C438C"/>
    <w:rsid w:val="001C47B8"/>
    <w:rsid w:val="001C4BB9"/>
    <w:rsid w:val="001C4DA7"/>
    <w:rsid w:val="001C50BB"/>
    <w:rsid w:val="001C5575"/>
    <w:rsid w:val="001C5839"/>
    <w:rsid w:val="001C5968"/>
    <w:rsid w:val="001C5AA3"/>
    <w:rsid w:val="001C5BF9"/>
    <w:rsid w:val="001C5EF7"/>
    <w:rsid w:val="001C6188"/>
    <w:rsid w:val="001C64AA"/>
    <w:rsid w:val="001C6851"/>
    <w:rsid w:val="001C701C"/>
    <w:rsid w:val="001C702B"/>
    <w:rsid w:val="001C72FB"/>
    <w:rsid w:val="001C737B"/>
    <w:rsid w:val="001C7683"/>
    <w:rsid w:val="001C7A03"/>
    <w:rsid w:val="001C7B13"/>
    <w:rsid w:val="001C7B28"/>
    <w:rsid w:val="001C7D9D"/>
    <w:rsid w:val="001C7E69"/>
    <w:rsid w:val="001C7F05"/>
    <w:rsid w:val="001D0204"/>
    <w:rsid w:val="001D0211"/>
    <w:rsid w:val="001D05A2"/>
    <w:rsid w:val="001D06E9"/>
    <w:rsid w:val="001D07BD"/>
    <w:rsid w:val="001D08FA"/>
    <w:rsid w:val="001D0A92"/>
    <w:rsid w:val="001D0BDB"/>
    <w:rsid w:val="001D0EA9"/>
    <w:rsid w:val="001D0EEB"/>
    <w:rsid w:val="001D13CB"/>
    <w:rsid w:val="001D1427"/>
    <w:rsid w:val="001D169D"/>
    <w:rsid w:val="001D1AB6"/>
    <w:rsid w:val="001D1E0A"/>
    <w:rsid w:val="001D239D"/>
    <w:rsid w:val="001D2617"/>
    <w:rsid w:val="001D283B"/>
    <w:rsid w:val="001D2D44"/>
    <w:rsid w:val="001D2DDC"/>
    <w:rsid w:val="001D308D"/>
    <w:rsid w:val="001D327B"/>
    <w:rsid w:val="001D32E5"/>
    <w:rsid w:val="001D33BF"/>
    <w:rsid w:val="001D39DD"/>
    <w:rsid w:val="001D404E"/>
    <w:rsid w:val="001D406F"/>
    <w:rsid w:val="001D42AE"/>
    <w:rsid w:val="001D4B86"/>
    <w:rsid w:val="001D4DAE"/>
    <w:rsid w:val="001D4E76"/>
    <w:rsid w:val="001D5708"/>
    <w:rsid w:val="001D59BE"/>
    <w:rsid w:val="001D59DB"/>
    <w:rsid w:val="001D5A14"/>
    <w:rsid w:val="001D5BD8"/>
    <w:rsid w:val="001D5CE7"/>
    <w:rsid w:val="001D5D4C"/>
    <w:rsid w:val="001D5E31"/>
    <w:rsid w:val="001D5F0F"/>
    <w:rsid w:val="001D62FE"/>
    <w:rsid w:val="001D6370"/>
    <w:rsid w:val="001D63BF"/>
    <w:rsid w:val="001D64D7"/>
    <w:rsid w:val="001D66A3"/>
    <w:rsid w:val="001D6738"/>
    <w:rsid w:val="001D68C0"/>
    <w:rsid w:val="001D6945"/>
    <w:rsid w:val="001D6F72"/>
    <w:rsid w:val="001D7041"/>
    <w:rsid w:val="001D710F"/>
    <w:rsid w:val="001D726F"/>
    <w:rsid w:val="001D7568"/>
    <w:rsid w:val="001D7824"/>
    <w:rsid w:val="001D7873"/>
    <w:rsid w:val="001D7B40"/>
    <w:rsid w:val="001D7BC1"/>
    <w:rsid w:val="001D7DBF"/>
    <w:rsid w:val="001E0087"/>
    <w:rsid w:val="001E05ED"/>
    <w:rsid w:val="001E0606"/>
    <w:rsid w:val="001E066E"/>
    <w:rsid w:val="001E0ABB"/>
    <w:rsid w:val="001E1052"/>
    <w:rsid w:val="001E1452"/>
    <w:rsid w:val="001E14A0"/>
    <w:rsid w:val="001E17A0"/>
    <w:rsid w:val="001E1A4C"/>
    <w:rsid w:val="001E1E1A"/>
    <w:rsid w:val="001E20A3"/>
    <w:rsid w:val="001E2194"/>
    <w:rsid w:val="001E2233"/>
    <w:rsid w:val="001E243E"/>
    <w:rsid w:val="001E2C92"/>
    <w:rsid w:val="001E2FB3"/>
    <w:rsid w:val="001E313E"/>
    <w:rsid w:val="001E329D"/>
    <w:rsid w:val="001E35C3"/>
    <w:rsid w:val="001E3BED"/>
    <w:rsid w:val="001E3E70"/>
    <w:rsid w:val="001E3F41"/>
    <w:rsid w:val="001E3FCC"/>
    <w:rsid w:val="001E4354"/>
    <w:rsid w:val="001E4399"/>
    <w:rsid w:val="001E45C5"/>
    <w:rsid w:val="001E47D4"/>
    <w:rsid w:val="001E4855"/>
    <w:rsid w:val="001E4930"/>
    <w:rsid w:val="001E4E8A"/>
    <w:rsid w:val="001E505A"/>
    <w:rsid w:val="001E5196"/>
    <w:rsid w:val="001E575D"/>
    <w:rsid w:val="001E5BEC"/>
    <w:rsid w:val="001E605D"/>
    <w:rsid w:val="001E60DD"/>
    <w:rsid w:val="001E6197"/>
    <w:rsid w:val="001E63FA"/>
    <w:rsid w:val="001E654D"/>
    <w:rsid w:val="001E657A"/>
    <w:rsid w:val="001E6BD5"/>
    <w:rsid w:val="001E6FB4"/>
    <w:rsid w:val="001E7468"/>
    <w:rsid w:val="001E77F0"/>
    <w:rsid w:val="001F017E"/>
    <w:rsid w:val="001F0192"/>
    <w:rsid w:val="001F0536"/>
    <w:rsid w:val="001F0569"/>
    <w:rsid w:val="001F0621"/>
    <w:rsid w:val="001F0D04"/>
    <w:rsid w:val="001F11F4"/>
    <w:rsid w:val="001F1216"/>
    <w:rsid w:val="001F1315"/>
    <w:rsid w:val="001F179F"/>
    <w:rsid w:val="001F1902"/>
    <w:rsid w:val="001F1A54"/>
    <w:rsid w:val="001F1FC9"/>
    <w:rsid w:val="001F2233"/>
    <w:rsid w:val="001F2770"/>
    <w:rsid w:val="001F28ED"/>
    <w:rsid w:val="001F2B9B"/>
    <w:rsid w:val="001F2C9D"/>
    <w:rsid w:val="001F2F79"/>
    <w:rsid w:val="001F3075"/>
    <w:rsid w:val="001F3248"/>
    <w:rsid w:val="001F32C9"/>
    <w:rsid w:val="001F3722"/>
    <w:rsid w:val="001F389C"/>
    <w:rsid w:val="001F3965"/>
    <w:rsid w:val="001F3AC7"/>
    <w:rsid w:val="001F3B23"/>
    <w:rsid w:val="001F3C74"/>
    <w:rsid w:val="001F3E45"/>
    <w:rsid w:val="001F3E7D"/>
    <w:rsid w:val="001F4246"/>
    <w:rsid w:val="001F43B1"/>
    <w:rsid w:val="001F464E"/>
    <w:rsid w:val="001F4854"/>
    <w:rsid w:val="001F4AD2"/>
    <w:rsid w:val="001F4D5B"/>
    <w:rsid w:val="001F4ED3"/>
    <w:rsid w:val="001F5199"/>
    <w:rsid w:val="001F5B26"/>
    <w:rsid w:val="001F5BC5"/>
    <w:rsid w:val="001F5D81"/>
    <w:rsid w:val="001F6015"/>
    <w:rsid w:val="001F6077"/>
    <w:rsid w:val="001F6554"/>
    <w:rsid w:val="001F6845"/>
    <w:rsid w:val="001F6B50"/>
    <w:rsid w:val="001F6D1A"/>
    <w:rsid w:val="001F6E3A"/>
    <w:rsid w:val="001F6E73"/>
    <w:rsid w:val="001F7098"/>
    <w:rsid w:val="001F71DD"/>
    <w:rsid w:val="001F738E"/>
    <w:rsid w:val="001F73AB"/>
    <w:rsid w:val="001F74A0"/>
    <w:rsid w:val="001F757E"/>
    <w:rsid w:val="001F7855"/>
    <w:rsid w:val="001F7A6B"/>
    <w:rsid w:val="001F7B0C"/>
    <w:rsid w:val="001F7D69"/>
    <w:rsid w:val="001F7EC1"/>
    <w:rsid w:val="001F7F45"/>
    <w:rsid w:val="0020021F"/>
    <w:rsid w:val="00200512"/>
    <w:rsid w:val="0020076A"/>
    <w:rsid w:val="00200947"/>
    <w:rsid w:val="00200F2E"/>
    <w:rsid w:val="00200F87"/>
    <w:rsid w:val="0020101B"/>
    <w:rsid w:val="00201044"/>
    <w:rsid w:val="002010A8"/>
    <w:rsid w:val="00201120"/>
    <w:rsid w:val="00201375"/>
    <w:rsid w:val="002014A3"/>
    <w:rsid w:val="002018B0"/>
    <w:rsid w:val="00201C18"/>
    <w:rsid w:val="00201C5F"/>
    <w:rsid w:val="00201D98"/>
    <w:rsid w:val="0020207C"/>
    <w:rsid w:val="00202085"/>
    <w:rsid w:val="002020DD"/>
    <w:rsid w:val="00202574"/>
    <w:rsid w:val="00202617"/>
    <w:rsid w:val="0020271D"/>
    <w:rsid w:val="00202A83"/>
    <w:rsid w:val="00202C88"/>
    <w:rsid w:val="0020317D"/>
    <w:rsid w:val="002031A8"/>
    <w:rsid w:val="002032DE"/>
    <w:rsid w:val="002036A5"/>
    <w:rsid w:val="002038C1"/>
    <w:rsid w:val="002039A2"/>
    <w:rsid w:val="00203B54"/>
    <w:rsid w:val="00203C26"/>
    <w:rsid w:val="00203F5A"/>
    <w:rsid w:val="002041E1"/>
    <w:rsid w:val="00204251"/>
    <w:rsid w:val="00204462"/>
    <w:rsid w:val="002044C8"/>
    <w:rsid w:val="00204636"/>
    <w:rsid w:val="0020464A"/>
    <w:rsid w:val="002049B7"/>
    <w:rsid w:val="00204B8C"/>
    <w:rsid w:val="00204C0F"/>
    <w:rsid w:val="00204EA8"/>
    <w:rsid w:val="00204EDC"/>
    <w:rsid w:val="00204F16"/>
    <w:rsid w:val="00205038"/>
    <w:rsid w:val="002053BD"/>
    <w:rsid w:val="0020554C"/>
    <w:rsid w:val="002058BA"/>
    <w:rsid w:val="00205BBE"/>
    <w:rsid w:val="00205BCB"/>
    <w:rsid w:val="00205EE6"/>
    <w:rsid w:val="00206542"/>
    <w:rsid w:val="00206606"/>
    <w:rsid w:val="0020677B"/>
    <w:rsid w:val="00206F46"/>
    <w:rsid w:val="00206FE2"/>
    <w:rsid w:val="0020702E"/>
    <w:rsid w:val="00207044"/>
    <w:rsid w:val="00207060"/>
    <w:rsid w:val="002070EC"/>
    <w:rsid w:val="00207139"/>
    <w:rsid w:val="0020717F"/>
    <w:rsid w:val="00207A7B"/>
    <w:rsid w:val="00207E8F"/>
    <w:rsid w:val="002100A0"/>
    <w:rsid w:val="002101BF"/>
    <w:rsid w:val="00210670"/>
    <w:rsid w:val="00210931"/>
    <w:rsid w:val="002109A6"/>
    <w:rsid w:val="00210D06"/>
    <w:rsid w:val="00211041"/>
    <w:rsid w:val="002112D9"/>
    <w:rsid w:val="0021130F"/>
    <w:rsid w:val="00211436"/>
    <w:rsid w:val="0021165C"/>
    <w:rsid w:val="002116C5"/>
    <w:rsid w:val="00211763"/>
    <w:rsid w:val="002117BF"/>
    <w:rsid w:val="002118E5"/>
    <w:rsid w:val="00211C51"/>
    <w:rsid w:val="00211E42"/>
    <w:rsid w:val="00211F5A"/>
    <w:rsid w:val="0021247A"/>
    <w:rsid w:val="00212587"/>
    <w:rsid w:val="00212CC2"/>
    <w:rsid w:val="0021303A"/>
    <w:rsid w:val="0021310D"/>
    <w:rsid w:val="00213D85"/>
    <w:rsid w:val="00213E50"/>
    <w:rsid w:val="002143FA"/>
    <w:rsid w:val="0021463B"/>
    <w:rsid w:val="002149B0"/>
    <w:rsid w:val="00214B02"/>
    <w:rsid w:val="00214EE3"/>
    <w:rsid w:val="00214F78"/>
    <w:rsid w:val="00215206"/>
    <w:rsid w:val="0021565F"/>
    <w:rsid w:val="00215A33"/>
    <w:rsid w:val="00215B2D"/>
    <w:rsid w:val="00215DB0"/>
    <w:rsid w:val="00215FB4"/>
    <w:rsid w:val="002161B7"/>
    <w:rsid w:val="00216693"/>
    <w:rsid w:val="002169FB"/>
    <w:rsid w:val="00217203"/>
    <w:rsid w:val="00217422"/>
    <w:rsid w:val="002175C0"/>
    <w:rsid w:val="002176CA"/>
    <w:rsid w:val="00217D74"/>
    <w:rsid w:val="00220224"/>
    <w:rsid w:val="00220A10"/>
    <w:rsid w:val="00220A96"/>
    <w:rsid w:val="00220EA5"/>
    <w:rsid w:val="00220FA6"/>
    <w:rsid w:val="00221132"/>
    <w:rsid w:val="00221344"/>
    <w:rsid w:val="002217A2"/>
    <w:rsid w:val="00221B5D"/>
    <w:rsid w:val="00221B7C"/>
    <w:rsid w:val="00221C93"/>
    <w:rsid w:val="00221E22"/>
    <w:rsid w:val="00221E4B"/>
    <w:rsid w:val="00222048"/>
    <w:rsid w:val="00222363"/>
    <w:rsid w:val="002223A8"/>
    <w:rsid w:val="0022266F"/>
    <w:rsid w:val="00222746"/>
    <w:rsid w:val="002229BF"/>
    <w:rsid w:val="00222C28"/>
    <w:rsid w:val="00222CA6"/>
    <w:rsid w:val="00222CE1"/>
    <w:rsid w:val="0022311F"/>
    <w:rsid w:val="00223134"/>
    <w:rsid w:val="002236F9"/>
    <w:rsid w:val="00223C35"/>
    <w:rsid w:val="0022423E"/>
    <w:rsid w:val="002245E8"/>
    <w:rsid w:val="002245F5"/>
    <w:rsid w:val="00224652"/>
    <w:rsid w:val="00224777"/>
    <w:rsid w:val="002248A8"/>
    <w:rsid w:val="0022496C"/>
    <w:rsid w:val="00224B1F"/>
    <w:rsid w:val="00224CCA"/>
    <w:rsid w:val="00224EC2"/>
    <w:rsid w:val="00224FD3"/>
    <w:rsid w:val="00225396"/>
    <w:rsid w:val="00225637"/>
    <w:rsid w:val="00225BF7"/>
    <w:rsid w:val="00225EBE"/>
    <w:rsid w:val="00226504"/>
    <w:rsid w:val="002266EF"/>
    <w:rsid w:val="00226CAE"/>
    <w:rsid w:val="00226CE1"/>
    <w:rsid w:val="00227321"/>
    <w:rsid w:val="00227332"/>
    <w:rsid w:val="00227A20"/>
    <w:rsid w:val="00227A9E"/>
    <w:rsid w:val="00227CD7"/>
    <w:rsid w:val="0023041C"/>
    <w:rsid w:val="002309E6"/>
    <w:rsid w:val="00230C54"/>
    <w:rsid w:val="00230E14"/>
    <w:rsid w:val="00230E9B"/>
    <w:rsid w:val="00231038"/>
    <w:rsid w:val="00231301"/>
    <w:rsid w:val="00231392"/>
    <w:rsid w:val="002313FD"/>
    <w:rsid w:val="0023189A"/>
    <w:rsid w:val="00231B1A"/>
    <w:rsid w:val="00231B22"/>
    <w:rsid w:val="0023256D"/>
    <w:rsid w:val="002327B3"/>
    <w:rsid w:val="00232800"/>
    <w:rsid w:val="0023294E"/>
    <w:rsid w:val="0023295A"/>
    <w:rsid w:val="00232988"/>
    <w:rsid w:val="002329A7"/>
    <w:rsid w:val="00232A53"/>
    <w:rsid w:val="00232D8E"/>
    <w:rsid w:val="0023308F"/>
    <w:rsid w:val="002334C4"/>
    <w:rsid w:val="002337A6"/>
    <w:rsid w:val="00233867"/>
    <w:rsid w:val="00233C31"/>
    <w:rsid w:val="00234101"/>
    <w:rsid w:val="002345AF"/>
    <w:rsid w:val="002346BF"/>
    <w:rsid w:val="00234A11"/>
    <w:rsid w:val="00234DF0"/>
    <w:rsid w:val="0023533F"/>
    <w:rsid w:val="002355DD"/>
    <w:rsid w:val="00235626"/>
    <w:rsid w:val="0023582B"/>
    <w:rsid w:val="00235A74"/>
    <w:rsid w:val="00235BCC"/>
    <w:rsid w:val="0023605D"/>
    <w:rsid w:val="002362E1"/>
    <w:rsid w:val="0023632B"/>
    <w:rsid w:val="0023637A"/>
    <w:rsid w:val="002367E8"/>
    <w:rsid w:val="00236832"/>
    <w:rsid w:val="00236864"/>
    <w:rsid w:val="00236963"/>
    <w:rsid w:val="00236A69"/>
    <w:rsid w:val="00236B86"/>
    <w:rsid w:val="00237021"/>
    <w:rsid w:val="002371C3"/>
    <w:rsid w:val="00237318"/>
    <w:rsid w:val="00237750"/>
    <w:rsid w:val="0023793E"/>
    <w:rsid w:val="00237B3E"/>
    <w:rsid w:val="00237B59"/>
    <w:rsid w:val="00237B64"/>
    <w:rsid w:val="00237EC1"/>
    <w:rsid w:val="00240031"/>
    <w:rsid w:val="00240087"/>
    <w:rsid w:val="0024053B"/>
    <w:rsid w:val="00240564"/>
    <w:rsid w:val="002405D8"/>
    <w:rsid w:val="00240884"/>
    <w:rsid w:val="00240C04"/>
    <w:rsid w:val="00240E1A"/>
    <w:rsid w:val="0024103D"/>
    <w:rsid w:val="00241137"/>
    <w:rsid w:val="002417CC"/>
    <w:rsid w:val="00241806"/>
    <w:rsid w:val="0024191E"/>
    <w:rsid w:val="002419AD"/>
    <w:rsid w:val="00241E77"/>
    <w:rsid w:val="00242269"/>
    <w:rsid w:val="0024235C"/>
    <w:rsid w:val="0024250C"/>
    <w:rsid w:val="0024256A"/>
    <w:rsid w:val="00242616"/>
    <w:rsid w:val="002426DB"/>
    <w:rsid w:val="00242B46"/>
    <w:rsid w:val="00242BF4"/>
    <w:rsid w:val="00242CC4"/>
    <w:rsid w:val="00243285"/>
    <w:rsid w:val="0024355E"/>
    <w:rsid w:val="00243619"/>
    <w:rsid w:val="0024382E"/>
    <w:rsid w:val="00243993"/>
    <w:rsid w:val="002440A1"/>
    <w:rsid w:val="002445BD"/>
    <w:rsid w:val="002447A3"/>
    <w:rsid w:val="002448ED"/>
    <w:rsid w:val="00244EFA"/>
    <w:rsid w:val="00244F98"/>
    <w:rsid w:val="002456B0"/>
    <w:rsid w:val="0024576E"/>
    <w:rsid w:val="00245AD6"/>
    <w:rsid w:val="00245E18"/>
    <w:rsid w:val="00246218"/>
    <w:rsid w:val="0024630C"/>
    <w:rsid w:val="00246A80"/>
    <w:rsid w:val="00246B08"/>
    <w:rsid w:val="00247244"/>
    <w:rsid w:val="0024770C"/>
    <w:rsid w:val="00247A93"/>
    <w:rsid w:val="00247B0C"/>
    <w:rsid w:val="0025007D"/>
    <w:rsid w:val="0025014A"/>
    <w:rsid w:val="002501CA"/>
    <w:rsid w:val="00250A52"/>
    <w:rsid w:val="00251321"/>
    <w:rsid w:val="00251A55"/>
    <w:rsid w:val="00251B46"/>
    <w:rsid w:val="00251C5D"/>
    <w:rsid w:val="00251D73"/>
    <w:rsid w:val="00251F9F"/>
    <w:rsid w:val="00251FF1"/>
    <w:rsid w:val="002524FD"/>
    <w:rsid w:val="0025263F"/>
    <w:rsid w:val="002526F2"/>
    <w:rsid w:val="00252700"/>
    <w:rsid w:val="00252C14"/>
    <w:rsid w:val="00252E65"/>
    <w:rsid w:val="00252F38"/>
    <w:rsid w:val="002532B5"/>
    <w:rsid w:val="00253B18"/>
    <w:rsid w:val="00253C55"/>
    <w:rsid w:val="00253F6B"/>
    <w:rsid w:val="00253FBD"/>
    <w:rsid w:val="00254093"/>
    <w:rsid w:val="002540D0"/>
    <w:rsid w:val="00254102"/>
    <w:rsid w:val="00254205"/>
    <w:rsid w:val="0025439E"/>
    <w:rsid w:val="00254A03"/>
    <w:rsid w:val="00254B11"/>
    <w:rsid w:val="00255018"/>
    <w:rsid w:val="00255057"/>
    <w:rsid w:val="00255344"/>
    <w:rsid w:val="0025560D"/>
    <w:rsid w:val="002559E2"/>
    <w:rsid w:val="00255E64"/>
    <w:rsid w:val="00255E97"/>
    <w:rsid w:val="00255F0D"/>
    <w:rsid w:val="00255F84"/>
    <w:rsid w:val="002564F3"/>
    <w:rsid w:val="002565C6"/>
    <w:rsid w:val="0025669B"/>
    <w:rsid w:val="002566F9"/>
    <w:rsid w:val="00256880"/>
    <w:rsid w:val="002569BB"/>
    <w:rsid w:val="002575EC"/>
    <w:rsid w:val="0025781F"/>
    <w:rsid w:val="0025787C"/>
    <w:rsid w:val="00257937"/>
    <w:rsid w:val="00257B25"/>
    <w:rsid w:val="00257BC6"/>
    <w:rsid w:val="00260125"/>
    <w:rsid w:val="00260169"/>
    <w:rsid w:val="002602AF"/>
    <w:rsid w:val="002604F7"/>
    <w:rsid w:val="00260AC2"/>
    <w:rsid w:val="00260D69"/>
    <w:rsid w:val="00260F1E"/>
    <w:rsid w:val="00261032"/>
    <w:rsid w:val="00261559"/>
    <w:rsid w:val="0026191F"/>
    <w:rsid w:val="00261CF7"/>
    <w:rsid w:val="002624B9"/>
    <w:rsid w:val="0026259E"/>
    <w:rsid w:val="00262D16"/>
    <w:rsid w:val="0026302D"/>
    <w:rsid w:val="002630C8"/>
    <w:rsid w:val="0026312D"/>
    <w:rsid w:val="00263492"/>
    <w:rsid w:val="00263585"/>
    <w:rsid w:val="00263745"/>
    <w:rsid w:val="002639D1"/>
    <w:rsid w:val="00263A88"/>
    <w:rsid w:val="00263C75"/>
    <w:rsid w:val="00263F45"/>
    <w:rsid w:val="00263F70"/>
    <w:rsid w:val="002646BA"/>
    <w:rsid w:val="002646D6"/>
    <w:rsid w:val="00264CB9"/>
    <w:rsid w:val="00264D4F"/>
    <w:rsid w:val="00264E0D"/>
    <w:rsid w:val="00264F15"/>
    <w:rsid w:val="00264F70"/>
    <w:rsid w:val="00265313"/>
    <w:rsid w:val="00265567"/>
    <w:rsid w:val="00265661"/>
    <w:rsid w:val="0026574D"/>
    <w:rsid w:val="00265B31"/>
    <w:rsid w:val="002660ED"/>
    <w:rsid w:val="0026612F"/>
    <w:rsid w:val="00266226"/>
    <w:rsid w:val="00266A04"/>
    <w:rsid w:val="00266B9A"/>
    <w:rsid w:val="00266BA8"/>
    <w:rsid w:val="00266CA3"/>
    <w:rsid w:val="0026716E"/>
    <w:rsid w:val="00267286"/>
    <w:rsid w:val="00267544"/>
    <w:rsid w:val="00267957"/>
    <w:rsid w:val="00267A49"/>
    <w:rsid w:val="00267A9A"/>
    <w:rsid w:val="00267D6C"/>
    <w:rsid w:val="00267E76"/>
    <w:rsid w:val="00267F8C"/>
    <w:rsid w:val="002700A1"/>
    <w:rsid w:val="00270295"/>
    <w:rsid w:val="00270487"/>
    <w:rsid w:val="00270D9B"/>
    <w:rsid w:val="00270F53"/>
    <w:rsid w:val="00271009"/>
    <w:rsid w:val="00271015"/>
    <w:rsid w:val="002710C5"/>
    <w:rsid w:val="00271439"/>
    <w:rsid w:val="0027205C"/>
    <w:rsid w:val="002721AA"/>
    <w:rsid w:val="00272295"/>
    <w:rsid w:val="002722DB"/>
    <w:rsid w:val="002728EC"/>
    <w:rsid w:val="002729D6"/>
    <w:rsid w:val="00272A21"/>
    <w:rsid w:val="0027354D"/>
    <w:rsid w:val="00273A7A"/>
    <w:rsid w:val="00273E4D"/>
    <w:rsid w:val="00273FC8"/>
    <w:rsid w:val="002740D7"/>
    <w:rsid w:val="0027460F"/>
    <w:rsid w:val="002749C0"/>
    <w:rsid w:val="002749E5"/>
    <w:rsid w:val="00274CEA"/>
    <w:rsid w:val="00274D13"/>
    <w:rsid w:val="00275118"/>
    <w:rsid w:val="002753EC"/>
    <w:rsid w:val="002753F2"/>
    <w:rsid w:val="002754B0"/>
    <w:rsid w:val="00275501"/>
    <w:rsid w:val="00275A34"/>
    <w:rsid w:val="00276046"/>
    <w:rsid w:val="00276222"/>
    <w:rsid w:val="002762A2"/>
    <w:rsid w:val="002762DE"/>
    <w:rsid w:val="002765D8"/>
    <w:rsid w:val="0027672F"/>
    <w:rsid w:val="0027696D"/>
    <w:rsid w:val="00276A98"/>
    <w:rsid w:val="00276BD5"/>
    <w:rsid w:val="00276C48"/>
    <w:rsid w:val="0027769C"/>
    <w:rsid w:val="00277A09"/>
    <w:rsid w:val="00277CEE"/>
    <w:rsid w:val="00277E4E"/>
    <w:rsid w:val="002800E9"/>
    <w:rsid w:val="00280180"/>
    <w:rsid w:val="002812AD"/>
    <w:rsid w:val="00281302"/>
    <w:rsid w:val="0028137D"/>
    <w:rsid w:val="00281A33"/>
    <w:rsid w:val="00281C59"/>
    <w:rsid w:val="00281E5E"/>
    <w:rsid w:val="0028218B"/>
    <w:rsid w:val="0028274D"/>
    <w:rsid w:val="002827AD"/>
    <w:rsid w:val="002829B1"/>
    <w:rsid w:val="00282AD5"/>
    <w:rsid w:val="00283162"/>
    <w:rsid w:val="0028320E"/>
    <w:rsid w:val="0028344F"/>
    <w:rsid w:val="002834C7"/>
    <w:rsid w:val="00283667"/>
    <w:rsid w:val="002838B8"/>
    <w:rsid w:val="002839B1"/>
    <w:rsid w:val="00283A53"/>
    <w:rsid w:val="00283AA2"/>
    <w:rsid w:val="00283D0A"/>
    <w:rsid w:val="00283E45"/>
    <w:rsid w:val="0028416B"/>
    <w:rsid w:val="00284366"/>
    <w:rsid w:val="002843A3"/>
    <w:rsid w:val="00284710"/>
    <w:rsid w:val="00284946"/>
    <w:rsid w:val="00284A21"/>
    <w:rsid w:val="00284A4E"/>
    <w:rsid w:val="00284AA3"/>
    <w:rsid w:val="00285014"/>
    <w:rsid w:val="00285774"/>
    <w:rsid w:val="002858B2"/>
    <w:rsid w:val="00285C8D"/>
    <w:rsid w:val="00285CFB"/>
    <w:rsid w:val="002862C4"/>
    <w:rsid w:val="00286307"/>
    <w:rsid w:val="00286F14"/>
    <w:rsid w:val="00286F27"/>
    <w:rsid w:val="00287007"/>
    <w:rsid w:val="002876D1"/>
    <w:rsid w:val="002876F1"/>
    <w:rsid w:val="00287AA9"/>
    <w:rsid w:val="0029009F"/>
    <w:rsid w:val="002902B3"/>
    <w:rsid w:val="0029041E"/>
    <w:rsid w:val="00290A0B"/>
    <w:rsid w:val="00290A60"/>
    <w:rsid w:val="00290A84"/>
    <w:rsid w:val="00290C4D"/>
    <w:rsid w:val="00290DA4"/>
    <w:rsid w:val="00290E79"/>
    <w:rsid w:val="002914E7"/>
    <w:rsid w:val="002917E1"/>
    <w:rsid w:val="00291875"/>
    <w:rsid w:val="002919D1"/>
    <w:rsid w:val="00291DAC"/>
    <w:rsid w:val="0029254C"/>
    <w:rsid w:val="00292678"/>
    <w:rsid w:val="00292ACC"/>
    <w:rsid w:val="00293126"/>
    <w:rsid w:val="00293227"/>
    <w:rsid w:val="00293253"/>
    <w:rsid w:val="00293662"/>
    <w:rsid w:val="00293938"/>
    <w:rsid w:val="00293BEE"/>
    <w:rsid w:val="00293D41"/>
    <w:rsid w:val="00293FA6"/>
    <w:rsid w:val="0029427D"/>
    <w:rsid w:val="0029491B"/>
    <w:rsid w:val="00294B71"/>
    <w:rsid w:val="00294D1D"/>
    <w:rsid w:val="00294F04"/>
    <w:rsid w:val="00294F67"/>
    <w:rsid w:val="00294FE7"/>
    <w:rsid w:val="00295376"/>
    <w:rsid w:val="002955DD"/>
    <w:rsid w:val="002956BC"/>
    <w:rsid w:val="002959FA"/>
    <w:rsid w:val="0029612F"/>
    <w:rsid w:val="0029641D"/>
    <w:rsid w:val="0029676B"/>
    <w:rsid w:val="00296781"/>
    <w:rsid w:val="00296AC5"/>
    <w:rsid w:val="0029703B"/>
    <w:rsid w:val="0029740B"/>
    <w:rsid w:val="002979CE"/>
    <w:rsid w:val="002979F3"/>
    <w:rsid w:val="00297ACB"/>
    <w:rsid w:val="00297B98"/>
    <w:rsid w:val="00297CDF"/>
    <w:rsid w:val="00297D80"/>
    <w:rsid w:val="002A0174"/>
    <w:rsid w:val="002A0289"/>
    <w:rsid w:val="002A0811"/>
    <w:rsid w:val="002A0818"/>
    <w:rsid w:val="002A0860"/>
    <w:rsid w:val="002A0ED5"/>
    <w:rsid w:val="002A0ED6"/>
    <w:rsid w:val="002A130E"/>
    <w:rsid w:val="002A1864"/>
    <w:rsid w:val="002A2E23"/>
    <w:rsid w:val="002A30BE"/>
    <w:rsid w:val="002A31F8"/>
    <w:rsid w:val="002A32EE"/>
    <w:rsid w:val="002A34BC"/>
    <w:rsid w:val="002A353E"/>
    <w:rsid w:val="002A363E"/>
    <w:rsid w:val="002A36A5"/>
    <w:rsid w:val="002A371E"/>
    <w:rsid w:val="002A3944"/>
    <w:rsid w:val="002A42C6"/>
    <w:rsid w:val="002A4320"/>
    <w:rsid w:val="002A485A"/>
    <w:rsid w:val="002A4EB7"/>
    <w:rsid w:val="002A516B"/>
    <w:rsid w:val="002A5572"/>
    <w:rsid w:val="002A57D8"/>
    <w:rsid w:val="002A611F"/>
    <w:rsid w:val="002A645D"/>
    <w:rsid w:val="002A6704"/>
    <w:rsid w:val="002A6CA8"/>
    <w:rsid w:val="002A6EDB"/>
    <w:rsid w:val="002A74C6"/>
    <w:rsid w:val="002A7590"/>
    <w:rsid w:val="002A77FE"/>
    <w:rsid w:val="002A79C7"/>
    <w:rsid w:val="002A7C20"/>
    <w:rsid w:val="002A7D23"/>
    <w:rsid w:val="002A7D71"/>
    <w:rsid w:val="002A7DFF"/>
    <w:rsid w:val="002B00D4"/>
    <w:rsid w:val="002B016B"/>
    <w:rsid w:val="002B03F8"/>
    <w:rsid w:val="002B0542"/>
    <w:rsid w:val="002B0567"/>
    <w:rsid w:val="002B0942"/>
    <w:rsid w:val="002B0975"/>
    <w:rsid w:val="002B0AF2"/>
    <w:rsid w:val="002B0DB3"/>
    <w:rsid w:val="002B0DC6"/>
    <w:rsid w:val="002B0F1C"/>
    <w:rsid w:val="002B0F31"/>
    <w:rsid w:val="002B1009"/>
    <w:rsid w:val="002B11DB"/>
    <w:rsid w:val="002B11F8"/>
    <w:rsid w:val="002B1763"/>
    <w:rsid w:val="002B186D"/>
    <w:rsid w:val="002B1AD8"/>
    <w:rsid w:val="002B1C2F"/>
    <w:rsid w:val="002B1CE1"/>
    <w:rsid w:val="002B1DF5"/>
    <w:rsid w:val="002B21ED"/>
    <w:rsid w:val="002B2273"/>
    <w:rsid w:val="002B239A"/>
    <w:rsid w:val="002B2E96"/>
    <w:rsid w:val="002B301C"/>
    <w:rsid w:val="002B3057"/>
    <w:rsid w:val="002B3090"/>
    <w:rsid w:val="002B31F7"/>
    <w:rsid w:val="002B3245"/>
    <w:rsid w:val="002B33A1"/>
    <w:rsid w:val="002B34B9"/>
    <w:rsid w:val="002B36A8"/>
    <w:rsid w:val="002B372E"/>
    <w:rsid w:val="002B3C38"/>
    <w:rsid w:val="002B3D1E"/>
    <w:rsid w:val="002B3FB7"/>
    <w:rsid w:val="002B4140"/>
    <w:rsid w:val="002B4626"/>
    <w:rsid w:val="002B4681"/>
    <w:rsid w:val="002B4885"/>
    <w:rsid w:val="002B4B0A"/>
    <w:rsid w:val="002B4D57"/>
    <w:rsid w:val="002B4EF8"/>
    <w:rsid w:val="002B561A"/>
    <w:rsid w:val="002B578C"/>
    <w:rsid w:val="002B57CA"/>
    <w:rsid w:val="002B586E"/>
    <w:rsid w:val="002B5877"/>
    <w:rsid w:val="002B5B5A"/>
    <w:rsid w:val="002B5EA0"/>
    <w:rsid w:val="002B6207"/>
    <w:rsid w:val="002B631E"/>
    <w:rsid w:val="002B632E"/>
    <w:rsid w:val="002B63EF"/>
    <w:rsid w:val="002B649F"/>
    <w:rsid w:val="002B6571"/>
    <w:rsid w:val="002B6B0F"/>
    <w:rsid w:val="002B708E"/>
    <w:rsid w:val="002B73C4"/>
    <w:rsid w:val="002B7CA4"/>
    <w:rsid w:val="002B7D03"/>
    <w:rsid w:val="002B7D3F"/>
    <w:rsid w:val="002B7F42"/>
    <w:rsid w:val="002C02F2"/>
    <w:rsid w:val="002C04A0"/>
    <w:rsid w:val="002C054D"/>
    <w:rsid w:val="002C066F"/>
    <w:rsid w:val="002C0972"/>
    <w:rsid w:val="002C0AE8"/>
    <w:rsid w:val="002C106C"/>
    <w:rsid w:val="002C11CF"/>
    <w:rsid w:val="002C127C"/>
    <w:rsid w:val="002C147F"/>
    <w:rsid w:val="002C14B9"/>
    <w:rsid w:val="002C19A6"/>
    <w:rsid w:val="002C1A68"/>
    <w:rsid w:val="002C1C76"/>
    <w:rsid w:val="002C21B6"/>
    <w:rsid w:val="002C238B"/>
    <w:rsid w:val="002C301B"/>
    <w:rsid w:val="002C316E"/>
    <w:rsid w:val="002C34BD"/>
    <w:rsid w:val="002C35B8"/>
    <w:rsid w:val="002C365F"/>
    <w:rsid w:val="002C372A"/>
    <w:rsid w:val="002C38AC"/>
    <w:rsid w:val="002C3E13"/>
    <w:rsid w:val="002C3E9A"/>
    <w:rsid w:val="002C3F41"/>
    <w:rsid w:val="002C400B"/>
    <w:rsid w:val="002C49E8"/>
    <w:rsid w:val="002C4CBF"/>
    <w:rsid w:val="002C4D78"/>
    <w:rsid w:val="002C4EF8"/>
    <w:rsid w:val="002C50AC"/>
    <w:rsid w:val="002C528C"/>
    <w:rsid w:val="002C541F"/>
    <w:rsid w:val="002C58BE"/>
    <w:rsid w:val="002C5F5B"/>
    <w:rsid w:val="002C6044"/>
    <w:rsid w:val="002C64E4"/>
    <w:rsid w:val="002C6917"/>
    <w:rsid w:val="002C70CE"/>
    <w:rsid w:val="002C70EF"/>
    <w:rsid w:val="002C7342"/>
    <w:rsid w:val="002C7434"/>
    <w:rsid w:val="002C7499"/>
    <w:rsid w:val="002C755C"/>
    <w:rsid w:val="002C7602"/>
    <w:rsid w:val="002C777D"/>
    <w:rsid w:val="002C7A7E"/>
    <w:rsid w:val="002C7F08"/>
    <w:rsid w:val="002D0AC4"/>
    <w:rsid w:val="002D0C16"/>
    <w:rsid w:val="002D0C21"/>
    <w:rsid w:val="002D0EC4"/>
    <w:rsid w:val="002D15D6"/>
    <w:rsid w:val="002D178B"/>
    <w:rsid w:val="002D1903"/>
    <w:rsid w:val="002D19FD"/>
    <w:rsid w:val="002D1A2A"/>
    <w:rsid w:val="002D2104"/>
    <w:rsid w:val="002D22B6"/>
    <w:rsid w:val="002D25C4"/>
    <w:rsid w:val="002D2624"/>
    <w:rsid w:val="002D270F"/>
    <w:rsid w:val="002D282F"/>
    <w:rsid w:val="002D2B0D"/>
    <w:rsid w:val="002D2D70"/>
    <w:rsid w:val="002D2E56"/>
    <w:rsid w:val="002D2F9F"/>
    <w:rsid w:val="002D335B"/>
    <w:rsid w:val="002D3A00"/>
    <w:rsid w:val="002D40B1"/>
    <w:rsid w:val="002D43E7"/>
    <w:rsid w:val="002D45CD"/>
    <w:rsid w:val="002D4896"/>
    <w:rsid w:val="002D4B26"/>
    <w:rsid w:val="002D4BC5"/>
    <w:rsid w:val="002D5986"/>
    <w:rsid w:val="002D5991"/>
    <w:rsid w:val="002D59F2"/>
    <w:rsid w:val="002D620C"/>
    <w:rsid w:val="002D652B"/>
    <w:rsid w:val="002D65B7"/>
    <w:rsid w:val="002D6657"/>
    <w:rsid w:val="002D68A2"/>
    <w:rsid w:val="002D69B1"/>
    <w:rsid w:val="002D6E58"/>
    <w:rsid w:val="002D7070"/>
    <w:rsid w:val="002D75F9"/>
    <w:rsid w:val="002D77D5"/>
    <w:rsid w:val="002D7806"/>
    <w:rsid w:val="002D78D1"/>
    <w:rsid w:val="002D795C"/>
    <w:rsid w:val="002D7A5A"/>
    <w:rsid w:val="002D7CC6"/>
    <w:rsid w:val="002D7E76"/>
    <w:rsid w:val="002E0242"/>
    <w:rsid w:val="002E065F"/>
    <w:rsid w:val="002E07AC"/>
    <w:rsid w:val="002E0B41"/>
    <w:rsid w:val="002E0EDD"/>
    <w:rsid w:val="002E0F66"/>
    <w:rsid w:val="002E1284"/>
    <w:rsid w:val="002E1B61"/>
    <w:rsid w:val="002E1C9F"/>
    <w:rsid w:val="002E1D15"/>
    <w:rsid w:val="002E1D5D"/>
    <w:rsid w:val="002E1F43"/>
    <w:rsid w:val="002E20F1"/>
    <w:rsid w:val="002E2506"/>
    <w:rsid w:val="002E252E"/>
    <w:rsid w:val="002E26E5"/>
    <w:rsid w:val="002E2A22"/>
    <w:rsid w:val="002E2AAE"/>
    <w:rsid w:val="002E2B70"/>
    <w:rsid w:val="002E2D74"/>
    <w:rsid w:val="002E2E38"/>
    <w:rsid w:val="002E3069"/>
    <w:rsid w:val="002E3246"/>
    <w:rsid w:val="002E329D"/>
    <w:rsid w:val="002E331E"/>
    <w:rsid w:val="002E3924"/>
    <w:rsid w:val="002E4507"/>
    <w:rsid w:val="002E465F"/>
    <w:rsid w:val="002E47C3"/>
    <w:rsid w:val="002E4BF3"/>
    <w:rsid w:val="002E4D08"/>
    <w:rsid w:val="002E5423"/>
    <w:rsid w:val="002E561B"/>
    <w:rsid w:val="002E5668"/>
    <w:rsid w:val="002E5EEE"/>
    <w:rsid w:val="002E6048"/>
    <w:rsid w:val="002E6194"/>
    <w:rsid w:val="002E6681"/>
    <w:rsid w:val="002E6925"/>
    <w:rsid w:val="002E6AA1"/>
    <w:rsid w:val="002E6B08"/>
    <w:rsid w:val="002E6D82"/>
    <w:rsid w:val="002E6FEF"/>
    <w:rsid w:val="002E7428"/>
    <w:rsid w:val="002E7BB4"/>
    <w:rsid w:val="002F0218"/>
    <w:rsid w:val="002F022A"/>
    <w:rsid w:val="002F0273"/>
    <w:rsid w:val="002F0341"/>
    <w:rsid w:val="002F03FE"/>
    <w:rsid w:val="002F0B23"/>
    <w:rsid w:val="002F1041"/>
    <w:rsid w:val="002F1181"/>
    <w:rsid w:val="002F12EB"/>
    <w:rsid w:val="002F1902"/>
    <w:rsid w:val="002F1FCA"/>
    <w:rsid w:val="002F21FF"/>
    <w:rsid w:val="002F236E"/>
    <w:rsid w:val="002F2655"/>
    <w:rsid w:val="002F2991"/>
    <w:rsid w:val="002F2CCA"/>
    <w:rsid w:val="002F2DFA"/>
    <w:rsid w:val="002F34BD"/>
    <w:rsid w:val="002F3EA6"/>
    <w:rsid w:val="002F41B4"/>
    <w:rsid w:val="002F4262"/>
    <w:rsid w:val="002F4537"/>
    <w:rsid w:val="002F4757"/>
    <w:rsid w:val="002F4778"/>
    <w:rsid w:val="002F485C"/>
    <w:rsid w:val="002F49C3"/>
    <w:rsid w:val="002F5355"/>
    <w:rsid w:val="002F5560"/>
    <w:rsid w:val="002F57C6"/>
    <w:rsid w:val="002F588C"/>
    <w:rsid w:val="002F5A88"/>
    <w:rsid w:val="002F5F42"/>
    <w:rsid w:val="002F5F7F"/>
    <w:rsid w:val="002F5FA2"/>
    <w:rsid w:val="002F61A8"/>
    <w:rsid w:val="002F70C0"/>
    <w:rsid w:val="002F7189"/>
    <w:rsid w:val="002F71D0"/>
    <w:rsid w:val="002F7630"/>
    <w:rsid w:val="002F7682"/>
    <w:rsid w:val="002F76C9"/>
    <w:rsid w:val="002F7C69"/>
    <w:rsid w:val="00300684"/>
    <w:rsid w:val="003008CD"/>
    <w:rsid w:val="00300B27"/>
    <w:rsid w:val="00300DD4"/>
    <w:rsid w:val="00300E34"/>
    <w:rsid w:val="00300E6A"/>
    <w:rsid w:val="00302051"/>
    <w:rsid w:val="00302183"/>
    <w:rsid w:val="00302324"/>
    <w:rsid w:val="00302603"/>
    <w:rsid w:val="003026BD"/>
    <w:rsid w:val="00302A56"/>
    <w:rsid w:val="00302A7A"/>
    <w:rsid w:val="00302DB4"/>
    <w:rsid w:val="00303125"/>
    <w:rsid w:val="00303309"/>
    <w:rsid w:val="0030376A"/>
    <w:rsid w:val="00303ACA"/>
    <w:rsid w:val="00303B7C"/>
    <w:rsid w:val="00303C67"/>
    <w:rsid w:val="00303E3A"/>
    <w:rsid w:val="00304350"/>
    <w:rsid w:val="00304681"/>
    <w:rsid w:val="00304741"/>
    <w:rsid w:val="00304961"/>
    <w:rsid w:val="00304E2E"/>
    <w:rsid w:val="003050E0"/>
    <w:rsid w:val="003054B0"/>
    <w:rsid w:val="003056A4"/>
    <w:rsid w:val="00305756"/>
    <w:rsid w:val="0030592C"/>
    <w:rsid w:val="00305CBD"/>
    <w:rsid w:val="00306148"/>
    <w:rsid w:val="00306413"/>
    <w:rsid w:val="00306648"/>
    <w:rsid w:val="003066A0"/>
    <w:rsid w:val="00306991"/>
    <w:rsid w:val="00306B84"/>
    <w:rsid w:val="00306DA1"/>
    <w:rsid w:val="00307051"/>
    <w:rsid w:val="003070B0"/>
    <w:rsid w:val="00307105"/>
    <w:rsid w:val="0030735D"/>
    <w:rsid w:val="00307425"/>
    <w:rsid w:val="003075FB"/>
    <w:rsid w:val="00307931"/>
    <w:rsid w:val="00307A69"/>
    <w:rsid w:val="00307AC0"/>
    <w:rsid w:val="00307C0B"/>
    <w:rsid w:val="00307CA0"/>
    <w:rsid w:val="003100E2"/>
    <w:rsid w:val="003106A0"/>
    <w:rsid w:val="003106E4"/>
    <w:rsid w:val="003108F1"/>
    <w:rsid w:val="003109C6"/>
    <w:rsid w:val="00310B25"/>
    <w:rsid w:val="00311022"/>
    <w:rsid w:val="0031146D"/>
    <w:rsid w:val="003119EC"/>
    <w:rsid w:val="00311B15"/>
    <w:rsid w:val="00311D44"/>
    <w:rsid w:val="00312BD3"/>
    <w:rsid w:val="00312E4A"/>
    <w:rsid w:val="00312FED"/>
    <w:rsid w:val="0031303C"/>
    <w:rsid w:val="0031305E"/>
    <w:rsid w:val="00313AF0"/>
    <w:rsid w:val="00313D66"/>
    <w:rsid w:val="0031400C"/>
    <w:rsid w:val="0031436D"/>
    <w:rsid w:val="0031466D"/>
    <w:rsid w:val="003147A8"/>
    <w:rsid w:val="00314C84"/>
    <w:rsid w:val="00315028"/>
    <w:rsid w:val="0031542A"/>
    <w:rsid w:val="0031546F"/>
    <w:rsid w:val="003156D2"/>
    <w:rsid w:val="00315771"/>
    <w:rsid w:val="00315AC9"/>
    <w:rsid w:val="00315D6B"/>
    <w:rsid w:val="00315EE8"/>
    <w:rsid w:val="0031655A"/>
    <w:rsid w:val="00316917"/>
    <w:rsid w:val="00316990"/>
    <w:rsid w:val="00316B0D"/>
    <w:rsid w:val="00316C35"/>
    <w:rsid w:val="00316C71"/>
    <w:rsid w:val="00316E0A"/>
    <w:rsid w:val="00317065"/>
    <w:rsid w:val="003172C0"/>
    <w:rsid w:val="00317582"/>
    <w:rsid w:val="00317791"/>
    <w:rsid w:val="00317A64"/>
    <w:rsid w:val="00317BA1"/>
    <w:rsid w:val="00317BFF"/>
    <w:rsid w:val="00317C31"/>
    <w:rsid w:val="00317CD3"/>
    <w:rsid w:val="00317D41"/>
    <w:rsid w:val="00317FA8"/>
    <w:rsid w:val="0032061F"/>
    <w:rsid w:val="00320930"/>
    <w:rsid w:val="003209DA"/>
    <w:rsid w:val="00320F2C"/>
    <w:rsid w:val="00320F44"/>
    <w:rsid w:val="00320FEB"/>
    <w:rsid w:val="00321568"/>
    <w:rsid w:val="003215CF"/>
    <w:rsid w:val="00321732"/>
    <w:rsid w:val="003218A0"/>
    <w:rsid w:val="00321E69"/>
    <w:rsid w:val="00321EDE"/>
    <w:rsid w:val="00321F87"/>
    <w:rsid w:val="00322348"/>
    <w:rsid w:val="00322459"/>
    <w:rsid w:val="003225CB"/>
    <w:rsid w:val="003228FF"/>
    <w:rsid w:val="00322D81"/>
    <w:rsid w:val="00322D99"/>
    <w:rsid w:val="0032303A"/>
    <w:rsid w:val="00323207"/>
    <w:rsid w:val="0032335E"/>
    <w:rsid w:val="00323D2C"/>
    <w:rsid w:val="00323F3E"/>
    <w:rsid w:val="00324003"/>
    <w:rsid w:val="003240DF"/>
    <w:rsid w:val="003245D3"/>
    <w:rsid w:val="003248CA"/>
    <w:rsid w:val="00324EB9"/>
    <w:rsid w:val="00325093"/>
    <w:rsid w:val="003251F7"/>
    <w:rsid w:val="003254DE"/>
    <w:rsid w:val="0032571F"/>
    <w:rsid w:val="003258C1"/>
    <w:rsid w:val="00325A01"/>
    <w:rsid w:val="00325BCB"/>
    <w:rsid w:val="00325C35"/>
    <w:rsid w:val="00325DDD"/>
    <w:rsid w:val="00325E69"/>
    <w:rsid w:val="00325F75"/>
    <w:rsid w:val="00326060"/>
    <w:rsid w:val="003262FD"/>
    <w:rsid w:val="003263E5"/>
    <w:rsid w:val="0032667D"/>
    <w:rsid w:val="00326720"/>
    <w:rsid w:val="003267EE"/>
    <w:rsid w:val="0032699B"/>
    <w:rsid w:val="00326B75"/>
    <w:rsid w:val="003271F5"/>
    <w:rsid w:val="0032759A"/>
    <w:rsid w:val="00327957"/>
    <w:rsid w:val="003279DE"/>
    <w:rsid w:val="00327D36"/>
    <w:rsid w:val="00327DCF"/>
    <w:rsid w:val="003300DB"/>
    <w:rsid w:val="00330181"/>
    <w:rsid w:val="0033052D"/>
    <w:rsid w:val="0033088D"/>
    <w:rsid w:val="00330B8B"/>
    <w:rsid w:val="00330C57"/>
    <w:rsid w:val="00330F0D"/>
    <w:rsid w:val="003310B9"/>
    <w:rsid w:val="003311EC"/>
    <w:rsid w:val="003313E0"/>
    <w:rsid w:val="003317B3"/>
    <w:rsid w:val="00331878"/>
    <w:rsid w:val="003318CA"/>
    <w:rsid w:val="00332122"/>
    <w:rsid w:val="003321CD"/>
    <w:rsid w:val="00332490"/>
    <w:rsid w:val="003326CB"/>
    <w:rsid w:val="00332864"/>
    <w:rsid w:val="00332DC3"/>
    <w:rsid w:val="00332E4E"/>
    <w:rsid w:val="00333B51"/>
    <w:rsid w:val="00333CFB"/>
    <w:rsid w:val="00334028"/>
    <w:rsid w:val="003346E4"/>
    <w:rsid w:val="00334787"/>
    <w:rsid w:val="00334795"/>
    <w:rsid w:val="003347F2"/>
    <w:rsid w:val="00334B96"/>
    <w:rsid w:val="00334BD4"/>
    <w:rsid w:val="0033520E"/>
    <w:rsid w:val="00335425"/>
    <w:rsid w:val="003355A0"/>
    <w:rsid w:val="003355BE"/>
    <w:rsid w:val="003355EF"/>
    <w:rsid w:val="00335ACB"/>
    <w:rsid w:val="00335B86"/>
    <w:rsid w:val="00335F89"/>
    <w:rsid w:val="003360CB"/>
    <w:rsid w:val="003361F9"/>
    <w:rsid w:val="00336421"/>
    <w:rsid w:val="00336953"/>
    <w:rsid w:val="00336EE3"/>
    <w:rsid w:val="00336FD0"/>
    <w:rsid w:val="00337053"/>
    <w:rsid w:val="003371F1"/>
    <w:rsid w:val="0033778F"/>
    <w:rsid w:val="0033779B"/>
    <w:rsid w:val="00337CAF"/>
    <w:rsid w:val="00337DEA"/>
    <w:rsid w:val="00337E02"/>
    <w:rsid w:val="00337E12"/>
    <w:rsid w:val="00340224"/>
    <w:rsid w:val="00340362"/>
    <w:rsid w:val="0034044A"/>
    <w:rsid w:val="00340609"/>
    <w:rsid w:val="00340991"/>
    <w:rsid w:val="00340C6A"/>
    <w:rsid w:val="00340DDF"/>
    <w:rsid w:val="00341100"/>
    <w:rsid w:val="00341C41"/>
    <w:rsid w:val="003420D2"/>
    <w:rsid w:val="003426D0"/>
    <w:rsid w:val="003427B8"/>
    <w:rsid w:val="00342A6A"/>
    <w:rsid w:val="00342A93"/>
    <w:rsid w:val="00342B01"/>
    <w:rsid w:val="00342B1A"/>
    <w:rsid w:val="00342F12"/>
    <w:rsid w:val="00342FFD"/>
    <w:rsid w:val="003433AF"/>
    <w:rsid w:val="00343ACF"/>
    <w:rsid w:val="00343BE9"/>
    <w:rsid w:val="00343CE3"/>
    <w:rsid w:val="00343D35"/>
    <w:rsid w:val="0034417B"/>
    <w:rsid w:val="003441C3"/>
    <w:rsid w:val="003441F3"/>
    <w:rsid w:val="00344389"/>
    <w:rsid w:val="0034489D"/>
    <w:rsid w:val="003449C6"/>
    <w:rsid w:val="003456BF"/>
    <w:rsid w:val="00345798"/>
    <w:rsid w:val="00345C41"/>
    <w:rsid w:val="00345F35"/>
    <w:rsid w:val="00346A03"/>
    <w:rsid w:val="0034705A"/>
    <w:rsid w:val="00347211"/>
    <w:rsid w:val="0034721F"/>
    <w:rsid w:val="00347315"/>
    <w:rsid w:val="0034743F"/>
    <w:rsid w:val="0034795A"/>
    <w:rsid w:val="00347B4F"/>
    <w:rsid w:val="003500C6"/>
    <w:rsid w:val="003503EC"/>
    <w:rsid w:val="00350408"/>
    <w:rsid w:val="003506FB"/>
    <w:rsid w:val="003506FD"/>
    <w:rsid w:val="003508F1"/>
    <w:rsid w:val="0035099D"/>
    <w:rsid w:val="003509A1"/>
    <w:rsid w:val="0035107E"/>
    <w:rsid w:val="003510E2"/>
    <w:rsid w:val="003515C9"/>
    <w:rsid w:val="00351665"/>
    <w:rsid w:val="00351CD3"/>
    <w:rsid w:val="0035209F"/>
    <w:rsid w:val="00352411"/>
    <w:rsid w:val="003526D2"/>
    <w:rsid w:val="00352A2E"/>
    <w:rsid w:val="00352D76"/>
    <w:rsid w:val="003533B4"/>
    <w:rsid w:val="003534AE"/>
    <w:rsid w:val="00353556"/>
    <w:rsid w:val="003537EB"/>
    <w:rsid w:val="00353AD5"/>
    <w:rsid w:val="00354280"/>
    <w:rsid w:val="00354747"/>
    <w:rsid w:val="0035478E"/>
    <w:rsid w:val="003548A0"/>
    <w:rsid w:val="00354D08"/>
    <w:rsid w:val="003550CC"/>
    <w:rsid w:val="0035539A"/>
    <w:rsid w:val="0035565E"/>
    <w:rsid w:val="003557FA"/>
    <w:rsid w:val="00355D87"/>
    <w:rsid w:val="00355FA1"/>
    <w:rsid w:val="003561E2"/>
    <w:rsid w:val="0035621C"/>
    <w:rsid w:val="003563F4"/>
    <w:rsid w:val="00356497"/>
    <w:rsid w:val="00356792"/>
    <w:rsid w:val="00356B9C"/>
    <w:rsid w:val="00356FF1"/>
    <w:rsid w:val="00357410"/>
    <w:rsid w:val="003574B4"/>
    <w:rsid w:val="003574BD"/>
    <w:rsid w:val="00357698"/>
    <w:rsid w:val="003576AD"/>
    <w:rsid w:val="0036039A"/>
    <w:rsid w:val="0036067D"/>
    <w:rsid w:val="00360A8A"/>
    <w:rsid w:val="00360D1C"/>
    <w:rsid w:val="00360D7B"/>
    <w:rsid w:val="00360E82"/>
    <w:rsid w:val="0036190D"/>
    <w:rsid w:val="00361C41"/>
    <w:rsid w:val="0036241B"/>
    <w:rsid w:val="0036241D"/>
    <w:rsid w:val="00362B7F"/>
    <w:rsid w:val="00362C01"/>
    <w:rsid w:val="00362C93"/>
    <w:rsid w:val="00363026"/>
    <w:rsid w:val="0036304A"/>
    <w:rsid w:val="003631B0"/>
    <w:rsid w:val="003632B3"/>
    <w:rsid w:val="003637EC"/>
    <w:rsid w:val="00363835"/>
    <w:rsid w:val="00363883"/>
    <w:rsid w:val="0036388C"/>
    <w:rsid w:val="00363AE5"/>
    <w:rsid w:val="00363EEA"/>
    <w:rsid w:val="00364119"/>
    <w:rsid w:val="0036456F"/>
    <w:rsid w:val="00364BC7"/>
    <w:rsid w:val="00364E23"/>
    <w:rsid w:val="0036541B"/>
    <w:rsid w:val="00365992"/>
    <w:rsid w:val="00365B2E"/>
    <w:rsid w:val="00365C58"/>
    <w:rsid w:val="00365EDA"/>
    <w:rsid w:val="0036629E"/>
    <w:rsid w:val="00366578"/>
    <w:rsid w:val="003668EE"/>
    <w:rsid w:val="003669C2"/>
    <w:rsid w:val="00366B4C"/>
    <w:rsid w:val="00366BC6"/>
    <w:rsid w:val="00366F72"/>
    <w:rsid w:val="0036729C"/>
    <w:rsid w:val="003675B2"/>
    <w:rsid w:val="003675E8"/>
    <w:rsid w:val="00367692"/>
    <w:rsid w:val="003676AF"/>
    <w:rsid w:val="003678AC"/>
    <w:rsid w:val="00367BB6"/>
    <w:rsid w:val="00367D4E"/>
    <w:rsid w:val="00367E6A"/>
    <w:rsid w:val="00367F52"/>
    <w:rsid w:val="003703BF"/>
    <w:rsid w:val="003703DD"/>
    <w:rsid w:val="003708CF"/>
    <w:rsid w:val="00370C15"/>
    <w:rsid w:val="00371441"/>
    <w:rsid w:val="00371743"/>
    <w:rsid w:val="003717DA"/>
    <w:rsid w:val="00371B91"/>
    <w:rsid w:val="00371CDA"/>
    <w:rsid w:val="00371E2C"/>
    <w:rsid w:val="00371F0E"/>
    <w:rsid w:val="00372343"/>
    <w:rsid w:val="003728D4"/>
    <w:rsid w:val="003729D8"/>
    <w:rsid w:val="00372D93"/>
    <w:rsid w:val="00372DF2"/>
    <w:rsid w:val="003732CB"/>
    <w:rsid w:val="003732ED"/>
    <w:rsid w:val="0037340C"/>
    <w:rsid w:val="00373541"/>
    <w:rsid w:val="003736EA"/>
    <w:rsid w:val="003739DA"/>
    <w:rsid w:val="00373CF1"/>
    <w:rsid w:val="00373D51"/>
    <w:rsid w:val="00374413"/>
    <w:rsid w:val="00374515"/>
    <w:rsid w:val="00374F6B"/>
    <w:rsid w:val="00374FB2"/>
    <w:rsid w:val="003752D2"/>
    <w:rsid w:val="003752D6"/>
    <w:rsid w:val="003754A2"/>
    <w:rsid w:val="003754C1"/>
    <w:rsid w:val="00375832"/>
    <w:rsid w:val="00375B63"/>
    <w:rsid w:val="00375BB5"/>
    <w:rsid w:val="00376B74"/>
    <w:rsid w:val="00376CAA"/>
    <w:rsid w:val="00376F72"/>
    <w:rsid w:val="00376FA6"/>
    <w:rsid w:val="00377233"/>
    <w:rsid w:val="00377679"/>
    <w:rsid w:val="00377B06"/>
    <w:rsid w:val="00377F47"/>
    <w:rsid w:val="00380B27"/>
    <w:rsid w:val="00380B8F"/>
    <w:rsid w:val="00380B97"/>
    <w:rsid w:val="00380CF5"/>
    <w:rsid w:val="00380ECF"/>
    <w:rsid w:val="00380FE0"/>
    <w:rsid w:val="003811BD"/>
    <w:rsid w:val="003811CD"/>
    <w:rsid w:val="0038166E"/>
    <w:rsid w:val="00381849"/>
    <w:rsid w:val="0038198A"/>
    <w:rsid w:val="00381E20"/>
    <w:rsid w:val="00382128"/>
    <w:rsid w:val="00382195"/>
    <w:rsid w:val="003821C8"/>
    <w:rsid w:val="003824F2"/>
    <w:rsid w:val="00382732"/>
    <w:rsid w:val="00382940"/>
    <w:rsid w:val="00382A73"/>
    <w:rsid w:val="00382D24"/>
    <w:rsid w:val="0038306A"/>
    <w:rsid w:val="0038317C"/>
    <w:rsid w:val="0038336C"/>
    <w:rsid w:val="00383474"/>
    <w:rsid w:val="003836A7"/>
    <w:rsid w:val="0038390C"/>
    <w:rsid w:val="00383AAB"/>
    <w:rsid w:val="00383CEF"/>
    <w:rsid w:val="00383EAB"/>
    <w:rsid w:val="0038406C"/>
    <w:rsid w:val="003840BD"/>
    <w:rsid w:val="003847EA"/>
    <w:rsid w:val="003848D6"/>
    <w:rsid w:val="003848EF"/>
    <w:rsid w:val="00384C05"/>
    <w:rsid w:val="00384C2D"/>
    <w:rsid w:val="00384C34"/>
    <w:rsid w:val="003856A1"/>
    <w:rsid w:val="00385AC2"/>
    <w:rsid w:val="00385B65"/>
    <w:rsid w:val="00385B7F"/>
    <w:rsid w:val="00385D14"/>
    <w:rsid w:val="00385D2F"/>
    <w:rsid w:val="00385E91"/>
    <w:rsid w:val="003860DB"/>
    <w:rsid w:val="0038631C"/>
    <w:rsid w:val="003863B6"/>
    <w:rsid w:val="003863C6"/>
    <w:rsid w:val="00386521"/>
    <w:rsid w:val="0038672A"/>
    <w:rsid w:val="00386755"/>
    <w:rsid w:val="0038685C"/>
    <w:rsid w:val="003868C9"/>
    <w:rsid w:val="0038693E"/>
    <w:rsid w:val="00386964"/>
    <w:rsid w:val="00386B49"/>
    <w:rsid w:val="00386FD2"/>
    <w:rsid w:val="003875F6"/>
    <w:rsid w:val="00387961"/>
    <w:rsid w:val="00387C20"/>
    <w:rsid w:val="00387CC0"/>
    <w:rsid w:val="0039046D"/>
    <w:rsid w:val="0039052F"/>
    <w:rsid w:val="0039100B"/>
    <w:rsid w:val="003911DD"/>
    <w:rsid w:val="0039168C"/>
    <w:rsid w:val="00391798"/>
    <w:rsid w:val="00391869"/>
    <w:rsid w:val="00391914"/>
    <w:rsid w:val="00391929"/>
    <w:rsid w:val="00391AF8"/>
    <w:rsid w:val="00391D1C"/>
    <w:rsid w:val="00391E60"/>
    <w:rsid w:val="00391FDB"/>
    <w:rsid w:val="003921E3"/>
    <w:rsid w:val="00392388"/>
    <w:rsid w:val="00392847"/>
    <w:rsid w:val="003929ED"/>
    <w:rsid w:val="00392B09"/>
    <w:rsid w:val="00392B11"/>
    <w:rsid w:val="00392D04"/>
    <w:rsid w:val="003931A3"/>
    <w:rsid w:val="0039340A"/>
    <w:rsid w:val="00393951"/>
    <w:rsid w:val="00393CA9"/>
    <w:rsid w:val="00393FBE"/>
    <w:rsid w:val="00394083"/>
    <w:rsid w:val="003946C6"/>
    <w:rsid w:val="0039491B"/>
    <w:rsid w:val="00394FE7"/>
    <w:rsid w:val="00395051"/>
    <w:rsid w:val="003952DD"/>
    <w:rsid w:val="00395318"/>
    <w:rsid w:val="00395715"/>
    <w:rsid w:val="00395813"/>
    <w:rsid w:val="003959B5"/>
    <w:rsid w:val="00395AD8"/>
    <w:rsid w:val="00395F34"/>
    <w:rsid w:val="00396307"/>
    <w:rsid w:val="0039642D"/>
    <w:rsid w:val="0039671F"/>
    <w:rsid w:val="00396787"/>
    <w:rsid w:val="00396938"/>
    <w:rsid w:val="00396B3B"/>
    <w:rsid w:val="00396C92"/>
    <w:rsid w:val="00396DF7"/>
    <w:rsid w:val="00396E71"/>
    <w:rsid w:val="00396FCE"/>
    <w:rsid w:val="0039702A"/>
    <w:rsid w:val="00397400"/>
    <w:rsid w:val="0039743D"/>
    <w:rsid w:val="003976ED"/>
    <w:rsid w:val="00397969"/>
    <w:rsid w:val="00397A52"/>
    <w:rsid w:val="00397AB8"/>
    <w:rsid w:val="00397DEA"/>
    <w:rsid w:val="00397DFB"/>
    <w:rsid w:val="003A07AA"/>
    <w:rsid w:val="003A07D9"/>
    <w:rsid w:val="003A07ED"/>
    <w:rsid w:val="003A0F3B"/>
    <w:rsid w:val="003A13D4"/>
    <w:rsid w:val="003A1E92"/>
    <w:rsid w:val="003A1FE9"/>
    <w:rsid w:val="003A2121"/>
    <w:rsid w:val="003A24DC"/>
    <w:rsid w:val="003A2598"/>
    <w:rsid w:val="003A2649"/>
    <w:rsid w:val="003A2AA6"/>
    <w:rsid w:val="003A2B89"/>
    <w:rsid w:val="003A30D6"/>
    <w:rsid w:val="003A3174"/>
    <w:rsid w:val="003A32EC"/>
    <w:rsid w:val="003A35A2"/>
    <w:rsid w:val="003A3801"/>
    <w:rsid w:val="003A381E"/>
    <w:rsid w:val="003A3863"/>
    <w:rsid w:val="003A3E57"/>
    <w:rsid w:val="003A43B0"/>
    <w:rsid w:val="003A4951"/>
    <w:rsid w:val="003A4AD7"/>
    <w:rsid w:val="003A4BE4"/>
    <w:rsid w:val="003A4FB4"/>
    <w:rsid w:val="003A525E"/>
    <w:rsid w:val="003A557A"/>
    <w:rsid w:val="003A56E7"/>
    <w:rsid w:val="003A5750"/>
    <w:rsid w:val="003A57B4"/>
    <w:rsid w:val="003A593D"/>
    <w:rsid w:val="003A59AD"/>
    <w:rsid w:val="003A5BA5"/>
    <w:rsid w:val="003A5C42"/>
    <w:rsid w:val="003A5D49"/>
    <w:rsid w:val="003A5FA9"/>
    <w:rsid w:val="003A6428"/>
    <w:rsid w:val="003A6AA9"/>
    <w:rsid w:val="003A6B45"/>
    <w:rsid w:val="003A71B4"/>
    <w:rsid w:val="003A71D2"/>
    <w:rsid w:val="003A7347"/>
    <w:rsid w:val="003A73A6"/>
    <w:rsid w:val="003A7DB6"/>
    <w:rsid w:val="003A7E59"/>
    <w:rsid w:val="003A7E73"/>
    <w:rsid w:val="003B0047"/>
    <w:rsid w:val="003B0110"/>
    <w:rsid w:val="003B02C0"/>
    <w:rsid w:val="003B08D1"/>
    <w:rsid w:val="003B0E2B"/>
    <w:rsid w:val="003B127C"/>
    <w:rsid w:val="003B1502"/>
    <w:rsid w:val="003B16F2"/>
    <w:rsid w:val="003B1895"/>
    <w:rsid w:val="003B1A25"/>
    <w:rsid w:val="003B1A80"/>
    <w:rsid w:val="003B1B86"/>
    <w:rsid w:val="003B1C05"/>
    <w:rsid w:val="003B1D56"/>
    <w:rsid w:val="003B20BB"/>
    <w:rsid w:val="003B2296"/>
    <w:rsid w:val="003B22B0"/>
    <w:rsid w:val="003B236D"/>
    <w:rsid w:val="003B24A5"/>
    <w:rsid w:val="003B253B"/>
    <w:rsid w:val="003B27EA"/>
    <w:rsid w:val="003B29E2"/>
    <w:rsid w:val="003B2FE6"/>
    <w:rsid w:val="003B32D3"/>
    <w:rsid w:val="003B33AC"/>
    <w:rsid w:val="003B357E"/>
    <w:rsid w:val="003B35D1"/>
    <w:rsid w:val="003B374A"/>
    <w:rsid w:val="003B3F4B"/>
    <w:rsid w:val="003B4263"/>
    <w:rsid w:val="003B433A"/>
    <w:rsid w:val="003B4496"/>
    <w:rsid w:val="003B48BE"/>
    <w:rsid w:val="003B4A0F"/>
    <w:rsid w:val="003B4C71"/>
    <w:rsid w:val="003B50C7"/>
    <w:rsid w:val="003B5521"/>
    <w:rsid w:val="003B5AD1"/>
    <w:rsid w:val="003B5D1C"/>
    <w:rsid w:val="003B6091"/>
    <w:rsid w:val="003B65F5"/>
    <w:rsid w:val="003B6614"/>
    <w:rsid w:val="003B6B13"/>
    <w:rsid w:val="003B7447"/>
    <w:rsid w:val="003B74C7"/>
    <w:rsid w:val="003B74EC"/>
    <w:rsid w:val="003B767B"/>
    <w:rsid w:val="003B7BDC"/>
    <w:rsid w:val="003B7C02"/>
    <w:rsid w:val="003C0066"/>
    <w:rsid w:val="003C013B"/>
    <w:rsid w:val="003C0820"/>
    <w:rsid w:val="003C084B"/>
    <w:rsid w:val="003C0C7E"/>
    <w:rsid w:val="003C0E69"/>
    <w:rsid w:val="003C11D8"/>
    <w:rsid w:val="003C1229"/>
    <w:rsid w:val="003C1771"/>
    <w:rsid w:val="003C1AAA"/>
    <w:rsid w:val="003C1B0D"/>
    <w:rsid w:val="003C22F1"/>
    <w:rsid w:val="003C25CF"/>
    <w:rsid w:val="003C2A64"/>
    <w:rsid w:val="003C2BE2"/>
    <w:rsid w:val="003C3164"/>
    <w:rsid w:val="003C317E"/>
    <w:rsid w:val="003C342A"/>
    <w:rsid w:val="003C3468"/>
    <w:rsid w:val="003C3720"/>
    <w:rsid w:val="003C37C8"/>
    <w:rsid w:val="003C40CD"/>
    <w:rsid w:val="003C4476"/>
    <w:rsid w:val="003C44DB"/>
    <w:rsid w:val="003C4DDA"/>
    <w:rsid w:val="003C4F2A"/>
    <w:rsid w:val="003C5166"/>
    <w:rsid w:val="003C548A"/>
    <w:rsid w:val="003C55F8"/>
    <w:rsid w:val="003C575E"/>
    <w:rsid w:val="003C57AC"/>
    <w:rsid w:val="003C57F7"/>
    <w:rsid w:val="003C5ADD"/>
    <w:rsid w:val="003C5C74"/>
    <w:rsid w:val="003C5F8A"/>
    <w:rsid w:val="003C6001"/>
    <w:rsid w:val="003C64C6"/>
    <w:rsid w:val="003C6648"/>
    <w:rsid w:val="003C6961"/>
    <w:rsid w:val="003C6B03"/>
    <w:rsid w:val="003C6F1B"/>
    <w:rsid w:val="003C6FBB"/>
    <w:rsid w:val="003C725D"/>
    <w:rsid w:val="003C7388"/>
    <w:rsid w:val="003C79B5"/>
    <w:rsid w:val="003C7A85"/>
    <w:rsid w:val="003C7D1C"/>
    <w:rsid w:val="003C7DD6"/>
    <w:rsid w:val="003D0116"/>
    <w:rsid w:val="003D0B58"/>
    <w:rsid w:val="003D14C1"/>
    <w:rsid w:val="003D15FA"/>
    <w:rsid w:val="003D197A"/>
    <w:rsid w:val="003D1AD3"/>
    <w:rsid w:val="003D21A3"/>
    <w:rsid w:val="003D23B1"/>
    <w:rsid w:val="003D2516"/>
    <w:rsid w:val="003D2825"/>
    <w:rsid w:val="003D2C0E"/>
    <w:rsid w:val="003D2C9F"/>
    <w:rsid w:val="003D32BD"/>
    <w:rsid w:val="003D376A"/>
    <w:rsid w:val="003D3778"/>
    <w:rsid w:val="003D378B"/>
    <w:rsid w:val="003D40B3"/>
    <w:rsid w:val="003D40E7"/>
    <w:rsid w:val="003D4521"/>
    <w:rsid w:val="003D47E7"/>
    <w:rsid w:val="003D4BBC"/>
    <w:rsid w:val="003D4BCD"/>
    <w:rsid w:val="003D4FCD"/>
    <w:rsid w:val="003D4FDC"/>
    <w:rsid w:val="003D51F0"/>
    <w:rsid w:val="003D5222"/>
    <w:rsid w:val="003D552A"/>
    <w:rsid w:val="003D56E2"/>
    <w:rsid w:val="003D5742"/>
    <w:rsid w:val="003D5E84"/>
    <w:rsid w:val="003D6685"/>
    <w:rsid w:val="003D68D0"/>
    <w:rsid w:val="003D6F97"/>
    <w:rsid w:val="003D7177"/>
    <w:rsid w:val="003D773B"/>
    <w:rsid w:val="003D7834"/>
    <w:rsid w:val="003D7B4B"/>
    <w:rsid w:val="003E022C"/>
    <w:rsid w:val="003E02DB"/>
    <w:rsid w:val="003E0728"/>
    <w:rsid w:val="003E09F3"/>
    <w:rsid w:val="003E0BBF"/>
    <w:rsid w:val="003E0FFD"/>
    <w:rsid w:val="003E1610"/>
    <w:rsid w:val="003E17FC"/>
    <w:rsid w:val="003E1DE3"/>
    <w:rsid w:val="003E1F46"/>
    <w:rsid w:val="003E228A"/>
    <w:rsid w:val="003E2378"/>
    <w:rsid w:val="003E23DD"/>
    <w:rsid w:val="003E248E"/>
    <w:rsid w:val="003E2561"/>
    <w:rsid w:val="003E2574"/>
    <w:rsid w:val="003E27D5"/>
    <w:rsid w:val="003E297A"/>
    <w:rsid w:val="003E29FE"/>
    <w:rsid w:val="003E2AFD"/>
    <w:rsid w:val="003E2B6B"/>
    <w:rsid w:val="003E2C75"/>
    <w:rsid w:val="003E35D0"/>
    <w:rsid w:val="003E37B3"/>
    <w:rsid w:val="003E3F9C"/>
    <w:rsid w:val="003E406C"/>
    <w:rsid w:val="003E4249"/>
    <w:rsid w:val="003E4266"/>
    <w:rsid w:val="003E456C"/>
    <w:rsid w:val="003E45C6"/>
    <w:rsid w:val="003E4A9A"/>
    <w:rsid w:val="003E4D4C"/>
    <w:rsid w:val="003E4E5F"/>
    <w:rsid w:val="003E4EBF"/>
    <w:rsid w:val="003E501D"/>
    <w:rsid w:val="003E51CF"/>
    <w:rsid w:val="003E52C9"/>
    <w:rsid w:val="003E545C"/>
    <w:rsid w:val="003E54D4"/>
    <w:rsid w:val="003E555E"/>
    <w:rsid w:val="003E58C2"/>
    <w:rsid w:val="003E614F"/>
    <w:rsid w:val="003E61F4"/>
    <w:rsid w:val="003E6380"/>
    <w:rsid w:val="003E6546"/>
    <w:rsid w:val="003E673B"/>
    <w:rsid w:val="003E680D"/>
    <w:rsid w:val="003E6829"/>
    <w:rsid w:val="003E6B7D"/>
    <w:rsid w:val="003E6B8B"/>
    <w:rsid w:val="003E6D40"/>
    <w:rsid w:val="003E72B6"/>
    <w:rsid w:val="003E7549"/>
    <w:rsid w:val="003E7AC6"/>
    <w:rsid w:val="003E7F9A"/>
    <w:rsid w:val="003F017E"/>
    <w:rsid w:val="003F0819"/>
    <w:rsid w:val="003F08EB"/>
    <w:rsid w:val="003F0960"/>
    <w:rsid w:val="003F12CE"/>
    <w:rsid w:val="003F146C"/>
    <w:rsid w:val="003F156F"/>
    <w:rsid w:val="003F160D"/>
    <w:rsid w:val="003F167A"/>
    <w:rsid w:val="003F17BC"/>
    <w:rsid w:val="003F1A1E"/>
    <w:rsid w:val="003F1FA3"/>
    <w:rsid w:val="003F2220"/>
    <w:rsid w:val="003F24FC"/>
    <w:rsid w:val="003F2835"/>
    <w:rsid w:val="003F28F6"/>
    <w:rsid w:val="003F29DC"/>
    <w:rsid w:val="003F2D3A"/>
    <w:rsid w:val="003F3263"/>
    <w:rsid w:val="003F33A2"/>
    <w:rsid w:val="003F33CC"/>
    <w:rsid w:val="003F342D"/>
    <w:rsid w:val="003F357A"/>
    <w:rsid w:val="003F361B"/>
    <w:rsid w:val="003F3C22"/>
    <w:rsid w:val="003F3CAF"/>
    <w:rsid w:val="003F42E3"/>
    <w:rsid w:val="003F43F3"/>
    <w:rsid w:val="003F49BD"/>
    <w:rsid w:val="003F4EA2"/>
    <w:rsid w:val="003F513A"/>
    <w:rsid w:val="003F553C"/>
    <w:rsid w:val="003F584F"/>
    <w:rsid w:val="003F5B9A"/>
    <w:rsid w:val="003F5D4F"/>
    <w:rsid w:val="003F5E00"/>
    <w:rsid w:val="003F5ECC"/>
    <w:rsid w:val="003F5F40"/>
    <w:rsid w:val="003F6047"/>
    <w:rsid w:val="003F60CB"/>
    <w:rsid w:val="003F6254"/>
    <w:rsid w:val="003F63D0"/>
    <w:rsid w:val="003F664A"/>
    <w:rsid w:val="003F6758"/>
    <w:rsid w:val="003F6A75"/>
    <w:rsid w:val="003F6B49"/>
    <w:rsid w:val="003F6B6E"/>
    <w:rsid w:val="003F6EE3"/>
    <w:rsid w:val="003F70D4"/>
    <w:rsid w:val="003F714F"/>
    <w:rsid w:val="003F738E"/>
    <w:rsid w:val="003F77D9"/>
    <w:rsid w:val="003F79FE"/>
    <w:rsid w:val="003F7AD7"/>
    <w:rsid w:val="003F7B4C"/>
    <w:rsid w:val="003F7E70"/>
    <w:rsid w:val="003F7EC7"/>
    <w:rsid w:val="00400498"/>
    <w:rsid w:val="004005BA"/>
    <w:rsid w:val="00400720"/>
    <w:rsid w:val="0040075C"/>
    <w:rsid w:val="0040080D"/>
    <w:rsid w:val="00400815"/>
    <w:rsid w:val="00400858"/>
    <w:rsid w:val="00400A77"/>
    <w:rsid w:val="00400B6C"/>
    <w:rsid w:val="00400C95"/>
    <w:rsid w:val="00400EBF"/>
    <w:rsid w:val="00400EE7"/>
    <w:rsid w:val="0040102B"/>
    <w:rsid w:val="0040149E"/>
    <w:rsid w:val="00401CE9"/>
    <w:rsid w:val="004021BB"/>
    <w:rsid w:val="0040223D"/>
    <w:rsid w:val="004026AD"/>
    <w:rsid w:val="00402A5E"/>
    <w:rsid w:val="00402AC8"/>
    <w:rsid w:val="00402DD0"/>
    <w:rsid w:val="00402E93"/>
    <w:rsid w:val="00402EAE"/>
    <w:rsid w:val="0040300A"/>
    <w:rsid w:val="00403A94"/>
    <w:rsid w:val="00403AB5"/>
    <w:rsid w:val="00403BDE"/>
    <w:rsid w:val="00403C63"/>
    <w:rsid w:val="00403C6B"/>
    <w:rsid w:val="0040438E"/>
    <w:rsid w:val="00404458"/>
    <w:rsid w:val="004047EE"/>
    <w:rsid w:val="00404A3A"/>
    <w:rsid w:val="00404B2F"/>
    <w:rsid w:val="0040515B"/>
    <w:rsid w:val="004056D0"/>
    <w:rsid w:val="00405B5F"/>
    <w:rsid w:val="00407070"/>
    <w:rsid w:val="004075A8"/>
    <w:rsid w:val="00407CCE"/>
    <w:rsid w:val="00407DBF"/>
    <w:rsid w:val="00410584"/>
    <w:rsid w:val="00410802"/>
    <w:rsid w:val="00410C78"/>
    <w:rsid w:val="00410F32"/>
    <w:rsid w:val="004111B6"/>
    <w:rsid w:val="004113A5"/>
    <w:rsid w:val="004114C7"/>
    <w:rsid w:val="004115BE"/>
    <w:rsid w:val="00411912"/>
    <w:rsid w:val="004120BC"/>
    <w:rsid w:val="0041216B"/>
    <w:rsid w:val="004127FF"/>
    <w:rsid w:val="00412A64"/>
    <w:rsid w:val="00412ED7"/>
    <w:rsid w:val="004130FA"/>
    <w:rsid w:val="004135E6"/>
    <w:rsid w:val="00413851"/>
    <w:rsid w:val="004138BA"/>
    <w:rsid w:val="00413FE3"/>
    <w:rsid w:val="0041411D"/>
    <w:rsid w:val="00414AFF"/>
    <w:rsid w:val="00414C36"/>
    <w:rsid w:val="00414FBC"/>
    <w:rsid w:val="004151F1"/>
    <w:rsid w:val="00415443"/>
    <w:rsid w:val="004156FC"/>
    <w:rsid w:val="00415E8A"/>
    <w:rsid w:val="0041617A"/>
    <w:rsid w:val="00416574"/>
    <w:rsid w:val="0041658E"/>
    <w:rsid w:val="00416D46"/>
    <w:rsid w:val="00416F30"/>
    <w:rsid w:val="00417415"/>
    <w:rsid w:val="004176FC"/>
    <w:rsid w:val="00417867"/>
    <w:rsid w:val="004178F0"/>
    <w:rsid w:val="004179BA"/>
    <w:rsid w:val="004202DE"/>
    <w:rsid w:val="004206F5"/>
    <w:rsid w:val="00420725"/>
    <w:rsid w:val="00420971"/>
    <w:rsid w:val="00420D69"/>
    <w:rsid w:val="00420EB2"/>
    <w:rsid w:val="004214F4"/>
    <w:rsid w:val="00421551"/>
    <w:rsid w:val="00421822"/>
    <w:rsid w:val="00421978"/>
    <w:rsid w:val="00422739"/>
    <w:rsid w:val="00422C61"/>
    <w:rsid w:val="00422F08"/>
    <w:rsid w:val="00423355"/>
    <w:rsid w:val="0042339F"/>
    <w:rsid w:val="00423428"/>
    <w:rsid w:val="0042371B"/>
    <w:rsid w:val="00423734"/>
    <w:rsid w:val="00423A09"/>
    <w:rsid w:val="00423B72"/>
    <w:rsid w:val="00423BDF"/>
    <w:rsid w:val="00423D90"/>
    <w:rsid w:val="00423E92"/>
    <w:rsid w:val="00424091"/>
    <w:rsid w:val="0042429A"/>
    <w:rsid w:val="004245EA"/>
    <w:rsid w:val="004248A6"/>
    <w:rsid w:val="00424BB4"/>
    <w:rsid w:val="00424FEF"/>
    <w:rsid w:val="00424FF6"/>
    <w:rsid w:val="004253D5"/>
    <w:rsid w:val="00425D74"/>
    <w:rsid w:val="0042617D"/>
    <w:rsid w:val="00426486"/>
    <w:rsid w:val="004265CE"/>
    <w:rsid w:val="004266D3"/>
    <w:rsid w:val="004267BD"/>
    <w:rsid w:val="00426988"/>
    <w:rsid w:val="00426A31"/>
    <w:rsid w:val="00426AB1"/>
    <w:rsid w:val="00427455"/>
    <w:rsid w:val="0042756E"/>
    <w:rsid w:val="004275AA"/>
    <w:rsid w:val="0042768B"/>
    <w:rsid w:val="004277FC"/>
    <w:rsid w:val="0042788E"/>
    <w:rsid w:val="004278BD"/>
    <w:rsid w:val="00427B58"/>
    <w:rsid w:val="00427DEA"/>
    <w:rsid w:val="00427E8F"/>
    <w:rsid w:val="00427EBD"/>
    <w:rsid w:val="00427F20"/>
    <w:rsid w:val="0043016E"/>
    <w:rsid w:val="004303F8"/>
    <w:rsid w:val="004304B4"/>
    <w:rsid w:val="004307A4"/>
    <w:rsid w:val="00430866"/>
    <w:rsid w:val="00430892"/>
    <w:rsid w:val="004309BC"/>
    <w:rsid w:val="00430BDA"/>
    <w:rsid w:val="00430C7B"/>
    <w:rsid w:val="00430E08"/>
    <w:rsid w:val="00430F75"/>
    <w:rsid w:val="00430FD0"/>
    <w:rsid w:val="00431350"/>
    <w:rsid w:val="00431487"/>
    <w:rsid w:val="00431785"/>
    <w:rsid w:val="004318EC"/>
    <w:rsid w:val="00431AF3"/>
    <w:rsid w:val="00431C78"/>
    <w:rsid w:val="0043227B"/>
    <w:rsid w:val="00432328"/>
    <w:rsid w:val="004324E7"/>
    <w:rsid w:val="004324E9"/>
    <w:rsid w:val="00432811"/>
    <w:rsid w:val="0043281E"/>
    <w:rsid w:val="00432820"/>
    <w:rsid w:val="00432AAC"/>
    <w:rsid w:val="00432DDE"/>
    <w:rsid w:val="0043340E"/>
    <w:rsid w:val="004334CD"/>
    <w:rsid w:val="0043370D"/>
    <w:rsid w:val="00433712"/>
    <w:rsid w:val="00433713"/>
    <w:rsid w:val="004337F4"/>
    <w:rsid w:val="00433812"/>
    <w:rsid w:val="0043385B"/>
    <w:rsid w:val="00433DD0"/>
    <w:rsid w:val="004340AE"/>
    <w:rsid w:val="0043427C"/>
    <w:rsid w:val="00434753"/>
    <w:rsid w:val="00434C0D"/>
    <w:rsid w:val="00434E19"/>
    <w:rsid w:val="004350C7"/>
    <w:rsid w:val="004354F6"/>
    <w:rsid w:val="00435749"/>
    <w:rsid w:val="00435767"/>
    <w:rsid w:val="004358D9"/>
    <w:rsid w:val="00435CEB"/>
    <w:rsid w:val="00435E46"/>
    <w:rsid w:val="00436231"/>
    <w:rsid w:val="004362DF"/>
    <w:rsid w:val="004366AE"/>
    <w:rsid w:val="00436B7D"/>
    <w:rsid w:val="00436D4B"/>
    <w:rsid w:val="0043709D"/>
    <w:rsid w:val="004375A8"/>
    <w:rsid w:val="0043763A"/>
    <w:rsid w:val="004376C8"/>
    <w:rsid w:val="00437A26"/>
    <w:rsid w:val="00437B60"/>
    <w:rsid w:val="00437BA0"/>
    <w:rsid w:val="00437C02"/>
    <w:rsid w:val="00437C15"/>
    <w:rsid w:val="00440262"/>
    <w:rsid w:val="00440736"/>
    <w:rsid w:val="00440977"/>
    <w:rsid w:val="004409A8"/>
    <w:rsid w:val="00440A05"/>
    <w:rsid w:val="00440BEA"/>
    <w:rsid w:val="00440BF5"/>
    <w:rsid w:val="00441423"/>
    <w:rsid w:val="004415BD"/>
    <w:rsid w:val="004415C9"/>
    <w:rsid w:val="004418DD"/>
    <w:rsid w:val="00442895"/>
    <w:rsid w:val="004428E0"/>
    <w:rsid w:val="004429AB"/>
    <w:rsid w:val="00442A95"/>
    <w:rsid w:val="00442E13"/>
    <w:rsid w:val="00442E58"/>
    <w:rsid w:val="00442F0E"/>
    <w:rsid w:val="00442F20"/>
    <w:rsid w:val="0044310B"/>
    <w:rsid w:val="004431AA"/>
    <w:rsid w:val="00443598"/>
    <w:rsid w:val="00443679"/>
    <w:rsid w:val="004436DB"/>
    <w:rsid w:val="0044371A"/>
    <w:rsid w:val="004439A6"/>
    <w:rsid w:val="00443A0F"/>
    <w:rsid w:val="00443AB6"/>
    <w:rsid w:val="00443C18"/>
    <w:rsid w:val="00444469"/>
    <w:rsid w:val="0044486F"/>
    <w:rsid w:val="00444A1A"/>
    <w:rsid w:val="00444CDC"/>
    <w:rsid w:val="00444E4A"/>
    <w:rsid w:val="00444E7C"/>
    <w:rsid w:val="00445118"/>
    <w:rsid w:val="004458CB"/>
    <w:rsid w:val="00445CAE"/>
    <w:rsid w:val="004462E1"/>
    <w:rsid w:val="004463A7"/>
    <w:rsid w:val="0044658B"/>
    <w:rsid w:val="004467CE"/>
    <w:rsid w:val="00446DB9"/>
    <w:rsid w:val="0044745D"/>
    <w:rsid w:val="004476E8"/>
    <w:rsid w:val="00447724"/>
    <w:rsid w:val="00447D14"/>
    <w:rsid w:val="00447EC5"/>
    <w:rsid w:val="004502D6"/>
    <w:rsid w:val="004504D5"/>
    <w:rsid w:val="004505DD"/>
    <w:rsid w:val="00450D56"/>
    <w:rsid w:val="00450EDD"/>
    <w:rsid w:val="0045107C"/>
    <w:rsid w:val="0045133D"/>
    <w:rsid w:val="004515CB"/>
    <w:rsid w:val="004518C6"/>
    <w:rsid w:val="00451992"/>
    <w:rsid w:val="00451D91"/>
    <w:rsid w:val="00451E70"/>
    <w:rsid w:val="00451EC4"/>
    <w:rsid w:val="004523EC"/>
    <w:rsid w:val="00452691"/>
    <w:rsid w:val="004526EB"/>
    <w:rsid w:val="00452848"/>
    <w:rsid w:val="0045289D"/>
    <w:rsid w:val="00452AA8"/>
    <w:rsid w:val="00452EC7"/>
    <w:rsid w:val="0045334D"/>
    <w:rsid w:val="004535AD"/>
    <w:rsid w:val="004535F2"/>
    <w:rsid w:val="00453EE6"/>
    <w:rsid w:val="00453F7B"/>
    <w:rsid w:val="00453FBC"/>
    <w:rsid w:val="0045405A"/>
    <w:rsid w:val="004542C4"/>
    <w:rsid w:val="004544EA"/>
    <w:rsid w:val="00454696"/>
    <w:rsid w:val="00454AD2"/>
    <w:rsid w:val="00454C85"/>
    <w:rsid w:val="00454EDF"/>
    <w:rsid w:val="004554A3"/>
    <w:rsid w:val="00455561"/>
    <w:rsid w:val="00455591"/>
    <w:rsid w:val="004556BD"/>
    <w:rsid w:val="004558FB"/>
    <w:rsid w:val="00455BB9"/>
    <w:rsid w:val="00455BF2"/>
    <w:rsid w:val="00455D9E"/>
    <w:rsid w:val="00455EEE"/>
    <w:rsid w:val="00456171"/>
    <w:rsid w:val="0045640F"/>
    <w:rsid w:val="00456458"/>
    <w:rsid w:val="004564C6"/>
    <w:rsid w:val="00456AB6"/>
    <w:rsid w:val="00456FAF"/>
    <w:rsid w:val="004577AA"/>
    <w:rsid w:val="004577EB"/>
    <w:rsid w:val="00457A63"/>
    <w:rsid w:val="00457B60"/>
    <w:rsid w:val="00457C75"/>
    <w:rsid w:val="00457D2E"/>
    <w:rsid w:val="00457D7F"/>
    <w:rsid w:val="00460018"/>
    <w:rsid w:val="0046006F"/>
    <w:rsid w:val="004600BC"/>
    <w:rsid w:val="00460265"/>
    <w:rsid w:val="004605B9"/>
    <w:rsid w:val="00460B0B"/>
    <w:rsid w:val="004616FF"/>
    <w:rsid w:val="004617D7"/>
    <w:rsid w:val="00461899"/>
    <w:rsid w:val="00461B0D"/>
    <w:rsid w:val="00461B7C"/>
    <w:rsid w:val="00461D27"/>
    <w:rsid w:val="00461ED8"/>
    <w:rsid w:val="004620C3"/>
    <w:rsid w:val="00462BBD"/>
    <w:rsid w:val="00462C72"/>
    <w:rsid w:val="00462E48"/>
    <w:rsid w:val="00463093"/>
    <w:rsid w:val="004630CA"/>
    <w:rsid w:val="004633BB"/>
    <w:rsid w:val="004634CC"/>
    <w:rsid w:val="004636A1"/>
    <w:rsid w:val="0046378C"/>
    <w:rsid w:val="00463876"/>
    <w:rsid w:val="00463A37"/>
    <w:rsid w:val="00463A59"/>
    <w:rsid w:val="00463AF3"/>
    <w:rsid w:val="00463DB2"/>
    <w:rsid w:val="00463F2C"/>
    <w:rsid w:val="0046450A"/>
    <w:rsid w:val="00464779"/>
    <w:rsid w:val="00464932"/>
    <w:rsid w:val="004649D8"/>
    <w:rsid w:val="00464A0E"/>
    <w:rsid w:val="00464C32"/>
    <w:rsid w:val="00464EF3"/>
    <w:rsid w:val="004650C5"/>
    <w:rsid w:val="004656DB"/>
    <w:rsid w:val="00465829"/>
    <w:rsid w:val="0046651F"/>
    <w:rsid w:val="004667B8"/>
    <w:rsid w:val="00466D24"/>
    <w:rsid w:val="00467057"/>
    <w:rsid w:val="00467186"/>
    <w:rsid w:val="0046731E"/>
    <w:rsid w:val="00467456"/>
    <w:rsid w:val="00467600"/>
    <w:rsid w:val="00467739"/>
    <w:rsid w:val="00467A3C"/>
    <w:rsid w:val="00467C0D"/>
    <w:rsid w:val="00467C7F"/>
    <w:rsid w:val="004703AB"/>
    <w:rsid w:val="00470FF4"/>
    <w:rsid w:val="00471211"/>
    <w:rsid w:val="004712AF"/>
    <w:rsid w:val="004715E8"/>
    <w:rsid w:val="00471963"/>
    <w:rsid w:val="00471C20"/>
    <w:rsid w:val="00471DCF"/>
    <w:rsid w:val="004720D4"/>
    <w:rsid w:val="00472121"/>
    <w:rsid w:val="00472202"/>
    <w:rsid w:val="0047245D"/>
    <w:rsid w:val="0047260E"/>
    <w:rsid w:val="0047287B"/>
    <w:rsid w:val="00472945"/>
    <w:rsid w:val="00472BB3"/>
    <w:rsid w:val="00472BF3"/>
    <w:rsid w:val="00472D92"/>
    <w:rsid w:val="00472EF8"/>
    <w:rsid w:val="0047357B"/>
    <w:rsid w:val="004736F1"/>
    <w:rsid w:val="00473863"/>
    <w:rsid w:val="0047396B"/>
    <w:rsid w:val="00473B0E"/>
    <w:rsid w:val="00473B72"/>
    <w:rsid w:val="00473B93"/>
    <w:rsid w:val="00473ED3"/>
    <w:rsid w:val="004740B1"/>
    <w:rsid w:val="00474860"/>
    <w:rsid w:val="00474A57"/>
    <w:rsid w:val="00474CA5"/>
    <w:rsid w:val="0047508F"/>
    <w:rsid w:val="004752FD"/>
    <w:rsid w:val="004759EB"/>
    <w:rsid w:val="004759ED"/>
    <w:rsid w:val="00475F3F"/>
    <w:rsid w:val="004761F6"/>
    <w:rsid w:val="0047674B"/>
    <w:rsid w:val="00476B26"/>
    <w:rsid w:val="00476F8A"/>
    <w:rsid w:val="00477101"/>
    <w:rsid w:val="00477360"/>
    <w:rsid w:val="00477A0E"/>
    <w:rsid w:val="00477DC5"/>
    <w:rsid w:val="00477F56"/>
    <w:rsid w:val="004800FF"/>
    <w:rsid w:val="00480506"/>
    <w:rsid w:val="0048057C"/>
    <w:rsid w:val="00480926"/>
    <w:rsid w:val="00480993"/>
    <w:rsid w:val="00480A61"/>
    <w:rsid w:val="00480C76"/>
    <w:rsid w:val="00480CC6"/>
    <w:rsid w:val="00480CF8"/>
    <w:rsid w:val="00480ED4"/>
    <w:rsid w:val="004819FB"/>
    <w:rsid w:val="00482236"/>
    <w:rsid w:val="004825AA"/>
    <w:rsid w:val="00482A62"/>
    <w:rsid w:val="00482AD4"/>
    <w:rsid w:val="0048344E"/>
    <w:rsid w:val="004835F0"/>
    <w:rsid w:val="00483A0A"/>
    <w:rsid w:val="00483A7A"/>
    <w:rsid w:val="00483C6E"/>
    <w:rsid w:val="00484048"/>
    <w:rsid w:val="004849D9"/>
    <w:rsid w:val="00484B52"/>
    <w:rsid w:val="00484CC6"/>
    <w:rsid w:val="00484D4D"/>
    <w:rsid w:val="004852D1"/>
    <w:rsid w:val="004854B1"/>
    <w:rsid w:val="004856EC"/>
    <w:rsid w:val="004858F9"/>
    <w:rsid w:val="00485AD9"/>
    <w:rsid w:val="00485B2B"/>
    <w:rsid w:val="00485B2F"/>
    <w:rsid w:val="00485B58"/>
    <w:rsid w:val="00485B73"/>
    <w:rsid w:val="00485DD7"/>
    <w:rsid w:val="004861D8"/>
    <w:rsid w:val="00486365"/>
    <w:rsid w:val="00486854"/>
    <w:rsid w:val="00486B09"/>
    <w:rsid w:val="00486BD4"/>
    <w:rsid w:val="00486BDE"/>
    <w:rsid w:val="00486DD7"/>
    <w:rsid w:val="00487016"/>
    <w:rsid w:val="004871A2"/>
    <w:rsid w:val="00487AD4"/>
    <w:rsid w:val="00487BD7"/>
    <w:rsid w:val="00487F4A"/>
    <w:rsid w:val="00490034"/>
    <w:rsid w:val="00490487"/>
    <w:rsid w:val="0049095C"/>
    <w:rsid w:val="00490C0A"/>
    <w:rsid w:val="00490C2F"/>
    <w:rsid w:val="00490C57"/>
    <w:rsid w:val="00490D70"/>
    <w:rsid w:val="00490F0B"/>
    <w:rsid w:val="00491328"/>
    <w:rsid w:val="004914EF"/>
    <w:rsid w:val="00491697"/>
    <w:rsid w:val="00491A32"/>
    <w:rsid w:val="00492765"/>
    <w:rsid w:val="004928FF"/>
    <w:rsid w:val="00492916"/>
    <w:rsid w:val="00492922"/>
    <w:rsid w:val="0049297F"/>
    <w:rsid w:val="0049300F"/>
    <w:rsid w:val="0049317D"/>
    <w:rsid w:val="00493248"/>
    <w:rsid w:val="004932A2"/>
    <w:rsid w:val="004933C3"/>
    <w:rsid w:val="004933EC"/>
    <w:rsid w:val="00493486"/>
    <w:rsid w:val="004935C3"/>
    <w:rsid w:val="00493638"/>
    <w:rsid w:val="00493BFD"/>
    <w:rsid w:val="00493F3F"/>
    <w:rsid w:val="00494043"/>
    <w:rsid w:val="004941DE"/>
    <w:rsid w:val="004942C6"/>
    <w:rsid w:val="004944C7"/>
    <w:rsid w:val="0049457C"/>
    <w:rsid w:val="00494623"/>
    <w:rsid w:val="00494866"/>
    <w:rsid w:val="00494C3C"/>
    <w:rsid w:val="00494D17"/>
    <w:rsid w:val="00494DC2"/>
    <w:rsid w:val="00494F4C"/>
    <w:rsid w:val="004957BB"/>
    <w:rsid w:val="004957C1"/>
    <w:rsid w:val="0049588A"/>
    <w:rsid w:val="00495A0C"/>
    <w:rsid w:val="004960F3"/>
    <w:rsid w:val="004962E4"/>
    <w:rsid w:val="004963C8"/>
    <w:rsid w:val="0049669F"/>
    <w:rsid w:val="004966F4"/>
    <w:rsid w:val="00496721"/>
    <w:rsid w:val="00496784"/>
    <w:rsid w:val="00496799"/>
    <w:rsid w:val="004968D4"/>
    <w:rsid w:val="00497564"/>
    <w:rsid w:val="00497A71"/>
    <w:rsid w:val="00497B59"/>
    <w:rsid w:val="00497DBB"/>
    <w:rsid w:val="00497E61"/>
    <w:rsid w:val="00497F65"/>
    <w:rsid w:val="004A0071"/>
    <w:rsid w:val="004A0158"/>
    <w:rsid w:val="004A09FA"/>
    <w:rsid w:val="004A0ADF"/>
    <w:rsid w:val="004A0EF6"/>
    <w:rsid w:val="004A18D0"/>
    <w:rsid w:val="004A1DF6"/>
    <w:rsid w:val="004A1F81"/>
    <w:rsid w:val="004A2461"/>
    <w:rsid w:val="004A28D4"/>
    <w:rsid w:val="004A29A5"/>
    <w:rsid w:val="004A2DE0"/>
    <w:rsid w:val="004A2E68"/>
    <w:rsid w:val="004A3997"/>
    <w:rsid w:val="004A3DC8"/>
    <w:rsid w:val="004A3DD0"/>
    <w:rsid w:val="004A3EEA"/>
    <w:rsid w:val="004A404B"/>
    <w:rsid w:val="004A439C"/>
    <w:rsid w:val="004A4513"/>
    <w:rsid w:val="004A45FA"/>
    <w:rsid w:val="004A4775"/>
    <w:rsid w:val="004A4876"/>
    <w:rsid w:val="004A4B03"/>
    <w:rsid w:val="004A4CCA"/>
    <w:rsid w:val="004A5460"/>
    <w:rsid w:val="004A5510"/>
    <w:rsid w:val="004A5C4D"/>
    <w:rsid w:val="004A69EB"/>
    <w:rsid w:val="004A6E1B"/>
    <w:rsid w:val="004A6FCA"/>
    <w:rsid w:val="004A7057"/>
    <w:rsid w:val="004A7161"/>
    <w:rsid w:val="004A71B2"/>
    <w:rsid w:val="004A7274"/>
    <w:rsid w:val="004A7592"/>
    <w:rsid w:val="004A76DA"/>
    <w:rsid w:val="004A7B35"/>
    <w:rsid w:val="004A7BF5"/>
    <w:rsid w:val="004A7FAF"/>
    <w:rsid w:val="004B0B93"/>
    <w:rsid w:val="004B0DED"/>
    <w:rsid w:val="004B0E7C"/>
    <w:rsid w:val="004B0E81"/>
    <w:rsid w:val="004B103F"/>
    <w:rsid w:val="004B12ED"/>
    <w:rsid w:val="004B15AC"/>
    <w:rsid w:val="004B1BD0"/>
    <w:rsid w:val="004B2314"/>
    <w:rsid w:val="004B261C"/>
    <w:rsid w:val="004B28C5"/>
    <w:rsid w:val="004B2CB0"/>
    <w:rsid w:val="004B2D5F"/>
    <w:rsid w:val="004B2E03"/>
    <w:rsid w:val="004B2EF0"/>
    <w:rsid w:val="004B304A"/>
    <w:rsid w:val="004B307D"/>
    <w:rsid w:val="004B3117"/>
    <w:rsid w:val="004B341F"/>
    <w:rsid w:val="004B3765"/>
    <w:rsid w:val="004B3935"/>
    <w:rsid w:val="004B3E95"/>
    <w:rsid w:val="004B4850"/>
    <w:rsid w:val="004B4F8C"/>
    <w:rsid w:val="004B50B4"/>
    <w:rsid w:val="004B58AD"/>
    <w:rsid w:val="004B5AED"/>
    <w:rsid w:val="004B644C"/>
    <w:rsid w:val="004B64E6"/>
    <w:rsid w:val="004B6879"/>
    <w:rsid w:val="004B6C61"/>
    <w:rsid w:val="004B6D5F"/>
    <w:rsid w:val="004B6F69"/>
    <w:rsid w:val="004B7157"/>
    <w:rsid w:val="004B72B4"/>
    <w:rsid w:val="004B74B2"/>
    <w:rsid w:val="004B7B8B"/>
    <w:rsid w:val="004B7DD2"/>
    <w:rsid w:val="004B7DF9"/>
    <w:rsid w:val="004B7E08"/>
    <w:rsid w:val="004B7E96"/>
    <w:rsid w:val="004B7EB1"/>
    <w:rsid w:val="004B7EF1"/>
    <w:rsid w:val="004C00A2"/>
    <w:rsid w:val="004C0708"/>
    <w:rsid w:val="004C0864"/>
    <w:rsid w:val="004C10E5"/>
    <w:rsid w:val="004C1213"/>
    <w:rsid w:val="004C17B8"/>
    <w:rsid w:val="004C1923"/>
    <w:rsid w:val="004C1D94"/>
    <w:rsid w:val="004C1F9E"/>
    <w:rsid w:val="004C1FCC"/>
    <w:rsid w:val="004C22E1"/>
    <w:rsid w:val="004C2353"/>
    <w:rsid w:val="004C2410"/>
    <w:rsid w:val="004C26E3"/>
    <w:rsid w:val="004C26FD"/>
    <w:rsid w:val="004C2C80"/>
    <w:rsid w:val="004C2D79"/>
    <w:rsid w:val="004C327C"/>
    <w:rsid w:val="004C327F"/>
    <w:rsid w:val="004C3291"/>
    <w:rsid w:val="004C32B9"/>
    <w:rsid w:val="004C32E5"/>
    <w:rsid w:val="004C3333"/>
    <w:rsid w:val="004C3345"/>
    <w:rsid w:val="004C3352"/>
    <w:rsid w:val="004C3A74"/>
    <w:rsid w:val="004C3E70"/>
    <w:rsid w:val="004C468E"/>
    <w:rsid w:val="004C470E"/>
    <w:rsid w:val="004C479F"/>
    <w:rsid w:val="004C48E4"/>
    <w:rsid w:val="004C4A7E"/>
    <w:rsid w:val="004C4A8C"/>
    <w:rsid w:val="004C4F04"/>
    <w:rsid w:val="004C5049"/>
    <w:rsid w:val="004C504C"/>
    <w:rsid w:val="004C53CB"/>
    <w:rsid w:val="004C53F6"/>
    <w:rsid w:val="004C5B75"/>
    <w:rsid w:val="004C5C86"/>
    <w:rsid w:val="004C5D03"/>
    <w:rsid w:val="004C5D30"/>
    <w:rsid w:val="004C60F9"/>
    <w:rsid w:val="004C646B"/>
    <w:rsid w:val="004C64BF"/>
    <w:rsid w:val="004C6518"/>
    <w:rsid w:val="004C6605"/>
    <w:rsid w:val="004C6618"/>
    <w:rsid w:val="004C67C4"/>
    <w:rsid w:val="004C6C57"/>
    <w:rsid w:val="004C707B"/>
    <w:rsid w:val="004C72D4"/>
    <w:rsid w:val="004C7429"/>
    <w:rsid w:val="004C74C9"/>
    <w:rsid w:val="004C7625"/>
    <w:rsid w:val="004C789A"/>
    <w:rsid w:val="004C7B90"/>
    <w:rsid w:val="004C7FCB"/>
    <w:rsid w:val="004D0771"/>
    <w:rsid w:val="004D07AE"/>
    <w:rsid w:val="004D07EF"/>
    <w:rsid w:val="004D0980"/>
    <w:rsid w:val="004D0BD2"/>
    <w:rsid w:val="004D0C3D"/>
    <w:rsid w:val="004D0CBF"/>
    <w:rsid w:val="004D0D12"/>
    <w:rsid w:val="004D0FD0"/>
    <w:rsid w:val="004D0FF8"/>
    <w:rsid w:val="004D1100"/>
    <w:rsid w:val="004D13A9"/>
    <w:rsid w:val="004D1401"/>
    <w:rsid w:val="004D16CA"/>
    <w:rsid w:val="004D178D"/>
    <w:rsid w:val="004D187B"/>
    <w:rsid w:val="004D24EB"/>
    <w:rsid w:val="004D26DE"/>
    <w:rsid w:val="004D276B"/>
    <w:rsid w:val="004D2A51"/>
    <w:rsid w:val="004D2A65"/>
    <w:rsid w:val="004D2ED9"/>
    <w:rsid w:val="004D3505"/>
    <w:rsid w:val="004D361C"/>
    <w:rsid w:val="004D3685"/>
    <w:rsid w:val="004D375A"/>
    <w:rsid w:val="004D377D"/>
    <w:rsid w:val="004D3823"/>
    <w:rsid w:val="004D3824"/>
    <w:rsid w:val="004D3AA1"/>
    <w:rsid w:val="004D3BF8"/>
    <w:rsid w:val="004D3DB2"/>
    <w:rsid w:val="004D3DE9"/>
    <w:rsid w:val="004D42E9"/>
    <w:rsid w:val="004D434A"/>
    <w:rsid w:val="004D440C"/>
    <w:rsid w:val="004D4427"/>
    <w:rsid w:val="004D445B"/>
    <w:rsid w:val="004D4527"/>
    <w:rsid w:val="004D50C9"/>
    <w:rsid w:val="004D592F"/>
    <w:rsid w:val="004D654E"/>
    <w:rsid w:val="004D6950"/>
    <w:rsid w:val="004D6C45"/>
    <w:rsid w:val="004D6E5E"/>
    <w:rsid w:val="004D7043"/>
    <w:rsid w:val="004D7084"/>
    <w:rsid w:val="004D7274"/>
    <w:rsid w:val="004D77A1"/>
    <w:rsid w:val="004D78EC"/>
    <w:rsid w:val="004D7C21"/>
    <w:rsid w:val="004D7ECF"/>
    <w:rsid w:val="004E012A"/>
    <w:rsid w:val="004E017A"/>
    <w:rsid w:val="004E018B"/>
    <w:rsid w:val="004E02EE"/>
    <w:rsid w:val="004E08EF"/>
    <w:rsid w:val="004E0E01"/>
    <w:rsid w:val="004E0F0D"/>
    <w:rsid w:val="004E12F1"/>
    <w:rsid w:val="004E181F"/>
    <w:rsid w:val="004E18D2"/>
    <w:rsid w:val="004E19B3"/>
    <w:rsid w:val="004E2032"/>
    <w:rsid w:val="004E22AE"/>
    <w:rsid w:val="004E23C9"/>
    <w:rsid w:val="004E2401"/>
    <w:rsid w:val="004E26BB"/>
    <w:rsid w:val="004E26E0"/>
    <w:rsid w:val="004E2931"/>
    <w:rsid w:val="004E2AFF"/>
    <w:rsid w:val="004E321D"/>
    <w:rsid w:val="004E3784"/>
    <w:rsid w:val="004E3A8B"/>
    <w:rsid w:val="004E3DF1"/>
    <w:rsid w:val="004E4158"/>
    <w:rsid w:val="004E498A"/>
    <w:rsid w:val="004E4C46"/>
    <w:rsid w:val="004E5092"/>
    <w:rsid w:val="004E5163"/>
    <w:rsid w:val="004E59D5"/>
    <w:rsid w:val="004E5A19"/>
    <w:rsid w:val="004E5A3E"/>
    <w:rsid w:val="004E5C7C"/>
    <w:rsid w:val="004E5D52"/>
    <w:rsid w:val="004E622F"/>
    <w:rsid w:val="004E67B7"/>
    <w:rsid w:val="004E69A1"/>
    <w:rsid w:val="004E6B98"/>
    <w:rsid w:val="004E6CBE"/>
    <w:rsid w:val="004E6D7C"/>
    <w:rsid w:val="004E701A"/>
    <w:rsid w:val="004E70DF"/>
    <w:rsid w:val="004E7382"/>
    <w:rsid w:val="004E77E7"/>
    <w:rsid w:val="004E7A67"/>
    <w:rsid w:val="004E7B84"/>
    <w:rsid w:val="004E7CA7"/>
    <w:rsid w:val="004E7E13"/>
    <w:rsid w:val="004E7E2E"/>
    <w:rsid w:val="004E7EAA"/>
    <w:rsid w:val="004F0029"/>
    <w:rsid w:val="004F0882"/>
    <w:rsid w:val="004F0CA3"/>
    <w:rsid w:val="004F0E45"/>
    <w:rsid w:val="004F0E46"/>
    <w:rsid w:val="004F10EA"/>
    <w:rsid w:val="004F1674"/>
    <w:rsid w:val="004F17C7"/>
    <w:rsid w:val="004F1949"/>
    <w:rsid w:val="004F1A8F"/>
    <w:rsid w:val="004F1C1F"/>
    <w:rsid w:val="004F1D22"/>
    <w:rsid w:val="004F1EE7"/>
    <w:rsid w:val="004F1EFB"/>
    <w:rsid w:val="004F22B1"/>
    <w:rsid w:val="004F230C"/>
    <w:rsid w:val="004F23A5"/>
    <w:rsid w:val="004F2430"/>
    <w:rsid w:val="004F2480"/>
    <w:rsid w:val="004F28F0"/>
    <w:rsid w:val="004F2A62"/>
    <w:rsid w:val="004F2D0E"/>
    <w:rsid w:val="004F2D6C"/>
    <w:rsid w:val="004F330C"/>
    <w:rsid w:val="004F33C4"/>
    <w:rsid w:val="004F344C"/>
    <w:rsid w:val="004F349F"/>
    <w:rsid w:val="004F363E"/>
    <w:rsid w:val="004F378B"/>
    <w:rsid w:val="004F3AB0"/>
    <w:rsid w:val="004F3B32"/>
    <w:rsid w:val="004F3CF2"/>
    <w:rsid w:val="004F3D42"/>
    <w:rsid w:val="004F3EA2"/>
    <w:rsid w:val="004F3F20"/>
    <w:rsid w:val="004F42E0"/>
    <w:rsid w:val="004F45BA"/>
    <w:rsid w:val="004F45E4"/>
    <w:rsid w:val="004F46E4"/>
    <w:rsid w:val="004F4A2A"/>
    <w:rsid w:val="004F4B0A"/>
    <w:rsid w:val="004F5230"/>
    <w:rsid w:val="004F557C"/>
    <w:rsid w:val="004F582B"/>
    <w:rsid w:val="004F5B60"/>
    <w:rsid w:val="004F5BDC"/>
    <w:rsid w:val="004F5C07"/>
    <w:rsid w:val="004F5E12"/>
    <w:rsid w:val="004F5FBC"/>
    <w:rsid w:val="004F682D"/>
    <w:rsid w:val="004F6954"/>
    <w:rsid w:val="004F698D"/>
    <w:rsid w:val="004F6E7D"/>
    <w:rsid w:val="004F6FF5"/>
    <w:rsid w:val="004F7054"/>
    <w:rsid w:val="004F7157"/>
    <w:rsid w:val="004F71E2"/>
    <w:rsid w:val="004F729B"/>
    <w:rsid w:val="004F73E8"/>
    <w:rsid w:val="004F7404"/>
    <w:rsid w:val="004F74ED"/>
    <w:rsid w:val="004F75C9"/>
    <w:rsid w:val="004F7786"/>
    <w:rsid w:val="004F7A9D"/>
    <w:rsid w:val="004F7A9F"/>
    <w:rsid w:val="00500147"/>
    <w:rsid w:val="00500322"/>
    <w:rsid w:val="005004D1"/>
    <w:rsid w:val="005007E0"/>
    <w:rsid w:val="00500878"/>
    <w:rsid w:val="005008C7"/>
    <w:rsid w:val="00500B83"/>
    <w:rsid w:val="00500D24"/>
    <w:rsid w:val="00501171"/>
    <w:rsid w:val="0050119F"/>
    <w:rsid w:val="005013BC"/>
    <w:rsid w:val="0050142B"/>
    <w:rsid w:val="00501567"/>
    <w:rsid w:val="005015BA"/>
    <w:rsid w:val="00501626"/>
    <w:rsid w:val="00501784"/>
    <w:rsid w:val="00501933"/>
    <w:rsid w:val="00501A0D"/>
    <w:rsid w:val="00501D6D"/>
    <w:rsid w:val="00502064"/>
    <w:rsid w:val="005021AC"/>
    <w:rsid w:val="00502371"/>
    <w:rsid w:val="005027B0"/>
    <w:rsid w:val="00502C93"/>
    <w:rsid w:val="00502F1E"/>
    <w:rsid w:val="00503201"/>
    <w:rsid w:val="0050333A"/>
    <w:rsid w:val="0050357F"/>
    <w:rsid w:val="005036E4"/>
    <w:rsid w:val="00503705"/>
    <w:rsid w:val="00503B9D"/>
    <w:rsid w:val="00503BA2"/>
    <w:rsid w:val="00503CBC"/>
    <w:rsid w:val="00503DCA"/>
    <w:rsid w:val="0050414A"/>
    <w:rsid w:val="00504454"/>
    <w:rsid w:val="00504548"/>
    <w:rsid w:val="00505350"/>
    <w:rsid w:val="00505780"/>
    <w:rsid w:val="00505875"/>
    <w:rsid w:val="00505917"/>
    <w:rsid w:val="00505D76"/>
    <w:rsid w:val="00506120"/>
    <w:rsid w:val="00506229"/>
    <w:rsid w:val="005066E0"/>
    <w:rsid w:val="00506A08"/>
    <w:rsid w:val="00506A5A"/>
    <w:rsid w:val="00506DC6"/>
    <w:rsid w:val="00506EAE"/>
    <w:rsid w:val="00506FA3"/>
    <w:rsid w:val="005073E1"/>
    <w:rsid w:val="00507B29"/>
    <w:rsid w:val="00510186"/>
    <w:rsid w:val="0051050A"/>
    <w:rsid w:val="00511139"/>
    <w:rsid w:val="0051119B"/>
    <w:rsid w:val="00511205"/>
    <w:rsid w:val="0051139B"/>
    <w:rsid w:val="00511625"/>
    <w:rsid w:val="00511778"/>
    <w:rsid w:val="00511E23"/>
    <w:rsid w:val="005124A9"/>
    <w:rsid w:val="005127BC"/>
    <w:rsid w:val="005129D6"/>
    <w:rsid w:val="005129D9"/>
    <w:rsid w:val="00512ABE"/>
    <w:rsid w:val="00512BDD"/>
    <w:rsid w:val="00512C1A"/>
    <w:rsid w:val="005132B5"/>
    <w:rsid w:val="00513342"/>
    <w:rsid w:val="005135B0"/>
    <w:rsid w:val="0051402D"/>
    <w:rsid w:val="0051417A"/>
    <w:rsid w:val="00514685"/>
    <w:rsid w:val="00514F4E"/>
    <w:rsid w:val="005150E1"/>
    <w:rsid w:val="005153F7"/>
    <w:rsid w:val="00515513"/>
    <w:rsid w:val="00515A3D"/>
    <w:rsid w:val="00515AFB"/>
    <w:rsid w:val="00515EE9"/>
    <w:rsid w:val="0051601F"/>
    <w:rsid w:val="005164F1"/>
    <w:rsid w:val="0051717F"/>
    <w:rsid w:val="00517526"/>
    <w:rsid w:val="00517536"/>
    <w:rsid w:val="005177C9"/>
    <w:rsid w:val="005178AA"/>
    <w:rsid w:val="00517A89"/>
    <w:rsid w:val="00517ACF"/>
    <w:rsid w:val="00517D38"/>
    <w:rsid w:val="00517E83"/>
    <w:rsid w:val="005200D1"/>
    <w:rsid w:val="00520408"/>
    <w:rsid w:val="0052044F"/>
    <w:rsid w:val="0052068A"/>
    <w:rsid w:val="00520805"/>
    <w:rsid w:val="005209EF"/>
    <w:rsid w:val="00520F0A"/>
    <w:rsid w:val="005218E1"/>
    <w:rsid w:val="00521B29"/>
    <w:rsid w:val="00521B68"/>
    <w:rsid w:val="005220A1"/>
    <w:rsid w:val="005222AA"/>
    <w:rsid w:val="00522391"/>
    <w:rsid w:val="005223E5"/>
    <w:rsid w:val="005224CE"/>
    <w:rsid w:val="0052276D"/>
    <w:rsid w:val="00522940"/>
    <w:rsid w:val="00522C16"/>
    <w:rsid w:val="005234D4"/>
    <w:rsid w:val="00523773"/>
    <w:rsid w:val="00523782"/>
    <w:rsid w:val="00523958"/>
    <w:rsid w:val="0052478A"/>
    <w:rsid w:val="005249B7"/>
    <w:rsid w:val="00524CAE"/>
    <w:rsid w:val="00524CC1"/>
    <w:rsid w:val="00524E00"/>
    <w:rsid w:val="005250A3"/>
    <w:rsid w:val="00525925"/>
    <w:rsid w:val="00525A47"/>
    <w:rsid w:val="00525C9C"/>
    <w:rsid w:val="00525CE3"/>
    <w:rsid w:val="00525E97"/>
    <w:rsid w:val="00525FCC"/>
    <w:rsid w:val="0052607D"/>
    <w:rsid w:val="005261C8"/>
    <w:rsid w:val="00526644"/>
    <w:rsid w:val="00526B69"/>
    <w:rsid w:val="00526D1D"/>
    <w:rsid w:val="00526DE9"/>
    <w:rsid w:val="00526F0B"/>
    <w:rsid w:val="0052748F"/>
    <w:rsid w:val="00527988"/>
    <w:rsid w:val="00527EE2"/>
    <w:rsid w:val="00527F38"/>
    <w:rsid w:val="00527FBE"/>
    <w:rsid w:val="0053002E"/>
    <w:rsid w:val="005301E2"/>
    <w:rsid w:val="00530255"/>
    <w:rsid w:val="00530294"/>
    <w:rsid w:val="0053046B"/>
    <w:rsid w:val="00530522"/>
    <w:rsid w:val="005306D6"/>
    <w:rsid w:val="00530A74"/>
    <w:rsid w:val="00530DFC"/>
    <w:rsid w:val="00530E58"/>
    <w:rsid w:val="00531229"/>
    <w:rsid w:val="00531359"/>
    <w:rsid w:val="00531995"/>
    <w:rsid w:val="00531BF1"/>
    <w:rsid w:val="00531C1C"/>
    <w:rsid w:val="005320F0"/>
    <w:rsid w:val="005326A8"/>
    <w:rsid w:val="00532741"/>
    <w:rsid w:val="00532997"/>
    <w:rsid w:val="005329CA"/>
    <w:rsid w:val="00532B78"/>
    <w:rsid w:val="00532C17"/>
    <w:rsid w:val="00532CB8"/>
    <w:rsid w:val="00532D6B"/>
    <w:rsid w:val="0053305C"/>
    <w:rsid w:val="005330E1"/>
    <w:rsid w:val="00533411"/>
    <w:rsid w:val="00533561"/>
    <w:rsid w:val="00533730"/>
    <w:rsid w:val="0053404B"/>
    <w:rsid w:val="005340C5"/>
    <w:rsid w:val="00534592"/>
    <w:rsid w:val="00534697"/>
    <w:rsid w:val="00534A94"/>
    <w:rsid w:val="00534AC3"/>
    <w:rsid w:val="0053512E"/>
    <w:rsid w:val="005355A7"/>
    <w:rsid w:val="005357D9"/>
    <w:rsid w:val="00535ACD"/>
    <w:rsid w:val="00535B02"/>
    <w:rsid w:val="00535B39"/>
    <w:rsid w:val="0053609B"/>
    <w:rsid w:val="00536207"/>
    <w:rsid w:val="00536377"/>
    <w:rsid w:val="005363C8"/>
    <w:rsid w:val="005364B1"/>
    <w:rsid w:val="00536E93"/>
    <w:rsid w:val="00536FBD"/>
    <w:rsid w:val="00537202"/>
    <w:rsid w:val="005375C1"/>
    <w:rsid w:val="00537672"/>
    <w:rsid w:val="00537694"/>
    <w:rsid w:val="00537767"/>
    <w:rsid w:val="00537814"/>
    <w:rsid w:val="005378D5"/>
    <w:rsid w:val="00537A2F"/>
    <w:rsid w:val="005400C8"/>
    <w:rsid w:val="005401FF"/>
    <w:rsid w:val="0054057F"/>
    <w:rsid w:val="005405EB"/>
    <w:rsid w:val="00540752"/>
    <w:rsid w:val="00540D9C"/>
    <w:rsid w:val="005414BA"/>
    <w:rsid w:val="00541B9B"/>
    <w:rsid w:val="00541EDE"/>
    <w:rsid w:val="00541F0F"/>
    <w:rsid w:val="00541F2E"/>
    <w:rsid w:val="00541F68"/>
    <w:rsid w:val="00542187"/>
    <w:rsid w:val="00542260"/>
    <w:rsid w:val="00542626"/>
    <w:rsid w:val="005427AF"/>
    <w:rsid w:val="00542967"/>
    <w:rsid w:val="005429C9"/>
    <w:rsid w:val="00542ADE"/>
    <w:rsid w:val="00542E8E"/>
    <w:rsid w:val="005432A1"/>
    <w:rsid w:val="0054388C"/>
    <w:rsid w:val="00543A69"/>
    <w:rsid w:val="00543AE5"/>
    <w:rsid w:val="00543D89"/>
    <w:rsid w:val="00543E44"/>
    <w:rsid w:val="00543E9B"/>
    <w:rsid w:val="00543F8B"/>
    <w:rsid w:val="00543FDE"/>
    <w:rsid w:val="005444C1"/>
    <w:rsid w:val="005447E9"/>
    <w:rsid w:val="0054487D"/>
    <w:rsid w:val="00544BD1"/>
    <w:rsid w:val="00544D2A"/>
    <w:rsid w:val="00544DC9"/>
    <w:rsid w:val="00544E91"/>
    <w:rsid w:val="00544F41"/>
    <w:rsid w:val="00545146"/>
    <w:rsid w:val="00545396"/>
    <w:rsid w:val="005455C5"/>
    <w:rsid w:val="00545636"/>
    <w:rsid w:val="005457BE"/>
    <w:rsid w:val="00545802"/>
    <w:rsid w:val="00545BE8"/>
    <w:rsid w:val="00545C65"/>
    <w:rsid w:val="00545C74"/>
    <w:rsid w:val="00545D23"/>
    <w:rsid w:val="00545D9D"/>
    <w:rsid w:val="0054617C"/>
    <w:rsid w:val="005461D0"/>
    <w:rsid w:val="0054655E"/>
    <w:rsid w:val="00546648"/>
    <w:rsid w:val="005466F0"/>
    <w:rsid w:val="0054671B"/>
    <w:rsid w:val="005467CF"/>
    <w:rsid w:val="00546B85"/>
    <w:rsid w:val="005473CA"/>
    <w:rsid w:val="005474BA"/>
    <w:rsid w:val="00547594"/>
    <w:rsid w:val="00547808"/>
    <w:rsid w:val="00547C0B"/>
    <w:rsid w:val="00547F17"/>
    <w:rsid w:val="00550958"/>
    <w:rsid w:val="00550985"/>
    <w:rsid w:val="005509EC"/>
    <w:rsid w:val="005509F9"/>
    <w:rsid w:val="005512B2"/>
    <w:rsid w:val="005512C5"/>
    <w:rsid w:val="005514E2"/>
    <w:rsid w:val="0055162F"/>
    <w:rsid w:val="005518B0"/>
    <w:rsid w:val="00551C90"/>
    <w:rsid w:val="0055208E"/>
    <w:rsid w:val="00552706"/>
    <w:rsid w:val="005529EA"/>
    <w:rsid w:val="00552BF2"/>
    <w:rsid w:val="00552D88"/>
    <w:rsid w:val="005532F6"/>
    <w:rsid w:val="0055355B"/>
    <w:rsid w:val="00553B83"/>
    <w:rsid w:val="00553D35"/>
    <w:rsid w:val="00553FAA"/>
    <w:rsid w:val="0055426E"/>
    <w:rsid w:val="0055466E"/>
    <w:rsid w:val="00554757"/>
    <w:rsid w:val="00554834"/>
    <w:rsid w:val="005548A2"/>
    <w:rsid w:val="005549E7"/>
    <w:rsid w:val="00554A0A"/>
    <w:rsid w:val="00554C10"/>
    <w:rsid w:val="00554CE8"/>
    <w:rsid w:val="00554E8A"/>
    <w:rsid w:val="00554F2A"/>
    <w:rsid w:val="005554BB"/>
    <w:rsid w:val="0055558E"/>
    <w:rsid w:val="0055575E"/>
    <w:rsid w:val="005557AE"/>
    <w:rsid w:val="005557B8"/>
    <w:rsid w:val="005559EE"/>
    <w:rsid w:val="00555E21"/>
    <w:rsid w:val="00555F6B"/>
    <w:rsid w:val="00555F9A"/>
    <w:rsid w:val="005565A2"/>
    <w:rsid w:val="005568A3"/>
    <w:rsid w:val="00556C0B"/>
    <w:rsid w:val="00556CE3"/>
    <w:rsid w:val="00556DE9"/>
    <w:rsid w:val="00556E7E"/>
    <w:rsid w:val="005571C0"/>
    <w:rsid w:val="0055742E"/>
    <w:rsid w:val="005574AE"/>
    <w:rsid w:val="00557EB7"/>
    <w:rsid w:val="00557FFB"/>
    <w:rsid w:val="0056019E"/>
    <w:rsid w:val="00560488"/>
    <w:rsid w:val="005606D0"/>
    <w:rsid w:val="0056078A"/>
    <w:rsid w:val="00560894"/>
    <w:rsid w:val="005609A1"/>
    <w:rsid w:val="00560B21"/>
    <w:rsid w:val="00560C0B"/>
    <w:rsid w:val="00560CBA"/>
    <w:rsid w:val="005610DA"/>
    <w:rsid w:val="00561335"/>
    <w:rsid w:val="00561384"/>
    <w:rsid w:val="00561516"/>
    <w:rsid w:val="005616AB"/>
    <w:rsid w:val="00561C5C"/>
    <w:rsid w:val="00562111"/>
    <w:rsid w:val="005621B7"/>
    <w:rsid w:val="005624D7"/>
    <w:rsid w:val="0056253D"/>
    <w:rsid w:val="005627AF"/>
    <w:rsid w:val="00562A67"/>
    <w:rsid w:val="00562BEF"/>
    <w:rsid w:val="00562FF7"/>
    <w:rsid w:val="0056319B"/>
    <w:rsid w:val="00563402"/>
    <w:rsid w:val="005637ED"/>
    <w:rsid w:val="00563855"/>
    <w:rsid w:val="00563AB5"/>
    <w:rsid w:val="00563EF7"/>
    <w:rsid w:val="00564304"/>
    <w:rsid w:val="00564E66"/>
    <w:rsid w:val="00564F53"/>
    <w:rsid w:val="00565305"/>
    <w:rsid w:val="00565402"/>
    <w:rsid w:val="00565A3D"/>
    <w:rsid w:val="00565E2A"/>
    <w:rsid w:val="00566016"/>
    <w:rsid w:val="005660E5"/>
    <w:rsid w:val="00566402"/>
    <w:rsid w:val="0056651E"/>
    <w:rsid w:val="005666A8"/>
    <w:rsid w:val="0056673A"/>
    <w:rsid w:val="005667AB"/>
    <w:rsid w:val="00566C49"/>
    <w:rsid w:val="0056735B"/>
    <w:rsid w:val="00567370"/>
    <w:rsid w:val="00567692"/>
    <w:rsid w:val="00567B0C"/>
    <w:rsid w:val="00567BD0"/>
    <w:rsid w:val="005704B4"/>
    <w:rsid w:val="005706A1"/>
    <w:rsid w:val="005709EA"/>
    <w:rsid w:val="00570AD1"/>
    <w:rsid w:val="00570B0D"/>
    <w:rsid w:val="00570E78"/>
    <w:rsid w:val="005712AB"/>
    <w:rsid w:val="005712DC"/>
    <w:rsid w:val="0057135A"/>
    <w:rsid w:val="0057140E"/>
    <w:rsid w:val="0057175D"/>
    <w:rsid w:val="00571768"/>
    <w:rsid w:val="00571985"/>
    <w:rsid w:val="00571CFC"/>
    <w:rsid w:val="00571E62"/>
    <w:rsid w:val="0057208B"/>
    <w:rsid w:val="0057210C"/>
    <w:rsid w:val="005721E3"/>
    <w:rsid w:val="0057297C"/>
    <w:rsid w:val="00572B24"/>
    <w:rsid w:val="00572C32"/>
    <w:rsid w:val="00572C35"/>
    <w:rsid w:val="00572CC1"/>
    <w:rsid w:val="00572F6C"/>
    <w:rsid w:val="00573358"/>
    <w:rsid w:val="00573434"/>
    <w:rsid w:val="005734CB"/>
    <w:rsid w:val="005736FB"/>
    <w:rsid w:val="00573732"/>
    <w:rsid w:val="00573818"/>
    <w:rsid w:val="00573984"/>
    <w:rsid w:val="00573AB0"/>
    <w:rsid w:val="00573D4D"/>
    <w:rsid w:val="00573F61"/>
    <w:rsid w:val="00574041"/>
    <w:rsid w:val="00574438"/>
    <w:rsid w:val="005748C7"/>
    <w:rsid w:val="005748D0"/>
    <w:rsid w:val="005748E9"/>
    <w:rsid w:val="0057494E"/>
    <w:rsid w:val="00574BB3"/>
    <w:rsid w:val="00574F28"/>
    <w:rsid w:val="005750C4"/>
    <w:rsid w:val="0057528B"/>
    <w:rsid w:val="0057596A"/>
    <w:rsid w:val="005762C0"/>
    <w:rsid w:val="005762EF"/>
    <w:rsid w:val="005766B8"/>
    <w:rsid w:val="00576949"/>
    <w:rsid w:val="00576978"/>
    <w:rsid w:val="005773D6"/>
    <w:rsid w:val="005775FC"/>
    <w:rsid w:val="00577670"/>
    <w:rsid w:val="00577812"/>
    <w:rsid w:val="00577C87"/>
    <w:rsid w:val="00580505"/>
    <w:rsid w:val="0058059A"/>
    <w:rsid w:val="0058083C"/>
    <w:rsid w:val="005808C7"/>
    <w:rsid w:val="00580C2D"/>
    <w:rsid w:val="00580C95"/>
    <w:rsid w:val="00580F13"/>
    <w:rsid w:val="00581340"/>
    <w:rsid w:val="005813D8"/>
    <w:rsid w:val="0058161A"/>
    <w:rsid w:val="00581D3A"/>
    <w:rsid w:val="0058204A"/>
    <w:rsid w:val="0058214C"/>
    <w:rsid w:val="0058226A"/>
    <w:rsid w:val="00582328"/>
    <w:rsid w:val="00582362"/>
    <w:rsid w:val="00582547"/>
    <w:rsid w:val="005825D1"/>
    <w:rsid w:val="005826EF"/>
    <w:rsid w:val="0058272C"/>
    <w:rsid w:val="00582E2E"/>
    <w:rsid w:val="00582F24"/>
    <w:rsid w:val="0058306B"/>
    <w:rsid w:val="00583186"/>
    <w:rsid w:val="00583193"/>
    <w:rsid w:val="005834FD"/>
    <w:rsid w:val="005836F0"/>
    <w:rsid w:val="00583E3C"/>
    <w:rsid w:val="005840BB"/>
    <w:rsid w:val="00584369"/>
    <w:rsid w:val="00584D0B"/>
    <w:rsid w:val="00584E66"/>
    <w:rsid w:val="00585483"/>
    <w:rsid w:val="0058572D"/>
    <w:rsid w:val="0058591B"/>
    <w:rsid w:val="005859CA"/>
    <w:rsid w:val="00585A14"/>
    <w:rsid w:val="00585A86"/>
    <w:rsid w:val="00585AA9"/>
    <w:rsid w:val="00585FEB"/>
    <w:rsid w:val="00586448"/>
    <w:rsid w:val="0058670D"/>
    <w:rsid w:val="00586834"/>
    <w:rsid w:val="00586A4E"/>
    <w:rsid w:val="00587097"/>
    <w:rsid w:val="00587288"/>
    <w:rsid w:val="005872EF"/>
    <w:rsid w:val="00587360"/>
    <w:rsid w:val="00587774"/>
    <w:rsid w:val="0058793B"/>
    <w:rsid w:val="005879AA"/>
    <w:rsid w:val="005879CD"/>
    <w:rsid w:val="00587E15"/>
    <w:rsid w:val="0059018F"/>
    <w:rsid w:val="00590342"/>
    <w:rsid w:val="00590561"/>
    <w:rsid w:val="0059091B"/>
    <w:rsid w:val="00590A26"/>
    <w:rsid w:val="00590BAA"/>
    <w:rsid w:val="005911E9"/>
    <w:rsid w:val="0059122F"/>
    <w:rsid w:val="005915B6"/>
    <w:rsid w:val="0059175F"/>
    <w:rsid w:val="005918F9"/>
    <w:rsid w:val="005919A6"/>
    <w:rsid w:val="00591A94"/>
    <w:rsid w:val="00591B81"/>
    <w:rsid w:val="00591BF6"/>
    <w:rsid w:val="00591C1B"/>
    <w:rsid w:val="00591D97"/>
    <w:rsid w:val="005925D0"/>
    <w:rsid w:val="005934DE"/>
    <w:rsid w:val="005936BA"/>
    <w:rsid w:val="00593794"/>
    <w:rsid w:val="005938A3"/>
    <w:rsid w:val="00593F4F"/>
    <w:rsid w:val="00593F84"/>
    <w:rsid w:val="005941D3"/>
    <w:rsid w:val="00594279"/>
    <w:rsid w:val="005943D4"/>
    <w:rsid w:val="0059450F"/>
    <w:rsid w:val="005947AE"/>
    <w:rsid w:val="005947FB"/>
    <w:rsid w:val="00594947"/>
    <w:rsid w:val="00594CFE"/>
    <w:rsid w:val="00594D7B"/>
    <w:rsid w:val="00594FE2"/>
    <w:rsid w:val="005950B1"/>
    <w:rsid w:val="00595878"/>
    <w:rsid w:val="005958E2"/>
    <w:rsid w:val="005959C9"/>
    <w:rsid w:val="00595A60"/>
    <w:rsid w:val="00595B88"/>
    <w:rsid w:val="00596077"/>
    <w:rsid w:val="00596461"/>
    <w:rsid w:val="0059673B"/>
    <w:rsid w:val="005968EC"/>
    <w:rsid w:val="00596D83"/>
    <w:rsid w:val="00596EB3"/>
    <w:rsid w:val="005976E3"/>
    <w:rsid w:val="00597BBA"/>
    <w:rsid w:val="00597BDA"/>
    <w:rsid w:val="00597EF4"/>
    <w:rsid w:val="00597FD7"/>
    <w:rsid w:val="005A01EC"/>
    <w:rsid w:val="005A0333"/>
    <w:rsid w:val="005A0433"/>
    <w:rsid w:val="005A04BF"/>
    <w:rsid w:val="005A0518"/>
    <w:rsid w:val="005A08A0"/>
    <w:rsid w:val="005A0DE7"/>
    <w:rsid w:val="005A18AB"/>
    <w:rsid w:val="005A1A99"/>
    <w:rsid w:val="005A1BD6"/>
    <w:rsid w:val="005A1C87"/>
    <w:rsid w:val="005A1D3D"/>
    <w:rsid w:val="005A1E6D"/>
    <w:rsid w:val="005A2191"/>
    <w:rsid w:val="005A2245"/>
    <w:rsid w:val="005A249D"/>
    <w:rsid w:val="005A2500"/>
    <w:rsid w:val="005A260A"/>
    <w:rsid w:val="005A272F"/>
    <w:rsid w:val="005A2963"/>
    <w:rsid w:val="005A2A77"/>
    <w:rsid w:val="005A2AEC"/>
    <w:rsid w:val="005A2E53"/>
    <w:rsid w:val="005A3058"/>
    <w:rsid w:val="005A3136"/>
    <w:rsid w:val="005A32BA"/>
    <w:rsid w:val="005A341E"/>
    <w:rsid w:val="005A34EC"/>
    <w:rsid w:val="005A398B"/>
    <w:rsid w:val="005A3D77"/>
    <w:rsid w:val="005A3D99"/>
    <w:rsid w:val="005A3E1E"/>
    <w:rsid w:val="005A3EAC"/>
    <w:rsid w:val="005A4A6D"/>
    <w:rsid w:val="005A5174"/>
    <w:rsid w:val="005A51D6"/>
    <w:rsid w:val="005A51DC"/>
    <w:rsid w:val="005A521F"/>
    <w:rsid w:val="005A5267"/>
    <w:rsid w:val="005A57D5"/>
    <w:rsid w:val="005A5B22"/>
    <w:rsid w:val="005A5E00"/>
    <w:rsid w:val="005A5EE9"/>
    <w:rsid w:val="005A5F98"/>
    <w:rsid w:val="005A67F4"/>
    <w:rsid w:val="005A6909"/>
    <w:rsid w:val="005A6CAB"/>
    <w:rsid w:val="005A766E"/>
    <w:rsid w:val="005A7679"/>
    <w:rsid w:val="005A7A09"/>
    <w:rsid w:val="005A7AEE"/>
    <w:rsid w:val="005A7DAC"/>
    <w:rsid w:val="005B00E1"/>
    <w:rsid w:val="005B028A"/>
    <w:rsid w:val="005B03EF"/>
    <w:rsid w:val="005B07C0"/>
    <w:rsid w:val="005B09DD"/>
    <w:rsid w:val="005B0D5A"/>
    <w:rsid w:val="005B0DE3"/>
    <w:rsid w:val="005B0F17"/>
    <w:rsid w:val="005B1014"/>
    <w:rsid w:val="005B1171"/>
    <w:rsid w:val="005B1383"/>
    <w:rsid w:val="005B138F"/>
    <w:rsid w:val="005B14F9"/>
    <w:rsid w:val="005B1AA8"/>
    <w:rsid w:val="005B1D4B"/>
    <w:rsid w:val="005B2210"/>
    <w:rsid w:val="005B241C"/>
    <w:rsid w:val="005B27D0"/>
    <w:rsid w:val="005B282C"/>
    <w:rsid w:val="005B2851"/>
    <w:rsid w:val="005B28B9"/>
    <w:rsid w:val="005B2C27"/>
    <w:rsid w:val="005B2DD3"/>
    <w:rsid w:val="005B2DDC"/>
    <w:rsid w:val="005B2ED9"/>
    <w:rsid w:val="005B2F87"/>
    <w:rsid w:val="005B2FFA"/>
    <w:rsid w:val="005B33DE"/>
    <w:rsid w:val="005B3604"/>
    <w:rsid w:val="005B3E0A"/>
    <w:rsid w:val="005B3F70"/>
    <w:rsid w:val="005B3F80"/>
    <w:rsid w:val="005B4102"/>
    <w:rsid w:val="005B4872"/>
    <w:rsid w:val="005B4877"/>
    <w:rsid w:val="005B4A47"/>
    <w:rsid w:val="005B4ABB"/>
    <w:rsid w:val="005B4DA3"/>
    <w:rsid w:val="005B4DBB"/>
    <w:rsid w:val="005B4E3C"/>
    <w:rsid w:val="005B4FE5"/>
    <w:rsid w:val="005B5273"/>
    <w:rsid w:val="005B5425"/>
    <w:rsid w:val="005B5675"/>
    <w:rsid w:val="005B5BCB"/>
    <w:rsid w:val="005B6042"/>
    <w:rsid w:val="005B6119"/>
    <w:rsid w:val="005B6AF4"/>
    <w:rsid w:val="005B6C1C"/>
    <w:rsid w:val="005B6DED"/>
    <w:rsid w:val="005B6F1E"/>
    <w:rsid w:val="005B70B4"/>
    <w:rsid w:val="005B7299"/>
    <w:rsid w:val="005B7889"/>
    <w:rsid w:val="005B79F6"/>
    <w:rsid w:val="005B7C5F"/>
    <w:rsid w:val="005B7CDC"/>
    <w:rsid w:val="005B7FE6"/>
    <w:rsid w:val="005C0178"/>
    <w:rsid w:val="005C04CC"/>
    <w:rsid w:val="005C08EE"/>
    <w:rsid w:val="005C0B8E"/>
    <w:rsid w:val="005C0F67"/>
    <w:rsid w:val="005C1893"/>
    <w:rsid w:val="005C1E1B"/>
    <w:rsid w:val="005C2126"/>
    <w:rsid w:val="005C2348"/>
    <w:rsid w:val="005C23E7"/>
    <w:rsid w:val="005C278C"/>
    <w:rsid w:val="005C27B6"/>
    <w:rsid w:val="005C27CE"/>
    <w:rsid w:val="005C284E"/>
    <w:rsid w:val="005C28C2"/>
    <w:rsid w:val="005C29B4"/>
    <w:rsid w:val="005C2B80"/>
    <w:rsid w:val="005C2CD1"/>
    <w:rsid w:val="005C30D7"/>
    <w:rsid w:val="005C31E4"/>
    <w:rsid w:val="005C3252"/>
    <w:rsid w:val="005C3763"/>
    <w:rsid w:val="005C3825"/>
    <w:rsid w:val="005C38AB"/>
    <w:rsid w:val="005C4031"/>
    <w:rsid w:val="005C4051"/>
    <w:rsid w:val="005C408C"/>
    <w:rsid w:val="005C4315"/>
    <w:rsid w:val="005C4806"/>
    <w:rsid w:val="005C4896"/>
    <w:rsid w:val="005C4B20"/>
    <w:rsid w:val="005C4B21"/>
    <w:rsid w:val="005C4BB2"/>
    <w:rsid w:val="005C4F75"/>
    <w:rsid w:val="005C4F81"/>
    <w:rsid w:val="005C54DE"/>
    <w:rsid w:val="005C5896"/>
    <w:rsid w:val="005C60C3"/>
    <w:rsid w:val="005C6167"/>
    <w:rsid w:val="005C62A1"/>
    <w:rsid w:val="005C63C6"/>
    <w:rsid w:val="005C6828"/>
    <w:rsid w:val="005C6A0B"/>
    <w:rsid w:val="005C6BB7"/>
    <w:rsid w:val="005C6CA1"/>
    <w:rsid w:val="005C6E73"/>
    <w:rsid w:val="005C6E8C"/>
    <w:rsid w:val="005C70C1"/>
    <w:rsid w:val="005C7267"/>
    <w:rsid w:val="005C735A"/>
    <w:rsid w:val="005C7655"/>
    <w:rsid w:val="005C765D"/>
    <w:rsid w:val="005C7684"/>
    <w:rsid w:val="005C7735"/>
    <w:rsid w:val="005C7C79"/>
    <w:rsid w:val="005C7D0B"/>
    <w:rsid w:val="005C7D49"/>
    <w:rsid w:val="005D0320"/>
    <w:rsid w:val="005D03C7"/>
    <w:rsid w:val="005D03EE"/>
    <w:rsid w:val="005D088D"/>
    <w:rsid w:val="005D0936"/>
    <w:rsid w:val="005D09D4"/>
    <w:rsid w:val="005D0A08"/>
    <w:rsid w:val="005D0B33"/>
    <w:rsid w:val="005D0B5E"/>
    <w:rsid w:val="005D101D"/>
    <w:rsid w:val="005D10F9"/>
    <w:rsid w:val="005D1238"/>
    <w:rsid w:val="005D1352"/>
    <w:rsid w:val="005D14BC"/>
    <w:rsid w:val="005D1838"/>
    <w:rsid w:val="005D199D"/>
    <w:rsid w:val="005D1B9C"/>
    <w:rsid w:val="005D1D4F"/>
    <w:rsid w:val="005D1E48"/>
    <w:rsid w:val="005D2313"/>
    <w:rsid w:val="005D2408"/>
    <w:rsid w:val="005D2501"/>
    <w:rsid w:val="005D2845"/>
    <w:rsid w:val="005D285C"/>
    <w:rsid w:val="005D286B"/>
    <w:rsid w:val="005D2D7A"/>
    <w:rsid w:val="005D2D8E"/>
    <w:rsid w:val="005D2DB5"/>
    <w:rsid w:val="005D2F0A"/>
    <w:rsid w:val="005D33A3"/>
    <w:rsid w:val="005D346D"/>
    <w:rsid w:val="005D3613"/>
    <w:rsid w:val="005D37B5"/>
    <w:rsid w:val="005D3CB2"/>
    <w:rsid w:val="005D3FFC"/>
    <w:rsid w:val="005D402D"/>
    <w:rsid w:val="005D45F7"/>
    <w:rsid w:val="005D48F0"/>
    <w:rsid w:val="005D4D7F"/>
    <w:rsid w:val="005D4E04"/>
    <w:rsid w:val="005D4FD1"/>
    <w:rsid w:val="005D5114"/>
    <w:rsid w:val="005D57A4"/>
    <w:rsid w:val="005D5AC9"/>
    <w:rsid w:val="005D5D7F"/>
    <w:rsid w:val="005D5E55"/>
    <w:rsid w:val="005D5F3C"/>
    <w:rsid w:val="005D62EA"/>
    <w:rsid w:val="005D683A"/>
    <w:rsid w:val="005D6D1E"/>
    <w:rsid w:val="005D6D23"/>
    <w:rsid w:val="005D7264"/>
    <w:rsid w:val="005D772B"/>
    <w:rsid w:val="005D7806"/>
    <w:rsid w:val="005D78F2"/>
    <w:rsid w:val="005D7DD0"/>
    <w:rsid w:val="005E0002"/>
    <w:rsid w:val="005E01B8"/>
    <w:rsid w:val="005E052A"/>
    <w:rsid w:val="005E0535"/>
    <w:rsid w:val="005E055D"/>
    <w:rsid w:val="005E0630"/>
    <w:rsid w:val="005E0B6A"/>
    <w:rsid w:val="005E0EB4"/>
    <w:rsid w:val="005E1183"/>
    <w:rsid w:val="005E1199"/>
    <w:rsid w:val="005E11C3"/>
    <w:rsid w:val="005E13CB"/>
    <w:rsid w:val="005E174A"/>
    <w:rsid w:val="005E19AD"/>
    <w:rsid w:val="005E1FA6"/>
    <w:rsid w:val="005E23BE"/>
    <w:rsid w:val="005E2717"/>
    <w:rsid w:val="005E27A3"/>
    <w:rsid w:val="005E29A7"/>
    <w:rsid w:val="005E2A8C"/>
    <w:rsid w:val="005E2AD2"/>
    <w:rsid w:val="005E3504"/>
    <w:rsid w:val="005E37FB"/>
    <w:rsid w:val="005E3C26"/>
    <w:rsid w:val="005E3FDE"/>
    <w:rsid w:val="005E40B4"/>
    <w:rsid w:val="005E41B0"/>
    <w:rsid w:val="005E423F"/>
    <w:rsid w:val="005E4323"/>
    <w:rsid w:val="005E468B"/>
    <w:rsid w:val="005E4A35"/>
    <w:rsid w:val="005E4ABD"/>
    <w:rsid w:val="005E4CE3"/>
    <w:rsid w:val="005E505D"/>
    <w:rsid w:val="005E57E4"/>
    <w:rsid w:val="005E5A1B"/>
    <w:rsid w:val="005E5D44"/>
    <w:rsid w:val="005E5DAE"/>
    <w:rsid w:val="005E63C5"/>
    <w:rsid w:val="005E6442"/>
    <w:rsid w:val="005E6504"/>
    <w:rsid w:val="005E6777"/>
    <w:rsid w:val="005E6B48"/>
    <w:rsid w:val="005E6C93"/>
    <w:rsid w:val="005E732A"/>
    <w:rsid w:val="005E7489"/>
    <w:rsid w:val="005E7BD4"/>
    <w:rsid w:val="005E7C0E"/>
    <w:rsid w:val="005E7C89"/>
    <w:rsid w:val="005E7CA5"/>
    <w:rsid w:val="005F03CB"/>
    <w:rsid w:val="005F0691"/>
    <w:rsid w:val="005F07BB"/>
    <w:rsid w:val="005F09D2"/>
    <w:rsid w:val="005F0AAB"/>
    <w:rsid w:val="005F0D08"/>
    <w:rsid w:val="005F0FF4"/>
    <w:rsid w:val="005F101F"/>
    <w:rsid w:val="005F10D4"/>
    <w:rsid w:val="005F13E9"/>
    <w:rsid w:val="005F162B"/>
    <w:rsid w:val="005F162F"/>
    <w:rsid w:val="005F1AC1"/>
    <w:rsid w:val="005F1D9F"/>
    <w:rsid w:val="005F22CD"/>
    <w:rsid w:val="005F24B1"/>
    <w:rsid w:val="005F27B0"/>
    <w:rsid w:val="005F2957"/>
    <w:rsid w:val="005F29DF"/>
    <w:rsid w:val="005F2AC4"/>
    <w:rsid w:val="005F2CD6"/>
    <w:rsid w:val="005F2DF7"/>
    <w:rsid w:val="005F31D5"/>
    <w:rsid w:val="005F35AB"/>
    <w:rsid w:val="005F3808"/>
    <w:rsid w:val="005F392C"/>
    <w:rsid w:val="005F3957"/>
    <w:rsid w:val="005F3CB0"/>
    <w:rsid w:val="005F3D0C"/>
    <w:rsid w:val="005F3D48"/>
    <w:rsid w:val="005F4166"/>
    <w:rsid w:val="005F42D7"/>
    <w:rsid w:val="005F4366"/>
    <w:rsid w:val="005F446F"/>
    <w:rsid w:val="005F464C"/>
    <w:rsid w:val="005F480C"/>
    <w:rsid w:val="005F4989"/>
    <w:rsid w:val="005F4CC2"/>
    <w:rsid w:val="005F51D2"/>
    <w:rsid w:val="005F548E"/>
    <w:rsid w:val="005F5A9C"/>
    <w:rsid w:val="005F5BA8"/>
    <w:rsid w:val="005F5CB4"/>
    <w:rsid w:val="005F5D71"/>
    <w:rsid w:val="005F5E08"/>
    <w:rsid w:val="005F5F89"/>
    <w:rsid w:val="005F606D"/>
    <w:rsid w:val="005F6165"/>
    <w:rsid w:val="005F671E"/>
    <w:rsid w:val="005F6A16"/>
    <w:rsid w:val="005F6C35"/>
    <w:rsid w:val="005F6DA7"/>
    <w:rsid w:val="005F6F0B"/>
    <w:rsid w:val="005F7561"/>
    <w:rsid w:val="005F7573"/>
    <w:rsid w:val="005F79CC"/>
    <w:rsid w:val="005F7A20"/>
    <w:rsid w:val="005F7DB5"/>
    <w:rsid w:val="006004F9"/>
    <w:rsid w:val="0060068C"/>
    <w:rsid w:val="006006BB"/>
    <w:rsid w:val="00600AFE"/>
    <w:rsid w:val="00600BB0"/>
    <w:rsid w:val="00600BD2"/>
    <w:rsid w:val="00600CEF"/>
    <w:rsid w:val="006015E9"/>
    <w:rsid w:val="0060164D"/>
    <w:rsid w:val="00601A64"/>
    <w:rsid w:val="00602215"/>
    <w:rsid w:val="006025D6"/>
    <w:rsid w:val="006027D6"/>
    <w:rsid w:val="0060284E"/>
    <w:rsid w:val="00602C2E"/>
    <w:rsid w:val="00602F56"/>
    <w:rsid w:val="00603007"/>
    <w:rsid w:val="00603144"/>
    <w:rsid w:val="0060316C"/>
    <w:rsid w:val="00603193"/>
    <w:rsid w:val="0060321A"/>
    <w:rsid w:val="00603599"/>
    <w:rsid w:val="00603A39"/>
    <w:rsid w:val="00603CC0"/>
    <w:rsid w:val="00603FC1"/>
    <w:rsid w:val="0060403A"/>
    <w:rsid w:val="006043AD"/>
    <w:rsid w:val="006049B3"/>
    <w:rsid w:val="00604A81"/>
    <w:rsid w:val="00604C99"/>
    <w:rsid w:val="0060594F"/>
    <w:rsid w:val="00605983"/>
    <w:rsid w:val="00605A4B"/>
    <w:rsid w:val="00605C72"/>
    <w:rsid w:val="00606013"/>
    <w:rsid w:val="0060610C"/>
    <w:rsid w:val="00606904"/>
    <w:rsid w:val="00606BDC"/>
    <w:rsid w:val="00606F6D"/>
    <w:rsid w:val="0060707C"/>
    <w:rsid w:val="006079D9"/>
    <w:rsid w:val="00607CA4"/>
    <w:rsid w:val="00607CF7"/>
    <w:rsid w:val="00607E91"/>
    <w:rsid w:val="006100CC"/>
    <w:rsid w:val="006107F6"/>
    <w:rsid w:val="00610EDD"/>
    <w:rsid w:val="00610F47"/>
    <w:rsid w:val="00611088"/>
    <w:rsid w:val="006111F3"/>
    <w:rsid w:val="00611382"/>
    <w:rsid w:val="00611450"/>
    <w:rsid w:val="00611620"/>
    <w:rsid w:val="006116BF"/>
    <w:rsid w:val="00611CF5"/>
    <w:rsid w:val="00611DBF"/>
    <w:rsid w:val="00611F12"/>
    <w:rsid w:val="00612665"/>
    <w:rsid w:val="00612693"/>
    <w:rsid w:val="00612750"/>
    <w:rsid w:val="00612BFB"/>
    <w:rsid w:val="00612E41"/>
    <w:rsid w:val="00612F38"/>
    <w:rsid w:val="00612FF1"/>
    <w:rsid w:val="006131A1"/>
    <w:rsid w:val="00613476"/>
    <w:rsid w:val="0061354E"/>
    <w:rsid w:val="00613732"/>
    <w:rsid w:val="0061381E"/>
    <w:rsid w:val="00613990"/>
    <w:rsid w:val="00613A45"/>
    <w:rsid w:val="00613A64"/>
    <w:rsid w:val="00613BB0"/>
    <w:rsid w:val="00614159"/>
    <w:rsid w:val="006141BD"/>
    <w:rsid w:val="0061423B"/>
    <w:rsid w:val="006142A2"/>
    <w:rsid w:val="00614436"/>
    <w:rsid w:val="00614B7C"/>
    <w:rsid w:val="00614C73"/>
    <w:rsid w:val="00614D52"/>
    <w:rsid w:val="00614DBC"/>
    <w:rsid w:val="0061508D"/>
    <w:rsid w:val="0061546B"/>
    <w:rsid w:val="00615554"/>
    <w:rsid w:val="00615717"/>
    <w:rsid w:val="006157BC"/>
    <w:rsid w:val="006158CC"/>
    <w:rsid w:val="006159CC"/>
    <w:rsid w:val="00615CDB"/>
    <w:rsid w:val="00615DC8"/>
    <w:rsid w:val="00615F72"/>
    <w:rsid w:val="0061603D"/>
    <w:rsid w:val="0061605B"/>
    <w:rsid w:val="0061625B"/>
    <w:rsid w:val="006164E4"/>
    <w:rsid w:val="0061652F"/>
    <w:rsid w:val="006167FA"/>
    <w:rsid w:val="006169EB"/>
    <w:rsid w:val="00616D19"/>
    <w:rsid w:val="00616D96"/>
    <w:rsid w:val="006173D0"/>
    <w:rsid w:val="006175B6"/>
    <w:rsid w:val="006177A6"/>
    <w:rsid w:val="006177CC"/>
    <w:rsid w:val="00617848"/>
    <w:rsid w:val="00617DF8"/>
    <w:rsid w:val="00617E79"/>
    <w:rsid w:val="006201D7"/>
    <w:rsid w:val="006202E7"/>
    <w:rsid w:val="00620869"/>
    <w:rsid w:val="00620B72"/>
    <w:rsid w:val="00620BF0"/>
    <w:rsid w:val="006211CC"/>
    <w:rsid w:val="0062139F"/>
    <w:rsid w:val="0062140E"/>
    <w:rsid w:val="00621459"/>
    <w:rsid w:val="006218C4"/>
    <w:rsid w:val="00621BAA"/>
    <w:rsid w:val="00621EEC"/>
    <w:rsid w:val="006220B7"/>
    <w:rsid w:val="0062225C"/>
    <w:rsid w:val="006223AE"/>
    <w:rsid w:val="006224CC"/>
    <w:rsid w:val="006228A6"/>
    <w:rsid w:val="00622E15"/>
    <w:rsid w:val="006235FE"/>
    <w:rsid w:val="006236F0"/>
    <w:rsid w:val="006241A3"/>
    <w:rsid w:val="006242CA"/>
    <w:rsid w:val="006242F8"/>
    <w:rsid w:val="00624A73"/>
    <w:rsid w:val="00624CF8"/>
    <w:rsid w:val="00625056"/>
    <w:rsid w:val="0062525E"/>
    <w:rsid w:val="006252A3"/>
    <w:rsid w:val="00625398"/>
    <w:rsid w:val="00625EEC"/>
    <w:rsid w:val="006262E3"/>
    <w:rsid w:val="0062654F"/>
    <w:rsid w:val="00626CA4"/>
    <w:rsid w:val="00626D75"/>
    <w:rsid w:val="00626DC4"/>
    <w:rsid w:val="00626E19"/>
    <w:rsid w:val="00626E30"/>
    <w:rsid w:val="00626F9E"/>
    <w:rsid w:val="0062737C"/>
    <w:rsid w:val="00627626"/>
    <w:rsid w:val="0062797E"/>
    <w:rsid w:val="00627C87"/>
    <w:rsid w:val="00627D4C"/>
    <w:rsid w:val="00627F97"/>
    <w:rsid w:val="00630336"/>
    <w:rsid w:val="0063037B"/>
    <w:rsid w:val="0063061F"/>
    <w:rsid w:val="0063098B"/>
    <w:rsid w:val="00630A8A"/>
    <w:rsid w:val="00630B5A"/>
    <w:rsid w:val="00630EAE"/>
    <w:rsid w:val="00630F32"/>
    <w:rsid w:val="00630F40"/>
    <w:rsid w:val="00630F6F"/>
    <w:rsid w:val="00631152"/>
    <w:rsid w:val="006314A1"/>
    <w:rsid w:val="00631693"/>
    <w:rsid w:val="00631800"/>
    <w:rsid w:val="00631B60"/>
    <w:rsid w:val="006322C8"/>
    <w:rsid w:val="00632505"/>
    <w:rsid w:val="00632696"/>
    <w:rsid w:val="00632E3C"/>
    <w:rsid w:val="00633255"/>
    <w:rsid w:val="00633738"/>
    <w:rsid w:val="006338D4"/>
    <w:rsid w:val="006338E2"/>
    <w:rsid w:val="0063414A"/>
    <w:rsid w:val="006341BF"/>
    <w:rsid w:val="00634913"/>
    <w:rsid w:val="00634BE6"/>
    <w:rsid w:val="00635026"/>
    <w:rsid w:val="006352ED"/>
    <w:rsid w:val="006353C6"/>
    <w:rsid w:val="006356D7"/>
    <w:rsid w:val="00636023"/>
    <w:rsid w:val="006360D3"/>
    <w:rsid w:val="006362DB"/>
    <w:rsid w:val="006365E3"/>
    <w:rsid w:val="006366C5"/>
    <w:rsid w:val="0063698A"/>
    <w:rsid w:val="00636C8D"/>
    <w:rsid w:val="00636F5C"/>
    <w:rsid w:val="006375CB"/>
    <w:rsid w:val="00637D22"/>
    <w:rsid w:val="00637EC0"/>
    <w:rsid w:val="006401D0"/>
    <w:rsid w:val="00640268"/>
    <w:rsid w:val="0064070B"/>
    <w:rsid w:val="00640714"/>
    <w:rsid w:val="00640A0E"/>
    <w:rsid w:val="00640AC0"/>
    <w:rsid w:val="00640B07"/>
    <w:rsid w:val="00641122"/>
    <w:rsid w:val="0064126C"/>
    <w:rsid w:val="00641338"/>
    <w:rsid w:val="00641462"/>
    <w:rsid w:val="006417E3"/>
    <w:rsid w:val="00641A50"/>
    <w:rsid w:val="00641B61"/>
    <w:rsid w:val="0064236B"/>
    <w:rsid w:val="006425E3"/>
    <w:rsid w:val="00642698"/>
    <w:rsid w:val="006426E8"/>
    <w:rsid w:val="006427AA"/>
    <w:rsid w:val="0064297E"/>
    <w:rsid w:val="006429D7"/>
    <w:rsid w:val="00642C58"/>
    <w:rsid w:val="00642E33"/>
    <w:rsid w:val="00642EEF"/>
    <w:rsid w:val="0064308D"/>
    <w:rsid w:val="006430F5"/>
    <w:rsid w:val="00643280"/>
    <w:rsid w:val="00643509"/>
    <w:rsid w:val="00643975"/>
    <w:rsid w:val="00643A09"/>
    <w:rsid w:val="00643AB7"/>
    <w:rsid w:val="00643B54"/>
    <w:rsid w:val="00643D32"/>
    <w:rsid w:val="00643D68"/>
    <w:rsid w:val="00643D80"/>
    <w:rsid w:val="00643E5F"/>
    <w:rsid w:val="00644189"/>
    <w:rsid w:val="006447AD"/>
    <w:rsid w:val="006449BE"/>
    <w:rsid w:val="00644ECF"/>
    <w:rsid w:val="00645401"/>
    <w:rsid w:val="0064599B"/>
    <w:rsid w:val="006459A0"/>
    <w:rsid w:val="00645B7B"/>
    <w:rsid w:val="00645CB6"/>
    <w:rsid w:val="00645F26"/>
    <w:rsid w:val="00645FEB"/>
    <w:rsid w:val="0064621A"/>
    <w:rsid w:val="00646328"/>
    <w:rsid w:val="0064671C"/>
    <w:rsid w:val="00646A58"/>
    <w:rsid w:val="00646BD2"/>
    <w:rsid w:val="00647159"/>
    <w:rsid w:val="006471E3"/>
    <w:rsid w:val="006475A4"/>
    <w:rsid w:val="00647828"/>
    <w:rsid w:val="00650428"/>
    <w:rsid w:val="006504F1"/>
    <w:rsid w:val="006507C7"/>
    <w:rsid w:val="00650906"/>
    <w:rsid w:val="00651100"/>
    <w:rsid w:val="00651124"/>
    <w:rsid w:val="00651559"/>
    <w:rsid w:val="006515C4"/>
    <w:rsid w:val="006519B0"/>
    <w:rsid w:val="00651B04"/>
    <w:rsid w:val="00651D8F"/>
    <w:rsid w:val="00651F89"/>
    <w:rsid w:val="006525C2"/>
    <w:rsid w:val="00652BAB"/>
    <w:rsid w:val="00652D13"/>
    <w:rsid w:val="00652D42"/>
    <w:rsid w:val="00652DD2"/>
    <w:rsid w:val="00652DDB"/>
    <w:rsid w:val="00653161"/>
    <w:rsid w:val="006536EF"/>
    <w:rsid w:val="006538A0"/>
    <w:rsid w:val="0065409C"/>
    <w:rsid w:val="006540E9"/>
    <w:rsid w:val="00654197"/>
    <w:rsid w:val="006543A8"/>
    <w:rsid w:val="00654440"/>
    <w:rsid w:val="006545B1"/>
    <w:rsid w:val="00654642"/>
    <w:rsid w:val="006548CF"/>
    <w:rsid w:val="00654AC6"/>
    <w:rsid w:val="006553D3"/>
    <w:rsid w:val="00655596"/>
    <w:rsid w:val="00655693"/>
    <w:rsid w:val="00655A36"/>
    <w:rsid w:val="00655A77"/>
    <w:rsid w:val="00655B1B"/>
    <w:rsid w:val="00655B30"/>
    <w:rsid w:val="00655B34"/>
    <w:rsid w:val="00655CE9"/>
    <w:rsid w:val="00656007"/>
    <w:rsid w:val="0065639D"/>
    <w:rsid w:val="006563F0"/>
    <w:rsid w:val="00656431"/>
    <w:rsid w:val="006565E0"/>
    <w:rsid w:val="006566DD"/>
    <w:rsid w:val="0065679F"/>
    <w:rsid w:val="00656D65"/>
    <w:rsid w:val="006574A1"/>
    <w:rsid w:val="00657846"/>
    <w:rsid w:val="006579E1"/>
    <w:rsid w:val="00657C96"/>
    <w:rsid w:val="00657D2D"/>
    <w:rsid w:val="00657DA7"/>
    <w:rsid w:val="00657F6A"/>
    <w:rsid w:val="006600D0"/>
    <w:rsid w:val="006606DA"/>
    <w:rsid w:val="00660B07"/>
    <w:rsid w:val="00660BDF"/>
    <w:rsid w:val="00661359"/>
    <w:rsid w:val="006614BB"/>
    <w:rsid w:val="006616A7"/>
    <w:rsid w:val="00661969"/>
    <w:rsid w:val="0066198C"/>
    <w:rsid w:val="00661E84"/>
    <w:rsid w:val="00662B0E"/>
    <w:rsid w:val="00662B3C"/>
    <w:rsid w:val="00662C6E"/>
    <w:rsid w:val="00662E1B"/>
    <w:rsid w:val="00662ECF"/>
    <w:rsid w:val="00663010"/>
    <w:rsid w:val="006630E4"/>
    <w:rsid w:val="0066316D"/>
    <w:rsid w:val="006633E1"/>
    <w:rsid w:val="006634D8"/>
    <w:rsid w:val="00663964"/>
    <w:rsid w:val="00663ADE"/>
    <w:rsid w:val="00663EAD"/>
    <w:rsid w:val="00664148"/>
    <w:rsid w:val="006647EC"/>
    <w:rsid w:val="0066489B"/>
    <w:rsid w:val="006648B0"/>
    <w:rsid w:val="0066492F"/>
    <w:rsid w:val="0066495E"/>
    <w:rsid w:val="006649BB"/>
    <w:rsid w:val="00664C94"/>
    <w:rsid w:val="00664D68"/>
    <w:rsid w:val="00664F39"/>
    <w:rsid w:val="00665366"/>
    <w:rsid w:val="006654B2"/>
    <w:rsid w:val="00665539"/>
    <w:rsid w:val="00666208"/>
    <w:rsid w:val="00666409"/>
    <w:rsid w:val="00666556"/>
    <w:rsid w:val="006665FA"/>
    <w:rsid w:val="00666737"/>
    <w:rsid w:val="0066694C"/>
    <w:rsid w:val="00667200"/>
    <w:rsid w:val="006674DA"/>
    <w:rsid w:val="006677A8"/>
    <w:rsid w:val="006677C5"/>
    <w:rsid w:val="00667ABD"/>
    <w:rsid w:val="00667B9A"/>
    <w:rsid w:val="0067018A"/>
    <w:rsid w:val="00670507"/>
    <w:rsid w:val="006707A8"/>
    <w:rsid w:val="0067110D"/>
    <w:rsid w:val="006712C7"/>
    <w:rsid w:val="00671577"/>
    <w:rsid w:val="00671875"/>
    <w:rsid w:val="006719C9"/>
    <w:rsid w:val="00671ACB"/>
    <w:rsid w:val="006722C1"/>
    <w:rsid w:val="006726C2"/>
    <w:rsid w:val="006729E5"/>
    <w:rsid w:val="00672C2C"/>
    <w:rsid w:val="00672C83"/>
    <w:rsid w:val="006731DD"/>
    <w:rsid w:val="006734BF"/>
    <w:rsid w:val="006734F6"/>
    <w:rsid w:val="00673598"/>
    <w:rsid w:val="0067361E"/>
    <w:rsid w:val="00673B68"/>
    <w:rsid w:val="00674303"/>
    <w:rsid w:val="006745AC"/>
    <w:rsid w:val="006746A3"/>
    <w:rsid w:val="0067477E"/>
    <w:rsid w:val="006748F7"/>
    <w:rsid w:val="00674CAE"/>
    <w:rsid w:val="00674E7E"/>
    <w:rsid w:val="00675170"/>
    <w:rsid w:val="006751B1"/>
    <w:rsid w:val="006752B6"/>
    <w:rsid w:val="006753A9"/>
    <w:rsid w:val="00675457"/>
    <w:rsid w:val="0067548A"/>
    <w:rsid w:val="006755FF"/>
    <w:rsid w:val="00675750"/>
    <w:rsid w:val="00675AFD"/>
    <w:rsid w:val="00675B34"/>
    <w:rsid w:val="00675BB9"/>
    <w:rsid w:val="00675FE6"/>
    <w:rsid w:val="0067608F"/>
    <w:rsid w:val="006763BD"/>
    <w:rsid w:val="006763EB"/>
    <w:rsid w:val="00676496"/>
    <w:rsid w:val="00676685"/>
    <w:rsid w:val="006766E7"/>
    <w:rsid w:val="00676800"/>
    <w:rsid w:val="0067685C"/>
    <w:rsid w:val="00676A96"/>
    <w:rsid w:val="00676CC6"/>
    <w:rsid w:val="00676D24"/>
    <w:rsid w:val="00676E0C"/>
    <w:rsid w:val="00676E8F"/>
    <w:rsid w:val="00676E9F"/>
    <w:rsid w:val="00676F30"/>
    <w:rsid w:val="0067740F"/>
    <w:rsid w:val="0067788E"/>
    <w:rsid w:val="006779A7"/>
    <w:rsid w:val="00677B73"/>
    <w:rsid w:val="00677FC2"/>
    <w:rsid w:val="00677FF3"/>
    <w:rsid w:val="00677FF8"/>
    <w:rsid w:val="00680530"/>
    <w:rsid w:val="00680543"/>
    <w:rsid w:val="00680768"/>
    <w:rsid w:val="00680906"/>
    <w:rsid w:val="0068097F"/>
    <w:rsid w:val="00680AA3"/>
    <w:rsid w:val="00680AE7"/>
    <w:rsid w:val="00681023"/>
    <w:rsid w:val="006810FF"/>
    <w:rsid w:val="00681559"/>
    <w:rsid w:val="006816F5"/>
    <w:rsid w:val="0068178E"/>
    <w:rsid w:val="0068188F"/>
    <w:rsid w:val="006818C5"/>
    <w:rsid w:val="00681984"/>
    <w:rsid w:val="00681B2B"/>
    <w:rsid w:val="00681BB7"/>
    <w:rsid w:val="00681E9B"/>
    <w:rsid w:val="00682538"/>
    <w:rsid w:val="00682572"/>
    <w:rsid w:val="00682978"/>
    <w:rsid w:val="00682B43"/>
    <w:rsid w:val="00682BA2"/>
    <w:rsid w:val="00682BD3"/>
    <w:rsid w:val="00682FED"/>
    <w:rsid w:val="0068360B"/>
    <w:rsid w:val="00683862"/>
    <w:rsid w:val="006839B7"/>
    <w:rsid w:val="00683A62"/>
    <w:rsid w:val="00683AF6"/>
    <w:rsid w:val="00683DD9"/>
    <w:rsid w:val="006843FF"/>
    <w:rsid w:val="0068479F"/>
    <w:rsid w:val="00684BE4"/>
    <w:rsid w:val="00684D36"/>
    <w:rsid w:val="00684F2E"/>
    <w:rsid w:val="00685470"/>
    <w:rsid w:val="00685736"/>
    <w:rsid w:val="00685780"/>
    <w:rsid w:val="00685AB0"/>
    <w:rsid w:val="00685BB7"/>
    <w:rsid w:val="00685BF1"/>
    <w:rsid w:val="00685CCB"/>
    <w:rsid w:val="00685E6D"/>
    <w:rsid w:val="00685FAD"/>
    <w:rsid w:val="00685FEB"/>
    <w:rsid w:val="00686218"/>
    <w:rsid w:val="006866C5"/>
    <w:rsid w:val="0068691C"/>
    <w:rsid w:val="00686B61"/>
    <w:rsid w:val="0068710E"/>
    <w:rsid w:val="0068722C"/>
    <w:rsid w:val="006872DE"/>
    <w:rsid w:val="00687731"/>
    <w:rsid w:val="0068777B"/>
    <w:rsid w:val="006879DA"/>
    <w:rsid w:val="00687C6C"/>
    <w:rsid w:val="00690562"/>
    <w:rsid w:val="00690699"/>
    <w:rsid w:val="006906AC"/>
    <w:rsid w:val="00690C29"/>
    <w:rsid w:val="00690CB6"/>
    <w:rsid w:val="00690F5D"/>
    <w:rsid w:val="00691122"/>
    <w:rsid w:val="00691575"/>
    <w:rsid w:val="0069177C"/>
    <w:rsid w:val="006919D5"/>
    <w:rsid w:val="00691A64"/>
    <w:rsid w:val="00692078"/>
    <w:rsid w:val="00692440"/>
    <w:rsid w:val="00692A4C"/>
    <w:rsid w:val="00692D7F"/>
    <w:rsid w:val="00692D96"/>
    <w:rsid w:val="00692E49"/>
    <w:rsid w:val="00692FA5"/>
    <w:rsid w:val="00693171"/>
    <w:rsid w:val="00693217"/>
    <w:rsid w:val="00693988"/>
    <w:rsid w:val="006939DA"/>
    <w:rsid w:val="00693D54"/>
    <w:rsid w:val="00693FA4"/>
    <w:rsid w:val="006942F2"/>
    <w:rsid w:val="006945C1"/>
    <w:rsid w:val="00694648"/>
    <w:rsid w:val="00694713"/>
    <w:rsid w:val="006948B8"/>
    <w:rsid w:val="00694976"/>
    <w:rsid w:val="00694C02"/>
    <w:rsid w:val="00694CE4"/>
    <w:rsid w:val="00694D9F"/>
    <w:rsid w:val="00694DC3"/>
    <w:rsid w:val="00695186"/>
    <w:rsid w:val="006953E0"/>
    <w:rsid w:val="0069596F"/>
    <w:rsid w:val="00696317"/>
    <w:rsid w:val="00696856"/>
    <w:rsid w:val="006969D2"/>
    <w:rsid w:val="006972D8"/>
    <w:rsid w:val="006975BD"/>
    <w:rsid w:val="00697797"/>
    <w:rsid w:val="006977F0"/>
    <w:rsid w:val="00697B87"/>
    <w:rsid w:val="00697FEC"/>
    <w:rsid w:val="006A001F"/>
    <w:rsid w:val="006A01BA"/>
    <w:rsid w:val="006A0297"/>
    <w:rsid w:val="006A09F4"/>
    <w:rsid w:val="006A0AF2"/>
    <w:rsid w:val="006A0F0C"/>
    <w:rsid w:val="006A131D"/>
    <w:rsid w:val="006A1705"/>
    <w:rsid w:val="006A198C"/>
    <w:rsid w:val="006A1A60"/>
    <w:rsid w:val="006A1B1D"/>
    <w:rsid w:val="006A1EC8"/>
    <w:rsid w:val="006A2795"/>
    <w:rsid w:val="006A2D45"/>
    <w:rsid w:val="006A3684"/>
    <w:rsid w:val="006A36A1"/>
    <w:rsid w:val="006A3914"/>
    <w:rsid w:val="006A3A56"/>
    <w:rsid w:val="006A3C9A"/>
    <w:rsid w:val="006A3EB7"/>
    <w:rsid w:val="006A3F10"/>
    <w:rsid w:val="006A522F"/>
    <w:rsid w:val="006A54F4"/>
    <w:rsid w:val="006A5583"/>
    <w:rsid w:val="006A55A5"/>
    <w:rsid w:val="006A55E5"/>
    <w:rsid w:val="006A575B"/>
    <w:rsid w:val="006A597B"/>
    <w:rsid w:val="006A5C7D"/>
    <w:rsid w:val="006A5E12"/>
    <w:rsid w:val="006A61E5"/>
    <w:rsid w:val="006A62E4"/>
    <w:rsid w:val="006A6351"/>
    <w:rsid w:val="006A6906"/>
    <w:rsid w:val="006A6A21"/>
    <w:rsid w:val="006A70F9"/>
    <w:rsid w:val="006A7794"/>
    <w:rsid w:val="006A77CA"/>
    <w:rsid w:val="006A7B5B"/>
    <w:rsid w:val="006B0101"/>
    <w:rsid w:val="006B05C2"/>
    <w:rsid w:val="006B089B"/>
    <w:rsid w:val="006B10AA"/>
    <w:rsid w:val="006B188D"/>
    <w:rsid w:val="006B1D81"/>
    <w:rsid w:val="006B1EE3"/>
    <w:rsid w:val="006B226D"/>
    <w:rsid w:val="006B2528"/>
    <w:rsid w:val="006B2604"/>
    <w:rsid w:val="006B264E"/>
    <w:rsid w:val="006B268E"/>
    <w:rsid w:val="006B27C5"/>
    <w:rsid w:val="006B2AE1"/>
    <w:rsid w:val="006B2F1D"/>
    <w:rsid w:val="006B2FD9"/>
    <w:rsid w:val="006B3251"/>
    <w:rsid w:val="006B3301"/>
    <w:rsid w:val="006B35E2"/>
    <w:rsid w:val="006B36ED"/>
    <w:rsid w:val="006B36FC"/>
    <w:rsid w:val="006B3A17"/>
    <w:rsid w:val="006B3F80"/>
    <w:rsid w:val="006B4984"/>
    <w:rsid w:val="006B4C37"/>
    <w:rsid w:val="006B4E18"/>
    <w:rsid w:val="006B4E4C"/>
    <w:rsid w:val="006B5122"/>
    <w:rsid w:val="006B5199"/>
    <w:rsid w:val="006B544A"/>
    <w:rsid w:val="006B552D"/>
    <w:rsid w:val="006B55A6"/>
    <w:rsid w:val="006B56BE"/>
    <w:rsid w:val="006B56FC"/>
    <w:rsid w:val="006B57A4"/>
    <w:rsid w:val="006B5B3C"/>
    <w:rsid w:val="006B5DD9"/>
    <w:rsid w:val="006B5E7A"/>
    <w:rsid w:val="006B610E"/>
    <w:rsid w:val="006B6CCA"/>
    <w:rsid w:val="006B6E52"/>
    <w:rsid w:val="006B6E59"/>
    <w:rsid w:val="006B6F80"/>
    <w:rsid w:val="006B7023"/>
    <w:rsid w:val="006B707D"/>
    <w:rsid w:val="006B7488"/>
    <w:rsid w:val="006B78C1"/>
    <w:rsid w:val="006B7B0D"/>
    <w:rsid w:val="006B7B17"/>
    <w:rsid w:val="006C04F0"/>
    <w:rsid w:val="006C0731"/>
    <w:rsid w:val="006C0801"/>
    <w:rsid w:val="006C0869"/>
    <w:rsid w:val="006C0DDB"/>
    <w:rsid w:val="006C0E35"/>
    <w:rsid w:val="006C0E44"/>
    <w:rsid w:val="006C102F"/>
    <w:rsid w:val="006C1402"/>
    <w:rsid w:val="006C19B3"/>
    <w:rsid w:val="006C1AA3"/>
    <w:rsid w:val="006C1AE2"/>
    <w:rsid w:val="006C1D58"/>
    <w:rsid w:val="006C1F1A"/>
    <w:rsid w:val="006C20AC"/>
    <w:rsid w:val="006C20C3"/>
    <w:rsid w:val="006C2164"/>
    <w:rsid w:val="006C2348"/>
    <w:rsid w:val="006C234A"/>
    <w:rsid w:val="006C2BE7"/>
    <w:rsid w:val="006C2D04"/>
    <w:rsid w:val="006C309D"/>
    <w:rsid w:val="006C324D"/>
    <w:rsid w:val="006C35A1"/>
    <w:rsid w:val="006C3B36"/>
    <w:rsid w:val="006C3D80"/>
    <w:rsid w:val="006C3ECD"/>
    <w:rsid w:val="006C4172"/>
    <w:rsid w:val="006C43CC"/>
    <w:rsid w:val="006C447B"/>
    <w:rsid w:val="006C47E3"/>
    <w:rsid w:val="006C4F1F"/>
    <w:rsid w:val="006C5136"/>
    <w:rsid w:val="006C56A6"/>
    <w:rsid w:val="006C5E2F"/>
    <w:rsid w:val="006C63DD"/>
    <w:rsid w:val="006C656C"/>
    <w:rsid w:val="006C6613"/>
    <w:rsid w:val="006C66B4"/>
    <w:rsid w:val="006C6795"/>
    <w:rsid w:val="006C6913"/>
    <w:rsid w:val="006C6954"/>
    <w:rsid w:val="006C6A1D"/>
    <w:rsid w:val="006C6DD0"/>
    <w:rsid w:val="006C6F2B"/>
    <w:rsid w:val="006C7495"/>
    <w:rsid w:val="006C75CE"/>
    <w:rsid w:val="006C76C6"/>
    <w:rsid w:val="006C7B63"/>
    <w:rsid w:val="006C7C22"/>
    <w:rsid w:val="006C7C95"/>
    <w:rsid w:val="006C7FC3"/>
    <w:rsid w:val="006D03E7"/>
    <w:rsid w:val="006D0470"/>
    <w:rsid w:val="006D04C8"/>
    <w:rsid w:val="006D05F8"/>
    <w:rsid w:val="006D0708"/>
    <w:rsid w:val="006D089C"/>
    <w:rsid w:val="006D0EBF"/>
    <w:rsid w:val="006D0FB2"/>
    <w:rsid w:val="006D10C1"/>
    <w:rsid w:val="006D1951"/>
    <w:rsid w:val="006D1A43"/>
    <w:rsid w:val="006D1AFE"/>
    <w:rsid w:val="006D1CEF"/>
    <w:rsid w:val="006D1DA5"/>
    <w:rsid w:val="006D239F"/>
    <w:rsid w:val="006D2475"/>
    <w:rsid w:val="006D27D7"/>
    <w:rsid w:val="006D27FD"/>
    <w:rsid w:val="006D2AC2"/>
    <w:rsid w:val="006D2C83"/>
    <w:rsid w:val="006D3099"/>
    <w:rsid w:val="006D3359"/>
    <w:rsid w:val="006D363B"/>
    <w:rsid w:val="006D3AF1"/>
    <w:rsid w:val="006D3AFE"/>
    <w:rsid w:val="006D3B78"/>
    <w:rsid w:val="006D3C8D"/>
    <w:rsid w:val="006D4935"/>
    <w:rsid w:val="006D4B1E"/>
    <w:rsid w:val="006D4B4D"/>
    <w:rsid w:val="006D4BBF"/>
    <w:rsid w:val="006D4BCC"/>
    <w:rsid w:val="006D4F2B"/>
    <w:rsid w:val="006D504F"/>
    <w:rsid w:val="006D571B"/>
    <w:rsid w:val="006D5745"/>
    <w:rsid w:val="006D5747"/>
    <w:rsid w:val="006D581C"/>
    <w:rsid w:val="006D59AC"/>
    <w:rsid w:val="006D5B97"/>
    <w:rsid w:val="006D5C51"/>
    <w:rsid w:val="006D5CAE"/>
    <w:rsid w:val="006D5F4C"/>
    <w:rsid w:val="006D6568"/>
    <w:rsid w:val="006D6868"/>
    <w:rsid w:val="006D6B56"/>
    <w:rsid w:val="006D7200"/>
    <w:rsid w:val="006D750D"/>
    <w:rsid w:val="006D7514"/>
    <w:rsid w:val="006D76D5"/>
    <w:rsid w:val="006D77CE"/>
    <w:rsid w:val="006D78BA"/>
    <w:rsid w:val="006D79DB"/>
    <w:rsid w:val="006D7DBA"/>
    <w:rsid w:val="006E04AA"/>
    <w:rsid w:val="006E0522"/>
    <w:rsid w:val="006E086B"/>
    <w:rsid w:val="006E0A3C"/>
    <w:rsid w:val="006E0A75"/>
    <w:rsid w:val="006E0C6D"/>
    <w:rsid w:val="006E0D26"/>
    <w:rsid w:val="006E0E42"/>
    <w:rsid w:val="006E0F65"/>
    <w:rsid w:val="006E172E"/>
    <w:rsid w:val="006E1DB9"/>
    <w:rsid w:val="006E1F4A"/>
    <w:rsid w:val="006E1FF3"/>
    <w:rsid w:val="006E2164"/>
    <w:rsid w:val="006E2650"/>
    <w:rsid w:val="006E270A"/>
    <w:rsid w:val="006E2738"/>
    <w:rsid w:val="006E2AA1"/>
    <w:rsid w:val="006E2B77"/>
    <w:rsid w:val="006E2D0F"/>
    <w:rsid w:val="006E2EED"/>
    <w:rsid w:val="006E2F1C"/>
    <w:rsid w:val="006E3061"/>
    <w:rsid w:val="006E350F"/>
    <w:rsid w:val="006E3DEA"/>
    <w:rsid w:val="006E3F52"/>
    <w:rsid w:val="006E4604"/>
    <w:rsid w:val="006E46B1"/>
    <w:rsid w:val="006E48D2"/>
    <w:rsid w:val="006E48F8"/>
    <w:rsid w:val="006E513D"/>
    <w:rsid w:val="006E5145"/>
    <w:rsid w:val="006E5A35"/>
    <w:rsid w:val="006E620B"/>
    <w:rsid w:val="006E6493"/>
    <w:rsid w:val="006E6D5B"/>
    <w:rsid w:val="006E70D9"/>
    <w:rsid w:val="006E72D9"/>
    <w:rsid w:val="006E7348"/>
    <w:rsid w:val="006E7355"/>
    <w:rsid w:val="006E747D"/>
    <w:rsid w:val="006E7BF1"/>
    <w:rsid w:val="006E7CC6"/>
    <w:rsid w:val="006E7CF4"/>
    <w:rsid w:val="006F02E1"/>
    <w:rsid w:val="006F059F"/>
    <w:rsid w:val="006F0A1A"/>
    <w:rsid w:val="006F0A8E"/>
    <w:rsid w:val="006F0D17"/>
    <w:rsid w:val="006F0E30"/>
    <w:rsid w:val="006F12F3"/>
    <w:rsid w:val="006F1655"/>
    <w:rsid w:val="006F1720"/>
    <w:rsid w:val="006F1AC1"/>
    <w:rsid w:val="006F1B7D"/>
    <w:rsid w:val="006F1BCA"/>
    <w:rsid w:val="006F2106"/>
    <w:rsid w:val="006F21B6"/>
    <w:rsid w:val="006F2509"/>
    <w:rsid w:val="006F2A11"/>
    <w:rsid w:val="006F2A4D"/>
    <w:rsid w:val="006F2B58"/>
    <w:rsid w:val="006F2E6C"/>
    <w:rsid w:val="006F2FAA"/>
    <w:rsid w:val="006F31C0"/>
    <w:rsid w:val="006F3446"/>
    <w:rsid w:val="006F344A"/>
    <w:rsid w:val="006F3507"/>
    <w:rsid w:val="006F3BE5"/>
    <w:rsid w:val="006F3DD5"/>
    <w:rsid w:val="006F411B"/>
    <w:rsid w:val="006F4421"/>
    <w:rsid w:val="006F48B8"/>
    <w:rsid w:val="006F51C3"/>
    <w:rsid w:val="006F567B"/>
    <w:rsid w:val="006F56B2"/>
    <w:rsid w:val="006F56F6"/>
    <w:rsid w:val="006F5C07"/>
    <w:rsid w:val="006F5D1E"/>
    <w:rsid w:val="006F614D"/>
    <w:rsid w:val="006F6419"/>
    <w:rsid w:val="006F6596"/>
    <w:rsid w:val="006F660E"/>
    <w:rsid w:val="006F66B5"/>
    <w:rsid w:val="006F7041"/>
    <w:rsid w:val="006F719D"/>
    <w:rsid w:val="006F7438"/>
    <w:rsid w:val="006F74BF"/>
    <w:rsid w:val="006F7DFA"/>
    <w:rsid w:val="00700693"/>
    <w:rsid w:val="00700823"/>
    <w:rsid w:val="00700FA9"/>
    <w:rsid w:val="007010D5"/>
    <w:rsid w:val="007010F9"/>
    <w:rsid w:val="00701428"/>
    <w:rsid w:val="0070165C"/>
    <w:rsid w:val="00701A10"/>
    <w:rsid w:val="00701D59"/>
    <w:rsid w:val="00701D98"/>
    <w:rsid w:val="00701E00"/>
    <w:rsid w:val="00702297"/>
    <w:rsid w:val="007024B1"/>
    <w:rsid w:val="007025A3"/>
    <w:rsid w:val="007026DA"/>
    <w:rsid w:val="00702877"/>
    <w:rsid w:val="00702D98"/>
    <w:rsid w:val="00702E34"/>
    <w:rsid w:val="0070332C"/>
    <w:rsid w:val="00703941"/>
    <w:rsid w:val="00703A58"/>
    <w:rsid w:val="00703C68"/>
    <w:rsid w:val="00703E82"/>
    <w:rsid w:val="00703EC9"/>
    <w:rsid w:val="0070409B"/>
    <w:rsid w:val="007040AC"/>
    <w:rsid w:val="00704543"/>
    <w:rsid w:val="00704645"/>
    <w:rsid w:val="00704659"/>
    <w:rsid w:val="00704714"/>
    <w:rsid w:val="00704806"/>
    <w:rsid w:val="00704817"/>
    <w:rsid w:val="00704EF5"/>
    <w:rsid w:val="0070504C"/>
    <w:rsid w:val="0070569B"/>
    <w:rsid w:val="00705796"/>
    <w:rsid w:val="00705C8F"/>
    <w:rsid w:val="00705F46"/>
    <w:rsid w:val="00706253"/>
    <w:rsid w:val="007062F9"/>
    <w:rsid w:val="0070631C"/>
    <w:rsid w:val="00706423"/>
    <w:rsid w:val="007064EF"/>
    <w:rsid w:val="0070692F"/>
    <w:rsid w:val="00706B8A"/>
    <w:rsid w:val="00707043"/>
    <w:rsid w:val="00707249"/>
    <w:rsid w:val="00707324"/>
    <w:rsid w:val="00707390"/>
    <w:rsid w:val="007077A3"/>
    <w:rsid w:val="00707B56"/>
    <w:rsid w:val="007101F9"/>
    <w:rsid w:val="00710340"/>
    <w:rsid w:val="00710456"/>
    <w:rsid w:val="00710537"/>
    <w:rsid w:val="00710544"/>
    <w:rsid w:val="0071075E"/>
    <w:rsid w:val="00710B6B"/>
    <w:rsid w:val="00710F36"/>
    <w:rsid w:val="00711602"/>
    <w:rsid w:val="007117F2"/>
    <w:rsid w:val="0071183D"/>
    <w:rsid w:val="00711A8C"/>
    <w:rsid w:val="00712C3A"/>
    <w:rsid w:val="00712D44"/>
    <w:rsid w:val="00712D53"/>
    <w:rsid w:val="00712DF1"/>
    <w:rsid w:val="00712E00"/>
    <w:rsid w:val="00713016"/>
    <w:rsid w:val="0071319F"/>
    <w:rsid w:val="0071330B"/>
    <w:rsid w:val="00713444"/>
    <w:rsid w:val="00713A62"/>
    <w:rsid w:val="00713C05"/>
    <w:rsid w:val="007145C1"/>
    <w:rsid w:val="00714724"/>
    <w:rsid w:val="00714A58"/>
    <w:rsid w:val="00714D05"/>
    <w:rsid w:val="00714E75"/>
    <w:rsid w:val="00714E79"/>
    <w:rsid w:val="00715448"/>
    <w:rsid w:val="0071581F"/>
    <w:rsid w:val="007166E5"/>
    <w:rsid w:val="007169F0"/>
    <w:rsid w:val="00716A5F"/>
    <w:rsid w:val="00716FFA"/>
    <w:rsid w:val="007173B5"/>
    <w:rsid w:val="00717410"/>
    <w:rsid w:val="007176CB"/>
    <w:rsid w:val="00717781"/>
    <w:rsid w:val="00717A09"/>
    <w:rsid w:val="00717A0E"/>
    <w:rsid w:val="00717D24"/>
    <w:rsid w:val="00717EDA"/>
    <w:rsid w:val="0072002D"/>
    <w:rsid w:val="007206A1"/>
    <w:rsid w:val="00720920"/>
    <w:rsid w:val="00720BEC"/>
    <w:rsid w:val="00720F4C"/>
    <w:rsid w:val="007210E4"/>
    <w:rsid w:val="0072142D"/>
    <w:rsid w:val="00721616"/>
    <w:rsid w:val="00721AE6"/>
    <w:rsid w:val="00721C08"/>
    <w:rsid w:val="00721D9E"/>
    <w:rsid w:val="00721ECB"/>
    <w:rsid w:val="0072218B"/>
    <w:rsid w:val="007223AB"/>
    <w:rsid w:val="00722739"/>
    <w:rsid w:val="007229E4"/>
    <w:rsid w:val="00722D02"/>
    <w:rsid w:val="007232EC"/>
    <w:rsid w:val="007239F8"/>
    <w:rsid w:val="00723B93"/>
    <w:rsid w:val="00724B6F"/>
    <w:rsid w:val="00724CA6"/>
    <w:rsid w:val="00724DF1"/>
    <w:rsid w:val="00725261"/>
    <w:rsid w:val="0072565E"/>
    <w:rsid w:val="0072592F"/>
    <w:rsid w:val="00725AD5"/>
    <w:rsid w:val="00725EE2"/>
    <w:rsid w:val="007260EF"/>
    <w:rsid w:val="0072617E"/>
    <w:rsid w:val="00726E07"/>
    <w:rsid w:val="00726E65"/>
    <w:rsid w:val="00726F75"/>
    <w:rsid w:val="00726FE6"/>
    <w:rsid w:val="0072722A"/>
    <w:rsid w:val="0072722D"/>
    <w:rsid w:val="007273AF"/>
    <w:rsid w:val="007275DF"/>
    <w:rsid w:val="0072771F"/>
    <w:rsid w:val="007279D3"/>
    <w:rsid w:val="00727A3E"/>
    <w:rsid w:val="0073060B"/>
    <w:rsid w:val="00730763"/>
    <w:rsid w:val="00730F48"/>
    <w:rsid w:val="00730F57"/>
    <w:rsid w:val="0073175F"/>
    <w:rsid w:val="007319BF"/>
    <w:rsid w:val="00731BA5"/>
    <w:rsid w:val="00731D7D"/>
    <w:rsid w:val="00731DAA"/>
    <w:rsid w:val="00731E02"/>
    <w:rsid w:val="00731E89"/>
    <w:rsid w:val="00732000"/>
    <w:rsid w:val="0073200B"/>
    <w:rsid w:val="0073211E"/>
    <w:rsid w:val="00732197"/>
    <w:rsid w:val="00732738"/>
    <w:rsid w:val="00732B45"/>
    <w:rsid w:val="00732DDE"/>
    <w:rsid w:val="0073306B"/>
    <w:rsid w:val="007335D2"/>
    <w:rsid w:val="00733945"/>
    <w:rsid w:val="00733C08"/>
    <w:rsid w:val="00733C1F"/>
    <w:rsid w:val="00733CB4"/>
    <w:rsid w:val="00733EA2"/>
    <w:rsid w:val="00733EF9"/>
    <w:rsid w:val="00734051"/>
    <w:rsid w:val="00734158"/>
    <w:rsid w:val="00734945"/>
    <w:rsid w:val="0073497D"/>
    <w:rsid w:val="00734A53"/>
    <w:rsid w:val="00734C19"/>
    <w:rsid w:val="00734C9F"/>
    <w:rsid w:val="00734E63"/>
    <w:rsid w:val="00735193"/>
    <w:rsid w:val="007356F0"/>
    <w:rsid w:val="007359D5"/>
    <w:rsid w:val="00735EE5"/>
    <w:rsid w:val="00736071"/>
    <w:rsid w:val="00736130"/>
    <w:rsid w:val="0073621A"/>
    <w:rsid w:val="0073662F"/>
    <w:rsid w:val="007372D8"/>
    <w:rsid w:val="007375EA"/>
    <w:rsid w:val="00737C11"/>
    <w:rsid w:val="00737CB7"/>
    <w:rsid w:val="0074039B"/>
    <w:rsid w:val="0074098A"/>
    <w:rsid w:val="00740B1D"/>
    <w:rsid w:val="00740B22"/>
    <w:rsid w:val="00740C3B"/>
    <w:rsid w:val="00741199"/>
    <w:rsid w:val="0074146A"/>
    <w:rsid w:val="007415F8"/>
    <w:rsid w:val="0074163F"/>
    <w:rsid w:val="00741A0F"/>
    <w:rsid w:val="00741C1A"/>
    <w:rsid w:val="00741C90"/>
    <w:rsid w:val="00741D97"/>
    <w:rsid w:val="007420AC"/>
    <w:rsid w:val="007426E9"/>
    <w:rsid w:val="00742BBC"/>
    <w:rsid w:val="00742DB4"/>
    <w:rsid w:val="00742EFB"/>
    <w:rsid w:val="00742F8B"/>
    <w:rsid w:val="007438BE"/>
    <w:rsid w:val="007438EC"/>
    <w:rsid w:val="00743C41"/>
    <w:rsid w:val="00743CDA"/>
    <w:rsid w:val="00743D17"/>
    <w:rsid w:val="00744A99"/>
    <w:rsid w:val="00744D27"/>
    <w:rsid w:val="00744E69"/>
    <w:rsid w:val="00744F50"/>
    <w:rsid w:val="00745026"/>
    <w:rsid w:val="007453A5"/>
    <w:rsid w:val="00745710"/>
    <w:rsid w:val="00745721"/>
    <w:rsid w:val="0074624F"/>
    <w:rsid w:val="007462FA"/>
    <w:rsid w:val="007464BC"/>
    <w:rsid w:val="00746BE7"/>
    <w:rsid w:val="00746DDB"/>
    <w:rsid w:val="00746E92"/>
    <w:rsid w:val="0074713B"/>
    <w:rsid w:val="00747606"/>
    <w:rsid w:val="0074784F"/>
    <w:rsid w:val="00747949"/>
    <w:rsid w:val="00747E73"/>
    <w:rsid w:val="00747E83"/>
    <w:rsid w:val="0075016F"/>
    <w:rsid w:val="007501D2"/>
    <w:rsid w:val="00750389"/>
    <w:rsid w:val="007503BF"/>
    <w:rsid w:val="00750791"/>
    <w:rsid w:val="00750F4F"/>
    <w:rsid w:val="007511E7"/>
    <w:rsid w:val="00751619"/>
    <w:rsid w:val="00751A4F"/>
    <w:rsid w:val="00751E61"/>
    <w:rsid w:val="007524F8"/>
    <w:rsid w:val="007527DA"/>
    <w:rsid w:val="0075291B"/>
    <w:rsid w:val="00752AB9"/>
    <w:rsid w:val="0075301A"/>
    <w:rsid w:val="00753171"/>
    <w:rsid w:val="00753174"/>
    <w:rsid w:val="007534FF"/>
    <w:rsid w:val="0075353F"/>
    <w:rsid w:val="007538E9"/>
    <w:rsid w:val="00753A93"/>
    <w:rsid w:val="00753B4D"/>
    <w:rsid w:val="00753E25"/>
    <w:rsid w:val="00753F4E"/>
    <w:rsid w:val="007540AE"/>
    <w:rsid w:val="0075415C"/>
    <w:rsid w:val="007541AA"/>
    <w:rsid w:val="007546EB"/>
    <w:rsid w:val="00754850"/>
    <w:rsid w:val="00754949"/>
    <w:rsid w:val="00754A8E"/>
    <w:rsid w:val="00754C14"/>
    <w:rsid w:val="00754CDD"/>
    <w:rsid w:val="00754E8A"/>
    <w:rsid w:val="00754E98"/>
    <w:rsid w:val="0075507A"/>
    <w:rsid w:val="00755155"/>
    <w:rsid w:val="007553EB"/>
    <w:rsid w:val="00755734"/>
    <w:rsid w:val="00755B15"/>
    <w:rsid w:val="00755C0C"/>
    <w:rsid w:val="00755FB0"/>
    <w:rsid w:val="0075647F"/>
    <w:rsid w:val="00756A15"/>
    <w:rsid w:val="00756A80"/>
    <w:rsid w:val="00756BC8"/>
    <w:rsid w:val="00757186"/>
    <w:rsid w:val="0075722F"/>
    <w:rsid w:val="007575C9"/>
    <w:rsid w:val="007577ED"/>
    <w:rsid w:val="00757DA7"/>
    <w:rsid w:val="00757E32"/>
    <w:rsid w:val="00757EC5"/>
    <w:rsid w:val="00757F09"/>
    <w:rsid w:val="007600EB"/>
    <w:rsid w:val="0076021D"/>
    <w:rsid w:val="007602BE"/>
    <w:rsid w:val="0076042F"/>
    <w:rsid w:val="00760657"/>
    <w:rsid w:val="00760BCB"/>
    <w:rsid w:val="0076136D"/>
    <w:rsid w:val="0076151D"/>
    <w:rsid w:val="007617B2"/>
    <w:rsid w:val="00761BF4"/>
    <w:rsid w:val="00761D52"/>
    <w:rsid w:val="00761EC6"/>
    <w:rsid w:val="00762309"/>
    <w:rsid w:val="007625C6"/>
    <w:rsid w:val="007626B7"/>
    <w:rsid w:val="00762744"/>
    <w:rsid w:val="00762A23"/>
    <w:rsid w:val="00763104"/>
    <w:rsid w:val="0076323A"/>
    <w:rsid w:val="0076329C"/>
    <w:rsid w:val="0076336E"/>
    <w:rsid w:val="007634FE"/>
    <w:rsid w:val="0076379A"/>
    <w:rsid w:val="007637A0"/>
    <w:rsid w:val="00763A63"/>
    <w:rsid w:val="00763A7A"/>
    <w:rsid w:val="007640A5"/>
    <w:rsid w:val="007643A1"/>
    <w:rsid w:val="007647C4"/>
    <w:rsid w:val="00764899"/>
    <w:rsid w:val="00764A9F"/>
    <w:rsid w:val="00764DEA"/>
    <w:rsid w:val="00764DEB"/>
    <w:rsid w:val="00764F60"/>
    <w:rsid w:val="00764F86"/>
    <w:rsid w:val="007652C1"/>
    <w:rsid w:val="0076544F"/>
    <w:rsid w:val="00765BCA"/>
    <w:rsid w:val="00765CBF"/>
    <w:rsid w:val="00766072"/>
    <w:rsid w:val="007660B9"/>
    <w:rsid w:val="00766361"/>
    <w:rsid w:val="007664B2"/>
    <w:rsid w:val="007668E6"/>
    <w:rsid w:val="00766E0F"/>
    <w:rsid w:val="00766F7B"/>
    <w:rsid w:val="0076706F"/>
    <w:rsid w:val="007672BA"/>
    <w:rsid w:val="007678D8"/>
    <w:rsid w:val="0076798E"/>
    <w:rsid w:val="00767A91"/>
    <w:rsid w:val="0077032B"/>
    <w:rsid w:val="00770523"/>
    <w:rsid w:val="0077069E"/>
    <w:rsid w:val="007706E5"/>
    <w:rsid w:val="00770F2F"/>
    <w:rsid w:val="007710D2"/>
    <w:rsid w:val="007715B0"/>
    <w:rsid w:val="00771943"/>
    <w:rsid w:val="00771D55"/>
    <w:rsid w:val="00771EB1"/>
    <w:rsid w:val="00772408"/>
    <w:rsid w:val="0077262C"/>
    <w:rsid w:val="00772936"/>
    <w:rsid w:val="00772E0B"/>
    <w:rsid w:val="00772EA9"/>
    <w:rsid w:val="00773170"/>
    <w:rsid w:val="007737DB"/>
    <w:rsid w:val="0077389C"/>
    <w:rsid w:val="00773A62"/>
    <w:rsid w:val="00773AC7"/>
    <w:rsid w:val="00773E57"/>
    <w:rsid w:val="007740A6"/>
    <w:rsid w:val="00774168"/>
    <w:rsid w:val="00774A24"/>
    <w:rsid w:val="00774A61"/>
    <w:rsid w:val="00774BAA"/>
    <w:rsid w:val="007753FB"/>
    <w:rsid w:val="007754F7"/>
    <w:rsid w:val="00775AB8"/>
    <w:rsid w:val="00775BA1"/>
    <w:rsid w:val="00775BB5"/>
    <w:rsid w:val="00775DFD"/>
    <w:rsid w:val="00775E75"/>
    <w:rsid w:val="007761C1"/>
    <w:rsid w:val="007763DF"/>
    <w:rsid w:val="00776883"/>
    <w:rsid w:val="00776915"/>
    <w:rsid w:val="00776AF4"/>
    <w:rsid w:val="00776C9A"/>
    <w:rsid w:val="00777024"/>
    <w:rsid w:val="00777190"/>
    <w:rsid w:val="0077739A"/>
    <w:rsid w:val="0078018D"/>
    <w:rsid w:val="00780467"/>
    <w:rsid w:val="00780834"/>
    <w:rsid w:val="00780A57"/>
    <w:rsid w:val="00780AC4"/>
    <w:rsid w:val="00780D5D"/>
    <w:rsid w:val="00780E2F"/>
    <w:rsid w:val="0078105B"/>
    <w:rsid w:val="007812A7"/>
    <w:rsid w:val="007813D4"/>
    <w:rsid w:val="00781654"/>
    <w:rsid w:val="0078172B"/>
    <w:rsid w:val="00781797"/>
    <w:rsid w:val="0078187A"/>
    <w:rsid w:val="00781B4E"/>
    <w:rsid w:val="00781BE0"/>
    <w:rsid w:val="00781BEB"/>
    <w:rsid w:val="00781FF5"/>
    <w:rsid w:val="00781FF8"/>
    <w:rsid w:val="007821AE"/>
    <w:rsid w:val="007821C7"/>
    <w:rsid w:val="00783743"/>
    <w:rsid w:val="00783981"/>
    <w:rsid w:val="00783C7F"/>
    <w:rsid w:val="00783FE4"/>
    <w:rsid w:val="007840F9"/>
    <w:rsid w:val="0078419A"/>
    <w:rsid w:val="007844A8"/>
    <w:rsid w:val="007844E2"/>
    <w:rsid w:val="00784843"/>
    <w:rsid w:val="00784B28"/>
    <w:rsid w:val="00784B8B"/>
    <w:rsid w:val="0078507B"/>
    <w:rsid w:val="007850A0"/>
    <w:rsid w:val="007856A7"/>
    <w:rsid w:val="0078655F"/>
    <w:rsid w:val="0078686D"/>
    <w:rsid w:val="00786B19"/>
    <w:rsid w:val="00786C9F"/>
    <w:rsid w:val="00786DF1"/>
    <w:rsid w:val="00786DFA"/>
    <w:rsid w:val="00786EB1"/>
    <w:rsid w:val="007872D8"/>
    <w:rsid w:val="007878F0"/>
    <w:rsid w:val="00787906"/>
    <w:rsid w:val="00787A20"/>
    <w:rsid w:val="00787A52"/>
    <w:rsid w:val="00787AEC"/>
    <w:rsid w:val="007909B2"/>
    <w:rsid w:val="00790A31"/>
    <w:rsid w:val="00790A61"/>
    <w:rsid w:val="00790D35"/>
    <w:rsid w:val="00790D5A"/>
    <w:rsid w:val="0079106C"/>
    <w:rsid w:val="00791172"/>
    <w:rsid w:val="0079125E"/>
    <w:rsid w:val="0079134F"/>
    <w:rsid w:val="00791780"/>
    <w:rsid w:val="00791BEB"/>
    <w:rsid w:val="00791BF3"/>
    <w:rsid w:val="00791C1F"/>
    <w:rsid w:val="00791E0B"/>
    <w:rsid w:val="00791E5E"/>
    <w:rsid w:val="00791F78"/>
    <w:rsid w:val="007920C5"/>
    <w:rsid w:val="00792271"/>
    <w:rsid w:val="00792420"/>
    <w:rsid w:val="0079243F"/>
    <w:rsid w:val="0079254D"/>
    <w:rsid w:val="0079255A"/>
    <w:rsid w:val="00792A9C"/>
    <w:rsid w:val="00792AAD"/>
    <w:rsid w:val="00792D17"/>
    <w:rsid w:val="00792EA0"/>
    <w:rsid w:val="00792EB2"/>
    <w:rsid w:val="00792F0D"/>
    <w:rsid w:val="007930EB"/>
    <w:rsid w:val="007931BD"/>
    <w:rsid w:val="00793417"/>
    <w:rsid w:val="00793506"/>
    <w:rsid w:val="0079365F"/>
    <w:rsid w:val="00793834"/>
    <w:rsid w:val="0079402E"/>
    <w:rsid w:val="0079422E"/>
    <w:rsid w:val="0079436A"/>
    <w:rsid w:val="007943C4"/>
    <w:rsid w:val="00794833"/>
    <w:rsid w:val="0079493F"/>
    <w:rsid w:val="00794B37"/>
    <w:rsid w:val="00795024"/>
    <w:rsid w:val="00795311"/>
    <w:rsid w:val="007954CB"/>
    <w:rsid w:val="007954DF"/>
    <w:rsid w:val="0079565F"/>
    <w:rsid w:val="007956C4"/>
    <w:rsid w:val="00795A84"/>
    <w:rsid w:val="0079679D"/>
    <w:rsid w:val="007967C8"/>
    <w:rsid w:val="00796B36"/>
    <w:rsid w:val="00796EBF"/>
    <w:rsid w:val="00797165"/>
    <w:rsid w:val="007974B4"/>
    <w:rsid w:val="007975C8"/>
    <w:rsid w:val="007979DD"/>
    <w:rsid w:val="00797E97"/>
    <w:rsid w:val="007A03C5"/>
    <w:rsid w:val="007A041B"/>
    <w:rsid w:val="007A061F"/>
    <w:rsid w:val="007A0699"/>
    <w:rsid w:val="007A07E5"/>
    <w:rsid w:val="007A0D5B"/>
    <w:rsid w:val="007A0DA7"/>
    <w:rsid w:val="007A1004"/>
    <w:rsid w:val="007A1263"/>
    <w:rsid w:val="007A1395"/>
    <w:rsid w:val="007A1496"/>
    <w:rsid w:val="007A15DC"/>
    <w:rsid w:val="007A1C54"/>
    <w:rsid w:val="007A1DA6"/>
    <w:rsid w:val="007A1EE2"/>
    <w:rsid w:val="007A25E3"/>
    <w:rsid w:val="007A27C5"/>
    <w:rsid w:val="007A29D1"/>
    <w:rsid w:val="007A2B8D"/>
    <w:rsid w:val="007A2DA9"/>
    <w:rsid w:val="007A2EF2"/>
    <w:rsid w:val="007A2F40"/>
    <w:rsid w:val="007A3176"/>
    <w:rsid w:val="007A3565"/>
    <w:rsid w:val="007A35B0"/>
    <w:rsid w:val="007A35BE"/>
    <w:rsid w:val="007A3CBE"/>
    <w:rsid w:val="007A4953"/>
    <w:rsid w:val="007A49CE"/>
    <w:rsid w:val="007A4B41"/>
    <w:rsid w:val="007A4BB5"/>
    <w:rsid w:val="007A4E02"/>
    <w:rsid w:val="007A52E1"/>
    <w:rsid w:val="007A56C3"/>
    <w:rsid w:val="007A5A9B"/>
    <w:rsid w:val="007A5FE1"/>
    <w:rsid w:val="007A62FC"/>
    <w:rsid w:val="007A6383"/>
    <w:rsid w:val="007A6552"/>
    <w:rsid w:val="007A667F"/>
    <w:rsid w:val="007A6D60"/>
    <w:rsid w:val="007A6F38"/>
    <w:rsid w:val="007A747F"/>
    <w:rsid w:val="007A76C2"/>
    <w:rsid w:val="007A77FC"/>
    <w:rsid w:val="007A7B57"/>
    <w:rsid w:val="007A7B5C"/>
    <w:rsid w:val="007A7F60"/>
    <w:rsid w:val="007B071E"/>
    <w:rsid w:val="007B0911"/>
    <w:rsid w:val="007B0C54"/>
    <w:rsid w:val="007B0FB3"/>
    <w:rsid w:val="007B12C7"/>
    <w:rsid w:val="007B12CB"/>
    <w:rsid w:val="007B1302"/>
    <w:rsid w:val="007B16CC"/>
    <w:rsid w:val="007B17DC"/>
    <w:rsid w:val="007B1A78"/>
    <w:rsid w:val="007B1E43"/>
    <w:rsid w:val="007B236B"/>
    <w:rsid w:val="007B2507"/>
    <w:rsid w:val="007B271B"/>
    <w:rsid w:val="007B29B5"/>
    <w:rsid w:val="007B2DB1"/>
    <w:rsid w:val="007B2EFB"/>
    <w:rsid w:val="007B31D2"/>
    <w:rsid w:val="007B362C"/>
    <w:rsid w:val="007B37B0"/>
    <w:rsid w:val="007B37DE"/>
    <w:rsid w:val="007B38F9"/>
    <w:rsid w:val="007B3AA1"/>
    <w:rsid w:val="007B3C04"/>
    <w:rsid w:val="007B411A"/>
    <w:rsid w:val="007B422D"/>
    <w:rsid w:val="007B439D"/>
    <w:rsid w:val="007B43BC"/>
    <w:rsid w:val="007B4551"/>
    <w:rsid w:val="007B46C4"/>
    <w:rsid w:val="007B4791"/>
    <w:rsid w:val="007B4873"/>
    <w:rsid w:val="007B4A9A"/>
    <w:rsid w:val="007B4B43"/>
    <w:rsid w:val="007B5987"/>
    <w:rsid w:val="007B6399"/>
    <w:rsid w:val="007B65A5"/>
    <w:rsid w:val="007B66AF"/>
    <w:rsid w:val="007B6736"/>
    <w:rsid w:val="007B679F"/>
    <w:rsid w:val="007B69E9"/>
    <w:rsid w:val="007B6B14"/>
    <w:rsid w:val="007B6BB6"/>
    <w:rsid w:val="007B6FE4"/>
    <w:rsid w:val="007B7079"/>
    <w:rsid w:val="007B70B7"/>
    <w:rsid w:val="007B711B"/>
    <w:rsid w:val="007B7665"/>
    <w:rsid w:val="007B76E1"/>
    <w:rsid w:val="007B77ED"/>
    <w:rsid w:val="007B7C1F"/>
    <w:rsid w:val="007B7C8A"/>
    <w:rsid w:val="007C0087"/>
    <w:rsid w:val="007C0378"/>
    <w:rsid w:val="007C07AB"/>
    <w:rsid w:val="007C0C3C"/>
    <w:rsid w:val="007C0D3D"/>
    <w:rsid w:val="007C0D87"/>
    <w:rsid w:val="007C0F92"/>
    <w:rsid w:val="007C167B"/>
    <w:rsid w:val="007C18F8"/>
    <w:rsid w:val="007C1929"/>
    <w:rsid w:val="007C1B31"/>
    <w:rsid w:val="007C215D"/>
    <w:rsid w:val="007C22C1"/>
    <w:rsid w:val="007C241A"/>
    <w:rsid w:val="007C28AA"/>
    <w:rsid w:val="007C28C9"/>
    <w:rsid w:val="007C2926"/>
    <w:rsid w:val="007C3808"/>
    <w:rsid w:val="007C3ADE"/>
    <w:rsid w:val="007C3B09"/>
    <w:rsid w:val="007C3B9E"/>
    <w:rsid w:val="007C3C14"/>
    <w:rsid w:val="007C3D05"/>
    <w:rsid w:val="007C3F60"/>
    <w:rsid w:val="007C40C9"/>
    <w:rsid w:val="007C4B42"/>
    <w:rsid w:val="007C4C97"/>
    <w:rsid w:val="007C4D0A"/>
    <w:rsid w:val="007C4DD6"/>
    <w:rsid w:val="007C4E98"/>
    <w:rsid w:val="007C4EB1"/>
    <w:rsid w:val="007C510B"/>
    <w:rsid w:val="007C56EB"/>
    <w:rsid w:val="007C575A"/>
    <w:rsid w:val="007C5ACE"/>
    <w:rsid w:val="007C5B1F"/>
    <w:rsid w:val="007C5F59"/>
    <w:rsid w:val="007C5FA7"/>
    <w:rsid w:val="007C6353"/>
    <w:rsid w:val="007C65E3"/>
    <w:rsid w:val="007C732F"/>
    <w:rsid w:val="007C757E"/>
    <w:rsid w:val="007D0021"/>
    <w:rsid w:val="007D0071"/>
    <w:rsid w:val="007D021B"/>
    <w:rsid w:val="007D04E2"/>
    <w:rsid w:val="007D0796"/>
    <w:rsid w:val="007D09EA"/>
    <w:rsid w:val="007D0A2A"/>
    <w:rsid w:val="007D0E81"/>
    <w:rsid w:val="007D1019"/>
    <w:rsid w:val="007D103C"/>
    <w:rsid w:val="007D1155"/>
    <w:rsid w:val="007D1236"/>
    <w:rsid w:val="007D1440"/>
    <w:rsid w:val="007D1484"/>
    <w:rsid w:val="007D1909"/>
    <w:rsid w:val="007D195E"/>
    <w:rsid w:val="007D19EA"/>
    <w:rsid w:val="007D2276"/>
    <w:rsid w:val="007D2626"/>
    <w:rsid w:val="007D273B"/>
    <w:rsid w:val="007D27AE"/>
    <w:rsid w:val="007D28B2"/>
    <w:rsid w:val="007D28B4"/>
    <w:rsid w:val="007D35A3"/>
    <w:rsid w:val="007D3912"/>
    <w:rsid w:val="007D3A95"/>
    <w:rsid w:val="007D3DF6"/>
    <w:rsid w:val="007D3F74"/>
    <w:rsid w:val="007D3F91"/>
    <w:rsid w:val="007D3FB0"/>
    <w:rsid w:val="007D3FD7"/>
    <w:rsid w:val="007D3FD8"/>
    <w:rsid w:val="007D4215"/>
    <w:rsid w:val="007D42CD"/>
    <w:rsid w:val="007D43A2"/>
    <w:rsid w:val="007D4713"/>
    <w:rsid w:val="007D47BA"/>
    <w:rsid w:val="007D48B6"/>
    <w:rsid w:val="007D4AB4"/>
    <w:rsid w:val="007D50F1"/>
    <w:rsid w:val="007D5264"/>
    <w:rsid w:val="007D53E5"/>
    <w:rsid w:val="007D561E"/>
    <w:rsid w:val="007D57D8"/>
    <w:rsid w:val="007D59A7"/>
    <w:rsid w:val="007D5C25"/>
    <w:rsid w:val="007D646F"/>
    <w:rsid w:val="007D668B"/>
    <w:rsid w:val="007D680C"/>
    <w:rsid w:val="007D6AB3"/>
    <w:rsid w:val="007D6E1D"/>
    <w:rsid w:val="007D6FCB"/>
    <w:rsid w:val="007D76D0"/>
    <w:rsid w:val="007D7829"/>
    <w:rsid w:val="007D783B"/>
    <w:rsid w:val="007D79C5"/>
    <w:rsid w:val="007D7A05"/>
    <w:rsid w:val="007D7B4C"/>
    <w:rsid w:val="007D7BA6"/>
    <w:rsid w:val="007D7CE1"/>
    <w:rsid w:val="007D7EDA"/>
    <w:rsid w:val="007E0232"/>
    <w:rsid w:val="007E0490"/>
    <w:rsid w:val="007E0676"/>
    <w:rsid w:val="007E100A"/>
    <w:rsid w:val="007E1659"/>
    <w:rsid w:val="007E17E5"/>
    <w:rsid w:val="007E186B"/>
    <w:rsid w:val="007E1C96"/>
    <w:rsid w:val="007E23E2"/>
    <w:rsid w:val="007E2599"/>
    <w:rsid w:val="007E2958"/>
    <w:rsid w:val="007E2C04"/>
    <w:rsid w:val="007E2F0A"/>
    <w:rsid w:val="007E3407"/>
    <w:rsid w:val="007E34A1"/>
    <w:rsid w:val="007E3751"/>
    <w:rsid w:val="007E39D7"/>
    <w:rsid w:val="007E3D21"/>
    <w:rsid w:val="007E4A44"/>
    <w:rsid w:val="007E5325"/>
    <w:rsid w:val="007E57FA"/>
    <w:rsid w:val="007E5837"/>
    <w:rsid w:val="007E5889"/>
    <w:rsid w:val="007E5A3F"/>
    <w:rsid w:val="007E5B46"/>
    <w:rsid w:val="007E5EB9"/>
    <w:rsid w:val="007E6715"/>
    <w:rsid w:val="007E68EA"/>
    <w:rsid w:val="007E6E22"/>
    <w:rsid w:val="007E766A"/>
    <w:rsid w:val="007E76B4"/>
    <w:rsid w:val="007E76F9"/>
    <w:rsid w:val="007E7A8A"/>
    <w:rsid w:val="007E7CC4"/>
    <w:rsid w:val="007E7F6F"/>
    <w:rsid w:val="007F0096"/>
    <w:rsid w:val="007F037D"/>
    <w:rsid w:val="007F03BA"/>
    <w:rsid w:val="007F03FB"/>
    <w:rsid w:val="007F086D"/>
    <w:rsid w:val="007F0B9A"/>
    <w:rsid w:val="007F0CA2"/>
    <w:rsid w:val="007F1383"/>
    <w:rsid w:val="007F16C3"/>
    <w:rsid w:val="007F18AB"/>
    <w:rsid w:val="007F1A15"/>
    <w:rsid w:val="007F1EFD"/>
    <w:rsid w:val="007F2217"/>
    <w:rsid w:val="007F2558"/>
    <w:rsid w:val="007F262D"/>
    <w:rsid w:val="007F2638"/>
    <w:rsid w:val="007F2684"/>
    <w:rsid w:val="007F2895"/>
    <w:rsid w:val="007F2E2A"/>
    <w:rsid w:val="007F2FA2"/>
    <w:rsid w:val="007F3142"/>
    <w:rsid w:val="007F332A"/>
    <w:rsid w:val="007F382E"/>
    <w:rsid w:val="007F3A0E"/>
    <w:rsid w:val="007F3C89"/>
    <w:rsid w:val="007F3DF6"/>
    <w:rsid w:val="007F3F3D"/>
    <w:rsid w:val="007F3F41"/>
    <w:rsid w:val="007F43FE"/>
    <w:rsid w:val="007F447B"/>
    <w:rsid w:val="007F4858"/>
    <w:rsid w:val="007F48A3"/>
    <w:rsid w:val="007F4A28"/>
    <w:rsid w:val="007F4FA9"/>
    <w:rsid w:val="007F5010"/>
    <w:rsid w:val="007F5040"/>
    <w:rsid w:val="007F530B"/>
    <w:rsid w:val="007F56FC"/>
    <w:rsid w:val="007F5706"/>
    <w:rsid w:val="007F58CA"/>
    <w:rsid w:val="007F5ABA"/>
    <w:rsid w:val="007F5BF2"/>
    <w:rsid w:val="007F5D33"/>
    <w:rsid w:val="007F5DDD"/>
    <w:rsid w:val="007F6405"/>
    <w:rsid w:val="007F64D8"/>
    <w:rsid w:val="007F6DE0"/>
    <w:rsid w:val="007F714F"/>
    <w:rsid w:val="007F798F"/>
    <w:rsid w:val="007F7FED"/>
    <w:rsid w:val="00800175"/>
    <w:rsid w:val="008002FF"/>
    <w:rsid w:val="008004D2"/>
    <w:rsid w:val="008005A5"/>
    <w:rsid w:val="008005C8"/>
    <w:rsid w:val="0080096E"/>
    <w:rsid w:val="008009ED"/>
    <w:rsid w:val="00800B75"/>
    <w:rsid w:val="00800FD0"/>
    <w:rsid w:val="0080111B"/>
    <w:rsid w:val="0080127E"/>
    <w:rsid w:val="00801526"/>
    <w:rsid w:val="0080196F"/>
    <w:rsid w:val="00801FA3"/>
    <w:rsid w:val="0080206A"/>
    <w:rsid w:val="0080225B"/>
    <w:rsid w:val="008022CB"/>
    <w:rsid w:val="00802338"/>
    <w:rsid w:val="00802965"/>
    <w:rsid w:val="00802D4C"/>
    <w:rsid w:val="00802DE0"/>
    <w:rsid w:val="00802E42"/>
    <w:rsid w:val="00802EC4"/>
    <w:rsid w:val="00802FCF"/>
    <w:rsid w:val="00803506"/>
    <w:rsid w:val="008036B1"/>
    <w:rsid w:val="008038E0"/>
    <w:rsid w:val="008039CB"/>
    <w:rsid w:val="00803C08"/>
    <w:rsid w:val="00803F6D"/>
    <w:rsid w:val="00804296"/>
    <w:rsid w:val="00804507"/>
    <w:rsid w:val="00804523"/>
    <w:rsid w:val="00804B9F"/>
    <w:rsid w:val="00804D8B"/>
    <w:rsid w:val="00804EC6"/>
    <w:rsid w:val="0080501A"/>
    <w:rsid w:val="008051C4"/>
    <w:rsid w:val="008052E6"/>
    <w:rsid w:val="00805516"/>
    <w:rsid w:val="00805631"/>
    <w:rsid w:val="008056FD"/>
    <w:rsid w:val="00805B42"/>
    <w:rsid w:val="00805C2B"/>
    <w:rsid w:val="00805F5F"/>
    <w:rsid w:val="00805FED"/>
    <w:rsid w:val="00806059"/>
    <w:rsid w:val="0080613D"/>
    <w:rsid w:val="00806393"/>
    <w:rsid w:val="00806AAC"/>
    <w:rsid w:val="00806C71"/>
    <w:rsid w:val="00807053"/>
    <w:rsid w:val="008077E1"/>
    <w:rsid w:val="00807B69"/>
    <w:rsid w:val="00807C72"/>
    <w:rsid w:val="008102C2"/>
    <w:rsid w:val="00810D76"/>
    <w:rsid w:val="00810E49"/>
    <w:rsid w:val="00810EB6"/>
    <w:rsid w:val="0081118C"/>
    <w:rsid w:val="0081158F"/>
    <w:rsid w:val="00811883"/>
    <w:rsid w:val="00811B5B"/>
    <w:rsid w:val="00811CE2"/>
    <w:rsid w:val="00811F5B"/>
    <w:rsid w:val="00812196"/>
    <w:rsid w:val="0081220D"/>
    <w:rsid w:val="0081223A"/>
    <w:rsid w:val="00812679"/>
    <w:rsid w:val="0081281F"/>
    <w:rsid w:val="00812CBE"/>
    <w:rsid w:val="00812D0C"/>
    <w:rsid w:val="00813188"/>
    <w:rsid w:val="008134C5"/>
    <w:rsid w:val="00813682"/>
    <w:rsid w:val="008138C1"/>
    <w:rsid w:val="00813A08"/>
    <w:rsid w:val="00814064"/>
    <w:rsid w:val="008146D2"/>
    <w:rsid w:val="0081493D"/>
    <w:rsid w:val="00814CAE"/>
    <w:rsid w:val="0081512D"/>
    <w:rsid w:val="008155F6"/>
    <w:rsid w:val="00815AD3"/>
    <w:rsid w:val="00815BB0"/>
    <w:rsid w:val="00815EEF"/>
    <w:rsid w:val="00815FFC"/>
    <w:rsid w:val="0081626C"/>
    <w:rsid w:val="0081682B"/>
    <w:rsid w:val="00816857"/>
    <w:rsid w:val="00817073"/>
    <w:rsid w:val="00817464"/>
    <w:rsid w:val="00817783"/>
    <w:rsid w:val="008177CA"/>
    <w:rsid w:val="0081799C"/>
    <w:rsid w:val="0082033F"/>
    <w:rsid w:val="00820C25"/>
    <w:rsid w:val="00820E0F"/>
    <w:rsid w:val="00820F32"/>
    <w:rsid w:val="0082104F"/>
    <w:rsid w:val="008211B5"/>
    <w:rsid w:val="00821785"/>
    <w:rsid w:val="008218EB"/>
    <w:rsid w:val="00821D42"/>
    <w:rsid w:val="00822275"/>
    <w:rsid w:val="008225F4"/>
    <w:rsid w:val="008227F8"/>
    <w:rsid w:val="00822D34"/>
    <w:rsid w:val="00822D50"/>
    <w:rsid w:val="00822F23"/>
    <w:rsid w:val="00822F8A"/>
    <w:rsid w:val="0082301C"/>
    <w:rsid w:val="00823081"/>
    <w:rsid w:val="00823159"/>
    <w:rsid w:val="008232C6"/>
    <w:rsid w:val="00823943"/>
    <w:rsid w:val="00823ABC"/>
    <w:rsid w:val="00823BDC"/>
    <w:rsid w:val="00823CE9"/>
    <w:rsid w:val="00823E07"/>
    <w:rsid w:val="00823F71"/>
    <w:rsid w:val="00823F96"/>
    <w:rsid w:val="008240D8"/>
    <w:rsid w:val="00824487"/>
    <w:rsid w:val="00824ACB"/>
    <w:rsid w:val="00824C9A"/>
    <w:rsid w:val="00824EC6"/>
    <w:rsid w:val="0082518D"/>
    <w:rsid w:val="0082544B"/>
    <w:rsid w:val="0082553C"/>
    <w:rsid w:val="00825929"/>
    <w:rsid w:val="00825B23"/>
    <w:rsid w:val="00825CF1"/>
    <w:rsid w:val="00826076"/>
    <w:rsid w:val="00826314"/>
    <w:rsid w:val="00826616"/>
    <w:rsid w:val="0082669C"/>
    <w:rsid w:val="00826774"/>
    <w:rsid w:val="0082691B"/>
    <w:rsid w:val="00826ADD"/>
    <w:rsid w:val="00826B1B"/>
    <w:rsid w:val="00826BA1"/>
    <w:rsid w:val="00826CF1"/>
    <w:rsid w:val="00826D35"/>
    <w:rsid w:val="00826E8A"/>
    <w:rsid w:val="0082714E"/>
    <w:rsid w:val="0082732B"/>
    <w:rsid w:val="00827508"/>
    <w:rsid w:val="008275B9"/>
    <w:rsid w:val="0082781A"/>
    <w:rsid w:val="00827CAE"/>
    <w:rsid w:val="00827E00"/>
    <w:rsid w:val="00827FAB"/>
    <w:rsid w:val="00830091"/>
    <w:rsid w:val="008302B4"/>
    <w:rsid w:val="0083033D"/>
    <w:rsid w:val="008306EF"/>
    <w:rsid w:val="008308F3"/>
    <w:rsid w:val="00830AC8"/>
    <w:rsid w:val="00830C9C"/>
    <w:rsid w:val="00830D21"/>
    <w:rsid w:val="00831218"/>
    <w:rsid w:val="00831275"/>
    <w:rsid w:val="0083150B"/>
    <w:rsid w:val="00831A84"/>
    <w:rsid w:val="00831C19"/>
    <w:rsid w:val="00831C46"/>
    <w:rsid w:val="00831EC8"/>
    <w:rsid w:val="00831F37"/>
    <w:rsid w:val="008322D3"/>
    <w:rsid w:val="0083261D"/>
    <w:rsid w:val="00832A1A"/>
    <w:rsid w:val="00832CD4"/>
    <w:rsid w:val="00832D89"/>
    <w:rsid w:val="00832F52"/>
    <w:rsid w:val="00833112"/>
    <w:rsid w:val="00833241"/>
    <w:rsid w:val="008333E9"/>
    <w:rsid w:val="008335AE"/>
    <w:rsid w:val="008336C2"/>
    <w:rsid w:val="00833758"/>
    <w:rsid w:val="00833976"/>
    <w:rsid w:val="008339A3"/>
    <w:rsid w:val="00833C45"/>
    <w:rsid w:val="00833C9F"/>
    <w:rsid w:val="00833E0D"/>
    <w:rsid w:val="00833EB0"/>
    <w:rsid w:val="00833F85"/>
    <w:rsid w:val="00834249"/>
    <w:rsid w:val="0083429E"/>
    <w:rsid w:val="0083442D"/>
    <w:rsid w:val="008346B2"/>
    <w:rsid w:val="00834704"/>
    <w:rsid w:val="0083485E"/>
    <w:rsid w:val="00834D25"/>
    <w:rsid w:val="00834F21"/>
    <w:rsid w:val="00834F49"/>
    <w:rsid w:val="00835413"/>
    <w:rsid w:val="0083578E"/>
    <w:rsid w:val="00835A75"/>
    <w:rsid w:val="00835DD8"/>
    <w:rsid w:val="00836BAB"/>
    <w:rsid w:val="00836BE7"/>
    <w:rsid w:val="00836E11"/>
    <w:rsid w:val="00836F1A"/>
    <w:rsid w:val="00837160"/>
    <w:rsid w:val="00837315"/>
    <w:rsid w:val="00837371"/>
    <w:rsid w:val="008375ED"/>
    <w:rsid w:val="008376CC"/>
    <w:rsid w:val="00837706"/>
    <w:rsid w:val="00837736"/>
    <w:rsid w:val="00837C1E"/>
    <w:rsid w:val="008400EC"/>
    <w:rsid w:val="008407D8"/>
    <w:rsid w:val="00840865"/>
    <w:rsid w:val="0084087F"/>
    <w:rsid w:val="00840B2B"/>
    <w:rsid w:val="00841023"/>
    <w:rsid w:val="0084187E"/>
    <w:rsid w:val="00841ACD"/>
    <w:rsid w:val="00841D41"/>
    <w:rsid w:val="008420A1"/>
    <w:rsid w:val="00842120"/>
    <w:rsid w:val="008426A4"/>
    <w:rsid w:val="00842953"/>
    <w:rsid w:val="00842C18"/>
    <w:rsid w:val="00842D89"/>
    <w:rsid w:val="00842D8C"/>
    <w:rsid w:val="008433FC"/>
    <w:rsid w:val="0084345C"/>
    <w:rsid w:val="0084349B"/>
    <w:rsid w:val="008434DE"/>
    <w:rsid w:val="008436AB"/>
    <w:rsid w:val="00843769"/>
    <w:rsid w:val="0084379D"/>
    <w:rsid w:val="0084395C"/>
    <w:rsid w:val="00843A4C"/>
    <w:rsid w:val="00843ADC"/>
    <w:rsid w:val="00843FAD"/>
    <w:rsid w:val="0084404C"/>
    <w:rsid w:val="00844215"/>
    <w:rsid w:val="00844643"/>
    <w:rsid w:val="00844739"/>
    <w:rsid w:val="00844780"/>
    <w:rsid w:val="0084486B"/>
    <w:rsid w:val="008449D3"/>
    <w:rsid w:val="00844A98"/>
    <w:rsid w:val="00844D89"/>
    <w:rsid w:val="00844FA1"/>
    <w:rsid w:val="00844FD0"/>
    <w:rsid w:val="00845366"/>
    <w:rsid w:val="00845395"/>
    <w:rsid w:val="008459EB"/>
    <w:rsid w:val="00845D43"/>
    <w:rsid w:val="00846091"/>
    <w:rsid w:val="008464A7"/>
    <w:rsid w:val="008464FE"/>
    <w:rsid w:val="00846A0A"/>
    <w:rsid w:val="00846EE9"/>
    <w:rsid w:val="00846EF0"/>
    <w:rsid w:val="008472D8"/>
    <w:rsid w:val="008474BE"/>
    <w:rsid w:val="008475A2"/>
    <w:rsid w:val="0084774C"/>
    <w:rsid w:val="0084791B"/>
    <w:rsid w:val="00847B63"/>
    <w:rsid w:val="00847BF9"/>
    <w:rsid w:val="00847C4D"/>
    <w:rsid w:val="00847DD3"/>
    <w:rsid w:val="00847E53"/>
    <w:rsid w:val="00847EC8"/>
    <w:rsid w:val="008503C6"/>
    <w:rsid w:val="0085169A"/>
    <w:rsid w:val="008524AF"/>
    <w:rsid w:val="00852512"/>
    <w:rsid w:val="0085276E"/>
    <w:rsid w:val="00852796"/>
    <w:rsid w:val="008538AA"/>
    <w:rsid w:val="008538BD"/>
    <w:rsid w:val="00853C1B"/>
    <w:rsid w:val="00853D1F"/>
    <w:rsid w:val="00853D87"/>
    <w:rsid w:val="00853D91"/>
    <w:rsid w:val="0085409B"/>
    <w:rsid w:val="008544E9"/>
    <w:rsid w:val="0085474F"/>
    <w:rsid w:val="008548AF"/>
    <w:rsid w:val="00854F09"/>
    <w:rsid w:val="00854FF9"/>
    <w:rsid w:val="0085520F"/>
    <w:rsid w:val="0085619D"/>
    <w:rsid w:val="0085629B"/>
    <w:rsid w:val="008562BD"/>
    <w:rsid w:val="008563E6"/>
    <w:rsid w:val="0085674B"/>
    <w:rsid w:val="00856CD9"/>
    <w:rsid w:val="00857170"/>
    <w:rsid w:val="008572C7"/>
    <w:rsid w:val="00857478"/>
    <w:rsid w:val="00857A83"/>
    <w:rsid w:val="00857BC3"/>
    <w:rsid w:val="00857F0C"/>
    <w:rsid w:val="00857FC8"/>
    <w:rsid w:val="00860075"/>
    <w:rsid w:val="0086041D"/>
    <w:rsid w:val="0086044C"/>
    <w:rsid w:val="008606C8"/>
    <w:rsid w:val="008608EC"/>
    <w:rsid w:val="00861501"/>
    <w:rsid w:val="0086151D"/>
    <w:rsid w:val="008617E9"/>
    <w:rsid w:val="00861A0C"/>
    <w:rsid w:val="00861F3E"/>
    <w:rsid w:val="00862127"/>
    <w:rsid w:val="00862198"/>
    <w:rsid w:val="0086235D"/>
    <w:rsid w:val="00862611"/>
    <w:rsid w:val="008627A3"/>
    <w:rsid w:val="00862833"/>
    <w:rsid w:val="00862C92"/>
    <w:rsid w:val="00862DCF"/>
    <w:rsid w:val="00862EB8"/>
    <w:rsid w:val="00862FA5"/>
    <w:rsid w:val="0086320E"/>
    <w:rsid w:val="0086341F"/>
    <w:rsid w:val="0086345D"/>
    <w:rsid w:val="00863492"/>
    <w:rsid w:val="00863497"/>
    <w:rsid w:val="00863ACF"/>
    <w:rsid w:val="00864243"/>
    <w:rsid w:val="0086424B"/>
    <w:rsid w:val="00864281"/>
    <w:rsid w:val="008642D4"/>
    <w:rsid w:val="0086504C"/>
    <w:rsid w:val="00865269"/>
    <w:rsid w:val="00865583"/>
    <w:rsid w:val="00865B69"/>
    <w:rsid w:val="00865DAC"/>
    <w:rsid w:val="00866122"/>
    <w:rsid w:val="00866194"/>
    <w:rsid w:val="00866208"/>
    <w:rsid w:val="00866681"/>
    <w:rsid w:val="00866974"/>
    <w:rsid w:val="00866B99"/>
    <w:rsid w:val="00866D40"/>
    <w:rsid w:val="00867080"/>
    <w:rsid w:val="008671A7"/>
    <w:rsid w:val="0086729F"/>
    <w:rsid w:val="008678C1"/>
    <w:rsid w:val="00867F04"/>
    <w:rsid w:val="008702C3"/>
    <w:rsid w:val="00870A2B"/>
    <w:rsid w:val="00870BFE"/>
    <w:rsid w:val="00870F9F"/>
    <w:rsid w:val="00871344"/>
    <w:rsid w:val="008715DA"/>
    <w:rsid w:val="00871A90"/>
    <w:rsid w:val="00871C4B"/>
    <w:rsid w:val="00872021"/>
    <w:rsid w:val="0087210E"/>
    <w:rsid w:val="00872358"/>
    <w:rsid w:val="0087237F"/>
    <w:rsid w:val="0087238B"/>
    <w:rsid w:val="00872584"/>
    <w:rsid w:val="00873029"/>
    <w:rsid w:val="0087321A"/>
    <w:rsid w:val="00873279"/>
    <w:rsid w:val="00873B2B"/>
    <w:rsid w:val="00873BC9"/>
    <w:rsid w:val="00873DED"/>
    <w:rsid w:val="008741C0"/>
    <w:rsid w:val="0087427D"/>
    <w:rsid w:val="0087437D"/>
    <w:rsid w:val="0087445D"/>
    <w:rsid w:val="0087455D"/>
    <w:rsid w:val="00874675"/>
    <w:rsid w:val="00874742"/>
    <w:rsid w:val="008749C2"/>
    <w:rsid w:val="00874CE6"/>
    <w:rsid w:val="00874DAC"/>
    <w:rsid w:val="00875083"/>
    <w:rsid w:val="0087542C"/>
    <w:rsid w:val="00875468"/>
    <w:rsid w:val="00875703"/>
    <w:rsid w:val="008757F0"/>
    <w:rsid w:val="008759A7"/>
    <w:rsid w:val="00875AA7"/>
    <w:rsid w:val="00875FDC"/>
    <w:rsid w:val="0087622C"/>
    <w:rsid w:val="008764A7"/>
    <w:rsid w:val="00876833"/>
    <w:rsid w:val="008769B4"/>
    <w:rsid w:val="00876A29"/>
    <w:rsid w:val="00876AD5"/>
    <w:rsid w:val="00876CF9"/>
    <w:rsid w:val="00877043"/>
    <w:rsid w:val="00877052"/>
    <w:rsid w:val="00877425"/>
    <w:rsid w:val="008777F4"/>
    <w:rsid w:val="00877FEF"/>
    <w:rsid w:val="008800B2"/>
    <w:rsid w:val="00880101"/>
    <w:rsid w:val="008801CD"/>
    <w:rsid w:val="00880351"/>
    <w:rsid w:val="0088075F"/>
    <w:rsid w:val="00880786"/>
    <w:rsid w:val="0088088A"/>
    <w:rsid w:val="00880D58"/>
    <w:rsid w:val="00881066"/>
    <w:rsid w:val="00881322"/>
    <w:rsid w:val="008814C8"/>
    <w:rsid w:val="00881730"/>
    <w:rsid w:val="008818CA"/>
    <w:rsid w:val="00881CE1"/>
    <w:rsid w:val="00881D32"/>
    <w:rsid w:val="00881EA1"/>
    <w:rsid w:val="00881FCB"/>
    <w:rsid w:val="0088228B"/>
    <w:rsid w:val="008825FB"/>
    <w:rsid w:val="00882777"/>
    <w:rsid w:val="00882E0F"/>
    <w:rsid w:val="00882E51"/>
    <w:rsid w:val="00882F6B"/>
    <w:rsid w:val="0088302E"/>
    <w:rsid w:val="0088319B"/>
    <w:rsid w:val="0088335B"/>
    <w:rsid w:val="00883AC2"/>
    <w:rsid w:val="00883CE2"/>
    <w:rsid w:val="0088424C"/>
    <w:rsid w:val="0088430F"/>
    <w:rsid w:val="008843F3"/>
    <w:rsid w:val="00884428"/>
    <w:rsid w:val="00884557"/>
    <w:rsid w:val="008847CA"/>
    <w:rsid w:val="00884908"/>
    <w:rsid w:val="00884C8C"/>
    <w:rsid w:val="00884CED"/>
    <w:rsid w:val="00884EFF"/>
    <w:rsid w:val="0088517F"/>
    <w:rsid w:val="008853CC"/>
    <w:rsid w:val="008857FC"/>
    <w:rsid w:val="008859CC"/>
    <w:rsid w:val="008860B0"/>
    <w:rsid w:val="008868F0"/>
    <w:rsid w:val="0088690A"/>
    <w:rsid w:val="00886E68"/>
    <w:rsid w:val="00887156"/>
    <w:rsid w:val="00887295"/>
    <w:rsid w:val="00887298"/>
    <w:rsid w:val="008877BB"/>
    <w:rsid w:val="00887875"/>
    <w:rsid w:val="00887D44"/>
    <w:rsid w:val="00887E0A"/>
    <w:rsid w:val="00887F59"/>
    <w:rsid w:val="008901C1"/>
    <w:rsid w:val="008902CF"/>
    <w:rsid w:val="008903D4"/>
    <w:rsid w:val="00890745"/>
    <w:rsid w:val="0089075C"/>
    <w:rsid w:val="00890A23"/>
    <w:rsid w:val="00890A2A"/>
    <w:rsid w:val="00891379"/>
    <w:rsid w:val="00891A9A"/>
    <w:rsid w:val="00891AA4"/>
    <w:rsid w:val="00891B65"/>
    <w:rsid w:val="00891B70"/>
    <w:rsid w:val="00891E63"/>
    <w:rsid w:val="00891EE8"/>
    <w:rsid w:val="00892605"/>
    <w:rsid w:val="00892753"/>
    <w:rsid w:val="008928A1"/>
    <w:rsid w:val="00892A52"/>
    <w:rsid w:val="00892C3A"/>
    <w:rsid w:val="00892D2A"/>
    <w:rsid w:val="00892DD6"/>
    <w:rsid w:val="00892E78"/>
    <w:rsid w:val="00893263"/>
    <w:rsid w:val="00893299"/>
    <w:rsid w:val="008934B3"/>
    <w:rsid w:val="008936B9"/>
    <w:rsid w:val="008937A8"/>
    <w:rsid w:val="00894402"/>
    <w:rsid w:val="00894537"/>
    <w:rsid w:val="00894587"/>
    <w:rsid w:val="0089475A"/>
    <w:rsid w:val="0089483C"/>
    <w:rsid w:val="00894C61"/>
    <w:rsid w:val="00894C80"/>
    <w:rsid w:val="00894ED2"/>
    <w:rsid w:val="008950D4"/>
    <w:rsid w:val="008950D9"/>
    <w:rsid w:val="00895224"/>
    <w:rsid w:val="00895761"/>
    <w:rsid w:val="008957A5"/>
    <w:rsid w:val="0089596C"/>
    <w:rsid w:val="00895DDA"/>
    <w:rsid w:val="00895F52"/>
    <w:rsid w:val="00896170"/>
    <w:rsid w:val="00896456"/>
    <w:rsid w:val="00896A17"/>
    <w:rsid w:val="0089724F"/>
    <w:rsid w:val="00897282"/>
    <w:rsid w:val="00897636"/>
    <w:rsid w:val="00897DB9"/>
    <w:rsid w:val="00897F57"/>
    <w:rsid w:val="008A02F5"/>
    <w:rsid w:val="008A061D"/>
    <w:rsid w:val="008A08D3"/>
    <w:rsid w:val="008A0E44"/>
    <w:rsid w:val="008A1271"/>
    <w:rsid w:val="008A158A"/>
    <w:rsid w:val="008A1CAE"/>
    <w:rsid w:val="008A213D"/>
    <w:rsid w:val="008A229F"/>
    <w:rsid w:val="008A240B"/>
    <w:rsid w:val="008A256F"/>
    <w:rsid w:val="008A26E5"/>
    <w:rsid w:val="008A2A37"/>
    <w:rsid w:val="008A3201"/>
    <w:rsid w:val="008A35D6"/>
    <w:rsid w:val="008A3A54"/>
    <w:rsid w:val="008A3B36"/>
    <w:rsid w:val="008A3DA1"/>
    <w:rsid w:val="008A3DBE"/>
    <w:rsid w:val="008A40B3"/>
    <w:rsid w:val="008A40C1"/>
    <w:rsid w:val="008A4275"/>
    <w:rsid w:val="008A4422"/>
    <w:rsid w:val="008A46BA"/>
    <w:rsid w:val="008A47B6"/>
    <w:rsid w:val="008A52AF"/>
    <w:rsid w:val="008A545F"/>
    <w:rsid w:val="008A564F"/>
    <w:rsid w:val="008A5B09"/>
    <w:rsid w:val="008A5B0B"/>
    <w:rsid w:val="008A5B41"/>
    <w:rsid w:val="008A5ED0"/>
    <w:rsid w:val="008A5F43"/>
    <w:rsid w:val="008A60E3"/>
    <w:rsid w:val="008A64A3"/>
    <w:rsid w:val="008A64A5"/>
    <w:rsid w:val="008A64B1"/>
    <w:rsid w:val="008A6BA5"/>
    <w:rsid w:val="008A6C5F"/>
    <w:rsid w:val="008A6F2E"/>
    <w:rsid w:val="008A7331"/>
    <w:rsid w:val="008A7771"/>
    <w:rsid w:val="008A799A"/>
    <w:rsid w:val="008B0258"/>
    <w:rsid w:val="008B0601"/>
    <w:rsid w:val="008B0795"/>
    <w:rsid w:val="008B091A"/>
    <w:rsid w:val="008B0BC1"/>
    <w:rsid w:val="008B0C07"/>
    <w:rsid w:val="008B0D59"/>
    <w:rsid w:val="008B1862"/>
    <w:rsid w:val="008B1876"/>
    <w:rsid w:val="008B192F"/>
    <w:rsid w:val="008B1C60"/>
    <w:rsid w:val="008B1C81"/>
    <w:rsid w:val="008B1DFF"/>
    <w:rsid w:val="008B1ECE"/>
    <w:rsid w:val="008B210C"/>
    <w:rsid w:val="008B22F2"/>
    <w:rsid w:val="008B23E0"/>
    <w:rsid w:val="008B2704"/>
    <w:rsid w:val="008B2DFD"/>
    <w:rsid w:val="008B317D"/>
    <w:rsid w:val="008B4016"/>
    <w:rsid w:val="008B40FD"/>
    <w:rsid w:val="008B4393"/>
    <w:rsid w:val="008B44AF"/>
    <w:rsid w:val="008B4883"/>
    <w:rsid w:val="008B4925"/>
    <w:rsid w:val="008B493F"/>
    <w:rsid w:val="008B4A9E"/>
    <w:rsid w:val="008B4CA0"/>
    <w:rsid w:val="008B4EC9"/>
    <w:rsid w:val="008B4F0D"/>
    <w:rsid w:val="008B4FD9"/>
    <w:rsid w:val="008B507C"/>
    <w:rsid w:val="008B50ED"/>
    <w:rsid w:val="008B5424"/>
    <w:rsid w:val="008B55B1"/>
    <w:rsid w:val="008B56CD"/>
    <w:rsid w:val="008B593E"/>
    <w:rsid w:val="008B5A32"/>
    <w:rsid w:val="008B5C11"/>
    <w:rsid w:val="008B5DE5"/>
    <w:rsid w:val="008B5E2C"/>
    <w:rsid w:val="008B5E30"/>
    <w:rsid w:val="008B632E"/>
    <w:rsid w:val="008B63C7"/>
    <w:rsid w:val="008B680B"/>
    <w:rsid w:val="008B68B8"/>
    <w:rsid w:val="008B6C1D"/>
    <w:rsid w:val="008B6C44"/>
    <w:rsid w:val="008B7066"/>
    <w:rsid w:val="008B78A3"/>
    <w:rsid w:val="008B78A6"/>
    <w:rsid w:val="008B7B59"/>
    <w:rsid w:val="008B7ED9"/>
    <w:rsid w:val="008C02EF"/>
    <w:rsid w:val="008C03BC"/>
    <w:rsid w:val="008C0757"/>
    <w:rsid w:val="008C07BF"/>
    <w:rsid w:val="008C0862"/>
    <w:rsid w:val="008C0A3B"/>
    <w:rsid w:val="008C0A9F"/>
    <w:rsid w:val="008C0B0A"/>
    <w:rsid w:val="008C0B90"/>
    <w:rsid w:val="008C0BE5"/>
    <w:rsid w:val="008C115E"/>
    <w:rsid w:val="008C193B"/>
    <w:rsid w:val="008C1AAF"/>
    <w:rsid w:val="008C1ACD"/>
    <w:rsid w:val="008C1ED8"/>
    <w:rsid w:val="008C2103"/>
    <w:rsid w:val="008C2174"/>
    <w:rsid w:val="008C25B9"/>
    <w:rsid w:val="008C263D"/>
    <w:rsid w:val="008C2B2E"/>
    <w:rsid w:val="008C2DA5"/>
    <w:rsid w:val="008C30FC"/>
    <w:rsid w:val="008C3347"/>
    <w:rsid w:val="008C3526"/>
    <w:rsid w:val="008C380D"/>
    <w:rsid w:val="008C3D5C"/>
    <w:rsid w:val="008C3E13"/>
    <w:rsid w:val="008C3F65"/>
    <w:rsid w:val="008C4320"/>
    <w:rsid w:val="008C447A"/>
    <w:rsid w:val="008C4671"/>
    <w:rsid w:val="008C4EB7"/>
    <w:rsid w:val="008C4FB9"/>
    <w:rsid w:val="008C500E"/>
    <w:rsid w:val="008C5018"/>
    <w:rsid w:val="008C5126"/>
    <w:rsid w:val="008C51A5"/>
    <w:rsid w:val="008C54CE"/>
    <w:rsid w:val="008C5F42"/>
    <w:rsid w:val="008C60B3"/>
    <w:rsid w:val="008C632A"/>
    <w:rsid w:val="008C63D3"/>
    <w:rsid w:val="008C6641"/>
    <w:rsid w:val="008C681C"/>
    <w:rsid w:val="008C6882"/>
    <w:rsid w:val="008C69EA"/>
    <w:rsid w:val="008C7032"/>
    <w:rsid w:val="008C714B"/>
    <w:rsid w:val="008C716A"/>
    <w:rsid w:val="008C718E"/>
    <w:rsid w:val="008C75AA"/>
    <w:rsid w:val="008C7686"/>
    <w:rsid w:val="008C7C44"/>
    <w:rsid w:val="008C7F47"/>
    <w:rsid w:val="008C7FAD"/>
    <w:rsid w:val="008D0083"/>
    <w:rsid w:val="008D03D1"/>
    <w:rsid w:val="008D0504"/>
    <w:rsid w:val="008D063E"/>
    <w:rsid w:val="008D11A6"/>
    <w:rsid w:val="008D11AF"/>
    <w:rsid w:val="008D1256"/>
    <w:rsid w:val="008D13F0"/>
    <w:rsid w:val="008D1791"/>
    <w:rsid w:val="008D19E4"/>
    <w:rsid w:val="008D1E61"/>
    <w:rsid w:val="008D24DD"/>
    <w:rsid w:val="008D275A"/>
    <w:rsid w:val="008D2943"/>
    <w:rsid w:val="008D2CCB"/>
    <w:rsid w:val="008D2E26"/>
    <w:rsid w:val="008D2E40"/>
    <w:rsid w:val="008D2EE6"/>
    <w:rsid w:val="008D30A4"/>
    <w:rsid w:val="008D323E"/>
    <w:rsid w:val="008D33DD"/>
    <w:rsid w:val="008D36CA"/>
    <w:rsid w:val="008D390B"/>
    <w:rsid w:val="008D3D2D"/>
    <w:rsid w:val="008D4865"/>
    <w:rsid w:val="008D4881"/>
    <w:rsid w:val="008D488A"/>
    <w:rsid w:val="008D4D3C"/>
    <w:rsid w:val="008D4EDC"/>
    <w:rsid w:val="008D4FC6"/>
    <w:rsid w:val="008D5097"/>
    <w:rsid w:val="008D529B"/>
    <w:rsid w:val="008D5894"/>
    <w:rsid w:val="008D59E3"/>
    <w:rsid w:val="008D5F32"/>
    <w:rsid w:val="008D5F5D"/>
    <w:rsid w:val="008D60A9"/>
    <w:rsid w:val="008D60CD"/>
    <w:rsid w:val="008D61FC"/>
    <w:rsid w:val="008D64E5"/>
    <w:rsid w:val="008D651E"/>
    <w:rsid w:val="008D6910"/>
    <w:rsid w:val="008D6C37"/>
    <w:rsid w:val="008D72DD"/>
    <w:rsid w:val="008D73E4"/>
    <w:rsid w:val="008D7517"/>
    <w:rsid w:val="008D769D"/>
    <w:rsid w:val="008D7705"/>
    <w:rsid w:val="008D7AA8"/>
    <w:rsid w:val="008D7CBA"/>
    <w:rsid w:val="008D7D7D"/>
    <w:rsid w:val="008D7D99"/>
    <w:rsid w:val="008E00D4"/>
    <w:rsid w:val="008E031C"/>
    <w:rsid w:val="008E052A"/>
    <w:rsid w:val="008E0746"/>
    <w:rsid w:val="008E0C3C"/>
    <w:rsid w:val="008E1359"/>
    <w:rsid w:val="008E162A"/>
    <w:rsid w:val="008E17FE"/>
    <w:rsid w:val="008E1C66"/>
    <w:rsid w:val="008E1CC3"/>
    <w:rsid w:val="008E2179"/>
    <w:rsid w:val="008E2322"/>
    <w:rsid w:val="008E2438"/>
    <w:rsid w:val="008E25D0"/>
    <w:rsid w:val="008E2643"/>
    <w:rsid w:val="008E2A1C"/>
    <w:rsid w:val="008E2F8D"/>
    <w:rsid w:val="008E30B3"/>
    <w:rsid w:val="008E38A0"/>
    <w:rsid w:val="008E39F9"/>
    <w:rsid w:val="008E3A22"/>
    <w:rsid w:val="008E3B09"/>
    <w:rsid w:val="008E3C1B"/>
    <w:rsid w:val="008E3F3D"/>
    <w:rsid w:val="008E4297"/>
    <w:rsid w:val="008E44C0"/>
    <w:rsid w:val="008E4609"/>
    <w:rsid w:val="008E4885"/>
    <w:rsid w:val="008E4CE0"/>
    <w:rsid w:val="008E5202"/>
    <w:rsid w:val="008E5348"/>
    <w:rsid w:val="008E55D8"/>
    <w:rsid w:val="008E5619"/>
    <w:rsid w:val="008E5BCA"/>
    <w:rsid w:val="008E6330"/>
    <w:rsid w:val="008E6374"/>
    <w:rsid w:val="008E638F"/>
    <w:rsid w:val="008E6403"/>
    <w:rsid w:val="008E6BAD"/>
    <w:rsid w:val="008E7064"/>
    <w:rsid w:val="008E7662"/>
    <w:rsid w:val="008E797E"/>
    <w:rsid w:val="008E7A28"/>
    <w:rsid w:val="008E7F39"/>
    <w:rsid w:val="008E7FA4"/>
    <w:rsid w:val="008F026F"/>
    <w:rsid w:val="008F0380"/>
    <w:rsid w:val="008F06F2"/>
    <w:rsid w:val="008F0764"/>
    <w:rsid w:val="008F0CAC"/>
    <w:rsid w:val="008F0CB8"/>
    <w:rsid w:val="008F0EB7"/>
    <w:rsid w:val="008F0F60"/>
    <w:rsid w:val="008F17C9"/>
    <w:rsid w:val="008F19DB"/>
    <w:rsid w:val="008F2714"/>
    <w:rsid w:val="008F2D0F"/>
    <w:rsid w:val="008F44D4"/>
    <w:rsid w:val="008F4966"/>
    <w:rsid w:val="008F518C"/>
    <w:rsid w:val="008F526C"/>
    <w:rsid w:val="008F5327"/>
    <w:rsid w:val="008F5786"/>
    <w:rsid w:val="008F5EB8"/>
    <w:rsid w:val="008F60DC"/>
    <w:rsid w:val="008F62D5"/>
    <w:rsid w:val="008F687C"/>
    <w:rsid w:val="008F69FC"/>
    <w:rsid w:val="008F6E8C"/>
    <w:rsid w:val="008F731A"/>
    <w:rsid w:val="008F74B0"/>
    <w:rsid w:val="008F7960"/>
    <w:rsid w:val="008F7A85"/>
    <w:rsid w:val="008F7C8E"/>
    <w:rsid w:val="008F7D97"/>
    <w:rsid w:val="00900319"/>
    <w:rsid w:val="0090031F"/>
    <w:rsid w:val="00900793"/>
    <w:rsid w:val="00900833"/>
    <w:rsid w:val="0090099E"/>
    <w:rsid w:val="00900BC9"/>
    <w:rsid w:val="00900DFC"/>
    <w:rsid w:val="00901002"/>
    <w:rsid w:val="00901004"/>
    <w:rsid w:val="0090102C"/>
    <w:rsid w:val="00901224"/>
    <w:rsid w:val="009012F1"/>
    <w:rsid w:val="00901300"/>
    <w:rsid w:val="009018D3"/>
    <w:rsid w:val="009018E6"/>
    <w:rsid w:val="009019C2"/>
    <w:rsid w:val="00901A56"/>
    <w:rsid w:val="00901A69"/>
    <w:rsid w:val="00901F7C"/>
    <w:rsid w:val="00901FD1"/>
    <w:rsid w:val="0090202A"/>
    <w:rsid w:val="0090260D"/>
    <w:rsid w:val="009026A0"/>
    <w:rsid w:val="009027A6"/>
    <w:rsid w:val="009028E4"/>
    <w:rsid w:val="00902CAC"/>
    <w:rsid w:val="00902F00"/>
    <w:rsid w:val="009032C8"/>
    <w:rsid w:val="009033B7"/>
    <w:rsid w:val="00903682"/>
    <w:rsid w:val="009036CA"/>
    <w:rsid w:val="009036F8"/>
    <w:rsid w:val="00903CF2"/>
    <w:rsid w:val="00904038"/>
    <w:rsid w:val="00904414"/>
    <w:rsid w:val="00904426"/>
    <w:rsid w:val="009045C9"/>
    <w:rsid w:val="00904716"/>
    <w:rsid w:val="00904E0A"/>
    <w:rsid w:val="00904EBD"/>
    <w:rsid w:val="00905236"/>
    <w:rsid w:val="00905573"/>
    <w:rsid w:val="0090580A"/>
    <w:rsid w:val="00905ED9"/>
    <w:rsid w:val="00905F86"/>
    <w:rsid w:val="00905F8F"/>
    <w:rsid w:val="0090623F"/>
    <w:rsid w:val="009062CD"/>
    <w:rsid w:val="00906379"/>
    <w:rsid w:val="00906587"/>
    <w:rsid w:val="0090690B"/>
    <w:rsid w:val="00906A6E"/>
    <w:rsid w:val="00906C7E"/>
    <w:rsid w:val="00906DB5"/>
    <w:rsid w:val="009072DD"/>
    <w:rsid w:val="00907724"/>
    <w:rsid w:val="00907DD9"/>
    <w:rsid w:val="00907E86"/>
    <w:rsid w:val="00910397"/>
    <w:rsid w:val="009107B5"/>
    <w:rsid w:val="00910C7A"/>
    <w:rsid w:val="00910D71"/>
    <w:rsid w:val="00911068"/>
    <w:rsid w:val="00911141"/>
    <w:rsid w:val="00911478"/>
    <w:rsid w:val="009115A5"/>
    <w:rsid w:val="00911774"/>
    <w:rsid w:val="00911B6E"/>
    <w:rsid w:val="00911DDE"/>
    <w:rsid w:val="009121C1"/>
    <w:rsid w:val="00912874"/>
    <w:rsid w:val="00912884"/>
    <w:rsid w:val="00912A9E"/>
    <w:rsid w:val="00912CD1"/>
    <w:rsid w:val="00912EE0"/>
    <w:rsid w:val="00912FE9"/>
    <w:rsid w:val="0091331A"/>
    <w:rsid w:val="0091334D"/>
    <w:rsid w:val="00913627"/>
    <w:rsid w:val="0091369E"/>
    <w:rsid w:val="00913AB1"/>
    <w:rsid w:val="00913AE0"/>
    <w:rsid w:val="00913EDF"/>
    <w:rsid w:val="00914050"/>
    <w:rsid w:val="009141BD"/>
    <w:rsid w:val="009144A8"/>
    <w:rsid w:val="00914F3B"/>
    <w:rsid w:val="00914FBF"/>
    <w:rsid w:val="009152A8"/>
    <w:rsid w:val="00915620"/>
    <w:rsid w:val="00915777"/>
    <w:rsid w:val="00915B80"/>
    <w:rsid w:val="00916083"/>
    <w:rsid w:val="00916532"/>
    <w:rsid w:val="009165DB"/>
    <w:rsid w:val="009166DA"/>
    <w:rsid w:val="0091674A"/>
    <w:rsid w:val="0091681A"/>
    <w:rsid w:val="00916B36"/>
    <w:rsid w:val="00916CBD"/>
    <w:rsid w:val="00916D16"/>
    <w:rsid w:val="00916DE8"/>
    <w:rsid w:val="0091717E"/>
    <w:rsid w:val="009174EC"/>
    <w:rsid w:val="00917BDE"/>
    <w:rsid w:val="00917C6B"/>
    <w:rsid w:val="00917D61"/>
    <w:rsid w:val="00917EF6"/>
    <w:rsid w:val="00917F95"/>
    <w:rsid w:val="009200A6"/>
    <w:rsid w:val="0092034F"/>
    <w:rsid w:val="009205E6"/>
    <w:rsid w:val="009209F0"/>
    <w:rsid w:val="00921155"/>
    <w:rsid w:val="00921291"/>
    <w:rsid w:val="00921417"/>
    <w:rsid w:val="00921424"/>
    <w:rsid w:val="00921770"/>
    <w:rsid w:val="00921F00"/>
    <w:rsid w:val="0092208B"/>
    <w:rsid w:val="0092215A"/>
    <w:rsid w:val="00922420"/>
    <w:rsid w:val="00922BD2"/>
    <w:rsid w:val="00923074"/>
    <w:rsid w:val="00923177"/>
    <w:rsid w:val="009232B4"/>
    <w:rsid w:val="009232B8"/>
    <w:rsid w:val="009235D5"/>
    <w:rsid w:val="00923643"/>
    <w:rsid w:val="00923C5A"/>
    <w:rsid w:val="00923CB2"/>
    <w:rsid w:val="00923CDD"/>
    <w:rsid w:val="00923EDF"/>
    <w:rsid w:val="009241DA"/>
    <w:rsid w:val="009242A2"/>
    <w:rsid w:val="00924401"/>
    <w:rsid w:val="00924787"/>
    <w:rsid w:val="00924DCF"/>
    <w:rsid w:val="00925239"/>
    <w:rsid w:val="009253D5"/>
    <w:rsid w:val="0092547F"/>
    <w:rsid w:val="00925A17"/>
    <w:rsid w:val="00925AF6"/>
    <w:rsid w:val="00925B0B"/>
    <w:rsid w:val="0092609C"/>
    <w:rsid w:val="0092644E"/>
    <w:rsid w:val="0092655D"/>
    <w:rsid w:val="009266AD"/>
    <w:rsid w:val="00926B02"/>
    <w:rsid w:val="00926ED1"/>
    <w:rsid w:val="00927007"/>
    <w:rsid w:val="0092701B"/>
    <w:rsid w:val="00927051"/>
    <w:rsid w:val="0092716D"/>
    <w:rsid w:val="00927433"/>
    <w:rsid w:val="0092764F"/>
    <w:rsid w:val="0092766F"/>
    <w:rsid w:val="0092791E"/>
    <w:rsid w:val="00927E14"/>
    <w:rsid w:val="00927E4A"/>
    <w:rsid w:val="00927E9E"/>
    <w:rsid w:val="00930073"/>
    <w:rsid w:val="00930358"/>
    <w:rsid w:val="00930C8B"/>
    <w:rsid w:val="009311EC"/>
    <w:rsid w:val="0093130C"/>
    <w:rsid w:val="00931920"/>
    <w:rsid w:val="00932502"/>
    <w:rsid w:val="0093267F"/>
    <w:rsid w:val="009327E2"/>
    <w:rsid w:val="009327E7"/>
    <w:rsid w:val="00932AE1"/>
    <w:rsid w:val="00932B19"/>
    <w:rsid w:val="00932D38"/>
    <w:rsid w:val="00932F1F"/>
    <w:rsid w:val="00932FCC"/>
    <w:rsid w:val="00933398"/>
    <w:rsid w:val="009333E7"/>
    <w:rsid w:val="00933798"/>
    <w:rsid w:val="00933DD6"/>
    <w:rsid w:val="00934139"/>
    <w:rsid w:val="00934226"/>
    <w:rsid w:val="009342B9"/>
    <w:rsid w:val="0093439A"/>
    <w:rsid w:val="00934780"/>
    <w:rsid w:val="00934A79"/>
    <w:rsid w:val="00934B08"/>
    <w:rsid w:val="00934B48"/>
    <w:rsid w:val="00934C8D"/>
    <w:rsid w:val="00934EB7"/>
    <w:rsid w:val="00934F51"/>
    <w:rsid w:val="009350F9"/>
    <w:rsid w:val="0093577B"/>
    <w:rsid w:val="00935C1D"/>
    <w:rsid w:val="00935CC1"/>
    <w:rsid w:val="00935CDC"/>
    <w:rsid w:val="00935DF2"/>
    <w:rsid w:val="00935F85"/>
    <w:rsid w:val="009361F0"/>
    <w:rsid w:val="00936585"/>
    <w:rsid w:val="00936C49"/>
    <w:rsid w:val="0093706B"/>
    <w:rsid w:val="0093717B"/>
    <w:rsid w:val="00937438"/>
    <w:rsid w:val="0093769D"/>
    <w:rsid w:val="00937AC3"/>
    <w:rsid w:val="00937D72"/>
    <w:rsid w:val="00937EB8"/>
    <w:rsid w:val="00937FFA"/>
    <w:rsid w:val="009403BC"/>
    <w:rsid w:val="009405FE"/>
    <w:rsid w:val="00940639"/>
    <w:rsid w:val="009408F8"/>
    <w:rsid w:val="00940CAD"/>
    <w:rsid w:val="00940D03"/>
    <w:rsid w:val="00940DD2"/>
    <w:rsid w:val="00941031"/>
    <w:rsid w:val="00941565"/>
    <w:rsid w:val="009415BE"/>
    <w:rsid w:val="0094162D"/>
    <w:rsid w:val="00941785"/>
    <w:rsid w:val="00941975"/>
    <w:rsid w:val="00941A63"/>
    <w:rsid w:val="00941BF9"/>
    <w:rsid w:val="00941F0D"/>
    <w:rsid w:val="009420E3"/>
    <w:rsid w:val="00942551"/>
    <w:rsid w:val="0094268A"/>
    <w:rsid w:val="009427CE"/>
    <w:rsid w:val="00942AE6"/>
    <w:rsid w:val="009434D1"/>
    <w:rsid w:val="0094365D"/>
    <w:rsid w:val="009436D6"/>
    <w:rsid w:val="00943982"/>
    <w:rsid w:val="00943F00"/>
    <w:rsid w:val="009442A0"/>
    <w:rsid w:val="00944548"/>
    <w:rsid w:val="009446D7"/>
    <w:rsid w:val="009449DF"/>
    <w:rsid w:val="00945291"/>
    <w:rsid w:val="009453AF"/>
    <w:rsid w:val="00945493"/>
    <w:rsid w:val="00945544"/>
    <w:rsid w:val="00945A7F"/>
    <w:rsid w:val="00945CCE"/>
    <w:rsid w:val="00945E44"/>
    <w:rsid w:val="009463BE"/>
    <w:rsid w:val="0094688C"/>
    <w:rsid w:val="009469B9"/>
    <w:rsid w:val="00946ADF"/>
    <w:rsid w:val="00946B7D"/>
    <w:rsid w:val="00946FC3"/>
    <w:rsid w:val="009479A5"/>
    <w:rsid w:val="00947A69"/>
    <w:rsid w:val="00947ACB"/>
    <w:rsid w:val="00947DA0"/>
    <w:rsid w:val="00950399"/>
    <w:rsid w:val="009504B8"/>
    <w:rsid w:val="00950786"/>
    <w:rsid w:val="00950982"/>
    <w:rsid w:val="00950C1D"/>
    <w:rsid w:val="00951194"/>
    <w:rsid w:val="009512D0"/>
    <w:rsid w:val="0095149A"/>
    <w:rsid w:val="009515CB"/>
    <w:rsid w:val="00951808"/>
    <w:rsid w:val="00951AB9"/>
    <w:rsid w:val="00951C1A"/>
    <w:rsid w:val="00952096"/>
    <w:rsid w:val="009521A5"/>
    <w:rsid w:val="00952353"/>
    <w:rsid w:val="0095241D"/>
    <w:rsid w:val="009526ED"/>
    <w:rsid w:val="009528A3"/>
    <w:rsid w:val="00952EAD"/>
    <w:rsid w:val="00952FEA"/>
    <w:rsid w:val="0095307A"/>
    <w:rsid w:val="0095327A"/>
    <w:rsid w:val="009534A8"/>
    <w:rsid w:val="009537FF"/>
    <w:rsid w:val="00953930"/>
    <w:rsid w:val="0095393A"/>
    <w:rsid w:val="009541B7"/>
    <w:rsid w:val="00954257"/>
    <w:rsid w:val="00954378"/>
    <w:rsid w:val="00954432"/>
    <w:rsid w:val="009544AF"/>
    <w:rsid w:val="00954520"/>
    <w:rsid w:val="00954855"/>
    <w:rsid w:val="0095491C"/>
    <w:rsid w:val="00954A93"/>
    <w:rsid w:val="00954EC1"/>
    <w:rsid w:val="00954F2D"/>
    <w:rsid w:val="0095530F"/>
    <w:rsid w:val="0095571A"/>
    <w:rsid w:val="009558B1"/>
    <w:rsid w:val="00955AC8"/>
    <w:rsid w:val="00955D6D"/>
    <w:rsid w:val="00956093"/>
    <w:rsid w:val="009561D8"/>
    <w:rsid w:val="00956B3F"/>
    <w:rsid w:val="00956E0D"/>
    <w:rsid w:val="00957393"/>
    <w:rsid w:val="009573D2"/>
    <w:rsid w:val="0095776C"/>
    <w:rsid w:val="00957B5C"/>
    <w:rsid w:val="00957B70"/>
    <w:rsid w:val="00957CA2"/>
    <w:rsid w:val="00957E17"/>
    <w:rsid w:val="00957E9C"/>
    <w:rsid w:val="00960454"/>
    <w:rsid w:val="009609D8"/>
    <w:rsid w:val="00960D5A"/>
    <w:rsid w:val="00960E74"/>
    <w:rsid w:val="00960EBA"/>
    <w:rsid w:val="00961087"/>
    <w:rsid w:val="0096132C"/>
    <w:rsid w:val="00961716"/>
    <w:rsid w:val="00961BD1"/>
    <w:rsid w:val="00961C75"/>
    <w:rsid w:val="00961E68"/>
    <w:rsid w:val="00962091"/>
    <w:rsid w:val="0096255F"/>
    <w:rsid w:val="009627D1"/>
    <w:rsid w:val="00962B7B"/>
    <w:rsid w:val="00962FB9"/>
    <w:rsid w:val="009632A9"/>
    <w:rsid w:val="00963A8B"/>
    <w:rsid w:val="00963C2B"/>
    <w:rsid w:val="00963CD2"/>
    <w:rsid w:val="00963D83"/>
    <w:rsid w:val="00963FB3"/>
    <w:rsid w:val="00964361"/>
    <w:rsid w:val="009643FE"/>
    <w:rsid w:val="00964826"/>
    <w:rsid w:val="0096482A"/>
    <w:rsid w:val="00964837"/>
    <w:rsid w:val="0096496D"/>
    <w:rsid w:val="00964B01"/>
    <w:rsid w:val="00964B4B"/>
    <w:rsid w:val="00964BDB"/>
    <w:rsid w:val="00964C51"/>
    <w:rsid w:val="00964C58"/>
    <w:rsid w:val="00964CE5"/>
    <w:rsid w:val="00965001"/>
    <w:rsid w:val="009655F1"/>
    <w:rsid w:val="009656C3"/>
    <w:rsid w:val="00965940"/>
    <w:rsid w:val="00965C3A"/>
    <w:rsid w:val="00965D11"/>
    <w:rsid w:val="00965D7D"/>
    <w:rsid w:val="009662C7"/>
    <w:rsid w:val="009665F8"/>
    <w:rsid w:val="009669B8"/>
    <w:rsid w:val="00966B2B"/>
    <w:rsid w:val="00966F79"/>
    <w:rsid w:val="0096748D"/>
    <w:rsid w:val="00967B9C"/>
    <w:rsid w:val="00967F5D"/>
    <w:rsid w:val="00970007"/>
    <w:rsid w:val="009700D4"/>
    <w:rsid w:val="00970320"/>
    <w:rsid w:val="00970548"/>
    <w:rsid w:val="009705CF"/>
    <w:rsid w:val="00970641"/>
    <w:rsid w:val="009708F8"/>
    <w:rsid w:val="00970C73"/>
    <w:rsid w:val="00970D88"/>
    <w:rsid w:val="00970E6C"/>
    <w:rsid w:val="00970ECE"/>
    <w:rsid w:val="00971440"/>
    <w:rsid w:val="00971B7A"/>
    <w:rsid w:val="00971BBE"/>
    <w:rsid w:val="00971BF5"/>
    <w:rsid w:val="00971E0D"/>
    <w:rsid w:val="00971FA4"/>
    <w:rsid w:val="009720FF"/>
    <w:rsid w:val="00972637"/>
    <w:rsid w:val="00972DF9"/>
    <w:rsid w:val="00973787"/>
    <w:rsid w:val="00973B22"/>
    <w:rsid w:val="00973EE3"/>
    <w:rsid w:val="0097477C"/>
    <w:rsid w:val="00974936"/>
    <w:rsid w:val="00974DB4"/>
    <w:rsid w:val="00974E75"/>
    <w:rsid w:val="00975105"/>
    <w:rsid w:val="00975108"/>
    <w:rsid w:val="0097512A"/>
    <w:rsid w:val="00975292"/>
    <w:rsid w:val="0097529D"/>
    <w:rsid w:val="00975319"/>
    <w:rsid w:val="00975564"/>
    <w:rsid w:val="009758E8"/>
    <w:rsid w:val="009758FC"/>
    <w:rsid w:val="009759A8"/>
    <w:rsid w:val="00975AEE"/>
    <w:rsid w:val="00976131"/>
    <w:rsid w:val="0097624D"/>
    <w:rsid w:val="0097625D"/>
    <w:rsid w:val="00976311"/>
    <w:rsid w:val="009767C2"/>
    <w:rsid w:val="00976B62"/>
    <w:rsid w:val="00976CD7"/>
    <w:rsid w:val="00977089"/>
    <w:rsid w:val="009772DA"/>
    <w:rsid w:val="00977302"/>
    <w:rsid w:val="0097751C"/>
    <w:rsid w:val="009777FB"/>
    <w:rsid w:val="00977822"/>
    <w:rsid w:val="009779E6"/>
    <w:rsid w:val="00977A60"/>
    <w:rsid w:val="0098029A"/>
    <w:rsid w:val="00980592"/>
    <w:rsid w:val="009805E1"/>
    <w:rsid w:val="0098061A"/>
    <w:rsid w:val="00980B6E"/>
    <w:rsid w:val="009810F1"/>
    <w:rsid w:val="009812D2"/>
    <w:rsid w:val="0098150E"/>
    <w:rsid w:val="0098174F"/>
    <w:rsid w:val="00981980"/>
    <w:rsid w:val="00981A69"/>
    <w:rsid w:val="00981DCA"/>
    <w:rsid w:val="00981E3C"/>
    <w:rsid w:val="00981E8B"/>
    <w:rsid w:val="00982097"/>
    <w:rsid w:val="009823F3"/>
    <w:rsid w:val="009826D8"/>
    <w:rsid w:val="00982955"/>
    <w:rsid w:val="00982986"/>
    <w:rsid w:val="009829C5"/>
    <w:rsid w:val="00982D70"/>
    <w:rsid w:val="00983874"/>
    <w:rsid w:val="0098392A"/>
    <w:rsid w:val="00984461"/>
    <w:rsid w:val="0098465B"/>
    <w:rsid w:val="00984915"/>
    <w:rsid w:val="00985057"/>
    <w:rsid w:val="00985565"/>
    <w:rsid w:val="00985617"/>
    <w:rsid w:val="00985645"/>
    <w:rsid w:val="009857D5"/>
    <w:rsid w:val="00985C64"/>
    <w:rsid w:val="00985C9B"/>
    <w:rsid w:val="00985D97"/>
    <w:rsid w:val="00985FE8"/>
    <w:rsid w:val="0098625C"/>
    <w:rsid w:val="009863EC"/>
    <w:rsid w:val="00986A4C"/>
    <w:rsid w:val="00986ECA"/>
    <w:rsid w:val="009874A4"/>
    <w:rsid w:val="00987752"/>
    <w:rsid w:val="0098787E"/>
    <w:rsid w:val="00987BFE"/>
    <w:rsid w:val="00987F64"/>
    <w:rsid w:val="0099000C"/>
    <w:rsid w:val="009900B7"/>
    <w:rsid w:val="00990304"/>
    <w:rsid w:val="009906E6"/>
    <w:rsid w:val="00990B7E"/>
    <w:rsid w:val="00990C39"/>
    <w:rsid w:val="00990ECB"/>
    <w:rsid w:val="009910CA"/>
    <w:rsid w:val="00991410"/>
    <w:rsid w:val="00991F35"/>
    <w:rsid w:val="0099213B"/>
    <w:rsid w:val="0099213F"/>
    <w:rsid w:val="0099224C"/>
    <w:rsid w:val="00992454"/>
    <w:rsid w:val="009924C4"/>
    <w:rsid w:val="009924ED"/>
    <w:rsid w:val="00992532"/>
    <w:rsid w:val="009928C5"/>
    <w:rsid w:val="009929B6"/>
    <w:rsid w:val="00992A12"/>
    <w:rsid w:val="00992D4F"/>
    <w:rsid w:val="00992F58"/>
    <w:rsid w:val="00993B67"/>
    <w:rsid w:val="00993DE9"/>
    <w:rsid w:val="00993FD0"/>
    <w:rsid w:val="009942D7"/>
    <w:rsid w:val="00994C6F"/>
    <w:rsid w:val="00994DB1"/>
    <w:rsid w:val="009950E0"/>
    <w:rsid w:val="009951BB"/>
    <w:rsid w:val="009955A9"/>
    <w:rsid w:val="0099588F"/>
    <w:rsid w:val="009959E0"/>
    <w:rsid w:val="00995A7A"/>
    <w:rsid w:val="00995B11"/>
    <w:rsid w:val="00995BCE"/>
    <w:rsid w:val="00995D20"/>
    <w:rsid w:val="00995E32"/>
    <w:rsid w:val="00995E65"/>
    <w:rsid w:val="0099604E"/>
    <w:rsid w:val="009964B9"/>
    <w:rsid w:val="00996794"/>
    <w:rsid w:val="0099686F"/>
    <w:rsid w:val="00996919"/>
    <w:rsid w:val="00996BEA"/>
    <w:rsid w:val="00996D77"/>
    <w:rsid w:val="0099723F"/>
    <w:rsid w:val="009976BF"/>
    <w:rsid w:val="00997D0E"/>
    <w:rsid w:val="00997D18"/>
    <w:rsid w:val="00997DFC"/>
    <w:rsid w:val="00997E16"/>
    <w:rsid w:val="00997EB3"/>
    <w:rsid w:val="009A012C"/>
    <w:rsid w:val="009A0776"/>
    <w:rsid w:val="009A094C"/>
    <w:rsid w:val="009A0972"/>
    <w:rsid w:val="009A09FD"/>
    <w:rsid w:val="009A0ED1"/>
    <w:rsid w:val="009A0ED2"/>
    <w:rsid w:val="009A1088"/>
    <w:rsid w:val="009A1284"/>
    <w:rsid w:val="009A1885"/>
    <w:rsid w:val="009A19F9"/>
    <w:rsid w:val="009A19FF"/>
    <w:rsid w:val="009A1BCE"/>
    <w:rsid w:val="009A1C4D"/>
    <w:rsid w:val="009A1F19"/>
    <w:rsid w:val="009A1F4F"/>
    <w:rsid w:val="009A1FB7"/>
    <w:rsid w:val="009A226C"/>
    <w:rsid w:val="009A23C0"/>
    <w:rsid w:val="009A2CA2"/>
    <w:rsid w:val="009A2CFC"/>
    <w:rsid w:val="009A3144"/>
    <w:rsid w:val="009A33FB"/>
    <w:rsid w:val="009A341C"/>
    <w:rsid w:val="009A3527"/>
    <w:rsid w:val="009A3909"/>
    <w:rsid w:val="009A3C5A"/>
    <w:rsid w:val="009A3ECF"/>
    <w:rsid w:val="009A41A2"/>
    <w:rsid w:val="009A4559"/>
    <w:rsid w:val="009A47F6"/>
    <w:rsid w:val="009A4AFC"/>
    <w:rsid w:val="009A4CF5"/>
    <w:rsid w:val="009A4D55"/>
    <w:rsid w:val="009A51F4"/>
    <w:rsid w:val="009A5382"/>
    <w:rsid w:val="009A54B8"/>
    <w:rsid w:val="009A54BD"/>
    <w:rsid w:val="009A581D"/>
    <w:rsid w:val="009A5E5B"/>
    <w:rsid w:val="009A5ED9"/>
    <w:rsid w:val="009A6073"/>
    <w:rsid w:val="009A60CE"/>
    <w:rsid w:val="009A620B"/>
    <w:rsid w:val="009A7229"/>
    <w:rsid w:val="009A74FB"/>
    <w:rsid w:val="009A79A8"/>
    <w:rsid w:val="009A7AE3"/>
    <w:rsid w:val="009A7C8D"/>
    <w:rsid w:val="009A7D83"/>
    <w:rsid w:val="009A7EB7"/>
    <w:rsid w:val="009A7EFF"/>
    <w:rsid w:val="009B0248"/>
    <w:rsid w:val="009B02F7"/>
    <w:rsid w:val="009B0525"/>
    <w:rsid w:val="009B05CF"/>
    <w:rsid w:val="009B06F5"/>
    <w:rsid w:val="009B078A"/>
    <w:rsid w:val="009B07E7"/>
    <w:rsid w:val="009B0859"/>
    <w:rsid w:val="009B1332"/>
    <w:rsid w:val="009B1875"/>
    <w:rsid w:val="009B1A44"/>
    <w:rsid w:val="009B1AC1"/>
    <w:rsid w:val="009B1BD8"/>
    <w:rsid w:val="009B1D7A"/>
    <w:rsid w:val="009B1ED6"/>
    <w:rsid w:val="009B2482"/>
    <w:rsid w:val="009B2E44"/>
    <w:rsid w:val="009B2FA8"/>
    <w:rsid w:val="009B3019"/>
    <w:rsid w:val="009B3581"/>
    <w:rsid w:val="009B3651"/>
    <w:rsid w:val="009B368A"/>
    <w:rsid w:val="009B3911"/>
    <w:rsid w:val="009B3C58"/>
    <w:rsid w:val="009B3E17"/>
    <w:rsid w:val="009B4379"/>
    <w:rsid w:val="009B43C8"/>
    <w:rsid w:val="009B43E4"/>
    <w:rsid w:val="009B44F9"/>
    <w:rsid w:val="009B4560"/>
    <w:rsid w:val="009B4736"/>
    <w:rsid w:val="009B4922"/>
    <w:rsid w:val="009B4B5E"/>
    <w:rsid w:val="009B4BAA"/>
    <w:rsid w:val="009B4C0E"/>
    <w:rsid w:val="009B4EBA"/>
    <w:rsid w:val="009B515A"/>
    <w:rsid w:val="009B53F0"/>
    <w:rsid w:val="009B58AC"/>
    <w:rsid w:val="009B6281"/>
    <w:rsid w:val="009B687D"/>
    <w:rsid w:val="009B6E85"/>
    <w:rsid w:val="009B6EC3"/>
    <w:rsid w:val="009B6ED5"/>
    <w:rsid w:val="009B6FAD"/>
    <w:rsid w:val="009B70ED"/>
    <w:rsid w:val="009B771C"/>
    <w:rsid w:val="009B77F7"/>
    <w:rsid w:val="009B7A99"/>
    <w:rsid w:val="009B7ADF"/>
    <w:rsid w:val="009B7D3F"/>
    <w:rsid w:val="009B7FAC"/>
    <w:rsid w:val="009C02AE"/>
    <w:rsid w:val="009C02BF"/>
    <w:rsid w:val="009C03FD"/>
    <w:rsid w:val="009C04C9"/>
    <w:rsid w:val="009C0716"/>
    <w:rsid w:val="009C07C5"/>
    <w:rsid w:val="009C1193"/>
    <w:rsid w:val="009C1727"/>
    <w:rsid w:val="009C19AB"/>
    <w:rsid w:val="009C1F22"/>
    <w:rsid w:val="009C2212"/>
    <w:rsid w:val="009C2359"/>
    <w:rsid w:val="009C2A2B"/>
    <w:rsid w:val="009C2DBB"/>
    <w:rsid w:val="009C3222"/>
    <w:rsid w:val="009C3874"/>
    <w:rsid w:val="009C3CCF"/>
    <w:rsid w:val="009C40AA"/>
    <w:rsid w:val="009C41F3"/>
    <w:rsid w:val="009C4283"/>
    <w:rsid w:val="009C49E0"/>
    <w:rsid w:val="009C53FA"/>
    <w:rsid w:val="009C5BD0"/>
    <w:rsid w:val="009C5C2A"/>
    <w:rsid w:val="009C5D8D"/>
    <w:rsid w:val="009C605D"/>
    <w:rsid w:val="009C614B"/>
    <w:rsid w:val="009C64B5"/>
    <w:rsid w:val="009C68EC"/>
    <w:rsid w:val="009C6C24"/>
    <w:rsid w:val="009C6CDD"/>
    <w:rsid w:val="009C6FD6"/>
    <w:rsid w:val="009C70D8"/>
    <w:rsid w:val="009C7119"/>
    <w:rsid w:val="009C7791"/>
    <w:rsid w:val="009D0256"/>
    <w:rsid w:val="009D09ED"/>
    <w:rsid w:val="009D0A6B"/>
    <w:rsid w:val="009D0CFD"/>
    <w:rsid w:val="009D1040"/>
    <w:rsid w:val="009D1712"/>
    <w:rsid w:val="009D1743"/>
    <w:rsid w:val="009D1A05"/>
    <w:rsid w:val="009D1B28"/>
    <w:rsid w:val="009D1FEA"/>
    <w:rsid w:val="009D22F9"/>
    <w:rsid w:val="009D2340"/>
    <w:rsid w:val="009D2617"/>
    <w:rsid w:val="009D26A6"/>
    <w:rsid w:val="009D26DA"/>
    <w:rsid w:val="009D2802"/>
    <w:rsid w:val="009D2AA3"/>
    <w:rsid w:val="009D2C98"/>
    <w:rsid w:val="009D2EAC"/>
    <w:rsid w:val="009D3061"/>
    <w:rsid w:val="009D31F9"/>
    <w:rsid w:val="009D349C"/>
    <w:rsid w:val="009D38F1"/>
    <w:rsid w:val="009D3BA1"/>
    <w:rsid w:val="009D3BC2"/>
    <w:rsid w:val="009D3ECE"/>
    <w:rsid w:val="009D420A"/>
    <w:rsid w:val="009D421B"/>
    <w:rsid w:val="009D42C1"/>
    <w:rsid w:val="009D4ADA"/>
    <w:rsid w:val="009D4B9B"/>
    <w:rsid w:val="009D4F3F"/>
    <w:rsid w:val="009D4FF3"/>
    <w:rsid w:val="009D5106"/>
    <w:rsid w:val="009D5312"/>
    <w:rsid w:val="009D5609"/>
    <w:rsid w:val="009D56A8"/>
    <w:rsid w:val="009D5717"/>
    <w:rsid w:val="009D588F"/>
    <w:rsid w:val="009D5976"/>
    <w:rsid w:val="009D5AED"/>
    <w:rsid w:val="009D5B28"/>
    <w:rsid w:val="009D60C4"/>
    <w:rsid w:val="009D61F6"/>
    <w:rsid w:val="009D63DF"/>
    <w:rsid w:val="009D6691"/>
    <w:rsid w:val="009D6820"/>
    <w:rsid w:val="009D7011"/>
    <w:rsid w:val="009D7165"/>
    <w:rsid w:val="009D7CF1"/>
    <w:rsid w:val="009E0126"/>
    <w:rsid w:val="009E0812"/>
    <w:rsid w:val="009E0B6E"/>
    <w:rsid w:val="009E103E"/>
    <w:rsid w:val="009E11E5"/>
    <w:rsid w:val="009E150F"/>
    <w:rsid w:val="009E1711"/>
    <w:rsid w:val="009E1F50"/>
    <w:rsid w:val="009E2574"/>
    <w:rsid w:val="009E3169"/>
    <w:rsid w:val="009E36E3"/>
    <w:rsid w:val="009E3824"/>
    <w:rsid w:val="009E39A2"/>
    <w:rsid w:val="009E3BA2"/>
    <w:rsid w:val="009E3E27"/>
    <w:rsid w:val="009E3E73"/>
    <w:rsid w:val="009E417C"/>
    <w:rsid w:val="009E4991"/>
    <w:rsid w:val="009E4C74"/>
    <w:rsid w:val="009E4C8F"/>
    <w:rsid w:val="009E52EB"/>
    <w:rsid w:val="009E5358"/>
    <w:rsid w:val="009E596D"/>
    <w:rsid w:val="009E65E5"/>
    <w:rsid w:val="009E68B9"/>
    <w:rsid w:val="009E6C1B"/>
    <w:rsid w:val="009E6CCE"/>
    <w:rsid w:val="009E6EA3"/>
    <w:rsid w:val="009E6EC2"/>
    <w:rsid w:val="009E721A"/>
    <w:rsid w:val="009E7675"/>
    <w:rsid w:val="009E7A78"/>
    <w:rsid w:val="009E7DB1"/>
    <w:rsid w:val="009E7E06"/>
    <w:rsid w:val="009F0015"/>
    <w:rsid w:val="009F040E"/>
    <w:rsid w:val="009F059A"/>
    <w:rsid w:val="009F0729"/>
    <w:rsid w:val="009F0E86"/>
    <w:rsid w:val="009F0EE6"/>
    <w:rsid w:val="009F11D7"/>
    <w:rsid w:val="009F193D"/>
    <w:rsid w:val="009F19BB"/>
    <w:rsid w:val="009F19D2"/>
    <w:rsid w:val="009F1BD4"/>
    <w:rsid w:val="009F1C2E"/>
    <w:rsid w:val="009F1E3B"/>
    <w:rsid w:val="009F2363"/>
    <w:rsid w:val="009F24EA"/>
    <w:rsid w:val="009F2688"/>
    <w:rsid w:val="009F293C"/>
    <w:rsid w:val="009F3093"/>
    <w:rsid w:val="009F318A"/>
    <w:rsid w:val="009F31A7"/>
    <w:rsid w:val="009F33B1"/>
    <w:rsid w:val="009F3685"/>
    <w:rsid w:val="009F37EF"/>
    <w:rsid w:val="009F3841"/>
    <w:rsid w:val="009F3A36"/>
    <w:rsid w:val="009F3AE1"/>
    <w:rsid w:val="009F3C63"/>
    <w:rsid w:val="009F3E05"/>
    <w:rsid w:val="009F3E7F"/>
    <w:rsid w:val="009F3ED6"/>
    <w:rsid w:val="009F465D"/>
    <w:rsid w:val="009F46F3"/>
    <w:rsid w:val="009F4B67"/>
    <w:rsid w:val="009F4B87"/>
    <w:rsid w:val="009F51EE"/>
    <w:rsid w:val="009F56AE"/>
    <w:rsid w:val="009F5B05"/>
    <w:rsid w:val="009F5BCA"/>
    <w:rsid w:val="009F5F2D"/>
    <w:rsid w:val="009F6584"/>
    <w:rsid w:val="009F67B8"/>
    <w:rsid w:val="009F680D"/>
    <w:rsid w:val="009F6829"/>
    <w:rsid w:val="009F6F3B"/>
    <w:rsid w:val="009F7069"/>
    <w:rsid w:val="009F71F1"/>
    <w:rsid w:val="009F72C8"/>
    <w:rsid w:val="009F7355"/>
    <w:rsid w:val="009F73CF"/>
    <w:rsid w:val="009F73D8"/>
    <w:rsid w:val="009F751D"/>
    <w:rsid w:val="009F75A8"/>
    <w:rsid w:val="009F7F29"/>
    <w:rsid w:val="009F7FF9"/>
    <w:rsid w:val="00A001A0"/>
    <w:rsid w:val="00A009BD"/>
    <w:rsid w:val="00A00AC0"/>
    <w:rsid w:val="00A00EAC"/>
    <w:rsid w:val="00A00EF2"/>
    <w:rsid w:val="00A01471"/>
    <w:rsid w:val="00A015B4"/>
    <w:rsid w:val="00A01807"/>
    <w:rsid w:val="00A01C16"/>
    <w:rsid w:val="00A02427"/>
    <w:rsid w:val="00A024E9"/>
    <w:rsid w:val="00A026A9"/>
    <w:rsid w:val="00A029E6"/>
    <w:rsid w:val="00A02ACA"/>
    <w:rsid w:val="00A02BB9"/>
    <w:rsid w:val="00A030F6"/>
    <w:rsid w:val="00A03113"/>
    <w:rsid w:val="00A0358F"/>
    <w:rsid w:val="00A036A6"/>
    <w:rsid w:val="00A03A43"/>
    <w:rsid w:val="00A03B38"/>
    <w:rsid w:val="00A03D51"/>
    <w:rsid w:val="00A03D7B"/>
    <w:rsid w:val="00A03EE3"/>
    <w:rsid w:val="00A0446F"/>
    <w:rsid w:val="00A04997"/>
    <w:rsid w:val="00A04F1E"/>
    <w:rsid w:val="00A04FC6"/>
    <w:rsid w:val="00A05080"/>
    <w:rsid w:val="00A051CF"/>
    <w:rsid w:val="00A05589"/>
    <w:rsid w:val="00A0570C"/>
    <w:rsid w:val="00A05C07"/>
    <w:rsid w:val="00A069F9"/>
    <w:rsid w:val="00A06C29"/>
    <w:rsid w:val="00A06FF9"/>
    <w:rsid w:val="00A07191"/>
    <w:rsid w:val="00A07AD3"/>
    <w:rsid w:val="00A07B4C"/>
    <w:rsid w:val="00A07B84"/>
    <w:rsid w:val="00A07E72"/>
    <w:rsid w:val="00A07F80"/>
    <w:rsid w:val="00A1076A"/>
    <w:rsid w:val="00A10AAF"/>
    <w:rsid w:val="00A10B5D"/>
    <w:rsid w:val="00A10B87"/>
    <w:rsid w:val="00A10C5B"/>
    <w:rsid w:val="00A10D97"/>
    <w:rsid w:val="00A11100"/>
    <w:rsid w:val="00A11359"/>
    <w:rsid w:val="00A1135B"/>
    <w:rsid w:val="00A11636"/>
    <w:rsid w:val="00A117EB"/>
    <w:rsid w:val="00A12060"/>
    <w:rsid w:val="00A1220F"/>
    <w:rsid w:val="00A12312"/>
    <w:rsid w:val="00A124FC"/>
    <w:rsid w:val="00A12560"/>
    <w:rsid w:val="00A12641"/>
    <w:rsid w:val="00A12CA7"/>
    <w:rsid w:val="00A12CC2"/>
    <w:rsid w:val="00A12CCB"/>
    <w:rsid w:val="00A12E2D"/>
    <w:rsid w:val="00A12E43"/>
    <w:rsid w:val="00A12E74"/>
    <w:rsid w:val="00A12E7D"/>
    <w:rsid w:val="00A1309E"/>
    <w:rsid w:val="00A1327F"/>
    <w:rsid w:val="00A13C17"/>
    <w:rsid w:val="00A13DB6"/>
    <w:rsid w:val="00A142A9"/>
    <w:rsid w:val="00A142B1"/>
    <w:rsid w:val="00A143B7"/>
    <w:rsid w:val="00A14494"/>
    <w:rsid w:val="00A144CE"/>
    <w:rsid w:val="00A1462A"/>
    <w:rsid w:val="00A14690"/>
    <w:rsid w:val="00A14A5E"/>
    <w:rsid w:val="00A14ADD"/>
    <w:rsid w:val="00A14FA4"/>
    <w:rsid w:val="00A14FD9"/>
    <w:rsid w:val="00A15259"/>
    <w:rsid w:val="00A1530F"/>
    <w:rsid w:val="00A15389"/>
    <w:rsid w:val="00A154DE"/>
    <w:rsid w:val="00A157EC"/>
    <w:rsid w:val="00A157FF"/>
    <w:rsid w:val="00A15987"/>
    <w:rsid w:val="00A15BBC"/>
    <w:rsid w:val="00A165FC"/>
    <w:rsid w:val="00A16734"/>
    <w:rsid w:val="00A16BFA"/>
    <w:rsid w:val="00A16CE4"/>
    <w:rsid w:val="00A16D67"/>
    <w:rsid w:val="00A16ED7"/>
    <w:rsid w:val="00A170F2"/>
    <w:rsid w:val="00A173EC"/>
    <w:rsid w:val="00A17572"/>
    <w:rsid w:val="00A17597"/>
    <w:rsid w:val="00A1768A"/>
    <w:rsid w:val="00A17932"/>
    <w:rsid w:val="00A17C52"/>
    <w:rsid w:val="00A2016E"/>
    <w:rsid w:val="00A20203"/>
    <w:rsid w:val="00A20243"/>
    <w:rsid w:val="00A20344"/>
    <w:rsid w:val="00A203DC"/>
    <w:rsid w:val="00A205EF"/>
    <w:rsid w:val="00A20686"/>
    <w:rsid w:val="00A209A0"/>
    <w:rsid w:val="00A20CC5"/>
    <w:rsid w:val="00A20E0A"/>
    <w:rsid w:val="00A20F17"/>
    <w:rsid w:val="00A21265"/>
    <w:rsid w:val="00A2176F"/>
    <w:rsid w:val="00A217AF"/>
    <w:rsid w:val="00A218B8"/>
    <w:rsid w:val="00A21B0C"/>
    <w:rsid w:val="00A21C91"/>
    <w:rsid w:val="00A2216F"/>
    <w:rsid w:val="00A22300"/>
    <w:rsid w:val="00A2244F"/>
    <w:rsid w:val="00A224FD"/>
    <w:rsid w:val="00A226EB"/>
    <w:rsid w:val="00A22DA2"/>
    <w:rsid w:val="00A2301D"/>
    <w:rsid w:val="00A2302A"/>
    <w:rsid w:val="00A23307"/>
    <w:rsid w:val="00A2346B"/>
    <w:rsid w:val="00A236E2"/>
    <w:rsid w:val="00A236E8"/>
    <w:rsid w:val="00A23A86"/>
    <w:rsid w:val="00A23A97"/>
    <w:rsid w:val="00A23BD4"/>
    <w:rsid w:val="00A23E46"/>
    <w:rsid w:val="00A23E79"/>
    <w:rsid w:val="00A243AE"/>
    <w:rsid w:val="00A2447E"/>
    <w:rsid w:val="00A24749"/>
    <w:rsid w:val="00A247CC"/>
    <w:rsid w:val="00A24864"/>
    <w:rsid w:val="00A25040"/>
    <w:rsid w:val="00A252AF"/>
    <w:rsid w:val="00A2539B"/>
    <w:rsid w:val="00A2576F"/>
    <w:rsid w:val="00A25C4B"/>
    <w:rsid w:val="00A25DB2"/>
    <w:rsid w:val="00A26258"/>
    <w:rsid w:val="00A26351"/>
    <w:rsid w:val="00A26557"/>
    <w:rsid w:val="00A26970"/>
    <w:rsid w:val="00A26AAC"/>
    <w:rsid w:val="00A26C2B"/>
    <w:rsid w:val="00A26FB3"/>
    <w:rsid w:val="00A2743E"/>
    <w:rsid w:val="00A2767B"/>
    <w:rsid w:val="00A27BB9"/>
    <w:rsid w:val="00A27DE2"/>
    <w:rsid w:val="00A27E83"/>
    <w:rsid w:val="00A27F37"/>
    <w:rsid w:val="00A30402"/>
    <w:rsid w:val="00A304AF"/>
    <w:rsid w:val="00A3051E"/>
    <w:rsid w:val="00A305D2"/>
    <w:rsid w:val="00A309DD"/>
    <w:rsid w:val="00A30A13"/>
    <w:rsid w:val="00A31013"/>
    <w:rsid w:val="00A312A5"/>
    <w:rsid w:val="00A31396"/>
    <w:rsid w:val="00A31466"/>
    <w:rsid w:val="00A314D5"/>
    <w:rsid w:val="00A31544"/>
    <w:rsid w:val="00A31817"/>
    <w:rsid w:val="00A31A0E"/>
    <w:rsid w:val="00A31A7F"/>
    <w:rsid w:val="00A31CAC"/>
    <w:rsid w:val="00A32043"/>
    <w:rsid w:val="00A323E0"/>
    <w:rsid w:val="00A3267E"/>
    <w:rsid w:val="00A3290B"/>
    <w:rsid w:val="00A32DFE"/>
    <w:rsid w:val="00A32EDD"/>
    <w:rsid w:val="00A32F10"/>
    <w:rsid w:val="00A3333A"/>
    <w:rsid w:val="00A334F3"/>
    <w:rsid w:val="00A33586"/>
    <w:rsid w:val="00A335F4"/>
    <w:rsid w:val="00A33A57"/>
    <w:rsid w:val="00A33E81"/>
    <w:rsid w:val="00A346E9"/>
    <w:rsid w:val="00A34C33"/>
    <w:rsid w:val="00A34ECF"/>
    <w:rsid w:val="00A34FCD"/>
    <w:rsid w:val="00A35551"/>
    <w:rsid w:val="00A3582E"/>
    <w:rsid w:val="00A35AAC"/>
    <w:rsid w:val="00A35C73"/>
    <w:rsid w:val="00A35DF0"/>
    <w:rsid w:val="00A364FB"/>
    <w:rsid w:val="00A3674E"/>
    <w:rsid w:val="00A36886"/>
    <w:rsid w:val="00A36B79"/>
    <w:rsid w:val="00A36EBB"/>
    <w:rsid w:val="00A36F4F"/>
    <w:rsid w:val="00A37261"/>
    <w:rsid w:val="00A372D3"/>
    <w:rsid w:val="00A379C6"/>
    <w:rsid w:val="00A40055"/>
    <w:rsid w:val="00A4008D"/>
    <w:rsid w:val="00A40187"/>
    <w:rsid w:val="00A4037E"/>
    <w:rsid w:val="00A404F3"/>
    <w:rsid w:val="00A40575"/>
    <w:rsid w:val="00A40869"/>
    <w:rsid w:val="00A4094E"/>
    <w:rsid w:val="00A40A72"/>
    <w:rsid w:val="00A40B7E"/>
    <w:rsid w:val="00A40E27"/>
    <w:rsid w:val="00A40FC1"/>
    <w:rsid w:val="00A41645"/>
    <w:rsid w:val="00A41811"/>
    <w:rsid w:val="00A41974"/>
    <w:rsid w:val="00A419AC"/>
    <w:rsid w:val="00A41D68"/>
    <w:rsid w:val="00A4220F"/>
    <w:rsid w:val="00A42671"/>
    <w:rsid w:val="00A426B4"/>
    <w:rsid w:val="00A42871"/>
    <w:rsid w:val="00A428DE"/>
    <w:rsid w:val="00A42A93"/>
    <w:rsid w:val="00A43121"/>
    <w:rsid w:val="00A43153"/>
    <w:rsid w:val="00A43205"/>
    <w:rsid w:val="00A43B19"/>
    <w:rsid w:val="00A43BD3"/>
    <w:rsid w:val="00A442EE"/>
    <w:rsid w:val="00A44307"/>
    <w:rsid w:val="00A443D8"/>
    <w:rsid w:val="00A449BE"/>
    <w:rsid w:val="00A44D55"/>
    <w:rsid w:val="00A44E80"/>
    <w:rsid w:val="00A44F95"/>
    <w:rsid w:val="00A4545D"/>
    <w:rsid w:val="00A45E43"/>
    <w:rsid w:val="00A4631B"/>
    <w:rsid w:val="00A4667C"/>
    <w:rsid w:val="00A466C7"/>
    <w:rsid w:val="00A4682A"/>
    <w:rsid w:val="00A46855"/>
    <w:rsid w:val="00A46AA8"/>
    <w:rsid w:val="00A47079"/>
    <w:rsid w:val="00A470F6"/>
    <w:rsid w:val="00A475AE"/>
    <w:rsid w:val="00A475EF"/>
    <w:rsid w:val="00A47C07"/>
    <w:rsid w:val="00A47E65"/>
    <w:rsid w:val="00A502F4"/>
    <w:rsid w:val="00A507F6"/>
    <w:rsid w:val="00A50877"/>
    <w:rsid w:val="00A50914"/>
    <w:rsid w:val="00A50FEC"/>
    <w:rsid w:val="00A512B1"/>
    <w:rsid w:val="00A51A7B"/>
    <w:rsid w:val="00A51BEF"/>
    <w:rsid w:val="00A521E5"/>
    <w:rsid w:val="00A523BB"/>
    <w:rsid w:val="00A526FA"/>
    <w:rsid w:val="00A52744"/>
    <w:rsid w:val="00A5289D"/>
    <w:rsid w:val="00A534EA"/>
    <w:rsid w:val="00A53A07"/>
    <w:rsid w:val="00A54150"/>
    <w:rsid w:val="00A54896"/>
    <w:rsid w:val="00A549D3"/>
    <w:rsid w:val="00A54B14"/>
    <w:rsid w:val="00A5549B"/>
    <w:rsid w:val="00A554A7"/>
    <w:rsid w:val="00A55510"/>
    <w:rsid w:val="00A555D8"/>
    <w:rsid w:val="00A555DE"/>
    <w:rsid w:val="00A55CAC"/>
    <w:rsid w:val="00A55CCE"/>
    <w:rsid w:val="00A55F17"/>
    <w:rsid w:val="00A56441"/>
    <w:rsid w:val="00A56491"/>
    <w:rsid w:val="00A56629"/>
    <w:rsid w:val="00A56F49"/>
    <w:rsid w:val="00A57169"/>
    <w:rsid w:val="00A57211"/>
    <w:rsid w:val="00A57241"/>
    <w:rsid w:val="00A57483"/>
    <w:rsid w:val="00A5748A"/>
    <w:rsid w:val="00A575F5"/>
    <w:rsid w:val="00A57896"/>
    <w:rsid w:val="00A5790F"/>
    <w:rsid w:val="00A57C33"/>
    <w:rsid w:val="00A57D4D"/>
    <w:rsid w:val="00A600D6"/>
    <w:rsid w:val="00A60568"/>
    <w:rsid w:val="00A605A6"/>
    <w:rsid w:val="00A6096F"/>
    <w:rsid w:val="00A60A47"/>
    <w:rsid w:val="00A60AEA"/>
    <w:rsid w:val="00A60D1F"/>
    <w:rsid w:val="00A60E72"/>
    <w:rsid w:val="00A60E94"/>
    <w:rsid w:val="00A60EA3"/>
    <w:rsid w:val="00A611A6"/>
    <w:rsid w:val="00A612AF"/>
    <w:rsid w:val="00A61711"/>
    <w:rsid w:val="00A6173E"/>
    <w:rsid w:val="00A619D8"/>
    <w:rsid w:val="00A61C0F"/>
    <w:rsid w:val="00A62005"/>
    <w:rsid w:val="00A62143"/>
    <w:rsid w:val="00A6268E"/>
    <w:rsid w:val="00A627C7"/>
    <w:rsid w:val="00A62897"/>
    <w:rsid w:val="00A62E58"/>
    <w:rsid w:val="00A62F19"/>
    <w:rsid w:val="00A6326F"/>
    <w:rsid w:val="00A63272"/>
    <w:rsid w:val="00A63290"/>
    <w:rsid w:val="00A64113"/>
    <w:rsid w:val="00A642B0"/>
    <w:rsid w:val="00A648BD"/>
    <w:rsid w:val="00A64B7A"/>
    <w:rsid w:val="00A652AF"/>
    <w:rsid w:val="00A65310"/>
    <w:rsid w:val="00A6540A"/>
    <w:rsid w:val="00A6591B"/>
    <w:rsid w:val="00A665D8"/>
    <w:rsid w:val="00A66E0B"/>
    <w:rsid w:val="00A66E77"/>
    <w:rsid w:val="00A66EBB"/>
    <w:rsid w:val="00A66EE3"/>
    <w:rsid w:val="00A66EFD"/>
    <w:rsid w:val="00A67154"/>
    <w:rsid w:val="00A67929"/>
    <w:rsid w:val="00A67AA7"/>
    <w:rsid w:val="00A67FB9"/>
    <w:rsid w:val="00A70141"/>
    <w:rsid w:val="00A70AF4"/>
    <w:rsid w:val="00A70D3E"/>
    <w:rsid w:val="00A70FF9"/>
    <w:rsid w:val="00A7104F"/>
    <w:rsid w:val="00A7109D"/>
    <w:rsid w:val="00A71345"/>
    <w:rsid w:val="00A71369"/>
    <w:rsid w:val="00A71431"/>
    <w:rsid w:val="00A716C3"/>
    <w:rsid w:val="00A718CD"/>
    <w:rsid w:val="00A71E77"/>
    <w:rsid w:val="00A71ECE"/>
    <w:rsid w:val="00A724BB"/>
    <w:rsid w:val="00A72B09"/>
    <w:rsid w:val="00A72F85"/>
    <w:rsid w:val="00A73236"/>
    <w:rsid w:val="00A73345"/>
    <w:rsid w:val="00A734CA"/>
    <w:rsid w:val="00A738D9"/>
    <w:rsid w:val="00A73A8F"/>
    <w:rsid w:val="00A73E7C"/>
    <w:rsid w:val="00A73F79"/>
    <w:rsid w:val="00A740F3"/>
    <w:rsid w:val="00A741E2"/>
    <w:rsid w:val="00A74420"/>
    <w:rsid w:val="00A74584"/>
    <w:rsid w:val="00A74A7B"/>
    <w:rsid w:val="00A7514C"/>
    <w:rsid w:val="00A75A84"/>
    <w:rsid w:val="00A75AB8"/>
    <w:rsid w:val="00A75B05"/>
    <w:rsid w:val="00A75B92"/>
    <w:rsid w:val="00A75D24"/>
    <w:rsid w:val="00A75D4D"/>
    <w:rsid w:val="00A75F65"/>
    <w:rsid w:val="00A769D3"/>
    <w:rsid w:val="00A76EB9"/>
    <w:rsid w:val="00A76F6C"/>
    <w:rsid w:val="00A774F4"/>
    <w:rsid w:val="00A77530"/>
    <w:rsid w:val="00A7779D"/>
    <w:rsid w:val="00A77A2F"/>
    <w:rsid w:val="00A77A69"/>
    <w:rsid w:val="00A77AFA"/>
    <w:rsid w:val="00A77B98"/>
    <w:rsid w:val="00A77FD5"/>
    <w:rsid w:val="00A800A4"/>
    <w:rsid w:val="00A80283"/>
    <w:rsid w:val="00A8044A"/>
    <w:rsid w:val="00A806CA"/>
    <w:rsid w:val="00A80771"/>
    <w:rsid w:val="00A80863"/>
    <w:rsid w:val="00A80A93"/>
    <w:rsid w:val="00A8129F"/>
    <w:rsid w:val="00A81616"/>
    <w:rsid w:val="00A81AD5"/>
    <w:rsid w:val="00A81C87"/>
    <w:rsid w:val="00A82477"/>
    <w:rsid w:val="00A82658"/>
    <w:rsid w:val="00A82728"/>
    <w:rsid w:val="00A82769"/>
    <w:rsid w:val="00A82796"/>
    <w:rsid w:val="00A828F9"/>
    <w:rsid w:val="00A82A07"/>
    <w:rsid w:val="00A82B8A"/>
    <w:rsid w:val="00A830C9"/>
    <w:rsid w:val="00A8336C"/>
    <w:rsid w:val="00A8365E"/>
    <w:rsid w:val="00A83820"/>
    <w:rsid w:val="00A83BDA"/>
    <w:rsid w:val="00A83D6F"/>
    <w:rsid w:val="00A83E31"/>
    <w:rsid w:val="00A83F06"/>
    <w:rsid w:val="00A83FC3"/>
    <w:rsid w:val="00A84095"/>
    <w:rsid w:val="00A840CD"/>
    <w:rsid w:val="00A8479E"/>
    <w:rsid w:val="00A84937"/>
    <w:rsid w:val="00A84A89"/>
    <w:rsid w:val="00A85118"/>
    <w:rsid w:val="00A85283"/>
    <w:rsid w:val="00A85619"/>
    <w:rsid w:val="00A85DC4"/>
    <w:rsid w:val="00A85DD8"/>
    <w:rsid w:val="00A85EB6"/>
    <w:rsid w:val="00A860C6"/>
    <w:rsid w:val="00A86306"/>
    <w:rsid w:val="00A86C28"/>
    <w:rsid w:val="00A86EED"/>
    <w:rsid w:val="00A87202"/>
    <w:rsid w:val="00A87610"/>
    <w:rsid w:val="00A87D56"/>
    <w:rsid w:val="00A87FBD"/>
    <w:rsid w:val="00A90182"/>
    <w:rsid w:val="00A90272"/>
    <w:rsid w:val="00A90700"/>
    <w:rsid w:val="00A909AB"/>
    <w:rsid w:val="00A90E86"/>
    <w:rsid w:val="00A910F3"/>
    <w:rsid w:val="00A9110E"/>
    <w:rsid w:val="00A9198C"/>
    <w:rsid w:val="00A91B22"/>
    <w:rsid w:val="00A91BD2"/>
    <w:rsid w:val="00A91DAC"/>
    <w:rsid w:val="00A925B4"/>
    <w:rsid w:val="00A92672"/>
    <w:rsid w:val="00A929FF"/>
    <w:rsid w:val="00A92BF2"/>
    <w:rsid w:val="00A92DF3"/>
    <w:rsid w:val="00A92F9E"/>
    <w:rsid w:val="00A92FBA"/>
    <w:rsid w:val="00A9310C"/>
    <w:rsid w:val="00A9348F"/>
    <w:rsid w:val="00A93553"/>
    <w:rsid w:val="00A93817"/>
    <w:rsid w:val="00A93916"/>
    <w:rsid w:val="00A93A0B"/>
    <w:rsid w:val="00A93F5D"/>
    <w:rsid w:val="00A93F68"/>
    <w:rsid w:val="00A9429C"/>
    <w:rsid w:val="00A947CF"/>
    <w:rsid w:val="00A947DA"/>
    <w:rsid w:val="00A9488D"/>
    <w:rsid w:val="00A948E1"/>
    <w:rsid w:val="00A94AB6"/>
    <w:rsid w:val="00A94B42"/>
    <w:rsid w:val="00A94EFE"/>
    <w:rsid w:val="00A952E0"/>
    <w:rsid w:val="00A95399"/>
    <w:rsid w:val="00A953BE"/>
    <w:rsid w:val="00A953DF"/>
    <w:rsid w:val="00A95588"/>
    <w:rsid w:val="00A95B2F"/>
    <w:rsid w:val="00A95C36"/>
    <w:rsid w:val="00A95D9D"/>
    <w:rsid w:val="00A95DE1"/>
    <w:rsid w:val="00A96121"/>
    <w:rsid w:val="00A961A3"/>
    <w:rsid w:val="00A962B7"/>
    <w:rsid w:val="00A96319"/>
    <w:rsid w:val="00A96492"/>
    <w:rsid w:val="00A96894"/>
    <w:rsid w:val="00A969AB"/>
    <w:rsid w:val="00A96C5A"/>
    <w:rsid w:val="00A96CD8"/>
    <w:rsid w:val="00A96D25"/>
    <w:rsid w:val="00A96E0A"/>
    <w:rsid w:val="00A96F1E"/>
    <w:rsid w:val="00A96F22"/>
    <w:rsid w:val="00A970A0"/>
    <w:rsid w:val="00A971BD"/>
    <w:rsid w:val="00A97384"/>
    <w:rsid w:val="00A974B0"/>
    <w:rsid w:val="00A97557"/>
    <w:rsid w:val="00A97D21"/>
    <w:rsid w:val="00A97DC6"/>
    <w:rsid w:val="00A97E2D"/>
    <w:rsid w:val="00A97F09"/>
    <w:rsid w:val="00A97F25"/>
    <w:rsid w:val="00AA0995"/>
    <w:rsid w:val="00AA0CEF"/>
    <w:rsid w:val="00AA10CD"/>
    <w:rsid w:val="00AA1185"/>
    <w:rsid w:val="00AA1609"/>
    <w:rsid w:val="00AA16DF"/>
    <w:rsid w:val="00AA18D4"/>
    <w:rsid w:val="00AA19D9"/>
    <w:rsid w:val="00AA1A30"/>
    <w:rsid w:val="00AA1BDE"/>
    <w:rsid w:val="00AA1C52"/>
    <w:rsid w:val="00AA1CB8"/>
    <w:rsid w:val="00AA1F1C"/>
    <w:rsid w:val="00AA2201"/>
    <w:rsid w:val="00AA23AA"/>
    <w:rsid w:val="00AA24DF"/>
    <w:rsid w:val="00AA2BD0"/>
    <w:rsid w:val="00AA2EC1"/>
    <w:rsid w:val="00AA2F29"/>
    <w:rsid w:val="00AA2F44"/>
    <w:rsid w:val="00AA2F78"/>
    <w:rsid w:val="00AA317D"/>
    <w:rsid w:val="00AA3207"/>
    <w:rsid w:val="00AA3670"/>
    <w:rsid w:val="00AA36F2"/>
    <w:rsid w:val="00AA3BC3"/>
    <w:rsid w:val="00AA43CF"/>
    <w:rsid w:val="00AA453F"/>
    <w:rsid w:val="00AA4715"/>
    <w:rsid w:val="00AA4808"/>
    <w:rsid w:val="00AA4CBA"/>
    <w:rsid w:val="00AA4EFF"/>
    <w:rsid w:val="00AA4F51"/>
    <w:rsid w:val="00AA5163"/>
    <w:rsid w:val="00AA54B7"/>
    <w:rsid w:val="00AA555F"/>
    <w:rsid w:val="00AA55AD"/>
    <w:rsid w:val="00AA55F9"/>
    <w:rsid w:val="00AA5735"/>
    <w:rsid w:val="00AA58DE"/>
    <w:rsid w:val="00AA5A3B"/>
    <w:rsid w:val="00AA5AC5"/>
    <w:rsid w:val="00AA66AA"/>
    <w:rsid w:val="00AA6886"/>
    <w:rsid w:val="00AA6A50"/>
    <w:rsid w:val="00AA6BD0"/>
    <w:rsid w:val="00AA725E"/>
    <w:rsid w:val="00AA7482"/>
    <w:rsid w:val="00AA75A7"/>
    <w:rsid w:val="00AA7760"/>
    <w:rsid w:val="00AA7B43"/>
    <w:rsid w:val="00AA7B5F"/>
    <w:rsid w:val="00AA7EB6"/>
    <w:rsid w:val="00AB05CB"/>
    <w:rsid w:val="00AB05E7"/>
    <w:rsid w:val="00AB05F3"/>
    <w:rsid w:val="00AB09B6"/>
    <w:rsid w:val="00AB0C0C"/>
    <w:rsid w:val="00AB0DA7"/>
    <w:rsid w:val="00AB0FDB"/>
    <w:rsid w:val="00AB106B"/>
    <w:rsid w:val="00AB11A4"/>
    <w:rsid w:val="00AB1BC4"/>
    <w:rsid w:val="00AB1C5B"/>
    <w:rsid w:val="00AB2B57"/>
    <w:rsid w:val="00AB2DBA"/>
    <w:rsid w:val="00AB2E67"/>
    <w:rsid w:val="00AB2F39"/>
    <w:rsid w:val="00AB3499"/>
    <w:rsid w:val="00AB350C"/>
    <w:rsid w:val="00AB3B52"/>
    <w:rsid w:val="00AB3B95"/>
    <w:rsid w:val="00AB3BDF"/>
    <w:rsid w:val="00AB3C78"/>
    <w:rsid w:val="00AB3E7D"/>
    <w:rsid w:val="00AB3F9A"/>
    <w:rsid w:val="00AB453F"/>
    <w:rsid w:val="00AB4C0E"/>
    <w:rsid w:val="00AB4F7F"/>
    <w:rsid w:val="00AB50E6"/>
    <w:rsid w:val="00AB5594"/>
    <w:rsid w:val="00AB58D4"/>
    <w:rsid w:val="00AB5DBC"/>
    <w:rsid w:val="00AB5DFB"/>
    <w:rsid w:val="00AB5E13"/>
    <w:rsid w:val="00AB5E60"/>
    <w:rsid w:val="00AB617C"/>
    <w:rsid w:val="00AB6312"/>
    <w:rsid w:val="00AB64CE"/>
    <w:rsid w:val="00AB6567"/>
    <w:rsid w:val="00AB696A"/>
    <w:rsid w:val="00AB6DEE"/>
    <w:rsid w:val="00AB6EAA"/>
    <w:rsid w:val="00AB6EFE"/>
    <w:rsid w:val="00AB76F1"/>
    <w:rsid w:val="00AB78AF"/>
    <w:rsid w:val="00AB78C3"/>
    <w:rsid w:val="00AB7A64"/>
    <w:rsid w:val="00AB7B30"/>
    <w:rsid w:val="00AB7C1B"/>
    <w:rsid w:val="00AB7F69"/>
    <w:rsid w:val="00AC0383"/>
    <w:rsid w:val="00AC0609"/>
    <w:rsid w:val="00AC0C31"/>
    <w:rsid w:val="00AC13FB"/>
    <w:rsid w:val="00AC1420"/>
    <w:rsid w:val="00AC158C"/>
    <w:rsid w:val="00AC1AA3"/>
    <w:rsid w:val="00AC1E9A"/>
    <w:rsid w:val="00AC1FCD"/>
    <w:rsid w:val="00AC22A7"/>
    <w:rsid w:val="00AC234A"/>
    <w:rsid w:val="00AC2AB0"/>
    <w:rsid w:val="00AC36E1"/>
    <w:rsid w:val="00AC37F7"/>
    <w:rsid w:val="00AC3A7E"/>
    <w:rsid w:val="00AC3E64"/>
    <w:rsid w:val="00AC40DE"/>
    <w:rsid w:val="00AC44D3"/>
    <w:rsid w:val="00AC463D"/>
    <w:rsid w:val="00AC47D2"/>
    <w:rsid w:val="00AC4A70"/>
    <w:rsid w:val="00AC4D28"/>
    <w:rsid w:val="00AC5170"/>
    <w:rsid w:val="00AC542A"/>
    <w:rsid w:val="00AC55C8"/>
    <w:rsid w:val="00AC5AD1"/>
    <w:rsid w:val="00AC5AD4"/>
    <w:rsid w:val="00AC5B55"/>
    <w:rsid w:val="00AC5B67"/>
    <w:rsid w:val="00AC5C97"/>
    <w:rsid w:val="00AC5CA1"/>
    <w:rsid w:val="00AC5D10"/>
    <w:rsid w:val="00AC5E16"/>
    <w:rsid w:val="00AC5E74"/>
    <w:rsid w:val="00AC6034"/>
    <w:rsid w:val="00AC6404"/>
    <w:rsid w:val="00AC6666"/>
    <w:rsid w:val="00AC6766"/>
    <w:rsid w:val="00AC685E"/>
    <w:rsid w:val="00AC68CC"/>
    <w:rsid w:val="00AC68EC"/>
    <w:rsid w:val="00AC6A89"/>
    <w:rsid w:val="00AC6AF8"/>
    <w:rsid w:val="00AC6DB5"/>
    <w:rsid w:val="00AC70C4"/>
    <w:rsid w:val="00AC72E5"/>
    <w:rsid w:val="00AC737C"/>
    <w:rsid w:val="00AC7602"/>
    <w:rsid w:val="00AC76D5"/>
    <w:rsid w:val="00AC7CAB"/>
    <w:rsid w:val="00AD03E4"/>
    <w:rsid w:val="00AD0429"/>
    <w:rsid w:val="00AD0823"/>
    <w:rsid w:val="00AD0BBB"/>
    <w:rsid w:val="00AD0E17"/>
    <w:rsid w:val="00AD0EF3"/>
    <w:rsid w:val="00AD1069"/>
    <w:rsid w:val="00AD18B7"/>
    <w:rsid w:val="00AD193F"/>
    <w:rsid w:val="00AD2040"/>
    <w:rsid w:val="00AD21C4"/>
    <w:rsid w:val="00AD23E6"/>
    <w:rsid w:val="00AD2605"/>
    <w:rsid w:val="00AD3073"/>
    <w:rsid w:val="00AD32F6"/>
    <w:rsid w:val="00AD3520"/>
    <w:rsid w:val="00AD3CE3"/>
    <w:rsid w:val="00AD3F46"/>
    <w:rsid w:val="00AD3F91"/>
    <w:rsid w:val="00AD427A"/>
    <w:rsid w:val="00AD4436"/>
    <w:rsid w:val="00AD4594"/>
    <w:rsid w:val="00AD49DC"/>
    <w:rsid w:val="00AD4FB7"/>
    <w:rsid w:val="00AD51E5"/>
    <w:rsid w:val="00AD51E9"/>
    <w:rsid w:val="00AD528D"/>
    <w:rsid w:val="00AD55F6"/>
    <w:rsid w:val="00AD5844"/>
    <w:rsid w:val="00AD5D10"/>
    <w:rsid w:val="00AD63AE"/>
    <w:rsid w:val="00AD641C"/>
    <w:rsid w:val="00AD642D"/>
    <w:rsid w:val="00AD6C85"/>
    <w:rsid w:val="00AD6D0E"/>
    <w:rsid w:val="00AD6F88"/>
    <w:rsid w:val="00AD7044"/>
    <w:rsid w:val="00AD73BE"/>
    <w:rsid w:val="00AD7440"/>
    <w:rsid w:val="00AD7454"/>
    <w:rsid w:val="00AD759E"/>
    <w:rsid w:val="00AD7793"/>
    <w:rsid w:val="00AD7B0A"/>
    <w:rsid w:val="00AD7E28"/>
    <w:rsid w:val="00AD7EE2"/>
    <w:rsid w:val="00AE0461"/>
    <w:rsid w:val="00AE04D3"/>
    <w:rsid w:val="00AE08FE"/>
    <w:rsid w:val="00AE0E38"/>
    <w:rsid w:val="00AE106F"/>
    <w:rsid w:val="00AE12C2"/>
    <w:rsid w:val="00AE19D5"/>
    <w:rsid w:val="00AE1AEE"/>
    <w:rsid w:val="00AE1C64"/>
    <w:rsid w:val="00AE1DB1"/>
    <w:rsid w:val="00AE1F4E"/>
    <w:rsid w:val="00AE2041"/>
    <w:rsid w:val="00AE279F"/>
    <w:rsid w:val="00AE297B"/>
    <w:rsid w:val="00AE2B09"/>
    <w:rsid w:val="00AE2BFA"/>
    <w:rsid w:val="00AE2E16"/>
    <w:rsid w:val="00AE3095"/>
    <w:rsid w:val="00AE335D"/>
    <w:rsid w:val="00AE3469"/>
    <w:rsid w:val="00AE34F1"/>
    <w:rsid w:val="00AE3950"/>
    <w:rsid w:val="00AE396E"/>
    <w:rsid w:val="00AE47EA"/>
    <w:rsid w:val="00AE47ED"/>
    <w:rsid w:val="00AE4C1A"/>
    <w:rsid w:val="00AE4E01"/>
    <w:rsid w:val="00AE4EAC"/>
    <w:rsid w:val="00AE50B1"/>
    <w:rsid w:val="00AE51AC"/>
    <w:rsid w:val="00AE52BA"/>
    <w:rsid w:val="00AE52C0"/>
    <w:rsid w:val="00AE52CE"/>
    <w:rsid w:val="00AE55B1"/>
    <w:rsid w:val="00AE5620"/>
    <w:rsid w:val="00AE575E"/>
    <w:rsid w:val="00AE58D5"/>
    <w:rsid w:val="00AE5954"/>
    <w:rsid w:val="00AE5A49"/>
    <w:rsid w:val="00AE5B49"/>
    <w:rsid w:val="00AE5CC8"/>
    <w:rsid w:val="00AE5D9E"/>
    <w:rsid w:val="00AE5E5E"/>
    <w:rsid w:val="00AE5FB7"/>
    <w:rsid w:val="00AE603E"/>
    <w:rsid w:val="00AE61A1"/>
    <w:rsid w:val="00AE6468"/>
    <w:rsid w:val="00AE6664"/>
    <w:rsid w:val="00AE6686"/>
    <w:rsid w:val="00AE6787"/>
    <w:rsid w:val="00AE6AF6"/>
    <w:rsid w:val="00AE6D8D"/>
    <w:rsid w:val="00AE7821"/>
    <w:rsid w:val="00AE797D"/>
    <w:rsid w:val="00AE7BC4"/>
    <w:rsid w:val="00AF004D"/>
    <w:rsid w:val="00AF0123"/>
    <w:rsid w:val="00AF0217"/>
    <w:rsid w:val="00AF0781"/>
    <w:rsid w:val="00AF0845"/>
    <w:rsid w:val="00AF0885"/>
    <w:rsid w:val="00AF109B"/>
    <w:rsid w:val="00AF15F0"/>
    <w:rsid w:val="00AF15F1"/>
    <w:rsid w:val="00AF19CA"/>
    <w:rsid w:val="00AF2206"/>
    <w:rsid w:val="00AF2432"/>
    <w:rsid w:val="00AF248E"/>
    <w:rsid w:val="00AF2654"/>
    <w:rsid w:val="00AF28A5"/>
    <w:rsid w:val="00AF29A9"/>
    <w:rsid w:val="00AF2BBB"/>
    <w:rsid w:val="00AF3079"/>
    <w:rsid w:val="00AF35DE"/>
    <w:rsid w:val="00AF3913"/>
    <w:rsid w:val="00AF3985"/>
    <w:rsid w:val="00AF39C5"/>
    <w:rsid w:val="00AF3E6A"/>
    <w:rsid w:val="00AF3EC3"/>
    <w:rsid w:val="00AF3F17"/>
    <w:rsid w:val="00AF40DA"/>
    <w:rsid w:val="00AF4125"/>
    <w:rsid w:val="00AF41CE"/>
    <w:rsid w:val="00AF4693"/>
    <w:rsid w:val="00AF4824"/>
    <w:rsid w:val="00AF49E5"/>
    <w:rsid w:val="00AF4C9A"/>
    <w:rsid w:val="00AF4F90"/>
    <w:rsid w:val="00AF509B"/>
    <w:rsid w:val="00AF520A"/>
    <w:rsid w:val="00AF5363"/>
    <w:rsid w:val="00AF5438"/>
    <w:rsid w:val="00AF54E2"/>
    <w:rsid w:val="00AF553B"/>
    <w:rsid w:val="00AF57C3"/>
    <w:rsid w:val="00AF59B3"/>
    <w:rsid w:val="00AF5C2F"/>
    <w:rsid w:val="00AF5C95"/>
    <w:rsid w:val="00AF5F85"/>
    <w:rsid w:val="00AF6792"/>
    <w:rsid w:val="00AF69B2"/>
    <w:rsid w:val="00AF6CB6"/>
    <w:rsid w:val="00AF738F"/>
    <w:rsid w:val="00AF7A46"/>
    <w:rsid w:val="00AF7DDD"/>
    <w:rsid w:val="00AF7E10"/>
    <w:rsid w:val="00B00389"/>
    <w:rsid w:val="00B006F3"/>
    <w:rsid w:val="00B009E4"/>
    <w:rsid w:val="00B00C8F"/>
    <w:rsid w:val="00B00F26"/>
    <w:rsid w:val="00B00F65"/>
    <w:rsid w:val="00B01001"/>
    <w:rsid w:val="00B01460"/>
    <w:rsid w:val="00B019AB"/>
    <w:rsid w:val="00B01CF9"/>
    <w:rsid w:val="00B01E3A"/>
    <w:rsid w:val="00B02194"/>
    <w:rsid w:val="00B02527"/>
    <w:rsid w:val="00B02536"/>
    <w:rsid w:val="00B02AA8"/>
    <w:rsid w:val="00B02D9F"/>
    <w:rsid w:val="00B030E1"/>
    <w:rsid w:val="00B03111"/>
    <w:rsid w:val="00B03276"/>
    <w:rsid w:val="00B032AE"/>
    <w:rsid w:val="00B035E2"/>
    <w:rsid w:val="00B03786"/>
    <w:rsid w:val="00B03CA2"/>
    <w:rsid w:val="00B0456D"/>
    <w:rsid w:val="00B045B9"/>
    <w:rsid w:val="00B04630"/>
    <w:rsid w:val="00B04706"/>
    <w:rsid w:val="00B04722"/>
    <w:rsid w:val="00B04A8C"/>
    <w:rsid w:val="00B04A9E"/>
    <w:rsid w:val="00B04E64"/>
    <w:rsid w:val="00B05043"/>
    <w:rsid w:val="00B0504E"/>
    <w:rsid w:val="00B0561F"/>
    <w:rsid w:val="00B056B7"/>
    <w:rsid w:val="00B056F1"/>
    <w:rsid w:val="00B05879"/>
    <w:rsid w:val="00B05B05"/>
    <w:rsid w:val="00B06008"/>
    <w:rsid w:val="00B060B4"/>
    <w:rsid w:val="00B06121"/>
    <w:rsid w:val="00B0633E"/>
    <w:rsid w:val="00B06530"/>
    <w:rsid w:val="00B06546"/>
    <w:rsid w:val="00B069F3"/>
    <w:rsid w:val="00B06C4B"/>
    <w:rsid w:val="00B06DAC"/>
    <w:rsid w:val="00B070DA"/>
    <w:rsid w:val="00B071A5"/>
    <w:rsid w:val="00B072CE"/>
    <w:rsid w:val="00B07307"/>
    <w:rsid w:val="00B0732B"/>
    <w:rsid w:val="00B074A6"/>
    <w:rsid w:val="00B07588"/>
    <w:rsid w:val="00B077BF"/>
    <w:rsid w:val="00B0787B"/>
    <w:rsid w:val="00B07B8D"/>
    <w:rsid w:val="00B07D30"/>
    <w:rsid w:val="00B10069"/>
    <w:rsid w:val="00B10194"/>
    <w:rsid w:val="00B102D4"/>
    <w:rsid w:val="00B10423"/>
    <w:rsid w:val="00B10586"/>
    <w:rsid w:val="00B10614"/>
    <w:rsid w:val="00B1070F"/>
    <w:rsid w:val="00B1122A"/>
    <w:rsid w:val="00B112D1"/>
    <w:rsid w:val="00B11315"/>
    <w:rsid w:val="00B11696"/>
    <w:rsid w:val="00B11799"/>
    <w:rsid w:val="00B11A7E"/>
    <w:rsid w:val="00B11AC4"/>
    <w:rsid w:val="00B11D66"/>
    <w:rsid w:val="00B12035"/>
    <w:rsid w:val="00B121FC"/>
    <w:rsid w:val="00B1229E"/>
    <w:rsid w:val="00B12344"/>
    <w:rsid w:val="00B12633"/>
    <w:rsid w:val="00B1268B"/>
    <w:rsid w:val="00B127F7"/>
    <w:rsid w:val="00B128B8"/>
    <w:rsid w:val="00B12BE6"/>
    <w:rsid w:val="00B12BEC"/>
    <w:rsid w:val="00B12C7E"/>
    <w:rsid w:val="00B12CB6"/>
    <w:rsid w:val="00B130B2"/>
    <w:rsid w:val="00B130C8"/>
    <w:rsid w:val="00B133EB"/>
    <w:rsid w:val="00B13486"/>
    <w:rsid w:val="00B13650"/>
    <w:rsid w:val="00B13BB4"/>
    <w:rsid w:val="00B13CE3"/>
    <w:rsid w:val="00B13D33"/>
    <w:rsid w:val="00B14093"/>
    <w:rsid w:val="00B14560"/>
    <w:rsid w:val="00B14F88"/>
    <w:rsid w:val="00B150D4"/>
    <w:rsid w:val="00B151E5"/>
    <w:rsid w:val="00B1531B"/>
    <w:rsid w:val="00B153B9"/>
    <w:rsid w:val="00B155A4"/>
    <w:rsid w:val="00B1569C"/>
    <w:rsid w:val="00B15871"/>
    <w:rsid w:val="00B15AC0"/>
    <w:rsid w:val="00B16092"/>
    <w:rsid w:val="00B162E4"/>
    <w:rsid w:val="00B1642F"/>
    <w:rsid w:val="00B16723"/>
    <w:rsid w:val="00B16C23"/>
    <w:rsid w:val="00B16CD0"/>
    <w:rsid w:val="00B16F03"/>
    <w:rsid w:val="00B1704A"/>
    <w:rsid w:val="00B17273"/>
    <w:rsid w:val="00B172ED"/>
    <w:rsid w:val="00B173CC"/>
    <w:rsid w:val="00B1748F"/>
    <w:rsid w:val="00B17681"/>
    <w:rsid w:val="00B1777B"/>
    <w:rsid w:val="00B1787E"/>
    <w:rsid w:val="00B17AA1"/>
    <w:rsid w:val="00B17C23"/>
    <w:rsid w:val="00B17F8E"/>
    <w:rsid w:val="00B20062"/>
    <w:rsid w:val="00B20103"/>
    <w:rsid w:val="00B203F5"/>
    <w:rsid w:val="00B2052D"/>
    <w:rsid w:val="00B20541"/>
    <w:rsid w:val="00B207DE"/>
    <w:rsid w:val="00B20EBE"/>
    <w:rsid w:val="00B2100A"/>
    <w:rsid w:val="00B214E8"/>
    <w:rsid w:val="00B219C7"/>
    <w:rsid w:val="00B21F80"/>
    <w:rsid w:val="00B21FE8"/>
    <w:rsid w:val="00B22141"/>
    <w:rsid w:val="00B224A5"/>
    <w:rsid w:val="00B2283C"/>
    <w:rsid w:val="00B2290F"/>
    <w:rsid w:val="00B22F21"/>
    <w:rsid w:val="00B236F9"/>
    <w:rsid w:val="00B23A14"/>
    <w:rsid w:val="00B23A95"/>
    <w:rsid w:val="00B23C03"/>
    <w:rsid w:val="00B23C9D"/>
    <w:rsid w:val="00B24075"/>
    <w:rsid w:val="00B246CE"/>
    <w:rsid w:val="00B24A8C"/>
    <w:rsid w:val="00B24BEE"/>
    <w:rsid w:val="00B24D0A"/>
    <w:rsid w:val="00B24F99"/>
    <w:rsid w:val="00B250FD"/>
    <w:rsid w:val="00B2552A"/>
    <w:rsid w:val="00B25A19"/>
    <w:rsid w:val="00B26143"/>
    <w:rsid w:val="00B2649D"/>
    <w:rsid w:val="00B26B7F"/>
    <w:rsid w:val="00B26DCD"/>
    <w:rsid w:val="00B274A1"/>
    <w:rsid w:val="00B2754B"/>
    <w:rsid w:val="00B2771E"/>
    <w:rsid w:val="00B279B6"/>
    <w:rsid w:val="00B27AC1"/>
    <w:rsid w:val="00B27EF7"/>
    <w:rsid w:val="00B27F6C"/>
    <w:rsid w:val="00B305C9"/>
    <w:rsid w:val="00B306B3"/>
    <w:rsid w:val="00B30C83"/>
    <w:rsid w:val="00B30DA2"/>
    <w:rsid w:val="00B3135D"/>
    <w:rsid w:val="00B315DF"/>
    <w:rsid w:val="00B31642"/>
    <w:rsid w:val="00B31970"/>
    <w:rsid w:val="00B31E2B"/>
    <w:rsid w:val="00B31E30"/>
    <w:rsid w:val="00B322E7"/>
    <w:rsid w:val="00B32301"/>
    <w:rsid w:val="00B328D2"/>
    <w:rsid w:val="00B32BE8"/>
    <w:rsid w:val="00B330E5"/>
    <w:rsid w:val="00B33142"/>
    <w:rsid w:val="00B3317D"/>
    <w:rsid w:val="00B33255"/>
    <w:rsid w:val="00B33380"/>
    <w:rsid w:val="00B3392C"/>
    <w:rsid w:val="00B33B5E"/>
    <w:rsid w:val="00B33C4C"/>
    <w:rsid w:val="00B33DBD"/>
    <w:rsid w:val="00B33F3B"/>
    <w:rsid w:val="00B340C6"/>
    <w:rsid w:val="00B3449B"/>
    <w:rsid w:val="00B344BD"/>
    <w:rsid w:val="00B344E0"/>
    <w:rsid w:val="00B345C8"/>
    <w:rsid w:val="00B34D89"/>
    <w:rsid w:val="00B3505A"/>
    <w:rsid w:val="00B35529"/>
    <w:rsid w:val="00B3566D"/>
    <w:rsid w:val="00B356BF"/>
    <w:rsid w:val="00B3594A"/>
    <w:rsid w:val="00B359E4"/>
    <w:rsid w:val="00B35D10"/>
    <w:rsid w:val="00B3604B"/>
    <w:rsid w:val="00B3624B"/>
    <w:rsid w:val="00B364D7"/>
    <w:rsid w:val="00B36583"/>
    <w:rsid w:val="00B3658A"/>
    <w:rsid w:val="00B369C0"/>
    <w:rsid w:val="00B36B6D"/>
    <w:rsid w:val="00B36C34"/>
    <w:rsid w:val="00B36DF7"/>
    <w:rsid w:val="00B36FA4"/>
    <w:rsid w:val="00B37145"/>
    <w:rsid w:val="00B3758D"/>
    <w:rsid w:val="00B37675"/>
    <w:rsid w:val="00B37935"/>
    <w:rsid w:val="00B37E78"/>
    <w:rsid w:val="00B37F1A"/>
    <w:rsid w:val="00B40541"/>
    <w:rsid w:val="00B408E4"/>
    <w:rsid w:val="00B409C9"/>
    <w:rsid w:val="00B40AD9"/>
    <w:rsid w:val="00B40FE8"/>
    <w:rsid w:val="00B410C4"/>
    <w:rsid w:val="00B411CF"/>
    <w:rsid w:val="00B41C0D"/>
    <w:rsid w:val="00B41DA8"/>
    <w:rsid w:val="00B420CF"/>
    <w:rsid w:val="00B42283"/>
    <w:rsid w:val="00B424C0"/>
    <w:rsid w:val="00B42A26"/>
    <w:rsid w:val="00B42BC4"/>
    <w:rsid w:val="00B42C7D"/>
    <w:rsid w:val="00B43263"/>
    <w:rsid w:val="00B434B4"/>
    <w:rsid w:val="00B434C0"/>
    <w:rsid w:val="00B436C2"/>
    <w:rsid w:val="00B438FD"/>
    <w:rsid w:val="00B43B92"/>
    <w:rsid w:val="00B43CDD"/>
    <w:rsid w:val="00B44331"/>
    <w:rsid w:val="00B449E9"/>
    <w:rsid w:val="00B44A04"/>
    <w:rsid w:val="00B44C21"/>
    <w:rsid w:val="00B450D9"/>
    <w:rsid w:val="00B45216"/>
    <w:rsid w:val="00B455C1"/>
    <w:rsid w:val="00B459C5"/>
    <w:rsid w:val="00B462AE"/>
    <w:rsid w:val="00B46316"/>
    <w:rsid w:val="00B463CD"/>
    <w:rsid w:val="00B4656D"/>
    <w:rsid w:val="00B465D2"/>
    <w:rsid w:val="00B46A12"/>
    <w:rsid w:val="00B46ED7"/>
    <w:rsid w:val="00B47060"/>
    <w:rsid w:val="00B47076"/>
    <w:rsid w:val="00B47927"/>
    <w:rsid w:val="00B47B36"/>
    <w:rsid w:val="00B47B4E"/>
    <w:rsid w:val="00B47CAB"/>
    <w:rsid w:val="00B47D21"/>
    <w:rsid w:val="00B50011"/>
    <w:rsid w:val="00B5006C"/>
    <w:rsid w:val="00B500AD"/>
    <w:rsid w:val="00B50156"/>
    <w:rsid w:val="00B501A8"/>
    <w:rsid w:val="00B50273"/>
    <w:rsid w:val="00B50350"/>
    <w:rsid w:val="00B503B5"/>
    <w:rsid w:val="00B503E8"/>
    <w:rsid w:val="00B50497"/>
    <w:rsid w:val="00B50642"/>
    <w:rsid w:val="00B50915"/>
    <w:rsid w:val="00B5116C"/>
    <w:rsid w:val="00B512EC"/>
    <w:rsid w:val="00B5149B"/>
    <w:rsid w:val="00B517A2"/>
    <w:rsid w:val="00B51BDA"/>
    <w:rsid w:val="00B51CFB"/>
    <w:rsid w:val="00B51CFD"/>
    <w:rsid w:val="00B51F15"/>
    <w:rsid w:val="00B520B2"/>
    <w:rsid w:val="00B52679"/>
    <w:rsid w:val="00B52917"/>
    <w:rsid w:val="00B52A4D"/>
    <w:rsid w:val="00B52E4E"/>
    <w:rsid w:val="00B52E4F"/>
    <w:rsid w:val="00B52FD8"/>
    <w:rsid w:val="00B53058"/>
    <w:rsid w:val="00B53336"/>
    <w:rsid w:val="00B533D5"/>
    <w:rsid w:val="00B53472"/>
    <w:rsid w:val="00B53CD4"/>
    <w:rsid w:val="00B53DC7"/>
    <w:rsid w:val="00B53DD5"/>
    <w:rsid w:val="00B54282"/>
    <w:rsid w:val="00B5478B"/>
    <w:rsid w:val="00B54866"/>
    <w:rsid w:val="00B5490A"/>
    <w:rsid w:val="00B54D93"/>
    <w:rsid w:val="00B54E67"/>
    <w:rsid w:val="00B55140"/>
    <w:rsid w:val="00B553C5"/>
    <w:rsid w:val="00B55650"/>
    <w:rsid w:val="00B55691"/>
    <w:rsid w:val="00B556C6"/>
    <w:rsid w:val="00B55720"/>
    <w:rsid w:val="00B55A4C"/>
    <w:rsid w:val="00B55C56"/>
    <w:rsid w:val="00B56703"/>
    <w:rsid w:val="00B56B81"/>
    <w:rsid w:val="00B576C3"/>
    <w:rsid w:val="00B579F3"/>
    <w:rsid w:val="00B57A0E"/>
    <w:rsid w:val="00B57F1C"/>
    <w:rsid w:val="00B6020A"/>
    <w:rsid w:val="00B6075B"/>
    <w:rsid w:val="00B60B85"/>
    <w:rsid w:val="00B60F31"/>
    <w:rsid w:val="00B61216"/>
    <w:rsid w:val="00B6144A"/>
    <w:rsid w:val="00B61561"/>
    <w:rsid w:val="00B61807"/>
    <w:rsid w:val="00B619A1"/>
    <w:rsid w:val="00B619B6"/>
    <w:rsid w:val="00B6212C"/>
    <w:rsid w:val="00B62344"/>
    <w:rsid w:val="00B628F4"/>
    <w:rsid w:val="00B62C5E"/>
    <w:rsid w:val="00B62E9A"/>
    <w:rsid w:val="00B63656"/>
    <w:rsid w:val="00B63853"/>
    <w:rsid w:val="00B63B24"/>
    <w:rsid w:val="00B63CC3"/>
    <w:rsid w:val="00B63F4A"/>
    <w:rsid w:val="00B64010"/>
    <w:rsid w:val="00B642AD"/>
    <w:rsid w:val="00B64949"/>
    <w:rsid w:val="00B64F9E"/>
    <w:rsid w:val="00B650B2"/>
    <w:rsid w:val="00B65153"/>
    <w:rsid w:val="00B6545C"/>
    <w:rsid w:val="00B65619"/>
    <w:rsid w:val="00B6563A"/>
    <w:rsid w:val="00B657A8"/>
    <w:rsid w:val="00B658AC"/>
    <w:rsid w:val="00B658F6"/>
    <w:rsid w:val="00B65B32"/>
    <w:rsid w:val="00B65CB9"/>
    <w:rsid w:val="00B65EFC"/>
    <w:rsid w:val="00B65F8F"/>
    <w:rsid w:val="00B66A4F"/>
    <w:rsid w:val="00B671CD"/>
    <w:rsid w:val="00B6738D"/>
    <w:rsid w:val="00B6746F"/>
    <w:rsid w:val="00B676CA"/>
    <w:rsid w:val="00B67802"/>
    <w:rsid w:val="00B6780D"/>
    <w:rsid w:val="00B67A99"/>
    <w:rsid w:val="00B67BB4"/>
    <w:rsid w:val="00B67F05"/>
    <w:rsid w:val="00B701ED"/>
    <w:rsid w:val="00B702E2"/>
    <w:rsid w:val="00B704A6"/>
    <w:rsid w:val="00B704FA"/>
    <w:rsid w:val="00B7072E"/>
    <w:rsid w:val="00B7084E"/>
    <w:rsid w:val="00B7089D"/>
    <w:rsid w:val="00B70966"/>
    <w:rsid w:val="00B70A5A"/>
    <w:rsid w:val="00B70DC5"/>
    <w:rsid w:val="00B7114B"/>
    <w:rsid w:val="00B711AC"/>
    <w:rsid w:val="00B7120B"/>
    <w:rsid w:val="00B716F9"/>
    <w:rsid w:val="00B717DC"/>
    <w:rsid w:val="00B7185A"/>
    <w:rsid w:val="00B718F5"/>
    <w:rsid w:val="00B71EDB"/>
    <w:rsid w:val="00B71EF2"/>
    <w:rsid w:val="00B722F1"/>
    <w:rsid w:val="00B726E9"/>
    <w:rsid w:val="00B72762"/>
    <w:rsid w:val="00B73644"/>
    <w:rsid w:val="00B737C7"/>
    <w:rsid w:val="00B73C68"/>
    <w:rsid w:val="00B74490"/>
    <w:rsid w:val="00B74C76"/>
    <w:rsid w:val="00B74FD0"/>
    <w:rsid w:val="00B75111"/>
    <w:rsid w:val="00B7542C"/>
    <w:rsid w:val="00B75AF0"/>
    <w:rsid w:val="00B75E53"/>
    <w:rsid w:val="00B76022"/>
    <w:rsid w:val="00B7611C"/>
    <w:rsid w:val="00B76399"/>
    <w:rsid w:val="00B76499"/>
    <w:rsid w:val="00B76632"/>
    <w:rsid w:val="00B766F3"/>
    <w:rsid w:val="00B76848"/>
    <w:rsid w:val="00B76A09"/>
    <w:rsid w:val="00B76D14"/>
    <w:rsid w:val="00B76EA0"/>
    <w:rsid w:val="00B77057"/>
    <w:rsid w:val="00B7752E"/>
    <w:rsid w:val="00B77739"/>
    <w:rsid w:val="00B8053F"/>
    <w:rsid w:val="00B80807"/>
    <w:rsid w:val="00B80B93"/>
    <w:rsid w:val="00B80CE0"/>
    <w:rsid w:val="00B80D74"/>
    <w:rsid w:val="00B814F1"/>
    <w:rsid w:val="00B814F9"/>
    <w:rsid w:val="00B81548"/>
    <w:rsid w:val="00B818D0"/>
    <w:rsid w:val="00B81A51"/>
    <w:rsid w:val="00B81A9E"/>
    <w:rsid w:val="00B82062"/>
    <w:rsid w:val="00B820A2"/>
    <w:rsid w:val="00B821AD"/>
    <w:rsid w:val="00B8265A"/>
    <w:rsid w:val="00B8273F"/>
    <w:rsid w:val="00B82A17"/>
    <w:rsid w:val="00B82B1B"/>
    <w:rsid w:val="00B82BEA"/>
    <w:rsid w:val="00B83169"/>
    <w:rsid w:val="00B83291"/>
    <w:rsid w:val="00B83452"/>
    <w:rsid w:val="00B83641"/>
    <w:rsid w:val="00B837E5"/>
    <w:rsid w:val="00B83AD0"/>
    <w:rsid w:val="00B83FE9"/>
    <w:rsid w:val="00B84633"/>
    <w:rsid w:val="00B846A4"/>
    <w:rsid w:val="00B8470C"/>
    <w:rsid w:val="00B84760"/>
    <w:rsid w:val="00B8492D"/>
    <w:rsid w:val="00B84A87"/>
    <w:rsid w:val="00B84BF3"/>
    <w:rsid w:val="00B84F80"/>
    <w:rsid w:val="00B85376"/>
    <w:rsid w:val="00B8543B"/>
    <w:rsid w:val="00B855F7"/>
    <w:rsid w:val="00B85A88"/>
    <w:rsid w:val="00B8634C"/>
    <w:rsid w:val="00B86B51"/>
    <w:rsid w:val="00B86E32"/>
    <w:rsid w:val="00B86F6B"/>
    <w:rsid w:val="00B87174"/>
    <w:rsid w:val="00B873DB"/>
    <w:rsid w:val="00B87639"/>
    <w:rsid w:val="00B87C5E"/>
    <w:rsid w:val="00B87E45"/>
    <w:rsid w:val="00B87F30"/>
    <w:rsid w:val="00B90275"/>
    <w:rsid w:val="00B9053D"/>
    <w:rsid w:val="00B90CBD"/>
    <w:rsid w:val="00B90E90"/>
    <w:rsid w:val="00B913BE"/>
    <w:rsid w:val="00B913D9"/>
    <w:rsid w:val="00B914C3"/>
    <w:rsid w:val="00B915E5"/>
    <w:rsid w:val="00B91782"/>
    <w:rsid w:val="00B91787"/>
    <w:rsid w:val="00B91A5E"/>
    <w:rsid w:val="00B91D68"/>
    <w:rsid w:val="00B91F71"/>
    <w:rsid w:val="00B91F96"/>
    <w:rsid w:val="00B91FA2"/>
    <w:rsid w:val="00B91FE8"/>
    <w:rsid w:val="00B92837"/>
    <w:rsid w:val="00B93144"/>
    <w:rsid w:val="00B931E9"/>
    <w:rsid w:val="00B93268"/>
    <w:rsid w:val="00B93749"/>
    <w:rsid w:val="00B9386B"/>
    <w:rsid w:val="00B93932"/>
    <w:rsid w:val="00B93C5F"/>
    <w:rsid w:val="00B93F5B"/>
    <w:rsid w:val="00B94013"/>
    <w:rsid w:val="00B94092"/>
    <w:rsid w:val="00B94176"/>
    <w:rsid w:val="00B941EF"/>
    <w:rsid w:val="00B944DE"/>
    <w:rsid w:val="00B949AC"/>
    <w:rsid w:val="00B94B74"/>
    <w:rsid w:val="00B95416"/>
    <w:rsid w:val="00B95533"/>
    <w:rsid w:val="00B95EFE"/>
    <w:rsid w:val="00B95F4E"/>
    <w:rsid w:val="00B95FF0"/>
    <w:rsid w:val="00B96520"/>
    <w:rsid w:val="00B96A57"/>
    <w:rsid w:val="00B96A67"/>
    <w:rsid w:val="00B96A7C"/>
    <w:rsid w:val="00B96D72"/>
    <w:rsid w:val="00B96E99"/>
    <w:rsid w:val="00B972EE"/>
    <w:rsid w:val="00B978F6"/>
    <w:rsid w:val="00B97C22"/>
    <w:rsid w:val="00B97C7E"/>
    <w:rsid w:val="00B97D20"/>
    <w:rsid w:val="00B97DB3"/>
    <w:rsid w:val="00BA0083"/>
    <w:rsid w:val="00BA00E4"/>
    <w:rsid w:val="00BA03D7"/>
    <w:rsid w:val="00BA03E1"/>
    <w:rsid w:val="00BA05DD"/>
    <w:rsid w:val="00BA0D50"/>
    <w:rsid w:val="00BA0E6B"/>
    <w:rsid w:val="00BA125B"/>
    <w:rsid w:val="00BA16E3"/>
    <w:rsid w:val="00BA1B37"/>
    <w:rsid w:val="00BA1E92"/>
    <w:rsid w:val="00BA1F2C"/>
    <w:rsid w:val="00BA207E"/>
    <w:rsid w:val="00BA20C1"/>
    <w:rsid w:val="00BA2130"/>
    <w:rsid w:val="00BA2210"/>
    <w:rsid w:val="00BA22EE"/>
    <w:rsid w:val="00BA241F"/>
    <w:rsid w:val="00BA2801"/>
    <w:rsid w:val="00BA3116"/>
    <w:rsid w:val="00BA35B4"/>
    <w:rsid w:val="00BA3C8B"/>
    <w:rsid w:val="00BA3CE6"/>
    <w:rsid w:val="00BA3D21"/>
    <w:rsid w:val="00BA400D"/>
    <w:rsid w:val="00BA45C4"/>
    <w:rsid w:val="00BA4B9D"/>
    <w:rsid w:val="00BA4C2F"/>
    <w:rsid w:val="00BA4CA0"/>
    <w:rsid w:val="00BA4D5A"/>
    <w:rsid w:val="00BA4F3F"/>
    <w:rsid w:val="00BA4F6E"/>
    <w:rsid w:val="00BA533B"/>
    <w:rsid w:val="00BA558F"/>
    <w:rsid w:val="00BA5A90"/>
    <w:rsid w:val="00BA5B7B"/>
    <w:rsid w:val="00BA5F46"/>
    <w:rsid w:val="00BA612F"/>
    <w:rsid w:val="00BA641F"/>
    <w:rsid w:val="00BA68CC"/>
    <w:rsid w:val="00BA6979"/>
    <w:rsid w:val="00BA6C7D"/>
    <w:rsid w:val="00BA7078"/>
    <w:rsid w:val="00BA7312"/>
    <w:rsid w:val="00BA734C"/>
    <w:rsid w:val="00BA7592"/>
    <w:rsid w:val="00BA78E0"/>
    <w:rsid w:val="00BB07DE"/>
    <w:rsid w:val="00BB08EE"/>
    <w:rsid w:val="00BB0B98"/>
    <w:rsid w:val="00BB0C8F"/>
    <w:rsid w:val="00BB0D85"/>
    <w:rsid w:val="00BB0E51"/>
    <w:rsid w:val="00BB10A9"/>
    <w:rsid w:val="00BB13C6"/>
    <w:rsid w:val="00BB1572"/>
    <w:rsid w:val="00BB17B2"/>
    <w:rsid w:val="00BB182F"/>
    <w:rsid w:val="00BB1835"/>
    <w:rsid w:val="00BB1954"/>
    <w:rsid w:val="00BB1972"/>
    <w:rsid w:val="00BB1FFF"/>
    <w:rsid w:val="00BB211D"/>
    <w:rsid w:val="00BB2647"/>
    <w:rsid w:val="00BB364F"/>
    <w:rsid w:val="00BB36B9"/>
    <w:rsid w:val="00BB3AE8"/>
    <w:rsid w:val="00BB3CAC"/>
    <w:rsid w:val="00BB3CED"/>
    <w:rsid w:val="00BB3ED3"/>
    <w:rsid w:val="00BB410E"/>
    <w:rsid w:val="00BB450B"/>
    <w:rsid w:val="00BB46B4"/>
    <w:rsid w:val="00BB4C6D"/>
    <w:rsid w:val="00BB4CA8"/>
    <w:rsid w:val="00BB4CAF"/>
    <w:rsid w:val="00BB518D"/>
    <w:rsid w:val="00BB566D"/>
    <w:rsid w:val="00BB5755"/>
    <w:rsid w:val="00BB5B69"/>
    <w:rsid w:val="00BB5D64"/>
    <w:rsid w:val="00BB6118"/>
    <w:rsid w:val="00BB6837"/>
    <w:rsid w:val="00BB6EEE"/>
    <w:rsid w:val="00BB6F6C"/>
    <w:rsid w:val="00BB79BE"/>
    <w:rsid w:val="00BC00C3"/>
    <w:rsid w:val="00BC0615"/>
    <w:rsid w:val="00BC06B5"/>
    <w:rsid w:val="00BC0C1A"/>
    <w:rsid w:val="00BC0D87"/>
    <w:rsid w:val="00BC1077"/>
    <w:rsid w:val="00BC10B3"/>
    <w:rsid w:val="00BC176C"/>
    <w:rsid w:val="00BC1972"/>
    <w:rsid w:val="00BC1999"/>
    <w:rsid w:val="00BC1CD3"/>
    <w:rsid w:val="00BC1D6F"/>
    <w:rsid w:val="00BC24CA"/>
    <w:rsid w:val="00BC2E3F"/>
    <w:rsid w:val="00BC3056"/>
    <w:rsid w:val="00BC3084"/>
    <w:rsid w:val="00BC330F"/>
    <w:rsid w:val="00BC3427"/>
    <w:rsid w:val="00BC3899"/>
    <w:rsid w:val="00BC3A49"/>
    <w:rsid w:val="00BC3FE0"/>
    <w:rsid w:val="00BC40EF"/>
    <w:rsid w:val="00BC4186"/>
    <w:rsid w:val="00BC451D"/>
    <w:rsid w:val="00BC4559"/>
    <w:rsid w:val="00BC4870"/>
    <w:rsid w:val="00BC4BBC"/>
    <w:rsid w:val="00BC4C05"/>
    <w:rsid w:val="00BC4C17"/>
    <w:rsid w:val="00BC510A"/>
    <w:rsid w:val="00BC5205"/>
    <w:rsid w:val="00BC5331"/>
    <w:rsid w:val="00BC540C"/>
    <w:rsid w:val="00BC594B"/>
    <w:rsid w:val="00BC5E56"/>
    <w:rsid w:val="00BC6B52"/>
    <w:rsid w:val="00BC6E29"/>
    <w:rsid w:val="00BC6E70"/>
    <w:rsid w:val="00BC70D5"/>
    <w:rsid w:val="00BC7388"/>
    <w:rsid w:val="00BC76FD"/>
    <w:rsid w:val="00BC7763"/>
    <w:rsid w:val="00BC7789"/>
    <w:rsid w:val="00BC7C5D"/>
    <w:rsid w:val="00BC7C7F"/>
    <w:rsid w:val="00BC7F1B"/>
    <w:rsid w:val="00BD0093"/>
    <w:rsid w:val="00BD0428"/>
    <w:rsid w:val="00BD0868"/>
    <w:rsid w:val="00BD0901"/>
    <w:rsid w:val="00BD0B22"/>
    <w:rsid w:val="00BD0DA4"/>
    <w:rsid w:val="00BD113A"/>
    <w:rsid w:val="00BD132C"/>
    <w:rsid w:val="00BD1929"/>
    <w:rsid w:val="00BD1AE7"/>
    <w:rsid w:val="00BD1B34"/>
    <w:rsid w:val="00BD1CAC"/>
    <w:rsid w:val="00BD1D69"/>
    <w:rsid w:val="00BD1DAF"/>
    <w:rsid w:val="00BD1DCF"/>
    <w:rsid w:val="00BD1EF9"/>
    <w:rsid w:val="00BD20CE"/>
    <w:rsid w:val="00BD2307"/>
    <w:rsid w:val="00BD2317"/>
    <w:rsid w:val="00BD23B0"/>
    <w:rsid w:val="00BD244E"/>
    <w:rsid w:val="00BD25E4"/>
    <w:rsid w:val="00BD2AB5"/>
    <w:rsid w:val="00BD2CDF"/>
    <w:rsid w:val="00BD2D5F"/>
    <w:rsid w:val="00BD30A5"/>
    <w:rsid w:val="00BD3167"/>
    <w:rsid w:val="00BD323B"/>
    <w:rsid w:val="00BD3341"/>
    <w:rsid w:val="00BD33B3"/>
    <w:rsid w:val="00BD3AA1"/>
    <w:rsid w:val="00BD3CB2"/>
    <w:rsid w:val="00BD3D96"/>
    <w:rsid w:val="00BD3DA8"/>
    <w:rsid w:val="00BD4285"/>
    <w:rsid w:val="00BD430B"/>
    <w:rsid w:val="00BD458C"/>
    <w:rsid w:val="00BD45D5"/>
    <w:rsid w:val="00BD46F6"/>
    <w:rsid w:val="00BD4BA8"/>
    <w:rsid w:val="00BD4C48"/>
    <w:rsid w:val="00BD4C52"/>
    <w:rsid w:val="00BD4CFA"/>
    <w:rsid w:val="00BD5407"/>
    <w:rsid w:val="00BD574C"/>
    <w:rsid w:val="00BD5AF5"/>
    <w:rsid w:val="00BD5B54"/>
    <w:rsid w:val="00BD5C4A"/>
    <w:rsid w:val="00BD62DD"/>
    <w:rsid w:val="00BD64D4"/>
    <w:rsid w:val="00BD667F"/>
    <w:rsid w:val="00BD7137"/>
    <w:rsid w:val="00BD71E2"/>
    <w:rsid w:val="00BD77FD"/>
    <w:rsid w:val="00BD798B"/>
    <w:rsid w:val="00BD79D7"/>
    <w:rsid w:val="00BD7C7D"/>
    <w:rsid w:val="00BD7E05"/>
    <w:rsid w:val="00BE05B6"/>
    <w:rsid w:val="00BE0931"/>
    <w:rsid w:val="00BE0994"/>
    <w:rsid w:val="00BE0B94"/>
    <w:rsid w:val="00BE1152"/>
    <w:rsid w:val="00BE1363"/>
    <w:rsid w:val="00BE14A3"/>
    <w:rsid w:val="00BE15F1"/>
    <w:rsid w:val="00BE19DC"/>
    <w:rsid w:val="00BE19F7"/>
    <w:rsid w:val="00BE1C95"/>
    <w:rsid w:val="00BE2B40"/>
    <w:rsid w:val="00BE2B55"/>
    <w:rsid w:val="00BE3084"/>
    <w:rsid w:val="00BE3A61"/>
    <w:rsid w:val="00BE3BC3"/>
    <w:rsid w:val="00BE3FD4"/>
    <w:rsid w:val="00BE40D7"/>
    <w:rsid w:val="00BE4108"/>
    <w:rsid w:val="00BE425E"/>
    <w:rsid w:val="00BE4370"/>
    <w:rsid w:val="00BE460C"/>
    <w:rsid w:val="00BE4656"/>
    <w:rsid w:val="00BE526D"/>
    <w:rsid w:val="00BE5452"/>
    <w:rsid w:val="00BE5498"/>
    <w:rsid w:val="00BE5551"/>
    <w:rsid w:val="00BE570D"/>
    <w:rsid w:val="00BE5CE6"/>
    <w:rsid w:val="00BE5DD7"/>
    <w:rsid w:val="00BE63D8"/>
    <w:rsid w:val="00BE67FD"/>
    <w:rsid w:val="00BE6854"/>
    <w:rsid w:val="00BE69F8"/>
    <w:rsid w:val="00BE707C"/>
    <w:rsid w:val="00BE72CE"/>
    <w:rsid w:val="00BE7465"/>
    <w:rsid w:val="00BE7520"/>
    <w:rsid w:val="00BE755C"/>
    <w:rsid w:val="00BE76F7"/>
    <w:rsid w:val="00BE7786"/>
    <w:rsid w:val="00BE7AA0"/>
    <w:rsid w:val="00BE7B98"/>
    <w:rsid w:val="00BE7C93"/>
    <w:rsid w:val="00BF0AC1"/>
    <w:rsid w:val="00BF0C36"/>
    <w:rsid w:val="00BF1150"/>
    <w:rsid w:val="00BF140B"/>
    <w:rsid w:val="00BF14E8"/>
    <w:rsid w:val="00BF188A"/>
    <w:rsid w:val="00BF21EC"/>
    <w:rsid w:val="00BF26B6"/>
    <w:rsid w:val="00BF2C43"/>
    <w:rsid w:val="00BF2EB2"/>
    <w:rsid w:val="00BF3205"/>
    <w:rsid w:val="00BF337E"/>
    <w:rsid w:val="00BF35C8"/>
    <w:rsid w:val="00BF38B4"/>
    <w:rsid w:val="00BF3BE8"/>
    <w:rsid w:val="00BF4014"/>
    <w:rsid w:val="00BF4580"/>
    <w:rsid w:val="00BF4820"/>
    <w:rsid w:val="00BF4823"/>
    <w:rsid w:val="00BF48A7"/>
    <w:rsid w:val="00BF4EE1"/>
    <w:rsid w:val="00BF5098"/>
    <w:rsid w:val="00BF5254"/>
    <w:rsid w:val="00BF53F4"/>
    <w:rsid w:val="00BF5695"/>
    <w:rsid w:val="00BF5D1A"/>
    <w:rsid w:val="00BF5D22"/>
    <w:rsid w:val="00BF6354"/>
    <w:rsid w:val="00BF65B5"/>
    <w:rsid w:val="00BF6E4B"/>
    <w:rsid w:val="00BF6F97"/>
    <w:rsid w:val="00BF7131"/>
    <w:rsid w:val="00BF72B6"/>
    <w:rsid w:val="00BF73B5"/>
    <w:rsid w:val="00BF753A"/>
    <w:rsid w:val="00BF7543"/>
    <w:rsid w:val="00BF78EE"/>
    <w:rsid w:val="00BF79CF"/>
    <w:rsid w:val="00BF7AFD"/>
    <w:rsid w:val="00BF7D9D"/>
    <w:rsid w:val="00BF7DF1"/>
    <w:rsid w:val="00BF7F8B"/>
    <w:rsid w:val="00C00612"/>
    <w:rsid w:val="00C00697"/>
    <w:rsid w:val="00C00798"/>
    <w:rsid w:val="00C007E6"/>
    <w:rsid w:val="00C008F1"/>
    <w:rsid w:val="00C0095A"/>
    <w:rsid w:val="00C00B73"/>
    <w:rsid w:val="00C00CAF"/>
    <w:rsid w:val="00C012E4"/>
    <w:rsid w:val="00C0132F"/>
    <w:rsid w:val="00C01429"/>
    <w:rsid w:val="00C0167B"/>
    <w:rsid w:val="00C017C7"/>
    <w:rsid w:val="00C019F1"/>
    <w:rsid w:val="00C01D1D"/>
    <w:rsid w:val="00C01F51"/>
    <w:rsid w:val="00C02356"/>
    <w:rsid w:val="00C024B4"/>
    <w:rsid w:val="00C024E3"/>
    <w:rsid w:val="00C027C0"/>
    <w:rsid w:val="00C027F0"/>
    <w:rsid w:val="00C0292A"/>
    <w:rsid w:val="00C030AB"/>
    <w:rsid w:val="00C0330B"/>
    <w:rsid w:val="00C033E0"/>
    <w:rsid w:val="00C03594"/>
    <w:rsid w:val="00C036FB"/>
    <w:rsid w:val="00C038C8"/>
    <w:rsid w:val="00C03ABE"/>
    <w:rsid w:val="00C03B86"/>
    <w:rsid w:val="00C03E0F"/>
    <w:rsid w:val="00C03E54"/>
    <w:rsid w:val="00C03F7D"/>
    <w:rsid w:val="00C04397"/>
    <w:rsid w:val="00C04433"/>
    <w:rsid w:val="00C04636"/>
    <w:rsid w:val="00C04CCA"/>
    <w:rsid w:val="00C056B1"/>
    <w:rsid w:val="00C05BDD"/>
    <w:rsid w:val="00C05CA9"/>
    <w:rsid w:val="00C05CF6"/>
    <w:rsid w:val="00C0632B"/>
    <w:rsid w:val="00C06887"/>
    <w:rsid w:val="00C06C92"/>
    <w:rsid w:val="00C070A7"/>
    <w:rsid w:val="00C07475"/>
    <w:rsid w:val="00C0758D"/>
    <w:rsid w:val="00C07AA5"/>
    <w:rsid w:val="00C07C39"/>
    <w:rsid w:val="00C07C3B"/>
    <w:rsid w:val="00C07C61"/>
    <w:rsid w:val="00C07DC0"/>
    <w:rsid w:val="00C07E26"/>
    <w:rsid w:val="00C105EE"/>
    <w:rsid w:val="00C106A9"/>
    <w:rsid w:val="00C10A8B"/>
    <w:rsid w:val="00C10E04"/>
    <w:rsid w:val="00C10E74"/>
    <w:rsid w:val="00C11062"/>
    <w:rsid w:val="00C111EC"/>
    <w:rsid w:val="00C115A9"/>
    <w:rsid w:val="00C115CD"/>
    <w:rsid w:val="00C115FC"/>
    <w:rsid w:val="00C118CB"/>
    <w:rsid w:val="00C118F0"/>
    <w:rsid w:val="00C1192B"/>
    <w:rsid w:val="00C1203A"/>
    <w:rsid w:val="00C123FB"/>
    <w:rsid w:val="00C126D2"/>
    <w:rsid w:val="00C127DB"/>
    <w:rsid w:val="00C12915"/>
    <w:rsid w:val="00C12A52"/>
    <w:rsid w:val="00C1341E"/>
    <w:rsid w:val="00C134B1"/>
    <w:rsid w:val="00C1356D"/>
    <w:rsid w:val="00C13E9F"/>
    <w:rsid w:val="00C13FE8"/>
    <w:rsid w:val="00C14125"/>
    <w:rsid w:val="00C14401"/>
    <w:rsid w:val="00C144D4"/>
    <w:rsid w:val="00C14C6A"/>
    <w:rsid w:val="00C15052"/>
    <w:rsid w:val="00C15057"/>
    <w:rsid w:val="00C15541"/>
    <w:rsid w:val="00C15572"/>
    <w:rsid w:val="00C15906"/>
    <w:rsid w:val="00C15A83"/>
    <w:rsid w:val="00C15BBD"/>
    <w:rsid w:val="00C15BFB"/>
    <w:rsid w:val="00C15E76"/>
    <w:rsid w:val="00C16097"/>
    <w:rsid w:val="00C1634C"/>
    <w:rsid w:val="00C166B9"/>
    <w:rsid w:val="00C168BE"/>
    <w:rsid w:val="00C16CCF"/>
    <w:rsid w:val="00C16F87"/>
    <w:rsid w:val="00C172A2"/>
    <w:rsid w:val="00C177AE"/>
    <w:rsid w:val="00C1780B"/>
    <w:rsid w:val="00C17995"/>
    <w:rsid w:val="00C17ACB"/>
    <w:rsid w:val="00C17C43"/>
    <w:rsid w:val="00C17C78"/>
    <w:rsid w:val="00C17CC1"/>
    <w:rsid w:val="00C17CEA"/>
    <w:rsid w:val="00C201B1"/>
    <w:rsid w:val="00C21181"/>
    <w:rsid w:val="00C21534"/>
    <w:rsid w:val="00C2194B"/>
    <w:rsid w:val="00C219DC"/>
    <w:rsid w:val="00C21B96"/>
    <w:rsid w:val="00C21B99"/>
    <w:rsid w:val="00C21D2A"/>
    <w:rsid w:val="00C21D8F"/>
    <w:rsid w:val="00C21FC0"/>
    <w:rsid w:val="00C22205"/>
    <w:rsid w:val="00C2221F"/>
    <w:rsid w:val="00C222E6"/>
    <w:rsid w:val="00C22FFB"/>
    <w:rsid w:val="00C231EE"/>
    <w:rsid w:val="00C23756"/>
    <w:rsid w:val="00C23B1B"/>
    <w:rsid w:val="00C23D77"/>
    <w:rsid w:val="00C23D90"/>
    <w:rsid w:val="00C23DC7"/>
    <w:rsid w:val="00C23E4C"/>
    <w:rsid w:val="00C23F38"/>
    <w:rsid w:val="00C23F87"/>
    <w:rsid w:val="00C2401B"/>
    <w:rsid w:val="00C24157"/>
    <w:rsid w:val="00C246A5"/>
    <w:rsid w:val="00C247C9"/>
    <w:rsid w:val="00C2492D"/>
    <w:rsid w:val="00C24AE1"/>
    <w:rsid w:val="00C250A8"/>
    <w:rsid w:val="00C251CA"/>
    <w:rsid w:val="00C25331"/>
    <w:rsid w:val="00C2548F"/>
    <w:rsid w:val="00C25665"/>
    <w:rsid w:val="00C25889"/>
    <w:rsid w:val="00C25DB5"/>
    <w:rsid w:val="00C26032"/>
    <w:rsid w:val="00C262C0"/>
    <w:rsid w:val="00C262D8"/>
    <w:rsid w:val="00C26548"/>
    <w:rsid w:val="00C2691B"/>
    <w:rsid w:val="00C26BB3"/>
    <w:rsid w:val="00C26C2F"/>
    <w:rsid w:val="00C26F94"/>
    <w:rsid w:val="00C27396"/>
    <w:rsid w:val="00C2753C"/>
    <w:rsid w:val="00C27624"/>
    <w:rsid w:val="00C2769A"/>
    <w:rsid w:val="00C2783B"/>
    <w:rsid w:val="00C27B2F"/>
    <w:rsid w:val="00C27BCD"/>
    <w:rsid w:val="00C3059B"/>
    <w:rsid w:val="00C307DC"/>
    <w:rsid w:val="00C30841"/>
    <w:rsid w:val="00C30849"/>
    <w:rsid w:val="00C30C78"/>
    <w:rsid w:val="00C30EEC"/>
    <w:rsid w:val="00C30F4C"/>
    <w:rsid w:val="00C310D6"/>
    <w:rsid w:val="00C316C1"/>
    <w:rsid w:val="00C31DAE"/>
    <w:rsid w:val="00C31E87"/>
    <w:rsid w:val="00C3203A"/>
    <w:rsid w:val="00C3219F"/>
    <w:rsid w:val="00C321EA"/>
    <w:rsid w:val="00C32200"/>
    <w:rsid w:val="00C32312"/>
    <w:rsid w:val="00C32ECA"/>
    <w:rsid w:val="00C331C0"/>
    <w:rsid w:val="00C334FE"/>
    <w:rsid w:val="00C3350A"/>
    <w:rsid w:val="00C33815"/>
    <w:rsid w:val="00C3399E"/>
    <w:rsid w:val="00C33EE1"/>
    <w:rsid w:val="00C33F20"/>
    <w:rsid w:val="00C34057"/>
    <w:rsid w:val="00C34153"/>
    <w:rsid w:val="00C34426"/>
    <w:rsid w:val="00C348D6"/>
    <w:rsid w:val="00C34903"/>
    <w:rsid w:val="00C357F1"/>
    <w:rsid w:val="00C35948"/>
    <w:rsid w:val="00C359E8"/>
    <w:rsid w:val="00C35A10"/>
    <w:rsid w:val="00C35B0A"/>
    <w:rsid w:val="00C35CE3"/>
    <w:rsid w:val="00C3605C"/>
    <w:rsid w:val="00C36065"/>
    <w:rsid w:val="00C36415"/>
    <w:rsid w:val="00C3657E"/>
    <w:rsid w:val="00C36723"/>
    <w:rsid w:val="00C36928"/>
    <w:rsid w:val="00C3696D"/>
    <w:rsid w:val="00C36A26"/>
    <w:rsid w:val="00C36B87"/>
    <w:rsid w:val="00C371D6"/>
    <w:rsid w:val="00C371D7"/>
    <w:rsid w:val="00C37236"/>
    <w:rsid w:val="00C37B3A"/>
    <w:rsid w:val="00C37FB9"/>
    <w:rsid w:val="00C400B8"/>
    <w:rsid w:val="00C402E2"/>
    <w:rsid w:val="00C40332"/>
    <w:rsid w:val="00C4053E"/>
    <w:rsid w:val="00C405A8"/>
    <w:rsid w:val="00C40B7C"/>
    <w:rsid w:val="00C40D39"/>
    <w:rsid w:val="00C40D7F"/>
    <w:rsid w:val="00C40E44"/>
    <w:rsid w:val="00C40F67"/>
    <w:rsid w:val="00C40FC9"/>
    <w:rsid w:val="00C4107F"/>
    <w:rsid w:val="00C41145"/>
    <w:rsid w:val="00C4120A"/>
    <w:rsid w:val="00C412D4"/>
    <w:rsid w:val="00C413A3"/>
    <w:rsid w:val="00C41613"/>
    <w:rsid w:val="00C42007"/>
    <w:rsid w:val="00C420F3"/>
    <w:rsid w:val="00C42392"/>
    <w:rsid w:val="00C423C2"/>
    <w:rsid w:val="00C42413"/>
    <w:rsid w:val="00C429E4"/>
    <w:rsid w:val="00C42AE8"/>
    <w:rsid w:val="00C42C72"/>
    <w:rsid w:val="00C42D09"/>
    <w:rsid w:val="00C42F0E"/>
    <w:rsid w:val="00C42FE8"/>
    <w:rsid w:val="00C4309E"/>
    <w:rsid w:val="00C432AD"/>
    <w:rsid w:val="00C43373"/>
    <w:rsid w:val="00C436A5"/>
    <w:rsid w:val="00C437E8"/>
    <w:rsid w:val="00C43800"/>
    <w:rsid w:val="00C439B1"/>
    <w:rsid w:val="00C43AA9"/>
    <w:rsid w:val="00C43AB4"/>
    <w:rsid w:val="00C43BB4"/>
    <w:rsid w:val="00C442AE"/>
    <w:rsid w:val="00C442E4"/>
    <w:rsid w:val="00C445B4"/>
    <w:rsid w:val="00C447C8"/>
    <w:rsid w:val="00C447D0"/>
    <w:rsid w:val="00C4494C"/>
    <w:rsid w:val="00C44B0F"/>
    <w:rsid w:val="00C44B7C"/>
    <w:rsid w:val="00C44BC6"/>
    <w:rsid w:val="00C44C51"/>
    <w:rsid w:val="00C44C66"/>
    <w:rsid w:val="00C44E24"/>
    <w:rsid w:val="00C44ECC"/>
    <w:rsid w:val="00C44F13"/>
    <w:rsid w:val="00C4508B"/>
    <w:rsid w:val="00C45228"/>
    <w:rsid w:val="00C45253"/>
    <w:rsid w:val="00C45459"/>
    <w:rsid w:val="00C455F1"/>
    <w:rsid w:val="00C45C69"/>
    <w:rsid w:val="00C45F1B"/>
    <w:rsid w:val="00C45F2D"/>
    <w:rsid w:val="00C46020"/>
    <w:rsid w:val="00C460AE"/>
    <w:rsid w:val="00C460AF"/>
    <w:rsid w:val="00C46184"/>
    <w:rsid w:val="00C465F2"/>
    <w:rsid w:val="00C46BC3"/>
    <w:rsid w:val="00C46D72"/>
    <w:rsid w:val="00C46E74"/>
    <w:rsid w:val="00C46EA4"/>
    <w:rsid w:val="00C46F92"/>
    <w:rsid w:val="00C472B3"/>
    <w:rsid w:val="00C47481"/>
    <w:rsid w:val="00C47539"/>
    <w:rsid w:val="00C47685"/>
    <w:rsid w:val="00C47750"/>
    <w:rsid w:val="00C47755"/>
    <w:rsid w:val="00C477BB"/>
    <w:rsid w:val="00C4787B"/>
    <w:rsid w:val="00C4797B"/>
    <w:rsid w:val="00C4799E"/>
    <w:rsid w:val="00C47E7D"/>
    <w:rsid w:val="00C47F70"/>
    <w:rsid w:val="00C502BC"/>
    <w:rsid w:val="00C50467"/>
    <w:rsid w:val="00C50768"/>
    <w:rsid w:val="00C50896"/>
    <w:rsid w:val="00C50CDD"/>
    <w:rsid w:val="00C50E3B"/>
    <w:rsid w:val="00C51445"/>
    <w:rsid w:val="00C51551"/>
    <w:rsid w:val="00C5191E"/>
    <w:rsid w:val="00C51970"/>
    <w:rsid w:val="00C519CC"/>
    <w:rsid w:val="00C51B2E"/>
    <w:rsid w:val="00C51C42"/>
    <w:rsid w:val="00C51C88"/>
    <w:rsid w:val="00C51CED"/>
    <w:rsid w:val="00C51F57"/>
    <w:rsid w:val="00C52D4A"/>
    <w:rsid w:val="00C52D81"/>
    <w:rsid w:val="00C52D84"/>
    <w:rsid w:val="00C52DF5"/>
    <w:rsid w:val="00C52DF6"/>
    <w:rsid w:val="00C5354D"/>
    <w:rsid w:val="00C53CBD"/>
    <w:rsid w:val="00C53F6E"/>
    <w:rsid w:val="00C54234"/>
    <w:rsid w:val="00C542C5"/>
    <w:rsid w:val="00C5431B"/>
    <w:rsid w:val="00C54338"/>
    <w:rsid w:val="00C546BE"/>
    <w:rsid w:val="00C546EC"/>
    <w:rsid w:val="00C5484E"/>
    <w:rsid w:val="00C54A0D"/>
    <w:rsid w:val="00C54A3D"/>
    <w:rsid w:val="00C54B3C"/>
    <w:rsid w:val="00C54FE8"/>
    <w:rsid w:val="00C55449"/>
    <w:rsid w:val="00C556A8"/>
    <w:rsid w:val="00C559CC"/>
    <w:rsid w:val="00C55AA2"/>
    <w:rsid w:val="00C55DCB"/>
    <w:rsid w:val="00C55EFC"/>
    <w:rsid w:val="00C55FAA"/>
    <w:rsid w:val="00C56009"/>
    <w:rsid w:val="00C562C6"/>
    <w:rsid w:val="00C56478"/>
    <w:rsid w:val="00C5660F"/>
    <w:rsid w:val="00C566AB"/>
    <w:rsid w:val="00C56CEB"/>
    <w:rsid w:val="00C56EEB"/>
    <w:rsid w:val="00C56F03"/>
    <w:rsid w:val="00C57227"/>
    <w:rsid w:val="00C5787F"/>
    <w:rsid w:val="00C579B7"/>
    <w:rsid w:val="00C57A25"/>
    <w:rsid w:val="00C57DB5"/>
    <w:rsid w:val="00C57F5B"/>
    <w:rsid w:val="00C57F6C"/>
    <w:rsid w:val="00C60190"/>
    <w:rsid w:val="00C60246"/>
    <w:rsid w:val="00C602E6"/>
    <w:rsid w:val="00C603B6"/>
    <w:rsid w:val="00C60476"/>
    <w:rsid w:val="00C60735"/>
    <w:rsid w:val="00C60809"/>
    <w:rsid w:val="00C609CD"/>
    <w:rsid w:val="00C609CE"/>
    <w:rsid w:val="00C60B9C"/>
    <w:rsid w:val="00C610C6"/>
    <w:rsid w:val="00C610CF"/>
    <w:rsid w:val="00C6133E"/>
    <w:rsid w:val="00C61989"/>
    <w:rsid w:val="00C621B8"/>
    <w:rsid w:val="00C622EF"/>
    <w:rsid w:val="00C62BB3"/>
    <w:rsid w:val="00C62C84"/>
    <w:rsid w:val="00C62E74"/>
    <w:rsid w:val="00C648D4"/>
    <w:rsid w:val="00C64CE3"/>
    <w:rsid w:val="00C64F8B"/>
    <w:rsid w:val="00C651EA"/>
    <w:rsid w:val="00C652CD"/>
    <w:rsid w:val="00C652D4"/>
    <w:rsid w:val="00C654AB"/>
    <w:rsid w:val="00C65526"/>
    <w:rsid w:val="00C65800"/>
    <w:rsid w:val="00C65965"/>
    <w:rsid w:val="00C65B9C"/>
    <w:rsid w:val="00C65FE8"/>
    <w:rsid w:val="00C660C0"/>
    <w:rsid w:val="00C6644C"/>
    <w:rsid w:val="00C664A5"/>
    <w:rsid w:val="00C666D9"/>
    <w:rsid w:val="00C66A58"/>
    <w:rsid w:val="00C66A73"/>
    <w:rsid w:val="00C66D8E"/>
    <w:rsid w:val="00C671D3"/>
    <w:rsid w:val="00C67964"/>
    <w:rsid w:val="00C67A5E"/>
    <w:rsid w:val="00C67AA6"/>
    <w:rsid w:val="00C67ACA"/>
    <w:rsid w:val="00C67F9D"/>
    <w:rsid w:val="00C708E8"/>
    <w:rsid w:val="00C7098A"/>
    <w:rsid w:val="00C70CA3"/>
    <w:rsid w:val="00C70D8B"/>
    <w:rsid w:val="00C70EA9"/>
    <w:rsid w:val="00C7106F"/>
    <w:rsid w:val="00C71136"/>
    <w:rsid w:val="00C7114C"/>
    <w:rsid w:val="00C7142B"/>
    <w:rsid w:val="00C71481"/>
    <w:rsid w:val="00C71933"/>
    <w:rsid w:val="00C7197F"/>
    <w:rsid w:val="00C71D34"/>
    <w:rsid w:val="00C720D0"/>
    <w:rsid w:val="00C72C05"/>
    <w:rsid w:val="00C72F50"/>
    <w:rsid w:val="00C72F73"/>
    <w:rsid w:val="00C73746"/>
    <w:rsid w:val="00C7374E"/>
    <w:rsid w:val="00C73A98"/>
    <w:rsid w:val="00C73F34"/>
    <w:rsid w:val="00C741E7"/>
    <w:rsid w:val="00C74601"/>
    <w:rsid w:val="00C74708"/>
    <w:rsid w:val="00C74722"/>
    <w:rsid w:val="00C74E93"/>
    <w:rsid w:val="00C74F5E"/>
    <w:rsid w:val="00C75091"/>
    <w:rsid w:val="00C750D7"/>
    <w:rsid w:val="00C75269"/>
    <w:rsid w:val="00C754BF"/>
    <w:rsid w:val="00C755A5"/>
    <w:rsid w:val="00C75749"/>
    <w:rsid w:val="00C757F6"/>
    <w:rsid w:val="00C75B2F"/>
    <w:rsid w:val="00C75D50"/>
    <w:rsid w:val="00C75FC5"/>
    <w:rsid w:val="00C7616A"/>
    <w:rsid w:val="00C76654"/>
    <w:rsid w:val="00C7665E"/>
    <w:rsid w:val="00C768E6"/>
    <w:rsid w:val="00C76AE7"/>
    <w:rsid w:val="00C7721F"/>
    <w:rsid w:val="00C77259"/>
    <w:rsid w:val="00C773AA"/>
    <w:rsid w:val="00C77427"/>
    <w:rsid w:val="00C77848"/>
    <w:rsid w:val="00C77BEE"/>
    <w:rsid w:val="00C8000D"/>
    <w:rsid w:val="00C80716"/>
    <w:rsid w:val="00C8076C"/>
    <w:rsid w:val="00C808A5"/>
    <w:rsid w:val="00C808D0"/>
    <w:rsid w:val="00C80AB6"/>
    <w:rsid w:val="00C80ACC"/>
    <w:rsid w:val="00C80AD6"/>
    <w:rsid w:val="00C80CAE"/>
    <w:rsid w:val="00C80D13"/>
    <w:rsid w:val="00C80D96"/>
    <w:rsid w:val="00C80E0A"/>
    <w:rsid w:val="00C81081"/>
    <w:rsid w:val="00C81726"/>
    <w:rsid w:val="00C819DC"/>
    <w:rsid w:val="00C81C4F"/>
    <w:rsid w:val="00C81E1A"/>
    <w:rsid w:val="00C82218"/>
    <w:rsid w:val="00C8258B"/>
    <w:rsid w:val="00C8283F"/>
    <w:rsid w:val="00C828BB"/>
    <w:rsid w:val="00C82F04"/>
    <w:rsid w:val="00C83093"/>
    <w:rsid w:val="00C83166"/>
    <w:rsid w:val="00C8319C"/>
    <w:rsid w:val="00C831F5"/>
    <w:rsid w:val="00C83281"/>
    <w:rsid w:val="00C8342D"/>
    <w:rsid w:val="00C83514"/>
    <w:rsid w:val="00C839EE"/>
    <w:rsid w:val="00C83BF4"/>
    <w:rsid w:val="00C83D1E"/>
    <w:rsid w:val="00C842FF"/>
    <w:rsid w:val="00C845A8"/>
    <w:rsid w:val="00C845BB"/>
    <w:rsid w:val="00C84853"/>
    <w:rsid w:val="00C84A7E"/>
    <w:rsid w:val="00C84C2E"/>
    <w:rsid w:val="00C84D2B"/>
    <w:rsid w:val="00C8524E"/>
    <w:rsid w:val="00C85AF5"/>
    <w:rsid w:val="00C85E09"/>
    <w:rsid w:val="00C860F9"/>
    <w:rsid w:val="00C864B8"/>
    <w:rsid w:val="00C868B1"/>
    <w:rsid w:val="00C868F5"/>
    <w:rsid w:val="00C8695F"/>
    <w:rsid w:val="00C86C9C"/>
    <w:rsid w:val="00C86F22"/>
    <w:rsid w:val="00C8708D"/>
    <w:rsid w:val="00C87146"/>
    <w:rsid w:val="00C8738F"/>
    <w:rsid w:val="00C87489"/>
    <w:rsid w:val="00C876F4"/>
    <w:rsid w:val="00C87936"/>
    <w:rsid w:val="00C87995"/>
    <w:rsid w:val="00C87AB5"/>
    <w:rsid w:val="00C87C58"/>
    <w:rsid w:val="00C87D87"/>
    <w:rsid w:val="00C87EE6"/>
    <w:rsid w:val="00C90018"/>
    <w:rsid w:val="00C902BF"/>
    <w:rsid w:val="00C903D5"/>
    <w:rsid w:val="00C907E5"/>
    <w:rsid w:val="00C90AD5"/>
    <w:rsid w:val="00C90E8C"/>
    <w:rsid w:val="00C90F92"/>
    <w:rsid w:val="00C91213"/>
    <w:rsid w:val="00C91A20"/>
    <w:rsid w:val="00C91A44"/>
    <w:rsid w:val="00C91AF0"/>
    <w:rsid w:val="00C91CC0"/>
    <w:rsid w:val="00C91E1A"/>
    <w:rsid w:val="00C92498"/>
    <w:rsid w:val="00C924BE"/>
    <w:rsid w:val="00C927AD"/>
    <w:rsid w:val="00C928E7"/>
    <w:rsid w:val="00C92AC4"/>
    <w:rsid w:val="00C92B2C"/>
    <w:rsid w:val="00C92E8D"/>
    <w:rsid w:val="00C930EB"/>
    <w:rsid w:val="00C933C9"/>
    <w:rsid w:val="00C93676"/>
    <w:rsid w:val="00C93749"/>
    <w:rsid w:val="00C938AC"/>
    <w:rsid w:val="00C938D7"/>
    <w:rsid w:val="00C938E6"/>
    <w:rsid w:val="00C93DCF"/>
    <w:rsid w:val="00C94202"/>
    <w:rsid w:val="00C94298"/>
    <w:rsid w:val="00C944B8"/>
    <w:rsid w:val="00C94A37"/>
    <w:rsid w:val="00C94CFA"/>
    <w:rsid w:val="00C94DCA"/>
    <w:rsid w:val="00C952D9"/>
    <w:rsid w:val="00C95474"/>
    <w:rsid w:val="00C954E1"/>
    <w:rsid w:val="00C95574"/>
    <w:rsid w:val="00C95BF9"/>
    <w:rsid w:val="00C9650F"/>
    <w:rsid w:val="00C96599"/>
    <w:rsid w:val="00C967AE"/>
    <w:rsid w:val="00C96AB1"/>
    <w:rsid w:val="00C96B79"/>
    <w:rsid w:val="00C96F89"/>
    <w:rsid w:val="00C97224"/>
    <w:rsid w:val="00C9741E"/>
    <w:rsid w:val="00C9743D"/>
    <w:rsid w:val="00C97442"/>
    <w:rsid w:val="00C9744B"/>
    <w:rsid w:val="00C9760A"/>
    <w:rsid w:val="00C97740"/>
    <w:rsid w:val="00C97838"/>
    <w:rsid w:val="00C97A3C"/>
    <w:rsid w:val="00C97D4D"/>
    <w:rsid w:val="00C97DB7"/>
    <w:rsid w:val="00C97EA4"/>
    <w:rsid w:val="00CA0243"/>
    <w:rsid w:val="00CA04CC"/>
    <w:rsid w:val="00CA0BE7"/>
    <w:rsid w:val="00CA0D7F"/>
    <w:rsid w:val="00CA0F5D"/>
    <w:rsid w:val="00CA0FD8"/>
    <w:rsid w:val="00CA1C8A"/>
    <w:rsid w:val="00CA2008"/>
    <w:rsid w:val="00CA20D5"/>
    <w:rsid w:val="00CA21CA"/>
    <w:rsid w:val="00CA23C6"/>
    <w:rsid w:val="00CA252E"/>
    <w:rsid w:val="00CA2C41"/>
    <w:rsid w:val="00CA2D36"/>
    <w:rsid w:val="00CA33C7"/>
    <w:rsid w:val="00CA3606"/>
    <w:rsid w:val="00CA38EE"/>
    <w:rsid w:val="00CA39CC"/>
    <w:rsid w:val="00CA3E65"/>
    <w:rsid w:val="00CA433F"/>
    <w:rsid w:val="00CA4D55"/>
    <w:rsid w:val="00CA4FA4"/>
    <w:rsid w:val="00CA55D5"/>
    <w:rsid w:val="00CA576E"/>
    <w:rsid w:val="00CA591D"/>
    <w:rsid w:val="00CA5A1B"/>
    <w:rsid w:val="00CA5A5D"/>
    <w:rsid w:val="00CA5B89"/>
    <w:rsid w:val="00CA6934"/>
    <w:rsid w:val="00CA6952"/>
    <w:rsid w:val="00CA7453"/>
    <w:rsid w:val="00CA76D4"/>
    <w:rsid w:val="00CA7998"/>
    <w:rsid w:val="00CA7B6A"/>
    <w:rsid w:val="00CA7C98"/>
    <w:rsid w:val="00CA7F9E"/>
    <w:rsid w:val="00CB0107"/>
    <w:rsid w:val="00CB02A9"/>
    <w:rsid w:val="00CB0806"/>
    <w:rsid w:val="00CB0C62"/>
    <w:rsid w:val="00CB0DCE"/>
    <w:rsid w:val="00CB0ECC"/>
    <w:rsid w:val="00CB1399"/>
    <w:rsid w:val="00CB1492"/>
    <w:rsid w:val="00CB154A"/>
    <w:rsid w:val="00CB167B"/>
    <w:rsid w:val="00CB19E3"/>
    <w:rsid w:val="00CB1B85"/>
    <w:rsid w:val="00CB1D13"/>
    <w:rsid w:val="00CB1FF6"/>
    <w:rsid w:val="00CB20F9"/>
    <w:rsid w:val="00CB2529"/>
    <w:rsid w:val="00CB2781"/>
    <w:rsid w:val="00CB2B82"/>
    <w:rsid w:val="00CB2C58"/>
    <w:rsid w:val="00CB2F8F"/>
    <w:rsid w:val="00CB31B7"/>
    <w:rsid w:val="00CB38A3"/>
    <w:rsid w:val="00CB3CE2"/>
    <w:rsid w:val="00CB41C5"/>
    <w:rsid w:val="00CB41F5"/>
    <w:rsid w:val="00CB4355"/>
    <w:rsid w:val="00CB44ED"/>
    <w:rsid w:val="00CB4671"/>
    <w:rsid w:val="00CB476A"/>
    <w:rsid w:val="00CB485F"/>
    <w:rsid w:val="00CB48B6"/>
    <w:rsid w:val="00CB49A2"/>
    <w:rsid w:val="00CB4DCB"/>
    <w:rsid w:val="00CB4FAC"/>
    <w:rsid w:val="00CB513F"/>
    <w:rsid w:val="00CB5262"/>
    <w:rsid w:val="00CB52B2"/>
    <w:rsid w:val="00CB52CF"/>
    <w:rsid w:val="00CB5444"/>
    <w:rsid w:val="00CB578F"/>
    <w:rsid w:val="00CB6105"/>
    <w:rsid w:val="00CB61F0"/>
    <w:rsid w:val="00CB6334"/>
    <w:rsid w:val="00CB6783"/>
    <w:rsid w:val="00CB6BE9"/>
    <w:rsid w:val="00CB6C3D"/>
    <w:rsid w:val="00CB6C67"/>
    <w:rsid w:val="00CB6EA0"/>
    <w:rsid w:val="00CB6ECA"/>
    <w:rsid w:val="00CB6F4F"/>
    <w:rsid w:val="00CB74E1"/>
    <w:rsid w:val="00CB789E"/>
    <w:rsid w:val="00CB7B36"/>
    <w:rsid w:val="00CB7F08"/>
    <w:rsid w:val="00CC006C"/>
    <w:rsid w:val="00CC0134"/>
    <w:rsid w:val="00CC031C"/>
    <w:rsid w:val="00CC043B"/>
    <w:rsid w:val="00CC0618"/>
    <w:rsid w:val="00CC0B6F"/>
    <w:rsid w:val="00CC0D5E"/>
    <w:rsid w:val="00CC1946"/>
    <w:rsid w:val="00CC1B1F"/>
    <w:rsid w:val="00CC1B6C"/>
    <w:rsid w:val="00CC1E25"/>
    <w:rsid w:val="00CC2465"/>
    <w:rsid w:val="00CC2A0A"/>
    <w:rsid w:val="00CC2EAB"/>
    <w:rsid w:val="00CC311E"/>
    <w:rsid w:val="00CC31D0"/>
    <w:rsid w:val="00CC3AF9"/>
    <w:rsid w:val="00CC3F07"/>
    <w:rsid w:val="00CC413C"/>
    <w:rsid w:val="00CC41E8"/>
    <w:rsid w:val="00CC4256"/>
    <w:rsid w:val="00CC4394"/>
    <w:rsid w:val="00CC4622"/>
    <w:rsid w:val="00CC4661"/>
    <w:rsid w:val="00CC4993"/>
    <w:rsid w:val="00CC4B94"/>
    <w:rsid w:val="00CC4BC4"/>
    <w:rsid w:val="00CC4D41"/>
    <w:rsid w:val="00CC4EA4"/>
    <w:rsid w:val="00CC5044"/>
    <w:rsid w:val="00CC524F"/>
    <w:rsid w:val="00CC5289"/>
    <w:rsid w:val="00CC57BE"/>
    <w:rsid w:val="00CC5A07"/>
    <w:rsid w:val="00CC5A61"/>
    <w:rsid w:val="00CC5DF3"/>
    <w:rsid w:val="00CC603A"/>
    <w:rsid w:val="00CC630F"/>
    <w:rsid w:val="00CC704A"/>
    <w:rsid w:val="00CC7368"/>
    <w:rsid w:val="00CC73D7"/>
    <w:rsid w:val="00CC7E98"/>
    <w:rsid w:val="00CD020A"/>
    <w:rsid w:val="00CD057D"/>
    <w:rsid w:val="00CD0842"/>
    <w:rsid w:val="00CD0860"/>
    <w:rsid w:val="00CD0926"/>
    <w:rsid w:val="00CD0B1D"/>
    <w:rsid w:val="00CD0C8E"/>
    <w:rsid w:val="00CD0CA1"/>
    <w:rsid w:val="00CD0DD1"/>
    <w:rsid w:val="00CD1044"/>
    <w:rsid w:val="00CD1095"/>
    <w:rsid w:val="00CD14FE"/>
    <w:rsid w:val="00CD1C6B"/>
    <w:rsid w:val="00CD2242"/>
    <w:rsid w:val="00CD2466"/>
    <w:rsid w:val="00CD27FE"/>
    <w:rsid w:val="00CD2B0A"/>
    <w:rsid w:val="00CD2D1C"/>
    <w:rsid w:val="00CD305F"/>
    <w:rsid w:val="00CD30A9"/>
    <w:rsid w:val="00CD310F"/>
    <w:rsid w:val="00CD32CE"/>
    <w:rsid w:val="00CD3506"/>
    <w:rsid w:val="00CD3567"/>
    <w:rsid w:val="00CD3739"/>
    <w:rsid w:val="00CD395A"/>
    <w:rsid w:val="00CD3B3C"/>
    <w:rsid w:val="00CD3BD8"/>
    <w:rsid w:val="00CD3D0E"/>
    <w:rsid w:val="00CD3DB2"/>
    <w:rsid w:val="00CD3E16"/>
    <w:rsid w:val="00CD3F5A"/>
    <w:rsid w:val="00CD4011"/>
    <w:rsid w:val="00CD421E"/>
    <w:rsid w:val="00CD424D"/>
    <w:rsid w:val="00CD431A"/>
    <w:rsid w:val="00CD43A7"/>
    <w:rsid w:val="00CD45CA"/>
    <w:rsid w:val="00CD46E6"/>
    <w:rsid w:val="00CD4A21"/>
    <w:rsid w:val="00CD4FE4"/>
    <w:rsid w:val="00CD52F4"/>
    <w:rsid w:val="00CD5446"/>
    <w:rsid w:val="00CD5554"/>
    <w:rsid w:val="00CD55E8"/>
    <w:rsid w:val="00CD577E"/>
    <w:rsid w:val="00CD5876"/>
    <w:rsid w:val="00CD59B4"/>
    <w:rsid w:val="00CD5A2A"/>
    <w:rsid w:val="00CD5FA3"/>
    <w:rsid w:val="00CD60F5"/>
    <w:rsid w:val="00CD6357"/>
    <w:rsid w:val="00CD6974"/>
    <w:rsid w:val="00CD730D"/>
    <w:rsid w:val="00CD7375"/>
    <w:rsid w:val="00CD73F3"/>
    <w:rsid w:val="00CD76E8"/>
    <w:rsid w:val="00CD7EEB"/>
    <w:rsid w:val="00CD7FE5"/>
    <w:rsid w:val="00CE00BD"/>
    <w:rsid w:val="00CE029D"/>
    <w:rsid w:val="00CE02AB"/>
    <w:rsid w:val="00CE02C6"/>
    <w:rsid w:val="00CE07FB"/>
    <w:rsid w:val="00CE098F"/>
    <w:rsid w:val="00CE09DB"/>
    <w:rsid w:val="00CE0D80"/>
    <w:rsid w:val="00CE0E83"/>
    <w:rsid w:val="00CE1635"/>
    <w:rsid w:val="00CE16D7"/>
    <w:rsid w:val="00CE170C"/>
    <w:rsid w:val="00CE1F1F"/>
    <w:rsid w:val="00CE1F25"/>
    <w:rsid w:val="00CE259C"/>
    <w:rsid w:val="00CE2A2A"/>
    <w:rsid w:val="00CE2D60"/>
    <w:rsid w:val="00CE3062"/>
    <w:rsid w:val="00CE30CC"/>
    <w:rsid w:val="00CE3398"/>
    <w:rsid w:val="00CE3D26"/>
    <w:rsid w:val="00CE434D"/>
    <w:rsid w:val="00CE4D30"/>
    <w:rsid w:val="00CE4F01"/>
    <w:rsid w:val="00CE5393"/>
    <w:rsid w:val="00CE554F"/>
    <w:rsid w:val="00CE5892"/>
    <w:rsid w:val="00CE5D2E"/>
    <w:rsid w:val="00CE630E"/>
    <w:rsid w:val="00CE6628"/>
    <w:rsid w:val="00CE6A30"/>
    <w:rsid w:val="00CE6ED7"/>
    <w:rsid w:val="00CE76BD"/>
    <w:rsid w:val="00CE77E1"/>
    <w:rsid w:val="00CE77F9"/>
    <w:rsid w:val="00CE7949"/>
    <w:rsid w:val="00CE7D7C"/>
    <w:rsid w:val="00CE7ECC"/>
    <w:rsid w:val="00CE7F5E"/>
    <w:rsid w:val="00CF00B6"/>
    <w:rsid w:val="00CF00D4"/>
    <w:rsid w:val="00CF0745"/>
    <w:rsid w:val="00CF095B"/>
    <w:rsid w:val="00CF0D33"/>
    <w:rsid w:val="00CF13FA"/>
    <w:rsid w:val="00CF14EE"/>
    <w:rsid w:val="00CF1764"/>
    <w:rsid w:val="00CF1771"/>
    <w:rsid w:val="00CF1DC9"/>
    <w:rsid w:val="00CF215A"/>
    <w:rsid w:val="00CF3129"/>
    <w:rsid w:val="00CF3508"/>
    <w:rsid w:val="00CF36B1"/>
    <w:rsid w:val="00CF3BA1"/>
    <w:rsid w:val="00CF3C2F"/>
    <w:rsid w:val="00CF40A4"/>
    <w:rsid w:val="00CF4179"/>
    <w:rsid w:val="00CF45DC"/>
    <w:rsid w:val="00CF4604"/>
    <w:rsid w:val="00CF48E2"/>
    <w:rsid w:val="00CF4CCB"/>
    <w:rsid w:val="00CF4D9F"/>
    <w:rsid w:val="00CF4EBE"/>
    <w:rsid w:val="00CF537D"/>
    <w:rsid w:val="00CF5AAD"/>
    <w:rsid w:val="00CF6607"/>
    <w:rsid w:val="00CF66F2"/>
    <w:rsid w:val="00CF6CE7"/>
    <w:rsid w:val="00CF6CFF"/>
    <w:rsid w:val="00CF7400"/>
    <w:rsid w:val="00CF7819"/>
    <w:rsid w:val="00CF78E6"/>
    <w:rsid w:val="00CF7F63"/>
    <w:rsid w:val="00CF7F6D"/>
    <w:rsid w:val="00CF7FE3"/>
    <w:rsid w:val="00D00301"/>
    <w:rsid w:val="00D007BF"/>
    <w:rsid w:val="00D0096A"/>
    <w:rsid w:val="00D00C5E"/>
    <w:rsid w:val="00D00DDE"/>
    <w:rsid w:val="00D00E22"/>
    <w:rsid w:val="00D01056"/>
    <w:rsid w:val="00D0143E"/>
    <w:rsid w:val="00D01C18"/>
    <w:rsid w:val="00D01CD6"/>
    <w:rsid w:val="00D01CFA"/>
    <w:rsid w:val="00D01ECF"/>
    <w:rsid w:val="00D021A0"/>
    <w:rsid w:val="00D024DD"/>
    <w:rsid w:val="00D02E7B"/>
    <w:rsid w:val="00D032B6"/>
    <w:rsid w:val="00D03461"/>
    <w:rsid w:val="00D05549"/>
    <w:rsid w:val="00D059C4"/>
    <w:rsid w:val="00D05B04"/>
    <w:rsid w:val="00D05D4C"/>
    <w:rsid w:val="00D062A2"/>
    <w:rsid w:val="00D06355"/>
    <w:rsid w:val="00D06C61"/>
    <w:rsid w:val="00D06E3E"/>
    <w:rsid w:val="00D07805"/>
    <w:rsid w:val="00D078C4"/>
    <w:rsid w:val="00D078E7"/>
    <w:rsid w:val="00D07990"/>
    <w:rsid w:val="00D07AD4"/>
    <w:rsid w:val="00D103C3"/>
    <w:rsid w:val="00D106BB"/>
    <w:rsid w:val="00D106CC"/>
    <w:rsid w:val="00D10AEE"/>
    <w:rsid w:val="00D10DA0"/>
    <w:rsid w:val="00D10F44"/>
    <w:rsid w:val="00D111E5"/>
    <w:rsid w:val="00D1125B"/>
    <w:rsid w:val="00D113E5"/>
    <w:rsid w:val="00D114BD"/>
    <w:rsid w:val="00D11629"/>
    <w:rsid w:val="00D1195D"/>
    <w:rsid w:val="00D119D1"/>
    <w:rsid w:val="00D11BEC"/>
    <w:rsid w:val="00D11E79"/>
    <w:rsid w:val="00D11E7D"/>
    <w:rsid w:val="00D12054"/>
    <w:rsid w:val="00D12435"/>
    <w:rsid w:val="00D12720"/>
    <w:rsid w:val="00D12750"/>
    <w:rsid w:val="00D12EFD"/>
    <w:rsid w:val="00D131E1"/>
    <w:rsid w:val="00D13265"/>
    <w:rsid w:val="00D134D1"/>
    <w:rsid w:val="00D1378F"/>
    <w:rsid w:val="00D13A96"/>
    <w:rsid w:val="00D13FA5"/>
    <w:rsid w:val="00D1461C"/>
    <w:rsid w:val="00D1487B"/>
    <w:rsid w:val="00D14A60"/>
    <w:rsid w:val="00D14AA4"/>
    <w:rsid w:val="00D14B44"/>
    <w:rsid w:val="00D15306"/>
    <w:rsid w:val="00D15459"/>
    <w:rsid w:val="00D15649"/>
    <w:rsid w:val="00D157B3"/>
    <w:rsid w:val="00D157B7"/>
    <w:rsid w:val="00D15D12"/>
    <w:rsid w:val="00D15FA5"/>
    <w:rsid w:val="00D15FBD"/>
    <w:rsid w:val="00D162D9"/>
    <w:rsid w:val="00D1637E"/>
    <w:rsid w:val="00D16A33"/>
    <w:rsid w:val="00D16CD5"/>
    <w:rsid w:val="00D16E24"/>
    <w:rsid w:val="00D16F3A"/>
    <w:rsid w:val="00D1701D"/>
    <w:rsid w:val="00D170F5"/>
    <w:rsid w:val="00D171A4"/>
    <w:rsid w:val="00D17291"/>
    <w:rsid w:val="00D173CE"/>
    <w:rsid w:val="00D173D0"/>
    <w:rsid w:val="00D17636"/>
    <w:rsid w:val="00D177D6"/>
    <w:rsid w:val="00D17F9D"/>
    <w:rsid w:val="00D201D0"/>
    <w:rsid w:val="00D202CE"/>
    <w:rsid w:val="00D20633"/>
    <w:rsid w:val="00D20BFA"/>
    <w:rsid w:val="00D21232"/>
    <w:rsid w:val="00D212D1"/>
    <w:rsid w:val="00D21533"/>
    <w:rsid w:val="00D2153A"/>
    <w:rsid w:val="00D21AAE"/>
    <w:rsid w:val="00D21B8C"/>
    <w:rsid w:val="00D21C14"/>
    <w:rsid w:val="00D21C51"/>
    <w:rsid w:val="00D21FA2"/>
    <w:rsid w:val="00D223A4"/>
    <w:rsid w:val="00D227AE"/>
    <w:rsid w:val="00D227F4"/>
    <w:rsid w:val="00D22ADD"/>
    <w:rsid w:val="00D22AE6"/>
    <w:rsid w:val="00D2334B"/>
    <w:rsid w:val="00D233E6"/>
    <w:rsid w:val="00D23717"/>
    <w:rsid w:val="00D238FF"/>
    <w:rsid w:val="00D23A73"/>
    <w:rsid w:val="00D23D60"/>
    <w:rsid w:val="00D23E0C"/>
    <w:rsid w:val="00D23F32"/>
    <w:rsid w:val="00D23F54"/>
    <w:rsid w:val="00D240F3"/>
    <w:rsid w:val="00D24106"/>
    <w:rsid w:val="00D244D3"/>
    <w:rsid w:val="00D2492F"/>
    <w:rsid w:val="00D24A34"/>
    <w:rsid w:val="00D24DF9"/>
    <w:rsid w:val="00D24E2B"/>
    <w:rsid w:val="00D24F94"/>
    <w:rsid w:val="00D25105"/>
    <w:rsid w:val="00D2518C"/>
    <w:rsid w:val="00D25AD5"/>
    <w:rsid w:val="00D25DAF"/>
    <w:rsid w:val="00D262B4"/>
    <w:rsid w:val="00D2685E"/>
    <w:rsid w:val="00D2693D"/>
    <w:rsid w:val="00D26A45"/>
    <w:rsid w:val="00D27281"/>
    <w:rsid w:val="00D27449"/>
    <w:rsid w:val="00D27B7D"/>
    <w:rsid w:val="00D27CF7"/>
    <w:rsid w:val="00D27D74"/>
    <w:rsid w:val="00D27EF9"/>
    <w:rsid w:val="00D3027C"/>
    <w:rsid w:val="00D3049A"/>
    <w:rsid w:val="00D308BD"/>
    <w:rsid w:val="00D30A8C"/>
    <w:rsid w:val="00D30D2D"/>
    <w:rsid w:val="00D31959"/>
    <w:rsid w:val="00D31A45"/>
    <w:rsid w:val="00D31AE3"/>
    <w:rsid w:val="00D31BBB"/>
    <w:rsid w:val="00D31C41"/>
    <w:rsid w:val="00D31CCE"/>
    <w:rsid w:val="00D31EFA"/>
    <w:rsid w:val="00D3203C"/>
    <w:rsid w:val="00D325DE"/>
    <w:rsid w:val="00D326EF"/>
    <w:rsid w:val="00D32762"/>
    <w:rsid w:val="00D329C9"/>
    <w:rsid w:val="00D32D66"/>
    <w:rsid w:val="00D32FC5"/>
    <w:rsid w:val="00D330E7"/>
    <w:rsid w:val="00D3335B"/>
    <w:rsid w:val="00D33795"/>
    <w:rsid w:val="00D33A78"/>
    <w:rsid w:val="00D34601"/>
    <w:rsid w:val="00D34845"/>
    <w:rsid w:val="00D34880"/>
    <w:rsid w:val="00D3497D"/>
    <w:rsid w:val="00D34B57"/>
    <w:rsid w:val="00D34B98"/>
    <w:rsid w:val="00D34D46"/>
    <w:rsid w:val="00D351A1"/>
    <w:rsid w:val="00D3523E"/>
    <w:rsid w:val="00D3540C"/>
    <w:rsid w:val="00D358B2"/>
    <w:rsid w:val="00D358E2"/>
    <w:rsid w:val="00D36087"/>
    <w:rsid w:val="00D3616A"/>
    <w:rsid w:val="00D361BC"/>
    <w:rsid w:val="00D36762"/>
    <w:rsid w:val="00D36CD1"/>
    <w:rsid w:val="00D36D36"/>
    <w:rsid w:val="00D373F4"/>
    <w:rsid w:val="00D37400"/>
    <w:rsid w:val="00D37D5C"/>
    <w:rsid w:val="00D4027E"/>
    <w:rsid w:val="00D402DB"/>
    <w:rsid w:val="00D4033F"/>
    <w:rsid w:val="00D4065C"/>
    <w:rsid w:val="00D408F5"/>
    <w:rsid w:val="00D40D3A"/>
    <w:rsid w:val="00D41A5D"/>
    <w:rsid w:val="00D41B91"/>
    <w:rsid w:val="00D41D3B"/>
    <w:rsid w:val="00D42019"/>
    <w:rsid w:val="00D42133"/>
    <w:rsid w:val="00D42650"/>
    <w:rsid w:val="00D429AC"/>
    <w:rsid w:val="00D42A78"/>
    <w:rsid w:val="00D42DD5"/>
    <w:rsid w:val="00D43120"/>
    <w:rsid w:val="00D4315B"/>
    <w:rsid w:val="00D435CA"/>
    <w:rsid w:val="00D43724"/>
    <w:rsid w:val="00D43E50"/>
    <w:rsid w:val="00D4404B"/>
    <w:rsid w:val="00D440A9"/>
    <w:rsid w:val="00D442CA"/>
    <w:rsid w:val="00D443DF"/>
    <w:rsid w:val="00D444C0"/>
    <w:rsid w:val="00D446B6"/>
    <w:rsid w:val="00D4494D"/>
    <w:rsid w:val="00D449E8"/>
    <w:rsid w:val="00D44DF8"/>
    <w:rsid w:val="00D44F80"/>
    <w:rsid w:val="00D45162"/>
    <w:rsid w:val="00D452BC"/>
    <w:rsid w:val="00D4566D"/>
    <w:rsid w:val="00D45683"/>
    <w:rsid w:val="00D45E01"/>
    <w:rsid w:val="00D45EDD"/>
    <w:rsid w:val="00D45F38"/>
    <w:rsid w:val="00D4602A"/>
    <w:rsid w:val="00D4632A"/>
    <w:rsid w:val="00D4643A"/>
    <w:rsid w:val="00D4652B"/>
    <w:rsid w:val="00D4652D"/>
    <w:rsid w:val="00D46A52"/>
    <w:rsid w:val="00D46BAA"/>
    <w:rsid w:val="00D46C04"/>
    <w:rsid w:val="00D46CD6"/>
    <w:rsid w:val="00D46D99"/>
    <w:rsid w:val="00D46DE1"/>
    <w:rsid w:val="00D473BF"/>
    <w:rsid w:val="00D474AA"/>
    <w:rsid w:val="00D477FA"/>
    <w:rsid w:val="00D478F1"/>
    <w:rsid w:val="00D47D79"/>
    <w:rsid w:val="00D47F09"/>
    <w:rsid w:val="00D5029C"/>
    <w:rsid w:val="00D508E7"/>
    <w:rsid w:val="00D50E9A"/>
    <w:rsid w:val="00D50F46"/>
    <w:rsid w:val="00D512C6"/>
    <w:rsid w:val="00D5142E"/>
    <w:rsid w:val="00D51684"/>
    <w:rsid w:val="00D5187D"/>
    <w:rsid w:val="00D518E9"/>
    <w:rsid w:val="00D51BD6"/>
    <w:rsid w:val="00D51BEA"/>
    <w:rsid w:val="00D51D92"/>
    <w:rsid w:val="00D52159"/>
    <w:rsid w:val="00D52252"/>
    <w:rsid w:val="00D52276"/>
    <w:rsid w:val="00D523E9"/>
    <w:rsid w:val="00D52555"/>
    <w:rsid w:val="00D52A29"/>
    <w:rsid w:val="00D52E8A"/>
    <w:rsid w:val="00D530CD"/>
    <w:rsid w:val="00D530DD"/>
    <w:rsid w:val="00D53429"/>
    <w:rsid w:val="00D53459"/>
    <w:rsid w:val="00D535E5"/>
    <w:rsid w:val="00D53653"/>
    <w:rsid w:val="00D5381A"/>
    <w:rsid w:val="00D53BE8"/>
    <w:rsid w:val="00D53C9D"/>
    <w:rsid w:val="00D53D56"/>
    <w:rsid w:val="00D53DB7"/>
    <w:rsid w:val="00D53F75"/>
    <w:rsid w:val="00D543E4"/>
    <w:rsid w:val="00D54CE5"/>
    <w:rsid w:val="00D54D50"/>
    <w:rsid w:val="00D553B3"/>
    <w:rsid w:val="00D5581F"/>
    <w:rsid w:val="00D55BE2"/>
    <w:rsid w:val="00D55FD3"/>
    <w:rsid w:val="00D5627F"/>
    <w:rsid w:val="00D562BF"/>
    <w:rsid w:val="00D5660A"/>
    <w:rsid w:val="00D568AF"/>
    <w:rsid w:val="00D56D2E"/>
    <w:rsid w:val="00D570A8"/>
    <w:rsid w:val="00D570DB"/>
    <w:rsid w:val="00D57347"/>
    <w:rsid w:val="00D5736F"/>
    <w:rsid w:val="00D574F8"/>
    <w:rsid w:val="00D57792"/>
    <w:rsid w:val="00D57CF7"/>
    <w:rsid w:val="00D57F1D"/>
    <w:rsid w:val="00D57F4A"/>
    <w:rsid w:val="00D57FEE"/>
    <w:rsid w:val="00D6032C"/>
    <w:rsid w:val="00D607A2"/>
    <w:rsid w:val="00D60823"/>
    <w:rsid w:val="00D60B2A"/>
    <w:rsid w:val="00D60E24"/>
    <w:rsid w:val="00D60E75"/>
    <w:rsid w:val="00D60F22"/>
    <w:rsid w:val="00D60F8D"/>
    <w:rsid w:val="00D611A9"/>
    <w:rsid w:val="00D611D5"/>
    <w:rsid w:val="00D617C9"/>
    <w:rsid w:val="00D61952"/>
    <w:rsid w:val="00D61980"/>
    <w:rsid w:val="00D61996"/>
    <w:rsid w:val="00D61A16"/>
    <w:rsid w:val="00D61A57"/>
    <w:rsid w:val="00D61B70"/>
    <w:rsid w:val="00D61BB1"/>
    <w:rsid w:val="00D61C01"/>
    <w:rsid w:val="00D61D88"/>
    <w:rsid w:val="00D61FFC"/>
    <w:rsid w:val="00D621F3"/>
    <w:rsid w:val="00D62268"/>
    <w:rsid w:val="00D622C3"/>
    <w:rsid w:val="00D624B5"/>
    <w:rsid w:val="00D624DF"/>
    <w:rsid w:val="00D625DD"/>
    <w:rsid w:val="00D62A73"/>
    <w:rsid w:val="00D62A98"/>
    <w:rsid w:val="00D63161"/>
    <w:rsid w:val="00D63185"/>
    <w:rsid w:val="00D633DD"/>
    <w:rsid w:val="00D63421"/>
    <w:rsid w:val="00D6360A"/>
    <w:rsid w:val="00D6392F"/>
    <w:rsid w:val="00D63C41"/>
    <w:rsid w:val="00D640F8"/>
    <w:rsid w:val="00D64103"/>
    <w:rsid w:val="00D643BB"/>
    <w:rsid w:val="00D646FE"/>
    <w:rsid w:val="00D64DA7"/>
    <w:rsid w:val="00D64DE4"/>
    <w:rsid w:val="00D64F84"/>
    <w:rsid w:val="00D651C5"/>
    <w:rsid w:val="00D652EF"/>
    <w:rsid w:val="00D6556A"/>
    <w:rsid w:val="00D6598D"/>
    <w:rsid w:val="00D65EC5"/>
    <w:rsid w:val="00D65FCB"/>
    <w:rsid w:val="00D660FD"/>
    <w:rsid w:val="00D66120"/>
    <w:rsid w:val="00D6659B"/>
    <w:rsid w:val="00D665D9"/>
    <w:rsid w:val="00D665EA"/>
    <w:rsid w:val="00D66686"/>
    <w:rsid w:val="00D66B4E"/>
    <w:rsid w:val="00D66ED8"/>
    <w:rsid w:val="00D67250"/>
    <w:rsid w:val="00D6730A"/>
    <w:rsid w:val="00D677E3"/>
    <w:rsid w:val="00D703B9"/>
    <w:rsid w:val="00D705ED"/>
    <w:rsid w:val="00D70645"/>
    <w:rsid w:val="00D70672"/>
    <w:rsid w:val="00D70741"/>
    <w:rsid w:val="00D70885"/>
    <w:rsid w:val="00D70B89"/>
    <w:rsid w:val="00D70ED0"/>
    <w:rsid w:val="00D70F05"/>
    <w:rsid w:val="00D71344"/>
    <w:rsid w:val="00D713AA"/>
    <w:rsid w:val="00D71464"/>
    <w:rsid w:val="00D71477"/>
    <w:rsid w:val="00D7149E"/>
    <w:rsid w:val="00D71C75"/>
    <w:rsid w:val="00D71DEA"/>
    <w:rsid w:val="00D71FBC"/>
    <w:rsid w:val="00D72332"/>
    <w:rsid w:val="00D723DF"/>
    <w:rsid w:val="00D728F9"/>
    <w:rsid w:val="00D72A59"/>
    <w:rsid w:val="00D72B61"/>
    <w:rsid w:val="00D72EDF"/>
    <w:rsid w:val="00D733A8"/>
    <w:rsid w:val="00D73B07"/>
    <w:rsid w:val="00D73BB0"/>
    <w:rsid w:val="00D73C26"/>
    <w:rsid w:val="00D7402C"/>
    <w:rsid w:val="00D74065"/>
    <w:rsid w:val="00D74B52"/>
    <w:rsid w:val="00D74B5F"/>
    <w:rsid w:val="00D74BA5"/>
    <w:rsid w:val="00D74F59"/>
    <w:rsid w:val="00D75372"/>
    <w:rsid w:val="00D756F3"/>
    <w:rsid w:val="00D75881"/>
    <w:rsid w:val="00D75A02"/>
    <w:rsid w:val="00D75B5B"/>
    <w:rsid w:val="00D75B5F"/>
    <w:rsid w:val="00D75FF1"/>
    <w:rsid w:val="00D762BE"/>
    <w:rsid w:val="00D764DD"/>
    <w:rsid w:val="00D766D0"/>
    <w:rsid w:val="00D769E2"/>
    <w:rsid w:val="00D76AA0"/>
    <w:rsid w:val="00D76CAC"/>
    <w:rsid w:val="00D76E98"/>
    <w:rsid w:val="00D777F3"/>
    <w:rsid w:val="00D77976"/>
    <w:rsid w:val="00D77AA1"/>
    <w:rsid w:val="00D77BE1"/>
    <w:rsid w:val="00D77EB1"/>
    <w:rsid w:val="00D77F78"/>
    <w:rsid w:val="00D801C9"/>
    <w:rsid w:val="00D805B9"/>
    <w:rsid w:val="00D80643"/>
    <w:rsid w:val="00D806C4"/>
    <w:rsid w:val="00D80C40"/>
    <w:rsid w:val="00D810B8"/>
    <w:rsid w:val="00D81697"/>
    <w:rsid w:val="00D81733"/>
    <w:rsid w:val="00D81989"/>
    <w:rsid w:val="00D81E1F"/>
    <w:rsid w:val="00D81EB4"/>
    <w:rsid w:val="00D82253"/>
    <w:rsid w:val="00D8239F"/>
    <w:rsid w:val="00D82445"/>
    <w:rsid w:val="00D828DF"/>
    <w:rsid w:val="00D828F6"/>
    <w:rsid w:val="00D82999"/>
    <w:rsid w:val="00D83125"/>
    <w:rsid w:val="00D832DA"/>
    <w:rsid w:val="00D8349C"/>
    <w:rsid w:val="00D8364D"/>
    <w:rsid w:val="00D83CC2"/>
    <w:rsid w:val="00D8467C"/>
    <w:rsid w:val="00D84A8F"/>
    <w:rsid w:val="00D84A99"/>
    <w:rsid w:val="00D8508E"/>
    <w:rsid w:val="00D85395"/>
    <w:rsid w:val="00D855B6"/>
    <w:rsid w:val="00D85A2D"/>
    <w:rsid w:val="00D85D21"/>
    <w:rsid w:val="00D85FC1"/>
    <w:rsid w:val="00D86019"/>
    <w:rsid w:val="00D863A1"/>
    <w:rsid w:val="00D86CA7"/>
    <w:rsid w:val="00D8700C"/>
    <w:rsid w:val="00D87018"/>
    <w:rsid w:val="00D87108"/>
    <w:rsid w:val="00D87173"/>
    <w:rsid w:val="00D87306"/>
    <w:rsid w:val="00D8741D"/>
    <w:rsid w:val="00D87518"/>
    <w:rsid w:val="00D87A11"/>
    <w:rsid w:val="00D87BA0"/>
    <w:rsid w:val="00D87BD6"/>
    <w:rsid w:val="00D87E27"/>
    <w:rsid w:val="00D87F12"/>
    <w:rsid w:val="00D9012E"/>
    <w:rsid w:val="00D901B6"/>
    <w:rsid w:val="00D90446"/>
    <w:rsid w:val="00D90897"/>
    <w:rsid w:val="00D91172"/>
    <w:rsid w:val="00D919D0"/>
    <w:rsid w:val="00D91A92"/>
    <w:rsid w:val="00D91B1E"/>
    <w:rsid w:val="00D91C7E"/>
    <w:rsid w:val="00D92044"/>
    <w:rsid w:val="00D9237B"/>
    <w:rsid w:val="00D92445"/>
    <w:rsid w:val="00D92526"/>
    <w:rsid w:val="00D92C60"/>
    <w:rsid w:val="00D92CC6"/>
    <w:rsid w:val="00D92E3D"/>
    <w:rsid w:val="00D92FBD"/>
    <w:rsid w:val="00D93146"/>
    <w:rsid w:val="00D93371"/>
    <w:rsid w:val="00D9370E"/>
    <w:rsid w:val="00D93896"/>
    <w:rsid w:val="00D93927"/>
    <w:rsid w:val="00D93C48"/>
    <w:rsid w:val="00D93EC3"/>
    <w:rsid w:val="00D9427E"/>
    <w:rsid w:val="00D94327"/>
    <w:rsid w:val="00D945E8"/>
    <w:rsid w:val="00D946B0"/>
    <w:rsid w:val="00D946FF"/>
    <w:rsid w:val="00D9479A"/>
    <w:rsid w:val="00D94B23"/>
    <w:rsid w:val="00D94C91"/>
    <w:rsid w:val="00D957EC"/>
    <w:rsid w:val="00D95D23"/>
    <w:rsid w:val="00D95EC6"/>
    <w:rsid w:val="00D9602D"/>
    <w:rsid w:val="00D960A1"/>
    <w:rsid w:val="00D961F6"/>
    <w:rsid w:val="00D96473"/>
    <w:rsid w:val="00D9687D"/>
    <w:rsid w:val="00D96899"/>
    <w:rsid w:val="00D968BD"/>
    <w:rsid w:val="00D969DA"/>
    <w:rsid w:val="00D96CDA"/>
    <w:rsid w:val="00D976E0"/>
    <w:rsid w:val="00D977FA"/>
    <w:rsid w:val="00D978AB"/>
    <w:rsid w:val="00D97B8E"/>
    <w:rsid w:val="00D97BE3"/>
    <w:rsid w:val="00D97C22"/>
    <w:rsid w:val="00DA0276"/>
    <w:rsid w:val="00DA0788"/>
    <w:rsid w:val="00DA0CBF"/>
    <w:rsid w:val="00DA126A"/>
    <w:rsid w:val="00DA1309"/>
    <w:rsid w:val="00DA132B"/>
    <w:rsid w:val="00DA1483"/>
    <w:rsid w:val="00DA19BF"/>
    <w:rsid w:val="00DA1EA2"/>
    <w:rsid w:val="00DA1FAD"/>
    <w:rsid w:val="00DA2517"/>
    <w:rsid w:val="00DA2D2B"/>
    <w:rsid w:val="00DA3036"/>
    <w:rsid w:val="00DA357A"/>
    <w:rsid w:val="00DA3812"/>
    <w:rsid w:val="00DA3820"/>
    <w:rsid w:val="00DA3B22"/>
    <w:rsid w:val="00DA3B2E"/>
    <w:rsid w:val="00DA3B50"/>
    <w:rsid w:val="00DA3C45"/>
    <w:rsid w:val="00DA417F"/>
    <w:rsid w:val="00DA44A0"/>
    <w:rsid w:val="00DA46F9"/>
    <w:rsid w:val="00DA475B"/>
    <w:rsid w:val="00DA48FF"/>
    <w:rsid w:val="00DA4A2F"/>
    <w:rsid w:val="00DA4F9E"/>
    <w:rsid w:val="00DA512A"/>
    <w:rsid w:val="00DA5167"/>
    <w:rsid w:val="00DA5662"/>
    <w:rsid w:val="00DA5705"/>
    <w:rsid w:val="00DA5720"/>
    <w:rsid w:val="00DA5A1F"/>
    <w:rsid w:val="00DA5ADF"/>
    <w:rsid w:val="00DA5E12"/>
    <w:rsid w:val="00DA5EC2"/>
    <w:rsid w:val="00DA6542"/>
    <w:rsid w:val="00DA6686"/>
    <w:rsid w:val="00DA6BD6"/>
    <w:rsid w:val="00DA6E09"/>
    <w:rsid w:val="00DA6FA5"/>
    <w:rsid w:val="00DA729D"/>
    <w:rsid w:val="00DA769C"/>
    <w:rsid w:val="00DA76DC"/>
    <w:rsid w:val="00DA7937"/>
    <w:rsid w:val="00DA79DD"/>
    <w:rsid w:val="00DA7EA3"/>
    <w:rsid w:val="00DA7F0D"/>
    <w:rsid w:val="00DB015B"/>
    <w:rsid w:val="00DB04CE"/>
    <w:rsid w:val="00DB0DAF"/>
    <w:rsid w:val="00DB0DB9"/>
    <w:rsid w:val="00DB0F98"/>
    <w:rsid w:val="00DB12EF"/>
    <w:rsid w:val="00DB140A"/>
    <w:rsid w:val="00DB1627"/>
    <w:rsid w:val="00DB19A3"/>
    <w:rsid w:val="00DB1E77"/>
    <w:rsid w:val="00DB28C8"/>
    <w:rsid w:val="00DB2DD9"/>
    <w:rsid w:val="00DB397B"/>
    <w:rsid w:val="00DB3DBC"/>
    <w:rsid w:val="00DB3EB0"/>
    <w:rsid w:val="00DB4432"/>
    <w:rsid w:val="00DB497B"/>
    <w:rsid w:val="00DB5028"/>
    <w:rsid w:val="00DB533F"/>
    <w:rsid w:val="00DB5358"/>
    <w:rsid w:val="00DB58E7"/>
    <w:rsid w:val="00DB5908"/>
    <w:rsid w:val="00DB5955"/>
    <w:rsid w:val="00DB595D"/>
    <w:rsid w:val="00DB5DE1"/>
    <w:rsid w:val="00DB5E67"/>
    <w:rsid w:val="00DB5E6A"/>
    <w:rsid w:val="00DB659D"/>
    <w:rsid w:val="00DB6652"/>
    <w:rsid w:val="00DB6804"/>
    <w:rsid w:val="00DB6AF5"/>
    <w:rsid w:val="00DB6F16"/>
    <w:rsid w:val="00DB74E9"/>
    <w:rsid w:val="00DB7901"/>
    <w:rsid w:val="00DB79EB"/>
    <w:rsid w:val="00DB7AD9"/>
    <w:rsid w:val="00DB7B6C"/>
    <w:rsid w:val="00DB7DEE"/>
    <w:rsid w:val="00DC02C6"/>
    <w:rsid w:val="00DC0374"/>
    <w:rsid w:val="00DC0CF8"/>
    <w:rsid w:val="00DC113C"/>
    <w:rsid w:val="00DC1160"/>
    <w:rsid w:val="00DC11D1"/>
    <w:rsid w:val="00DC140A"/>
    <w:rsid w:val="00DC17AD"/>
    <w:rsid w:val="00DC189A"/>
    <w:rsid w:val="00DC1911"/>
    <w:rsid w:val="00DC1A6F"/>
    <w:rsid w:val="00DC1BCD"/>
    <w:rsid w:val="00DC1C10"/>
    <w:rsid w:val="00DC1CA4"/>
    <w:rsid w:val="00DC21A0"/>
    <w:rsid w:val="00DC22FF"/>
    <w:rsid w:val="00DC2384"/>
    <w:rsid w:val="00DC23BA"/>
    <w:rsid w:val="00DC2579"/>
    <w:rsid w:val="00DC2760"/>
    <w:rsid w:val="00DC2949"/>
    <w:rsid w:val="00DC2BDA"/>
    <w:rsid w:val="00DC2E24"/>
    <w:rsid w:val="00DC30E0"/>
    <w:rsid w:val="00DC322B"/>
    <w:rsid w:val="00DC336C"/>
    <w:rsid w:val="00DC3891"/>
    <w:rsid w:val="00DC38CE"/>
    <w:rsid w:val="00DC3A00"/>
    <w:rsid w:val="00DC3C99"/>
    <w:rsid w:val="00DC3CCE"/>
    <w:rsid w:val="00DC3E50"/>
    <w:rsid w:val="00DC3E6C"/>
    <w:rsid w:val="00DC3F47"/>
    <w:rsid w:val="00DC3F9D"/>
    <w:rsid w:val="00DC409F"/>
    <w:rsid w:val="00DC4440"/>
    <w:rsid w:val="00DC46CA"/>
    <w:rsid w:val="00DC471D"/>
    <w:rsid w:val="00DC4BC3"/>
    <w:rsid w:val="00DC4CB5"/>
    <w:rsid w:val="00DC4D56"/>
    <w:rsid w:val="00DC4E49"/>
    <w:rsid w:val="00DC4EE4"/>
    <w:rsid w:val="00DC4F19"/>
    <w:rsid w:val="00DC50D5"/>
    <w:rsid w:val="00DC522E"/>
    <w:rsid w:val="00DC566A"/>
    <w:rsid w:val="00DC56FF"/>
    <w:rsid w:val="00DC5B06"/>
    <w:rsid w:val="00DC5C52"/>
    <w:rsid w:val="00DC648C"/>
    <w:rsid w:val="00DC6D85"/>
    <w:rsid w:val="00DC70BA"/>
    <w:rsid w:val="00DC7E64"/>
    <w:rsid w:val="00DD000D"/>
    <w:rsid w:val="00DD02FB"/>
    <w:rsid w:val="00DD04EE"/>
    <w:rsid w:val="00DD0801"/>
    <w:rsid w:val="00DD0AF1"/>
    <w:rsid w:val="00DD0B59"/>
    <w:rsid w:val="00DD0F09"/>
    <w:rsid w:val="00DD1030"/>
    <w:rsid w:val="00DD1053"/>
    <w:rsid w:val="00DD107D"/>
    <w:rsid w:val="00DD1193"/>
    <w:rsid w:val="00DD119B"/>
    <w:rsid w:val="00DD11F7"/>
    <w:rsid w:val="00DD11FD"/>
    <w:rsid w:val="00DD14F9"/>
    <w:rsid w:val="00DD1584"/>
    <w:rsid w:val="00DD165E"/>
    <w:rsid w:val="00DD1BE2"/>
    <w:rsid w:val="00DD1EE8"/>
    <w:rsid w:val="00DD248A"/>
    <w:rsid w:val="00DD282B"/>
    <w:rsid w:val="00DD2D0C"/>
    <w:rsid w:val="00DD2D6E"/>
    <w:rsid w:val="00DD2F65"/>
    <w:rsid w:val="00DD3211"/>
    <w:rsid w:val="00DD3582"/>
    <w:rsid w:val="00DD35C9"/>
    <w:rsid w:val="00DD3737"/>
    <w:rsid w:val="00DD3CCD"/>
    <w:rsid w:val="00DD3E24"/>
    <w:rsid w:val="00DD3EA0"/>
    <w:rsid w:val="00DD450B"/>
    <w:rsid w:val="00DD46EB"/>
    <w:rsid w:val="00DD49B4"/>
    <w:rsid w:val="00DD4BCB"/>
    <w:rsid w:val="00DD4E19"/>
    <w:rsid w:val="00DD5452"/>
    <w:rsid w:val="00DD56D2"/>
    <w:rsid w:val="00DD57A2"/>
    <w:rsid w:val="00DD59FC"/>
    <w:rsid w:val="00DD5C22"/>
    <w:rsid w:val="00DD654C"/>
    <w:rsid w:val="00DD6721"/>
    <w:rsid w:val="00DD729F"/>
    <w:rsid w:val="00DD73AE"/>
    <w:rsid w:val="00DD73DD"/>
    <w:rsid w:val="00DD74D2"/>
    <w:rsid w:val="00DE0036"/>
    <w:rsid w:val="00DE0269"/>
    <w:rsid w:val="00DE0612"/>
    <w:rsid w:val="00DE0757"/>
    <w:rsid w:val="00DE0803"/>
    <w:rsid w:val="00DE0A2D"/>
    <w:rsid w:val="00DE0A68"/>
    <w:rsid w:val="00DE0B67"/>
    <w:rsid w:val="00DE0F00"/>
    <w:rsid w:val="00DE13CE"/>
    <w:rsid w:val="00DE176D"/>
    <w:rsid w:val="00DE17E2"/>
    <w:rsid w:val="00DE193D"/>
    <w:rsid w:val="00DE1A4F"/>
    <w:rsid w:val="00DE1BD7"/>
    <w:rsid w:val="00DE1BDC"/>
    <w:rsid w:val="00DE1BEF"/>
    <w:rsid w:val="00DE224A"/>
    <w:rsid w:val="00DE2603"/>
    <w:rsid w:val="00DE2656"/>
    <w:rsid w:val="00DE2DDA"/>
    <w:rsid w:val="00DE2E07"/>
    <w:rsid w:val="00DE340D"/>
    <w:rsid w:val="00DE3A20"/>
    <w:rsid w:val="00DE3B0D"/>
    <w:rsid w:val="00DE3C8A"/>
    <w:rsid w:val="00DE3CD4"/>
    <w:rsid w:val="00DE3F0E"/>
    <w:rsid w:val="00DE40CF"/>
    <w:rsid w:val="00DE468E"/>
    <w:rsid w:val="00DE4698"/>
    <w:rsid w:val="00DE48E8"/>
    <w:rsid w:val="00DE4949"/>
    <w:rsid w:val="00DE4983"/>
    <w:rsid w:val="00DE4C5B"/>
    <w:rsid w:val="00DE5136"/>
    <w:rsid w:val="00DE5821"/>
    <w:rsid w:val="00DE59FE"/>
    <w:rsid w:val="00DE5C1D"/>
    <w:rsid w:val="00DE5CC2"/>
    <w:rsid w:val="00DE5DC4"/>
    <w:rsid w:val="00DE6006"/>
    <w:rsid w:val="00DE61D6"/>
    <w:rsid w:val="00DE66D6"/>
    <w:rsid w:val="00DE6822"/>
    <w:rsid w:val="00DE6BF8"/>
    <w:rsid w:val="00DE6CE3"/>
    <w:rsid w:val="00DE710F"/>
    <w:rsid w:val="00DE7A8E"/>
    <w:rsid w:val="00DE7BF0"/>
    <w:rsid w:val="00DE7D1E"/>
    <w:rsid w:val="00DE7EED"/>
    <w:rsid w:val="00DE7EF4"/>
    <w:rsid w:val="00DF007C"/>
    <w:rsid w:val="00DF059B"/>
    <w:rsid w:val="00DF079F"/>
    <w:rsid w:val="00DF0992"/>
    <w:rsid w:val="00DF0F48"/>
    <w:rsid w:val="00DF138D"/>
    <w:rsid w:val="00DF140F"/>
    <w:rsid w:val="00DF1420"/>
    <w:rsid w:val="00DF1693"/>
    <w:rsid w:val="00DF1745"/>
    <w:rsid w:val="00DF1778"/>
    <w:rsid w:val="00DF17FF"/>
    <w:rsid w:val="00DF185A"/>
    <w:rsid w:val="00DF1D3A"/>
    <w:rsid w:val="00DF1EC4"/>
    <w:rsid w:val="00DF2185"/>
    <w:rsid w:val="00DF2286"/>
    <w:rsid w:val="00DF2300"/>
    <w:rsid w:val="00DF2302"/>
    <w:rsid w:val="00DF2326"/>
    <w:rsid w:val="00DF2352"/>
    <w:rsid w:val="00DF25AC"/>
    <w:rsid w:val="00DF28E3"/>
    <w:rsid w:val="00DF29DA"/>
    <w:rsid w:val="00DF2CA0"/>
    <w:rsid w:val="00DF301B"/>
    <w:rsid w:val="00DF3C79"/>
    <w:rsid w:val="00DF40DF"/>
    <w:rsid w:val="00DF4594"/>
    <w:rsid w:val="00DF4726"/>
    <w:rsid w:val="00DF47EA"/>
    <w:rsid w:val="00DF48D0"/>
    <w:rsid w:val="00DF4E12"/>
    <w:rsid w:val="00DF52DB"/>
    <w:rsid w:val="00DF52F7"/>
    <w:rsid w:val="00DF5373"/>
    <w:rsid w:val="00DF540A"/>
    <w:rsid w:val="00DF5522"/>
    <w:rsid w:val="00DF55C5"/>
    <w:rsid w:val="00DF572E"/>
    <w:rsid w:val="00DF5AF5"/>
    <w:rsid w:val="00DF5AF6"/>
    <w:rsid w:val="00DF6590"/>
    <w:rsid w:val="00DF6A3D"/>
    <w:rsid w:val="00DF6BE3"/>
    <w:rsid w:val="00DF6F2A"/>
    <w:rsid w:val="00DF7301"/>
    <w:rsid w:val="00DF75F9"/>
    <w:rsid w:val="00DF7891"/>
    <w:rsid w:val="00DF7B6F"/>
    <w:rsid w:val="00DF7B7C"/>
    <w:rsid w:val="00DF7CBE"/>
    <w:rsid w:val="00DF7DE8"/>
    <w:rsid w:val="00E00315"/>
    <w:rsid w:val="00E00363"/>
    <w:rsid w:val="00E00C42"/>
    <w:rsid w:val="00E00DA4"/>
    <w:rsid w:val="00E00DE6"/>
    <w:rsid w:val="00E00EC6"/>
    <w:rsid w:val="00E00FA3"/>
    <w:rsid w:val="00E01130"/>
    <w:rsid w:val="00E0143D"/>
    <w:rsid w:val="00E0151F"/>
    <w:rsid w:val="00E01B77"/>
    <w:rsid w:val="00E01CC8"/>
    <w:rsid w:val="00E01F53"/>
    <w:rsid w:val="00E02591"/>
    <w:rsid w:val="00E025C2"/>
    <w:rsid w:val="00E02849"/>
    <w:rsid w:val="00E029DB"/>
    <w:rsid w:val="00E02ADF"/>
    <w:rsid w:val="00E02BF9"/>
    <w:rsid w:val="00E02CEB"/>
    <w:rsid w:val="00E02E5D"/>
    <w:rsid w:val="00E03066"/>
    <w:rsid w:val="00E035C0"/>
    <w:rsid w:val="00E03671"/>
    <w:rsid w:val="00E037CA"/>
    <w:rsid w:val="00E03805"/>
    <w:rsid w:val="00E040E1"/>
    <w:rsid w:val="00E04312"/>
    <w:rsid w:val="00E043F6"/>
    <w:rsid w:val="00E04467"/>
    <w:rsid w:val="00E04663"/>
    <w:rsid w:val="00E04948"/>
    <w:rsid w:val="00E0503A"/>
    <w:rsid w:val="00E053DB"/>
    <w:rsid w:val="00E0601F"/>
    <w:rsid w:val="00E060B2"/>
    <w:rsid w:val="00E06A1A"/>
    <w:rsid w:val="00E06E6B"/>
    <w:rsid w:val="00E06F33"/>
    <w:rsid w:val="00E07138"/>
    <w:rsid w:val="00E074AF"/>
    <w:rsid w:val="00E07546"/>
    <w:rsid w:val="00E078AB"/>
    <w:rsid w:val="00E10362"/>
    <w:rsid w:val="00E10455"/>
    <w:rsid w:val="00E10B90"/>
    <w:rsid w:val="00E115BB"/>
    <w:rsid w:val="00E115E7"/>
    <w:rsid w:val="00E11892"/>
    <w:rsid w:val="00E11EED"/>
    <w:rsid w:val="00E120C5"/>
    <w:rsid w:val="00E120D1"/>
    <w:rsid w:val="00E12518"/>
    <w:rsid w:val="00E12926"/>
    <w:rsid w:val="00E12A40"/>
    <w:rsid w:val="00E12B7A"/>
    <w:rsid w:val="00E12F42"/>
    <w:rsid w:val="00E1321F"/>
    <w:rsid w:val="00E1335E"/>
    <w:rsid w:val="00E13860"/>
    <w:rsid w:val="00E143AB"/>
    <w:rsid w:val="00E146A8"/>
    <w:rsid w:val="00E1476A"/>
    <w:rsid w:val="00E14799"/>
    <w:rsid w:val="00E14B90"/>
    <w:rsid w:val="00E14DC2"/>
    <w:rsid w:val="00E14DE6"/>
    <w:rsid w:val="00E14FE2"/>
    <w:rsid w:val="00E1527A"/>
    <w:rsid w:val="00E15348"/>
    <w:rsid w:val="00E1552C"/>
    <w:rsid w:val="00E15984"/>
    <w:rsid w:val="00E159A0"/>
    <w:rsid w:val="00E159D0"/>
    <w:rsid w:val="00E15A27"/>
    <w:rsid w:val="00E15A33"/>
    <w:rsid w:val="00E15DB1"/>
    <w:rsid w:val="00E1720B"/>
    <w:rsid w:val="00E17350"/>
    <w:rsid w:val="00E17395"/>
    <w:rsid w:val="00E1750A"/>
    <w:rsid w:val="00E177D0"/>
    <w:rsid w:val="00E17AE1"/>
    <w:rsid w:val="00E17C26"/>
    <w:rsid w:val="00E17C53"/>
    <w:rsid w:val="00E17CC5"/>
    <w:rsid w:val="00E17DBC"/>
    <w:rsid w:val="00E17FFE"/>
    <w:rsid w:val="00E20226"/>
    <w:rsid w:val="00E2030F"/>
    <w:rsid w:val="00E20708"/>
    <w:rsid w:val="00E20E09"/>
    <w:rsid w:val="00E20EC7"/>
    <w:rsid w:val="00E20F50"/>
    <w:rsid w:val="00E21024"/>
    <w:rsid w:val="00E21685"/>
    <w:rsid w:val="00E217B4"/>
    <w:rsid w:val="00E21A16"/>
    <w:rsid w:val="00E21D64"/>
    <w:rsid w:val="00E22241"/>
    <w:rsid w:val="00E2240E"/>
    <w:rsid w:val="00E227D5"/>
    <w:rsid w:val="00E227D6"/>
    <w:rsid w:val="00E2281A"/>
    <w:rsid w:val="00E22CEE"/>
    <w:rsid w:val="00E22CF9"/>
    <w:rsid w:val="00E22F43"/>
    <w:rsid w:val="00E22FB3"/>
    <w:rsid w:val="00E23618"/>
    <w:rsid w:val="00E23941"/>
    <w:rsid w:val="00E23B18"/>
    <w:rsid w:val="00E23B98"/>
    <w:rsid w:val="00E23E65"/>
    <w:rsid w:val="00E23EE9"/>
    <w:rsid w:val="00E24213"/>
    <w:rsid w:val="00E2432C"/>
    <w:rsid w:val="00E24581"/>
    <w:rsid w:val="00E24967"/>
    <w:rsid w:val="00E249FF"/>
    <w:rsid w:val="00E24CC5"/>
    <w:rsid w:val="00E25064"/>
    <w:rsid w:val="00E253D6"/>
    <w:rsid w:val="00E257F6"/>
    <w:rsid w:val="00E25EAF"/>
    <w:rsid w:val="00E265C9"/>
    <w:rsid w:val="00E266DD"/>
    <w:rsid w:val="00E2686E"/>
    <w:rsid w:val="00E26F67"/>
    <w:rsid w:val="00E2772B"/>
    <w:rsid w:val="00E27784"/>
    <w:rsid w:val="00E2778B"/>
    <w:rsid w:val="00E277FE"/>
    <w:rsid w:val="00E27829"/>
    <w:rsid w:val="00E27AB4"/>
    <w:rsid w:val="00E27C01"/>
    <w:rsid w:val="00E27CEE"/>
    <w:rsid w:val="00E27D8F"/>
    <w:rsid w:val="00E27E9D"/>
    <w:rsid w:val="00E27F3E"/>
    <w:rsid w:val="00E300EE"/>
    <w:rsid w:val="00E303E5"/>
    <w:rsid w:val="00E30A49"/>
    <w:rsid w:val="00E30D12"/>
    <w:rsid w:val="00E30E67"/>
    <w:rsid w:val="00E31386"/>
    <w:rsid w:val="00E31428"/>
    <w:rsid w:val="00E319DA"/>
    <w:rsid w:val="00E31FE7"/>
    <w:rsid w:val="00E32062"/>
    <w:rsid w:val="00E3268D"/>
    <w:rsid w:val="00E32913"/>
    <w:rsid w:val="00E3292D"/>
    <w:rsid w:val="00E329C1"/>
    <w:rsid w:val="00E32CD2"/>
    <w:rsid w:val="00E32EFB"/>
    <w:rsid w:val="00E330B4"/>
    <w:rsid w:val="00E33175"/>
    <w:rsid w:val="00E331DE"/>
    <w:rsid w:val="00E33400"/>
    <w:rsid w:val="00E33636"/>
    <w:rsid w:val="00E33659"/>
    <w:rsid w:val="00E337CC"/>
    <w:rsid w:val="00E33938"/>
    <w:rsid w:val="00E33A9A"/>
    <w:rsid w:val="00E33B1F"/>
    <w:rsid w:val="00E33CA6"/>
    <w:rsid w:val="00E33E5C"/>
    <w:rsid w:val="00E341B4"/>
    <w:rsid w:val="00E34270"/>
    <w:rsid w:val="00E342C7"/>
    <w:rsid w:val="00E34871"/>
    <w:rsid w:val="00E34A2B"/>
    <w:rsid w:val="00E34DD5"/>
    <w:rsid w:val="00E34E8C"/>
    <w:rsid w:val="00E3531A"/>
    <w:rsid w:val="00E35B12"/>
    <w:rsid w:val="00E35E9E"/>
    <w:rsid w:val="00E3602B"/>
    <w:rsid w:val="00E36209"/>
    <w:rsid w:val="00E3663A"/>
    <w:rsid w:val="00E36D90"/>
    <w:rsid w:val="00E36F71"/>
    <w:rsid w:val="00E37396"/>
    <w:rsid w:val="00E374C5"/>
    <w:rsid w:val="00E374CB"/>
    <w:rsid w:val="00E37C9C"/>
    <w:rsid w:val="00E401B3"/>
    <w:rsid w:val="00E4031C"/>
    <w:rsid w:val="00E40601"/>
    <w:rsid w:val="00E40608"/>
    <w:rsid w:val="00E4062E"/>
    <w:rsid w:val="00E40951"/>
    <w:rsid w:val="00E40DAD"/>
    <w:rsid w:val="00E40F3E"/>
    <w:rsid w:val="00E40F73"/>
    <w:rsid w:val="00E4104E"/>
    <w:rsid w:val="00E41172"/>
    <w:rsid w:val="00E4117B"/>
    <w:rsid w:val="00E41436"/>
    <w:rsid w:val="00E414A2"/>
    <w:rsid w:val="00E4159D"/>
    <w:rsid w:val="00E418C6"/>
    <w:rsid w:val="00E41E39"/>
    <w:rsid w:val="00E42033"/>
    <w:rsid w:val="00E42204"/>
    <w:rsid w:val="00E42808"/>
    <w:rsid w:val="00E42BA5"/>
    <w:rsid w:val="00E42C8E"/>
    <w:rsid w:val="00E42CD7"/>
    <w:rsid w:val="00E42D8C"/>
    <w:rsid w:val="00E43019"/>
    <w:rsid w:val="00E43581"/>
    <w:rsid w:val="00E435E2"/>
    <w:rsid w:val="00E43EE0"/>
    <w:rsid w:val="00E43F1D"/>
    <w:rsid w:val="00E4422B"/>
    <w:rsid w:val="00E445B7"/>
    <w:rsid w:val="00E44759"/>
    <w:rsid w:val="00E44891"/>
    <w:rsid w:val="00E449F5"/>
    <w:rsid w:val="00E44C11"/>
    <w:rsid w:val="00E45011"/>
    <w:rsid w:val="00E4505D"/>
    <w:rsid w:val="00E453D1"/>
    <w:rsid w:val="00E4576C"/>
    <w:rsid w:val="00E45843"/>
    <w:rsid w:val="00E458E4"/>
    <w:rsid w:val="00E45B87"/>
    <w:rsid w:val="00E45CD6"/>
    <w:rsid w:val="00E45DD2"/>
    <w:rsid w:val="00E46588"/>
    <w:rsid w:val="00E46594"/>
    <w:rsid w:val="00E46A35"/>
    <w:rsid w:val="00E46E11"/>
    <w:rsid w:val="00E474F5"/>
    <w:rsid w:val="00E476C5"/>
    <w:rsid w:val="00E47AD0"/>
    <w:rsid w:val="00E508E8"/>
    <w:rsid w:val="00E508F2"/>
    <w:rsid w:val="00E50A32"/>
    <w:rsid w:val="00E50C26"/>
    <w:rsid w:val="00E50EA8"/>
    <w:rsid w:val="00E50F37"/>
    <w:rsid w:val="00E50F87"/>
    <w:rsid w:val="00E50FAD"/>
    <w:rsid w:val="00E51186"/>
    <w:rsid w:val="00E518D6"/>
    <w:rsid w:val="00E525BF"/>
    <w:rsid w:val="00E5279F"/>
    <w:rsid w:val="00E52935"/>
    <w:rsid w:val="00E52AAD"/>
    <w:rsid w:val="00E52C21"/>
    <w:rsid w:val="00E52E16"/>
    <w:rsid w:val="00E52EF3"/>
    <w:rsid w:val="00E52FA1"/>
    <w:rsid w:val="00E5330B"/>
    <w:rsid w:val="00E53358"/>
    <w:rsid w:val="00E53645"/>
    <w:rsid w:val="00E53784"/>
    <w:rsid w:val="00E540F8"/>
    <w:rsid w:val="00E542ED"/>
    <w:rsid w:val="00E54694"/>
    <w:rsid w:val="00E54FBB"/>
    <w:rsid w:val="00E5575B"/>
    <w:rsid w:val="00E55A66"/>
    <w:rsid w:val="00E55CC9"/>
    <w:rsid w:val="00E55D86"/>
    <w:rsid w:val="00E55E02"/>
    <w:rsid w:val="00E55E2D"/>
    <w:rsid w:val="00E55E7A"/>
    <w:rsid w:val="00E55EEA"/>
    <w:rsid w:val="00E55FB6"/>
    <w:rsid w:val="00E5621B"/>
    <w:rsid w:val="00E56405"/>
    <w:rsid w:val="00E56529"/>
    <w:rsid w:val="00E56710"/>
    <w:rsid w:val="00E56C19"/>
    <w:rsid w:val="00E56E28"/>
    <w:rsid w:val="00E57058"/>
    <w:rsid w:val="00E570F0"/>
    <w:rsid w:val="00E572A5"/>
    <w:rsid w:val="00E57624"/>
    <w:rsid w:val="00E578B7"/>
    <w:rsid w:val="00E57AF5"/>
    <w:rsid w:val="00E57E59"/>
    <w:rsid w:val="00E60202"/>
    <w:rsid w:val="00E6098D"/>
    <w:rsid w:val="00E6118C"/>
    <w:rsid w:val="00E6145D"/>
    <w:rsid w:val="00E614B0"/>
    <w:rsid w:val="00E61EA2"/>
    <w:rsid w:val="00E62182"/>
    <w:rsid w:val="00E62A8F"/>
    <w:rsid w:val="00E62AF5"/>
    <w:rsid w:val="00E62FFB"/>
    <w:rsid w:val="00E63297"/>
    <w:rsid w:val="00E6391E"/>
    <w:rsid w:val="00E63A8F"/>
    <w:rsid w:val="00E63C7D"/>
    <w:rsid w:val="00E63F47"/>
    <w:rsid w:val="00E643E8"/>
    <w:rsid w:val="00E64442"/>
    <w:rsid w:val="00E6450D"/>
    <w:rsid w:val="00E64688"/>
    <w:rsid w:val="00E64701"/>
    <w:rsid w:val="00E647D0"/>
    <w:rsid w:val="00E64985"/>
    <w:rsid w:val="00E64DC7"/>
    <w:rsid w:val="00E65470"/>
    <w:rsid w:val="00E65603"/>
    <w:rsid w:val="00E6567D"/>
    <w:rsid w:val="00E65AD7"/>
    <w:rsid w:val="00E65B98"/>
    <w:rsid w:val="00E65CBC"/>
    <w:rsid w:val="00E65CFA"/>
    <w:rsid w:val="00E65D7D"/>
    <w:rsid w:val="00E661B9"/>
    <w:rsid w:val="00E66627"/>
    <w:rsid w:val="00E6684D"/>
    <w:rsid w:val="00E6686D"/>
    <w:rsid w:val="00E66CDE"/>
    <w:rsid w:val="00E66E8B"/>
    <w:rsid w:val="00E66F97"/>
    <w:rsid w:val="00E66FDF"/>
    <w:rsid w:val="00E67261"/>
    <w:rsid w:val="00E674A4"/>
    <w:rsid w:val="00E67AE4"/>
    <w:rsid w:val="00E67E17"/>
    <w:rsid w:val="00E70432"/>
    <w:rsid w:val="00E70790"/>
    <w:rsid w:val="00E707E8"/>
    <w:rsid w:val="00E70C91"/>
    <w:rsid w:val="00E711D4"/>
    <w:rsid w:val="00E7172E"/>
    <w:rsid w:val="00E7202A"/>
    <w:rsid w:val="00E72345"/>
    <w:rsid w:val="00E7329A"/>
    <w:rsid w:val="00E7330A"/>
    <w:rsid w:val="00E7379E"/>
    <w:rsid w:val="00E73BBE"/>
    <w:rsid w:val="00E73D4D"/>
    <w:rsid w:val="00E73E85"/>
    <w:rsid w:val="00E74ECA"/>
    <w:rsid w:val="00E7502D"/>
    <w:rsid w:val="00E753A2"/>
    <w:rsid w:val="00E75A34"/>
    <w:rsid w:val="00E75EDF"/>
    <w:rsid w:val="00E76047"/>
    <w:rsid w:val="00E7635B"/>
    <w:rsid w:val="00E76451"/>
    <w:rsid w:val="00E7673C"/>
    <w:rsid w:val="00E76953"/>
    <w:rsid w:val="00E76B12"/>
    <w:rsid w:val="00E77066"/>
    <w:rsid w:val="00E770D1"/>
    <w:rsid w:val="00E774C7"/>
    <w:rsid w:val="00E777BF"/>
    <w:rsid w:val="00E77A64"/>
    <w:rsid w:val="00E77B4E"/>
    <w:rsid w:val="00E77E0C"/>
    <w:rsid w:val="00E77E0D"/>
    <w:rsid w:val="00E80117"/>
    <w:rsid w:val="00E8016F"/>
    <w:rsid w:val="00E806E1"/>
    <w:rsid w:val="00E8097C"/>
    <w:rsid w:val="00E8099C"/>
    <w:rsid w:val="00E80A46"/>
    <w:rsid w:val="00E80CEB"/>
    <w:rsid w:val="00E80D8C"/>
    <w:rsid w:val="00E80E52"/>
    <w:rsid w:val="00E80ED4"/>
    <w:rsid w:val="00E810A5"/>
    <w:rsid w:val="00E8115D"/>
    <w:rsid w:val="00E81421"/>
    <w:rsid w:val="00E81452"/>
    <w:rsid w:val="00E816CE"/>
    <w:rsid w:val="00E818BA"/>
    <w:rsid w:val="00E81948"/>
    <w:rsid w:val="00E81B3E"/>
    <w:rsid w:val="00E81DE6"/>
    <w:rsid w:val="00E81E3A"/>
    <w:rsid w:val="00E8200B"/>
    <w:rsid w:val="00E82083"/>
    <w:rsid w:val="00E82921"/>
    <w:rsid w:val="00E82D33"/>
    <w:rsid w:val="00E82DDA"/>
    <w:rsid w:val="00E82F21"/>
    <w:rsid w:val="00E82FBC"/>
    <w:rsid w:val="00E83069"/>
    <w:rsid w:val="00E83775"/>
    <w:rsid w:val="00E8397B"/>
    <w:rsid w:val="00E83B32"/>
    <w:rsid w:val="00E83EE4"/>
    <w:rsid w:val="00E84495"/>
    <w:rsid w:val="00E847E8"/>
    <w:rsid w:val="00E8489D"/>
    <w:rsid w:val="00E84A45"/>
    <w:rsid w:val="00E8504A"/>
    <w:rsid w:val="00E8514E"/>
    <w:rsid w:val="00E8535E"/>
    <w:rsid w:val="00E85B70"/>
    <w:rsid w:val="00E860E3"/>
    <w:rsid w:val="00E861E9"/>
    <w:rsid w:val="00E861FE"/>
    <w:rsid w:val="00E862BD"/>
    <w:rsid w:val="00E86C54"/>
    <w:rsid w:val="00E86DB0"/>
    <w:rsid w:val="00E875E6"/>
    <w:rsid w:val="00E87885"/>
    <w:rsid w:val="00E87AFA"/>
    <w:rsid w:val="00E87D9E"/>
    <w:rsid w:val="00E87F2E"/>
    <w:rsid w:val="00E9016C"/>
    <w:rsid w:val="00E902F0"/>
    <w:rsid w:val="00E90420"/>
    <w:rsid w:val="00E90994"/>
    <w:rsid w:val="00E90B7F"/>
    <w:rsid w:val="00E90D25"/>
    <w:rsid w:val="00E90FB5"/>
    <w:rsid w:val="00E91124"/>
    <w:rsid w:val="00E912F5"/>
    <w:rsid w:val="00E91993"/>
    <w:rsid w:val="00E91B14"/>
    <w:rsid w:val="00E91B7E"/>
    <w:rsid w:val="00E91C16"/>
    <w:rsid w:val="00E91E7F"/>
    <w:rsid w:val="00E91F26"/>
    <w:rsid w:val="00E921DC"/>
    <w:rsid w:val="00E9295E"/>
    <w:rsid w:val="00E929A5"/>
    <w:rsid w:val="00E930BB"/>
    <w:rsid w:val="00E935BC"/>
    <w:rsid w:val="00E93676"/>
    <w:rsid w:val="00E938B4"/>
    <w:rsid w:val="00E93C52"/>
    <w:rsid w:val="00E946F1"/>
    <w:rsid w:val="00E9476F"/>
    <w:rsid w:val="00E94854"/>
    <w:rsid w:val="00E94905"/>
    <w:rsid w:val="00E949A5"/>
    <w:rsid w:val="00E94F60"/>
    <w:rsid w:val="00E9517A"/>
    <w:rsid w:val="00E958A8"/>
    <w:rsid w:val="00E95A86"/>
    <w:rsid w:val="00E95FB2"/>
    <w:rsid w:val="00E961C2"/>
    <w:rsid w:val="00E963AA"/>
    <w:rsid w:val="00E966C8"/>
    <w:rsid w:val="00E967FF"/>
    <w:rsid w:val="00E968AD"/>
    <w:rsid w:val="00E96B29"/>
    <w:rsid w:val="00E96B52"/>
    <w:rsid w:val="00E96C2C"/>
    <w:rsid w:val="00E9704D"/>
    <w:rsid w:val="00E971D4"/>
    <w:rsid w:val="00E97229"/>
    <w:rsid w:val="00E972DE"/>
    <w:rsid w:val="00E97B53"/>
    <w:rsid w:val="00E97DC6"/>
    <w:rsid w:val="00EA0583"/>
    <w:rsid w:val="00EA0688"/>
    <w:rsid w:val="00EA0860"/>
    <w:rsid w:val="00EA0AAB"/>
    <w:rsid w:val="00EA0F23"/>
    <w:rsid w:val="00EA0F4A"/>
    <w:rsid w:val="00EA113A"/>
    <w:rsid w:val="00EA1238"/>
    <w:rsid w:val="00EA1304"/>
    <w:rsid w:val="00EA1C5B"/>
    <w:rsid w:val="00EA2606"/>
    <w:rsid w:val="00EA266C"/>
    <w:rsid w:val="00EA2705"/>
    <w:rsid w:val="00EA2BB5"/>
    <w:rsid w:val="00EA2D1E"/>
    <w:rsid w:val="00EA3006"/>
    <w:rsid w:val="00EA34F0"/>
    <w:rsid w:val="00EA37E7"/>
    <w:rsid w:val="00EA3A81"/>
    <w:rsid w:val="00EA3C40"/>
    <w:rsid w:val="00EA3DDF"/>
    <w:rsid w:val="00EA3E75"/>
    <w:rsid w:val="00EA3EA6"/>
    <w:rsid w:val="00EA41B0"/>
    <w:rsid w:val="00EA47CE"/>
    <w:rsid w:val="00EA48B8"/>
    <w:rsid w:val="00EA4E13"/>
    <w:rsid w:val="00EA4E75"/>
    <w:rsid w:val="00EA4E90"/>
    <w:rsid w:val="00EA54F6"/>
    <w:rsid w:val="00EA5576"/>
    <w:rsid w:val="00EA5760"/>
    <w:rsid w:val="00EA599C"/>
    <w:rsid w:val="00EA5AD5"/>
    <w:rsid w:val="00EA5AF1"/>
    <w:rsid w:val="00EA5B91"/>
    <w:rsid w:val="00EA5C93"/>
    <w:rsid w:val="00EA66B4"/>
    <w:rsid w:val="00EA701A"/>
    <w:rsid w:val="00EA77AB"/>
    <w:rsid w:val="00EA7A81"/>
    <w:rsid w:val="00EA7D60"/>
    <w:rsid w:val="00EB0204"/>
    <w:rsid w:val="00EB023E"/>
    <w:rsid w:val="00EB0304"/>
    <w:rsid w:val="00EB03F5"/>
    <w:rsid w:val="00EB057E"/>
    <w:rsid w:val="00EB092E"/>
    <w:rsid w:val="00EB0D94"/>
    <w:rsid w:val="00EB0F09"/>
    <w:rsid w:val="00EB1047"/>
    <w:rsid w:val="00EB10AD"/>
    <w:rsid w:val="00EB110D"/>
    <w:rsid w:val="00EB144C"/>
    <w:rsid w:val="00EB184A"/>
    <w:rsid w:val="00EB19CB"/>
    <w:rsid w:val="00EB1C22"/>
    <w:rsid w:val="00EB1EE9"/>
    <w:rsid w:val="00EB1F32"/>
    <w:rsid w:val="00EB1F33"/>
    <w:rsid w:val="00EB256C"/>
    <w:rsid w:val="00EB28FD"/>
    <w:rsid w:val="00EB2FE8"/>
    <w:rsid w:val="00EB30EE"/>
    <w:rsid w:val="00EB379F"/>
    <w:rsid w:val="00EB3834"/>
    <w:rsid w:val="00EB389C"/>
    <w:rsid w:val="00EB3BEC"/>
    <w:rsid w:val="00EB3F87"/>
    <w:rsid w:val="00EB40F8"/>
    <w:rsid w:val="00EB4141"/>
    <w:rsid w:val="00EB427C"/>
    <w:rsid w:val="00EB4581"/>
    <w:rsid w:val="00EB495F"/>
    <w:rsid w:val="00EB4BCB"/>
    <w:rsid w:val="00EB4F9A"/>
    <w:rsid w:val="00EB50BF"/>
    <w:rsid w:val="00EB531B"/>
    <w:rsid w:val="00EB53C2"/>
    <w:rsid w:val="00EB5482"/>
    <w:rsid w:val="00EB5A45"/>
    <w:rsid w:val="00EB5B74"/>
    <w:rsid w:val="00EB60EE"/>
    <w:rsid w:val="00EB62FD"/>
    <w:rsid w:val="00EB632F"/>
    <w:rsid w:val="00EB63C1"/>
    <w:rsid w:val="00EB63CE"/>
    <w:rsid w:val="00EB6491"/>
    <w:rsid w:val="00EB6E39"/>
    <w:rsid w:val="00EB6E44"/>
    <w:rsid w:val="00EB7194"/>
    <w:rsid w:val="00EB724B"/>
    <w:rsid w:val="00EB7313"/>
    <w:rsid w:val="00EB7AF6"/>
    <w:rsid w:val="00EB7D98"/>
    <w:rsid w:val="00EB7FF8"/>
    <w:rsid w:val="00EC0059"/>
    <w:rsid w:val="00EC00B6"/>
    <w:rsid w:val="00EC0799"/>
    <w:rsid w:val="00EC113B"/>
    <w:rsid w:val="00EC1281"/>
    <w:rsid w:val="00EC1416"/>
    <w:rsid w:val="00EC151A"/>
    <w:rsid w:val="00EC155B"/>
    <w:rsid w:val="00EC1A11"/>
    <w:rsid w:val="00EC1E8C"/>
    <w:rsid w:val="00EC1F12"/>
    <w:rsid w:val="00EC1F67"/>
    <w:rsid w:val="00EC1FC9"/>
    <w:rsid w:val="00EC26A0"/>
    <w:rsid w:val="00EC2707"/>
    <w:rsid w:val="00EC29CA"/>
    <w:rsid w:val="00EC2DF5"/>
    <w:rsid w:val="00EC2EC2"/>
    <w:rsid w:val="00EC2FDD"/>
    <w:rsid w:val="00EC32A7"/>
    <w:rsid w:val="00EC377F"/>
    <w:rsid w:val="00EC3993"/>
    <w:rsid w:val="00EC3A9D"/>
    <w:rsid w:val="00EC3CBC"/>
    <w:rsid w:val="00EC3CBE"/>
    <w:rsid w:val="00EC3D6D"/>
    <w:rsid w:val="00EC3F0E"/>
    <w:rsid w:val="00EC42B1"/>
    <w:rsid w:val="00EC47D6"/>
    <w:rsid w:val="00EC48A0"/>
    <w:rsid w:val="00EC4BE0"/>
    <w:rsid w:val="00EC4D29"/>
    <w:rsid w:val="00EC4E94"/>
    <w:rsid w:val="00EC543F"/>
    <w:rsid w:val="00EC580C"/>
    <w:rsid w:val="00EC5976"/>
    <w:rsid w:val="00EC60EE"/>
    <w:rsid w:val="00EC6839"/>
    <w:rsid w:val="00EC6C0B"/>
    <w:rsid w:val="00EC6D7C"/>
    <w:rsid w:val="00EC7061"/>
    <w:rsid w:val="00EC75FD"/>
    <w:rsid w:val="00EC7AEF"/>
    <w:rsid w:val="00EC7F46"/>
    <w:rsid w:val="00ED01F0"/>
    <w:rsid w:val="00ED04EA"/>
    <w:rsid w:val="00ED0519"/>
    <w:rsid w:val="00ED0542"/>
    <w:rsid w:val="00ED0988"/>
    <w:rsid w:val="00ED0B0E"/>
    <w:rsid w:val="00ED0B28"/>
    <w:rsid w:val="00ED0CB2"/>
    <w:rsid w:val="00ED10B4"/>
    <w:rsid w:val="00ED129D"/>
    <w:rsid w:val="00ED1B2C"/>
    <w:rsid w:val="00ED1DF5"/>
    <w:rsid w:val="00ED20C8"/>
    <w:rsid w:val="00ED2189"/>
    <w:rsid w:val="00ED27E5"/>
    <w:rsid w:val="00ED28C9"/>
    <w:rsid w:val="00ED2AFA"/>
    <w:rsid w:val="00ED2B6C"/>
    <w:rsid w:val="00ED2DAE"/>
    <w:rsid w:val="00ED2EF4"/>
    <w:rsid w:val="00ED3281"/>
    <w:rsid w:val="00ED331B"/>
    <w:rsid w:val="00ED334F"/>
    <w:rsid w:val="00ED3644"/>
    <w:rsid w:val="00ED36A7"/>
    <w:rsid w:val="00ED3754"/>
    <w:rsid w:val="00ED3B0C"/>
    <w:rsid w:val="00ED41A8"/>
    <w:rsid w:val="00ED46EC"/>
    <w:rsid w:val="00ED4A85"/>
    <w:rsid w:val="00ED4FE0"/>
    <w:rsid w:val="00ED51B0"/>
    <w:rsid w:val="00ED55B2"/>
    <w:rsid w:val="00ED5A87"/>
    <w:rsid w:val="00ED5B34"/>
    <w:rsid w:val="00ED5FBD"/>
    <w:rsid w:val="00ED62A4"/>
    <w:rsid w:val="00ED6320"/>
    <w:rsid w:val="00ED64A0"/>
    <w:rsid w:val="00ED681C"/>
    <w:rsid w:val="00ED6D34"/>
    <w:rsid w:val="00ED74E3"/>
    <w:rsid w:val="00ED7877"/>
    <w:rsid w:val="00ED7C76"/>
    <w:rsid w:val="00ED7FEB"/>
    <w:rsid w:val="00EE051D"/>
    <w:rsid w:val="00EE054D"/>
    <w:rsid w:val="00EE07E3"/>
    <w:rsid w:val="00EE0AEC"/>
    <w:rsid w:val="00EE0B09"/>
    <w:rsid w:val="00EE0BF1"/>
    <w:rsid w:val="00EE0DF8"/>
    <w:rsid w:val="00EE0E52"/>
    <w:rsid w:val="00EE0FDB"/>
    <w:rsid w:val="00EE131F"/>
    <w:rsid w:val="00EE14CF"/>
    <w:rsid w:val="00EE1639"/>
    <w:rsid w:val="00EE16AF"/>
    <w:rsid w:val="00EE16EC"/>
    <w:rsid w:val="00EE1787"/>
    <w:rsid w:val="00EE1842"/>
    <w:rsid w:val="00EE1B17"/>
    <w:rsid w:val="00EE1BA9"/>
    <w:rsid w:val="00EE1DD7"/>
    <w:rsid w:val="00EE1EAD"/>
    <w:rsid w:val="00EE1ED0"/>
    <w:rsid w:val="00EE26CF"/>
    <w:rsid w:val="00EE27A4"/>
    <w:rsid w:val="00EE283A"/>
    <w:rsid w:val="00EE2A1B"/>
    <w:rsid w:val="00EE2C55"/>
    <w:rsid w:val="00EE2FA2"/>
    <w:rsid w:val="00EE326E"/>
    <w:rsid w:val="00EE3699"/>
    <w:rsid w:val="00EE3743"/>
    <w:rsid w:val="00EE3DF1"/>
    <w:rsid w:val="00EE3E9B"/>
    <w:rsid w:val="00EE423F"/>
    <w:rsid w:val="00EE42F6"/>
    <w:rsid w:val="00EE4374"/>
    <w:rsid w:val="00EE4394"/>
    <w:rsid w:val="00EE479D"/>
    <w:rsid w:val="00EE47FA"/>
    <w:rsid w:val="00EE4815"/>
    <w:rsid w:val="00EE4A97"/>
    <w:rsid w:val="00EE4D5B"/>
    <w:rsid w:val="00EE4E6F"/>
    <w:rsid w:val="00EE5915"/>
    <w:rsid w:val="00EE5947"/>
    <w:rsid w:val="00EE5CAF"/>
    <w:rsid w:val="00EE6151"/>
    <w:rsid w:val="00EE61E6"/>
    <w:rsid w:val="00EE65DD"/>
    <w:rsid w:val="00EE6638"/>
    <w:rsid w:val="00EE68F8"/>
    <w:rsid w:val="00EE6A73"/>
    <w:rsid w:val="00EE6ED0"/>
    <w:rsid w:val="00EE72DE"/>
    <w:rsid w:val="00EE7412"/>
    <w:rsid w:val="00EE76F9"/>
    <w:rsid w:val="00EE78D5"/>
    <w:rsid w:val="00EE79D0"/>
    <w:rsid w:val="00EE7B82"/>
    <w:rsid w:val="00EE7DC5"/>
    <w:rsid w:val="00EE7E12"/>
    <w:rsid w:val="00EF00DB"/>
    <w:rsid w:val="00EF02C1"/>
    <w:rsid w:val="00EF038D"/>
    <w:rsid w:val="00EF04B0"/>
    <w:rsid w:val="00EF05BD"/>
    <w:rsid w:val="00EF06D8"/>
    <w:rsid w:val="00EF0827"/>
    <w:rsid w:val="00EF08E4"/>
    <w:rsid w:val="00EF0BD1"/>
    <w:rsid w:val="00EF0BF7"/>
    <w:rsid w:val="00EF125F"/>
    <w:rsid w:val="00EF18C8"/>
    <w:rsid w:val="00EF19EF"/>
    <w:rsid w:val="00EF1CB2"/>
    <w:rsid w:val="00EF1D3B"/>
    <w:rsid w:val="00EF1DD6"/>
    <w:rsid w:val="00EF20C4"/>
    <w:rsid w:val="00EF22DA"/>
    <w:rsid w:val="00EF278C"/>
    <w:rsid w:val="00EF2864"/>
    <w:rsid w:val="00EF2995"/>
    <w:rsid w:val="00EF2B5E"/>
    <w:rsid w:val="00EF351C"/>
    <w:rsid w:val="00EF3553"/>
    <w:rsid w:val="00EF3644"/>
    <w:rsid w:val="00EF3689"/>
    <w:rsid w:val="00EF3848"/>
    <w:rsid w:val="00EF38C7"/>
    <w:rsid w:val="00EF3D51"/>
    <w:rsid w:val="00EF3FE5"/>
    <w:rsid w:val="00EF40B9"/>
    <w:rsid w:val="00EF421F"/>
    <w:rsid w:val="00EF4299"/>
    <w:rsid w:val="00EF42BE"/>
    <w:rsid w:val="00EF446E"/>
    <w:rsid w:val="00EF4FA4"/>
    <w:rsid w:val="00EF54F7"/>
    <w:rsid w:val="00EF55BB"/>
    <w:rsid w:val="00EF562E"/>
    <w:rsid w:val="00EF570B"/>
    <w:rsid w:val="00EF5830"/>
    <w:rsid w:val="00EF5AAD"/>
    <w:rsid w:val="00EF61E7"/>
    <w:rsid w:val="00EF64AA"/>
    <w:rsid w:val="00EF64DB"/>
    <w:rsid w:val="00EF64FE"/>
    <w:rsid w:val="00EF65A6"/>
    <w:rsid w:val="00EF67BA"/>
    <w:rsid w:val="00EF6D9B"/>
    <w:rsid w:val="00EF6E62"/>
    <w:rsid w:val="00EF72FA"/>
    <w:rsid w:val="00EF7990"/>
    <w:rsid w:val="00EF7C17"/>
    <w:rsid w:val="00EF7CF4"/>
    <w:rsid w:val="00F003B1"/>
    <w:rsid w:val="00F00C0E"/>
    <w:rsid w:val="00F01221"/>
    <w:rsid w:val="00F012B9"/>
    <w:rsid w:val="00F013C2"/>
    <w:rsid w:val="00F013CB"/>
    <w:rsid w:val="00F0146E"/>
    <w:rsid w:val="00F0172B"/>
    <w:rsid w:val="00F01785"/>
    <w:rsid w:val="00F017E0"/>
    <w:rsid w:val="00F0180E"/>
    <w:rsid w:val="00F01895"/>
    <w:rsid w:val="00F01E8F"/>
    <w:rsid w:val="00F023C4"/>
    <w:rsid w:val="00F02402"/>
    <w:rsid w:val="00F02512"/>
    <w:rsid w:val="00F0270B"/>
    <w:rsid w:val="00F02B36"/>
    <w:rsid w:val="00F02C5D"/>
    <w:rsid w:val="00F02D3E"/>
    <w:rsid w:val="00F02D61"/>
    <w:rsid w:val="00F02E1B"/>
    <w:rsid w:val="00F0317E"/>
    <w:rsid w:val="00F03B20"/>
    <w:rsid w:val="00F03DA5"/>
    <w:rsid w:val="00F03F78"/>
    <w:rsid w:val="00F04170"/>
    <w:rsid w:val="00F041EB"/>
    <w:rsid w:val="00F04942"/>
    <w:rsid w:val="00F05DF1"/>
    <w:rsid w:val="00F05E68"/>
    <w:rsid w:val="00F06049"/>
    <w:rsid w:val="00F0617D"/>
    <w:rsid w:val="00F06352"/>
    <w:rsid w:val="00F065A0"/>
    <w:rsid w:val="00F067F7"/>
    <w:rsid w:val="00F06817"/>
    <w:rsid w:val="00F070AA"/>
    <w:rsid w:val="00F0732A"/>
    <w:rsid w:val="00F07570"/>
    <w:rsid w:val="00F0770A"/>
    <w:rsid w:val="00F079E5"/>
    <w:rsid w:val="00F07B7B"/>
    <w:rsid w:val="00F07C96"/>
    <w:rsid w:val="00F07E8D"/>
    <w:rsid w:val="00F07F35"/>
    <w:rsid w:val="00F10046"/>
    <w:rsid w:val="00F10B47"/>
    <w:rsid w:val="00F10D74"/>
    <w:rsid w:val="00F113A4"/>
    <w:rsid w:val="00F115C1"/>
    <w:rsid w:val="00F1196B"/>
    <w:rsid w:val="00F11F30"/>
    <w:rsid w:val="00F11F9B"/>
    <w:rsid w:val="00F123B6"/>
    <w:rsid w:val="00F12F9F"/>
    <w:rsid w:val="00F130CC"/>
    <w:rsid w:val="00F13164"/>
    <w:rsid w:val="00F13251"/>
    <w:rsid w:val="00F13393"/>
    <w:rsid w:val="00F13419"/>
    <w:rsid w:val="00F13516"/>
    <w:rsid w:val="00F1353D"/>
    <w:rsid w:val="00F138EC"/>
    <w:rsid w:val="00F1391F"/>
    <w:rsid w:val="00F13C03"/>
    <w:rsid w:val="00F13E58"/>
    <w:rsid w:val="00F14223"/>
    <w:rsid w:val="00F1441C"/>
    <w:rsid w:val="00F148BA"/>
    <w:rsid w:val="00F14924"/>
    <w:rsid w:val="00F14B6D"/>
    <w:rsid w:val="00F14CF3"/>
    <w:rsid w:val="00F14E2C"/>
    <w:rsid w:val="00F1566D"/>
    <w:rsid w:val="00F1577E"/>
    <w:rsid w:val="00F15CE0"/>
    <w:rsid w:val="00F15E05"/>
    <w:rsid w:val="00F161A0"/>
    <w:rsid w:val="00F16282"/>
    <w:rsid w:val="00F16761"/>
    <w:rsid w:val="00F16B99"/>
    <w:rsid w:val="00F16C93"/>
    <w:rsid w:val="00F16F5C"/>
    <w:rsid w:val="00F170FD"/>
    <w:rsid w:val="00F17279"/>
    <w:rsid w:val="00F17336"/>
    <w:rsid w:val="00F175F8"/>
    <w:rsid w:val="00F177DB"/>
    <w:rsid w:val="00F17807"/>
    <w:rsid w:val="00F1782C"/>
    <w:rsid w:val="00F178E1"/>
    <w:rsid w:val="00F17BA4"/>
    <w:rsid w:val="00F17C7E"/>
    <w:rsid w:val="00F17E57"/>
    <w:rsid w:val="00F2047F"/>
    <w:rsid w:val="00F207CF"/>
    <w:rsid w:val="00F20DAC"/>
    <w:rsid w:val="00F21107"/>
    <w:rsid w:val="00F2158E"/>
    <w:rsid w:val="00F21C70"/>
    <w:rsid w:val="00F21CE2"/>
    <w:rsid w:val="00F21CEA"/>
    <w:rsid w:val="00F21D38"/>
    <w:rsid w:val="00F21E94"/>
    <w:rsid w:val="00F223FF"/>
    <w:rsid w:val="00F22795"/>
    <w:rsid w:val="00F22A44"/>
    <w:rsid w:val="00F22F28"/>
    <w:rsid w:val="00F23057"/>
    <w:rsid w:val="00F2373B"/>
    <w:rsid w:val="00F242B9"/>
    <w:rsid w:val="00F2443E"/>
    <w:rsid w:val="00F24645"/>
    <w:rsid w:val="00F246D4"/>
    <w:rsid w:val="00F247AB"/>
    <w:rsid w:val="00F24E05"/>
    <w:rsid w:val="00F24E35"/>
    <w:rsid w:val="00F25013"/>
    <w:rsid w:val="00F25160"/>
    <w:rsid w:val="00F25194"/>
    <w:rsid w:val="00F2524C"/>
    <w:rsid w:val="00F25DA0"/>
    <w:rsid w:val="00F2602E"/>
    <w:rsid w:val="00F2609B"/>
    <w:rsid w:val="00F2635B"/>
    <w:rsid w:val="00F2708E"/>
    <w:rsid w:val="00F270BD"/>
    <w:rsid w:val="00F272FF"/>
    <w:rsid w:val="00F2739D"/>
    <w:rsid w:val="00F2751B"/>
    <w:rsid w:val="00F276AA"/>
    <w:rsid w:val="00F27C19"/>
    <w:rsid w:val="00F27CBE"/>
    <w:rsid w:val="00F27EC7"/>
    <w:rsid w:val="00F27F7E"/>
    <w:rsid w:val="00F27FB7"/>
    <w:rsid w:val="00F304A3"/>
    <w:rsid w:val="00F30697"/>
    <w:rsid w:val="00F306A9"/>
    <w:rsid w:val="00F30B68"/>
    <w:rsid w:val="00F30ED8"/>
    <w:rsid w:val="00F30EED"/>
    <w:rsid w:val="00F31513"/>
    <w:rsid w:val="00F31D14"/>
    <w:rsid w:val="00F322EC"/>
    <w:rsid w:val="00F32804"/>
    <w:rsid w:val="00F32824"/>
    <w:rsid w:val="00F3288E"/>
    <w:rsid w:val="00F32948"/>
    <w:rsid w:val="00F32A46"/>
    <w:rsid w:val="00F335A9"/>
    <w:rsid w:val="00F335C3"/>
    <w:rsid w:val="00F337EB"/>
    <w:rsid w:val="00F339A3"/>
    <w:rsid w:val="00F33D85"/>
    <w:rsid w:val="00F34121"/>
    <w:rsid w:val="00F34141"/>
    <w:rsid w:val="00F3424F"/>
    <w:rsid w:val="00F34278"/>
    <w:rsid w:val="00F346ED"/>
    <w:rsid w:val="00F34B0B"/>
    <w:rsid w:val="00F34C9D"/>
    <w:rsid w:val="00F34E89"/>
    <w:rsid w:val="00F35059"/>
    <w:rsid w:val="00F35475"/>
    <w:rsid w:val="00F355E5"/>
    <w:rsid w:val="00F35959"/>
    <w:rsid w:val="00F35BF9"/>
    <w:rsid w:val="00F36039"/>
    <w:rsid w:val="00F3608D"/>
    <w:rsid w:val="00F3609A"/>
    <w:rsid w:val="00F36231"/>
    <w:rsid w:val="00F36996"/>
    <w:rsid w:val="00F36B7B"/>
    <w:rsid w:val="00F36F26"/>
    <w:rsid w:val="00F3729D"/>
    <w:rsid w:val="00F3736F"/>
    <w:rsid w:val="00F3740D"/>
    <w:rsid w:val="00F376EF"/>
    <w:rsid w:val="00F3795F"/>
    <w:rsid w:val="00F379CC"/>
    <w:rsid w:val="00F37ABA"/>
    <w:rsid w:val="00F37F20"/>
    <w:rsid w:val="00F40119"/>
    <w:rsid w:val="00F4032F"/>
    <w:rsid w:val="00F40456"/>
    <w:rsid w:val="00F40981"/>
    <w:rsid w:val="00F409A9"/>
    <w:rsid w:val="00F40EFD"/>
    <w:rsid w:val="00F40FA3"/>
    <w:rsid w:val="00F4100B"/>
    <w:rsid w:val="00F41035"/>
    <w:rsid w:val="00F4121E"/>
    <w:rsid w:val="00F41590"/>
    <w:rsid w:val="00F415D9"/>
    <w:rsid w:val="00F418F2"/>
    <w:rsid w:val="00F4193F"/>
    <w:rsid w:val="00F41982"/>
    <w:rsid w:val="00F41A5F"/>
    <w:rsid w:val="00F41A7D"/>
    <w:rsid w:val="00F41A87"/>
    <w:rsid w:val="00F41E39"/>
    <w:rsid w:val="00F42030"/>
    <w:rsid w:val="00F42070"/>
    <w:rsid w:val="00F422BD"/>
    <w:rsid w:val="00F423A4"/>
    <w:rsid w:val="00F426C8"/>
    <w:rsid w:val="00F42942"/>
    <w:rsid w:val="00F42BC8"/>
    <w:rsid w:val="00F435A8"/>
    <w:rsid w:val="00F437A6"/>
    <w:rsid w:val="00F438B2"/>
    <w:rsid w:val="00F43D48"/>
    <w:rsid w:val="00F44077"/>
    <w:rsid w:val="00F44105"/>
    <w:rsid w:val="00F44303"/>
    <w:rsid w:val="00F4452C"/>
    <w:rsid w:val="00F448BC"/>
    <w:rsid w:val="00F44A31"/>
    <w:rsid w:val="00F44EBB"/>
    <w:rsid w:val="00F45253"/>
    <w:rsid w:val="00F45531"/>
    <w:rsid w:val="00F4593A"/>
    <w:rsid w:val="00F45967"/>
    <w:rsid w:val="00F45B08"/>
    <w:rsid w:val="00F45B51"/>
    <w:rsid w:val="00F45BD5"/>
    <w:rsid w:val="00F45CD9"/>
    <w:rsid w:val="00F45CFB"/>
    <w:rsid w:val="00F45DA4"/>
    <w:rsid w:val="00F45DD9"/>
    <w:rsid w:val="00F462F1"/>
    <w:rsid w:val="00F466EF"/>
    <w:rsid w:val="00F46999"/>
    <w:rsid w:val="00F46D66"/>
    <w:rsid w:val="00F46E17"/>
    <w:rsid w:val="00F46FCF"/>
    <w:rsid w:val="00F4704F"/>
    <w:rsid w:val="00F47482"/>
    <w:rsid w:val="00F475C2"/>
    <w:rsid w:val="00F47A7D"/>
    <w:rsid w:val="00F47FCD"/>
    <w:rsid w:val="00F501A5"/>
    <w:rsid w:val="00F5065C"/>
    <w:rsid w:val="00F50831"/>
    <w:rsid w:val="00F509B2"/>
    <w:rsid w:val="00F50BEF"/>
    <w:rsid w:val="00F51063"/>
    <w:rsid w:val="00F5111E"/>
    <w:rsid w:val="00F5118C"/>
    <w:rsid w:val="00F51A7A"/>
    <w:rsid w:val="00F51B75"/>
    <w:rsid w:val="00F51E8D"/>
    <w:rsid w:val="00F52055"/>
    <w:rsid w:val="00F520D2"/>
    <w:rsid w:val="00F521E3"/>
    <w:rsid w:val="00F524B3"/>
    <w:rsid w:val="00F5261F"/>
    <w:rsid w:val="00F52765"/>
    <w:rsid w:val="00F528D5"/>
    <w:rsid w:val="00F52B2D"/>
    <w:rsid w:val="00F52B3F"/>
    <w:rsid w:val="00F52C1F"/>
    <w:rsid w:val="00F52FDB"/>
    <w:rsid w:val="00F5378D"/>
    <w:rsid w:val="00F537C7"/>
    <w:rsid w:val="00F537FB"/>
    <w:rsid w:val="00F53D25"/>
    <w:rsid w:val="00F53D80"/>
    <w:rsid w:val="00F54058"/>
    <w:rsid w:val="00F54643"/>
    <w:rsid w:val="00F54679"/>
    <w:rsid w:val="00F54759"/>
    <w:rsid w:val="00F5481A"/>
    <w:rsid w:val="00F548AD"/>
    <w:rsid w:val="00F54AE5"/>
    <w:rsid w:val="00F5513B"/>
    <w:rsid w:val="00F551BB"/>
    <w:rsid w:val="00F55347"/>
    <w:rsid w:val="00F55AC0"/>
    <w:rsid w:val="00F55C81"/>
    <w:rsid w:val="00F55CA5"/>
    <w:rsid w:val="00F55D73"/>
    <w:rsid w:val="00F55F9D"/>
    <w:rsid w:val="00F5626C"/>
    <w:rsid w:val="00F566DD"/>
    <w:rsid w:val="00F5675D"/>
    <w:rsid w:val="00F56D27"/>
    <w:rsid w:val="00F56D7B"/>
    <w:rsid w:val="00F56FD3"/>
    <w:rsid w:val="00F57605"/>
    <w:rsid w:val="00F5768C"/>
    <w:rsid w:val="00F57743"/>
    <w:rsid w:val="00F578FA"/>
    <w:rsid w:val="00F57CF7"/>
    <w:rsid w:val="00F57EC9"/>
    <w:rsid w:val="00F61283"/>
    <w:rsid w:val="00F616DB"/>
    <w:rsid w:val="00F619BD"/>
    <w:rsid w:val="00F61B58"/>
    <w:rsid w:val="00F625D1"/>
    <w:rsid w:val="00F6293F"/>
    <w:rsid w:val="00F62E6D"/>
    <w:rsid w:val="00F62FC5"/>
    <w:rsid w:val="00F63391"/>
    <w:rsid w:val="00F633A6"/>
    <w:rsid w:val="00F639A2"/>
    <w:rsid w:val="00F639DA"/>
    <w:rsid w:val="00F639DF"/>
    <w:rsid w:val="00F64071"/>
    <w:rsid w:val="00F642F7"/>
    <w:rsid w:val="00F6434F"/>
    <w:rsid w:val="00F643B0"/>
    <w:rsid w:val="00F6442F"/>
    <w:rsid w:val="00F6456F"/>
    <w:rsid w:val="00F6486C"/>
    <w:rsid w:val="00F64A14"/>
    <w:rsid w:val="00F64BAB"/>
    <w:rsid w:val="00F64C1F"/>
    <w:rsid w:val="00F64C61"/>
    <w:rsid w:val="00F64CD7"/>
    <w:rsid w:val="00F64D52"/>
    <w:rsid w:val="00F64DE3"/>
    <w:rsid w:val="00F64E60"/>
    <w:rsid w:val="00F65A08"/>
    <w:rsid w:val="00F6646A"/>
    <w:rsid w:val="00F66514"/>
    <w:rsid w:val="00F66536"/>
    <w:rsid w:val="00F66842"/>
    <w:rsid w:val="00F6743E"/>
    <w:rsid w:val="00F67735"/>
    <w:rsid w:val="00F678A4"/>
    <w:rsid w:val="00F678C3"/>
    <w:rsid w:val="00F67C2B"/>
    <w:rsid w:val="00F67CB4"/>
    <w:rsid w:val="00F7056E"/>
    <w:rsid w:val="00F7060B"/>
    <w:rsid w:val="00F7062F"/>
    <w:rsid w:val="00F70751"/>
    <w:rsid w:val="00F707BF"/>
    <w:rsid w:val="00F70A66"/>
    <w:rsid w:val="00F70B01"/>
    <w:rsid w:val="00F70EBC"/>
    <w:rsid w:val="00F70F61"/>
    <w:rsid w:val="00F71254"/>
    <w:rsid w:val="00F714B1"/>
    <w:rsid w:val="00F716AE"/>
    <w:rsid w:val="00F716B1"/>
    <w:rsid w:val="00F71861"/>
    <w:rsid w:val="00F719A6"/>
    <w:rsid w:val="00F71D5A"/>
    <w:rsid w:val="00F71FCF"/>
    <w:rsid w:val="00F720F6"/>
    <w:rsid w:val="00F72153"/>
    <w:rsid w:val="00F72411"/>
    <w:rsid w:val="00F72436"/>
    <w:rsid w:val="00F728FA"/>
    <w:rsid w:val="00F72B33"/>
    <w:rsid w:val="00F72CAA"/>
    <w:rsid w:val="00F72EF8"/>
    <w:rsid w:val="00F732AD"/>
    <w:rsid w:val="00F7339F"/>
    <w:rsid w:val="00F73552"/>
    <w:rsid w:val="00F735D7"/>
    <w:rsid w:val="00F736A2"/>
    <w:rsid w:val="00F73DEE"/>
    <w:rsid w:val="00F73EB5"/>
    <w:rsid w:val="00F73ED7"/>
    <w:rsid w:val="00F7403D"/>
    <w:rsid w:val="00F744C7"/>
    <w:rsid w:val="00F747E2"/>
    <w:rsid w:val="00F74841"/>
    <w:rsid w:val="00F748AF"/>
    <w:rsid w:val="00F74B22"/>
    <w:rsid w:val="00F74D7C"/>
    <w:rsid w:val="00F75017"/>
    <w:rsid w:val="00F756B8"/>
    <w:rsid w:val="00F7578A"/>
    <w:rsid w:val="00F75AE0"/>
    <w:rsid w:val="00F75C96"/>
    <w:rsid w:val="00F75D92"/>
    <w:rsid w:val="00F75F5A"/>
    <w:rsid w:val="00F763A2"/>
    <w:rsid w:val="00F76648"/>
    <w:rsid w:val="00F76683"/>
    <w:rsid w:val="00F76715"/>
    <w:rsid w:val="00F767A2"/>
    <w:rsid w:val="00F7682E"/>
    <w:rsid w:val="00F76BFB"/>
    <w:rsid w:val="00F76C55"/>
    <w:rsid w:val="00F7702F"/>
    <w:rsid w:val="00F773BF"/>
    <w:rsid w:val="00F776AE"/>
    <w:rsid w:val="00F777EA"/>
    <w:rsid w:val="00F77ABC"/>
    <w:rsid w:val="00F77BE3"/>
    <w:rsid w:val="00F77FBD"/>
    <w:rsid w:val="00F81297"/>
    <w:rsid w:val="00F81347"/>
    <w:rsid w:val="00F813D3"/>
    <w:rsid w:val="00F814EA"/>
    <w:rsid w:val="00F81544"/>
    <w:rsid w:val="00F81919"/>
    <w:rsid w:val="00F81B51"/>
    <w:rsid w:val="00F81D84"/>
    <w:rsid w:val="00F81F07"/>
    <w:rsid w:val="00F81F72"/>
    <w:rsid w:val="00F823F3"/>
    <w:rsid w:val="00F82707"/>
    <w:rsid w:val="00F827BB"/>
    <w:rsid w:val="00F82854"/>
    <w:rsid w:val="00F82A8B"/>
    <w:rsid w:val="00F836F8"/>
    <w:rsid w:val="00F837BC"/>
    <w:rsid w:val="00F83C7B"/>
    <w:rsid w:val="00F83F46"/>
    <w:rsid w:val="00F841FF"/>
    <w:rsid w:val="00F84755"/>
    <w:rsid w:val="00F84C70"/>
    <w:rsid w:val="00F84F0C"/>
    <w:rsid w:val="00F85000"/>
    <w:rsid w:val="00F851E9"/>
    <w:rsid w:val="00F8535A"/>
    <w:rsid w:val="00F853F3"/>
    <w:rsid w:val="00F854CA"/>
    <w:rsid w:val="00F855CA"/>
    <w:rsid w:val="00F85DDE"/>
    <w:rsid w:val="00F85FBC"/>
    <w:rsid w:val="00F86172"/>
    <w:rsid w:val="00F867E8"/>
    <w:rsid w:val="00F86A86"/>
    <w:rsid w:val="00F86A89"/>
    <w:rsid w:val="00F86C0D"/>
    <w:rsid w:val="00F86CBE"/>
    <w:rsid w:val="00F86D70"/>
    <w:rsid w:val="00F872B8"/>
    <w:rsid w:val="00F8754C"/>
    <w:rsid w:val="00F875C7"/>
    <w:rsid w:val="00F8762A"/>
    <w:rsid w:val="00F87792"/>
    <w:rsid w:val="00F87D1F"/>
    <w:rsid w:val="00F87E1C"/>
    <w:rsid w:val="00F87E3D"/>
    <w:rsid w:val="00F903AE"/>
    <w:rsid w:val="00F90617"/>
    <w:rsid w:val="00F90816"/>
    <w:rsid w:val="00F9083E"/>
    <w:rsid w:val="00F908F8"/>
    <w:rsid w:val="00F90ABD"/>
    <w:rsid w:val="00F90ABE"/>
    <w:rsid w:val="00F910D0"/>
    <w:rsid w:val="00F9111C"/>
    <w:rsid w:val="00F91A89"/>
    <w:rsid w:val="00F91BA5"/>
    <w:rsid w:val="00F920C4"/>
    <w:rsid w:val="00F923C3"/>
    <w:rsid w:val="00F925E4"/>
    <w:rsid w:val="00F9276E"/>
    <w:rsid w:val="00F9279C"/>
    <w:rsid w:val="00F92879"/>
    <w:rsid w:val="00F92A1C"/>
    <w:rsid w:val="00F92EFE"/>
    <w:rsid w:val="00F93260"/>
    <w:rsid w:val="00F9327A"/>
    <w:rsid w:val="00F9344F"/>
    <w:rsid w:val="00F9369F"/>
    <w:rsid w:val="00F93AFA"/>
    <w:rsid w:val="00F93C25"/>
    <w:rsid w:val="00F93EBE"/>
    <w:rsid w:val="00F94016"/>
    <w:rsid w:val="00F94332"/>
    <w:rsid w:val="00F945BB"/>
    <w:rsid w:val="00F94E31"/>
    <w:rsid w:val="00F94F29"/>
    <w:rsid w:val="00F95235"/>
    <w:rsid w:val="00F952BA"/>
    <w:rsid w:val="00F95357"/>
    <w:rsid w:val="00F95862"/>
    <w:rsid w:val="00F95C2F"/>
    <w:rsid w:val="00F95E52"/>
    <w:rsid w:val="00F95E60"/>
    <w:rsid w:val="00F96101"/>
    <w:rsid w:val="00F96343"/>
    <w:rsid w:val="00F965BB"/>
    <w:rsid w:val="00F969E3"/>
    <w:rsid w:val="00F96A6E"/>
    <w:rsid w:val="00F96CAD"/>
    <w:rsid w:val="00F96D02"/>
    <w:rsid w:val="00F96D3D"/>
    <w:rsid w:val="00F96E84"/>
    <w:rsid w:val="00F96FED"/>
    <w:rsid w:val="00F970D7"/>
    <w:rsid w:val="00F97112"/>
    <w:rsid w:val="00F9723C"/>
    <w:rsid w:val="00F9775D"/>
    <w:rsid w:val="00F97CA4"/>
    <w:rsid w:val="00FA00E5"/>
    <w:rsid w:val="00FA015D"/>
    <w:rsid w:val="00FA0596"/>
    <w:rsid w:val="00FA06B2"/>
    <w:rsid w:val="00FA0763"/>
    <w:rsid w:val="00FA0D39"/>
    <w:rsid w:val="00FA1199"/>
    <w:rsid w:val="00FA153B"/>
    <w:rsid w:val="00FA16C2"/>
    <w:rsid w:val="00FA192A"/>
    <w:rsid w:val="00FA199D"/>
    <w:rsid w:val="00FA1B5F"/>
    <w:rsid w:val="00FA1C94"/>
    <w:rsid w:val="00FA1D70"/>
    <w:rsid w:val="00FA1FAB"/>
    <w:rsid w:val="00FA241C"/>
    <w:rsid w:val="00FA2700"/>
    <w:rsid w:val="00FA273A"/>
    <w:rsid w:val="00FA28F2"/>
    <w:rsid w:val="00FA2C03"/>
    <w:rsid w:val="00FA2C74"/>
    <w:rsid w:val="00FA2D03"/>
    <w:rsid w:val="00FA2E78"/>
    <w:rsid w:val="00FA2EA4"/>
    <w:rsid w:val="00FA2F01"/>
    <w:rsid w:val="00FA319D"/>
    <w:rsid w:val="00FA3268"/>
    <w:rsid w:val="00FA3285"/>
    <w:rsid w:val="00FA3320"/>
    <w:rsid w:val="00FA3803"/>
    <w:rsid w:val="00FA3FC2"/>
    <w:rsid w:val="00FA4170"/>
    <w:rsid w:val="00FA4379"/>
    <w:rsid w:val="00FA4388"/>
    <w:rsid w:val="00FA4448"/>
    <w:rsid w:val="00FA46F1"/>
    <w:rsid w:val="00FA474B"/>
    <w:rsid w:val="00FA4A26"/>
    <w:rsid w:val="00FA4ED1"/>
    <w:rsid w:val="00FA4F71"/>
    <w:rsid w:val="00FA50EB"/>
    <w:rsid w:val="00FA5150"/>
    <w:rsid w:val="00FA52A9"/>
    <w:rsid w:val="00FA54DF"/>
    <w:rsid w:val="00FA5EB0"/>
    <w:rsid w:val="00FA6060"/>
    <w:rsid w:val="00FA65B3"/>
    <w:rsid w:val="00FA65D1"/>
    <w:rsid w:val="00FA66C8"/>
    <w:rsid w:val="00FA6714"/>
    <w:rsid w:val="00FA683B"/>
    <w:rsid w:val="00FA692A"/>
    <w:rsid w:val="00FA69B0"/>
    <w:rsid w:val="00FA6F15"/>
    <w:rsid w:val="00FA703C"/>
    <w:rsid w:val="00FA7060"/>
    <w:rsid w:val="00FA713E"/>
    <w:rsid w:val="00FA7186"/>
    <w:rsid w:val="00FA7C81"/>
    <w:rsid w:val="00FA7D86"/>
    <w:rsid w:val="00FB0233"/>
    <w:rsid w:val="00FB02D6"/>
    <w:rsid w:val="00FB0B47"/>
    <w:rsid w:val="00FB0BAD"/>
    <w:rsid w:val="00FB0C64"/>
    <w:rsid w:val="00FB0C80"/>
    <w:rsid w:val="00FB0D1E"/>
    <w:rsid w:val="00FB0E13"/>
    <w:rsid w:val="00FB0F55"/>
    <w:rsid w:val="00FB10D6"/>
    <w:rsid w:val="00FB129E"/>
    <w:rsid w:val="00FB136D"/>
    <w:rsid w:val="00FB137C"/>
    <w:rsid w:val="00FB13D8"/>
    <w:rsid w:val="00FB14CD"/>
    <w:rsid w:val="00FB1554"/>
    <w:rsid w:val="00FB1599"/>
    <w:rsid w:val="00FB1994"/>
    <w:rsid w:val="00FB1B71"/>
    <w:rsid w:val="00FB1D66"/>
    <w:rsid w:val="00FB1D91"/>
    <w:rsid w:val="00FB1F57"/>
    <w:rsid w:val="00FB26A9"/>
    <w:rsid w:val="00FB2A5A"/>
    <w:rsid w:val="00FB2C63"/>
    <w:rsid w:val="00FB2D95"/>
    <w:rsid w:val="00FB2D9E"/>
    <w:rsid w:val="00FB3055"/>
    <w:rsid w:val="00FB3680"/>
    <w:rsid w:val="00FB36CF"/>
    <w:rsid w:val="00FB39A1"/>
    <w:rsid w:val="00FB3ADE"/>
    <w:rsid w:val="00FB3AE1"/>
    <w:rsid w:val="00FB3C4A"/>
    <w:rsid w:val="00FB3C93"/>
    <w:rsid w:val="00FB3C96"/>
    <w:rsid w:val="00FB3D94"/>
    <w:rsid w:val="00FB3FBC"/>
    <w:rsid w:val="00FB4175"/>
    <w:rsid w:val="00FB4248"/>
    <w:rsid w:val="00FB4790"/>
    <w:rsid w:val="00FB479D"/>
    <w:rsid w:val="00FB4868"/>
    <w:rsid w:val="00FB4BD0"/>
    <w:rsid w:val="00FB4BFC"/>
    <w:rsid w:val="00FB4C28"/>
    <w:rsid w:val="00FB507A"/>
    <w:rsid w:val="00FB50C3"/>
    <w:rsid w:val="00FB58B8"/>
    <w:rsid w:val="00FB5A54"/>
    <w:rsid w:val="00FB5EC3"/>
    <w:rsid w:val="00FB609D"/>
    <w:rsid w:val="00FB668E"/>
    <w:rsid w:val="00FB6726"/>
    <w:rsid w:val="00FB6BFC"/>
    <w:rsid w:val="00FB6C21"/>
    <w:rsid w:val="00FB6CDA"/>
    <w:rsid w:val="00FB6FDC"/>
    <w:rsid w:val="00FB6FFA"/>
    <w:rsid w:val="00FB7A36"/>
    <w:rsid w:val="00FB7BC6"/>
    <w:rsid w:val="00FB7D0E"/>
    <w:rsid w:val="00FB7FB2"/>
    <w:rsid w:val="00FC08CC"/>
    <w:rsid w:val="00FC09CB"/>
    <w:rsid w:val="00FC0D57"/>
    <w:rsid w:val="00FC10EB"/>
    <w:rsid w:val="00FC1129"/>
    <w:rsid w:val="00FC1386"/>
    <w:rsid w:val="00FC13FF"/>
    <w:rsid w:val="00FC1AB8"/>
    <w:rsid w:val="00FC1DDF"/>
    <w:rsid w:val="00FC21A1"/>
    <w:rsid w:val="00FC2301"/>
    <w:rsid w:val="00FC25A5"/>
    <w:rsid w:val="00FC2A44"/>
    <w:rsid w:val="00FC2AE0"/>
    <w:rsid w:val="00FC3296"/>
    <w:rsid w:val="00FC3A6A"/>
    <w:rsid w:val="00FC3B5E"/>
    <w:rsid w:val="00FC3C67"/>
    <w:rsid w:val="00FC3C82"/>
    <w:rsid w:val="00FC3CA1"/>
    <w:rsid w:val="00FC3CD9"/>
    <w:rsid w:val="00FC3F7C"/>
    <w:rsid w:val="00FC448F"/>
    <w:rsid w:val="00FC45B4"/>
    <w:rsid w:val="00FC46CF"/>
    <w:rsid w:val="00FC48FF"/>
    <w:rsid w:val="00FC4941"/>
    <w:rsid w:val="00FC4942"/>
    <w:rsid w:val="00FC4AC0"/>
    <w:rsid w:val="00FC4E6F"/>
    <w:rsid w:val="00FC4E7C"/>
    <w:rsid w:val="00FC52B2"/>
    <w:rsid w:val="00FC5756"/>
    <w:rsid w:val="00FC5BAE"/>
    <w:rsid w:val="00FC5D32"/>
    <w:rsid w:val="00FC5D5C"/>
    <w:rsid w:val="00FC6059"/>
    <w:rsid w:val="00FC6197"/>
    <w:rsid w:val="00FC64FB"/>
    <w:rsid w:val="00FC6F4A"/>
    <w:rsid w:val="00FC75B9"/>
    <w:rsid w:val="00FC78A5"/>
    <w:rsid w:val="00FC7E16"/>
    <w:rsid w:val="00FC7FA7"/>
    <w:rsid w:val="00FD02CE"/>
    <w:rsid w:val="00FD0396"/>
    <w:rsid w:val="00FD0530"/>
    <w:rsid w:val="00FD07CE"/>
    <w:rsid w:val="00FD082F"/>
    <w:rsid w:val="00FD0B31"/>
    <w:rsid w:val="00FD0B69"/>
    <w:rsid w:val="00FD0C02"/>
    <w:rsid w:val="00FD1060"/>
    <w:rsid w:val="00FD11BA"/>
    <w:rsid w:val="00FD1298"/>
    <w:rsid w:val="00FD151A"/>
    <w:rsid w:val="00FD1BB8"/>
    <w:rsid w:val="00FD1C4E"/>
    <w:rsid w:val="00FD2011"/>
    <w:rsid w:val="00FD216B"/>
    <w:rsid w:val="00FD28E3"/>
    <w:rsid w:val="00FD2A03"/>
    <w:rsid w:val="00FD2CF2"/>
    <w:rsid w:val="00FD2DFF"/>
    <w:rsid w:val="00FD2E8C"/>
    <w:rsid w:val="00FD320D"/>
    <w:rsid w:val="00FD337B"/>
    <w:rsid w:val="00FD3493"/>
    <w:rsid w:val="00FD3AB5"/>
    <w:rsid w:val="00FD3E21"/>
    <w:rsid w:val="00FD42CB"/>
    <w:rsid w:val="00FD47AF"/>
    <w:rsid w:val="00FD4C73"/>
    <w:rsid w:val="00FD515C"/>
    <w:rsid w:val="00FD54E5"/>
    <w:rsid w:val="00FD5803"/>
    <w:rsid w:val="00FD5A03"/>
    <w:rsid w:val="00FD604B"/>
    <w:rsid w:val="00FD6238"/>
    <w:rsid w:val="00FD62D2"/>
    <w:rsid w:val="00FD653C"/>
    <w:rsid w:val="00FD65C9"/>
    <w:rsid w:val="00FD6EFE"/>
    <w:rsid w:val="00FD70D0"/>
    <w:rsid w:val="00FD7779"/>
    <w:rsid w:val="00FD7A64"/>
    <w:rsid w:val="00FD7B66"/>
    <w:rsid w:val="00FD7D29"/>
    <w:rsid w:val="00FD7E03"/>
    <w:rsid w:val="00FE0397"/>
    <w:rsid w:val="00FE09D3"/>
    <w:rsid w:val="00FE0A9C"/>
    <w:rsid w:val="00FE0C5F"/>
    <w:rsid w:val="00FE11F3"/>
    <w:rsid w:val="00FE15ED"/>
    <w:rsid w:val="00FE1738"/>
    <w:rsid w:val="00FE1745"/>
    <w:rsid w:val="00FE1817"/>
    <w:rsid w:val="00FE1C3B"/>
    <w:rsid w:val="00FE20F9"/>
    <w:rsid w:val="00FE22E2"/>
    <w:rsid w:val="00FE2470"/>
    <w:rsid w:val="00FE250C"/>
    <w:rsid w:val="00FE254D"/>
    <w:rsid w:val="00FE2683"/>
    <w:rsid w:val="00FE294E"/>
    <w:rsid w:val="00FE2AD7"/>
    <w:rsid w:val="00FE2E6E"/>
    <w:rsid w:val="00FE2F03"/>
    <w:rsid w:val="00FE3226"/>
    <w:rsid w:val="00FE3C92"/>
    <w:rsid w:val="00FE3E7C"/>
    <w:rsid w:val="00FE3F24"/>
    <w:rsid w:val="00FE419B"/>
    <w:rsid w:val="00FE43CC"/>
    <w:rsid w:val="00FE44ED"/>
    <w:rsid w:val="00FE48C4"/>
    <w:rsid w:val="00FE502F"/>
    <w:rsid w:val="00FE5528"/>
    <w:rsid w:val="00FE556D"/>
    <w:rsid w:val="00FE5725"/>
    <w:rsid w:val="00FE5CC8"/>
    <w:rsid w:val="00FE5F17"/>
    <w:rsid w:val="00FE5F8C"/>
    <w:rsid w:val="00FE62E0"/>
    <w:rsid w:val="00FE641B"/>
    <w:rsid w:val="00FE64F1"/>
    <w:rsid w:val="00FE6960"/>
    <w:rsid w:val="00FE69BB"/>
    <w:rsid w:val="00FE69DB"/>
    <w:rsid w:val="00FE6A0D"/>
    <w:rsid w:val="00FE7033"/>
    <w:rsid w:val="00FE7253"/>
    <w:rsid w:val="00FE74EE"/>
    <w:rsid w:val="00FE74F9"/>
    <w:rsid w:val="00FE7504"/>
    <w:rsid w:val="00FE75AB"/>
    <w:rsid w:val="00FE7F3B"/>
    <w:rsid w:val="00FF03D9"/>
    <w:rsid w:val="00FF0A60"/>
    <w:rsid w:val="00FF0A8A"/>
    <w:rsid w:val="00FF0C8F"/>
    <w:rsid w:val="00FF11A7"/>
    <w:rsid w:val="00FF1331"/>
    <w:rsid w:val="00FF1AED"/>
    <w:rsid w:val="00FF1BC3"/>
    <w:rsid w:val="00FF1C39"/>
    <w:rsid w:val="00FF1C50"/>
    <w:rsid w:val="00FF1F50"/>
    <w:rsid w:val="00FF20BC"/>
    <w:rsid w:val="00FF24DA"/>
    <w:rsid w:val="00FF28EB"/>
    <w:rsid w:val="00FF29F7"/>
    <w:rsid w:val="00FF2BFF"/>
    <w:rsid w:val="00FF2DD5"/>
    <w:rsid w:val="00FF2EB2"/>
    <w:rsid w:val="00FF2F9D"/>
    <w:rsid w:val="00FF2FB5"/>
    <w:rsid w:val="00FF306E"/>
    <w:rsid w:val="00FF3089"/>
    <w:rsid w:val="00FF3534"/>
    <w:rsid w:val="00FF3B4F"/>
    <w:rsid w:val="00FF3B80"/>
    <w:rsid w:val="00FF3CC7"/>
    <w:rsid w:val="00FF4064"/>
    <w:rsid w:val="00FF427E"/>
    <w:rsid w:val="00FF446F"/>
    <w:rsid w:val="00FF4527"/>
    <w:rsid w:val="00FF492D"/>
    <w:rsid w:val="00FF4E89"/>
    <w:rsid w:val="00FF5326"/>
    <w:rsid w:val="00FF5550"/>
    <w:rsid w:val="00FF55E5"/>
    <w:rsid w:val="00FF5A9D"/>
    <w:rsid w:val="00FF5D7E"/>
    <w:rsid w:val="00FF6000"/>
    <w:rsid w:val="00FF6161"/>
    <w:rsid w:val="00FF654D"/>
    <w:rsid w:val="00FF7876"/>
    <w:rsid w:val="00FF7914"/>
    <w:rsid w:val="0128C2D8"/>
    <w:rsid w:val="0155FB17"/>
    <w:rsid w:val="016ECE71"/>
    <w:rsid w:val="0171E007"/>
    <w:rsid w:val="01AF9B67"/>
    <w:rsid w:val="01BE68D0"/>
    <w:rsid w:val="0250F146"/>
    <w:rsid w:val="02D50782"/>
    <w:rsid w:val="03054634"/>
    <w:rsid w:val="0358E5A1"/>
    <w:rsid w:val="03F1D4E2"/>
    <w:rsid w:val="04432D5D"/>
    <w:rsid w:val="05610F83"/>
    <w:rsid w:val="061A16CD"/>
    <w:rsid w:val="06305A28"/>
    <w:rsid w:val="068DFC6C"/>
    <w:rsid w:val="075F9F5C"/>
    <w:rsid w:val="078ACAA1"/>
    <w:rsid w:val="07B39DB5"/>
    <w:rsid w:val="083B333A"/>
    <w:rsid w:val="08D12AFA"/>
    <w:rsid w:val="09C63973"/>
    <w:rsid w:val="09E52C8F"/>
    <w:rsid w:val="09F1CFCB"/>
    <w:rsid w:val="0A2D8654"/>
    <w:rsid w:val="0A2F35E7"/>
    <w:rsid w:val="0A533823"/>
    <w:rsid w:val="0A539EC8"/>
    <w:rsid w:val="0AF64EB4"/>
    <w:rsid w:val="0BC07449"/>
    <w:rsid w:val="0C248969"/>
    <w:rsid w:val="0C37F23B"/>
    <w:rsid w:val="0C7C375F"/>
    <w:rsid w:val="0D419025"/>
    <w:rsid w:val="0D74F1FA"/>
    <w:rsid w:val="0E2294AF"/>
    <w:rsid w:val="0E41FE26"/>
    <w:rsid w:val="0E51F8DB"/>
    <w:rsid w:val="0F06A785"/>
    <w:rsid w:val="101CC241"/>
    <w:rsid w:val="1038D5BF"/>
    <w:rsid w:val="10459023"/>
    <w:rsid w:val="10A796A2"/>
    <w:rsid w:val="10F55E41"/>
    <w:rsid w:val="117247CE"/>
    <w:rsid w:val="1184BEAA"/>
    <w:rsid w:val="11EB7FA2"/>
    <w:rsid w:val="132FE949"/>
    <w:rsid w:val="13A85A14"/>
    <w:rsid w:val="13ACE36D"/>
    <w:rsid w:val="1416AC9E"/>
    <w:rsid w:val="147FF497"/>
    <w:rsid w:val="14F7266E"/>
    <w:rsid w:val="15150B8B"/>
    <w:rsid w:val="15B27CFF"/>
    <w:rsid w:val="16206395"/>
    <w:rsid w:val="16226A5F"/>
    <w:rsid w:val="1656F4E5"/>
    <w:rsid w:val="169F6C23"/>
    <w:rsid w:val="16A003BD"/>
    <w:rsid w:val="16CC29B2"/>
    <w:rsid w:val="16D6EDC7"/>
    <w:rsid w:val="1713CBE9"/>
    <w:rsid w:val="175FE578"/>
    <w:rsid w:val="17E9C411"/>
    <w:rsid w:val="1811917B"/>
    <w:rsid w:val="18574909"/>
    <w:rsid w:val="185839FC"/>
    <w:rsid w:val="185DC798"/>
    <w:rsid w:val="18CC27A6"/>
    <w:rsid w:val="19ABE82A"/>
    <w:rsid w:val="19C43D8D"/>
    <w:rsid w:val="1B9F36EF"/>
    <w:rsid w:val="1BAF6D0D"/>
    <w:rsid w:val="1BF4EE4C"/>
    <w:rsid w:val="1C04CEA1"/>
    <w:rsid w:val="1D058F60"/>
    <w:rsid w:val="1D4C3B0E"/>
    <w:rsid w:val="1D50F284"/>
    <w:rsid w:val="1D6CA828"/>
    <w:rsid w:val="1D8FECF4"/>
    <w:rsid w:val="1EBA06B2"/>
    <w:rsid w:val="1F087889"/>
    <w:rsid w:val="202794D2"/>
    <w:rsid w:val="203AD8F5"/>
    <w:rsid w:val="213625A0"/>
    <w:rsid w:val="2151C978"/>
    <w:rsid w:val="21BE47BA"/>
    <w:rsid w:val="21CE52CC"/>
    <w:rsid w:val="227534DA"/>
    <w:rsid w:val="22A397B4"/>
    <w:rsid w:val="22CFF59B"/>
    <w:rsid w:val="22D8776D"/>
    <w:rsid w:val="232AA54C"/>
    <w:rsid w:val="234C9D50"/>
    <w:rsid w:val="236B8F4F"/>
    <w:rsid w:val="240416A9"/>
    <w:rsid w:val="24067308"/>
    <w:rsid w:val="2428AE10"/>
    <w:rsid w:val="243F6815"/>
    <w:rsid w:val="24934E39"/>
    <w:rsid w:val="24D94996"/>
    <w:rsid w:val="250C2963"/>
    <w:rsid w:val="253DC552"/>
    <w:rsid w:val="2543C182"/>
    <w:rsid w:val="25E9516B"/>
    <w:rsid w:val="26AC801F"/>
    <w:rsid w:val="2736F07C"/>
    <w:rsid w:val="281F8004"/>
    <w:rsid w:val="287077FC"/>
    <w:rsid w:val="287846B0"/>
    <w:rsid w:val="2960DB37"/>
    <w:rsid w:val="29D8AB83"/>
    <w:rsid w:val="2A17A949"/>
    <w:rsid w:val="2A41E216"/>
    <w:rsid w:val="2ADB13BB"/>
    <w:rsid w:val="2B0CD0AA"/>
    <w:rsid w:val="2B4E6F6F"/>
    <w:rsid w:val="2BC2A920"/>
    <w:rsid w:val="2BD5F81A"/>
    <w:rsid w:val="2C134F4B"/>
    <w:rsid w:val="2D0EE70E"/>
    <w:rsid w:val="2D186309"/>
    <w:rsid w:val="2D54BD39"/>
    <w:rsid w:val="2D8E044D"/>
    <w:rsid w:val="2DA83FBB"/>
    <w:rsid w:val="2DAFD317"/>
    <w:rsid w:val="2DD5CE8D"/>
    <w:rsid w:val="2E04E986"/>
    <w:rsid w:val="2E2EADC9"/>
    <w:rsid w:val="2E74F0CE"/>
    <w:rsid w:val="2F014F08"/>
    <w:rsid w:val="30124DEF"/>
    <w:rsid w:val="30375B59"/>
    <w:rsid w:val="304A8730"/>
    <w:rsid w:val="3086EACD"/>
    <w:rsid w:val="314F8521"/>
    <w:rsid w:val="319EE634"/>
    <w:rsid w:val="31A293E0"/>
    <w:rsid w:val="31AE4F9A"/>
    <w:rsid w:val="3246C87A"/>
    <w:rsid w:val="3271212B"/>
    <w:rsid w:val="329D53BF"/>
    <w:rsid w:val="32C639CB"/>
    <w:rsid w:val="32E89722"/>
    <w:rsid w:val="342C333B"/>
    <w:rsid w:val="343F8FC8"/>
    <w:rsid w:val="3455490B"/>
    <w:rsid w:val="346D139A"/>
    <w:rsid w:val="34922D7D"/>
    <w:rsid w:val="34DA34A2"/>
    <w:rsid w:val="35562A01"/>
    <w:rsid w:val="35738312"/>
    <w:rsid w:val="35836095"/>
    <w:rsid w:val="35DB6029"/>
    <w:rsid w:val="3671417C"/>
    <w:rsid w:val="36A036CC"/>
    <w:rsid w:val="3765E9E0"/>
    <w:rsid w:val="3774FA05"/>
    <w:rsid w:val="37832F09"/>
    <w:rsid w:val="37947646"/>
    <w:rsid w:val="37A320F0"/>
    <w:rsid w:val="38987778"/>
    <w:rsid w:val="38E08BE9"/>
    <w:rsid w:val="38F6E0FD"/>
    <w:rsid w:val="397467CE"/>
    <w:rsid w:val="397DD986"/>
    <w:rsid w:val="39C7ECAD"/>
    <w:rsid w:val="3ABBDAB4"/>
    <w:rsid w:val="3AC6BC12"/>
    <w:rsid w:val="3AFB023A"/>
    <w:rsid w:val="3B7B39CF"/>
    <w:rsid w:val="3C07ABFC"/>
    <w:rsid w:val="3C215DC4"/>
    <w:rsid w:val="3C4B229E"/>
    <w:rsid w:val="3CB25C08"/>
    <w:rsid w:val="3D57A4B4"/>
    <w:rsid w:val="3D80F893"/>
    <w:rsid w:val="3DB4F0B2"/>
    <w:rsid w:val="3DFFE8D7"/>
    <w:rsid w:val="3E38A551"/>
    <w:rsid w:val="3E4EFDC9"/>
    <w:rsid w:val="3E6C3F95"/>
    <w:rsid w:val="3EC6ABF9"/>
    <w:rsid w:val="3FCB6326"/>
    <w:rsid w:val="402130CB"/>
    <w:rsid w:val="40C7AE39"/>
    <w:rsid w:val="413D2AE9"/>
    <w:rsid w:val="416302A6"/>
    <w:rsid w:val="423A54E3"/>
    <w:rsid w:val="4261A1F2"/>
    <w:rsid w:val="428730C6"/>
    <w:rsid w:val="42B9AAA1"/>
    <w:rsid w:val="42B9AD58"/>
    <w:rsid w:val="42C1175B"/>
    <w:rsid w:val="42D6AC66"/>
    <w:rsid w:val="42EC9325"/>
    <w:rsid w:val="440407D8"/>
    <w:rsid w:val="441F916A"/>
    <w:rsid w:val="44450785"/>
    <w:rsid w:val="44980BC5"/>
    <w:rsid w:val="454545E8"/>
    <w:rsid w:val="45BE0A75"/>
    <w:rsid w:val="45DF00A8"/>
    <w:rsid w:val="45E81B7E"/>
    <w:rsid w:val="4612FDBA"/>
    <w:rsid w:val="469EBC60"/>
    <w:rsid w:val="46B02118"/>
    <w:rsid w:val="46DE04D8"/>
    <w:rsid w:val="46E1CE13"/>
    <w:rsid w:val="46E99C09"/>
    <w:rsid w:val="46ED826B"/>
    <w:rsid w:val="48438635"/>
    <w:rsid w:val="488C830E"/>
    <w:rsid w:val="48C2B1C9"/>
    <w:rsid w:val="48DDA7D4"/>
    <w:rsid w:val="4953E397"/>
    <w:rsid w:val="49F9F808"/>
    <w:rsid w:val="4A708EC2"/>
    <w:rsid w:val="4AA4F5B8"/>
    <w:rsid w:val="4AD8C25B"/>
    <w:rsid w:val="4ADB9155"/>
    <w:rsid w:val="4B2515E6"/>
    <w:rsid w:val="4BCD152B"/>
    <w:rsid w:val="4BCE8667"/>
    <w:rsid w:val="4C9B1317"/>
    <w:rsid w:val="4CBC1C21"/>
    <w:rsid w:val="4CC820BB"/>
    <w:rsid w:val="4D137A2B"/>
    <w:rsid w:val="4D7A5D67"/>
    <w:rsid w:val="4DC92F18"/>
    <w:rsid w:val="4EB4CFC7"/>
    <w:rsid w:val="4F20F233"/>
    <w:rsid w:val="4FFE47D1"/>
    <w:rsid w:val="5018D9B9"/>
    <w:rsid w:val="5020E12C"/>
    <w:rsid w:val="502D6C03"/>
    <w:rsid w:val="50652A62"/>
    <w:rsid w:val="5098012B"/>
    <w:rsid w:val="50A91949"/>
    <w:rsid w:val="51A5A730"/>
    <w:rsid w:val="51E7D266"/>
    <w:rsid w:val="51FE297B"/>
    <w:rsid w:val="527D1ED0"/>
    <w:rsid w:val="5287AFBE"/>
    <w:rsid w:val="536859B7"/>
    <w:rsid w:val="53AAA191"/>
    <w:rsid w:val="53AF70E6"/>
    <w:rsid w:val="54C74501"/>
    <w:rsid w:val="55023514"/>
    <w:rsid w:val="554A5846"/>
    <w:rsid w:val="558DF9B0"/>
    <w:rsid w:val="559A123C"/>
    <w:rsid w:val="55A04A2F"/>
    <w:rsid w:val="55C64D9D"/>
    <w:rsid w:val="565B1146"/>
    <w:rsid w:val="57099A37"/>
    <w:rsid w:val="570B45EA"/>
    <w:rsid w:val="57589072"/>
    <w:rsid w:val="58DD2FC5"/>
    <w:rsid w:val="58E62D37"/>
    <w:rsid w:val="58E878DC"/>
    <w:rsid w:val="58F0DE38"/>
    <w:rsid w:val="597CDBAE"/>
    <w:rsid w:val="597F36DB"/>
    <w:rsid w:val="59BB25EC"/>
    <w:rsid w:val="5AABB5A4"/>
    <w:rsid w:val="5B211D01"/>
    <w:rsid w:val="5B475A2F"/>
    <w:rsid w:val="5B89B909"/>
    <w:rsid w:val="5BCA0422"/>
    <w:rsid w:val="5C084063"/>
    <w:rsid w:val="5CA1B4B9"/>
    <w:rsid w:val="5CB324B4"/>
    <w:rsid w:val="5D1D619E"/>
    <w:rsid w:val="5D2D80F0"/>
    <w:rsid w:val="5E2E0F72"/>
    <w:rsid w:val="5E51BEA5"/>
    <w:rsid w:val="5F6A653A"/>
    <w:rsid w:val="5F7474D8"/>
    <w:rsid w:val="5F99775A"/>
    <w:rsid w:val="5FD30852"/>
    <w:rsid w:val="60957BC4"/>
    <w:rsid w:val="60E48173"/>
    <w:rsid w:val="611E2A63"/>
    <w:rsid w:val="617C4F8C"/>
    <w:rsid w:val="6246DBE6"/>
    <w:rsid w:val="6286ADC8"/>
    <w:rsid w:val="62A3328F"/>
    <w:rsid w:val="62B14690"/>
    <w:rsid w:val="62C37374"/>
    <w:rsid w:val="62F40A09"/>
    <w:rsid w:val="634969F0"/>
    <w:rsid w:val="63BF5709"/>
    <w:rsid w:val="63DFEEB3"/>
    <w:rsid w:val="63FD3ACD"/>
    <w:rsid w:val="646A42D5"/>
    <w:rsid w:val="64A715EA"/>
    <w:rsid w:val="64CE3023"/>
    <w:rsid w:val="6573F5F7"/>
    <w:rsid w:val="65CB81FE"/>
    <w:rsid w:val="65CD865A"/>
    <w:rsid w:val="65E75EB8"/>
    <w:rsid w:val="65EA51E5"/>
    <w:rsid w:val="664C06A8"/>
    <w:rsid w:val="6653FC42"/>
    <w:rsid w:val="670053A3"/>
    <w:rsid w:val="673E725C"/>
    <w:rsid w:val="67F63814"/>
    <w:rsid w:val="682E6944"/>
    <w:rsid w:val="68612FEF"/>
    <w:rsid w:val="686DA58D"/>
    <w:rsid w:val="68DF1475"/>
    <w:rsid w:val="68EEDB34"/>
    <w:rsid w:val="68F4D376"/>
    <w:rsid w:val="69011BBA"/>
    <w:rsid w:val="69167112"/>
    <w:rsid w:val="6957840E"/>
    <w:rsid w:val="697DA012"/>
    <w:rsid w:val="69AEB545"/>
    <w:rsid w:val="6A17A4F8"/>
    <w:rsid w:val="6A49368A"/>
    <w:rsid w:val="6B31B6E7"/>
    <w:rsid w:val="6B7BFBA2"/>
    <w:rsid w:val="6BBF8AB2"/>
    <w:rsid w:val="6BD5760C"/>
    <w:rsid w:val="6C554143"/>
    <w:rsid w:val="6C5DE47A"/>
    <w:rsid w:val="6D0DB959"/>
    <w:rsid w:val="6E0C251D"/>
    <w:rsid w:val="6EEEBF7E"/>
    <w:rsid w:val="6F282EBD"/>
    <w:rsid w:val="6F600454"/>
    <w:rsid w:val="6F827DAE"/>
    <w:rsid w:val="704A967B"/>
    <w:rsid w:val="707D383B"/>
    <w:rsid w:val="7120548A"/>
    <w:rsid w:val="71631B18"/>
    <w:rsid w:val="71751D9C"/>
    <w:rsid w:val="719AB2DF"/>
    <w:rsid w:val="71E0D1CB"/>
    <w:rsid w:val="72232093"/>
    <w:rsid w:val="732A5F84"/>
    <w:rsid w:val="7345C905"/>
    <w:rsid w:val="734D4F02"/>
    <w:rsid w:val="73B4C78B"/>
    <w:rsid w:val="749EE3F4"/>
    <w:rsid w:val="749FEB3C"/>
    <w:rsid w:val="757027A8"/>
    <w:rsid w:val="759C13E8"/>
    <w:rsid w:val="759E784D"/>
    <w:rsid w:val="760E3456"/>
    <w:rsid w:val="764AF985"/>
    <w:rsid w:val="7691AD84"/>
    <w:rsid w:val="76A8A8A7"/>
    <w:rsid w:val="76B5D579"/>
    <w:rsid w:val="780C4559"/>
    <w:rsid w:val="784FB53F"/>
    <w:rsid w:val="78566B4E"/>
    <w:rsid w:val="785C2159"/>
    <w:rsid w:val="789A02E7"/>
    <w:rsid w:val="78CB91B1"/>
    <w:rsid w:val="78CD3629"/>
    <w:rsid w:val="79539F11"/>
    <w:rsid w:val="79D4FA07"/>
    <w:rsid w:val="7A13C1E9"/>
    <w:rsid w:val="7A5FE0D9"/>
    <w:rsid w:val="7AA88C0A"/>
    <w:rsid w:val="7AEF3A10"/>
    <w:rsid w:val="7B0257EF"/>
    <w:rsid w:val="7B92232F"/>
    <w:rsid w:val="7BCBFAD6"/>
    <w:rsid w:val="7C1D0123"/>
    <w:rsid w:val="7C506A6F"/>
    <w:rsid w:val="7D4EF3C7"/>
    <w:rsid w:val="7D7314A5"/>
    <w:rsid w:val="7D9C8F3E"/>
    <w:rsid w:val="7E605387"/>
    <w:rsid w:val="7EBFC8D0"/>
    <w:rsid w:val="7F0C5185"/>
    <w:rsid w:val="7F4CEC1A"/>
    <w:rsid w:val="7FD61A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1E565"/>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1"/>
    <w:qFormat/>
    <w:rsid w:val="004A4775"/>
    <w:pPr>
      <w:keepNext/>
      <w:keepLines/>
      <w:spacing w:after="460"/>
      <w:outlineLvl w:val="0"/>
    </w:pPr>
    <w:rPr>
      <w:rFonts w:asciiTheme="majorHAnsi" w:hAnsiTheme="majorHAnsi"/>
      <w:b/>
      <w:color w:val="014463" w:themeColor="text2"/>
      <w:sz w:val="60"/>
      <w:szCs w:val="60"/>
    </w:rPr>
  </w:style>
  <w:style w:type="paragraph" w:styleId="Heading2">
    <w:name w:val="heading 2"/>
    <w:basedOn w:val="Normal"/>
    <w:next w:val="BodyText"/>
    <w:link w:val="Heading2Char"/>
    <w:uiPriority w:val="9"/>
    <w:unhideWhenUsed/>
    <w:qFormat/>
    <w:rsid w:val="004A4775"/>
    <w:pPr>
      <w:keepNext/>
      <w:keepLines/>
      <w:spacing w:before="480" w:after="240"/>
      <w:outlineLvl w:val="1"/>
    </w:pPr>
    <w:rPr>
      <w:rFonts w:asciiTheme="majorHAnsi" w:eastAsiaTheme="majorEastAsia" w:hAnsiTheme="majorHAnsi" w:cstheme="majorBidi"/>
      <w:b/>
      <w:color w:val="014463" w:themeColor="text2"/>
      <w:sz w:val="40"/>
      <w:szCs w:val="40"/>
    </w:rPr>
  </w:style>
  <w:style w:type="paragraph" w:styleId="Heading3">
    <w:name w:val="heading 3"/>
    <w:basedOn w:val="Normal"/>
    <w:next w:val="BodyText"/>
    <w:link w:val="Heading3Char"/>
    <w:uiPriority w:val="9"/>
    <w:unhideWhenUsed/>
    <w:qFormat/>
    <w:rsid w:val="004A4775"/>
    <w:pPr>
      <w:keepNext/>
      <w:keepLines/>
      <w:spacing w:before="240" w:after="160" w:line="240" w:lineRule="auto"/>
      <w:outlineLvl w:val="2"/>
    </w:pPr>
    <w:rPr>
      <w:rFonts w:asciiTheme="majorHAnsi" w:eastAsiaTheme="majorEastAsia" w:hAnsiTheme="majorHAnsi" w:cstheme="majorBidi"/>
      <w:color w:val="014463" w:themeColor="text2"/>
      <w:sz w:val="30"/>
      <w:szCs w:val="30"/>
    </w:rPr>
  </w:style>
  <w:style w:type="paragraph" w:styleId="Heading4">
    <w:name w:val="heading 4"/>
    <w:basedOn w:val="BodyText"/>
    <w:next w:val="BodyText"/>
    <w:link w:val="Heading4Char"/>
    <w:uiPriority w:val="9"/>
    <w:qFormat/>
    <w:rsid w:val="00825B23"/>
    <w:pPr>
      <w:spacing w:before="240"/>
      <w:outlineLvl w:val="3"/>
    </w:pPr>
    <w:rPr>
      <w:rFonts w:asciiTheme="majorHAnsi" w:hAnsiTheme="majorHAnsi"/>
      <w:color w:val="014463" w:themeColor="text2"/>
      <w:sz w:val="24"/>
      <w:szCs w:val="24"/>
    </w:rPr>
  </w:style>
  <w:style w:type="paragraph" w:styleId="Heading7">
    <w:name w:val="heading 7"/>
    <w:basedOn w:val="Normal"/>
    <w:next w:val="Normal"/>
    <w:link w:val="Heading7Char"/>
    <w:uiPriority w:val="9"/>
    <w:unhideWhenUsed/>
    <w:qFormat/>
    <w:rsid w:val="00207044"/>
    <w:pPr>
      <w:keepNext/>
      <w:keepLines/>
      <w:spacing w:before="40" w:after="0"/>
      <w:outlineLvl w:val="6"/>
    </w:pPr>
    <w:rPr>
      <w:rFonts w:asciiTheme="majorHAnsi" w:eastAsiaTheme="majorEastAsia" w:hAnsiTheme="majorHAnsi" w:cstheme="majorBidi"/>
      <w:i/>
      <w:iCs/>
      <w:color w:val="12171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26"/>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095BF3"/>
    <w:pPr>
      <w:tabs>
        <w:tab w:val="center" w:pos="4513"/>
        <w:tab w:val="right" w:pos="9026"/>
      </w:tabs>
      <w:spacing w:after="0" w:line="240" w:lineRule="auto"/>
      <w:jc w:val="right"/>
    </w:pPr>
    <w:rPr>
      <w:rFonts w:asciiTheme="majorHAnsi" w:hAnsiTheme="majorHAnsi"/>
      <w:b/>
      <w:caps/>
      <w:color w:val="014463" w:themeColor="text2"/>
    </w:rPr>
  </w:style>
  <w:style w:type="character" w:customStyle="1" w:styleId="FooterChar">
    <w:name w:val="Footer Char"/>
    <w:basedOn w:val="DefaultParagraphFont"/>
    <w:link w:val="Footer"/>
    <w:uiPriority w:val="99"/>
    <w:rsid w:val="006C7FC3"/>
    <w:rPr>
      <w:rFonts w:asciiTheme="majorHAnsi" w:hAnsiTheme="majorHAnsi"/>
      <w:b/>
      <w:caps/>
      <w:color w:val="014463" w:themeColor="text2"/>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1"/>
    <w:rsid w:val="004A4775"/>
    <w:rPr>
      <w:rFonts w:asciiTheme="majorHAnsi" w:hAnsiTheme="majorHAnsi"/>
      <w:b/>
      <w:color w:val="014463" w:themeColor="text2"/>
      <w:sz w:val="60"/>
      <w:szCs w:val="60"/>
    </w:rPr>
  </w:style>
  <w:style w:type="table" w:customStyle="1" w:styleId="PMCDefaultTableStyle">
    <w:name w:val="PMC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Recommendation,L,List Paragraph1,List Paragraph11,NFP GP Bulleted List,FooterText,numbered,Paragraphe de liste1,Bulletr List Paragraph,列出段落,列出段落1,List Paragraph2,List Paragraph21,Listeafsnit1,Parágrafo da Lista1,Párrafo de lista1,リスト段落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2"/>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4A4775"/>
    <w:rPr>
      <w:rFonts w:asciiTheme="majorHAnsi" w:eastAsiaTheme="majorEastAsia" w:hAnsiTheme="majorHAnsi" w:cstheme="majorBidi"/>
      <w:b/>
      <w:color w:val="014463" w:themeColor="text2"/>
      <w:sz w:val="40"/>
      <w:szCs w:val="40"/>
    </w:rPr>
  </w:style>
  <w:style w:type="paragraph" w:customStyle="1" w:styleId="NumberedListlvl1">
    <w:name w:val="Numbered List lvl1"/>
    <w:basedOn w:val="ListParagraph"/>
    <w:uiPriority w:val="9"/>
    <w:qFormat/>
    <w:rsid w:val="00FE7253"/>
    <w:pPr>
      <w:numPr>
        <w:numId w:val="22"/>
      </w:numPr>
      <w:spacing w:after="0"/>
      <w:contextualSpacing w:val="0"/>
    </w:pPr>
  </w:style>
  <w:style w:type="paragraph" w:customStyle="1" w:styleId="BulletedListlvl1">
    <w:name w:val="Bulleted List lvl1"/>
    <w:uiPriority w:val="10"/>
    <w:qFormat/>
    <w:rsid w:val="0086151D"/>
    <w:pPr>
      <w:numPr>
        <w:numId w:val="5"/>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14"/>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4A4775"/>
    <w:rPr>
      <w:rFonts w:asciiTheme="majorHAnsi" w:eastAsiaTheme="majorEastAsia" w:hAnsiTheme="majorHAnsi" w:cstheme="majorBidi"/>
      <w:color w:val="014463" w:themeColor="text2"/>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B23"/>
    <w:rPr>
      <w:rFonts w:asciiTheme="majorHAnsi" w:hAnsiTheme="majorHAnsi"/>
      <w:color w:val="014463" w:themeColor="text2"/>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PMCTableStyle2">
    <w:name w:val="PMC Table Style 2"/>
    <w:basedOn w:val="TableNormal"/>
    <w:uiPriority w:val="99"/>
    <w:rsid w:val="00FC6197"/>
    <w:pPr>
      <w:spacing w:before="60" w:after="60"/>
    </w:pPr>
    <w:tblPr>
      <w:tblStyleRowBandSize w:val="1"/>
      <w:tblBorders>
        <w:top w:val="single" w:sz="4" w:space="0" w:color="E4E9EE" w:themeColor="accent1" w:themeTint="1A"/>
        <w:left w:val="single" w:sz="4" w:space="0" w:color="E4E9EE" w:themeColor="accent1" w:themeTint="1A"/>
        <w:bottom w:val="single" w:sz="12" w:space="0" w:color="014463" w:themeColor="text2"/>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FFFFFF" w:themeColor="background1"/>
        <w:sz w:val="18"/>
      </w:rPr>
      <w:tblPr/>
      <w:tcPr>
        <w:shd w:val="clear" w:color="auto" w:fill="014463" w:themeFill="text2"/>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311022"/>
    <w:pPr>
      <w:ind w:left="567" w:right="567"/>
    </w:pPr>
    <w:rPr>
      <w:rFonts w:asciiTheme="majorHAnsi" w:hAnsiTheme="majorHAnsi"/>
      <w:color w:val="014463" w:themeColor="text2"/>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8436AB"/>
    <w:pPr>
      <w:spacing w:after="240"/>
    </w:pPr>
    <w:rPr>
      <w:color w:val="FFFFFF" w:themeColor="background1"/>
      <w:sz w:val="24"/>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15"/>
      </w:numPr>
      <w:spacing w:before="40" w:after="40"/>
    </w:pPr>
    <w:rPr>
      <w:color w:val="000000" w:themeColor="text1"/>
      <w:sz w:val="18"/>
    </w:rPr>
  </w:style>
  <w:style w:type="paragraph" w:styleId="Caption">
    <w:name w:val="caption"/>
    <w:basedOn w:val="Normal"/>
    <w:next w:val="Normal"/>
    <w:uiPriority w:val="35"/>
    <w:unhideWhenUsed/>
    <w:qFormat/>
    <w:rsid w:val="00BC1972"/>
    <w:pPr>
      <w:keepNext/>
      <w:tabs>
        <w:tab w:val="left" w:pos="851"/>
        <w:tab w:val="left" w:pos="1017"/>
      </w:tabs>
      <w:spacing w:before="120"/>
      <w:ind w:left="851" w:hanging="851"/>
    </w:pPr>
    <w:rPr>
      <w:rFonts w:asciiTheme="majorHAnsi" w:hAnsiTheme="majorHAnsi"/>
      <w:b/>
      <w:iCs/>
      <w:color w:val="014463" w:themeColor="text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93B67"/>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60" w:after="60" w:line="240" w:lineRule="atLeast"/>
      <w:ind w:left="198" w:right="215"/>
    </w:pPr>
    <w:rPr>
      <w:rFonts w:asciiTheme="majorHAnsi" w:eastAsia="Times New Roman" w:hAnsiTheme="majorHAnsi" w:cs="Times New Roman"/>
      <w:b/>
      <w:color w:val="014463" w:themeColor="text2"/>
      <w:sz w:val="24"/>
      <w:szCs w:val="24"/>
      <w:lang w:val="en-US"/>
    </w:rPr>
  </w:style>
  <w:style w:type="paragraph" w:customStyle="1" w:styleId="EmphasisPanelBody">
    <w:name w:val="Emphasis Panel Body"/>
    <w:basedOn w:val="Normal"/>
    <w:uiPriority w:val="11"/>
    <w:qFormat/>
    <w:rsid w:val="00BF3BE8"/>
    <w:pPr>
      <w:keepLines/>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left="198" w:right="215"/>
    </w:pPr>
    <w:rPr>
      <w:rFonts w:eastAsia="Times New Roman" w:cstheme="minorHAnsi"/>
      <w:lang w:val="en-US"/>
    </w:rPr>
  </w:style>
  <w:style w:type="paragraph" w:customStyle="1" w:styleId="EmphasisPanelBullet">
    <w:name w:val="Emphasis Panel Bullet"/>
    <w:uiPriority w:val="11"/>
    <w:qFormat/>
    <w:rsid w:val="00993B67"/>
    <w:pPr>
      <w:keepLines/>
      <w:numPr>
        <w:numId w:val="20"/>
      </w:numPr>
      <w:pBdr>
        <w:top w:val="single" w:sz="4" w:space="8" w:color="D1D1D1" w:themeColor="background2"/>
        <w:left w:val="single" w:sz="4" w:space="8" w:color="D1D1D1" w:themeColor="background2"/>
        <w:bottom w:val="single" w:sz="4" w:space="8" w:color="D1D1D1" w:themeColor="background2"/>
        <w:right w:val="single" w:sz="4" w:space="8" w:color="D1D1D1" w:themeColor="background2"/>
      </w:pBdr>
      <w:shd w:val="clear" w:color="auto" w:fill="D1D1D1" w:themeFill="background2"/>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311022"/>
    <w:rPr>
      <w:rFonts w:asciiTheme="majorHAnsi" w:hAnsiTheme="majorHAnsi"/>
      <w:color w:val="014463" w:themeColor="text2"/>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rsid w:val="003A7E73"/>
    <w:pPr>
      <w:spacing w:after="0" w:line="240" w:lineRule="auto"/>
    </w:pPr>
  </w:style>
  <w:style w:type="character" w:customStyle="1" w:styleId="FootnoteTextChar">
    <w:name w:val="Footnote Text Char"/>
    <w:basedOn w:val="DefaultParagraphFont"/>
    <w:link w:val="FootnoteText"/>
    <w:uiPriority w:val="99"/>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FE09D3"/>
    <w:pPr>
      <w:spacing w:after="120"/>
    </w:pPr>
  </w:style>
  <w:style w:type="character" w:customStyle="1" w:styleId="TitleChar">
    <w:name w:val="Title Char"/>
    <w:basedOn w:val="DefaultParagraphFont"/>
    <w:link w:val="Title"/>
    <w:rsid w:val="00FE09D3"/>
    <w:rPr>
      <w:rFonts w:asciiTheme="majorHAnsi" w:hAnsiTheme="majorHAnsi"/>
      <w:b/>
      <w:color w:val="014463" w:themeColor="text2"/>
      <w:sz w:val="60"/>
      <w:szCs w:val="60"/>
    </w:rPr>
  </w:style>
  <w:style w:type="paragraph" w:styleId="Subtitle">
    <w:name w:val="Subtitle"/>
    <w:basedOn w:val="Heading4"/>
    <w:next w:val="Normal"/>
    <w:link w:val="SubtitleChar"/>
    <w:uiPriority w:val="23"/>
    <w:qFormat/>
    <w:rsid w:val="00FE09D3"/>
    <w:pPr>
      <w:spacing w:before="120" w:after="360"/>
    </w:pPr>
  </w:style>
  <w:style w:type="character" w:customStyle="1" w:styleId="SubtitleChar">
    <w:name w:val="Subtitle Char"/>
    <w:basedOn w:val="DefaultParagraphFont"/>
    <w:link w:val="Subtitle"/>
    <w:uiPriority w:val="23"/>
    <w:rsid w:val="00FE09D3"/>
    <w:rPr>
      <w:rFonts w:asciiTheme="majorHAnsi" w:hAnsiTheme="majorHAnsi"/>
      <w:color w:val="014463" w:themeColor="text2"/>
      <w:sz w:val="24"/>
      <w:szCs w:val="24"/>
    </w:rPr>
  </w:style>
  <w:style w:type="character" w:styleId="Hyperlink">
    <w:name w:val="Hyperlink"/>
    <w:basedOn w:val="DefaultParagraphFont"/>
    <w:uiPriority w:val="99"/>
    <w:unhideWhenUsed/>
    <w:rsid w:val="00561516"/>
    <w:rPr>
      <w:color w:val="015F8B" w:themeColor="hyperlink"/>
      <w:u w:val="single"/>
    </w:rPr>
  </w:style>
  <w:style w:type="paragraph" w:customStyle="1" w:styleId="Default">
    <w:name w:val="Default"/>
    <w:rsid w:val="00F41982"/>
    <w:pPr>
      <w:autoSpaceDE w:val="0"/>
      <w:autoSpaceDN w:val="0"/>
      <w:adjustRightInd w:val="0"/>
      <w:spacing w:after="0" w:line="240" w:lineRule="auto"/>
    </w:pPr>
    <w:rPr>
      <w:rFonts w:ascii="Calibri" w:hAnsi="Calibri" w:cs="Calibri"/>
      <w:color w:val="000000"/>
      <w:sz w:val="24"/>
      <w:szCs w:val="24"/>
    </w:rPr>
  </w:style>
  <w:style w:type="paragraph" w:customStyle="1" w:styleId="CAB-Heading2">
    <w:name w:val="CAB - Heading 2"/>
    <w:basedOn w:val="Normal"/>
    <w:link w:val="CAB-Heading2Char"/>
    <w:uiPriority w:val="98"/>
    <w:rsid w:val="005A0518"/>
    <w:pPr>
      <w:keepNext/>
      <w:keepLines/>
      <w:tabs>
        <w:tab w:val="left" w:pos="567"/>
      </w:tabs>
      <w:spacing w:after="0" w:line="276" w:lineRule="auto"/>
      <w:outlineLvl w:val="0"/>
    </w:pPr>
    <w:rPr>
      <w:rFonts w:ascii="Arial" w:eastAsiaTheme="majorEastAsia" w:hAnsi="Arial" w:cstheme="majorBidi"/>
      <w:b/>
      <w:bCs/>
      <w:color w:val="003865"/>
      <w:sz w:val="24"/>
      <w:szCs w:val="28"/>
    </w:rPr>
  </w:style>
  <w:style w:type="character" w:customStyle="1" w:styleId="CAB-Heading2Char">
    <w:name w:val="CAB - Heading 2 Char"/>
    <w:basedOn w:val="DefaultParagraphFont"/>
    <w:link w:val="CAB-Heading2"/>
    <w:uiPriority w:val="98"/>
    <w:rsid w:val="005A0518"/>
    <w:rPr>
      <w:rFonts w:ascii="Arial" w:eastAsiaTheme="majorEastAsia" w:hAnsi="Arial" w:cstheme="majorBidi"/>
      <w:b/>
      <w:bCs/>
      <w:color w:val="003865"/>
      <w:sz w:val="24"/>
      <w:szCs w:val="28"/>
    </w:rPr>
  </w:style>
  <w:style w:type="paragraph" w:customStyle="1" w:styleId="CAB-TableHeading">
    <w:name w:val="CAB - Table Heading"/>
    <w:basedOn w:val="Normal"/>
    <w:uiPriority w:val="7"/>
    <w:rsid w:val="005A0518"/>
    <w:pPr>
      <w:spacing w:before="50" w:after="50" w:line="240" w:lineRule="auto"/>
    </w:pPr>
    <w:rPr>
      <w:rFonts w:ascii="Arial" w:hAnsi="Arial"/>
      <w:b/>
      <w:color w:val="auto"/>
    </w:rPr>
  </w:style>
  <w:style w:type="character" w:styleId="Strong">
    <w:name w:val="Strong"/>
    <w:basedOn w:val="DefaultParagraphFont"/>
    <w:uiPriority w:val="22"/>
    <w:qFormat/>
    <w:rsid w:val="009333E7"/>
    <w:rPr>
      <w:b/>
      <w:bCs/>
    </w:rPr>
  </w:style>
  <w:style w:type="table" w:customStyle="1" w:styleId="EPLTableStandard">
    <w:name w:val="EPL_Table_Standard"/>
    <w:basedOn w:val="TableNormal"/>
    <w:rsid w:val="009333E7"/>
    <w:pPr>
      <w:spacing w:after="80" w:line="280" w:lineRule="atLeast"/>
      <w:contextualSpacing/>
    </w:pPr>
    <w:rPr>
      <w:rFonts w:ascii="Arial" w:eastAsia="Times New Roman" w:hAnsi="Arial" w:cs="Times New Roman"/>
      <w:color w:val="auto"/>
      <w:sz w:val="18"/>
      <w:szCs w:val="18"/>
      <w:lang w:eastAsia="en-AU"/>
    </w:rPr>
    <w:tblPr>
      <w:tblStyleRowBandSize w:val="1"/>
      <w:tblStyleColBandSize w:val="1"/>
      <w:tblBorders>
        <w:top w:val="single" w:sz="2" w:space="0" w:color="C0C0C0"/>
        <w:left w:val="single" w:sz="2" w:space="0" w:color="FFFFFF"/>
        <w:bottom w:val="single" w:sz="2" w:space="0" w:color="C0C0C0"/>
        <w:right w:val="single" w:sz="2" w:space="0" w:color="FFFFFF"/>
        <w:insideH w:val="single" w:sz="2" w:space="0" w:color="FFFFFF"/>
        <w:insideV w:val="single" w:sz="2" w:space="0" w:color="FFFFFF"/>
      </w:tblBorders>
      <w:tblCellMar>
        <w:top w:w="57" w:type="dxa"/>
        <w:left w:w="142" w:type="dxa"/>
        <w:bottom w:w="57" w:type="dxa"/>
        <w:right w:w="142" w:type="dxa"/>
      </w:tblCellMar>
    </w:tblPr>
    <w:tblStylePr w:type="firstRow">
      <w:pPr>
        <w:wordWrap/>
        <w:jc w:val="center"/>
      </w:pPr>
      <w:rPr>
        <w:rFonts w:ascii="Sitka Small" w:hAnsi="Sitka Small"/>
        <w:b/>
        <w:i w:val="0"/>
        <w:color w:val="auto"/>
        <w:sz w:val="18"/>
        <w:szCs w:val="18"/>
      </w:rPr>
      <w:tblPr/>
      <w:tcPr>
        <w:tcBorders>
          <w:top w:val="single" w:sz="12" w:space="0" w:color="F48024"/>
          <w:left w:val="nil"/>
          <w:bottom w:val="nil"/>
          <w:right w:val="nil"/>
          <w:insideH w:val="nil"/>
          <w:insideV w:val="nil"/>
          <w:tl2br w:val="nil"/>
          <w:tr2bl w:val="nil"/>
        </w:tcBorders>
      </w:tcPr>
    </w:tblStylePr>
    <w:tblStylePr w:type="lastRow">
      <w:tblPr/>
      <w:tcPr>
        <w:tcBorders>
          <w:top w:val="nil"/>
          <w:left w:val="nil"/>
          <w:bottom w:val="single" w:sz="4" w:space="0" w:color="014463" w:themeColor="text2"/>
          <w:right w:val="nil"/>
          <w:insideH w:val="nil"/>
          <w:insideV w:val="nil"/>
          <w:tl2br w:val="nil"/>
          <w:tr2bl w:val="nil"/>
        </w:tcBorders>
      </w:tcPr>
    </w:tblStylePr>
    <w:tblStylePr w:type="firstCol">
      <w:pPr>
        <w:wordWrap/>
        <w:spacing w:beforeLines="0" w:before="0" w:beforeAutospacing="0" w:afterLines="0" w:after="0" w:afterAutospacing="0" w:line="280" w:lineRule="atLeast"/>
      </w:pPr>
      <w:tblPr/>
      <w:tcPr>
        <w:tcBorders>
          <w:top w:val="nil"/>
          <w:left w:val="nil"/>
          <w:bottom w:val="nil"/>
          <w:right w:val="single" w:sz="4" w:space="0" w:color="000000" w:themeColor="text1"/>
          <w:insideH w:val="nil"/>
          <w:insideV w:val="nil"/>
          <w:tl2br w:val="nil"/>
          <w:tr2bl w:val="nil"/>
        </w:tcBorders>
      </w:tcPr>
    </w:tblStylePr>
    <w:tblStylePr w:type="lastCol">
      <w:pPr>
        <w:wordWrap/>
        <w:spacing w:beforeLines="0" w:before="0" w:beforeAutospacing="0" w:afterLines="0" w:after="0" w:afterAutospacing="0" w:line="280" w:lineRule="atLeast"/>
      </w:pPr>
      <w:tblPr/>
      <w:tcPr>
        <w:tcBorders>
          <w:top w:val="nil"/>
          <w:left w:val="single" w:sz="4" w:space="0" w:color="000000" w:themeColor="text1"/>
          <w:bottom w:val="nil"/>
          <w:right w:val="nil"/>
          <w:insideH w:val="nil"/>
          <w:insideV w:val="nil"/>
          <w:tl2br w:val="nil"/>
          <w:tr2bl w:val="nil"/>
        </w:tcBorders>
      </w:tcPr>
    </w:tblStylePr>
    <w:tblStylePr w:type="band1Vert">
      <w:pPr>
        <w:wordWrap/>
        <w:spacing w:beforeLines="0" w:before="0" w:beforeAutospacing="0" w:afterLines="0" w:after="0" w:afterAutospacing="0" w:line="280" w:lineRule="atLeast"/>
      </w:pPr>
    </w:tblStylePr>
    <w:tblStylePr w:type="band2Vert">
      <w:pPr>
        <w:wordWrap/>
        <w:spacing w:beforeLines="0" w:before="0" w:beforeAutospacing="0" w:afterLines="0" w:after="0" w:afterAutospacing="0" w:line="280" w:lineRule="atLeast"/>
      </w:pPr>
    </w:tblStylePr>
    <w:tblStylePr w:type="band1Horz">
      <w:pPr>
        <w:wordWrap/>
        <w:spacing w:beforeLines="0" w:before="0" w:beforeAutospacing="0" w:afterLines="0" w:after="0" w:afterAutospacing="0" w:line="280" w:lineRule="atLeast"/>
      </w:pPr>
      <w:rPr>
        <w:sz w:val="18"/>
      </w:rPr>
      <w:tblPr/>
      <w:tcPr>
        <w:tcBorders>
          <w:top w:val="nil"/>
          <w:left w:val="nil"/>
          <w:bottom w:val="nil"/>
          <w:right w:val="nil"/>
          <w:insideH w:val="nil"/>
          <w:insideV w:val="single" w:sz="4" w:space="0" w:color="000000" w:themeColor="text1"/>
          <w:tl2br w:val="nil"/>
          <w:tr2bl w:val="nil"/>
        </w:tcBorders>
        <w:shd w:val="clear" w:color="auto" w:fill="E5E5E6"/>
      </w:tcPr>
    </w:tblStylePr>
    <w:tblStylePr w:type="band2Horz">
      <w:pPr>
        <w:wordWrap/>
        <w:spacing w:beforeLines="0" w:before="0" w:beforeAutospacing="0" w:afterLines="0" w:after="0" w:afterAutospacing="0" w:line="280" w:lineRule="atLeast"/>
      </w:pPr>
      <w:rPr>
        <w:sz w:val="18"/>
      </w:rPr>
      <w:tblPr/>
      <w:tcPr>
        <w:tcBorders>
          <w:top w:val="nil"/>
          <w:left w:val="nil"/>
          <w:bottom w:val="nil"/>
          <w:right w:val="nil"/>
          <w:insideH w:val="nil"/>
          <w:insideV w:val="single" w:sz="4" w:space="0" w:color="000000" w:themeColor="text1"/>
          <w:tl2br w:val="nil"/>
          <w:tr2bl w:val="nil"/>
        </w:tcBorders>
      </w:tcPr>
    </w:tblStylePr>
  </w:style>
  <w:style w:type="character" w:customStyle="1" w:styleId="ListParagraphChar">
    <w:name w:val="List Paragraph Char"/>
    <w:aliases w:val="Recommendation Char,L Char,List Paragraph1 Char,List Paragraph11 Char,NFP GP Bulleted List Char,FooterText Char,numbered Char,Paragraphe de liste1 Char,Bulletr List Paragraph Char,列出段落 Char,列出段落1 Char,List Paragraph2 Char,リスト段落1 Char"/>
    <w:basedOn w:val="DefaultParagraphFont"/>
    <w:link w:val="ListParagraph"/>
    <w:uiPriority w:val="34"/>
    <w:qFormat/>
    <w:locked/>
    <w:rsid w:val="009333E7"/>
  </w:style>
  <w:style w:type="character" w:customStyle="1" w:styleId="Heading7Char">
    <w:name w:val="Heading 7 Char"/>
    <w:basedOn w:val="DefaultParagraphFont"/>
    <w:link w:val="Heading7"/>
    <w:uiPriority w:val="9"/>
    <w:rsid w:val="00207044"/>
    <w:rPr>
      <w:rFonts w:asciiTheme="majorHAnsi" w:eastAsiaTheme="majorEastAsia" w:hAnsiTheme="majorHAnsi" w:cstheme="majorBidi"/>
      <w:i/>
      <w:iCs/>
      <w:color w:val="12171D" w:themeColor="accent1" w:themeShade="7F"/>
    </w:rPr>
  </w:style>
  <w:style w:type="character" w:styleId="Emphasis">
    <w:name w:val="Emphasis"/>
    <w:basedOn w:val="DefaultParagraphFont"/>
    <w:uiPriority w:val="20"/>
    <w:qFormat/>
    <w:rsid w:val="00207044"/>
    <w:rPr>
      <w:i/>
      <w:iCs/>
    </w:rPr>
  </w:style>
  <w:style w:type="paragraph" w:customStyle="1" w:styleId="Calloutbox">
    <w:name w:val="Call out box"/>
    <w:basedOn w:val="Normal"/>
    <w:qFormat/>
    <w:rsid w:val="00207044"/>
    <w:pPr>
      <w:pBdr>
        <w:top w:val="single" w:sz="4" w:space="6" w:color="B8DCD7"/>
        <w:left w:val="single" w:sz="4" w:space="4" w:color="B8DCD7"/>
        <w:bottom w:val="single" w:sz="4" w:space="6" w:color="B8DCD7"/>
        <w:right w:val="single" w:sz="4" w:space="4" w:color="B8DCD7"/>
      </w:pBdr>
      <w:shd w:val="clear" w:color="auto" w:fill="B8DCD7"/>
      <w:spacing w:after="160" w:line="259" w:lineRule="auto"/>
      <w:contextualSpacing/>
    </w:pPr>
    <w:rPr>
      <w:rFonts w:ascii="Calibri" w:eastAsia="Calibri" w:hAnsi="Calibri" w:cs="Times New Roman"/>
      <w:color w:val="auto"/>
      <w:sz w:val="22"/>
      <w:szCs w:val="22"/>
    </w:rPr>
  </w:style>
  <w:style w:type="character" w:customStyle="1" w:styleId="UnresolvedMention1">
    <w:name w:val="Unresolved Mention1"/>
    <w:basedOn w:val="DefaultParagraphFont"/>
    <w:uiPriority w:val="99"/>
    <w:semiHidden/>
    <w:unhideWhenUsed/>
    <w:rsid w:val="000B55ED"/>
    <w:rPr>
      <w:color w:val="605E5C"/>
      <w:shd w:val="clear" w:color="auto" w:fill="E1DFDD"/>
    </w:rPr>
  </w:style>
  <w:style w:type="character" w:styleId="CommentReference">
    <w:name w:val="annotation reference"/>
    <w:basedOn w:val="DefaultParagraphFont"/>
    <w:uiPriority w:val="99"/>
    <w:semiHidden/>
    <w:unhideWhenUsed/>
    <w:rsid w:val="00276A98"/>
    <w:rPr>
      <w:sz w:val="16"/>
      <w:szCs w:val="16"/>
    </w:rPr>
  </w:style>
  <w:style w:type="paragraph" w:styleId="CommentText">
    <w:name w:val="annotation text"/>
    <w:basedOn w:val="Normal"/>
    <w:link w:val="CommentTextChar"/>
    <w:uiPriority w:val="99"/>
    <w:unhideWhenUsed/>
    <w:rsid w:val="00276A98"/>
    <w:pPr>
      <w:spacing w:line="240" w:lineRule="auto"/>
    </w:pPr>
  </w:style>
  <w:style w:type="character" w:customStyle="1" w:styleId="CommentTextChar">
    <w:name w:val="Comment Text Char"/>
    <w:basedOn w:val="DefaultParagraphFont"/>
    <w:link w:val="CommentText"/>
    <w:uiPriority w:val="99"/>
    <w:rsid w:val="00276A98"/>
  </w:style>
  <w:style w:type="paragraph" w:styleId="CommentSubject">
    <w:name w:val="annotation subject"/>
    <w:basedOn w:val="CommentText"/>
    <w:next w:val="CommentText"/>
    <w:link w:val="CommentSubjectChar"/>
    <w:uiPriority w:val="99"/>
    <w:semiHidden/>
    <w:unhideWhenUsed/>
    <w:rsid w:val="00276A98"/>
    <w:rPr>
      <w:b/>
      <w:bCs/>
    </w:rPr>
  </w:style>
  <w:style w:type="character" w:customStyle="1" w:styleId="CommentSubjectChar">
    <w:name w:val="Comment Subject Char"/>
    <w:basedOn w:val="CommentTextChar"/>
    <w:link w:val="CommentSubject"/>
    <w:uiPriority w:val="99"/>
    <w:semiHidden/>
    <w:rsid w:val="00276A98"/>
    <w:rPr>
      <w:b/>
      <w:bCs/>
    </w:rPr>
  </w:style>
  <w:style w:type="paragraph" w:styleId="Revision">
    <w:name w:val="Revision"/>
    <w:hidden/>
    <w:uiPriority w:val="99"/>
    <w:semiHidden/>
    <w:rsid w:val="00683DD9"/>
    <w:pPr>
      <w:spacing w:after="0" w:line="240" w:lineRule="auto"/>
    </w:pPr>
  </w:style>
  <w:style w:type="character" w:customStyle="1" w:styleId="acopre">
    <w:name w:val="acopre"/>
    <w:basedOn w:val="DefaultParagraphFont"/>
    <w:rsid w:val="00144ADC"/>
  </w:style>
  <w:style w:type="paragraph" w:customStyle="1" w:styleId="ListParagraphs">
    <w:name w:val="List Paragraphs"/>
    <w:basedOn w:val="ListParagraph"/>
    <w:link w:val="ListParagraphsChar"/>
    <w:uiPriority w:val="7"/>
    <w:qFormat/>
    <w:rsid w:val="00B31E30"/>
    <w:pPr>
      <w:spacing w:after="160" w:line="259" w:lineRule="auto"/>
      <w:ind w:left="360" w:hanging="360"/>
    </w:pPr>
    <w:rPr>
      <w:color w:val="auto"/>
      <w:sz w:val="22"/>
      <w:szCs w:val="22"/>
    </w:rPr>
  </w:style>
  <w:style w:type="character" w:customStyle="1" w:styleId="ListParagraphsChar">
    <w:name w:val="List Paragraphs Char"/>
    <w:basedOn w:val="DefaultParagraphFont"/>
    <w:link w:val="ListParagraphs"/>
    <w:uiPriority w:val="7"/>
    <w:rsid w:val="00B31E30"/>
    <w:rPr>
      <w:color w:val="auto"/>
      <w:sz w:val="22"/>
      <w:szCs w:val="22"/>
    </w:rPr>
  </w:style>
  <w:style w:type="table" w:customStyle="1" w:styleId="CERTable1">
    <w:name w:val="CER Table1"/>
    <w:basedOn w:val="TableNormal"/>
    <w:uiPriority w:val="99"/>
    <w:rsid w:val="00B31E30"/>
    <w:pPr>
      <w:spacing w:before="120" w:after="0" w:line="240" w:lineRule="auto"/>
    </w:pPr>
    <w:rPr>
      <w:rFonts w:ascii="Calibri" w:eastAsia="Cambria" w:hAnsi="Calibri" w:cs="Times New Roman"/>
      <w:color w:val="000000"/>
      <w:kern w:val="2"/>
      <w:lang w:eastAsia="en-AU"/>
    </w:rPr>
    <w:tblPr>
      <w:tblStyleRowBandSize w:val="1"/>
      <w:tblInd w:w="0" w:type="nil"/>
      <w:tblBorders>
        <w:top w:val="single" w:sz="8" w:space="0" w:color="FCBA5C"/>
        <w:bottom w:val="single" w:sz="8" w:space="0" w:color="FCBA5C"/>
        <w:insideH w:val="single" w:sz="8" w:space="0" w:color="E8E8E8"/>
      </w:tblBorders>
    </w:tblPr>
    <w:tblStylePr w:type="firstRow">
      <w:pPr>
        <w:wordWrap/>
        <w:spacing w:beforeLines="0" w:before="100" w:beforeAutospacing="1" w:afterLines="0" w:after="100" w:afterAutospacing="1" w:line="240" w:lineRule="auto"/>
        <w:ind w:leftChars="0" w:left="0" w:rightChars="0" w:right="0"/>
        <w:mirrorIndents w:val="0"/>
        <w:jc w:val="left"/>
        <w:outlineLvl w:val="9"/>
      </w:pPr>
      <w:rPr>
        <w:rFonts w:ascii="Calibri" w:hAnsi="Calibri" w:cs="Calibri" w:hint="default"/>
        <w:b/>
        <w:color w:val="auto"/>
        <w:sz w:val="20"/>
        <w:szCs w:val="20"/>
      </w:rPr>
      <w:tblPr/>
      <w:tcPr>
        <w:tcBorders>
          <w:top w:val="nil"/>
          <w:left w:val="nil"/>
          <w:bottom w:val="single" w:sz="18" w:space="0" w:color="FCBA5C"/>
          <w:right w:val="nil"/>
          <w:insideH w:val="nil"/>
          <w:insideV w:val="nil"/>
          <w:tl2br w:val="nil"/>
          <w:tr2bl w:val="nil"/>
        </w:tcBorders>
        <w:shd w:val="clear" w:color="auto" w:fill="E8E8E8"/>
      </w:tcPr>
    </w:tblStylePr>
    <w:tblStylePr w:type="lastRow">
      <w:pPr>
        <w:wordWrap/>
        <w:spacing w:beforeLines="0" w:before="100" w:beforeAutospacing="1" w:afterLines="0" w:after="100" w:afterAutospacing="1"/>
      </w:pPr>
      <w:rPr>
        <w:rFonts w:ascii="Calibri" w:hAnsi="Calibri" w:cs="Calibri" w:hint="default"/>
        <w:b/>
      </w:rPr>
      <w:tblPr/>
      <w:tcPr>
        <w:vAlign w:val="center"/>
      </w:tcPr>
    </w:tblStylePr>
    <w:tblStylePr w:type="firstCol">
      <w:pPr>
        <w:wordWrap/>
        <w:ind w:leftChars="0" w:left="0" w:rightChars="0" w:right="0"/>
      </w:pPr>
      <w:rPr>
        <w:rFonts w:ascii="Calibri" w:hAnsi="Calibri" w:cs="Calibri" w:hint="default"/>
        <w:b/>
        <w:i w:val="0"/>
        <w:color w:val="000000"/>
      </w:rPr>
      <w:tblPr/>
      <w:tcPr>
        <w:shd w:val="clear" w:color="auto" w:fill="F2F2F2"/>
      </w:tcPr>
    </w:tblStylePr>
    <w:tblStylePr w:type="band1Horz">
      <w:rPr>
        <w:rFonts w:ascii="Calibri" w:hAnsi="Calibri" w:cs="Calibri" w:hint="default"/>
      </w:rPr>
      <w:tblPr/>
      <w:tcPr>
        <w:tcBorders>
          <w:top w:val="nil"/>
          <w:left w:val="nil"/>
          <w:bottom w:val="single" w:sz="4" w:space="0" w:color="D1D1D1"/>
          <w:right w:val="nil"/>
          <w:insideH w:val="nil"/>
          <w:insideV w:val="nil"/>
          <w:tl2br w:val="nil"/>
          <w:tr2bl w:val="nil"/>
        </w:tcBorders>
      </w:tcPr>
    </w:tblStylePr>
    <w:tblStylePr w:type="band2Horz">
      <w:rPr>
        <w:rFonts w:ascii="Calibri" w:hAnsi="Calibri" w:cs="Calibri" w:hint="default"/>
      </w:rPr>
      <w:tblPr/>
      <w:tcPr>
        <w:tcBorders>
          <w:insideH w:val="nil"/>
        </w:tcBorders>
      </w:tcPr>
    </w:tblStylePr>
  </w:style>
  <w:style w:type="character" w:customStyle="1" w:styleId="cf01">
    <w:name w:val="cf01"/>
    <w:basedOn w:val="DefaultParagraphFont"/>
    <w:rsid w:val="00062733"/>
    <w:rPr>
      <w:rFonts w:ascii="Segoe UI" w:hAnsi="Segoe UI" w:cs="Segoe UI" w:hint="default"/>
      <w:color w:val="262626"/>
      <w:sz w:val="18"/>
      <w:szCs w:val="18"/>
    </w:rPr>
  </w:style>
  <w:style w:type="table" w:customStyle="1" w:styleId="TableGrid1">
    <w:name w:val="Table Grid1"/>
    <w:basedOn w:val="TableNormal"/>
    <w:next w:val="TableGrid"/>
    <w:uiPriority w:val="39"/>
    <w:rsid w:val="00340609"/>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B3B95"/>
    <w:rPr>
      <w:color w:val="605E5C"/>
      <w:shd w:val="clear" w:color="auto" w:fill="E1DFDD"/>
    </w:rPr>
  </w:style>
  <w:style w:type="paragraph" w:customStyle="1" w:styleId="pf0">
    <w:name w:val="pf0"/>
    <w:basedOn w:val="Normal"/>
    <w:rsid w:val="004F6E7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pf1">
    <w:name w:val="pf1"/>
    <w:basedOn w:val="Normal"/>
    <w:rsid w:val="000C42E6"/>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Author">
    <w:name w:val="Author"/>
    <w:basedOn w:val="Normal"/>
    <w:next w:val="Normal"/>
    <w:uiPriority w:val="24"/>
    <w:qFormat/>
    <w:rsid w:val="0095241D"/>
    <w:pPr>
      <w:spacing w:after="60" w:line="276" w:lineRule="auto"/>
    </w:pPr>
    <w:rPr>
      <w:b/>
      <w:color w:val="auto"/>
      <w:sz w:val="28"/>
      <w:szCs w:val="28"/>
    </w:rPr>
  </w:style>
  <w:style w:type="paragraph" w:customStyle="1" w:styleId="AuthorOrganisationAffiliation">
    <w:name w:val="Author Organisation/Affiliation"/>
    <w:basedOn w:val="Normal"/>
    <w:next w:val="Normal"/>
    <w:uiPriority w:val="25"/>
    <w:qFormat/>
    <w:rsid w:val="0095241D"/>
    <w:pPr>
      <w:spacing w:after="720" w:line="276" w:lineRule="auto"/>
    </w:pPr>
    <w:rPr>
      <w:color w:val="auto"/>
      <w:sz w:val="22"/>
      <w:szCs w:val="22"/>
    </w:rPr>
  </w:style>
  <w:style w:type="paragraph" w:customStyle="1" w:styleId="Normalsmall">
    <w:name w:val="Normal small"/>
    <w:qFormat/>
    <w:rsid w:val="0095241D"/>
    <w:pPr>
      <w:spacing w:line="276" w:lineRule="auto"/>
    </w:pPr>
    <w:rPr>
      <w:color w:val="auto"/>
      <w:sz w:val="18"/>
      <w:szCs w:val="18"/>
    </w:rPr>
  </w:style>
  <w:style w:type="character" w:styleId="FollowedHyperlink">
    <w:name w:val="FollowedHyperlink"/>
    <w:basedOn w:val="DefaultParagraphFont"/>
    <w:uiPriority w:val="99"/>
    <w:semiHidden/>
    <w:unhideWhenUsed/>
    <w:rsid w:val="00CF4D9F"/>
    <w:rPr>
      <w:color w:val="015F8B" w:themeColor="followedHyperlink"/>
      <w:u w:val="single"/>
    </w:rPr>
  </w:style>
  <w:style w:type="paragraph" w:styleId="TOCHeading">
    <w:name w:val="TOC Heading"/>
    <w:basedOn w:val="Heading1"/>
    <w:next w:val="Normal"/>
    <w:uiPriority w:val="39"/>
    <w:unhideWhenUsed/>
    <w:qFormat/>
    <w:rsid w:val="0016798E"/>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A95399"/>
    <w:pPr>
      <w:tabs>
        <w:tab w:val="right" w:leader="dot" w:pos="10194"/>
      </w:tabs>
      <w:spacing w:before="240" w:after="100"/>
    </w:pPr>
    <w:rPr>
      <w:rFonts w:ascii="Century Gothic" w:eastAsia="Calibri" w:hAnsi="Century Gothic" w:cs="Arial"/>
      <w:noProof/>
    </w:rPr>
  </w:style>
  <w:style w:type="paragraph" w:styleId="TOC3">
    <w:name w:val="toc 3"/>
    <w:basedOn w:val="Normal"/>
    <w:next w:val="Normal"/>
    <w:autoRedefine/>
    <w:uiPriority w:val="39"/>
    <w:unhideWhenUsed/>
    <w:rsid w:val="0016798E"/>
    <w:pPr>
      <w:spacing w:after="100"/>
      <w:ind w:left="400"/>
    </w:pPr>
  </w:style>
  <w:style w:type="paragraph" w:styleId="TOC2">
    <w:name w:val="toc 2"/>
    <w:basedOn w:val="Normal"/>
    <w:next w:val="Normal"/>
    <w:autoRedefine/>
    <w:uiPriority w:val="39"/>
    <w:unhideWhenUsed/>
    <w:rsid w:val="00A43121"/>
    <w:pPr>
      <w:tabs>
        <w:tab w:val="right" w:leader="dot" w:pos="10194"/>
      </w:tabs>
      <w:spacing w:after="100"/>
      <w:ind w:left="200"/>
    </w:pPr>
  </w:style>
  <w:style w:type="character" w:customStyle="1" w:styleId="Mention">
    <w:name w:val="Mention"/>
    <w:basedOn w:val="DefaultParagraphFont"/>
    <w:uiPriority w:val="99"/>
    <w:unhideWhenUsed/>
    <w:rsid w:val="00A443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1512">
      <w:bodyDiv w:val="1"/>
      <w:marLeft w:val="0"/>
      <w:marRight w:val="0"/>
      <w:marTop w:val="0"/>
      <w:marBottom w:val="0"/>
      <w:divBdr>
        <w:top w:val="none" w:sz="0" w:space="0" w:color="auto"/>
        <w:left w:val="none" w:sz="0" w:space="0" w:color="auto"/>
        <w:bottom w:val="none" w:sz="0" w:space="0" w:color="auto"/>
        <w:right w:val="none" w:sz="0" w:space="0" w:color="auto"/>
      </w:divBdr>
    </w:div>
    <w:div w:id="107283306">
      <w:bodyDiv w:val="1"/>
      <w:marLeft w:val="0"/>
      <w:marRight w:val="0"/>
      <w:marTop w:val="0"/>
      <w:marBottom w:val="0"/>
      <w:divBdr>
        <w:top w:val="none" w:sz="0" w:space="0" w:color="auto"/>
        <w:left w:val="none" w:sz="0" w:space="0" w:color="auto"/>
        <w:bottom w:val="none" w:sz="0" w:space="0" w:color="auto"/>
        <w:right w:val="none" w:sz="0" w:space="0" w:color="auto"/>
      </w:divBdr>
    </w:div>
    <w:div w:id="149713823">
      <w:bodyDiv w:val="1"/>
      <w:marLeft w:val="0"/>
      <w:marRight w:val="0"/>
      <w:marTop w:val="0"/>
      <w:marBottom w:val="0"/>
      <w:divBdr>
        <w:top w:val="none" w:sz="0" w:space="0" w:color="auto"/>
        <w:left w:val="none" w:sz="0" w:space="0" w:color="auto"/>
        <w:bottom w:val="none" w:sz="0" w:space="0" w:color="auto"/>
        <w:right w:val="none" w:sz="0" w:space="0" w:color="auto"/>
      </w:divBdr>
    </w:div>
    <w:div w:id="174534574">
      <w:bodyDiv w:val="1"/>
      <w:marLeft w:val="0"/>
      <w:marRight w:val="0"/>
      <w:marTop w:val="0"/>
      <w:marBottom w:val="0"/>
      <w:divBdr>
        <w:top w:val="none" w:sz="0" w:space="0" w:color="auto"/>
        <w:left w:val="none" w:sz="0" w:space="0" w:color="auto"/>
        <w:bottom w:val="none" w:sz="0" w:space="0" w:color="auto"/>
        <w:right w:val="none" w:sz="0" w:space="0" w:color="auto"/>
      </w:divBdr>
    </w:div>
    <w:div w:id="351957041">
      <w:bodyDiv w:val="1"/>
      <w:marLeft w:val="0"/>
      <w:marRight w:val="0"/>
      <w:marTop w:val="0"/>
      <w:marBottom w:val="0"/>
      <w:divBdr>
        <w:top w:val="none" w:sz="0" w:space="0" w:color="auto"/>
        <w:left w:val="none" w:sz="0" w:space="0" w:color="auto"/>
        <w:bottom w:val="none" w:sz="0" w:space="0" w:color="auto"/>
        <w:right w:val="none" w:sz="0" w:space="0" w:color="auto"/>
      </w:divBdr>
    </w:div>
    <w:div w:id="365955993">
      <w:bodyDiv w:val="1"/>
      <w:marLeft w:val="0"/>
      <w:marRight w:val="0"/>
      <w:marTop w:val="0"/>
      <w:marBottom w:val="0"/>
      <w:divBdr>
        <w:top w:val="none" w:sz="0" w:space="0" w:color="auto"/>
        <w:left w:val="none" w:sz="0" w:space="0" w:color="auto"/>
        <w:bottom w:val="none" w:sz="0" w:space="0" w:color="auto"/>
        <w:right w:val="none" w:sz="0" w:space="0" w:color="auto"/>
      </w:divBdr>
    </w:div>
    <w:div w:id="384330628">
      <w:bodyDiv w:val="1"/>
      <w:marLeft w:val="0"/>
      <w:marRight w:val="0"/>
      <w:marTop w:val="0"/>
      <w:marBottom w:val="0"/>
      <w:divBdr>
        <w:top w:val="none" w:sz="0" w:space="0" w:color="auto"/>
        <w:left w:val="none" w:sz="0" w:space="0" w:color="auto"/>
        <w:bottom w:val="none" w:sz="0" w:space="0" w:color="auto"/>
        <w:right w:val="none" w:sz="0" w:space="0" w:color="auto"/>
      </w:divBdr>
    </w:div>
    <w:div w:id="384649306">
      <w:bodyDiv w:val="1"/>
      <w:marLeft w:val="0"/>
      <w:marRight w:val="0"/>
      <w:marTop w:val="0"/>
      <w:marBottom w:val="0"/>
      <w:divBdr>
        <w:top w:val="none" w:sz="0" w:space="0" w:color="auto"/>
        <w:left w:val="none" w:sz="0" w:space="0" w:color="auto"/>
        <w:bottom w:val="none" w:sz="0" w:space="0" w:color="auto"/>
        <w:right w:val="none" w:sz="0" w:space="0" w:color="auto"/>
      </w:divBdr>
    </w:div>
    <w:div w:id="387726712">
      <w:bodyDiv w:val="1"/>
      <w:marLeft w:val="0"/>
      <w:marRight w:val="0"/>
      <w:marTop w:val="0"/>
      <w:marBottom w:val="0"/>
      <w:divBdr>
        <w:top w:val="none" w:sz="0" w:space="0" w:color="auto"/>
        <w:left w:val="none" w:sz="0" w:space="0" w:color="auto"/>
        <w:bottom w:val="none" w:sz="0" w:space="0" w:color="auto"/>
        <w:right w:val="none" w:sz="0" w:space="0" w:color="auto"/>
      </w:divBdr>
    </w:div>
    <w:div w:id="571046159">
      <w:bodyDiv w:val="1"/>
      <w:marLeft w:val="0"/>
      <w:marRight w:val="0"/>
      <w:marTop w:val="0"/>
      <w:marBottom w:val="0"/>
      <w:divBdr>
        <w:top w:val="none" w:sz="0" w:space="0" w:color="auto"/>
        <w:left w:val="none" w:sz="0" w:space="0" w:color="auto"/>
        <w:bottom w:val="none" w:sz="0" w:space="0" w:color="auto"/>
        <w:right w:val="none" w:sz="0" w:space="0" w:color="auto"/>
      </w:divBdr>
    </w:div>
    <w:div w:id="599531861">
      <w:bodyDiv w:val="1"/>
      <w:marLeft w:val="0"/>
      <w:marRight w:val="0"/>
      <w:marTop w:val="0"/>
      <w:marBottom w:val="0"/>
      <w:divBdr>
        <w:top w:val="none" w:sz="0" w:space="0" w:color="auto"/>
        <w:left w:val="none" w:sz="0" w:space="0" w:color="auto"/>
        <w:bottom w:val="none" w:sz="0" w:space="0" w:color="auto"/>
        <w:right w:val="none" w:sz="0" w:space="0" w:color="auto"/>
      </w:divBdr>
    </w:div>
    <w:div w:id="609239480">
      <w:bodyDiv w:val="1"/>
      <w:marLeft w:val="0"/>
      <w:marRight w:val="0"/>
      <w:marTop w:val="0"/>
      <w:marBottom w:val="0"/>
      <w:divBdr>
        <w:top w:val="none" w:sz="0" w:space="0" w:color="auto"/>
        <w:left w:val="none" w:sz="0" w:space="0" w:color="auto"/>
        <w:bottom w:val="none" w:sz="0" w:space="0" w:color="auto"/>
        <w:right w:val="none" w:sz="0" w:space="0" w:color="auto"/>
      </w:divBdr>
    </w:div>
    <w:div w:id="612397686">
      <w:bodyDiv w:val="1"/>
      <w:marLeft w:val="0"/>
      <w:marRight w:val="0"/>
      <w:marTop w:val="0"/>
      <w:marBottom w:val="0"/>
      <w:divBdr>
        <w:top w:val="none" w:sz="0" w:space="0" w:color="auto"/>
        <w:left w:val="none" w:sz="0" w:space="0" w:color="auto"/>
        <w:bottom w:val="none" w:sz="0" w:space="0" w:color="auto"/>
        <w:right w:val="none" w:sz="0" w:space="0" w:color="auto"/>
      </w:divBdr>
    </w:div>
    <w:div w:id="653527451">
      <w:bodyDiv w:val="1"/>
      <w:marLeft w:val="0"/>
      <w:marRight w:val="0"/>
      <w:marTop w:val="0"/>
      <w:marBottom w:val="0"/>
      <w:divBdr>
        <w:top w:val="none" w:sz="0" w:space="0" w:color="auto"/>
        <w:left w:val="none" w:sz="0" w:space="0" w:color="auto"/>
        <w:bottom w:val="none" w:sz="0" w:space="0" w:color="auto"/>
        <w:right w:val="none" w:sz="0" w:space="0" w:color="auto"/>
      </w:divBdr>
    </w:div>
    <w:div w:id="667952033">
      <w:bodyDiv w:val="1"/>
      <w:marLeft w:val="0"/>
      <w:marRight w:val="0"/>
      <w:marTop w:val="0"/>
      <w:marBottom w:val="0"/>
      <w:divBdr>
        <w:top w:val="none" w:sz="0" w:space="0" w:color="auto"/>
        <w:left w:val="none" w:sz="0" w:space="0" w:color="auto"/>
        <w:bottom w:val="none" w:sz="0" w:space="0" w:color="auto"/>
        <w:right w:val="none" w:sz="0" w:space="0" w:color="auto"/>
      </w:divBdr>
    </w:div>
    <w:div w:id="689841574">
      <w:bodyDiv w:val="1"/>
      <w:marLeft w:val="0"/>
      <w:marRight w:val="0"/>
      <w:marTop w:val="0"/>
      <w:marBottom w:val="0"/>
      <w:divBdr>
        <w:top w:val="none" w:sz="0" w:space="0" w:color="auto"/>
        <w:left w:val="none" w:sz="0" w:space="0" w:color="auto"/>
        <w:bottom w:val="none" w:sz="0" w:space="0" w:color="auto"/>
        <w:right w:val="none" w:sz="0" w:space="0" w:color="auto"/>
      </w:divBdr>
    </w:div>
    <w:div w:id="728112309">
      <w:bodyDiv w:val="1"/>
      <w:marLeft w:val="0"/>
      <w:marRight w:val="0"/>
      <w:marTop w:val="0"/>
      <w:marBottom w:val="0"/>
      <w:divBdr>
        <w:top w:val="none" w:sz="0" w:space="0" w:color="auto"/>
        <w:left w:val="none" w:sz="0" w:space="0" w:color="auto"/>
        <w:bottom w:val="none" w:sz="0" w:space="0" w:color="auto"/>
        <w:right w:val="none" w:sz="0" w:space="0" w:color="auto"/>
      </w:divBdr>
      <w:divsChild>
        <w:div w:id="830489162">
          <w:marLeft w:val="0"/>
          <w:marRight w:val="0"/>
          <w:marTop w:val="0"/>
          <w:marBottom w:val="0"/>
          <w:divBdr>
            <w:top w:val="none" w:sz="0" w:space="0" w:color="auto"/>
            <w:left w:val="none" w:sz="0" w:space="0" w:color="auto"/>
            <w:bottom w:val="none" w:sz="0" w:space="0" w:color="auto"/>
            <w:right w:val="none" w:sz="0" w:space="0" w:color="auto"/>
          </w:divBdr>
        </w:div>
        <w:div w:id="1839954236">
          <w:marLeft w:val="0"/>
          <w:marRight w:val="0"/>
          <w:marTop w:val="0"/>
          <w:marBottom w:val="0"/>
          <w:divBdr>
            <w:top w:val="none" w:sz="0" w:space="0" w:color="auto"/>
            <w:left w:val="none" w:sz="0" w:space="0" w:color="auto"/>
            <w:bottom w:val="none" w:sz="0" w:space="0" w:color="auto"/>
            <w:right w:val="none" w:sz="0" w:space="0" w:color="auto"/>
          </w:divBdr>
        </w:div>
      </w:divsChild>
    </w:div>
    <w:div w:id="728960398">
      <w:bodyDiv w:val="1"/>
      <w:marLeft w:val="0"/>
      <w:marRight w:val="0"/>
      <w:marTop w:val="0"/>
      <w:marBottom w:val="0"/>
      <w:divBdr>
        <w:top w:val="none" w:sz="0" w:space="0" w:color="auto"/>
        <w:left w:val="none" w:sz="0" w:space="0" w:color="auto"/>
        <w:bottom w:val="none" w:sz="0" w:space="0" w:color="auto"/>
        <w:right w:val="none" w:sz="0" w:space="0" w:color="auto"/>
      </w:divBdr>
    </w:div>
    <w:div w:id="770853586">
      <w:bodyDiv w:val="1"/>
      <w:marLeft w:val="0"/>
      <w:marRight w:val="0"/>
      <w:marTop w:val="0"/>
      <w:marBottom w:val="0"/>
      <w:divBdr>
        <w:top w:val="none" w:sz="0" w:space="0" w:color="auto"/>
        <w:left w:val="none" w:sz="0" w:space="0" w:color="auto"/>
        <w:bottom w:val="none" w:sz="0" w:space="0" w:color="auto"/>
        <w:right w:val="none" w:sz="0" w:space="0" w:color="auto"/>
      </w:divBdr>
    </w:div>
    <w:div w:id="782194593">
      <w:bodyDiv w:val="1"/>
      <w:marLeft w:val="0"/>
      <w:marRight w:val="0"/>
      <w:marTop w:val="0"/>
      <w:marBottom w:val="0"/>
      <w:divBdr>
        <w:top w:val="none" w:sz="0" w:space="0" w:color="auto"/>
        <w:left w:val="none" w:sz="0" w:space="0" w:color="auto"/>
        <w:bottom w:val="none" w:sz="0" w:space="0" w:color="auto"/>
        <w:right w:val="none" w:sz="0" w:space="0" w:color="auto"/>
      </w:divBdr>
    </w:div>
    <w:div w:id="852301431">
      <w:bodyDiv w:val="1"/>
      <w:marLeft w:val="0"/>
      <w:marRight w:val="0"/>
      <w:marTop w:val="0"/>
      <w:marBottom w:val="0"/>
      <w:divBdr>
        <w:top w:val="none" w:sz="0" w:space="0" w:color="auto"/>
        <w:left w:val="none" w:sz="0" w:space="0" w:color="auto"/>
        <w:bottom w:val="none" w:sz="0" w:space="0" w:color="auto"/>
        <w:right w:val="none" w:sz="0" w:space="0" w:color="auto"/>
      </w:divBdr>
    </w:div>
    <w:div w:id="853760483">
      <w:bodyDiv w:val="1"/>
      <w:marLeft w:val="0"/>
      <w:marRight w:val="0"/>
      <w:marTop w:val="0"/>
      <w:marBottom w:val="0"/>
      <w:divBdr>
        <w:top w:val="none" w:sz="0" w:space="0" w:color="auto"/>
        <w:left w:val="none" w:sz="0" w:space="0" w:color="auto"/>
        <w:bottom w:val="none" w:sz="0" w:space="0" w:color="auto"/>
        <w:right w:val="none" w:sz="0" w:space="0" w:color="auto"/>
      </w:divBdr>
    </w:div>
    <w:div w:id="907571968">
      <w:bodyDiv w:val="1"/>
      <w:marLeft w:val="0"/>
      <w:marRight w:val="0"/>
      <w:marTop w:val="0"/>
      <w:marBottom w:val="0"/>
      <w:divBdr>
        <w:top w:val="none" w:sz="0" w:space="0" w:color="auto"/>
        <w:left w:val="none" w:sz="0" w:space="0" w:color="auto"/>
        <w:bottom w:val="none" w:sz="0" w:space="0" w:color="auto"/>
        <w:right w:val="none" w:sz="0" w:space="0" w:color="auto"/>
      </w:divBdr>
    </w:div>
    <w:div w:id="1011025118">
      <w:bodyDiv w:val="1"/>
      <w:marLeft w:val="0"/>
      <w:marRight w:val="0"/>
      <w:marTop w:val="0"/>
      <w:marBottom w:val="0"/>
      <w:divBdr>
        <w:top w:val="none" w:sz="0" w:space="0" w:color="auto"/>
        <w:left w:val="none" w:sz="0" w:space="0" w:color="auto"/>
        <w:bottom w:val="none" w:sz="0" w:space="0" w:color="auto"/>
        <w:right w:val="none" w:sz="0" w:space="0" w:color="auto"/>
      </w:divBdr>
    </w:div>
    <w:div w:id="1134257241">
      <w:bodyDiv w:val="1"/>
      <w:marLeft w:val="0"/>
      <w:marRight w:val="0"/>
      <w:marTop w:val="0"/>
      <w:marBottom w:val="0"/>
      <w:divBdr>
        <w:top w:val="none" w:sz="0" w:space="0" w:color="auto"/>
        <w:left w:val="none" w:sz="0" w:space="0" w:color="auto"/>
        <w:bottom w:val="none" w:sz="0" w:space="0" w:color="auto"/>
        <w:right w:val="none" w:sz="0" w:space="0" w:color="auto"/>
      </w:divBdr>
    </w:div>
    <w:div w:id="1162813228">
      <w:bodyDiv w:val="1"/>
      <w:marLeft w:val="0"/>
      <w:marRight w:val="0"/>
      <w:marTop w:val="0"/>
      <w:marBottom w:val="0"/>
      <w:divBdr>
        <w:top w:val="none" w:sz="0" w:space="0" w:color="auto"/>
        <w:left w:val="none" w:sz="0" w:space="0" w:color="auto"/>
        <w:bottom w:val="none" w:sz="0" w:space="0" w:color="auto"/>
        <w:right w:val="none" w:sz="0" w:space="0" w:color="auto"/>
      </w:divBdr>
    </w:div>
    <w:div w:id="1235972110">
      <w:bodyDiv w:val="1"/>
      <w:marLeft w:val="0"/>
      <w:marRight w:val="0"/>
      <w:marTop w:val="0"/>
      <w:marBottom w:val="0"/>
      <w:divBdr>
        <w:top w:val="none" w:sz="0" w:space="0" w:color="auto"/>
        <w:left w:val="none" w:sz="0" w:space="0" w:color="auto"/>
        <w:bottom w:val="none" w:sz="0" w:space="0" w:color="auto"/>
        <w:right w:val="none" w:sz="0" w:space="0" w:color="auto"/>
      </w:divBdr>
    </w:div>
    <w:div w:id="1260724397">
      <w:bodyDiv w:val="1"/>
      <w:marLeft w:val="0"/>
      <w:marRight w:val="0"/>
      <w:marTop w:val="0"/>
      <w:marBottom w:val="0"/>
      <w:divBdr>
        <w:top w:val="none" w:sz="0" w:space="0" w:color="auto"/>
        <w:left w:val="none" w:sz="0" w:space="0" w:color="auto"/>
        <w:bottom w:val="none" w:sz="0" w:space="0" w:color="auto"/>
        <w:right w:val="none" w:sz="0" w:space="0" w:color="auto"/>
      </w:divBdr>
    </w:div>
    <w:div w:id="1272277728">
      <w:bodyDiv w:val="1"/>
      <w:marLeft w:val="0"/>
      <w:marRight w:val="0"/>
      <w:marTop w:val="0"/>
      <w:marBottom w:val="0"/>
      <w:divBdr>
        <w:top w:val="none" w:sz="0" w:space="0" w:color="auto"/>
        <w:left w:val="none" w:sz="0" w:space="0" w:color="auto"/>
        <w:bottom w:val="none" w:sz="0" w:space="0" w:color="auto"/>
        <w:right w:val="none" w:sz="0" w:space="0" w:color="auto"/>
      </w:divBdr>
    </w:div>
    <w:div w:id="1273199477">
      <w:bodyDiv w:val="1"/>
      <w:marLeft w:val="0"/>
      <w:marRight w:val="0"/>
      <w:marTop w:val="0"/>
      <w:marBottom w:val="0"/>
      <w:divBdr>
        <w:top w:val="none" w:sz="0" w:space="0" w:color="auto"/>
        <w:left w:val="none" w:sz="0" w:space="0" w:color="auto"/>
        <w:bottom w:val="none" w:sz="0" w:space="0" w:color="auto"/>
        <w:right w:val="none" w:sz="0" w:space="0" w:color="auto"/>
      </w:divBdr>
    </w:div>
    <w:div w:id="1287469961">
      <w:bodyDiv w:val="1"/>
      <w:marLeft w:val="0"/>
      <w:marRight w:val="0"/>
      <w:marTop w:val="0"/>
      <w:marBottom w:val="0"/>
      <w:divBdr>
        <w:top w:val="none" w:sz="0" w:space="0" w:color="auto"/>
        <w:left w:val="none" w:sz="0" w:space="0" w:color="auto"/>
        <w:bottom w:val="none" w:sz="0" w:space="0" w:color="auto"/>
        <w:right w:val="none" w:sz="0" w:space="0" w:color="auto"/>
      </w:divBdr>
    </w:div>
    <w:div w:id="1299646097">
      <w:bodyDiv w:val="1"/>
      <w:marLeft w:val="0"/>
      <w:marRight w:val="0"/>
      <w:marTop w:val="0"/>
      <w:marBottom w:val="0"/>
      <w:divBdr>
        <w:top w:val="none" w:sz="0" w:space="0" w:color="auto"/>
        <w:left w:val="none" w:sz="0" w:space="0" w:color="auto"/>
        <w:bottom w:val="none" w:sz="0" w:space="0" w:color="auto"/>
        <w:right w:val="none" w:sz="0" w:space="0" w:color="auto"/>
      </w:divBdr>
    </w:div>
    <w:div w:id="1321956473">
      <w:bodyDiv w:val="1"/>
      <w:marLeft w:val="0"/>
      <w:marRight w:val="0"/>
      <w:marTop w:val="0"/>
      <w:marBottom w:val="0"/>
      <w:divBdr>
        <w:top w:val="none" w:sz="0" w:space="0" w:color="auto"/>
        <w:left w:val="none" w:sz="0" w:space="0" w:color="auto"/>
        <w:bottom w:val="none" w:sz="0" w:space="0" w:color="auto"/>
        <w:right w:val="none" w:sz="0" w:space="0" w:color="auto"/>
      </w:divBdr>
    </w:div>
    <w:div w:id="1346588522">
      <w:bodyDiv w:val="1"/>
      <w:marLeft w:val="0"/>
      <w:marRight w:val="0"/>
      <w:marTop w:val="0"/>
      <w:marBottom w:val="0"/>
      <w:divBdr>
        <w:top w:val="none" w:sz="0" w:space="0" w:color="auto"/>
        <w:left w:val="none" w:sz="0" w:space="0" w:color="auto"/>
        <w:bottom w:val="none" w:sz="0" w:space="0" w:color="auto"/>
        <w:right w:val="none" w:sz="0" w:space="0" w:color="auto"/>
      </w:divBdr>
    </w:div>
    <w:div w:id="1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555896459">
          <w:marLeft w:val="0"/>
          <w:marRight w:val="0"/>
          <w:marTop w:val="0"/>
          <w:marBottom w:val="0"/>
          <w:divBdr>
            <w:top w:val="none" w:sz="0" w:space="0" w:color="auto"/>
            <w:left w:val="none" w:sz="0" w:space="0" w:color="auto"/>
            <w:bottom w:val="none" w:sz="0" w:space="0" w:color="auto"/>
            <w:right w:val="none" w:sz="0" w:space="0" w:color="auto"/>
          </w:divBdr>
        </w:div>
        <w:div w:id="984091296">
          <w:marLeft w:val="0"/>
          <w:marRight w:val="0"/>
          <w:marTop w:val="0"/>
          <w:marBottom w:val="0"/>
          <w:divBdr>
            <w:top w:val="none" w:sz="0" w:space="0" w:color="auto"/>
            <w:left w:val="none" w:sz="0" w:space="0" w:color="auto"/>
            <w:bottom w:val="none" w:sz="0" w:space="0" w:color="auto"/>
            <w:right w:val="none" w:sz="0" w:space="0" w:color="auto"/>
          </w:divBdr>
        </w:div>
      </w:divsChild>
    </w:div>
    <w:div w:id="1501314079">
      <w:bodyDiv w:val="1"/>
      <w:marLeft w:val="0"/>
      <w:marRight w:val="0"/>
      <w:marTop w:val="0"/>
      <w:marBottom w:val="0"/>
      <w:divBdr>
        <w:top w:val="none" w:sz="0" w:space="0" w:color="auto"/>
        <w:left w:val="none" w:sz="0" w:space="0" w:color="auto"/>
        <w:bottom w:val="none" w:sz="0" w:space="0" w:color="auto"/>
        <w:right w:val="none" w:sz="0" w:space="0" w:color="auto"/>
      </w:divBdr>
    </w:div>
    <w:div w:id="1638024932">
      <w:bodyDiv w:val="1"/>
      <w:marLeft w:val="0"/>
      <w:marRight w:val="0"/>
      <w:marTop w:val="0"/>
      <w:marBottom w:val="0"/>
      <w:divBdr>
        <w:top w:val="none" w:sz="0" w:space="0" w:color="auto"/>
        <w:left w:val="none" w:sz="0" w:space="0" w:color="auto"/>
        <w:bottom w:val="none" w:sz="0" w:space="0" w:color="auto"/>
        <w:right w:val="none" w:sz="0" w:space="0" w:color="auto"/>
      </w:divBdr>
    </w:div>
    <w:div w:id="1733695297">
      <w:bodyDiv w:val="1"/>
      <w:marLeft w:val="0"/>
      <w:marRight w:val="0"/>
      <w:marTop w:val="0"/>
      <w:marBottom w:val="0"/>
      <w:divBdr>
        <w:top w:val="none" w:sz="0" w:space="0" w:color="auto"/>
        <w:left w:val="none" w:sz="0" w:space="0" w:color="auto"/>
        <w:bottom w:val="none" w:sz="0" w:space="0" w:color="auto"/>
        <w:right w:val="none" w:sz="0" w:space="0" w:color="auto"/>
      </w:divBdr>
    </w:div>
    <w:div w:id="1915309135">
      <w:bodyDiv w:val="1"/>
      <w:marLeft w:val="0"/>
      <w:marRight w:val="0"/>
      <w:marTop w:val="0"/>
      <w:marBottom w:val="0"/>
      <w:divBdr>
        <w:top w:val="none" w:sz="0" w:space="0" w:color="auto"/>
        <w:left w:val="none" w:sz="0" w:space="0" w:color="auto"/>
        <w:bottom w:val="none" w:sz="0" w:space="0" w:color="auto"/>
        <w:right w:val="none" w:sz="0" w:space="0" w:color="auto"/>
      </w:divBdr>
    </w:div>
    <w:div w:id="211354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cceew.gov.au" TargetMode="Externa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deloitte.com/global/en/about/press-room/new-deloitte-report-emerging-green-hydrogen-market.html" TargetMode="External"/><Relationship Id="rId13" Type="http://schemas.openxmlformats.org/officeDocument/2006/relationships/hyperlink" Target="https://www.industry.gov.au/sites/default/files/2022-09/disclosure-log-22-022-70711.pdf" TargetMode="External"/><Relationship Id="rId18" Type="http://schemas.openxmlformats.org/officeDocument/2006/relationships/hyperlink" Target="https://consult.dcceew.gov.au/aus-guarantee-of-origin-scheme-consultations-on-design" TargetMode="External"/><Relationship Id="rId3" Type="http://schemas.openxmlformats.org/officeDocument/2006/relationships/hyperlink" Target="https://www.irena.org/Energy-Transition/Technology/Hydrogen" TargetMode="External"/><Relationship Id="rId7" Type="http://schemas.openxmlformats.org/officeDocument/2006/relationships/hyperlink" Target="https://www.deloitte.com/global/en/issues/climate/green-hydrogen.html" TargetMode="External"/><Relationship Id="rId12" Type="http://schemas.openxmlformats.org/officeDocument/2006/relationships/hyperlink" Target="https://consult.dcceew.gov.au/hydrogen-certification-survey" TargetMode="External"/><Relationship Id="rId17" Type="http://schemas.openxmlformats.org/officeDocument/2006/relationships/hyperlink" Target="https://consult.dcceew.gov.au/aus-guarantee-of-origin-scheme-consultation" TargetMode="External"/><Relationship Id="rId2" Type="http://schemas.openxmlformats.org/officeDocument/2006/relationships/hyperlink" Target="https://www.weforum.org/agenda/2023/09/how-product-embedded-emissions-accounting-frameworks-offer-opportunities-for-circularity/" TargetMode="External"/><Relationship Id="rId16" Type="http://schemas.openxmlformats.org/officeDocument/2006/relationships/hyperlink" Target="https://cer.gov.au/schemes/guarantee-origin-scheme/designing-guarantee-origin" TargetMode="External"/><Relationship Id="rId1" Type="http://schemas.openxmlformats.org/officeDocument/2006/relationships/hyperlink" Target="https://www.csiro.au/en/research/environmental-impacts/fuels/hydrogen" TargetMode="External"/><Relationship Id="rId6" Type="http://schemas.openxmlformats.org/officeDocument/2006/relationships/hyperlink" Target="https://www.iea.org/reports/world-energy-outlook-2023" TargetMode="External"/><Relationship Id="rId11" Type="http://schemas.openxmlformats.org/officeDocument/2006/relationships/hyperlink" Target="https://www.industry.gov.au/publications/resources-and-energy-major-projects-2023" TargetMode="External"/><Relationship Id="rId5" Type="http://schemas.openxmlformats.org/officeDocument/2006/relationships/hyperlink" Target="https://www.frontier-economics.com/uk/en/news-and-articles/news/news-article-i4896-frontier-presents-power-to-x-study-commissioned-by-world-energy-council-germany/" TargetMode="External"/><Relationship Id="rId15" Type="http://schemas.openxmlformats.org/officeDocument/2006/relationships/hyperlink" Target="https://www.industry.gov.au/sites/default/files/2022-09/disclosure-log-22-022-70711.pdf" TargetMode="External"/><Relationship Id="rId10" Type="http://schemas.openxmlformats.org/officeDocument/2006/relationships/hyperlink" Target="https://www.iea.org/reports/global-hydrogen-review-2023" TargetMode="External"/><Relationship Id="rId4" Type="http://schemas.openxmlformats.org/officeDocument/2006/relationships/hyperlink" Target="https://cer.gov.au/markets/reports-and-data/corporate-emissions-reduction-transparency-report" TargetMode="External"/><Relationship Id="rId9" Type="http://schemas.openxmlformats.org/officeDocument/2006/relationships/hyperlink" Target="https://assets.nationbuilder.com/climateaction/pages/3147/attachments/original/1660717384/Clean_exports_detailed_report_vf.pdf?1660717384" TargetMode="External"/><Relationship Id="rId14" Type="http://schemas.openxmlformats.org/officeDocument/2006/relationships/hyperlink" Target="https://www.iphe.net/iphe-working-paper-methodology-doc-oct-20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19620ADD92642389C5D4B3C4F0DC506"/>
        <w:category>
          <w:name w:val="General"/>
          <w:gallery w:val="placeholder"/>
        </w:category>
        <w:types>
          <w:type w:val="bbPlcHdr"/>
        </w:types>
        <w:behaviors>
          <w:behavior w:val="content"/>
        </w:behaviors>
        <w:guid w:val="{0E69F682-416D-4040-98E0-4FB4AA2416D9}"/>
      </w:docPartPr>
      <w:docPartBody>
        <w:p w:rsidR="00E920D8" w:rsidRDefault="00811F5B">
          <w:pPr>
            <w:pStyle w:val="219620ADD92642389C5D4B3C4F0DC506"/>
          </w:pPr>
          <w:r w:rsidRPr="007F2558">
            <w:rPr>
              <w:bCs/>
              <w:color w:val="5B9BD5" w:themeColor="accent1"/>
              <w:sz w:val="16"/>
              <w:szCs w:val="16"/>
            </w:rPr>
            <w:t>[Document Heading]</w:t>
          </w:r>
        </w:p>
      </w:docPartBody>
    </w:docPart>
    <w:docPart>
      <w:docPartPr>
        <w:name w:val="C65AEBD77E3F42BFB67E4C525D0900F3"/>
        <w:category>
          <w:name w:val="General"/>
          <w:gallery w:val="placeholder"/>
        </w:category>
        <w:types>
          <w:type w:val="bbPlcHdr"/>
        </w:types>
        <w:behaviors>
          <w:behavior w:val="content"/>
        </w:behaviors>
        <w:guid w:val="{3DA31E0F-C96B-4377-9F82-B296985CD607}"/>
      </w:docPartPr>
      <w:docPartBody>
        <w:p w:rsidR="005844E4" w:rsidRDefault="003A4AD9" w:rsidP="003A4AD9">
          <w:pPr>
            <w:pStyle w:val="C65AEBD77E3F42BFB67E4C525D0900F3"/>
          </w:pPr>
          <w:r w:rsidRPr="007F2558">
            <w:rPr>
              <w:bCs/>
              <w:color w:val="5B9BD5" w:themeColor="accent1"/>
              <w:sz w:val="16"/>
              <w:szCs w:val="16"/>
            </w:rPr>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libri"/>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F5B"/>
    <w:rsid w:val="0001203C"/>
    <w:rsid w:val="00014B45"/>
    <w:rsid w:val="000306D7"/>
    <w:rsid w:val="000312B2"/>
    <w:rsid w:val="00033A90"/>
    <w:rsid w:val="00035C6A"/>
    <w:rsid w:val="000629C2"/>
    <w:rsid w:val="000831B0"/>
    <w:rsid w:val="000A100F"/>
    <w:rsid w:val="000A617D"/>
    <w:rsid w:val="000B2328"/>
    <w:rsid w:val="000E33E7"/>
    <w:rsid w:val="000E4AC4"/>
    <w:rsid w:val="0010268C"/>
    <w:rsid w:val="00132797"/>
    <w:rsid w:val="00133C3B"/>
    <w:rsid w:val="00140CF1"/>
    <w:rsid w:val="00143365"/>
    <w:rsid w:val="00144072"/>
    <w:rsid w:val="001560B6"/>
    <w:rsid w:val="00165D42"/>
    <w:rsid w:val="00182121"/>
    <w:rsid w:val="0018535A"/>
    <w:rsid w:val="00186CC8"/>
    <w:rsid w:val="00191607"/>
    <w:rsid w:val="001C0C72"/>
    <w:rsid w:val="001C285C"/>
    <w:rsid w:val="001C34AD"/>
    <w:rsid w:val="00212A26"/>
    <w:rsid w:val="00221AA7"/>
    <w:rsid w:val="00224EB2"/>
    <w:rsid w:val="00232D8E"/>
    <w:rsid w:val="00263F70"/>
    <w:rsid w:val="00283AD8"/>
    <w:rsid w:val="00296F0E"/>
    <w:rsid w:val="002A5044"/>
    <w:rsid w:val="002A6814"/>
    <w:rsid w:val="002C1E76"/>
    <w:rsid w:val="002E3223"/>
    <w:rsid w:val="002F4921"/>
    <w:rsid w:val="00325876"/>
    <w:rsid w:val="0032759A"/>
    <w:rsid w:val="00340D29"/>
    <w:rsid w:val="0034211F"/>
    <w:rsid w:val="00344522"/>
    <w:rsid w:val="00372EE7"/>
    <w:rsid w:val="003767F1"/>
    <w:rsid w:val="00380ECE"/>
    <w:rsid w:val="00385B04"/>
    <w:rsid w:val="003939C9"/>
    <w:rsid w:val="00397DFB"/>
    <w:rsid w:val="003A4AD9"/>
    <w:rsid w:val="003A71D2"/>
    <w:rsid w:val="003C62D9"/>
    <w:rsid w:val="003D0DA9"/>
    <w:rsid w:val="003D4234"/>
    <w:rsid w:val="003E6546"/>
    <w:rsid w:val="004102CE"/>
    <w:rsid w:val="00440534"/>
    <w:rsid w:val="00462A8A"/>
    <w:rsid w:val="0046450A"/>
    <w:rsid w:val="00472C0C"/>
    <w:rsid w:val="00476083"/>
    <w:rsid w:val="004B21C0"/>
    <w:rsid w:val="004B3AF6"/>
    <w:rsid w:val="004C0360"/>
    <w:rsid w:val="00503BFB"/>
    <w:rsid w:val="00535F6A"/>
    <w:rsid w:val="00544AB6"/>
    <w:rsid w:val="00545802"/>
    <w:rsid w:val="00563718"/>
    <w:rsid w:val="005652D6"/>
    <w:rsid w:val="005844E4"/>
    <w:rsid w:val="005A7DF4"/>
    <w:rsid w:val="005B1620"/>
    <w:rsid w:val="005B6F1E"/>
    <w:rsid w:val="005C6BF6"/>
    <w:rsid w:val="005D719E"/>
    <w:rsid w:val="005F1799"/>
    <w:rsid w:val="00612006"/>
    <w:rsid w:val="00650FBB"/>
    <w:rsid w:val="00693CB5"/>
    <w:rsid w:val="0069433E"/>
    <w:rsid w:val="006B5122"/>
    <w:rsid w:val="006D7A93"/>
    <w:rsid w:val="0072218B"/>
    <w:rsid w:val="00741631"/>
    <w:rsid w:val="007560EF"/>
    <w:rsid w:val="00766748"/>
    <w:rsid w:val="00770DE3"/>
    <w:rsid w:val="0077595E"/>
    <w:rsid w:val="007A0D86"/>
    <w:rsid w:val="007A27EF"/>
    <w:rsid w:val="007B217B"/>
    <w:rsid w:val="0080361E"/>
    <w:rsid w:val="00811F5B"/>
    <w:rsid w:val="008121DA"/>
    <w:rsid w:val="00846E81"/>
    <w:rsid w:val="00866974"/>
    <w:rsid w:val="008709BC"/>
    <w:rsid w:val="00880D48"/>
    <w:rsid w:val="00887811"/>
    <w:rsid w:val="008911EB"/>
    <w:rsid w:val="008B4016"/>
    <w:rsid w:val="008E068B"/>
    <w:rsid w:val="009115A5"/>
    <w:rsid w:val="00914CB6"/>
    <w:rsid w:val="009474EE"/>
    <w:rsid w:val="00952773"/>
    <w:rsid w:val="00967724"/>
    <w:rsid w:val="00973791"/>
    <w:rsid w:val="00996794"/>
    <w:rsid w:val="0099793E"/>
    <w:rsid w:val="009B7575"/>
    <w:rsid w:val="009D5106"/>
    <w:rsid w:val="009D5843"/>
    <w:rsid w:val="009E55C6"/>
    <w:rsid w:val="00A127E7"/>
    <w:rsid w:val="00A31869"/>
    <w:rsid w:val="00A47775"/>
    <w:rsid w:val="00A573D4"/>
    <w:rsid w:val="00A64582"/>
    <w:rsid w:val="00A73236"/>
    <w:rsid w:val="00A951A3"/>
    <w:rsid w:val="00AC1F0B"/>
    <w:rsid w:val="00AC22E7"/>
    <w:rsid w:val="00AC2BE0"/>
    <w:rsid w:val="00AC3719"/>
    <w:rsid w:val="00AF7511"/>
    <w:rsid w:val="00B0732B"/>
    <w:rsid w:val="00B751A2"/>
    <w:rsid w:val="00B92456"/>
    <w:rsid w:val="00BB2CFE"/>
    <w:rsid w:val="00BD22D9"/>
    <w:rsid w:val="00C04506"/>
    <w:rsid w:val="00C0643C"/>
    <w:rsid w:val="00C24F99"/>
    <w:rsid w:val="00C40B7C"/>
    <w:rsid w:val="00C439B1"/>
    <w:rsid w:val="00C57E64"/>
    <w:rsid w:val="00CA46C9"/>
    <w:rsid w:val="00CB7F45"/>
    <w:rsid w:val="00D31E54"/>
    <w:rsid w:val="00D32EF3"/>
    <w:rsid w:val="00D42445"/>
    <w:rsid w:val="00D4723E"/>
    <w:rsid w:val="00D61A57"/>
    <w:rsid w:val="00D94327"/>
    <w:rsid w:val="00DA132B"/>
    <w:rsid w:val="00DA5705"/>
    <w:rsid w:val="00DA62E2"/>
    <w:rsid w:val="00DA6E09"/>
    <w:rsid w:val="00DE0C9B"/>
    <w:rsid w:val="00E02606"/>
    <w:rsid w:val="00E21C7D"/>
    <w:rsid w:val="00E31122"/>
    <w:rsid w:val="00E35619"/>
    <w:rsid w:val="00E35624"/>
    <w:rsid w:val="00E4137C"/>
    <w:rsid w:val="00E5279F"/>
    <w:rsid w:val="00E645C1"/>
    <w:rsid w:val="00E920D8"/>
    <w:rsid w:val="00E938E8"/>
    <w:rsid w:val="00E94ACE"/>
    <w:rsid w:val="00EB1E20"/>
    <w:rsid w:val="00EB4507"/>
    <w:rsid w:val="00ED2E8E"/>
    <w:rsid w:val="00EE1076"/>
    <w:rsid w:val="00F33C4E"/>
    <w:rsid w:val="00F3729D"/>
    <w:rsid w:val="00F51AF6"/>
    <w:rsid w:val="00F6426E"/>
    <w:rsid w:val="00F6486C"/>
    <w:rsid w:val="00F67623"/>
    <w:rsid w:val="00F75AE0"/>
    <w:rsid w:val="00F76BC9"/>
    <w:rsid w:val="00F86D8C"/>
    <w:rsid w:val="00F97951"/>
    <w:rsid w:val="00FB44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9620ADD92642389C5D4B3C4F0DC506">
    <w:name w:val="219620ADD92642389C5D4B3C4F0DC506"/>
  </w:style>
  <w:style w:type="paragraph" w:customStyle="1" w:styleId="C65AEBD77E3F42BFB67E4C525D0900F3">
    <w:name w:val="C65AEBD77E3F42BFB67E4C525D0900F3"/>
    <w:rsid w:val="003A4AD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PMC Corp Word">
      <a:dk1>
        <a:srgbClr val="000000"/>
      </a:dk1>
      <a:lt1>
        <a:sysClr val="window" lastClr="FFFFFF"/>
      </a:lt1>
      <a:dk2>
        <a:srgbClr val="014463"/>
      </a:dk2>
      <a:lt2>
        <a:srgbClr val="D1D1D1"/>
      </a:lt2>
      <a:accent1>
        <a:srgbClr val="25303B"/>
      </a:accent1>
      <a:accent2>
        <a:srgbClr val="014463"/>
      </a:accent2>
      <a:accent3>
        <a:srgbClr val="0A6446"/>
      </a:accent3>
      <a:accent4>
        <a:srgbClr val="C85A17"/>
      </a:accent4>
      <a:accent5>
        <a:srgbClr val="F7A600"/>
      </a:accent5>
      <a:accent6>
        <a:srgbClr val="A91117"/>
      </a:accent6>
      <a:hlink>
        <a:srgbClr val="015F8B"/>
      </a:hlink>
      <a:folHlink>
        <a:srgbClr val="015F8B"/>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20079</Words>
  <Characters>114451</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134262</CharactersWithSpaces>
  <SharedDoc>false</SharedDoc>
  <HLinks>
    <vt:vector size="276" baseType="variant">
      <vt:variant>
        <vt:i4>1507391</vt:i4>
      </vt:variant>
      <vt:variant>
        <vt:i4>107</vt:i4>
      </vt:variant>
      <vt:variant>
        <vt:i4>0</vt:i4>
      </vt:variant>
      <vt:variant>
        <vt:i4>5</vt:i4>
      </vt:variant>
      <vt:variant>
        <vt:lpwstr/>
      </vt:variant>
      <vt:variant>
        <vt:lpwstr>_Toc174692337</vt:lpwstr>
      </vt:variant>
      <vt:variant>
        <vt:i4>1507391</vt:i4>
      </vt:variant>
      <vt:variant>
        <vt:i4>101</vt:i4>
      </vt:variant>
      <vt:variant>
        <vt:i4>0</vt:i4>
      </vt:variant>
      <vt:variant>
        <vt:i4>5</vt:i4>
      </vt:variant>
      <vt:variant>
        <vt:lpwstr/>
      </vt:variant>
      <vt:variant>
        <vt:lpwstr>_Toc174692336</vt:lpwstr>
      </vt:variant>
      <vt:variant>
        <vt:i4>1507391</vt:i4>
      </vt:variant>
      <vt:variant>
        <vt:i4>95</vt:i4>
      </vt:variant>
      <vt:variant>
        <vt:i4>0</vt:i4>
      </vt:variant>
      <vt:variant>
        <vt:i4>5</vt:i4>
      </vt:variant>
      <vt:variant>
        <vt:lpwstr/>
      </vt:variant>
      <vt:variant>
        <vt:lpwstr>_Toc174692335</vt:lpwstr>
      </vt:variant>
      <vt:variant>
        <vt:i4>1507391</vt:i4>
      </vt:variant>
      <vt:variant>
        <vt:i4>89</vt:i4>
      </vt:variant>
      <vt:variant>
        <vt:i4>0</vt:i4>
      </vt:variant>
      <vt:variant>
        <vt:i4>5</vt:i4>
      </vt:variant>
      <vt:variant>
        <vt:lpwstr/>
      </vt:variant>
      <vt:variant>
        <vt:lpwstr>_Toc174692334</vt:lpwstr>
      </vt:variant>
      <vt:variant>
        <vt:i4>1507391</vt:i4>
      </vt:variant>
      <vt:variant>
        <vt:i4>83</vt:i4>
      </vt:variant>
      <vt:variant>
        <vt:i4>0</vt:i4>
      </vt:variant>
      <vt:variant>
        <vt:i4>5</vt:i4>
      </vt:variant>
      <vt:variant>
        <vt:lpwstr/>
      </vt:variant>
      <vt:variant>
        <vt:lpwstr>_Toc174692333</vt:lpwstr>
      </vt:variant>
      <vt:variant>
        <vt:i4>1507391</vt:i4>
      </vt:variant>
      <vt:variant>
        <vt:i4>77</vt:i4>
      </vt:variant>
      <vt:variant>
        <vt:i4>0</vt:i4>
      </vt:variant>
      <vt:variant>
        <vt:i4>5</vt:i4>
      </vt:variant>
      <vt:variant>
        <vt:lpwstr/>
      </vt:variant>
      <vt:variant>
        <vt:lpwstr>_Toc174692332</vt:lpwstr>
      </vt:variant>
      <vt:variant>
        <vt:i4>1507391</vt:i4>
      </vt:variant>
      <vt:variant>
        <vt:i4>71</vt:i4>
      </vt:variant>
      <vt:variant>
        <vt:i4>0</vt:i4>
      </vt:variant>
      <vt:variant>
        <vt:i4>5</vt:i4>
      </vt:variant>
      <vt:variant>
        <vt:lpwstr/>
      </vt:variant>
      <vt:variant>
        <vt:lpwstr>_Toc174692331</vt:lpwstr>
      </vt:variant>
      <vt:variant>
        <vt:i4>1507391</vt:i4>
      </vt:variant>
      <vt:variant>
        <vt:i4>65</vt:i4>
      </vt:variant>
      <vt:variant>
        <vt:i4>0</vt:i4>
      </vt:variant>
      <vt:variant>
        <vt:i4>5</vt:i4>
      </vt:variant>
      <vt:variant>
        <vt:lpwstr/>
      </vt:variant>
      <vt:variant>
        <vt:lpwstr>_Toc174692330</vt:lpwstr>
      </vt:variant>
      <vt:variant>
        <vt:i4>1441855</vt:i4>
      </vt:variant>
      <vt:variant>
        <vt:i4>59</vt:i4>
      </vt:variant>
      <vt:variant>
        <vt:i4>0</vt:i4>
      </vt:variant>
      <vt:variant>
        <vt:i4>5</vt:i4>
      </vt:variant>
      <vt:variant>
        <vt:lpwstr/>
      </vt:variant>
      <vt:variant>
        <vt:lpwstr>_Toc174692329</vt:lpwstr>
      </vt:variant>
      <vt:variant>
        <vt:i4>1441855</vt:i4>
      </vt:variant>
      <vt:variant>
        <vt:i4>53</vt:i4>
      </vt:variant>
      <vt:variant>
        <vt:i4>0</vt:i4>
      </vt:variant>
      <vt:variant>
        <vt:i4>5</vt:i4>
      </vt:variant>
      <vt:variant>
        <vt:lpwstr/>
      </vt:variant>
      <vt:variant>
        <vt:lpwstr>_Toc174692328</vt:lpwstr>
      </vt:variant>
      <vt:variant>
        <vt:i4>1441855</vt:i4>
      </vt:variant>
      <vt:variant>
        <vt:i4>47</vt:i4>
      </vt:variant>
      <vt:variant>
        <vt:i4>0</vt:i4>
      </vt:variant>
      <vt:variant>
        <vt:i4>5</vt:i4>
      </vt:variant>
      <vt:variant>
        <vt:lpwstr/>
      </vt:variant>
      <vt:variant>
        <vt:lpwstr>_Toc174692327</vt:lpwstr>
      </vt:variant>
      <vt:variant>
        <vt:i4>1441855</vt:i4>
      </vt:variant>
      <vt:variant>
        <vt:i4>41</vt:i4>
      </vt:variant>
      <vt:variant>
        <vt:i4>0</vt:i4>
      </vt:variant>
      <vt:variant>
        <vt:i4>5</vt:i4>
      </vt:variant>
      <vt:variant>
        <vt:lpwstr/>
      </vt:variant>
      <vt:variant>
        <vt:lpwstr>_Toc174692326</vt:lpwstr>
      </vt:variant>
      <vt:variant>
        <vt:i4>1441855</vt:i4>
      </vt:variant>
      <vt:variant>
        <vt:i4>35</vt:i4>
      </vt:variant>
      <vt:variant>
        <vt:i4>0</vt:i4>
      </vt:variant>
      <vt:variant>
        <vt:i4>5</vt:i4>
      </vt:variant>
      <vt:variant>
        <vt:lpwstr/>
      </vt:variant>
      <vt:variant>
        <vt:lpwstr>_Toc174692325</vt:lpwstr>
      </vt:variant>
      <vt:variant>
        <vt:i4>1441855</vt:i4>
      </vt:variant>
      <vt:variant>
        <vt:i4>29</vt:i4>
      </vt:variant>
      <vt:variant>
        <vt:i4>0</vt:i4>
      </vt:variant>
      <vt:variant>
        <vt:i4>5</vt:i4>
      </vt:variant>
      <vt:variant>
        <vt:lpwstr/>
      </vt:variant>
      <vt:variant>
        <vt:lpwstr>_Toc174692324</vt:lpwstr>
      </vt:variant>
      <vt:variant>
        <vt:i4>1441855</vt:i4>
      </vt:variant>
      <vt:variant>
        <vt:i4>23</vt:i4>
      </vt:variant>
      <vt:variant>
        <vt:i4>0</vt:i4>
      </vt:variant>
      <vt:variant>
        <vt:i4>5</vt:i4>
      </vt:variant>
      <vt:variant>
        <vt:lpwstr/>
      </vt:variant>
      <vt:variant>
        <vt:lpwstr>_Toc174692323</vt:lpwstr>
      </vt:variant>
      <vt:variant>
        <vt:i4>1441855</vt:i4>
      </vt:variant>
      <vt:variant>
        <vt:i4>17</vt:i4>
      </vt:variant>
      <vt:variant>
        <vt:i4>0</vt:i4>
      </vt:variant>
      <vt:variant>
        <vt:i4>5</vt:i4>
      </vt:variant>
      <vt:variant>
        <vt:lpwstr/>
      </vt:variant>
      <vt:variant>
        <vt:lpwstr>_Toc174692322</vt:lpwstr>
      </vt:variant>
      <vt:variant>
        <vt:i4>1441855</vt:i4>
      </vt:variant>
      <vt:variant>
        <vt:i4>11</vt:i4>
      </vt:variant>
      <vt:variant>
        <vt:i4>0</vt:i4>
      </vt:variant>
      <vt:variant>
        <vt:i4>5</vt:i4>
      </vt:variant>
      <vt:variant>
        <vt:lpwstr/>
      </vt:variant>
      <vt:variant>
        <vt:lpwstr>_Toc174692321</vt:lpwstr>
      </vt:variant>
      <vt:variant>
        <vt:i4>1441855</vt:i4>
      </vt:variant>
      <vt:variant>
        <vt:i4>5</vt:i4>
      </vt:variant>
      <vt:variant>
        <vt:i4>0</vt:i4>
      </vt:variant>
      <vt:variant>
        <vt:i4>5</vt:i4>
      </vt:variant>
      <vt:variant>
        <vt:lpwstr/>
      </vt:variant>
      <vt:variant>
        <vt:lpwstr>_Toc174692320</vt:lpwstr>
      </vt:variant>
      <vt:variant>
        <vt:i4>5439569</vt:i4>
      </vt:variant>
      <vt:variant>
        <vt:i4>0</vt:i4>
      </vt:variant>
      <vt:variant>
        <vt:i4>0</vt:i4>
      </vt:variant>
      <vt:variant>
        <vt:i4>5</vt:i4>
      </vt:variant>
      <vt:variant>
        <vt:lpwstr>http://www.dcceew.gov.au/</vt:lpwstr>
      </vt:variant>
      <vt:variant>
        <vt:lpwstr/>
      </vt:variant>
      <vt:variant>
        <vt:i4>1769495</vt:i4>
      </vt:variant>
      <vt:variant>
        <vt:i4>57</vt:i4>
      </vt:variant>
      <vt:variant>
        <vt:i4>0</vt:i4>
      </vt:variant>
      <vt:variant>
        <vt:i4>5</vt:i4>
      </vt:variant>
      <vt:variant>
        <vt:lpwstr>https://consult.dcceew.gov.au/aus-guarantee-of-origin-scheme-consultations-on-design</vt:lpwstr>
      </vt:variant>
      <vt:variant>
        <vt:lpwstr/>
      </vt:variant>
      <vt:variant>
        <vt:i4>4718666</vt:i4>
      </vt:variant>
      <vt:variant>
        <vt:i4>54</vt:i4>
      </vt:variant>
      <vt:variant>
        <vt:i4>0</vt:i4>
      </vt:variant>
      <vt:variant>
        <vt:i4>5</vt:i4>
      </vt:variant>
      <vt:variant>
        <vt:lpwstr>https://consult.dcceew.gov.au/aus-guarantee-of-origin-scheme-consultation</vt:lpwstr>
      </vt:variant>
      <vt:variant>
        <vt:lpwstr/>
      </vt:variant>
      <vt:variant>
        <vt:i4>5963860</vt:i4>
      </vt:variant>
      <vt:variant>
        <vt:i4>51</vt:i4>
      </vt:variant>
      <vt:variant>
        <vt:i4>0</vt:i4>
      </vt:variant>
      <vt:variant>
        <vt:i4>5</vt:i4>
      </vt:variant>
      <vt:variant>
        <vt:lpwstr>https://cer.gov.au/schemes/guarantee-origin-scheme/designing-guarantee-origin</vt:lpwstr>
      </vt:variant>
      <vt:variant>
        <vt:lpwstr/>
      </vt:variant>
      <vt:variant>
        <vt:i4>7209000</vt:i4>
      </vt:variant>
      <vt:variant>
        <vt:i4>45</vt:i4>
      </vt:variant>
      <vt:variant>
        <vt:i4>0</vt:i4>
      </vt:variant>
      <vt:variant>
        <vt:i4>5</vt:i4>
      </vt:variant>
      <vt:variant>
        <vt:lpwstr>https://www.industry.gov.au/sites/default/files/2022-09/disclosure-log-22-022-70711.pdf</vt:lpwstr>
      </vt:variant>
      <vt:variant>
        <vt:lpwstr/>
      </vt:variant>
      <vt:variant>
        <vt:i4>4653146</vt:i4>
      </vt:variant>
      <vt:variant>
        <vt:i4>42</vt:i4>
      </vt:variant>
      <vt:variant>
        <vt:i4>0</vt:i4>
      </vt:variant>
      <vt:variant>
        <vt:i4>5</vt:i4>
      </vt:variant>
      <vt:variant>
        <vt:lpwstr>https://www.iphe.net/iphe-working-paper-methodology-doc-oct-2021</vt:lpwstr>
      </vt:variant>
      <vt:variant>
        <vt:lpwstr/>
      </vt:variant>
      <vt:variant>
        <vt:i4>7209000</vt:i4>
      </vt:variant>
      <vt:variant>
        <vt:i4>39</vt:i4>
      </vt:variant>
      <vt:variant>
        <vt:i4>0</vt:i4>
      </vt:variant>
      <vt:variant>
        <vt:i4>5</vt:i4>
      </vt:variant>
      <vt:variant>
        <vt:lpwstr>https://www.industry.gov.au/sites/default/files/2022-09/disclosure-log-22-022-70711.pdf</vt:lpwstr>
      </vt:variant>
      <vt:variant>
        <vt:lpwstr/>
      </vt:variant>
      <vt:variant>
        <vt:i4>7340094</vt:i4>
      </vt:variant>
      <vt:variant>
        <vt:i4>36</vt:i4>
      </vt:variant>
      <vt:variant>
        <vt:i4>0</vt:i4>
      </vt:variant>
      <vt:variant>
        <vt:i4>5</vt:i4>
      </vt:variant>
      <vt:variant>
        <vt:lpwstr>https://consult.dcceew.gov.au/hydrogen-certification-survey</vt:lpwstr>
      </vt:variant>
      <vt:variant>
        <vt:lpwstr/>
      </vt:variant>
      <vt:variant>
        <vt:i4>1245204</vt:i4>
      </vt:variant>
      <vt:variant>
        <vt:i4>30</vt:i4>
      </vt:variant>
      <vt:variant>
        <vt:i4>0</vt:i4>
      </vt:variant>
      <vt:variant>
        <vt:i4>5</vt:i4>
      </vt:variant>
      <vt:variant>
        <vt:lpwstr>https://www.industry.gov.au/publications/resources-and-energy-major-projects-2023</vt:lpwstr>
      </vt:variant>
      <vt:variant>
        <vt:lpwstr/>
      </vt:variant>
      <vt:variant>
        <vt:i4>3997817</vt:i4>
      </vt:variant>
      <vt:variant>
        <vt:i4>27</vt:i4>
      </vt:variant>
      <vt:variant>
        <vt:i4>0</vt:i4>
      </vt:variant>
      <vt:variant>
        <vt:i4>5</vt:i4>
      </vt:variant>
      <vt:variant>
        <vt:lpwstr>https://www.iea.org/reports/global-hydrogen-review-2023</vt:lpwstr>
      </vt:variant>
      <vt:variant>
        <vt:lpwstr/>
      </vt:variant>
      <vt:variant>
        <vt:i4>7471136</vt:i4>
      </vt:variant>
      <vt:variant>
        <vt:i4>24</vt:i4>
      </vt:variant>
      <vt:variant>
        <vt:i4>0</vt:i4>
      </vt:variant>
      <vt:variant>
        <vt:i4>5</vt:i4>
      </vt:variant>
      <vt:variant>
        <vt:lpwstr>https://assets.nationbuilder.com/climateaction/pages/3147/attachments/original/1660717384/Clean_exports_detailed_report_vf.pdf?1660717384</vt:lpwstr>
      </vt:variant>
      <vt:variant>
        <vt:lpwstr/>
      </vt:variant>
      <vt:variant>
        <vt:i4>7864422</vt:i4>
      </vt:variant>
      <vt:variant>
        <vt:i4>21</vt:i4>
      </vt:variant>
      <vt:variant>
        <vt:i4>0</vt:i4>
      </vt:variant>
      <vt:variant>
        <vt:i4>5</vt:i4>
      </vt:variant>
      <vt:variant>
        <vt:lpwstr>https://www.deloitte.com/global/en/about/press-room/new-deloitte-report-emerging-green-hydrogen-market.html</vt:lpwstr>
      </vt:variant>
      <vt:variant>
        <vt:lpwstr/>
      </vt:variant>
      <vt:variant>
        <vt:i4>4325464</vt:i4>
      </vt:variant>
      <vt:variant>
        <vt:i4>18</vt:i4>
      </vt:variant>
      <vt:variant>
        <vt:i4>0</vt:i4>
      </vt:variant>
      <vt:variant>
        <vt:i4>5</vt:i4>
      </vt:variant>
      <vt:variant>
        <vt:lpwstr>https://www.deloitte.com/global/en/issues/climate/green-hydrogen.html</vt:lpwstr>
      </vt:variant>
      <vt:variant>
        <vt:lpwstr/>
      </vt:variant>
      <vt:variant>
        <vt:i4>5963779</vt:i4>
      </vt:variant>
      <vt:variant>
        <vt:i4>15</vt:i4>
      </vt:variant>
      <vt:variant>
        <vt:i4>0</vt:i4>
      </vt:variant>
      <vt:variant>
        <vt:i4>5</vt:i4>
      </vt:variant>
      <vt:variant>
        <vt:lpwstr>https://www.iea.org/reports/world-energy-outlook-2023</vt:lpwstr>
      </vt:variant>
      <vt:variant>
        <vt:lpwstr/>
      </vt:variant>
      <vt:variant>
        <vt:i4>3801197</vt:i4>
      </vt:variant>
      <vt:variant>
        <vt:i4>12</vt:i4>
      </vt:variant>
      <vt:variant>
        <vt:i4>0</vt:i4>
      </vt:variant>
      <vt:variant>
        <vt:i4>5</vt:i4>
      </vt:variant>
      <vt:variant>
        <vt:lpwstr>https://www.frontier-economics.com/uk/en/news-and-articles/news/news-article-i4896-frontier-presents-power-to-x-study-commissioned-by-world-energy-council-germany/</vt:lpwstr>
      </vt:variant>
      <vt:variant>
        <vt:lpwstr/>
      </vt:variant>
      <vt:variant>
        <vt:i4>65538</vt:i4>
      </vt:variant>
      <vt:variant>
        <vt:i4>9</vt:i4>
      </vt:variant>
      <vt:variant>
        <vt:i4>0</vt:i4>
      </vt:variant>
      <vt:variant>
        <vt:i4>5</vt:i4>
      </vt:variant>
      <vt:variant>
        <vt:lpwstr>https://cer.gov.au/markets/reports-and-data/corporate-emissions-reduction-transparency-report</vt:lpwstr>
      </vt:variant>
      <vt:variant>
        <vt:lpwstr/>
      </vt:variant>
      <vt:variant>
        <vt:i4>6422572</vt:i4>
      </vt:variant>
      <vt:variant>
        <vt:i4>6</vt:i4>
      </vt:variant>
      <vt:variant>
        <vt:i4>0</vt:i4>
      </vt:variant>
      <vt:variant>
        <vt:i4>5</vt:i4>
      </vt:variant>
      <vt:variant>
        <vt:lpwstr>https://www.irena.org/Energy-Transition/Technology/Hydrogen</vt:lpwstr>
      </vt:variant>
      <vt:variant>
        <vt:lpwstr/>
      </vt:variant>
      <vt:variant>
        <vt:i4>1638492</vt:i4>
      </vt:variant>
      <vt:variant>
        <vt:i4>3</vt:i4>
      </vt:variant>
      <vt:variant>
        <vt:i4>0</vt:i4>
      </vt:variant>
      <vt:variant>
        <vt:i4>5</vt:i4>
      </vt:variant>
      <vt:variant>
        <vt:lpwstr>https://www.weforum.org/agenda/2023/09/how-product-embedded-emissions-accounting-frameworks-offer-opportunities-for-circularity/</vt:lpwstr>
      </vt:variant>
      <vt:variant>
        <vt:lpwstr/>
      </vt:variant>
      <vt:variant>
        <vt:i4>10</vt:i4>
      </vt:variant>
      <vt:variant>
        <vt:i4>0</vt:i4>
      </vt:variant>
      <vt:variant>
        <vt:i4>0</vt:i4>
      </vt:variant>
      <vt:variant>
        <vt:i4>5</vt:i4>
      </vt:variant>
      <vt:variant>
        <vt:lpwstr>https://www.csiro.au/en/research/environmental-impacts/fuels/hydrogen</vt:lpwstr>
      </vt:variant>
      <vt:variant>
        <vt:lpwstr>:~:text=It%27s%20estimated%20that%20a%20clean,and%20reduce%20greenhouse%20gas%20emissions.&amp;text=So%2C%20with%20a%20strong%20global,re%20at%20a%20critical%20stage</vt:lpwstr>
      </vt:variant>
      <vt:variant>
        <vt:i4>6357023</vt:i4>
      </vt:variant>
      <vt:variant>
        <vt:i4>24</vt:i4>
      </vt:variant>
      <vt:variant>
        <vt:i4>0</vt:i4>
      </vt:variant>
      <vt:variant>
        <vt:i4>5</vt:i4>
      </vt:variant>
      <vt:variant>
        <vt:lpwstr>mailto:Josh.SMITH@dcceew-migration.gov.au</vt:lpwstr>
      </vt:variant>
      <vt:variant>
        <vt:lpwstr/>
      </vt:variant>
      <vt:variant>
        <vt:i4>6357023</vt:i4>
      </vt:variant>
      <vt:variant>
        <vt:i4>21</vt:i4>
      </vt:variant>
      <vt:variant>
        <vt:i4>0</vt:i4>
      </vt:variant>
      <vt:variant>
        <vt:i4>5</vt:i4>
      </vt:variant>
      <vt:variant>
        <vt:lpwstr>mailto:Josh.SMITH@dcceew-migration.gov.au</vt:lpwstr>
      </vt:variant>
      <vt:variant>
        <vt:lpwstr/>
      </vt:variant>
      <vt:variant>
        <vt:i4>2293824</vt:i4>
      </vt:variant>
      <vt:variant>
        <vt:i4>18</vt:i4>
      </vt:variant>
      <vt:variant>
        <vt:i4>0</vt:i4>
      </vt:variant>
      <vt:variant>
        <vt:i4>5</vt:i4>
      </vt:variant>
      <vt:variant>
        <vt:lpwstr>mailto:Rebecca.THOMSON@dcceew-migration.gov.au</vt:lpwstr>
      </vt:variant>
      <vt:variant>
        <vt:lpwstr/>
      </vt:variant>
      <vt:variant>
        <vt:i4>6357023</vt:i4>
      </vt:variant>
      <vt:variant>
        <vt:i4>15</vt:i4>
      </vt:variant>
      <vt:variant>
        <vt:i4>0</vt:i4>
      </vt:variant>
      <vt:variant>
        <vt:i4>5</vt:i4>
      </vt:variant>
      <vt:variant>
        <vt:lpwstr>mailto:Josh.SMITH@dcceew-migration.gov.au</vt:lpwstr>
      </vt:variant>
      <vt:variant>
        <vt:lpwstr/>
      </vt:variant>
      <vt:variant>
        <vt:i4>5832762</vt:i4>
      </vt:variant>
      <vt:variant>
        <vt:i4>12</vt:i4>
      </vt:variant>
      <vt:variant>
        <vt:i4>0</vt:i4>
      </vt:variant>
      <vt:variant>
        <vt:i4>5</vt:i4>
      </vt:variant>
      <vt:variant>
        <vt:lpwstr>mailto:James.ERSKINE@dcceew-migration.gov.au</vt:lpwstr>
      </vt:variant>
      <vt:variant>
        <vt:lpwstr/>
      </vt:variant>
      <vt:variant>
        <vt:i4>4194409</vt:i4>
      </vt:variant>
      <vt:variant>
        <vt:i4>9</vt:i4>
      </vt:variant>
      <vt:variant>
        <vt:i4>0</vt:i4>
      </vt:variant>
      <vt:variant>
        <vt:i4>5</vt:i4>
      </vt:variant>
      <vt:variant>
        <vt:lpwstr>mailto:Julia.Eecen1@dcceew-migration.gov.au</vt:lpwstr>
      </vt:variant>
      <vt:variant>
        <vt:lpwstr/>
      </vt:variant>
      <vt:variant>
        <vt:i4>4194409</vt:i4>
      </vt:variant>
      <vt:variant>
        <vt:i4>6</vt:i4>
      </vt:variant>
      <vt:variant>
        <vt:i4>0</vt:i4>
      </vt:variant>
      <vt:variant>
        <vt:i4>5</vt:i4>
      </vt:variant>
      <vt:variant>
        <vt:lpwstr>mailto:Julia.Eecen1@dcceew-migration.gov.au</vt:lpwstr>
      </vt:variant>
      <vt:variant>
        <vt:lpwstr/>
      </vt:variant>
      <vt:variant>
        <vt:i4>6357023</vt:i4>
      </vt:variant>
      <vt:variant>
        <vt:i4>3</vt:i4>
      </vt:variant>
      <vt:variant>
        <vt:i4>0</vt:i4>
      </vt:variant>
      <vt:variant>
        <vt:i4>5</vt:i4>
      </vt:variant>
      <vt:variant>
        <vt:lpwstr>mailto:Josh.SMITH@dcceew-migration.gov.au</vt:lpwstr>
      </vt:variant>
      <vt:variant>
        <vt:lpwstr/>
      </vt:variant>
      <vt:variant>
        <vt:i4>2293824</vt:i4>
      </vt:variant>
      <vt:variant>
        <vt:i4>0</vt:i4>
      </vt:variant>
      <vt:variant>
        <vt:i4>0</vt:i4>
      </vt:variant>
      <vt:variant>
        <vt:i4>5</vt:i4>
      </vt:variant>
      <vt:variant>
        <vt:lpwstr>mailto:Rebecca.THOMSON@dcceew-migration.gov.au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2024-09-12T02:28:00Z</dcterms:created>
  <dcterms:modified xsi:type="dcterms:W3CDTF">2024-09-12T02:30:00Z</dcterms:modified>
  <cp:category/>
</cp:coreProperties>
</file>