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B3" w:rsidRDefault="00BB72B3" w:rsidP="00CF4966">
      <w:pPr>
        <w:pStyle w:val="NoSpacing"/>
      </w:pPr>
    </w:p>
    <w:p w:rsidR="007F04DC" w:rsidRDefault="007F04DC" w:rsidP="00CF4966">
      <w:pPr>
        <w:pStyle w:val="NoSpacing"/>
      </w:pPr>
    </w:p>
    <w:p w:rsidR="00BB72B3" w:rsidRDefault="00BB72B3" w:rsidP="00CF4966">
      <w:pPr>
        <w:pStyle w:val="NoSpacing"/>
      </w:pPr>
    </w:p>
    <w:p w:rsidR="00A81326" w:rsidRPr="00A81326" w:rsidRDefault="00F61D88" w:rsidP="00A81326">
      <w:pPr>
        <w:pStyle w:val="NoSpacing"/>
        <w:rPr>
          <w:rFonts w:cstheme="minorHAnsi"/>
        </w:rPr>
      </w:pPr>
      <w:r w:rsidRPr="00F61D88">
        <w:rPr>
          <w:rFonts w:cstheme="minorHAnsi"/>
        </w:rPr>
        <w:t>Joanna Abhayaratna</w:t>
      </w:r>
    </w:p>
    <w:p w:rsidR="00A81326" w:rsidRPr="00A81326" w:rsidRDefault="00F61D88" w:rsidP="00A81326">
      <w:pPr>
        <w:pStyle w:val="NoSpacing"/>
        <w:rPr>
          <w:rFonts w:cstheme="minorHAnsi"/>
        </w:rPr>
      </w:pPr>
      <w:r>
        <w:rPr>
          <w:rFonts w:cstheme="minorHAnsi"/>
        </w:rPr>
        <w:t>E</w:t>
      </w:r>
      <w:r w:rsidR="00A81326" w:rsidRPr="00A81326">
        <w:rPr>
          <w:rFonts w:cstheme="minorHAnsi"/>
        </w:rPr>
        <w:t>xecutive Director</w:t>
      </w:r>
    </w:p>
    <w:p w:rsidR="00A81326" w:rsidRPr="00A81326" w:rsidRDefault="00F61D88" w:rsidP="00A81326">
      <w:pPr>
        <w:pStyle w:val="NoSpacing"/>
        <w:rPr>
          <w:rFonts w:cstheme="minorHAnsi"/>
        </w:rPr>
      </w:pPr>
      <w:r>
        <w:rPr>
          <w:rFonts w:cstheme="minorHAnsi"/>
        </w:rPr>
        <w:t xml:space="preserve">The </w:t>
      </w:r>
      <w:r w:rsidR="00A81326" w:rsidRPr="00A81326">
        <w:rPr>
          <w:rFonts w:cstheme="minorHAnsi"/>
        </w:rPr>
        <w:t>Office of Impact Analysis</w:t>
      </w:r>
    </w:p>
    <w:p w:rsidR="00A81326" w:rsidRPr="00A81326" w:rsidRDefault="00A81326" w:rsidP="00A81326">
      <w:pPr>
        <w:pStyle w:val="NoSpacing"/>
        <w:rPr>
          <w:rFonts w:cstheme="minorHAnsi"/>
        </w:rPr>
      </w:pPr>
      <w:r w:rsidRPr="00A81326">
        <w:rPr>
          <w:rFonts w:cstheme="minorHAnsi"/>
        </w:rPr>
        <w:t>Department of the Prime Minister and Cabinet</w:t>
      </w:r>
    </w:p>
    <w:p w:rsidR="00A81326" w:rsidRPr="00A81326" w:rsidRDefault="00A81326" w:rsidP="00A81326">
      <w:pPr>
        <w:pStyle w:val="NoSpacing"/>
        <w:rPr>
          <w:rFonts w:cstheme="minorHAnsi"/>
        </w:rPr>
      </w:pPr>
      <w:r w:rsidRPr="00A81326">
        <w:rPr>
          <w:rFonts w:cstheme="minorHAnsi"/>
        </w:rPr>
        <w:t>1 National Circuit</w:t>
      </w:r>
    </w:p>
    <w:p w:rsidR="00A81326" w:rsidRPr="00A81326" w:rsidRDefault="00A81326" w:rsidP="00A81326">
      <w:pPr>
        <w:pStyle w:val="NoSpacing"/>
        <w:rPr>
          <w:rFonts w:cstheme="minorHAnsi"/>
        </w:rPr>
      </w:pPr>
      <w:r w:rsidRPr="00A81326">
        <w:rPr>
          <w:rFonts w:cstheme="minorHAnsi"/>
        </w:rPr>
        <w:t>BARTON ACT 2600</w:t>
      </w:r>
    </w:p>
    <w:p w:rsidR="00A81326" w:rsidRPr="00A81326" w:rsidRDefault="00A81326" w:rsidP="00A81326">
      <w:pPr>
        <w:spacing w:before="160" w:after="240"/>
        <w:rPr>
          <w:rFonts w:cstheme="minorHAnsi"/>
        </w:rPr>
      </w:pPr>
      <w:r w:rsidRPr="00A81326">
        <w:rPr>
          <w:rFonts w:cstheme="minorHAnsi"/>
        </w:rPr>
        <w:t>Email: helpdesk-OIA@pmc.gov.au</w:t>
      </w:r>
    </w:p>
    <w:p w:rsidR="00CF4966" w:rsidRPr="007F04DC" w:rsidRDefault="00CF4966" w:rsidP="00AE399D">
      <w:pPr>
        <w:pStyle w:val="Salutation"/>
        <w:rPr>
          <w:rFonts w:cstheme="minorHAnsi"/>
          <w:b w:val="0"/>
          <w:bCs/>
        </w:rPr>
      </w:pPr>
      <w:r w:rsidRPr="007F04DC">
        <w:rPr>
          <w:rFonts w:cstheme="minorHAnsi"/>
          <w:b w:val="0"/>
          <w:bCs/>
        </w:rPr>
        <w:t xml:space="preserve">Dear </w:t>
      </w:r>
      <w:r w:rsidR="00A81326" w:rsidRPr="007F04DC">
        <w:rPr>
          <w:rFonts w:cstheme="minorHAnsi"/>
          <w:b w:val="0"/>
          <w:bCs/>
        </w:rPr>
        <w:t>M</w:t>
      </w:r>
      <w:r w:rsidR="00F61D88" w:rsidRPr="007F04DC">
        <w:rPr>
          <w:rFonts w:cstheme="minorHAnsi"/>
          <w:b w:val="0"/>
          <w:bCs/>
        </w:rPr>
        <w:t>s</w:t>
      </w:r>
      <w:r w:rsidR="00A81326" w:rsidRPr="007F04DC">
        <w:rPr>
          <w:rFonts w:cstheme="minorHAnsi"/>
          <w:b w:val="0"/>
          <w:bCs/>
        </w:rPr>
        <w:t xml:space="preserve"> </w:t>
      </w:r>
      <w:r w:rsidR="00F61D88" w:rsidRPr="007F04DC">
        <w:rPr>
          <w:rFonts w:cstheme="minorHAnsi"/>
          <w:b w:val="0"/>
          <w:bCs/>
        </w:rPr>
        <w:t>Abhayaratna</w:t>
      </w:r>
    </w:p>
    <w:p w:rsidR="007B146B" w:rsidRPr="00A81326" w:rsidRDefault="00A81326" w:rsidP="009D55C1">
      <w:pPr>
        <w:rPr>
          <w:b/>
          <w:bCs/>
        </w:rPr>
      </w:pPr>
      <w:r w:rsidRPr="00A81326">
        <w:rPr>
          <w:rFonts w:cstheme="minorHAnsi"/>
          <w:b/>
          <w:bCs/>
        </w:rPr>
        <w:t>Impact Analysis – Implementing a Guarantee of Origin Scheme – Second Pass Final Assessment</w:t>
      </w:r>
    </w:p>
    <w:p w:rsidR="00A81326" w:rsidRDefault="00A81326" w:rsidP="00A81326">
      <w:pPr>
        <w:rPr>
          <w:rStyle w:val="Strong"/>
          <w:b w:val="0"/>
          <w:bCs w:val="0"/>
        </w:rPr>
      </w:pPr>
      <w:r w:rsidRPr="00A81326">
        <w:rPr>
          <w:rStyle w:val="Strong"/>
          <w:b w:val="0"/>
          <w:bCs w:val="0"/>
        </w:rPr>
        <w:t xml:space="preserve">I am writing in relation to the attached Impact Analysis (IA) prepared for Implementing a Guarantee of Origin (GO) scheme </w:t>
      </w:r>
      <w:r w:rsidR="007F04DC">
        <w:rPr>
          <w:rStyle w:val="Strong"/>
          <w:b w:val="0"/>
          <w:bCs w:val="0"/>
        </w:rPr>
        <w:t>(</w:t>
      </w:r>
      <w:r w:rsidRPr="00A81326">
        <w:rPr>
          <w:rStyle w:val="Strong"/>
          <w:b w:val="0"/>
          <w:bCs w:val="0"/>
        </w:rPr>
        <w:t>OBPR21-01354</w:t>
      </w:r>
      <w:r w:rsidR="007F04DC">
        <w:rPr>
          <w:rStyle w:val="Strong"/>
          <w:b w:val="0"/>
          <w:bCs w:val="0"/>
        </w:rPr>
        <w:t>)</w:t>
      </w:r>
      <w:r w:rsidRPr="00A81326">
        <w:rPr>
          <w:rStyle w:val="Strong"/>
          <w:b w:val="0"/>
          <w:bCs w:val="0"/>
        </w:rPr>
        <w:t>.</w:t>
      </w:r>
    </w:p>
    <w:p w:rsidR="00BD4C75" w:rsidRPr="00A81326" w:rsidRDefault="00BD4C75" w:rsidP="00A813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Thank you to you and your team for your time and engagement in working with the Department on this matter.</w:t>
      </w:r>
    </w:p>
    <w:p w:rsidR="00A81326" w:rsidRDefault="00A81326" w:rsidP="00A81326">
      <w:pPr>
        <w:rPr>
          <w:rStyle w:val="Strong"/>
          <w:b w:val="0"/>
          <w:bCs w:val="0"/>
        </w:rPr>
      </w:pPr>
      <w:r w:rsidRPr="00A81326">
        <w:rPr>
          <w:rStyle w:val="Strong"/>
          <w:b w:val="0"/>
          <w:bCs w:val="0"/>
        </w:rPr>
        <w:t xml:space="preserve">I am satisfied that the IA addresses the </w:t>
      </w:r>
      <w:r w:rsidR="00BD4C75">
        <w:rPr>
          <w:rStyle w:val="Strong"/>
          <w:b w:val="0"/>
          <w:bCs w:val="0"/>
        </w:rPr>
        <w:t>matters</w:t>
      </w:r>
      <w:r w:rsidR="00BD4C75" w:rsidRPr="00A81326">
        <w:rPr>
          <w:rStyle w:val="Strong"/>
          <w:b w:val="0"/>
          <w:bCs w:val="0"/>
        </w:rPr>
        <w:t xml:space="preserve"> </w:t>
      </w:r>
      <w:r w:rsidRPr="00A81326">
        <w:rPr>
          <w:rStyle w:val="Strong"/>
          <w:b w:val="0"/>
          <w:bCs w:val="0"/>
        </w:rPr>
        <w:t xml:space="preserve">raised in your letter of </w:t>
      </w:r>
      <w:r>
        <w:rPr>
          <w:rStyle w:val="Strong"/>
          <w:b w:val="0"/>
          <w:bCs w:val="0"/>
        </w:rPr>
        <w:t>20 June 2023</w:t>
      </w:r>
      <w:r w:rsidRPr="00A81326">
        <w:rPr>
          <w:rStyle w:val="Strong"/>
          <w:b w:val="0"/>
          <w:bCs w:val="0"/>
        </w:rPr>
        <w:t>. Specifically</w:t>
      </w:r>
      <w:r w:rsidR="008A0A99">
        <w:rPr>
          <w:rStyle w:val="Strong"/>
          <w:b w:val="0"/>
          <w:bCs w:val="0"/>
        </w:rPr>
        <w:t xml:space="preserve">, </w:t>
      </w:r>
      <w:r w:rsidR="007F04DC" w:rsidRPr="007F04DC">
        <w:rPr>
          <w:rStyle w:val="Strong"/>
          <w:b w:val="0"/>
          <w:bCs w:val="0"/>
        </w:rPr>
        <w:t>the following additional content has been incorporated:</w:t>
      </w:r>
    </w:p>
    <w:p w:rsidR="00EF7928" w:rsidRDefault="00410C5E" w:rsidP="00717E93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Section 1</w:t>
      </w:r>
      <w:r w:rsidR="00AB0DAC">
        <w:rPr>
          <w:rStyle w:val="Strong"/>
          <w:b w:val="0"/>
          <w:bCs w:val="0"/>
        </w:rPr>
        <w:t xml:space="preserve"> </w:t>
      </w:r>
      <w:r w:rsidR="007F04DC">
        <w:rPr>
          <w:rStyle w:val="Strong"/>
          <w:b w:val="0"/>
          <w:bCs w:val="0"/>
        </w:rPr>
        <w:t xml:space="preserve">now </w:t>
      </w:r>
      <w:r w:rsidR="00EE4D30" w:rsidRPr="00717E93">
        <w:rPr>
          <w:rStyle w:val="Strong"/>
          <w:b w:val="0"/>
          <w:bCs w:val="0"/>
        </w:rPr>
        <w:t>clarifies</w:t>
      </w:r>
      <w:r w:rsidR="00EF7928" w:rsidRPr="00717E93">
        <w:rPr>
          <w:rStyle w:val="Strong"/>
          <w:b w:val="0"/>
          <w:bCs w:val="0"/>
        </w:rPr>
        <w:t xml:space="preserve"> that</w:t>
      </w:r>
      <w:r w:rsidR="00EE4D30" w:rsidRPr="00717E93">
        <w:rPr>
          <w:rStyle w:val="Strong"/>
          <w:b w:val="0"/>
          <w:bCs w:val="0"/>
        </w:rPr>
        <w:t xml:space="preserve"> the policy problem</w:t>
      </w:r>
      <w:r w:rsidR="00EF7928" w:rsidRPr="00717E93">
        <w:rPr>
          <w:rStyle w:val="Strong"/>
          <w:b w:val="0"/>
          <w:bCs w:val="0"/>
        </w:rPr>
        <w:t xml:space="preserve"> </w:t>
      </w:r>
      <w:r w:rsidR="00BD4C75">
        <w:rPr>
          <w:rStyle w:val="Strong"/>
          <w:b w:val="0"/>
          <w:bCs w:val="0"/>
        </w:rPr>
        <w:t>relates to</w:t>
      </w:r>
      <w:r w:rsidR="00EF7928" w:rsidRPr="00717E93">
        <w:rPr>
          <w:rStyle w:val="Strong"/>
          <w:b w:val="0"/>
          <w:bCs w:val="0"/>
        </w:rPr>
        <w:t xml:space="preserve"> the certification of low-emissions products for domestic consumption as well as the export market. </w:t>
      </w:r>
    </w:p>
    <w:p w:rsidR="007339DB" w:rsidRPr="007339DB" w:rsidRDefault="007339DB" w:rsidP="004B0071">
      <w:pPr>
        <w:pStyle w:val="ListParagraph"/>
        <w:numPr>
          <w:ilvl w:val="1"/>
          <w:numId w:val="16"/>
        </w:numPr>
        <w:rPr>
          <w:rStyle w:val="Strong"/>
          <w:b w:val="0"/>
          <w:bCs w:val="0"/>
        </w:rPr>
      </w:pPr>
      <w:r w:rsidRPr="007339DB">
        <w:rPr>
          <w:rStyle w:val="Strong"/>
          <w:b w:val="0"/>
          <w:bCs w:val="0"/>
        </w:rPr>
        <w:t xml:space="preserve">Section 1 also provides additional detail on </w:t>
      </w:r>
      <w:r w:rsidR="00876FD2">
        <w:rPr>
          <w:rStyle w:val="Strong"/>
          <w:b w:val="0"/>
          <w:bCs w:val="0"/>
        </w:rPr>
        <w:t>policies</w:t>
      </w:r>
      <w:r w:rsidRPr="007339DB">
        <w:rPr>
          <w:rStyle w:val="Strong"/>
          <w:b w:val="0"/>
          <w:bCs w:val="0"/>
        </w:rPr>
        <w:t xml:space="preserve"> that are already in place</w:t>
      </w:r>
      <w:r w:rsidR="00BD4C75">
        <w:rPr>
          <w:rStyle w:val="Strong"/>
          <w:b w:val="0"/>
          <w:bCs w:val="0"/>
        </w:rPr>
        <w:t xml:space="preserve"> in export destinations</w:t>
      </w:r>
      <w:r w:rsidRPr="007339DB">
        <w:rPr>
          <w:rStyle w:val="Strong"/>
          <w:b w:val="0"/>
          <w:bCs w:val="0"/>
        </w:rPr>
        <w:t>, and some emerging policies that we can expect will have an impact</w:t>
      </w:r>
      <w:r w:rsidR="001A0E73">
        <w:rPr>
          <w:rStyle w:val="Strong"/>
          <w:b w:val="0"/>
          <w:bCs w:val="0"/>
        </w:rPr>
        <w:t xml:space="preserve"> on</w:t>
      </w:r>
      <w:r w:rsidRPr="007339DB">
        <w:rPr>
          <w:rStyle w:val="Strong"/>
          <w:b w:val="0"/>
          <w:bCs w:val="0"/>
        </w:rPr>
        <w:t xml:space="preserve"> industry in the near future, should the status quo be maintained.</w:t>
      </w:r>
    </w:p>
    <w:p w:rsidR="00302D57" w:rsidRDefault="00410C5E" w:rsidP="00717E93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Section 2 </w:t>
      </w:r>
      <w:r w:rsidR="007F04DC">
        <w:rPr>
          <w:rStyle w:val="Strong"/>
          <w:b w:val="0"/>
          <w:bCs w:val="0"/>
        </w:rPr>
        <w:t xml:space="preserve">now </w:t>
      </w:r>
      <w:r w:rsidR="00302D57">
        <w:rPr>
          <w:rStyle w:val="Strong"/>
          <w:b w:val="0"/>
          <w:bCs w:val="0"/>
        </w:rPr>
        <w:t xml:space="preserve">provides </w:t>
      </w:r>
      <w:r w:rsidR="007339DB">
        <w:rPr>
          <w:rStyle w:val="Strong"/>
          <w:b w:val="0"/>
          <w:bCs w:val="0"/>
        </w:rPr>
        <w:t xml:space="preserve">additional </w:t>
      </w:r>
      <w:r w:rsidR="00302D57">
        <w:rPr>
          <w:rStyle w:val="Strong"/>
          <w:b w:val="0"/>
          <w:bCs w:val="0"/>
        </w:rPr>
        <w:t xml:space="preserve">detail on similar existing schemes and initiatives including </w:t>
      </w:r>
      <w:r w:rsidR="00302D57" w:rsidRPr="00302D57">
        <w:rPr>
          <w:rStyle w:val="Strong"/>
          <w:b w:val="0"/>
          <w:bCs w:val="0"/>
        </w:rPr>
        <w:t>their ‘fitness for purpose’</w:t>
      </w:r>
      <w:r w:rsidR="00302D57">
        <w:rPr>
          <w:rStyle w:val="Strong"/>
          <w:b w:val="0"/>
          <w:bCs w:val="0"/>
        </w:rPr>
        <w:t xml:space="preserve"> for addressing the policy problem.</w:t>
      </w:r>
      <w:r>
        <w:rPr>
          <w:rStyle w:val="Strong"/>
          <w:b w:val="0"/>
          <w:bCs w:val="0"/>
        </w:rPr>
        <w:t xml:space="preserve"> Appendix (i) examines these schemes in further detail and demonstrates </w:t>
      </w:r>
      <w:r w:rsidR="00281F1E">
        <w:rPr>
          <w:rStyle w:val="Strong"/>
          <w:b w:val="0"/>
          <w:bCs w:val="0"/>
        </w:rPr>
        <w:t>that</w:t>
      </w:r>
      <w:r>
        <w:rPr>
          <w:rStyle w:val="Strong"/>
          <w:b w:val="0"/>
          <w:bCs w:val="0"/>
        </w:rPr>
        <w:t xml:space="preserve"> none of these </w:t>
      </w:r>
      <w:r w:rsidR="00281F1E">
        <w:rPr>
          <w:rStyle w:val="Strong"/>
          <w:b w:val="0"/>
          <w:bCs w:val="0"/>
        </w:rPr>
        <w:t xml:space="preserve">schemes </w:t>
      </w:r>
      <w:r>
        <w:rPr>
          <w:rStyle w:val="Strong"/>
          <w:b w:val="0"/>
          <w:bCs w:val="0"/>
        </w:rPr>
        <w:t>address the policy problem specifically</w:t>
      </w:r>
      <w:r w:rsidR="00281F1E">
        <w:rPr>
          <w:rStyle w:val="Strong"/>
          <w:b w:val="0"/>
          <w:bCs w:val="0"/>
        </w:rPr>
        <w:t xml:space="preserve"> or sufficiently</w:t>
      </w:r>
      <w:r>
        <w:rPr>
          <w:rStyle w:val="Strong"/>
          <w:b w:val="0"/>
          <w:bCs w:val="0"/>
        </w:rPr>
        <w:t>.</w:t>
      </w:r>
    </w:p>
    <w:p w:rsidR="007339DB" w:rsidRDefault="007339DB" w:rsidP="00717E93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Section 3 </w:t>
      </w:r>
      <w:r w:rsidR="007F04DC">
        <w:rPr>
          <w:rStyle w:val="Strong"/>
          <w:b w:val="0"/>
          <w:bCs w:val="0"/>
        </w:rPr>
        <w:t xml:space="preserve">now </w:t>
      </w:r>
      <w:r>
        <w:rPr>
          <w:rStyle w:val="Strong"/>
          <w:b w:val="0"/>
          <w:bCs w:val="0"/>
        </w:rPr>
        <w:t xml:space="preserve">provides background on how each of the policy options considered in this IA have been developed, </w:t>
      </w:r>
      <w:r w:rsidRPr="007339DB">
        <w:rPr>
          <w:rStyle w:val="Strong"/>
          <w:b w:val="0"/>
          <w:bCs w:val="0"/>
        </w:rPr>
        <w:t xml:space="preserve">including </w:t>
      </w:r>
      <w:r>
        <w:rPr>
          <w:rStyle w:val="Strong"/>
          <w:b w:val="0"/>
          <w:bCs w:val="0"/>
        </w:rPr>
        <w:t xml:space="preserve">considerations and consultation with stakeholders on </w:t>
      </w:r>
      <w:r w:rsidRPr="007339DB">
        <w:rPr>
          <w:rStyle w:val="Strong"/>
          <w:b w:val="0"/>
          <w:bCs w:val="0"/>
        </w:rPr>
        <w:t>whether Australia’s approach should be industry or government led.</w:t>
      </w:r>
    </w:p>
    <w:p w:rsidR="007C3BA0" w:rsidRDefault="00281F1E" w:rsidP="007C3BA0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Section 4 </w:t>
      </w:r>
      <w:r w:rsidR="007F04DC">
        <w:rPr>
          <w:rStyle w:val="Strong"/>
          <w:b w:val="0"/>
          <w:bCs w:val="0"/>
        </w:rPr>
        <w:t xml:space="preserve">now </w:t>
      </w:r>
      <w:r w:rsidR="008A0A99">
        <w:rPr>
          <w:rStyle w:val="Strong"/>
          <w:b w:val="0"/>
          <w:bCs w:val="0"/>
        </w:rPr>
        <w:t>i</w:t>
      </w:r>
      <w:r w:rsidR="00EE4D30" w:rsidRPr="00717E93">
        <w:rPr>
          <w:rStyle w:val="Strong"/>
          <w:b w:val="0"/>
          <w:bCs w:val="0"/>
        </w:rPr>
        <w:t>nclude</w:t>
      </w:r>
      <w:r w:rsidR="008A0A99">
        <w:rPr>
          <w:rStyle w:val="Strong"/>
          <w:b w:val="0"/>
          <w:bCs w:val="0"/>
        </w:rPr>
        <w:t>s</w:t>
      </w:r>
      <w:r w:rsidR="00EE4D30" w:rsidRPr="00717E93">
        <w:rPr>
          <w:rStyle w:val="Strong"/>
          <w:b w:val="0"/>
          <w:bCs w:val="0"/>
        </w:rPr>
        <w:t xml:space="preserve"> regulatory burden table</w:t>
      </w:r>
      <w:r w:rsidR="00DD51B1">
        <w:rPr>
          <w:rStyle w:val="Strong"/>
          <w:b w:val="0"/>
          <w:bCs w:val="0"/>
        </w:rPr>
        <w:t>s</w:t>
      </w:r>
      <w:r w:rsidR="00EE4D30" w:rsidRPr="00717E93">
        <w:rPr>
          <w:rStyle w:val="Strong"/>
          <w:b w:val="0"/>
          <w:bCs w:val="0"/>
        </w:rPr>
        <w:t xml:space="preserve"> </w:t>
      </w:r>
      <w:r w:rsidR="00DD51B1">
        <w:rPr>
          <w:rStyle w:val="Strong"/>
          <w:b w:val="0"/>
          <w:bCs w:val="0"/>
        </w:rPr>
        <w:t>that</w:t>
      </w:r>
      <w:r w:rsidR="008A0A99">
        <w:rPr>
          <w:rStyle w:val="Strong"/>
          <w:b w:val="0"/>
          <w:bCs w:val="0"/>
        </w:rPr>
        <w:t xml:space="preserve"> seek to </w:t>
      </w:r>
      <w:r w:rsidR="00EE4D30" w:rsidRPr="00717E93">
        <w:rPr>
          <w:rStyle w:val="Strong"/>
          <w:b w:val="0"/>
          <w:bCs w:val="0"/>
        </w:rPr>
        <w:t>quantif</w:t>
      </w:r>
      <w:r w:rsidR="008A0A99">
        <w:rPr>
          <w:rStyle w:val="Strong"/>
          <w:b w:val="0"/>
          <w:bCs w:val="0"/>
        </w:rPr>
        <w:t>y</w:t>
      </w:r>
      <w:r w:rsidR="00EE4D30" w:rsidRPr="00717E93">
        <w:rPr>
          <w:rStyle w:val="Strong"/>
          <w:b w:val="0"/>
          <w:bCs w:val="0"/>
        </w:rPr>
        <w:t xml:space="preserve"> </w:t>
      </w:r>
      <w:r w:rsidR="008A0A99">
        <w:rPr>
          <w:rStyle w:val="Strong"/>
          <w:b w:val="0"/>
          <w:bCs w:val="0"/>
        </w:rPr>
        <w:t xml:space="preserve">the </w:t>
      </w:r>
      <w:r w:rsidR="00EE4D30" w:rsidRPr="00717E93">
        <w:rPr>
          <w:rStyle w:val="Strong"/>
          <w:b w:val="0"/>
          <w:bCs w:val="0"/>
        </w:rPr>
        <w:t>costs</w:t>
      </w:r>
      <w:r w:rsidR="008A0A99">
        <w:rPr>
          <w:rStyle w:val="Strong"/>
          <w:b w:val="0"/>
          <w:bCs w:val="0"/>
        </w:rPr>
        <w:t xml:space="preserve"> of the recommended approach for </w:t>
      </w:r>
      <w:r w:rsidR="00EE4D30" w:rsidRPr="00717E93">
        <w:rPr>
          <w:rStyle w:val="Strong"/>
          <w:b w:val="0"/>
          <w:bCs w:val="0"/>
        </w:rPr>
        <w:t>Australian</w:t>
      </w:r>
      <w:r w:rsidR="008A0A99">
        <w:rPr>
          <w:rStyle w:val="Strong"/>
          <w:b w:val="0"/>
          <w:bCs w:val="0"/>
        </w:rPr>
        <w:t xml:space="preserve"> businesses</w:t>
      </w:r>
      <w:r w:rsidR="00EE4D30" w:rsidRPr="00717E93">
        <w:rPr>
          <w:rStyle w:val="Strong"/>
          <w:b w:val="0"/>
          <w:bCs w:val="0"/>
        </w:rPr>
        <w:t xml:space="preserve"> through the proposed changes.</w:t>
      </w:r>
      <w:r>
        <w:rPr>
          <w:rStyle w:val="Strong"/>
          <w:b w:val="0"/>
          <w:bCs w:val="0"/>
        </w:rPr>
        <w:t xml:space="preserve"> </w:t>
      </w:r>
      <w:r w:rsidR="0030393C">
        <w:rPr>
          <w:rStyle w:val="Strong"/>
          <w:b w:val="0"/>
          <w:bCs w:val="0"/>
        </w:rPr>
        <w:t>Benefits have been evaluated qualitatively</w:t>
      </w:r>
      <w:r w:rsidR="00BD4C75">
        <w:rPr>
          <w:rStyle w:val="Strong"/>
          <w:b w:val="0"/>
          <w:bCs w:val="0"/>
        </w:rPr>
        <w:t xml:space="preserve">, noting </w:t>
      </w:r>
      <w:r w:rsidR="0030393C">
        <w:rPr>
          <w:rStyle w:val="Strong"/>
          <w:b w:val="0"/>
          <w:bCs w:val="0"/>
        </w:rPr>
        <w:t xml:space="preserve">that many benefits will be indirect. </w:t>
      </w:r>
      <w:r w:rsidR="007C3BA0">
        <w:rPr>
          <w:rStyle w:val="Strong"/>
          <w:b w:val="0"/>
          <w:bCs w:val="0"/>
        </w:rPr>
        <w:t>Section 4 also details why a full cost-benefit analysis</w:t>
      </w:r>
      <w:r w:rsidR="007339DB">
        <w:rPr>
          <w:rStyle w:val="Strong"/>
          <w:b w:val="0"/>
          <w:bCs w:val="0"/>
        </w:rPr>
        <w:t xml:space="preserve"> was not possible to undertake</w:t>
      </w:r>
      <w:r w:rsidR="007C3BA0">
        <w:rPr>
          <w:rStyle w:val="Strong"/>
          <w:b w:val="0"/>
          <w:bCs w:val="0"/>
        </w:rPr>
        <w:t>.</w:t>
      </w:r>
    </w:p>
    <w:p w:rsidR="00816B6F" w:rsidRPr="007C3BA0" w:rsidRDefault="007339DB" w:rsidP="007C3BA0">
      <w:pPr>
        <w:pStyle w:val="ListParagraph"/>
        <w:numPr>
          <w:ilvl w:val="1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In addition, </w:t>
      </w:r>
      <w:r w:rsidR="00281F1E">
        <w:rPr>
          <w:rStyle w:val="Strong"/>
          <w:b w:val="0"/>
          <w:bCs w:val="0"/>
        </w:rPr>
        <w:t xml:space="preserve">Appendix (ii) contains our full suite of regulatory burden estimates including </w:t>
      </w:r>
      <w:r w:rsidR="007C3BA0">
        <w:rPr>
          <w:rStyle w:val="Strong"/>
          <w:b w:val="0"/>
          <w:bCs w:val="0"/>
        </w:rPr>
        <w:t>calculations made</w:t>
      </w:r>
      <w:r w:rsidR="00281F1E">
        <w:rPr>
          <w:rStyle w:val="Strong"/>
          <w:b w:val="0"/>
          <w:bCs w:val="0"/>
        </w:rPr>
        <w:t xml:space="preserve"> at a per producer level</w:t>
      </w:r>
      <w:r w:rsidR="007C3BA0">
        <w:rPr>
          <w:rStyle w:val="Strong"/>
          <w:b w:val="0"/>
          <w:bCs w:val="0"/>
        </w:rPr>
        <w:t xml:space="preserve"> to provide a more granular point of comparison. </w:t>
      </w:r>
      <w:r w:rsidR="007C3BA0" w:rsidRPr="007C3BA0">
        <w:rPr>
          <w:rStyle w:val="Strong"/>
          <w:b w:val="0"/>
          <w:bCs w:val="0"/>
        </w:rPr>
        <w:t xml:space="preserve">Appendix (ii) </w:t>
      </w:r>
      <w:r w:rsidR="007C3BA0">
        <w:rPr>
          <w:rStyle w:val="Strong"/>
          <w:b w:val="0"/>
          <w:bCs w:val="0"/>
        </w:rPr>
        <w:t xml:space="preserve">also </w:t>
      </w:r>
      <w:r w:rsidR="007C3BA0" w:rsidRPr="007C3BA0">
        <w:rPr>
          <w:rStyle w:val="Strong"/>
          <w:b w:val="0"/>
          <w:bCs w:val="0"/>
        </w:rPr>
        <w:t>describes the</w:t>
      </w:r>
      <w:r w:rsidR="001717F7" w:rsidRPr="007C3BA0">
        <w:rPr>
          <w:rStyle w:val="Strong"/>
          <w:b w:val="0"/>
          <w:bCs w:val="0"/>
        </w:rPr>
        <w:t xml:space="preserve"> assumptions that underpin our analysis, including </w:t>
      </w:r>
      <w:r w:rsidR="00816B6F" w:rsidRPr="007C3BA0">
        <w:rPr>
          <w:rStyle w:val="Strong"/>
          <w:b w:val="0"/>
          <w:bCs w:val="0"/>
        </w:rPr>
        <w:t xml:space="preserve">caveats relating to </w:t>
      </w:r>
      <w:r w:rsidR="001717F7" w:rsidRPr="007C3BA0">
        <w:rPr>
          <w:rStyle w:val="Strong"/>
          <w:b w:val="0"/>
          <w:bCs w:val="0"/>
        </w:rPr>
        <w:t xml:space="preserve">estimate calculation </w:t>
      </w:r>
      <w:r w:rsidR="00816B6F" w:rsidRPr="007C3BA0">
        <w:rPr>
          <w:rStyle w:val="Strong"/>
          <w:b w:val="0"/>
          <w:bCs w:val="0"/>
        </w:rPr>
        <w:t>methodology, limitations of our analytical techniques and issues pertaining to data quality have been detailed.</w:t>
      </w:r>
    </w:p>
    <w:p w:rsidR="00A31E61" w:rsidRDefault="007339DB" w:rsidP="00A31E61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Section 5 </w:t>
      </w:r>
      <w:r w:rsidR="007F04DC">
        <w:rPr>
          <w:rStyle w:val="Strong"/>
          <w:b w:val="0"/>
          <w:bCs w:val="0"/>
        </w:rPr>
        <w:t xml:space="preserve">now </w:t>
      </w:r>
      <w:r w:rsidR="00A31E61">
        <w:rPr>
          <w:rStyle w:val="Strong"/>
          <w:b w:val="0"/>
          <w:bCs w:val="0"/>
        </w:rPr>
        <w:t xml:space="preserve">provides </w:t>
      </w:r>
      <w:r>
        <w:rPr>
          <w:rStyle w:val="Strong"/>
          <w:b w:val="0"/>
          <w:bCs w:val="0"/>
        </w:rPr>
        <w:t xml:space="preserve">further </w:t>
      </w:r>
      <w:r w:rsidR="00A31E61">
        <w:rPr>
          <w:rStyle w:val="Strong"/>
          <w:b w:val="0"/>
          <w:bCs w:val="0"/>
        </w:rPr>
        <w:t xml:space="preserve">detail </w:t>
      </w:r>
      <w:r w:rsidR="00A31E61" w:rsidRPr="00816B6F">
        <w:rPr>
          <w:rStyle w:val="Strong"/>
          <w:b w:val="0"/>
          <w:bCs w:val="0"/>
        </w:rPr>
        <w:t xml:space="preserve">on the </w:t>
      </w:r>
      <w:r w:rsidR="00A31E61">
        <w:rPr>
          <w:rStyle w:val="Strong"/>
          <w:b w:val="0"/>
          <w:bCs w:val="0"/>
        </w:rPr>
        <w:t>consultation process including</w:t>
      </w:r>
      <w:r>
        <w:rPr>
          <w:rStyle w:val="Strong"/>
          <w:b w:val="0"/>
          <w:bCs w:val="0"/>
        </w:rPr>
        <w:t xml:space="preserve"> a full history of each of the policy papers and related consultation done since 2020</w:t>
      </w:r>
      <w:r w:rsidR="00B03A7E">
        <w:rPr>
          <w:rStyle w:val="Strong"/>
          <w:b w:val="0"/>
          <w:bCs w:val="0"/>
        </w:rPr>
        <w:t xml:space="preserve">. This section now focuses </w:t>
      </w:r>
      <w:r w:rsidR="00BD4C75">
        <w:rPr>
          <w:rStyle w:val="Strong"/>
          <w:b w:val="0"/>
          <w:bCs w:val="0"/>
        </w:rPr>
        <w:t xml:space="preserve">in detail </w:t>
      </w:r>
      <w:r w:rsidR="00B03A7E">
        <w:rPr>
          <w:rStyle w:val="Strong"/>
          <w:b w:val="0"/>
          <w:bCs w:val="0"/>
        </w:rPr>
        <w:t>on</w:t>
      </w:r>
      <w:r w:rsidR="00A31E61">
        <w:rPr>
          <w:rStyle w:val="Strong"/>
          <w:b w:val="0"/>
          <w:bCs w:val="0"/>
        </w:rPr>
        <w:t xml:space="preserve"> the </w:t>
      </w:r>
      <w:r w:rsidR="00A31E61" w:rsidRPr="00816B6F">
        <w:rPr>
          <w:rStyle w:val="Strong"/>
          <w:b w:val="0"/>
          <w:bCs w:val="0"/>
        </w:rPr>
        <w:t xml:space="preserve">treatment of areas </w:t>
      </w:r>
      <w:r w:rsidR="00BD4C75">
        <w:rPr>
          <w:rStyle w:val="Strong"/>
          <w:b w:val="0"/>
          <w:bCs w:val="0"/>
        </w:rPr>
        <w:t>raised in consultation</w:t>
      </w:r>
      <w:r w:rsidR="00A31E61" w:rsidRPr="00816B6F">
        <w:rPr>
          <w:rStyle w:val="Strong"/>
          <w:b w:val="0"/>
          <w:bCs w:val="0"/>
        </w:rPr>
        <w:t xml:space="preserve"> (e.g. </w:t>
      </w:r>
      <w:r w:rsidR="007C3BA0">
        <w:rPr>
          <w:rStyle w:val="Strong"/>
          <w:b w:val="0"/>
          <w:bCs w:val="0"/>
        </w:rPr>
        <w:t xml:space="preserve">below baseline, </w:t>
      </w:r>
      <w:r w:rsidR="00A31E61" w:rsidRPr="00816B6F">
        <w:rPr>
          <w:rStyle w:val="Strong"/>
          <w:b w:val="0"/>
          <w:bCs w:val="0"/>
        </w:rPr>
        <w:t xml:space="preserve">well-to-user boundary, the </w:t>
      </w:r>
      <w:r w:rsidR="0030393C">
        <w:rPr>
          <w:rStyle w:val="Strong"/>
          <w:b w:val="0"/>
          <w:bCs w:val="0"/>
        </w:rPr>
        <w:t>chain-of-custody</w:t>
      </w:r>
      <w:r w:rsidR="00A31E61" w:rsidRPr="00816B6F">
        <w:rPr>
          <w:rStyle w:val="Strong"/>
          <w:b w:val="0"/>
          <w:bCs w:val="0"/>
        </w:rPr>
        <w:t xml:space="preserve"> approach, etc)</w:t>
      </w:r>
      <w:r w:rsidR="00BD4C75">
        <w:rPr>
          <w:rStyle w:val="Strong"/>
          <w:b w:val="0"/>
          <w:bCs w:val="0"/>
        </w:rPr>
        <w:t>,</w:t>
      </w:r>
      <w:r w:rsidR="00B03A7E">
        <w:rPr>
          <w:rStyle w:val="Strong"/>
          <w:b w:val="0"/>
          <w:bCs w:val="0"/>
        </w:rPr>
        <w:t xml:space="preserve"> including consideration and action taken.</w:t>
      </w:r>
    </w:p>
    <w:p w:rsidR="00A31E61" w:rsidRPr="00717E93" w:rsidRDefault="00B03A7E" w:rsidP="00A31E61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Section 6 </w:t>
      </w:r>
      <w:r w:rsidR="007F04DC">
        <w:rPr>
          <w:rStyle w:val="Strong"/>
          <w:b w:val="0"/>
          <w:bCs w:val="0"/>
        </w:rPr>
        <w:t xml:space="preserve">now </w:t>
      </w:r>
      <w:r w:rsidR="00A31E61">
        <w:rPr>
          <w:rStyle w:val="Strong"/>
          <w:b w:val="0"/>
          <w:bCs w:val="0"/>
        </w:rPr>
        <w:t>c</w:t>
      </w:r>
      <w:r w:rsidR="00A31E61" w:rsidRPr="00A31E61">
        <w:rPr>
          <w:rStyle w:val="Strong"/>
          <w:b w:val="0"/>
          <w:bCs w:val="0"/>
        </w:rPr>
        <w:t>lear</w:t>
      </w:r>
      <w:r>
        <w:rPr>
          <w:rStyle w:val="Strong"/>
          <w:b w:val="0"/>
          <w:bCs w:val="0"/>
        </w:rPr>
        <w:t>ly</w:t>
      </w:r>
      <w:r w:rsidR="00A31E61" w:rsidRPr="00A31E61">
        <w:rPr>
          <w:rStyle w:val="Strong"/>
          <w:b w:val="0"/>
          <w:bCs w:val="0"/>
        </w:rPr>
        <w:t xml:space="preserve"> specifi</w:t>
      </w:r>
      <w:r>
        <w:rPr>
          <w:rStyle w:val="Strong"/>
          <w:b w:val="0"/>
          <w:bCs w:val="0"/>
        </w:rPr>
        <w:t xml:space="preserve">es </w:t>
      </w:r>
      <w:r w:rsidR="00A31E61">
        <w:rPr>
          <w:rStyle w:val="Strong"/>
          <w:b w:val="0"/>
          <w:bCs w:val="0"/>
        </w:rPr>
        <w:t xml:space="preserve">the factors considered </w:t>
      </w:r>
      <w:r>
        <w:rPr>
          <w:rStyle w:val="Strong"/>
          <w:b w:val="0"/>
          <w:bCs w:val="0"/>
        </w:rPr>
        <w:t xml:space="preserve">in </w:t>
      </w:r>
      <w:r w:rsidR="00A31E61" w:rsidRPr="00A31E61">
        <w:rPr>
          <w:rStyle w:val="Strong"/>
          <w:b w:val="0"/>
          <w:bCs w:val="0"/>
        </w:rPr>
        <w:t xml:space="preserve">recommending </w:t>
      </w:r>
      <w:r w:rsidR="00A31E61">
        <w:rPr>
          <w:rStyle w:val="Strong"/>
          <w:b w:val="0"/>
          <w:bCs w:val="0"/>
        </w:rPr>
        <w:t>our chosen</w:t>
      </w:r>
      <w:r w:rsidR="00A31E61" w:rsidRPr="00A31E61">
        <w:rPr>
          <w:rStyle w:val="Strong"/>
          <w:b w:val="0"/>
          <w:bCs w:val="0"/>
        </w:rPr>
        <w:t xml:space="preserve"> option</w:t>
      </w:r>
      <w:r w:rsidR="00A31E61">
        <w:rPr>
          <w:rStyle w:val="Strong"/>
          <w:b w:val="0"/>
          <w:bCs w:val="0"/>
        </w:rPr>
        <w:t>.</w:t>
      </w:r>
    </w:p>
    <w:p w:rsidR="00A31E61" w:rsidRPr="00A31E61" w:rsidRDefault="00B03A7E" w:rsidP="00A31E61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Section 7 now </w:t>
      </w:r>
      <w:r w:rsidR="00A31E61" w:rsidRPr="00717E93">
        <w:rPr>
          <w:rStyle w:val="Strong"/>
          <w:b w:val="0"/>
          <w:bCs w:val="0"/>
        </w:rPr>
        <w:t xml:space="preserve">identifies </w:t>
      </w:r>
      <w:r>
        <w:rPr>
          <w:rStyle w:val="Strong"/>
          <w:b w:val="0"/>
          <w:bCs w:val="0"/>
        </w:rPr>
        <w:t xml:space="preserve">both </w:t>
      </w:r>
      <w:r w:rsidR="00A31E61" w:rsidRPr="00717E93">
        <w:rPr>
          <w:rStyle w:val="Strong"/>
          <w:b w:val="0"/>
          <w:bCs w:val="0"/>
        </w:rPr>
        <w:t>a clear set of policy implementation objectives</w:t>
      </w:r>
      <w:r>
        <w:rPr>
          <w:rStyle w:val="Strong"/>
          <w:b w:val="0"/>
          <w:bCs w:val="0"/>
        </w:rPr>
        <w:t>, as well as m</w:t>
      </w:r>
      <w:r w:rsidR="00A31E61" w:rsidRPr="00717E93">
        <w:rPr>
          <w:rStyle w:val="Strong"/>
          <w:b w:val="0"/>
          <w:bCs w:val="0"/>
        </w:rPr>
        <w:t>etrics we will use to evaluate policy success after the scheme is implemented</w:t>
      </w:r>
      <w:r w:rsidR="00414C4B">
        <w:rPr>
          <w:rStyle w:val="Strong"/>
          <w:b w:val="0"/>
          <w:bCs w:val="0"/>
        </w:rPr>
        <w:t xml:space="preserve">, including </w:t>
      </w:r>
      <w:r w:rsidR="00414C4B" w:rsidRPr="00414C4B">
        <w:rPr>
          <w:rStyle w:val="Strong"/>
          <w:b w:val="0"/>
          <w:bCs w:val="0"/>
        </w:rPr>
        <w:t xml:space="preserve">metrics that track expected policy impacts, and </w:t>
      </w:r>
      <w:r w:rsidR="00414C4B">
        <w:rPr>
          <w:rStyle w:val="Strong"/>
          <w:b w:val="0"/>
          <w:bCs w:val="0"/>
        </w:rPr>
        <w:t xml:space="preserve">how </w:t>
      </w:r>
      <w:r w:rsidR="00F55637">
        <w:rPr>
          <w:rStyle w:val="Strong"/>
          <w:b w:val="0"/>
          <w:bCs w:val="0"/>
        </w:rPr>
        <w:t xml:space="preserve">our post-implementation </w:t>
      </w:r>
      <w:r w:rsidR="00414C4B">
        <w:rPr>
          <w:rStyle w:val="Strong"/>
          <w:b w:val="0"/>
          <w:bCs w:val="0"/>
        </w:rPr>
        <w:t xml:space="preserve">review would be used to </w:t>
      </w:r>
      <w:r w:rsidR="00414C4B" w:rsidRPr="00414C4B">
        <w:rPr>
          <w:rStyle w:val="Strong"/>
          <w:b w:val="0"/>
          <w:bCs w:val="0"/>
        </w:rPr>
        <w:t>track</w:t>
      </w:r>
      <w:r w:rsidR="00414C4B">
        <w:rPr>
          <w:rStyle w:val="Strong"/>
          <w:b w:val="0"/>
          <w:bCs w:val="0"/>
        </w:rPr>
        <w:t xml:space="preserve"> and address</w:t>
      </w:r>
      <w:r w:rsidR="00414C4B" w:rsidRPr="00414C4B">
        <w:rPr>
          <w:rStyle w:val="Strong"/>
          <w:b w:val="0"/>
          <w:bCs w:val="0"/>
        </w:rPr>
        <w:t xml:space="preserve"> unintended consequences.</w:t>
      </w:r>
    </w:p>
    <w:p w:rsidR="00A81326" w:rsidRPr="00A81326" w:rsidRDefault="00A81326" w:rsidP="00A81326">
      <w:pPr>
        <w:rPr>
          <w:rStyle w:val="Strong"/>
          <w:b w:val="0"/>
          <w:bCs w:val="0"/>
        </w:rPr>
      </w:pPr>
      <w:r w:rsidRPr="00A81326">
        <w:rPr>
          <w:rStyle w:val="Strong"/>
          <w:b w:val="0"/>
          <w:bCs w:val="0"/>
        </w:rPr>
        <w:t xml:space="preserve">The </w:t>
      </w:r>
      <w:r w:rsidR="00F55637">
        <w:rPr>
          <w:rStyle w:val="Strong"/>
          <w:b w:val="0"/>
          <w:bCs w:val="0"/>
        </w:rPr>
        <w:t xml:space="preserve">overall </w:t>
      </w:r>
      <w:r w:rsidRPr="00A81326">
        <w:rPr>
          <w:rStyle w:val="Strong"/>
          <w:b w:val="0"/>
          <w:bCs w:val="0"/>
        </w:rPr>
        <w:t>regulatory costs</w:t>
      </w:r>
      <w:r w:rsidR="00F55637">
        <w:rPr>
          <w:rStyle w:val="Strong"/>
          <w:b w:val="0"/>
          <w:bCs w:val="0"/>
        </w:rPr>
        <w:t xml:space="preserve"> for proceeding with </w:t>
      </w:r>
      <w:r w:rsidR="00F61D88">
        <w:rPr>
          <w:rStyle w:val="Strong"/>
          <w:b w:val="0"/>
          <w:bCs w:val="0"/>
        </w:rPr>
        <w:t xml:space="preserve">our chosen option </w:t>
      </w:r>
      <w:r w:rsidRPr="00A81326">
        <w:rPr>
          <w:rStyle w:val="Strong"/>
          <w:b w:val="0"/>
          <w:bCs w:val="0"/>
        </w:rPr>
        <w:t xml:space="preserve">are </w:t>
      </w:r>
      <w:r w:rsidR="00EE4D30">
        <w:rPr>
          <w:rStyle w:val="Strong"/>
          <w:b w:val="0"/>
          <w:bCs w:val="0"/>
        </w:rPr>
        <w:t>approximately</w:t>
      </w:r>
      <w:r w:rsidR="0030393C">
        <w:rPr>
          <w:rStyle w:val="Strong"/>
          <w:b w:val="0"/>
          <w:bCs w:val="0"/>
        </w:rPr>
        <w:t xml:space="preserve"> </w:t>
      </w:r>
      <w:r w:rsidRPr="00816B6F">
        <w:rPr>
          <w:rStyle w:val="Strong"/>
        </w:rPr>
        <w:t>$</w:t>
      </w:r>
      <w:r w:rsidR="00EE4D30" w:rsidRPr="00816B6F">
        <w:rPr>
          <w:rStyle w:val="Strong"/>
        </w:rPr>
        <w:t>2</w:t>
      </w:r>
      <w:r w:rsidR="009A6E14">
        <w:rPr>
          <w:rStyle w:val="Strong"/>
        </w:rPr>
        <w:t>0</w:t>
      </w:r>
      <w:r w:rsidR="00EE4D30" w:rsidRPr="00816B6F">
        <w:rPr>
          <w:rStyle w:val="Strong"/>
        </w:rPr>
        <w:t>.</w:t>
      </w:r>
      <w:r w:rsidR="009A6E14">
        <w:rPr>
          <w:rStyle w:val="Strong"/>
        </w:rPr>
        <w:t>2</w:t>
      </w:r>
      <w:r w:rsidRPr="00816B6F">
        <w:rPr>
          <w:rStyle w:val="Strong"/>
        </w:rPr>
        <w:t xml:space="preserve"> million</w:t>
      </w:r>
      <w:r w:rsidRPr="00A81326">
        <w:rPr>
          <w:rStyle w:val="Strong"/>
          <w:b w:val="0"/>
          <w:bCs w:val="0"/>
        </w:rPr>
        <w:t xml:space="preserve"> per year</w:t>
      </w:r>
      <w:r w:rsidR="0030393C">
        <w:rPr>
          <w:rStyle w:val="Strong"/>
          <w:b w:val="0"/>
          <w:bCs w:val="0"/>
        </w:rPr>
        <w:t>, on average over 10 years</w:t>
      </w:r>
      <w:r w:rsidRPr="00A81326">
        <w:rPr>
          <w:rStyle w:val="Strong"/>
          <w:b w:val="0"/>
          <w:bCs w:val="0"/>
        </w:rPr>
        <w:t xml:space="preserve">. </w:t>
      </w:r>
      <w:r w:rsidR="0030393C">
        <w:rPr>
          <w:rStyle w:val="Strong"/>
          <w:b w:val="0"/>
          <w:bCs w:val="0"/>
        </w:rPr>
        <w:t xml:space="preserve">This </w:t>
      </w:r>
      <w:r w:rsidR="009238B2">
        <w:rPr>
          <w:rStyle w:val="Strong"/>
          <w:b w:val="0"/>
          <w:bCs w:val="0"/>
        </w:rPr>
        <w:t>represents</w:t>
      </w:r>
      <w:r w:rsidR="0030393C">
        <w:rPr>
          <w:rStyle w:val="Strong"/>
          <w:b w:val="0"/>
          <w:bCs w:val="0"/>
        </w:rPr>
        <w:t xml:space="preserve"> </w:t>
      </w:r>
      <w:r w:rsidR="009238B2">
        <w:rPr>
          <w:rStyle w:val="Strong"/>
          <w:b w:val="0"/>
          <w:bCs w:val="0"/>
        </w:rPr>
        <w:t xml:space="preserve">an average annual cost of $16.9 million to the renewable electricity sector (including participants transitioning from the Renewable energy target Scheme from 2030) and $3.3 million to the hydrogen and other sectors. </w:t>
      </w:r>
    </w:p>
    <w:p w:rsidR="00A81326" w:rsidRPr="00A81326" w:rsidRDefault="00A81326" w:rsidP="00A81326">
      <w:pPr>
        <w:rPr>
          <w:rStyle w:val="Strong"/>
          <w:b w:val="0"/>
          <w:bCs w:val="0"/>
        </w:rPr>
      </w:pPr>
      <w:r w:rsidRPr="00A81326">
        <w:rPr>
          <w:rStyle w:val="Strong"/>
          <w:b w:val="0"/>
          <w:bCs w:val="0"/>
        </w:rPr>
        <w:t xml:space="preserve">Accordingly, I am satisfied that the IA is now consistent with the six principles for Australian Government policy makers as specified in the </w:t>
      </w:r>
      <w:r w:rsidRPr="00F55637">
        <w:rPr>
          <w:rStyle w:val="Strong"/>
          <w:b w:val="0"/>
          <w:bCs w:val="0"/>
          <w:i/>
          <w:iCs/>
        </w:rPr>
        <w:t>Australian Government Guide to Impact Analysis</w:t>
      </w:r>
      <w:r w:rsidRPr="00A81326">
        <w:rPr>
          <w:rStyle w:val="Strong"/>
          <w:b w:val="0"/>
          <w:bCs w:val="0"/>
        </w:rPr>
        <w:t>.</w:t>
      </w:r>
    </w:p>
    <w:p w:rsidR="00A81326" w:rsidRDefault="00A81326" w:rsidP="00A81326">
      <w:pPr>
        <w:rPr>
          <w:rStyle w:val="Strong"/>
          <w:b w:val="0"/>
          <w:bCs w:val="0"/>
        </w:rPr>
      </w:pPr>
      <w:r w:rsidRPr="00A81326">
        <w:rPr>
          <w:rStyle w:val="Strong"/>
          <w:b w:val="0"/>
          <w:bCs w:val="0"/>
        </w:rPr>
        <w:t>I submit the IA to the Office of Impact Analysis for formal final assessment.</w:t>
      </w:r>
    </w:p>
    <w:p w:rsidR="00410C5E" w:rsidRPr="00A81326" w:rsidRDefault="00410C5E" w:rsidP="00F55637">
      <w:pPr>
        <w:spacing w:before="240"/>
        <w:rPr>
          <w:rStyle w:val="Strong"/>
          <w:b w:val="0"/>
          <w:bCs w:val="0"/>
        </w:rPr>
      </w:pPr>
    </w:p>
    <w:p w:rsidR="00A81326" w:rsidRPr="00A81326" w:rsidRDefault="00A81326" w:rsidP="00410C5E">
      <w:pPr>
        <w:spacing w:before="120"/>
        <w:rPr>
          <w:rStyle w:val="Strong"/>
          <w:b w:val="0"/>
          <w:bCs w:val="0"/>
        </w:rPr>
      </w:pPr>
      <w:r w:rsidRPr="00A81326">
        <w:rPr>
          <w:rStyle w:val="Strong"/>
          <w:b w:val="0"/>
          <w:bCs w:val="0"/>
        </w:rPr>
        <w:t>Yours sincerely</w:t>
      </w:r>
    </w:p>
    <w:p w:rsidR="00A81326" w:rsidRDefault="00A81326" w:rsidP="00A81326">
      <w:pPr>
        <w:rPr>
          <w:rStyle w:val="Strong"/>
          <w:b w:val="0"/>
          <w:bCs w:val="0"/>
        </w:rPr>
      </w:pPr>
    </w:p>
    <w:p w:rsidR="00410C5E" w:rsidRPr="00A81326" w:rsidRDefault="00410C5E" w:rsidP="00A81326">
      <w:pPr>
        <w:rPr>
          <w:rStyle w:val="Strong"/>
          <w:b w:val="0"/>
          <w:bCs w:val="0"/>
        </w:rPr>
      </w:pPr>
      <w:bookmarkStart w:id="0" w:name="_GoBack"/>
      <w:bookmarkEnd w:id="0"/>
    </w:p>
    <w:p w:rsidR="00A81326" w:rsidRPr="00A81326" w:rsidRDefault="00A81326" w:rsidP="00A81326">
      <w:pPr>
        <w:rPr>
          <w:rStyle w:val="Strong"/>
          <w:b w:val="0"/>
          <w:bCs w:val="0"/>
        </w:rPr>
      </w:pPr>
    </w:p>
    <w:p w:rsidR="00A81326" w:rsidRPr="00A81326" w:rsidRDefault="00410C5E" w:rsidP="00A813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Kushla Munro</w:t>
      </w:r>
    </w:p>
    <w:p w:rsidR="00A81326" w:rsidRPr="00A81326" w:rsidRDefault="003616DB" w:rsidP="00A813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A/g </w:t>
      </w:r>
      <w:r w:rsidR="00430936">
        <w:rPr>
          <w:rStyle w:val="Strong"/>
          <w:b w:val="0"/>
          <w:bCs w:val="0"/>
        </w:rPr>
        <w:t>Deputy Secretary</w:t>
      </w:r>
    </w:p>
    <w:p w:rsidR="00CF4966" w:rsidRPr="00A81326" w:rsidRDefault="00F55637" w:rsidP="00F55637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</w:t>
      </w:r>
      <w:r w:rsidR="00466796">
        <w:rPr>
          <w:rStyle w:val="Strong"/>
          <w:b w:val="0"/>
          <w:bCs w:val="0"/>
        </w:rPr>
        <w:t>3</w:t>
      </w:r>
      <w:r>
        <w:rPr>
          <w:rStyle w:val="Strong"/>
          <w:b w:val="0"/>
          <w:bCs w:val="0"/>
        </w:rPr>
        <w:t xml:space="preserve"> August 2024</w:t>
      </w:r>
    </w:p>
    <w:sectPr w:rsidR="00CF4966" w:rsidRPr="00A81326" w:rsidSect="00006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63" w:rsidRDefault="00B97863" w:rsidP="00B251DB">
      <w:pPr>
        <w:spacing w:after="0" w:line="240" w:lineRule="auto"/>
      </w:pPr>
      <w:r>
        <w:separator/>
      </w:r>
    </w:p>
  </w:endnote>
  <w:endnote w:type="continuationSeparator" w:id="0">
    <w:p w:rsidR="00B97863" w:rsidRDefault="00B97863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8" w:rsidRDefault="00F61D8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B0FE0C" wp14:editId="2A3DCC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8533192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1D88" w:rsidRPr="00F61D88" w:rsidRDefault="00F61D88" w:rsidP="00F61D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1D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0FE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" filled="f" stroked="f">
              <v:textbox style="mso-fit-shape-to-text:t" inset="0,0,0,15pt">
                <w:txbxContent>
                  <w:p w:rsidR="00F61D88" w:rsidRPr="00F61D88" w:rsidRDefault="00F61D88" w:rsidP="00F61D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1D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8A" w:rsidRDefault="006607F7" w:rsidP="007C3BA0">
    <w:pPr>
      <w:pStyle w:val="Footer"/>
      <w:spacing w:before="240"/>
      <w:jc w:val="right"/>
    </w:pPr>
    <w:r>
      <w:t>DCCEEW Letter</w:t>
    </w:r>
    <w:r w:rsidR="00BD0F8A">
      <w:tab/>
    </w:r>
    <w:r>
      <w:t>dcceew.gov.au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D92979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66" w:rsidRPr="00AE399D" w:rsidRDefault="00A10EEF" w:rsidP="00CF4966">
    <w:pPr>
      <w:pStyle w:val="Footer"/>
      <w:ind w:right="360"/>
      <w:rPr>
        <w:sz w:val="20"/>
        <w:szCs w:val="20"/>
      </w:rPr>
    </w:pPr>
    <w:r>
      <w:rPr>
        <w:b/>
        <w:sz w:val="20"/>
        <w:szCs w:val="20"/>
      </w:rPr>
      <w:t>DCCEEW</w:t>
    </w:r>
    <w:r w:rsidR="00CF4966" w:rsidRPr="00AE399D">
      <w:rPr>
        <w:b/>
        <w:sz w:val="20"/>
        <w:szCs w:val="20"/>
      </w:rPr>
      <w:t>.gov.au</w:t>
    </w:r>
    <w:r w:rsidR="00CF4966" w:rsidRPr="00AE399D">
      <w:rPr>
        <w:sz w:val="20"/>
        <w:szCs w:val="20"/>
      </w:rPr>
      <w:t xml:space="preserve"> </w:t>
    </w:r>
  </w:p>
  <w:p w:rsidR="00CF4966" w:rsidRPr="00AE399D" w:rsidRDefault="00CF4966" w:rsidP="00CF4966">
    <w:pPr>
      <w:pStyle w:val="Footer"/>
      <w:framePr w:wrap="around" w:vAnchor="text" w:hAnchor="page" w:x="10369" w:y="27"/>
      <w:rPr>
        <w:rStyle w:val="PageNumber"/>
        <w:sz w:val="20"/>
        <w:szCs w:val="20"/>
      </w:rPr>
    </w:pPr>
    <w:r w:rsidRPr="00AE399D">
      <w:rPr>
        <w:rStyle w:val="PageNumber"/>
        <w:sz w:val="20"/>
        <w:szCs w:val="20"/>
      </w:rPr>
      <w:fldChar w:fldCharType="begin"/>
    </w:r>
    <w:r w:rsidRPr="00AE399D">
      <w:rPr>
        <w:rStyle w:val="PageNumber"/>
        <w:sz w:val="20"/>
        <w:szCs w:val="20"/>
      </w:rPr>
      <w:instrText xml:space="preserve">PAGE  </w:instrText>
    </w:r>
    <w:r w:rsidRPr="00AE399D">
      <w:rPr>
        <w:rStyle w:val="PageNumber"/>
        <w:sz w:val="20"/>
        <w:szCs w:val="20"/>
      </w:rPr>
      <w:fldChar w:fldCharType="separate"/>
    </w:r>
    <w:r w:rsidR="00D92979">
      <w:rPr>
        <w:rStyle w:val="PageNumber"/>
        <w:noProof/>
        <w:sz w:val="20"/>
        <w:szCs w:val="20"/>
      </w:rPr>
      <w:t>1</w:t>
    </w:r>
    <w:r w:rsidRPr="00AE399D">
      <w:rPr>
        <w:rStyle w:val="PageNumber"/>
        <w:sz w:val="20"/>
        <w:szCs w:val="20"/>
      </w:rPr>
      <w:fldChar w:fldCharType="end"/>
    </w:r>
  </w:p>
  <w:p w:rsidR="00CF4966" w:rsidRPr="00AE399D" w:rsidRDefault="00FE6964" w:rsidP="007C3BA0">
    <w:pPr>
      <w:pStyle w:val="Footer"/>
      <w:spacing w:before="240"/>
      <w:ind w:right="357"/>
      <w:rPr>
        <w:sz w:val="20"/>
        <w:szCs w:val="20"/>
      </w:rPr>
    </w:pPr>
    <w:r w:rsidRPr="00FE6964">
      <w:rPr>
        <w:sz w:val="20"/>
        <w:szCs w:val="20"/>
      </w:rPr>
      <w:t>John Gorton Building</w:t>
    </w:r>
    <w:r w:rsidR="00CF4966" w:rsidRPr="00AE399D">
      <w:rPr>
        <w:sz w:val="20"/>
        <w:szCs w:val="20"/>
      </w:rPr>
      <w:t xml:space="preserve"> -</w:t>
    </w:r>
    <w:r w:rsidRPr="00FE6964">
      <w:rPr>
        <w:sz w:val="20"/>
        <w:szCs w:val="20"/>
      </w:rPr>
      <w:t xml:space="preserve"> King Edward Terrace, Parkes ACT 2600 Australia</w:t>
    </w:r>
  </w:p>
  <w:p w:rsidR="00607188" w:rsidRDefault="00CF4966" w:rsidP="00CF4966">
    <w:pPr>
      <w:pStyle w:val="Footer"/>
      <w:ind w:right="360"/>
      <w:rPr>
        <w:sz w:val="20"/>
        <w:szCs w:val="20"/>
      </w:rPr>
    </w:pPr>
    <w:r w:rsidRPr="00A10EEF">
      <w:rPr>
        <w:sz w:val="20"/>
        <w:szCs w:val="20"/>
      </w:rPr>
      <w:t xml:space="preserve">GPO Box </w:t>
    </w:r>
    <w:r w:rsidR="001C21D7">
      <w:rPr>
        <w:sz w:val="20"/>
        <w:szCs w:val="20"/>
      </w:rPr>
      <w:t>3090</w:t>
    </w:r>
    <w:r w:rsidRPr="00A10EEF">
      <w:rPr>
        <w:sz w:val="20"/>
        <w:szCs w:val="20"/>
      </w:rPr>
      <w:t xml:space="preserve"> Canberra ACT </w:t>
    </w:r>
    <w:r w:rsidR="00617496">
      <w:rPr>
        <w:sz w:val="20"/>
        <w:szCs w:val="20"/>
      </w:rPr>
      <w:t>2601</w:t>
    </w:r>
    <w:r w:rsidRPr="00ED2FB7">
      <w:rPr>
        <w:sz w:val="20"/>
        <w:szCs w:val="20"/>
      </w:rPr>
      <w:t xml:space="preserve"> ABN: </w:t>
    </w:r>
    <w:r w:rsidR="00617496" w:rsidRPr="00617496">
      <w:rPr>
        <w:bCs/>
        <w:sz w:val="20"/>
        <w:szCs w:val="20"/>
      </w:rPr>
      <w:t>63 573 932 849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63" w:rsidRDefault="00B97863" w:rsidP="00B251DB">
      <w:pPr>
        <w:spacing w:after="0" w:line="240" w:lineRule="auto"/>
      </w:pPr>
      <w:r>
        <w:separator/>
      </w:r>
    </w:p>
  </w:footnote>
  <w:footnote w:type="continuationSeparator" w:id="0">
    <w:p w:rsidR="00B97863" w:rsidRDefault="00B97863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8" w:rsidRDefault="00F61D8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A7F1E" wp14:editId="3F05AA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3425661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1D88" w:rsidRPr="00F61D88" w:rsidRDefault="00F61D88" w:rsidP="00F61D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1D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A7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" filled="f" stroked="f">
              <v:textbox style="mso-fit-shape-to-text:t" inset="0,15pt,0,0">
                <w:txbxContent>
                  <w:p w:rsidR="00F61D88" w:rsidRPr="00F61D88" w:rsidRDefault="00F61D88" w:rsidP="00F61D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1D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F7" w:rsidRDefault="00151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66" w:rsidRPr="00BB72B3" w:rsidRDefault="009948F5" w:rsidP="00BB72B3">
    <w:pPr>
      <w:pStyle w:val="Header"/>
    </w:pPr>
    <w:r w:rsidRPr="00180BF8">
      <w:rPr>
        <w:noProof/>
        <w:lang w:eastAsia="en-AU"/>
      </w:rPr>
      <w:drawing>
        <wp:inline distT="0" distB="0" distL="0" distR="0" wp14:anchorId="7A9F1F16" wp14:editId="7A9F1F17">
          <wp:extent cx="2923111" cy="607375"/>
          <wp:effectExtent l="0" t="0" r="0" b="2540"/>
          <wp:docPr id="1" name="Picture 1" title="Australian Government Department of Climate Change, Energy, the Environment and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8004" cy="618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725B"/>
    <w:multiLevelType w:val="hybridMultilevel"/>
    <w:tmpl w:val="ABD481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63"/>
    <w:rsid w:val="00006064"/>
    <w:rsid w:val="00032995"/>
    <w:rsid w:val="00032DD2"/>
    <w:rsid w:val="00046C20"/>
    <w:rsid w:val="000552B3"/>
    <w:rsid w:val="0007067B"/>
    <w:rsid w:val="00081D07"/>
    <w:rsid w:val="000C3494"/>
    <w:rsid w:val="000C52A3"/>
    <w:rsid w:val="000E599A"/>
    <w:rsid w:val="000F2564"/>
    <w:rsid w:val="001339FD"/>
    <w:rsid w:val="00151BF7"/>
    <w:rsid w:val="00152C52"/>
    <w:rsid w:val="00153C15"/>
    <w:rsid w:val="001704ED"/>
    <w:rsid w:val="001717F7"/>
    <w:rsid w:val="001A0E73"/>
    <w:rsid w:val="001B30E4"/>
    <w:rsid w:val="001C21D7"/>
    <w:rsid w:val="001D216A"/>
    <w:rsid w:val="001D2E82"/>
    <w:rsid w:val="001D66BA"/>
    <w:rsid w:val="001F5AB1"/>
    <w:rsid w:val="00205DF3"/>
    <w:rsid w:val="0022083E"/>
    <w:rsid w:val="00222D0B"/>
    <w:rsid w:val="002400BA"/>
    <w:rsid w:val="00241D3D"/>
    <w:rsid w:val="00254DA8"/>
    <w:rsid w:val="00272B04"/>
    <w:rsid w:val="00281F1E"/>
    <w:rsid w:val="002A3329"/>
    <w:rsid w:val="002B5C69"/>
    <w:rsid w:val="002D230B"/>
    <w:rsid w:val="00302D57"/>
    <w:rsid w:val="0030393C"/>
    <w:rsid w:val="0032021C"/>
    <w:rsid w:val="003616DB"/>
    <w:rsid w:val="00380E4E"/>
    <w:rsid w:val="003D38ED"/>
    <w:rsid w:val="00410C5E"/>
    <w:rsid w:val="00413B58"/>
    <w:rsid w:val="00414C4B"/>
    <w:rsid w:val="00430936"/>
    <w:rsid w:val="00436932"/>
    <w:rsid w:val="004632E9"/>
    <w:rsid w:val="0046678C"/>
    <w:rsid w:val="00466796"/>
    <w:rsid w:val="004B4254"/>
    <w:rsid w:val="004D3B0F"/>
    <w:rsid w:val="00501652"/>
    <w:rsid w:val="00516B0E"/>
    <w:rsid w:val="005327B0"/>
    <w:rsid w:val="00584B74"/>
    <w:rsid w:val="00603DDF"/>
    <w:rsid w:val="00607188"/>
    <w:rsid w:val="00617496"/>
    <w:rsid w:val="006175FA"/>
    <w:rsid w:val="006607F7"/>
    <w:rsid w:val="00671D1D"/>
    <w:rsid w:val="0068286F"/>
    <w:rsid w:val="006C4C9C"/>
    <w:rsid w:val="006C5288"/>
    <w:rsid w:val="006D2221"/>
    <w:rsid w:val="006E1E6A"/>
    <w:rsid w:val="006E4001"/>
    <w:rsid w:val="006F58A5"/>
    <w:rsid w:val="00711349"/>
    <w:rsid w:val="00717E93"/>
    <w:rsid w:val="00723C5D"/>
    <w:rsid w:val="007339DB"/>
    <w:rsid w:val="00744D35"/>
    <w:rsid w:val="00777F50"/>
    <w:rsid w:val="007833EE"/>
    <w:rsid w:val="007B146B"/>
    <w:rsid w:val="007B553F"/>
    <w:rsid w:val="007C3BA0"/>
    <w:rsid w:val="007F04DC"/>
    <w:rsid w:val="00806473"/>
    <w:rsid w:val="00816B6F"/>
    <w:rsid w:val="00853A7A"/>
    <w:rsid w:val="00854A11"/>
    <w:rsid w:val="0086384D"/>
    <w:rsid w:val="00876FD2"/>
    <w:rsid w:val="00892B6E"/>
    <w:rsid w:val="008A0A99"/>
    <w:rsid w:val="008A1771"/>
    <w:rsid w:val="008C0EE8"/>
    <w:rsid w:val="009238B2"/>
    <w:rsid w:val="009948F5"/>
    <w:rsid w:val="009A549D"/>
    <w:rsid w:val="009A6E14"/>
    <w:rsid w:val="009D55C1"/>
    <w:rsid w:val="009F048C"/>
    <w:rsid w:val="00A10EEF"/>
    <w:rsid w:val="00A31E61"/>
    <w:rsid w:val="00A52F3D"/>
    <w:rsid w:val="00A731BB"/>
    <w:rsid w:val="00A81326"/>
    <w:rsid w:val="00AA740C"/>
    <w:rsid w:val="00AB0DAC"/>
    <w:rsid w:val="00AC2F54"/>
    <w:rsid w:val="00AE399D"/>
    <w:rsid w:val="00B03A7E"/>
    <w:rsid w:val="00B251DB"/>
    <w:rsid w:val="00B26C25"/>
    <w:rsid w:val="00B35C0C"/>
    <w:rsid w:val="00B4637C"/>
    <w:rsid w:val="00B97863"/>
    <w:rsid w:val="00BB72B3"/>
    <w:rsid w:val="00BD0F8A"/>
    <w:rsid w:val="00BD4C75"/>
    <w:rsid w:val="00BE37DB"/>
    <w:rsid w:val="00BE6EEA"/>
    <w:rsid w:val="00CA2C67"/>
    <w:rsid w:val="00CC5687"/>
    <w:rsid w:val="00CE6164"/>
    <w:rsid w:val="00CF2664"/>
    <w:rsid w:val="00CF4966"/>
    <w:rsid w:val="00D220CF"/>
    <w:rsid w:val="00D841E9"/>
    <w:rsid w:val="00D92979"/>
    <w:rsid w:val="00DA4879"/>
    <w:rsid w:val="00DB3EE3"/>
    <w:rsid w:val="00DD51B1"/>
    <w:rsid w:val="00E01D7D"/>
    <w:rsid w:val="00E3027E"/>
    <w:rsid w:val="00E90E9C"/>
    <w:rsid w:val="00E96870"/>
    <w:rsid w:val="00EC00A2"/>
    <w:rsid w:val="00ED01E6"/>
    <w:rsid w:val="00ED2FB7"/>
    <w:rsid w:val="00EE4D30"/>
    <w:rsid w:val="00EF7928"/>
    <w:rsid w:val="00F22BB9"/>
    <w:rsid w:val="00F266E2"/>
    <w:rsid w:val="00F55637"/>
    <w:rsid w:val="00F61D88"/>
    <w:rsid w:val="00F75AE0"/>
    <w:rsid w:val="00F8505F"/>
    <w:rsid w:val="00FD1791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9D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964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BB4E06" w:themeColor="accent3" w:themeTint="BF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B4E06" w:themeColor="accent3" w:themeTint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55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2403" w:themeColor="accent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5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83A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83A42" w:themeColor="text2"/>
      </w:pBdr>
      <w:spacing w:before="360" w:line="240" w:lineRule="auto"/>
      <w:contextualSpacing/>
      <w:outlineLvl w:val="0"/>
    </w:pPr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964"/>
    <w:pPr>
      <w:numPr>
        <w:ilvl w:val="1"/>
      </w:numPr>
    </w:pPr>
    <w:rPr>
      <w:rFonts w:eastAsiaTheme="minorEastAsia"/>
      <w:color w:val="71BAAF" w:themeColor="accent2" w:themeTint="8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E6964"/>
    <w:rPr>
      <w:rFonts w:eastAsiaTheme="minorEastAsia"/>
      <w:color w:val="71BAAF" w:themeColor="accent2" w:themeTint="8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964"/>
    <w:rPr>
      <w:rFonts w:asciiTheme="majorHAnsi" w:eastAsiaTheme="majorEastAsia" w:hAnsiTheme="majorHAnsi" w:cstheme="majorBidi"/>
      <w:color w:val="BB4E06" w:themeColor="accent3" w:themeTint="BF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E6964"/>
    <w:rPr>
      <w:rFonts w:asciiTheme="majorHAnsi" w:eastAsiaTheme="majorEastAsia" w:hAnsiTheme="majorHAnsi" w:cstheme="majorBidi"/>
      <w:iCs/>
      <w:color w:val="BB4E06" w:themeColor="accent3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FE6964"/>
    <w:pPr>
      <w:spacing w:line="240" w:lineRule="auto"/>
    </w:pPr>
    <w:rPr>
      <w:i/>
      <w:iCs/>
      <w:color w:val="408479" w:themeColor="accent2" w:themeTint="BF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98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E3E39" w:themeColor="accent2"/>
        <w:left w:val="single" w:sz="4" w:space="0" w:color="1E3E39" w:themeColor="accent2"/>
        <w:bottom w:val="single" w:sz="4" w:space="0" w:color="1E3E39" w:themeColor="accent2"/>
        <w:right w:val="single" w:sz="4" w:space="0" w:color="1E3E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E39" w:themeColor="accent2"/>
          <w:right w:val="single" w:sz="4" w:space="0" w:color="1E3E39" w:themeColor="accent2"/>
        </w:tcBorders>
      </w:tcPr>
    </w:tblStylePr>
    <w:tblStylePr w:type="band1Horz">
      <w:tblPr/>
      <w:tcPr>
        <w:tcBorders>
          <w:top w:val="single" w:sz="4" w:space="0" w:color="1E3E39" w:themeColor="accent2"/>
          <w:bottom w:val="single" w:sz="4" w:space="0" w:color="1E3E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E39" w:themeColor="accent2"/>
          <w:left w:val="nil"/>
        </w:tcBorders>
      </w:tcPr>
    </w:tblStylePr>
    <w:tblStylePr w:type="swCell">
      <w:tblPr/>
      <w:tcPr>
        <w:tcBorders>
          <w:top w:val="double" w:sz="4" w:space="0" w:color="1E3E3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562403" w:themeColor="accent3"/>
        <w:left w:val="single" w:sz="4" w:space="0" w:color="562403" w:themeColor="accent3"/>
        <w:bottom w:val="single" w:sz="4" w:space="0" w:color="562403" w:themeColor="accent3"/>
        <w:right w:val="single" w:sz="4" w:space="0" w:color="5624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2403" w:themeColor="accent3"/>
          <w:right w:val="single" w:sz="4" w:space="0" w:color="562403" w:themeColor="accent3"/>
        </w:tcBorders>
      </w:tcPr>
    </w:tblStylePr>
    <w:tblStylePr w:type="band1Horz">
      <w:tblPr/>
      <w:tcPr>
        <w:tcBorders>
          <w:top w:val="single" w:sz="4" w:space="0" w:color="562403" w:themeColor="accent3"/>
          <w:bottom w:val="single" w:sz="4" w:space="0" w:color="5624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2403" w:themeColor="accent3"/>
          <w:left w:val="nil"/>
        </w:tcBorders>
      </w:tcPr>
    </w:tblStylePr>
    <w:tblStylePr w:type="swCell">
      <w:tblPr/>
      <w:tcPr>
        <w:tcBorders>
          <w:top w:val="double" w:sz="4" w:space="0" w:color="562403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964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964"/>
    <w:rPr>
      <w:i/>
      <w:iCs/>
      <w:shd w:val="clear" w:color="auto" w:fill="B8DCD7" w:themeFill="accent2" w:themeFillTint="40"/>
    </w:rPr>
  </w:style>
  <w:style w:type="paragraph" w:customStyle="1" w:styleId="Calloutbox">
    <w:name w:val="Call out box"/>
    <w:basedOn w:val="Normal"/>
    <w:qFormat/>
    <w:rsid w:val="00FE6964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D55C1"/>
    <w:rPr>
      <w:rFonts w:asciiTheme="majorHAnsi" w:eastAsiaTheme="majorEastAsia" w:hAnsiTheme="majorHAnsi" w:cstheme="majorBidi"/>
      <w:color w:val="562403" w:themeColor="accent3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AD9F" w:themeColor="accent2" w:themeTint="99"/>
        <w:left w:val="single" w:sz="4" w:space="0" w:color="55AD9F" w:themeColor="accent2" w:themeTint="99"/>
        <w:bottom w:val="single" w:sz="4" w:space="0" w:color="55AD9F" w:themeColor="accent2" w:themeTint="99"/>
        <w:right w:val="single" w:sz="4" w:space="0" w:color="55AD9F" w:themeColor="accent2" w:themeTint="99"/>
        <w:insideH w:val="single" w:sz="4" w:space="0" w:color="55AD9F" w:themeColor="accent2" w:themeTint="99"/>
        <w:insideV w:val="single" w:sz="4" w:space="0" w:color="55AD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E39" w:themeColor="accent2"/>
          <w:left w:val="single" w:sz="4" w:space="0" w:color="1E3E39" w:themeColor="accent2"/>
          <w:bottom w:val="single" w:sz="4" w:space="0" w:color="1E3E39" w:themeColor="accent2"/>
          <w:right w:val="single" w:sz="4" w:space="0" w:color="1E3E39" w:themeColor="accent2"/>
          <w:insideH w:val="nil"/>
          <w:insideV w:val="nil"/>
        </w:tcBorders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DF" w:themeFill="accent2" w:themeFillTint="33"/>
      </w:tcPr>
    </w:tblStylePr>
    <w:tblStylePr w:type="band1Horz">
      <w:tblPr/>
      <w:tcPr>
        <w:shd w:val="clear" w:color="auto" w:fill="C6E3D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EC8BF" w:themeColor="accent2" w:themeTint="66"/>
        <w:left w:val="single" w:sz="4" w:space="0" w:color="8EC8BF" w:themeColor="accent2" w:themeTint="66"/>
        <w:bottom w:val="single" w:sz="4" w:space="0" w:color="8EC8BF" w:themeColor="accent2" w:themeTint="66"/>
        <w:right w:val="single" w:sz="4" w:space="0" w:color="8EC8BF" w:themeColor="accent2" w:themeTint="66"/>
        <w:insideH w:val="single" w:sz="4" w:space="0" w:color="8EC8BF" w:themeColor="accent2" w:themeTint="66"/>
        <w:insideV w:val="single" w:sz="4" w:space="0" w:color="8EC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AD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AD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band1Vert">
      <w:tblPr/>
      <w:tcPr>
        <w:shd w:val="clear" w:color="auto" w:fill="84A8D5" w:themeFill="accent1" w:themeFillTint="66"/>
      </w:tcPr>
    </w:tblStylePr>
    <w:tblStylePr w:type="band1Horz">
      <w:tblPr/>
      <w:tcPr>
        <w:shd w:val="clear" w:color="auto" w:fill="84A8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67DC0" w:themeColor="accent1" w:themeTint="99"/>
        <w:left w:val="single" w:sz="4" w:space="0" w:color="467DC0" w:themeColor="accent1" w:themeTint="99"/>
        <w:bottom w:val="single" w:sz="4" w:space="0" w:color="467DC0" w:themeColor="accent1" w:themeTint="99"/>
        <w:right w:val="single" w:sz="4" w:space="0" w:color="467DC0" w:themeColor="accent1" w:themeTint="99"/>
        <w:insideH w:val="single" w:sz="4" w:space="0" w:color="467DC0" w:themeColor="accent1" w:themeTint="99"/>
        <w:insideV w:val="single" w:sz="4" w:space="0" w:color="467D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2F49" w:themeColor="accent1"/>
          <w:left w:val="single" w:sz="4" w:space="0" w:color="192F49" w:themeColor="accent1"/>
          <w:bottom w:val="single" w:sz="4" w:space="0" w:color="192F49" w:themeColor="accent1"/>
          <w:right w:val="single" w:sz="4" w:space="0" w:color="192F49" w:themeColor="accent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</w:rPr>
      <w:tblPr/>
      <w:tcPr>
        <w:tcBorders>
          <w:top w:val="double" w:sz="4" w:space="0" w:color="192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3EA" w:themeFill="accent1" w:themeFillTint="33"/>
      </w:tcPr>
    </w:tblStylePr>
    <w:tblStylePr w:type="band1Horz">
      <w:tblPr/>
      <w:tcPr>
        <w:shd w:val="clear" w:color="auto" w:fill="C1D3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57C7C" w:themeColor="accent4" w:themeTint="99"/>
        <w:left w:val="single" w:sz="4" w:space="0" w:color="857C7C" w:themeColor="accent4" w:themeTint="99"/>
        <w:bottom w:val="single" w:sz="4" w:space="0" w:color="857C7C" w:themeColor="accent4" w:themeTint="99"/>
        <w:right w:val="single" w:sz="4" w:space="0" w:color="857C7C" w:themeColor="accent4" w:themeTint="99"/>
        <w:insideH w:val="single" w:sz="4" w:space="0" w:color="857C7C" w:themeColor="accent4" w:themeTint="99"/>
        <w:insideV w:val="single" w:sz="4" w:space="0" w:color="857C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B2B" w:themeColor="accent4"/>
          <w:left w:val="single" w:sz="4" w:space="0" w:color="2E2B2B" w:themeColor="accent4"/>
          <w:bottom w:val="single" w:sz="4" w:space="0" w:color="2E2B2B" w:themeColor="accent4"/>
          <w:right w:val="single" w:sz="4" w:space="0" w:color="2E2B2B" w:themeColor="accent4"/>
          <w:insideH w:val="nil"/>
          <w:insideV w:val="nil"/>
        </w:tcBorders>
        <w:shd w:val="clear" w:color="auto" w:fill="2E2B2B" w:themeFill="accent4"/>
      </w:tcPr>
    </w:tblStylePr>
    <w:tblStylePr w:type="lastRow">
      <w:rPr>
        <w:b/>
        <w:bCs/>
      </w:rPr>
      <w:tblPr/>
      <w:tcPr>
        <w:tcBorders>
          <w:top w:val="double" w:sz="4" w:space="0" w:color="2E2B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D3" w:themeFill="accent4" w:themeFillTint="33"/>
      </w:tcPr>
    </w:tblStylePr>
    <w:tblStylePr w:type="band1Horz">
      <w:tblPr/>
      <w:tcPr>
        <w:shd w:val="clear" w:color="auto" w:fill="D6D3D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6680A" w:themeColor="accent3" w:themeTint="99"/>
        <w:left w:val="single" w:sz="4" w:space="0" w:color="F6680A" w:themeColor="accent3" w:themeTint="99"/>
        <w:bottom w:val="single" w:sz="4" w:space="0" w:color="F6680A" w:themeColor="accent3" w:themeTint="99"/>
        <w:right w:val="single" w:sz="4" w:space="0" w:color="F6680A" w:themeColor="accent3" w:themeTint="99"/>
        <w:insideH w:val="single" w:sz="4" w:space="0" w:color="F6680A" w:themeColor="accent3" w:themeTint="99"/>
        <w:insideV w:val="single" w:sz="4" w:space="0" w:color="F6680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403" w:themeColor="accent3"/>
          <w:left w:val="single" w:sz="4" w:space="0" w:color="562403" w:themeColor="accent3"/>
          <w:bottom w:val="single" w:sz="4" w:space="0" w:color="562403" w:themeColor="accent3"/>
          <w:right w:val="single" w:sz="4" w:space="0" w:color="562403" w:themeColor="accent3"/>
          <w:insideH w:val="nil"/>
          <w:insideV w:val="nil"/>
        </w:tcBorders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CAD" w:themeFill="accent3" w:themeFillTint="33"/>
      </w:tcPr>
    </w:tblStylePr>
    <w:tblStylePr w:type="band1Horz">
      <w:tblPr/>
      <w:tcPr>
        <w:shd w:val="clear" w:color="auto" w:fill="FCCCAD" w:themeFill="accent3" w:themeFillTint="33"/>
      </w:tcPr>
    </w:tblStylePr>
  </w:style>
  <w:style w:type="paragraph" w:styleId="Salutation">
    <w:name w:val="Salutation"/>
    <w:basedOn w:val="Normal"/>
    <w:next w:val="Normal"/>
    <w:link w:val="SalutationChar"/>
    <w:uiPriority w:val="99"/>
    <w:unhideWhenUsed/>
    <w:rsid w:val="00CF4966"/>
    <w:pPr>
      <w:spacing w:before="480" w:after="24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CF4966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CF4966"/>
  </w:style>
  <w:style w:type="character" w:customStyle="1" w:styleId="Heading7Char">
    <w:name w:val="Heading 7 Char"/>
    <w:basedOn w:val="DefaultParagraphFont"/>
    <w:link w:val="Heading7"/>
    <w:uiPriority w:val="9"/>
    <w:semiHidden/>
    <w:rsid w:val="009D55C1"/>
    <w:rPr>
      <w:rFonts w:asciiTheme="majorHAnsi" w:eastAsiaTheme="majorEastAsia" w:hAnsiTheme="majorHAnsi" w:cstheme="majorBidi"/>
      <w:i/>
      <w:iCs/>
      <w:color w:val="083A42" w:themeColor="text2"/>
    </w:rPr>
  </w:style>
  <w:style w:type="paragraph" w:styleId="Revision">
    <w:name w:val="Revision"/>
    <w:hidden/>
    <w:uiPriority w:val="99"/>
    <w:semiHidden/>
    <w:rsid w:val="00BD4C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CEEW">
      <a:dk1>
        <a:sysClr val="windowText" lastClr="000000"/>
      </a:dk1>
      <a:lt1>
        <a:sysClr val="window" lastClr="FFFFFF"/>
      </a:lt1>
      <a:dk2>
        <a:srgbClr val="083A42"/>
      </a:dk2>
      <a:lt2>
        <a:srgbClr val="E7E6E6"/>
      </a:lt2>
      <a:accent1>
        <a:srgbClr val="192F49"/>
      </a:accent1>
      <a:accent2>
        <a:srgbClr val="1E3E39"/>
      </a:accent2>
      <a:accent3>
        <a:srgbClr val="562403"/>
      </a:accent3>
      <a:accent4>
        <a:srgbClr val="2E2B2B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982D-034D-4B8A-A5F4-0F4DDC7C97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2024-09-12T02:32:00Z</dcterms:created>
  <dcterms:modified xsi:type="dcterms:W3CDTF">2024-09-12T02:32:00Z</dcterms:modified>
</cp:coreProperties>
</file>