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3686144" w:displacedByCustomXml="next"/>
    <w:sdt>
      <w:sdtPr>
        <w:id w:val="-449166007"/>
        <w:docPartObj>
          <w:docPartGallery w:val="Cover Pages"/>
          <w:docPartUnique/>
        </w:docPartObj>
      </w:sdtPr>
      <w:sdtContent>
        <w:p w14:paraId="4ED5032E" w14:textId="77777777" w:rsidR="00D6044B" w:rsidRPr="00ED68B9" w:rsidRDefault="00D6044B" w:rsidP="00AB0A0A">
          <w:r>
            <w:rPr>
              <w:noProof/>
            </w:rPr>
            <w:drawing>
              <wp:anchor distT="0" distB="0" distL="114300" distR="114300" simplePos="0" relativeHeight="251659264" behindDoc="1" locked="0" layoutInCell="1" allowOverlap="1" wp14:anchorId="76B11B56" wp14:editId="0372B140">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bottom w:val="none" w:sz="0" w:space="0" w:color="auto"/>
            </w:tblBorders>
            <w:tblLook w:val="0400" w:firstRow="0" w:lastRow="0" w:firstColumn="0" w:lastColumn="0" w:noHBand="0" w:noVBand="1"/>
          </w:tblPr>
          <w:tblGrid>
            <w:gridCol w:w="9026"/>
          </w:tblGrid>
          <w:tr w:rsidR="00D6044B" w:rsidRPr="003966EF" w14:paraId="46AD403D" w14:textId="77777777" w:rsidTr="00702B41">
            <w:trPr>
              <w:trHeight w:val="4227"/>
            </w:trPr>
            <w:tc>
              <w:tcPr>
                <w:tcW w:w="9242" w:type="dxa"/>
              </w:tcPr>
              <w:p w14:paraId="5CE7E0F0" w14:textId="77777777" w:rsidR="00D6044B" w:rsidRPr="003966EF" w:rsidRDefault="00D6044B" w:rsidP="00702B41">
                <w:r>
                  <w:rPr>
                    <w:noProof/>
                  </w:rPr>
                  <w:drawing>
                    <wp:inline distT="0" distB="0" distL="0" distR="0" wp14:anchorId="6206933A" wp14:editId="6DCB3254">
                      <wp:extent cx="2486025" cy="685800"/>
                      <wp:effectExtent l="0" t="0" r="9525" b="0"/>
                      <wp:docPr id="4" name="Picture 4" descr="ACCC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C Logo&#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6025" cy="685800"/>
                              </a:xfrm>
                              <a:prstGeom prst="rect">
                                <a:avLst/>
                              </a:prstGeom>
                              <a:noFill/>
                              <a:ln>
                                <a:noFill/>
                              </a:ln>
                            </pic:spPr>
                          </pic:pic>
                        </a:graphicData>
                      </a:graphic>
                    </wp:inline>
                  </w:drawing>
                </w:r>
              </w:p>
            </w:tc>
          </w:tr>
          <w:tr w:rsidR="00D6044B" w:rsidRPr="003966EF" w14:paraId="5A112E2C" w14:textId="77777777" w:rsidTr="00702B41">
            <w:tc>
              <w:tcPr>
                <w:tcW w:w="9242" w:type="dxa"/>
              </w:tcPr>
              <w:p w14:paraId="7F8630F5" w14:textId="41BBC1BA" w:rsidR="00D6044B" w:rsidRPr="00AE5DED" w:rsidRDefault="005702A7" w:rsidP="00702B41">
                <w:pPr>
                  <w:pStyle w:val="Title"/>
                  <w:rPr>
                    <w:sz w:val="72"/>
                    <w:szCs w:val="72"/>
                  </w:rPr>
                </w:pPr>
                <w:bookmarkStart w:id="1" w:name="_Toc140065157"/>
                <w:r>
                  <w:t>Infant Sleep Products final recommendation to the Minister</w:t>
                </w:r>
                <w:bookmarkEnd w:id="1"/>
                <w:r>
                  <w:t xml:space="preserve"> </w:t>
                </w:r>
              </w:p>
            </w:tc>
          </w:tr>
          <w:tr w:rsidR="00D6044B" w:rsidRPr="003966EF" w14:paraId="105DEE52" w14:textId="77777777" w:rsidTr="00702B41">
            <w:tc>
              <w:tcPr>
                <w:tcW w:w="9242" w:type="dxa"/>
              </w:tcPr>
              <w:p w14:paraId="602541E6" w14:textId="5B03C7F2" w:rsidR="00D6044B" w:rsidRPr="003966EF" w:rsidRDefault="00D6044B" w:rsidP="00702B41">
                <w:pPr>
                  <w:pStyle w:val="Subtitle"/>
                </w:pPr>
              </w:p>
            </w:tc>
          </w:tr>
          <w:tr w:rsidR="00D6044B" w:rsidRPr="003966EF" w14:paraId="40347B5F" w14:textId="77777777" w:rsidTr="00702B41">
            <w:tc>
              <w:tcPr>
                <w:tcW w:w="9242" w:type="dxa"/>
              </w:tcPr>
              <w:p w14:paraId="7E8C8A7D" w14:textId="77777777" w:rsidR="00D6044B" w:rsidRPr="003966EF" w:rsidRDefault="00D6044B" w:rsidP="00702B41"/>
              <w:p w14:paraId="70A9E148" w14:textId="3A0D9849" w:rsidR="00D6044B" w:rsidRPr="00A81A4C" w:rsidRDefault="005702A7" w:rsidP="00702B41">
                <w:pPr>
                  <w:pStyle w:val="CoverDate"/>
                </w:pPr>
                <w:r>
                  <w:t>August 2023</w:t>
                </w:r>
              </w:p>
            </w:tc>
          </w:tr>
        </w:tbl>
        <w:p w14:paraId="386DBADD" w14:textId="77777777" w:rsidR="00D6044B" w:rsidRPr="003966EF" w:rsidRDefault="00D6044B" w:rsidP="00AB0A0A"/>
        <w:p w14:paraId="64A67179" w14:textId="77777777" w:rsidR="00D6044B" w:rsidRPr="003966EF" w:rsidRDefault="00D6044B" w:rsidP="00AB0A0A"/>
        <w:p w14:paraId="3FD9E0E0" w14:textId="77777777" w:rsidR="00D6044B" w:rsidRDefault="00D6044B">
          <w:r w:rsidRPr="003966EF">
            <w:br w:type="page"/>
          </w:r>
        </w:p>
        <w:tbl>
          <w:tblPr>
            <w:tblStyle w:val="ACCCGreybox"/>
            <w:tblW w:w="0" w:type="auto"/>
            <w:shd w:val="clear" w:color="auto" w:fill="E1E1E1"/>
            <w:tblLook w:val="0600" w:firstRow="0" w:lastRow="0" w:firstColumn="0" w:lastColumn="0" w:noHBand="1" w:noVBand="1"/>
          </w:tblPr>
          <w:tblGrid>
            <w:gridCol w:w="9026"/>
          </w:tblGrid>
          <w:tr w:rsidR="00D6044B" w:rsidRPr="00ED68B9" w14:paraId="50EB798E" w14:textId="77777777" w:rsidTr="00FD4006">
            <w:trPr>
              <w:trHeight w:val="992"/>
            </w:trPr>
            <w:tc>
              <w:tcPr>
                <w:tcW w:w="9026" w:type="dxa"/>
                <w:shd w:val="clear" w:color="auto" w:fill="E1E1E1"/>
              </w:tcPr>
              <w:p w14:paraId="2494C8D1" w14:textId="77777777" w:rsidR="00D6044B" w:rsidRPr="00ED68B9" w:rsidRDefault="00D6044B" w:rsidP="00702B41">
                <w:pPr>
                  <w:rPr>
                    <w:rStyle w:val="Strong"/>
                  </w:rPr>
                </w:pPr>
                <w:r>
                  <w:rPr>
                    <w:rStyle w:val="Strong"/>
                  </w:rPr>
                  <w:lastRenderedPageBreak/>
                  <w:t>Acknowledgement of country</w:t>
                </w:r>
              </w:p>
              <w:p w14:paraId="7AE8D2CA" w14:textId="77777777" w:rsidR="00D6044B" w:rsidRPr="00ED68B9" w:rsidRDefault="00D6044B" w:rsidP="003642F5">
                <w:r>
                  <w:t xml:space="preserve">The ACCC acknowledges the traditional owners and custodians of Country throughout Australia and recognises their continuing connection to the land, </w:t>
                </w:r>
                <w:proofErr w:type="gramStart"/>
                <w:r>
                  <w:t>sea</w:t>
                </w:r>
                <w:proofErr w:type="gramEnd"/>
                <w:r>
                  <w:t xml:space="preserve"> and community. We pay our respects to them and their cultures; and to their Elders past, present and future.</w:t>
                </w:r>
              </w:p>
            </w:tc>
          </w:tr>
        </w:tbl>
        <w:p w14:paraId="74A32542" w14:textId="77777777" w:rsidR="00D6044B" w:rsidRPr="00B27616" w:rsidRDefault="00D6044B" w:rsidP="00363926">
          <w:pPr>
            <w:pStyle w:val="Copyrighttext"/>
            <w:spacing w:before="4440"/>
          </w:pPr>
          <w:r w:rsidRPr="00B27616">
            <w:t>Australian Competition and Consumer Commission</w:t>
          </w:r>
        </w:p>
        <w:p w14:paraId="31D94BAA" w14:textId="77777777" w:rsidR="00D6044B" w:rsidRPr="00B27616" w:rsidRDefault="00D6044B" w:rsidP="00D1042A">
          <w:pPr>
            <w:pStyle w:val="Copyrighttext"/>
          </w:pPr>
          <w:r w:rsidRPr="00B27616">
            <w:t>23 Marcus Clarke Street, Canberra, Australian Capital Territory, 2601</w:t>
          </w:r>
        </w:p>
        <w:p w14:paraId="783887CE" w14:textId="77777777" w:rsidR="00D6044B" w:rsidRPr="00B27616" w:rsidRDefault="00D6044B" w:rsidP="00D1042A">
          <w:pPr>
            <w:pStyle w:val="Copyrighttext"/>
          </w:pPr>
          <w:r w:rsidRPr="00B27616">
            <w:t>© Commonwealth of Australia 2023</w:t>
          </w:r>
        </w:p>
        <w:p w14:paraId="2BBEDBE1" w14:textId="77777777" w:rsidR="00D6044B" w:rsidRPr="00B27616" w:rsidRDefault="00D6044B" w:rsidP="00D1042A">
          <w:pPr>
            <w:pStyle w:val="Copyrighttext"/>
          </w:pPr>
          <w:r w:rsidRPr="00B27616">
            <w:t>This work is copyright. In addition to any use permitted under the Copyright Act 1968, all material contained within this work is provided</w:t>
          </w:r>
          <w:r>
            <w:t xml:space="preserve"> </w:t>
          </w:r>
          <w:r w:rsidRPr="00B27616">
            <w:t>under a Creative Commons Attribution 3.0 Australia licence, with the exception of:</w:t>
          </w:r>
        </w:p>
        <w:p w14:paraId="54060BE5" w14:textId="77777777" w:rsidR="00D6044B" w:rsidRPr="00B27616" w:rsidRDefault="00D6044B" w:rsidP="00D21B3B">
          <w:pPr>
            <w:pStyle w:val="Copyrighttext"/>
            <w:numPr>
              <w:ilvl w:val="0"/>
              <w:numId w:val="28"/>
            </w:numPr>
          </w:pPr>
          <w:r w:rsidRPr="00B27616">
            <w:t>the Commonwealth Coat of Arms</w:t>
          </w:r>
        </w:p>
        <w:p w14:paraId="07034323" w14:textId="77777777" w:rsidR="00D6044B" w:rsidRPr="00B27616" w:rsidRDefault="00D6044B" w:rsidP="00D21B3B">
          <w:pPr>
            <w:pStyle w:val="Copyrighttext"/>
            <w:numPr>
              <w:ilvl w:val="0"/>
              <w:numId w:val="28"/>
            </w:numPr>
          </w:pPr>
          <w:r w:rsidRPr="00B27616">
            <w:t>the ACCC and AER logos</w:t>
          </w:r>
        </w:p>
        <w:p w14:paraId="23333B42" w14:textId="77777777" w:rsidR="00D6044B" w:rsidRPr="00B27616" w:rsidRDefault="00D6044B" w:rsidP="00D21B3B">
          <w:pPr>
            <w:pStyle w:val="Copyrighttext"/>
            <w:numPr>
              <w:ilvl w:val="0"/>
              <w:numId w:val="28"/>
            </w:numPr>
          </w:pPr>
          <w:r w:rsidRPr="00B27616">
            <w:t>any illustration, diagram, photograph or graphic over which the Australian Competition and Consumer Commission does not hold copyright, but which may be part of or contained within this publication.</w:t>
          </w:r>
        </w:p>
        <w:p w14:paraId="7F750686" w14:textId="77777777" w:rsidR="00D6044B" w:rsidRPr="00B27616" w:rsidRDefault="00D6044B" w:rsidP="00D1042A">
          <w:pPr>
            <w:pStyle w:val="Copyrighttext"/>
          </w:pPr>
          <w:r w:rsidRPr="00B27616">
            <w:t>The details of the relevant licence conditions are available on the Creative Commons website, as is the full legal code for the CC BY 3.0 AU licence.</w:t>
          </w:r>
        </w:p>
        <w:p w14:paraId="478841AF" w14:textId="77777777" w:rsidR="00D6044B" w:rsidRDefault="00D6044B" w:rsidP="00D1042A">
          <w:pPr>
            <w:pStyle w:val="Copyrighttext"/>
          </w:pPr>
          <w:r w:rsidRPr="00B27616">
            <w:t xml:space="preserve">Requests and inquiries concerning reproduction and rights should be addressed to the </w:t>
          </w:r>
        </w:p>
        <w:p w14:paraId="514CABEB" w14:textId="77777777" w:rsidR="00D6044B" w:rsidRPr="00B27616" w:rsidRDefault="00D6044B" w:rsidP="00D1042A">
          <w:pPr>
            <w:pStyle w:val="Copyrighttext"/>
          </w:pPr>
          <w:r w:rsidRPr="00B27616">
            <w:t>Director, Content and Digital Services, ACCC,</w:t>
          </w:r>
          <w:r>
            <w:t xml:space="preserve"> </w:t>
          </w:r>
          <w:r w:rsidRPr="00B27616">
            <w:t>GPO Box 3131, Canberra ACT 2601.</w:t>
          </w:r>
        </w:p>
        <w:p w14:paraId="056C2BF1" w14:textId="77777777" w:rsidR="00D6044B" w:rsidRPr="00B27616" w:rsidRDefault="00D6044B" w:rsidP="00D1042A">
          <w:pPr>
            <w:pStyle w:val="Copyrighttext"/>
            <w:rPr>
              <w:b/>
            </w:rPr>
          </w:pPr>
          <w:r w:rsidRPr="00B27616">
            <w:rPr>
              <w:b/>
            </w:rPr>
            <w:t>Important notice</w:t>
          </w:r>
        </w:p>
        <w:p w14:paraId="21DE80AA" w14:textId="77777777" w:rsidR="00D6044B" w:rsidRPr="00B27616" w:rsidRDefault="00D6044B" w:rsidP="00D1042A">
          <w:pPr>
            <w:pStyle w:val="Copyrighttext"/>
          </w:pPr>
          <w:r w:rsidRPr="00B27616">
            <w:t>The information in this publication is for general guidance only. It does not constitute legal or other professional advice, and should not be relied on as a statement of the law in any jurisdiction. Because it is intended only as a general guide, it may contain generalisations. You should obtain professional advice if you have any specific concern.</w:t>
          </w:r>
        </w:p>
        <w:p w14:paraId="6FFAB180" w14:textId="77777777" w:rsidR="00D6044B" w:rsidRPr="00B27616" w:rsidRDefault="00D6044B" w:rsidP="00D1042A">
          <w:pPr>
            <w:pStyle w:val="Copyrighttext"/>
          </w:pPr>
          <w:r w:rsidRPr="00B27616">
            <w:t xml:space="preserve">The ACCC has made every reasonable effort to provide current and accurate information, but it does not make any guarantees regarding the accuracy, </w:t>
          </w:r>
          <w:proofErr w:type="gramStart"/>
          <w:r w:rsidRPr="00B27616">
            <w:t>currency</w:t>
          </w:r>
          <w:proofErr w:type="gramEnd"/>
          <w:r w:rsidRPr="00B27616">
            <w:t xml:space="preserve"> or completeness of that information.</w:t>
          </w:r>
        </w:p>
        <w:p w14:paraId="7F788118" w14:textId="77777777" w:rsidR="00D6044B" w:rsidRDefault="00D6044B" w:rsidP="00D1042A">
          <w:pPr>
            <w:pStyle w:val="Copyrighttext"/>
          </w:pPr>
          <w:r w:rsidRPr="00B27616">
            <w:t xml:space="preserve">Parties who wish to re-publish or otherwise use the information in this publication must check this information for currency and accuracy prior to publication. This should be done prior to each publication edition, as ACCC guidance and relevant transitional legislation frequently change. Any queries parties have should be addressed to the </w:t>
          </w:r>
        </w:p>
        <w:p w14:paraId="4CFD70D3" w14:textId="77777777" w:rsidR="00D6044B" w:rsidRPr="00B27616" w:rsidRDefault="00D6044B" w:rsidP="00D1042A">
          <w:pPr>
            <w:pStyle w:val="Copyrighttext"/>
          </w:pPr>
          <w:r w:rsidRPr="00B27616">
            <w:t>Director, Content and Digital Services, ACCC, GPO Box 3131, Canberra ACT 2601.</w:t>
          </w:r>
        </w:p>
        <w:p w14:paraId="31DE3947" w14:textId="5F9EF176" w:rsidR="00D6044B" w:rsidRPr="00B27616" w:rsidRDefault="00D6044B" w:rsidP="00363926">
          <w:pPr>
            <w:pStyle w:val="Copyrighttext"/>
            <w:spacing w:before="240"/>
            <w:contextualSpacing w:val="0"/>
          </w:pPr>
          <w:r w:rsidRPr="00B27616">
            <w:t xml:space="preserve">ACCC </w:t>
          </w:r>
          <w:r w:rsidR="005702A7" w:rsidRPr="005702A7">
            <w:t>08</w:t>
          </w:r>
          <w:r w:rsidRPr="005702A7">
            <w:t>/</w:t>
          </w:r>
          <w:r w:rsidR="005702A7" w:rsidRPr="005702A7">
            <w:t>23</w:t>
          </w:r>
        </w:p>
        <w:p w14:paraId="35481E7A" w14:textId="77777777" w:rsidR="00D6044B" w:rsidRPr="00B27616" w:rsidRDefault="00D6044B" w:rsidP="00D1042A">
          <w:pPr>
            <w:pStyle w:val="Copyrighttext"/>
          </w:pPr>
          <w:r w:rsidRPr="00B27616">
            <w:t>www.accc.gov.au</w:t>
          </w:r>
        </w:p>
        <w:p w14:paraId="2AC60550" w14:textId="77777777" w:rsidR="00D6044B" w:rsidRDefault="00D6044B">
          <w:r>
            <w:br w:type="page"/>
          </w:r>
        </w:p>
      </w:sdtContent>
    </w:sdt>
    <w:sdt>
      <w:sdtPr>
        <w:rPr>
          <w:rFonts w:ascii="Roboto" w:eastAsiaTheme="minorHAnsi" w:hAnsi="Roboto" w:cstheme="minorBidi"/>
          <w:bCs w:val="0"/>
          <w:noProof/>
          <w:color w:val="auto"/>
          <w:sz w:val="22"/>
          <w:szCs w:val="22"/>
          <w:lang w:val="en-AU" w:eastAsia="en-US"/>
        </w:rPr>
        <w:id w:val="-536730709"/>
        <w:docPartObj>
          <w:docPartGallery w:val="Table of Contents"/>
          <w:docPartUnique/>
        </w:docPartObj>
      </w:sdtPr>
      <w:sdtEndPr>
        <w:rPr>
          <w:b/>
        </w:rPr>
      </w:sdtEndPr>
      <w:sdtContent>
        <w:p w14:paraId="09C6A37C" w14:textId="77777777" w:rsidR="00D426F7" w:rsidRPr="004E0FE3" w:rsidRDefault="00D426F7">
          <w:pPr>
            <w:pStyle w:val="TOCHeading"/>
            <w:rPr>
              <w:sz w:val="44"/>
              <w:szCs w:val="44"/>
            </w:rPr>
          </w:pPr>
          <w:r w:rsidRPr="004E0FE3">
            <w:rPr>
              <w:sz w:val="44"/>
              <w:szCs w:val="44"/>
            </w:rPr>
            <w:t>Contents</w:t>
          </w:r>
        </w:p>
        <w:p w14:paraId="5B0A01D7" w14:textId="1853CFE5" w:rsidR="004E0FE3" w:rsidRDefault="00D426F7" w:rsidP="004E0FE3">
          <w:pPr>
            <w:pStyle w:val="TOC1"/>
            <w:rPr>
              <w:rFonts w:asciiTheme="minorHAnsi" w:eastAsiaTheme="minorEastAsia" w:hAnsiTheme="minorHAnsi"/>
              <w:lang w:val="en-AU" w:eastAsia="en-AU"/>
            </w:rPr>
          </w:pPr>
          <w:r>
            <w:rPr>
              <w:noProof w:val="0"/>
            </w:rPr>
            <w:fldChar w:fldCharType="begin"/>
          </w:r>
          <w:r>
            <w:instrText xml:space="preserve"> TOC \o "1-3" \h \z \u </w:instrText>
          </w:r>
          <w:r>
            <w:rPr>
              <w:noProof w:val="0"/>
            </w:rPr>
            <w:fldChar w:fldCharType="separate"/>
          </w:r>
          <w:hyperlink w:anchor="_Toc140065159" w:history="1">
            <w:r w:rsidR="004E0FE3" w:rsidRPr="006724E5">
              <w:rPr>
                <w:rStyle w:val="Hyperlink"/>
              </w:rPr>
              <w:t>Scope</w:t>
            </w:r>
            <w:r w:rsidR="004E0FE3">
              <w:rPr>
                <w:webHidden/>
              </w:rPr>
              <w:tab/>
            </w:r>
            <w:r w:rsidR="004E0FE3">
              <w:rPr>
                <w:webHidden/>
              </w:rPr>
              <w:fldChar w:fldCharType="begin"/>
            </w:r>
            <w:r w:rsidR="004E0FE3">
              <w:rPr>
                <w:webHidden/>
              </w:rPr>
              <w:instrText xml:space="preserve"> PAGEREF _Toc140065159 \h </w:instrText>
            </w:r>
            <w:r w:rsidR="004E0FE3">
              <w:rPr>
                <w:webHidden/>
              </w:rPr>
            </w:r>
            <w:r w:rsidR="004E0FE3">
              <w:rPr>
                <w:webHidden/>
              </w:rPr>
              <w:fldChar w:fldCharType="separate"/>
            </w:r>
            <w:r w:rsidR="00AC63ED">
              <w:rPr>
                <w:webHidden/>
              </w:rPr>
              <w:t>1</w:t>
            </w:r>
            <w:r w:rsidR="004E0FE3">
              <w:rPr>
                <w:webHidden/>
              </w:rPr>
              <w:fldChar w:fldCharType="end"/>
            </w:r>
          </w:hyperlink>
        </w:p>
        <w:p w14:paraId="29F58546" w14:textId="63254DC1" w:rsidR="004E0FE3" w:rsidRDefault="00000000" w:rsidP="004E0FE3">
          <w:pPr>
            <w:pStyle w:val="TOC1"/>
            <w:rPr>
              <w:rFonts w:asciiTheme="minorHAnsi" w:eastAsiaTheme="minorEastAsia" w:hAnsiTheme="minorHAnsi"/>
              <w:lang w:val="en-AU" w:eastAsia="en-AU"/>
            </w:rPr>
          </w:pPr>
          <w:hyperlink w:anchor="_Toc140065161" w:history="1">
            <w:r w:rsidR="004E0FE3" w:rsidRPr="006724E5">
              <w:rPr>
                <w:rStyle w:val="Hyperlink"/>
              </w:rPr>
              <w:t>Executive summary</w:t>
            </w:r>
            <w:r w:rsidR="004E0FE3">
              <w:rPr>
                <w:webHidden/>
              </w:rPr>
              <w:tab/>
            </w:r>
            <w:r w:rsidR="004E0FE3">
              <w:rPr>
                <w:webHidden/>
              </w:rPr>
              <w:fldChar w:fldCharType="begin"/>
            </w:r>
            <w:r w:rsidR="004E0FE3">
              <w:rPr>
                <w:webHidden/>
              </w:rPr>
              <w:instrText xml:space="preserve"> PAGEREF _Toc140065161 \h </w:instrText>
            </w:r>
            <w:r w:rsidR="004E0FE3">
              <w:rPr>
                <w:webHidden/>
              </w:rPr>
            </w:r>
            <w:r w:rsidR="004E0FE3">
              <w:rPr>
                <w:webHidden/>
              </w:rPr>
              <w:fldChar w:fldCharType="separate"/>
            </w:r>
            <w:r w:rsidR="00AC63ED">
              <w:rPr>
                <w:webHidden/>
              </w:rPr>
              <w:t>3</w:t>
            </w:r>
            <w:r w:rsidR="004E0FE3">
              <w:rPr>
                <w:webHidden/>
              </w:rPr>
              <w:fldChar w:fldCharType="end"/>
            </w:r>
          </w:hyperlink>
        </w:p>
        <w:p w14:paraId="4B06A50C" w14:textId="61FF24C2" w:rsidR="004E0FE3" w:rsidRDefault="00000000" w:rsidP="004E0FE3">
          <w:pPr>
            <w:pStyle w:val="TOC1"/>
            <w:rPr>
              <w:rFonts w:asciiTheme="minorHAnsi" w:eastAsiaTheme="minorEastAsia" w:hAnsiTheme="minorHAnsi"/>
              <w:lang w:val="en-AU" w:eastAsia="en-AU"/>
            </w:rPr>
          </w:pPr>
          <w:hyperlink w:anchor="_Toc140065162" w:history="1">
            <w:r w:rsidR="004E0FE3" w:rsidRPr="006724E5">
              <w:rPr>
                <w:rStyle w:val="Hyperlink"/>
              </w:rPr>
              <w:t>1.</w:t>
            </w:r>
            <w:r w:rsidR="004E0FE3">
              <w:rPr>
                <w:rFonts w:asciiTheme="minorHAnsi" w:eastAsiaTheme="minorEastAsia" w:hAnsiTheme="minorHAnsi"/>
                <w:lang w:val="en-AU" w:eastAsia="en-AU"/>
              </w:rPr>
              <w:tab/>
            </w:r>
            <w:r w:rsidR="004E0FE3" w:rsidRPr="006724E5">
              <w:rPr>
                <w:rStyle w:val="Hyperlink"/>
              </w:rPr>
              <w:t xml:space="preserve">What is the problem </w:t>
            </w:r>
            <w:r w:rsidR="00255653">
              <w:rPr>
                <w:rStyle w:val="Hyperlink"/>
              </w:rPr>
              <w:t>you</w:t>
            </w:r>
            <w:r w:rsidR="004E0FE3" w:rsidRPr="006724E5">
              <w:rPr>
                <w:rStyle w:val="Hyperlink"/>
              </w:rPr>
              <w:t xml:space="preserve"> are trying to solve?</w:t>
            </w:r>
            <w:r w:rsidR="004E0FE3">
              <w:rPr>
                <w:webHidden/>
              </w:rPr>
              <w:tab/>
            </w:r>
            <w:r w:rsidR="004E0FE3">
              <w:rPr>
                <w:webHidden/>
              </w:rPr>
              <w:fldChar w:fldCharType="begin"/>
            </w:r>
            <w:r w:rsidR="004E0FE3">
              <w:rPr>
                <w:webHidden/>
              </w:rPr>
              <w:instrText xml:space="preserve"> PAGEREF _Toc140065162 \h </w:instrText>
            </w:r>
            <w:r w:rsidR="004E0FE3">
              <w:rPr>
                <w:webHidden/>
              </w:rPr>
            </w:r>
            <w:r w:rsidR="004E0FE3">
              <w:rPr>
                <w:webHidden/>
              </w:rPr>
              <w:fldChar w:fldCharType="separate"/>
            </w:r>
            <w:r w:rsidR="00AC63ED">
              <w:rPr>
                <w:webHidden/>
              </w:rPr>
              <w:t>6</w:t>
            </w:r>
            <w:r w:rsidR="004E0FE3">
              <w:rPr>
                <w:webHidden/>
              </w:rPr>
              <w:fldChar w:fldCharType="end"/>
            </w:r>
          </w:hyperlink>
        </w:p>
        <w:p w14:paraId="1493452A" w14:textId="09C8CBDD" w:rsidR="004E0FE3" w:rsidRDefault="00000000" w:rsidP="004E0FE3">
          <w:pPr>
            <w:pStyle w:val="TOC1"/>
            <w:rPr>
              <w:rFonts w:asciiTheme="minorHAnsi" w:eastAsiaTheme="minorEastAsia" w:hAnsiTheme="minorHAnsi"/>
              <w:lang w:val="en-AU" w:eastAsia="en-AU"/>
            </w:rPr>
          </w:pPr>
          <w:hyperlink w:anchor="_Toc140065166" w:history="1">
            <w:r w:rsidR="004E0FE3" w:rsidRPr="006724E5">
              <w:rPr>
                <w:rStyle w:val="Hyperlink"/>
              </w:rPr>
              <w:t>2.</w:t>
            </w:r>
            <w:r w:rsidR="004E0FE3">
              <w:rPr>
                <w:rFonts w:asciiTheme="minorHAnsi" w:eastAsiaTheme="minorEastAsia" w:hAnsiTheme="minorHAnsi"/>
                <w:lang w:val="en-AU" w:eastAsia="en-AU"/>
              </w:rPr>
              <w:tab/>
            </w:r>
            <w:r w:rsidR="004E0FE3" w:rsidRPr="006724E5">
              <w:rPr>
                <w:rStyle w:val="Hyperlink"/>
              </w:rPr>
              <w:t>Why is government action needed?</w:t>
            </w:r>
            <w:r w:rsidR="004E0FE3">
              <w:rPr>
                <w:webHidden/>
              </w:rPr>
              <w:tab/>
            </w:r>
            <w:r w:rsidR="004E0FE3">
              <w:rPr>
                <w:webHidden/>
              </w:rPr>
              <w:fldChar w:fldCharType="begin"/>
            </w:r>
            <w:r w:rsidR="004E0FE3">
              <w:rPr>
                <w:webHidden/>
              </w:rPr>
              <w:instrText xml:space="preserve"> PAGEREF _Toc140065166 \h </w:instrText>
            </w:r>
            <w:r w:rsidR="004E0FE3">
              <w:rPr>
                <w:webHidden/>
              </w:rPr>
            </w:r>
            <w:r w:rsidR="004E0FE3">
              <w:rPr>
                <w:webHidden/>
              </w:rPr>
              <w:fldChar w:fldCharType="separate"/>
            </w:r>
            <w:r w:rsidR="00AC63ED">
              <w:rPr>
                <w:webHidden/>
              </w:rPr>
              <w:t>9</w:t>
            </w:r>
            <w:r w:rsidR="004E0FE3">
              <w:rPr>
                <w:webHidden/>
              </w:rPr>
              <w:fldChar w:fldCharType="end"/>
            </w:r>
          </w:hyperlink>
        </w:p>
        <w:p w14:paraId="21087B5B" w14:textId="21079F62" w:rsidR="004E0FE3" w:rsidRDefault="00000000" w:rsidP="004E0FE3">
          <w:pPr>
            <w:pStyle w:val="TOC1"/>
            <w:rPr>
              <w:rFonts w:asciiTheme="minorHAnsi" w:eastAsiaTheme="minorEastAsia" w:hAnsiTheme="minorHAnsi"/>
              <w:lang w:val="en-AU" w:eastAsia="en-AU"/>
            </w:rPr>
          </w:pPr>
          <w:hyperlink w:anchor="_Toc140065172" w:history="1">
            <w:r w:rsidR="004E0FE3" w:rsidRPr="006724E5">
              <w:rPr>
                <w:rStyle w:val="Hyperlink"/>
              </w:rPr>
              <w:t>3.</w:t>
            </w:r>
            <w:r w:rsidR="004E0FE3">
              <w:rPr>
                <w:rFonts w:asciiTheme="minorHAnsi" w:eastAsiaTheme="minorEastAsia" w:hAnsiTheme="minorHAnsi"/>
                <w:lang w:val="en-AU" w:eastAsia="en-AU"/>
              </w:rPr>
              <w:tab/>
            </w:r>
            <w:r w:rsidR="004E0FE3" w:rsidRPr="006724E5">
              <w:rPr>
                <w:rStyle w:val="Hyperlink"/>
              </w:rPr>
              <w:t xml:space="preserve">Who </w:t>
            </w:r>
            <w:r w:rsidR="002269DB">
              <w:rPr>
                <w:rStyle w:val="Hyperlink"/>
              </w:rPr>
              <w:t xml:space="preserve">did you </w:t>
            </w:r>
            <w:r w:rsidR="004E0FE3" w:rsidRPr="006724E5">
              <w:rPr>
                <w:rStyle w:val="Hyperlink"/>
              </w:rPr>
              <w:t xml:space="preserve">consult and </w:t>
            </w:r>
            <w:r w:rsidR="002269DB">
              <w:rPr>
                <w:rStyle w:val="Hyperlink"/>
              </w:rPr>
              <w:t xml:space="preserve">how did you incorporate </w:t>
            </w:r>
            <w:r w:rsidR="004E0FE3" w:rsidRPr="006724E5">
              <w:rPr>
                <w:rStyle w:val="Hyperlink"/>
              </w:rPr>
              <w:t>their feedback?</w:t>
            </w:r>
            <w:r w:rsidR="004E0FE3">
              <w:rPr>
                <w:webHidden/>
              </w:rPr>
              <w:tab/>
            </w:r>
            <w:r w:rsidR="004E0FE3">
              <w:rPr>
                <w:webHidden/>
              </w:rPr>
              <w:fldChar w:fldCharType="begin"/>
            </w:r>
            <w:r w:rsidR="004E0FE3">
              <w:rPr>
                <w:webHidden/>
              </w:rPr>
              <w:instrText xml:space="preserve"> PAGEREF _Toc140065172 \h </w:instrText>
            </w:r>
            <w:r w:rsidR="004E0FE3">
              <w:rPr>
                <w:webHidden/>
              </w:rPr>
            </w:r>
            <w:r w:rsidR="004E0FE3">
              <w:rPr>
                <w:webHidden/>
              </w:rPr>
              <w:fldChar w:fldCharType="separate"/>
            </w:r>
            <w:r w:rsidR="00AC63ED">
              <w:rPr>
                <w:webHidden/>
              </w:rPr>
              <w:t>12</w:t>
            </w:r>
            <w:r w:rsidR="004E0FE3">
              <w:rPr>
                <w:webHidden/>
              </w:rPr>
              <w:fldChar w:fldCharType="end"/>
            </w:r>
          </w:hyperlink>
        </w:p>
        <w:p w14:paraId="41D315EC" w14:textId="27E5CB64" w:rsidR="004E0FE3" w:rsidRDefault="00000000" w:rsidP="004E0FE3">
          <w:pPr>
            <w:pStyle w:val="TOC1"/>
            <w:rPr>
              <w:rFonts w:asciiTheme="minorHAnsi" w:eastAsiaTheme="minorEastAsia" w:hAnsiTheme="minorHAnsi"/>
              <w:lang w:val="en-AU" w:eastAsia="en-AU"/>
            </w:rPr>
          </w:pPr>
          <w:hyperlink w:anchor="_Toc140065178" w:history="1">
            <w:r w:rsidR="004E0FE3" w:rsidRPr="006724E5">
              <w:rPr>
                <w:rStyle w:val="Hyperlink"/>
              </w:rPr>
              <w:t>4.</w:t>
            </w:r>
            <w:r w:rsidR="004E0FE3">
              <w:rPr>
                <w:rFonts w:asciiTheme="minorHAnsi" w:eastAsiaTheme="minorEastAsia" w:hAnsiTheme="minorHAnsi"/>
                <w:lang w:val="en-AU" w:eastAsia="en-AU"/>
              </w:rPr>
              <w:tab/>
            </w:r>
            <w:r w:rsidR="004E0FE3" w:rsidRPr="006724E5">
              <w:rPr>
                <w:rStyle w:val="Hyperlink"/>
              </w:rPr>
              <w:t>What policy options are you considering?</w:t>
            </w:r>
            <w:r w:rsidR="004E0FE3">
              <w:rPr>
                <w:webHidden/>
              </w:rPr>
              <w:tab/>
            </w:r>
            <w:r w:rsidR="004E0FE3">
              <w:rPr>
                <w:webHidden/>
              </w:rPr>
              <w:fldChar w:fldCharType="begin"/>
            </w:r>
            <w:r w:rsidR="004E0FE3">
              <w:rPr>
                <w:webHidden/>
              </w:rPr>
              <w:instrText xml:space="preserve"> PAGEREF _Toc140065178 \h </w:instrText>
            </w:r>
            <w:r w:rsidR="004E0FE3">
              <w:rPr>
                <w:webHidden/>
              </w:rPr>
            </w:r>
            <w:r w:rsidR="004E0FE3">
              <w:rPr>
                <w:webHidden/>
              </w:rPr>
              <w:fldChar w:fldCharType="separate"/>
            </w:r>
            <w:r w:rsidR="00AC63ED">
              <w:rPr>
                <w:webHidden/>
              </w:rPr>
              <w:t>21</w:t>
            </w:r>
            <w:r w:rsidR="004E0FE3">
              <w:rPr>
                <w:webHidden/>
              </w:rPr>
              <w:fldChar w:fldCharType="end"/>
            </w:r>
          </w:hyperlink>
        </w:p>
        <w:p w14:paraId="20E0574C" w14:textId="04DDA8B2" w:rsidR="004E0FE3" w:rsidRPr="004E0FE3" w:rsidRDefault="00000000" w:rsidP="004E0FE3">
          <w:pPr>
            <w:pStyle w:val="TOC1"/>
            <w:rPr>
              <w:rFonts w:asciiTheme="minorHAnsi" w:eastAsiaTheme="minorEastAsia" w:hAnsiTheme="minorHAnsi"/>
              <w:lang w:val="en-AU" w:eastAsia="en-AU"/>
            </w:rPr>
          </w:pPr>
          <w:hyperlink w:anchor="_Toc140065185" w:history="1">
            <w:r w:rsidR="004E0FE3" w:rsidRPr="006724E5">
              <w:rPr>
                <w:rStyle w:val="Hyperlink"/>
              </w:rPr>
              <w:t>5.</w:t>
            </w:r>
            <w:r w:rsidR="004E0FE3">
              <w:rPr>
                <w:rFonts w:asciiTheme="minorHAnsi" w:eastAsiaTheme="minorEastAsia" w:hAnsiTheme="minorHAnsi"/>
                <w:lang w:val="en-AU" w:eastAsia="en-AU"/>
              </w:rPr>
              <w:tab/>
            </w:r>
            <w:r w:rsidR="004E0FE3" w:rsidRPr="006724E5">
              <w:rPr>
                <w:rStyle w:val="Hyperlink"/>
              </w:rPr>
              <w:t>What are the costs and benefits of regulatory intervention?</w:t>
            </w:r>
            <w:r w:rsidR="004E0FE3">
              <w:rPr>
                <w:webHidden/>
              </w:rPr>
              <w:tab/>
            </w:r>
            <w:r w:rsidR="004E0FE3">
              <w:rPr>
                <w:webHidden/>
              </w:rPr>
              <w:fldChar w:fldCharType="begin"/>
            </w:r>
            <w:r w:rsidR="004E0FE3">
              <w:rPr>
                <w:webHidden/>
              </w:rPr>
              <w:instrText xml:space="preserve"> PAGEREF _Toc140065185 \h </w:instrText>
            </w:r>
            <w:r w:rsidR="004E0FE3">
              <w:rPr>
                <w:webHidden/>
              </w:rPr>
            </w:r>
            <w:r w:rsidR="004E0FE3">
              <w:rPr>
                <w:webHidden/>
              </w:rPr>
              <w:fldChar w:fldCharType="separate"/>
            </w:r>
            <w:r w:rsidR="00AC63ED">
              <w:rPr>
                <w:webHidden/>
              </w:rPr>
              <w:t>27</w:t>
            </w:r>
            <w:r w:rsidR="004E0FE3">
              <w:rPr>
                <w:webHidden/>
              </w:rPr>
              <w:fldChar w:fldCharType="end"/>
            </w:r>
          </w:hyperlink>
        </w:p>
        <w:p w14:paraId="5981C32B" w14:textId="1DA0168C" w:rsidR="004E0FE3" w:rsidRDefault="00000000" w:rsidP="004E0FE3">
          <w:pPr>
            <w:pStyle w:val="TOC1"/>
            <w:rPr>
              <w:rFonts w:asciiTheme="minorHAnsi" w:eastAsiaTheme="minorEastAsia" w:hAnsiTheme="minorHAnsi"/>
              <w:lang w:val="en-AU" w:eastAsia="en-AU"/>
            </w:rPr>
          </w:pPr>
          <w:hyperlink w:anchor="_Toc140065198" w:history="1">
            <w:r w:rsidR="004E0FE3" w:rsidRPr="006724E5">
              <w:rPr>
                <w:rStyle w:val="Hyperlink"/>
              </w:rPr>
              <w:t>6.</w:t>
            </w:r>
            <w:r w:rsidR="004E0FE3">
              <w:rPr>
                <w:rFonts w:asciiTheme="minorHAnsi" w:eastAsiaTheme="minorEastAsia" w:hAnsiTheme="minorHAnsi"/>
                <w:lang w:val="en-AU" w:eastAsia="en-AU"/>
              </w:rPr>
              <w:tab/>
            </w:r>
            <w:r w:rsidR="004E0FE3" w:rsidRPr="006724E5">
              <w:rPr>
                <w:rStyle w:val="Hyperlink"/>
              </w:rPr>
              <w:t>What is the best option?</w:t>
            </w:r>
            <w:r w:rsidR="004E0FE3">
              <w:rPr>
                <w:webHidden/>
              </w:rPr>
              <w:tab/>
            </w:r>
            <w:r w:rsidR="004E0FE3">
              <w:rPr>
                <w:webHidden/>
              </w:rPr>
              <w:fldChar w:fldCharType="begin"/>
            </w:r>
            <w:r w:rsidR="004E0FE3">
              <w:rPr>
                <w:webHidden/>
              </w:rPr>
              <w:instrText xml:space="preserve"> PAGEREF _Toc140065198 \h </w:instrText>
            </w:r>
            <w:r w:rsidR="004E0FE3">
              <w:rPr>
                <w:webHidden/>
              </w:rPr>
            </w:r>
            <w:r w:rsidR="004E0FE3">
              <w:rPr>
                <w:webHidden/>
              </w:rPr>
              <w:fldChar w:fldCharType="separate"/>
            </w:r>
            <w:r w:rsidR="00AC63ED">
              <w:rPr>
                <w:webHidden/>
              </w:rPr>
              <w:t>33</w:t>
            </w:r>
            <w:r w:rsidR="004E0FE3">
              <w:rPr>
                <w:webHidden/>
              </w:rPr>
              <w:fldChar w:fldCharType="end"/>
            </w:r>
          </w:hyperlink>
        </w:p>
        <w:p w14:paraId="26DD5CCB" w14:textId="576EBEFE" w:rsidR="004E0FE3" w:rsidRDefault="00000000" w:rsidP="004E0FE3">
          <w:pPr>
            <w:pStyle w:val="TOC1"/>
            <w:rPr>
              <w:rFonts w:asciiTheme="minorHAnsi" w:eastAsiaTheme="minorEastAsia" w:hAnsiTheme="minorHAnsi"/>
              <w:lang w:val="en-AU" w:eastAsia="en-AU"/>
            </w:rPr>
          </w:pPr>
          <w:hyperlink w:anchor="_Toc140065202" w:history="1">
            <w:r w:rsidR="004E0FE3" w:rsidRPr="006724E5">
              <w:rPr>
                <w:rStyle w:val="Hyperlink"/>
              </w:rPr>
              <w:t>7.</w:t>
            </w:r>
            <w:r w:rsidR="004E0FE3">
              <w:rPr>
                <w:rFonts w:asciiTheme="minorHAnsi" w:eastAsiaTheme="minorEastAsia" w:hAnsiTheme="minorHAnsi"/>
                <w:lang w:val="en-AU" w:eastAsia="en-AU"/>
              </w:rPr>
              <w:tab/>
            </w:r>
            <w:r w:rsidR="004E0FE3" w:rsidRPr="006724E5">
              <w:rPr>
                <w:rStyle w:val="Hyperlink"/>
              </w:rPr>
              <w:t>How will the ACCC implement and evaluate the chosen option?</w:t>
            </w:r>
            <w:r w:rsidR="004E0FE3">
              <w:rPr>
                <w:webHidden/>
              </w:rPr>
              <w:tab/>
            </w:r>
            <w:r w:rsidR="004E0FE3">
              <w:rPr>
                <w:webHidden/>
              </w:rPr>
              <w:fldChar w:fldCharType="begin"/>
            </w:r>
            <w:r w:rsidR="004E0FE3">
              <w:rPr>
                <w:webHidden/>
              </w:rPr>
              <w:instrText xml:space="preserve"> PAGEREF _Toc140065202 \h </w:instrText>
            </w:r>
            <w:r w:rsidR="004E0FE3">
              <w:rPr>
                <w:webHidden/>
              </w:rPr>
            </w:r>
            <w:r w:rsidR="004E0FE3">
              <w:rPr>
                <w:webHidden/>
              </w:rPr>
              <w:fldChar w:fldCharType="separate"/>
            </w:r>
            <w:r w:rsidR="00AC63ED">
              <w:rPr>
                <w:webHidden/>
              </w:rPr>
              <w:t>36</w:t>
            </w:r>
            <w:r w:rsidR="004E0FE3">
              <w:rPr>
                <w:webHidden/>
              </w:rPr>
              <w:fldChar w:fldCharType="end"/>
            </w:r>
          </w:hyperlink>
        </w:p>
        <w:p w14:paraId="6D40FE2A" w14:textId="3887B78C" w:rsidR="004E0FE3" w:rsidRDefault="00000000" w:rsidP="004E0FE3">
          <w:pPr>
            <w:pStyle w:val="TOC1"/>
            <w:rPr>
              <w:rFonts w:asciiTheme="minorHAnsi" w:eastAsiaTheme="minorEastAsia" w:hAnsiTheme="minorHAnsi"/>
              <w:lang w:val="en-AU" w:eastAsia="en-AU"/>
            </w:rPr>
          </w:pPr>
          <w:hyperlink w:anchor="_Toc140065206" w:history="1">
            <w:r w:rsidR="004E0FE3" w:rsidRPr="006724E5">
              <w:rPr>
                <w:rStyle w:val="Hyperlink"/>
              </w:rPr>
              <w:t>Appendices</w:t>
            </w:r>
            <w:r w:rsidR="004E0FE3">
              <w:rPr>
                <w:webHidden/>
              </w:rPr>
              <w:tab/>
            </w:r>
            <w:r w:rsidR="004E0FE3">
              <w:rPr>
                <w:webHidden/>
              </w:rPr>
              <w:fldChar w:fldCharType="begin"/>
            </w:r>
            <w:r w:rsidR="004E0FE3">
              <w:rPr>
                <w:webHidden/>
              </w:rPr>
              <w:instrText xml:space="preserve"> PAGEREF _Toc140065206 \h </w:instrText>
            </w:r>
            <w:r w:rsidR="004E0FE3">
              <w:rPr>
                <w:webHidden/>
              </w:rPr>
            </w:r>
            <w:r w:rsidR="004E0FE3">
              <w:rPr>
                <w:webHidden/>
              </w:rPr>
              <w:fldChar w:fldCharType="separate"/>
            </w:r>
            <w:r w:rsidR="00AC63ED">
              <w:rPr>
                <w:webHidden/>
              </w:rPr>
              <w:t>39</w:t>
            </w:r>
            <w:r w:rsidR="004E0FE3">
              <w:rPr>
                <w:webHidden/>
              </w:rPr>
              <w:fldChar w:fldCharType="end"/>
            </w:r>
          </w:hyperlink>
        </w:p>
        <w:p w14:paraId="716375CF" w14:textId="1AB88A83" w:rsidR="004E0FE3" w:rsidRDefault="00000000">
          <w:pPr>
            <w:pStyle w:val="TOC2"/>
            <w:rPr>
              <w:rFonts w:asciiTheme="minorHAnsi" w:eastAsiaTheme="minorEastAsia" w:hAnsiTheme="minorHAnsi"/>
              <w:lang w:eastAsia="en-AU"/>
            </w:rPr>
          </w:pPr>
          <w:hyperlink w:anchor="_Toc140065207" w:history="1">
            <w:r w:rsidR="004E0FE3" w:rsidRPr="006724E5">
              <w:rPr>
                <w:rStyle w:val="Hyperlink"/>
              </w:rPr>
              <w:t>Appendix 1: Calculation methods for infant fatalities</w:t>
            </w:r>
            <w:r w:rsidR="004E0FE3">
              <w:rPr>
                <w:webHidden/>
              </w:rPr>
              <w:tab/>
            </w:r>
            <w:r w:rsidR="004E0FE3">
              <w:rPr>
                <w:webHidden/>
              </w:rPr>
              <w:fldChar w:fldCharType="begin"/>
            </w:r>
            <w:r w:rsidR="004E0FE3">
              <w:rPr>
                <w:webHidden/>
              </w:rPr>
              <w:instrText xml:space="preserve"> PAGEREF _Toc140065207 \h </w:instrText>
            </w:r>
            <w:r w:rsidR="004E0FE3">
              <w:rPr>
                <w:webHidden/>
              </w:rPr>
            </w:r>
            <w:r w:rsidR="004E0FE3">
              <w:rPr>
                <w:webHidden/>
              </w:rPr>
              <w:fldChar w:fldCharType="separate"/>
            </w:r>
            <w:r w:rsidR="00AC63ED">
              <w:rPr>
                <w:webHidden/>
              </w:rPr>
              <w:t>39</w:t>
            </w:r>
            <w:r w:rsidR="004E0FE3">
              <w:rPr>
                <w:webHidden/>
              </w:rPr>
              <w:fldChar w:fldCharType="end"/>
            </w:r>
          </w:hyperlink>
        </w:p>
        <w:p w14:paraId="0FAB7D6A" w14:textId="716096C7" w:rsidR="004E0FE3" w:rsidRDefault="00000000">
          <w:pPr>
            <w:pStyle w:val="TOC2"/>
            <w:rPr>
              <w:rFonts w:asciiTheme="minorHAnsi" w:eastAsiaTheme="minorEastAsia" w:hAnsiTheme="minorHAnsi"/>
              <w:lang w:eastAsia="en-AU"/>
            </w:rPr>
          </w:pPr>
          <w:hyperlink w:anchor="_Toc140065208" w:history="1">
            <w:r w:rsidR="004E0FE3" w:rsidRPr="006724E5">
              <w:rPr>
                <w:rStyle w:val="Hyperlink"/>
              </w:rPr>
              <w:t>Appendix 2: Calculation methods for costs of regulation</w:t>
            </w:r>
            <w:r w:rsidR="004E0FE3">
              <w:rPr>
                <w:webHidden/>
              </w:rPr>
              <w:tab/>
            </w:r>
            <w:r w:rsidR="004E0FE3">
              <w:rPr>
                <w:webHidden/>
              </w:rPr>
              <w:fldChar w:fldCharType="begin"/>
            </w:r>
            <w:r w:rsidR="004E0FE3">
              <w:rPr>
                <w:webHidden/>
              </w:rPr>
              <w:instrText xml:space="preserve"> PAGEREF _Toc140065208 \h </w:instrText>
            </w:r>
            <w:r w:rsidR="004E0FE3">
              <w:rPr>
                <w:webHidden/>
              </w:rPr>
            </w:r>
            <w:r w:rsidR="004E0FE3">
              <w:rPr>
                <w:webHidden/>
              </w:rPr>
              <w:fldChar w:fldCharType="separate"/>
            </w:r>
            <w:r w:rsidR="00AC63ED">
              <w:rPr>
                <w:webHidden/>
              </w:rPr>
              <w:t>40</w:t>
            </w:r>
            <w:r w:rsidR="004E0FE3">
              <w:rPr>
                <w:webHidden/>
              </w:rPr>
              <w:fldChar w:fldCharType="end"/>
            </w:r>
          </w:hyperlink>
        </w:p>
        <w:p w14:paraId="68EFDF1D" w14:textId="0E3ADA41" w:rsidR="00D426F7" w:rsidRPr="004E0FE3" w:rsidRDefault="00000000" w:rsidP="004E0FE3">
          <w:pPr>
            <w:pStyle w:val="TOC2"/>
            <w:rPr>
              <w:rFonts w:asciiTheme="minorHAnsi" w:eastAsiaTheme="minorEastAsia" w:hAnsiTheme="minorHAnsi"/>
              <w:lang w:eastAsia="en-AU"/>
            </w:rPr>
          </w:pPr>
          <w:hyperlink w:anchor="_Toc140065209" w:history="1">
            <w:r w:rsidR="004E0FE3" w:rsidRPr="006724E5">
              <w:rPr>
                <w:rStyle w:val="Hyperlink"/>
              </w:rPr>
              <w:t>Appendix 3: Summary of key decisions</w:t>
            </w:r>
            <w:r w:rsidR="004E0FE3">
              <w:rPr>
                <w:webHidden/>
              </w:rPr>
              <w:tab/>
            </w:r>
            <w:r w:rsidR="004E0FE3">
              <w:rPr>
                <w:webHidden/>
              </w:rPr>
              <w:fldChar w:fldCharType="begin"/>
            </w:r>
            <w:r w:rsidR="004E0FE3">
              <w:rPr>
                <w:webHidden/>
              </w:rPr>
              <w:instrText xml:space="preserve"> PAGEREF _Toc140065209 \h </w:instrText>
            </w:r>
            <w:r w:rsidR="004E0FE3">
              <w:rPr>
                <w:webHidden/>
              </w:rPr>
            </w:r>
            <w:r w:rsidR="004E0FE3">
              <w:rPr>
                <w:webHidden/>
              </w:rPr>
              <w:fldChar w:fldCharType="separate"/>
            </w:r>
            <w:r w:rsidR="00AC63ED">
              <w:rPr>
                <w:webHidden/>
              </w:rPr>
              <w:t>43</w:t>
            </w:r>
            <w:r w:rsidR="004E0FE3">
              <w:rPr>
                <w:webHidden/>
              </w:rPr>
              <w:fldChar w:fldCharType="end"/>
            </w:r>
          </w:hyperlink>
          <w:r w:rsidR="00D426F7">
            <w:rPr>
              <w:b/>
              <w:bCs/>
            </w:rPr>
            <w:fldChar w:fldCharType="end"/>
          </w:r>
        </w:p>
      </w:sdtContent>
    </w:sdt>
    <w:p w14:paraId="1284C406" w14:textId="77777777" w:rsidR="00767472" w:rsidRDefault="00767472">
      <w:pPr>
        <w:rPr>
          <w:rFonts w:ascii="Bitter" w:eastAsiaTheme="majorEastAsia" w:hAnsi="Bitter" w:cstheme="majorBidi"/>
          <w:bCs/>
          <w:color w:val="342D8C" w:themeColor="accent1"/>
          <w:sz w:val="60"/>
          <w:szCs w:val="28"/>
        </w:rPr>
      </w:pPr>
      <w:bookmarkStart w:id="2" w:name="_Toc139452437"/>
      <w:bookmarkEnd w:id="0"/>
      <w:r>
        <w:br w:type="page"/>
      </w:r>
    </w:p>
    <w:p w14:paraId="50BC343D" w14:textId="46FDD297" w:rsidR="00767472" w:rsidRPr="004E0FE3" w:rsidRDefault="00767472" w:rsidP="00767472">
      <w:pPr>
        <w:pStyle w:val="Heading1"/>
        <w:rPr>
          <w:rFonts w:ascii="Roboto" w:hAnsi="Roboto"/>
          <w:sz w:val="44"/>
          <w:szCs w:val="44"/>
        </w:rPr>
      </w:pPr>
      <w:bookmarkStart w:id="3" w:name="_Toc140065158"/>
      <w:r w:rsidRPr="004E0FE3">
        <w:rPr>
          <w:rFonts w:ascii="Roboto" w:hAnsi="Roboto"/>
          <w:sz w:val="44"/>
          <w:szCs w:val="44"/>
        </w:rPr>
        <w:t>Glossary</w:t>
      </w:r>
      <w:bookmarkEnd w:id="2"/>
      <w:bookmarkEnd w:id="3"/>
      <w:r w:rsidRPr="004E0FE3">
        <w:rPr>
          <w:rFonts w:ascii="Roboto" w:hAnsi="Roboto"/>
          <w:sz w:val="44"/>
          <w:szCs w:val="44"/>
        </w:rPr>
        <w:t xml:space="preserve"> </w:t>
      </w:r>
    </w:p>
    <w:p w14:paraId="5F2CF1E2" w14:textId="77777777" w:rsidR="00767472" w:rsidRPr="00863D9F" w:rsidRDefault="00767472" w:rsidP="00767472">
      <w:pPr>
        <w:pStyle w:val="NoSpacing"/>
      </w:pPr>
    </w:p>
    <w:tbl>
      <w:tblPr>
        <w:tblStyle w:val="TableGrid"/>
        <w:tblW w:w="9498" w:type="dxa"/>
        <w:tblInd w:w="-142" w:type="dxa"/>
        <w:tblBorders>
          <w:top w:val="none" w:sz="0" w:space="0" w:color="auto"/>
          <w:bottom w:val="none" w:sz="0" w:space="0" w:color="auto"/>
        </w:tblBorders>
        <w:tblLook w:val="04A0" w:firstRow="1" w:lastRow="0" w:firstColumn="1" w:lastColumn="0" w:noHBand="0" w:noVBand="1"/>
      </w:tblPr>
      <w:tblGrid>
        <w:gridCol w:w="2269"/>
        <w:gridCol w:w="7229"/>
      </w:tblGrid>
      <w:tr w:rsidR="00767472" w:rsidRPr="00863D9F" w14:paraId="43D01096" w14:textId="77777777" w:rsidTr="005E3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left w:val="none" w:sz="0" w:space="0" w:color="auto"/>
              <w:bottom w:val="single" w:sz="4" w:space="0" w:color="D9D9D9" w:themeColor="background1" w:themeShade="D9"/>
              <w:right w:val="none" w:sz="0" w:space="0" w:color="auto"/>
              <w:tl2br w:val="none" w:sz="0" w:space="0" w:color="auto"/>
              <w:tr2bl w:val="none" w:sz="0" w:space="0" w:color="auto"/>
            </w:tcBorders>
          </w:tcPr>
          <w:p w14:paraId="5A485041" w14:textId="77777777" w:rsidR="00767472" w:rsidRPr="00863D9F" w:rsidRDefault="00767472" w:rsidP="005E380D">
            <w:pPr>
              <w:pStyle w:val="Tabletext"/>
            </w:pPr>
            <w:r w:rsidRPr="00863D9F">
              <w:t>Term</w:t>
            </w:r>
          </w:p>
        </w:tc>
        <w:tc>
          <w:tcPr>
            <w:tcW w:w="7229" w:type="dxa"/>
            <w:tcBorders>
              <w:top w:val="single" w:sz="4" w:space="0" w:color="D9D9D9" w:themeColor="background1" w:themeShade="D9"/>
              <w:left w:val="none" w:sz="0" w:space="0" w:color="auto"/>
              <w:bottom w:val="single" w:sz="4" w:space="0" w:color="D9D9D9" w:themeColor="background1" w:themeShade="D9"/>
              <w:right w:val="none" w:sz="0" w:space="0" w:color="auto"/>
              <w:tl2br w:val="none" w:sz="0" w:space="0" w:color="auto"/>
              <w:tr2bl w:val="none" w:sz="0" w:space="0" w:color="auto"/>
            </w:tcBorders>
          </w:tcPr>
          <w:p w14:paraId="233BAFB2" w14:textId="77777777" w:rsidR="00767472" w:rsidRPr="00863D9F" w:rsidRDefault="00767472" w:rsidP="005E380D">
            <w:pPr>
              <w:pStyle w:val="Tabletext"/>
              <w:cnfStyle w:val="100000000000" w:firstRow="1" w:lastRow="0" w:firstColumn="0" w:lastColumn="0" w:oddVBand="0" w:evenVBand="0" w:oddHBand="0" w:evenHBand="0" w:firstRowFirstColumn="0" w:firstRowLastColumn="0" w:lastRowFirstColumn="0" w:lastRowLastColumn="0"/>
            </w:pPr>
            <w:r w:rsidRPr="00863D9F">
              <w:t xml:space="preserve">Definition </w:t>
            </w:r>
          </w:p>
        </w:tc>
      </w:tr>
      <w:tr w:rsidR="00767472" w:rsidRPr="00863D9F" w14:paraId="46043AFE"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20192AED" w14:textId="77777777" w:rsidR="00767472" w:rsidRPr="00863D9F" w:rsidRDefault="00767472" w:rsidP="005E380D">
            <w:pPr>
              <w:pStyle w:val="Tabletext"/>
              <w:rPr>
                <w:b w:val="0"/>
                <w:bCs/>
                <w:szCs w:val="20"/>
              </w:rPr>
            </w:pPr>
            <w:r w:rsidRPr="00863D9F">
              <w:rPr>
                <w:bCs/>
                <w:szCs w:val="20"/>
              </w:rPr>
              <w:t>ACCC</w:t>
            </w:r>
          </w:p>
        </w:tc>
        <w:tc>
          <w:tcPr>
            <w:tcW w:w="7229" w:type="dxa"/>
            <w:tcBorders>
              <w:top w:val="single" w:sz="4" w:space="0" w:color="D9D9D9" w:themeColor="background1" w:themeShade="D9"/>
              <w:bottom w:val="single" w:sz="4" w:space="0" w:color="D9D9D9" w:themeColor="background1" w:themeShade="D9"/>
            </w:tcBorders>
          </w:tcPr>
          <w:p w14:paraId="0090972D"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szCs w:val="20"/>
              </w:rPr>
              <w:t>Australian Competition and Consumer Commission</w:t>
            </w:r>
          </w:p>
        </w:tc>
      </w:tr>
      <w:tr w:rsidR="00767472" w:rsidRPr="00863D9F" w14:paraId="36F5CFAD"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2B57EB1B" w14:textId="77777777" w:rsidR="00767472" w:rsidRPr="00863D9F" w:rsidRDefault="00767472" w:rsidP="005E380D">
            <w:pPr>
              <w:pStyle w:val="Tabletext"/>
              <w:rPr>
                <w:b w:val="0"/>
                <w:bCs/>
                <w:szCs w:val="20"/>
              </w:rPr>
            </w:pPr>
            <w:r w:rsidRPr="00863D9F">
              <w:rPr>
                <w:bCs/>
                <w:szCs w:val="20"/>
              </w:rPr>
              <w:t>ACL</w:t>
            </w:r>
          </w:p>
        </w:tc>
        <w:tc>
          <w:tcPr>
            <w:tcW w:w="7229" w:type="dxa"/>
            <w:tcBorders>
              <w:top w:val="single" w:sz="4" w:space="0" w:color="D9D9D9" w:themeColor="background1" w:themeShade="D9"/>
              <w:bottom w:val="single" w:sz="4" w:space="0" w:color="D9D9D9" w:themeColor="background1" w:themeShade="D9"/>
            </w:tcBorders>
          </w:tcPr>
          <w:p w14:paraId="66E33F07"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szCs w:val="20"/>
              </w:rPr>
              <w:t xml:space="preserve">Australian Consumer Law, Schedule 2 of the </w:t>
            </w:r>
            <w:r w:rsidRPr="00863D9F">
              <w:rPr>
                <w:i/>
                <w:iCs/>
                <w:szCs w:val="20"/>
              </w:rPr>
              <w:t xml:space="preserve">Competition and Consumer Act 2010 </w:t>
            </w:r>
            <w:r w:rsidRPr="00863D9F">
              <w:rPr>
                <w:szCs w:val="20"/>
              </w:rPr>
              <w:t>(Cth)</w:t>
            </w:r>
          </w:p>
        </w:tc>
      </w:tr>
      <w:tr w:rsidR="00767472" w:rsidRPr="00863D9F" w14:paraId="171F0B8D"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0F2CFB6A" w14:textId="77777777" w:rsidR="00767472" w:rsidRPr="00863D9F" w:rsidRDefault="00767472" w:rsidP="005E380D">
            <w:pPr>
              <w:pStyle w:val="Tabletext"/>
              <w:rPr>
                <w:b w:val="0"/>
                <w:bCs/>
                <w:szCs w:val="20"/>
              </w:rPr>
            </w:pPr>
            <w:r w:rsidRPr="00863D9F">
              <w:rPr>
                <w:bCs/>
                <w:szCs w:val="20"/>
              </w:rPr>
              <w:t>Infant</w:t>
            </w:r>
          </w:p>
        </w:tc>
        <w:tc>
          <w:tcPr>
            <w:tcW w:w="7229" w:type="dxa"/>
            <w:tcBorders>
              <w:top w:val="single" w:sz="4" w:space="0" w:color="D9D9D9" w:themeColor="background1" w:themeShade="D9"/>
              <w:bottom w:val="single" w:sz="4" w:space="0" w:color="D9D9D9" w:themeColor="background1" w:themeShade="D9"/>
            </w:tcBorders>
          </w:tcPr>
          <w:p w14:paraId="4BB5C3A2"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szCs w:val="20"/>
              </w:rPr>
              <w:t xml:space="preserve">An infant is typically a child less than 12 months of age, but in this instance may include a child over 12 months where that child may still use the product </w:t>
            </w:r>
          </w:p>
        </w:tc>
      </w:tr>
      <w:tr w:rsidR="00767472" w:rsidRPr="00863D9F" w14:paraId="582C5FCA"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1D0AD0B4" w14:textId="77777777" w:rsidR="00767472" w:rsidRPr="00863D9F" w:rsidRDefault="00767472" w:rsidP="005E380D">
            <w:pPr>
              <w:pStyle w:val="Tabletext"/>
              <w:rPr>
                <w:b w:val="0"/>
                <w:bCs/>
                <w:szCs w:val="20"/>
              </w:rPr>
            </w:pPr>
            <w:r w:rsidRPr="00863D9F">
              <w:rPr>
                <w:bCs/>
                <w:szCs w:val="20"/>
              </w:rPr>
              <w:t>CCA</w:t>
            </w:r>
          </w:p>
        </w:tc>
        <w:tc>
          <w:tcPr>
            <w:tcW w:w="7229" w:type="dxa"/>
            <w:tcBorders>
              <w:top w:val="single" w:sz="4" w:space="0" w:color="D9D9D9" w:themeColor="background1" w:themeShade="D9"/>
              <w:bottom w:val="single" w:sz="4" w:space="0" w:color="D9D9D9" w:themeColor="background1" w:themeShade="D9"/>
            </w:tcBorders>
          </w:tcPr>
          <w:p w14:paraId="42F550DF"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i/>
                <w:iCs/>
                <w:szCs w:val="20"/>
              </w:rPr>
              <w:t>Competition and Consumer Act 2010</w:t>
            </w:r>
            <w:r w:rsidRPr="00863D9F">
              <w:rPr>
                <w:szCs w:val="20"/>
              </w:rPr>
              <w:t xml:space="preserve"> (Cth)</w:t>
            </w:r>
          </w:p>
        </w:tc>
      </w:tr>
      <w:tr w:rsidR="00767472" w:rsidRPr="00863D9F" w14:paraId="3A88F176"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3963ADFC" w14:textId="77777777" w:rsidR="00767472" w:rsidRPr="00863D9F" w:rsidRDefault="00767472" w:rsidP="005E380D">
            <w:pPr>
              <w:pStyle w:val="Tabletext"/>
              <w:rPr>
                <w:bCs/>
                <w:szCs w:val="20"/>
              </w:rPr>
            </w:pPr>
            <w:r w:rsidRPr="00863D9F">
              <w:rPr>
                <w:bCs/>
                <w:szCs w:val="20"/>
              </w:rPr>
              <w:t>Consultation Paper</w:t>
            </w:r>
          </w:p>
        </w:tc>
        <w:tc>
          <w:tcPr>
            <w:tcW w:w="7229" w:type="dxa"/>
            <w:tcBorders>
              <w:top w:val="single" w:sz="4" w:space="0" w:color="D9D9D9" w:themeColor="background1" w:themeShade="D9"/>
              <w:bottom w:val="single" w:sz="4" w:space="0" w:color="D9D9D9" w:themeColor="background1" w:themeShade="D9"/>
            </w:tcBorders>
          </w:tcPr>
          <w:p w14:paraId="40168213"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szCs w:val="20"/>
              </w:rPr>
              <w:t xml:space="preserve">Infant Sleep Products </w:t>
            </w:r>
            <w:hyperlink r:id="rId15" w:history="1">
              <w:r w:rsidRPr="00863D9F">
                <w:rPr>
                  <w:rStyle w:val="Hyperlink"/>
                  <w:sz w:val="20"/>
                  <w:szCs w:val="20"/>
                </w:rPr>
                <w:t>Consultation Paper</w:t>
              </w:r>
            </w:hyperlink>
            <w:r w:rsidRPr="00863D9F">
              <w:rPr>
                <w:szCs w:val="20"/>
              </w:rPr>
              <w:t xml:space="preserve"> published by the ACCC on 11 August 2022</w:t>
            </w:r>
          </w:p>
        </w:tc>
      </w:tr>
      <w:tr w:rsidR="00767472" w:rsidRPr="00863D9F" w14:paraId="4C300816"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32A41E8D" w14:textId="77777777" w:rsidR="00767472" w:rsidRPr="00863D9F" w:rsidRDefault="00767472" w:rsidP="005E380D">
            <w:pPr>
              <w:pStyle w:val="Tabletext"/>
              <w:rPr>
                <w:bCs/>
                <w:szCs w:val="20"/>
              </w:rPr>
            </w:pPr>
            <w:r w:rsidRPr="00863D9F">
              <w:rPr>
                <w:bCs/>
                <w:szCs w:val="20"/>
              </w:rPr>
              <w:t>Expert Reports</w:t>
            </w:r>
          </w:p>
        </w:tc>
        <w:tc>
          <w:tcPr>
            <w:tcW w:w="7229" w:type="dxa"/>
            <w:tcBorders>
              <w:top w:val="single" w:sz="4" w:space="0" w:color="D9D9D9" w:themeColor="background1" w:themeShade="D9"/>
              <w:bottom w:val="single" w:sz="4" w:space="0" w:color="D9D9D9" w:themeColor="background1" w:themeShade="D9"/>
            </w:tcBorders>
          </w:tcPr>
          <w:p w14:paraId="5D34C32A"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szCs w:val="20"/>
              </w:rPr>
              <w:t>ACCC procured expert reports from Dr Tom Whyte, a biomechanical engineer and Professor Rosemary Horne, a paediatrician, asked to comment on the risks identified in the Mannen Report (these reports are not public)</w:t>
            </w:r>
          </w:p>
        </w:tc>
      </w:tr>
      <w:tr w:rsidR="00767472" w:rsidRPr="00863D9F" w14:paraId="545DD088"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69B3080F" w14:textId="77777777" w:rsidR="00767472" w:rsidRPr="00863D9F" w:rsidRDefault="00767472" w:rsidP="005E380D">
            <w:pPr>
              <w:pStyle w:val="Tabletext"/>
              <w:rPr>
                <w:bCs/>
                <w:szCs w:val="20"/>
              </w:rPr>
            </w:pPr>
            <w:r w:rsidRPr="00863D9F">
              <w:rPr>
                <w:bCs/>
                <w:szCs w:val="20"/>
              </w:rPr>
              <w:t>Folding Cots Mandatory Standard</w:t>
            </w:r>
          </w:p>
        </w:tc>
        <w:tc>
          <w:tcPr>
            <w:tcW w:w="7229" w:type="dxa"/>
            <w:tcBorders>
              <w:top w:val="single" w:sz="4" w:space="0" w:color="D9D9D9" w:themeColor="background1" w:themeShade="D9"/>
              <w:bottom w:val="single" w:sz="4" w:space="0" w:color="D9D9D9" w:themeColor="background1" w:themeShade="D9"/>
            </w:tcBorders>
          </w:tcPr>
          <w:p w14:paraId="14492003"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i/>
                <w:iCs/>
                <w:szCs w:val="20"/>
              </w:rPr>
            </w:pPr>
            <w:r w:rsidRPr="00863D9F">
              <w:rPr>
                <w:szCs w:val="20"/>
              </w:rPr>
              <w:t>The mandatory standard for Folding Cots (</w:t>
            </w:r>
            <w:r w:rsidRPr="00863D9F">
              <w:rPr>
                <w:i/>
                <w:iCs/>
                <w:szCs w:val="20"/>
              </w:rPr>
              <w:t>Consumer Product Safety Standard for Children’s Portable Folding Cots 2008</w:t>
            </w:r>
            <w:r w:rsidRPr="00863D9F">
              <w:rPr>
                <w:szCs w:val="20"/>
              </w:rPr>
              <w:t>)</w:t>
            </w:r>
          </w:p>
        </w:tc>
      </w:tr>
      <w:tr w:rsidR="00767472" w:rsidRPr="00863D9F" w14:paraId="6B4C0F66"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2E15C926" w14:textId="77777777" w:rsidR="00767472" w:rsidRPr="00863D9F" w:rsidRDefault="00767472" w:rsidP="005E380D">
            <w:pPr>
              <w:pStyle w:val="Tabletext"/>
              <w:rPr>
                <w:bCs/>
                <w:szCs w:val="20"/>
              </w:rPr>
            </w:pPr>
            <w:r w:rsidRPr="00863D9F">
              <w:rPr>
                <w:szCs w:val="20"/>
              </w:rPr>
              <w:t>Household Cots Mandatory Standard</w:t>
            </w:r>
          </w:p>
        </w:tc>
        <w:tc>
          <w:tcPr>
            <w:tcW w:w="7229" w:type="dxa"/>
            <w:tcBorders>
              <w:top w:val="single" w:sz="4" w:space="0" w:color="D9D9D9" w:themeColor="background1" w:themeShade="D9"/>
              <w:bottom w:val="single" w:sz="4" w:space="0" w:color="D9D9D9" w:themeColor="background1" w:themeShade="D9"/>
            </w:tcBorders>
          </w:tcPr>
          <w:p w14:paraId="14D2852F"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i/>
                <w:iCs/>
                <w:szCs w:val="20"/>
              </w:rPr>
            </w:pPr>
            <w:r w:rsidRPr="00863D9F">
              <w:rPr>
                <w:szCs w:val="20"/>
              </w:rPr>
              <w:t>The mandatory standard for Household Cots (</w:t>
            </w:r>
            <w:r w:rsidRPr="00863D9F">
              <w:rPr>
                <w:i/>
                <w:iCs/>
                <w:szCs w:val="20"/>
              </w:rPr>
              <w:t>Consumer Product Safety Standard: Children’s Household Cots 2005</w:t>
            </w:r>
            <w:r w:rsidRPr="00863D9F">
              <w:rPr>
                <w:szCs w:val="20"/>
              </w:rPr>
              <w:t xml:space="preserve">) </w:t>
            </w:r>
          </w:p>
        </w:tc>
      </w:tr>
      <w:tr w:rsidR="00767472" w:rsidRPr="00863D9F" w14:paraId="416E10F3"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5FF7A627" w14:textId="77777777" w:rsidR="00767472" w:rsidRPr="00863D9F" w:rsidRDefault="00767472" w:rsidP="005E380D">
            <w:pPr>
              <w:pStyle w:val="Tabletext"/>
              <w:rPr>
                <w:b w:val="0"/>
                <w:bCs/>
                <w:szCs w:val="20"/>
              </w:rPr>
            </w:pPr>
            <w:r w:rsidRPr="00863D9F">
              <w:rPr>
                <w:bCs/>
                <w:szCs w:val="20"/>
              </w:rPr>
              <w:t>Issues Paper</w:t>
            </w:r>
          </w:p>
        </w:tc>
        <w:tc>
          <w:tcPr>
            <w:tcW w:w="7229" w:type="dxa"/>
            <w:tcBorders>
              <w:top w:val="single" w:sz="4" w:space="0" w:color="D9D9D9" w:themeColor="background1" w:themeShade="D9"/>
              <w:bottom w:val="single" w:sz="4" w:space="0" w:color="D9D9D9" w:themeColor="background1" w:themeShade="D9"/>
            </w:tcBorders>
          </w:tcPr>
          <w:p w14:paraId="3AAE07CD"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szCs w:val="20"/>
              </w:rPr>
              <w:t xml:space="preserve">Infant Inclined Products </w:t>
            </w:r>
            <w:hyperlink r:id="rId16" w:history="1">
              <w:r w:rsidRPr="00863D9F">
                <w:rPr>
                  <w:rStyle w:val="Hyperlink"/>
                  <w:rFonts w:cs="Arial"/>
                  <w:sz w:val="20"/>
                  <w:szCs w:val="20"/>
                </w:rPr>
                <w:t>Issues Paper</w:t>
              </w:r>
            </w:hyperlink>
            <w:r w:rsidRPr="00863D9F">
              <w:rPr>
                <w:szCs w:val="20"/>
              </w:rPr>
              <w:t xml:space="preserve"> published by the ACCC on 19 July 2021</w:t>
            </w:r>
          </w:p>
        </w:tc>
      </w:tr>
      <w:tr w:rsidR="00767472" w:rsidRPr="00863D9F" w14:paraId="6CFA9CB4"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368D0D13" w14:textId="77777777" w:rsidR="00767472" w:rsidRPr="00863D9F" w:rsidRDefault="00767472" w:rsidP="005E380D">
            <w:pPr>
              <w:pStyle w:val="Tabletext"/>
              <w:rPr>
                <w:b w:val="0"/>
                <w:bCs/>
                <w:szCs w:val="20"/>
                <w:highlight w:val="yellow"/>
              </w:rPr>
            </w:pPr>
            <w:r w:rsidRPr="00863D9F">
              <w:rPr>
                <w:bCs/>
                <w:szCs w:val="20"/>
              </w:rPr>
              <w:t xml:space="preserve">Inclined Sleep Products </w:t>
            </w:r>
          </w:p>
        </w:tc>
        <w:tc>
          <w:tcPr>
            <w:tcW w:w="7229" w:type="dxa"/>
            <w:tcBorders>
              <w:top w:val="single" w:sz="4" w:space="0" w:color="D9D9D9" w:themeColor="background1" w:themeShade="D9"/>
              <w:bottom w:val="single" w:sz="4" w:space="0" w:color="D9D9D9" w:themeColor="background1" w:themeShade="D9"/>
            </w:tcBorders>
          </w:tcPr>
          <w:p w14:paraId="5C3B60BA"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szCs w:val="20"/>
              </w:rPr>
              <w:t xml:space="preserve">An inclined product for infants that position the infant’s head above the horizontal, which is designed, intended, </w:t>
            </w:r>
            <w:proofErr w:type="gramStart"/>
            <w:r w:rsidRPr="00863D9F">
              <w:rPr>
                <w:szCs w:val="20"/>
              </w:rPr>
              <w:t>marketed</w:t>
            </w:r>
            <w:proofErr w:type="gramEnd"/>
            <w:r w:rsidRPr="00863D9F">
              <w:rPr>
                <w:szCs w:val="20"/>
              </w:rPr>
              <w:t xml:space="preserve"> or contains representations that it is suitable for infant sleep, including to soothe or settle</w:t>
            </w:r>
          </w:p>
        </w:tc>
      </w:tr>
      <w:tr w:rsidR="00767472" w:rsidRPr="00863D9F" w14:paraId="2D9ACB51"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655A9D20" w14:textId="77777777" w:rsidR="00767472" w:rsidRPr="00863D9F" w:rsidRDefault="00767472" w:rsidP="005E380D">
            <w:pPr>
              <w:pStyle w:val="Tabletext"/>
              <w:rPr>
                <w:b w:val="0"/>
                <w:bCs/>
                <w:szCs w:val="20"/>
                <w:highlight w:val="yellow"/>
              </w:rPr>
            </w:pPr>
            <w:r w:rsidRPr="00863D9F">
              <w:rPr>
                <w:bCs/>
                <w:szCs w:val="20"/>
              </w:rPr>
              <w:t xml:space="preserve">Inclined Non-sleep Products </w:t>
            </w:r>
          </w:p>
        </w:tc>
        <w:tc>
          <w:tcPr>
            <w:tcW w:w="7229" w:type="dxa"/>
            <w:tcBorders>
              <w:top w:val="single" w:sz="4" w:space="0" w:color="D9D9D9" w:themeColor="background1" w:themeShade="D9"/>
              <w:bottom w:val="single" w:sz="4" w:space="0" w:color="D9D9D9" w:themeColor="background1" w:themeShade="D9"/>
            </w:tcBorders>
          </w:tcPr>
          <w:p w14:paraId="604AB8A7"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szCs w:val="20"/>
              </w:rPr>
              <w:t xml:space="preserve">An inclined product for infants that position the infant’s head above the horizontal, which is not designed, intended, </w:t>
            </w:r>
            <w:proofErr w:type="gramStart"/>
            <w:r w:rsidRPr="00863D9F">
              <w:rPr>
                <w:szCs w:val="20"/>
              </w:rPr>
              <w:t>marketed</w:t>
            </w:r>
            <w:proofErr w:type="gramEnd"/>
            <w:r w:rsidRPr="00863D9F">
              <w:rPr>
                <w:szCs w:val="20"/>
              </w:rPr>
              <w:t xml:space="preserve"> or contain any representations that it is suitable for sleep, but where an infant may still fall asleep</w:t>
            </w:r>
          </w:p>
        </w:tc>
      </w:tr>
      <w:tr w:rsidR="00767472" w:rsidRPr="00863D9F" w14:paraId="0151090A"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2676A471" w14:textId="77777777" w:rsidR="00767472" w:rsidRPr="00863D9F" w:rsidRDefault="00767472" w:rsidP="005E380D">
            <w:pPr>
              <w:pStyle w:val="Tabletext"/>
              <w:rPr>
                <w:b w:val="0"/>
                <w:szCs w:val="20"/>
                <w:highlight w:val="yellow"/>
              </w:rPr>
            </w:pPr>
            <w:r w:rsidRPr="00863D9F">
              <w:rPr>
                <w:szCs w:val="20"/>
              </w:rPr>
              <w:t xml:space="preserve">Infant Sleep Products </w:t>
            </w:r>
          </w:p>
        </w:tc>
        <w:tc>
          <w:tcPr>
            <w:tcW w:w="7229" w:type="dxa"/>
            <w:tcBorders>
              <w:top w:val="single" w:sz="4" w:space="0" w:color="D9D9D9" w:themeColor="background1" w:themeShade="D9"/>
              <w:bottom w:val="single" w:sz="4" w:space="0" w:color="D9D9D9" w:themeColor="background1" w:themeShade="D9"/>
            </w:tcBorders>
          </w:tcPr>
          <w:p w14:paraId="308F3780"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szCs w:val="20"/>
              </w:rPr>
              <w:t>Any product for infants that has a surface on which infants lie which create a sleep environment, including to soothe or settle, including Inclined Sleep Products</w:t>
            </w:r>
          </w:p>
        </w:tc>
      </w:tr>
      <w:tr w:rsidR="00767472" w:rsidRPr="00863D9F" w14:paraId="76BB1F35"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1CD46873" w14:textId="77777777" w:rsidR="00767472" w:rsidRPr="00863D9F" w:rsidRDefault="00767472" w:rsidP="005E380D">
            <w:pPr>
              <w:pStyle w:val="Tabletext"/>
              <w:rPr>
                <w:szCs w:val="20"/>
              </w:rPr>
            </w:pPr>
            <w:r w:rsidRPr="00863D9F">
              <w:rPr>
                <w:bCs/>
                <w:szCs w:val="20"/>
              </w:rPr>
              <w:t>Mandatory information standard</w:t>
            </w:r>
          </w:p>
        </w:tc>
        <w:tc>
          <w:tcPr>
            <w:tcW w:w="7229" w:type="dxa"/>
            <w:tcBorders>
              <w:top w:val="single" w:sz="4" w:space="0" w:color="D9D9D9" w:themeColor="background1" w:themeShade="D9"/>
              <w:bottom w:val="single" w:sz="4" w:space="0" w:color="D9D9D9" w:themeColor="background1" w:themeShade="D9"/>
            </w:tcBorders>
          </w:tcPr>
          <w:p w14:paraId="1BB7D6E0"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szCs w:val="20"/>
              </w:rPr>
              <w:t>Specifies minimum warnings and information products must meet before being supplied</w:t>
            </w:r>
          </w:p>
        </w:tc>
      </w:tr>
      <w:tr w:rsidR="00767472" w:rsidRPr="00863D9F" w14:paraId="74157E68"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03A935EC" w14:textId="77777777" w:rsidR="00767472" w:rsidRPr="00863D9F" w:rsidRDefault="00767472" w:rsidP="005E380D">
            <w:pPr>
              <w:pStyle w:val="Tabletext"/>
              <w:rPr>
                <w:szCs w:val="20"/>
              </w:rPr>
            </w:pPr>
            <w:r w:rsidRPr="00863D9F">
              <w:rPr>
                <w:bCs/>
                <w:szCs w:val="20"/>
              </w:rPr>
              <w:t>Mandatory safety standard</w:t>
            </w:r>
          </w:p>
        </w:tc>
        <w:tc>
          <w:tcPr>
            <w:tcW w:w="7229" w:type="dxa"/>
            <w:tcBorders>
              <w:top w:val="single" w:sz="4" w:space="0" w:color="D9D9D9" w:themeColor="background1" w:themeShade="D9"/>
              <w:bottom w:val="single" w:sz="4" w:space="0" w:color="D9D9D9" w:themeColor="background1" w:themeShade="D9"/>
            </w:tcBorders>
          </w:tcPr>
          <w:p w14:paraId="0D864BC5"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szCs w:val="20"/>
              </w:rPr>
              <w:t>Specifies minimum requirements products must meet before being supplied</w:t>
            </w:r>
          </w:p>
        </w:tc>
      </w:tr>
      <w:tr w:rsidR="00767472" w:rsidRPr="00863D9F" w14:paraId="6DCBACFE"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779F64AC" w14:textId="77777777" w:rsidR="00767472" w:rsidRPr="00863D9F" w:rsidRDefault="00767472" w:rsidP="005E380D">
            <w:pPr>
              <w:pStyle w:val="Tabletext"/>
              <w:rPr>
                <w:b w:val="0"/>
                <w:bCs/>
                <w:szCs w:val="20"/>
                <w:highlight w:val="yellow"/>
              </w:rPr>
            </w:pPr>
            <w:r w:rsidRPr="00863D9F">
              <w:rPr>
                <w:bCs/>
                <w:szCs w:val="20"/>
              </w:rPr>
              <w:t>Mannen Report</w:t>
            </w:r>
          </w:p>
        </w:tc>
        <w:tc>
          <w:tcPr>
            <w:tcW w:w="7229" w:type="dxa"/>
            <w:tcBorders>
              <w:top w:val="single" w:sz="4" w:space="0" w:color="D9D9D9" w:themeColor="background1" w:themeShade="D9"/>
              <w:bottom w:val="single" w:sz="4" w:space="0" w:color="D9D9D9" w:themeColor="background1" w:themeShade="D9"/>
            </w:tcBorders>
          </w:tcPr>
          <w:p w14:paraId="38E6154B"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bCs/>
                <w:szCs w:val="20"/>
              </w:rPr>
            </w:pPr>
            <w:r w:rsidRPr="00863D9F">
              <w:rPr>
                <w:bCs/>
                <w:szCs w:val="20"/>
              </w:rPr>
              <w:t xml:space="preserve">The </w:t>
            </w:r>
            <w:hyperlink r:id="rId17" w:history="1">
              <w:r w:rsidRPr="00863D9F">
                <w:rPr>
                  <w:rStyle w:val="Hyperlink"/>
                  <w:bCs/>
                  <w:sz w:val="20"/>
                  <w:szCs w:val="20"/>
                </w:rPr>
                <w:t>report</w:t>
              </w:r>
            </w:hyperlink>
            <w:r w:rsidRPr="00863D9F">
              <w:rPr>
                <w:bCs/>
                <w:szCs w:val="20"/>
              </w:rPr>
              <w:t xml:space="preserve"> by Erin Mannen PhD commissioned by the </w:t>
            </w:r>
            <w:r w:rsidRPr="00863D9F">
              <w:rPr>
                <w:szCs w:val="20"/>
              </w:rPr>
              <w:t>United States Consumer Product Safety Commission and published on 25 October 2019 to evaluate the design of Inclined Sleep Products</w:t>
            </w:r>
          </w:p>
        </w:tc>
      </w:tr>
      <w:tr w:rsidR="00767472" w:rsidRPr="00863D9F" w14:paraId="7D0265C2" w14:textId="77777777" w:rsidTr="005E380D">
        <w:trPr>
          <w:trHeight w:val="509"/>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39B888CE" w14:textId="77777777" w:rsidR="00767472" w:rsidRPr="00863D9F" w:rsidRDefault="00767472" w:rsidP="005E380D">
            <w:pPr>
              <w:pStyle w:val="Tabletext"/>
              <w:rPr>
                <w:b w:val="0"/>
                <w:szCs w:val="20"/>
              </w:rPr>
            </w:pPr>
            <w:r w:rsidRPr="00863D9F">
              <w:rPr>
                <w:szCs w:val="20"/>
              </w:rPr>
              <w:t>SIDS</w:t>
            </w:r>
          </w:p>
        </w:tc>
        <w:tc>
          <w:tcPr>
            <w:tcW w:w="7229" w:type="dxa"/>
            <w:tcBorders>
              <w:top w:val="single" w:sz="4" w:space="0" w:color="D9D9D9" w:themeColor="background1" w:themeShade="D9"/>
              <w:bottom w:val="single" w:sz="4" w:space="0" w:color="D9D9D9" w:themeColor="background1" w:themeShade="D9"/>
            </w:tcBorders>
          </w:tcPr>
          <w:p w14:paraId="77651C7A"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szCs w:val="20"/>
              </w:rPr>
              <w:t>Sudden Infant Death Syndrome (SIDS) is a subset of Sudden Unexpected Deaths in Infancy (SUDI). Deaths are classified as SIDS where there is no cause that can be found for the death</w:t>
            </w:r>
            <w:r w:rsidRPr="00863D9F">
              <w:rPr>
                <w:rStyle w:val="FootnoteReference"/>
                <w:rFonts w:cs="Arial"/>
                <w:szCs w:val="20"/>
              </w:rPr>
              <w:footnoteReference w:id="1"/>
            </w:r>
          </w:p>
        </w:tc>
      </w:tr>
      <w:tr w:rsidR="00767472" w:rsidRPr="00863D9F" w14:paraId="578A2DEC" w14:textId="77777777" w:rsidTr="005E380D">
        <w:trPr>
          <w:trHeight w:val="509"/>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6006C3FA" w14:textId="77777777" w:rsidR="00767472" w:rsidRPr="00863D9F" w:rsidRDefault="00767472" w:rsidP="005E380D">
            <w:pPr>
              <w:pStyle w:val="Tabletext"/>
              <w:rPr>
                <w:b w:val="0"/>
                <w:szCs w:val="20"/>
              </w:rPr>
            </w:pPr>
            <w:r w:rsidRPr="00863D9F">
              <w:rPr>
                <w:szCs w:val="20"/>
              </w:rPr>
              <w:t>SUDI</w:t>
            </w:r>
          </w:p>
        </w:tc>
        <w:tc>
          <w:tcPr>
            <w:tcW w:w="7229" w:type="dxa"/>
            <w:tcBorders>
              <w:top w:val="single" w:sz="4" w:space="0" w:color="D9D9D9" w:themeColor="background1" w:themeShade="D9"/>
              <w:bottom w:val="single" w:sz="4" w:space="0" w:color="D9D9D9" w:themeColor="background1" w:themeShade="D9"/>
            </w:tcBorders>
          </w:tcPr>
          <w:p w14:paraId="7E993B70"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szCs w:val="20"/>
              </w:rPr>
              <w:t xml:space="preserve">Sudden Unexpected Deaths in Infancy (SUDI) is an umbrella term used to describe the sudden and unexpected death of an infant where the cause is not immediately obvious unless an autopsy is conducted. Following investigation, some deaths may be explained by existing health conditions, genetic </w:t>
            </w:r>
            <w:proofErr w:type="gramStart"/>
            <w:r w:rsidRPr="00863D9F">
              <w:rPr>
                <w:szCs w:val="20"/>
              </w:rPr>
              <w:t>disorders</w:t>
            </w:r>
            <w:proofErr w:type="gramEnd"/>
            <w:r w:rsidRPr="00863D9F">
              <w:rPr>
                <w:szCs w:val="20"/>
              </w:rPr>
              <w:t xml:space="preserve"> or other known causes such as suffocation. Some deaths may remain unexplained and are then attributed to Sudden Infant Death Syndrome (SIDS)</w:t>
            </w:r>
            <w:r w:rsidRPr="00863D9F">
              <w:rPr>
                <w:rStyle w:val="FootnoteReference"/>
                <w:rFonts w:cs="Arial"/>
                <w:szCs w:val="20"/>
              </w:rPr>
              <w:footnoteReference w:id="2"/>
            </w:r>
          </w:p>
        </w:tc>
      </w:tr>
      <w:tr w:rsidR="00767472" w:rsidRPr="00863D9F" w14:paraId="6E5D9C04"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6B10A8D9" w14:textId="77777777" w:rsidR="00767472" w:rsidRPr="00863D9F" w:rsidRDefault="00767472" w:rsidP="005E380D">
            <w:pPr>
              <w:pStyle w:val="Tabletext"/>
              <w:rPr>
                <w:b w:val="0"/>
                <w:bCs/>
                <w:szCs w:val="20"/>
              </w:rPr>
            </w:pPr>
            <w:r w:rsidRPr="00863D9F">
              <w:rPr>
                <w:bCs/>
                <w:szCs w:val="20"/>
              </w:rPr>
              <w:t xml:space="preserve">US-CPSC </w:t>
            </w:r>
          </w:p>
        </w:tc>
        <w:tc>
          <w:tcPr>
            <w:tcW w:w="7229" w:type="dxa"/>
            <w:tcBorders>
              <w:top w:val="single" w:sz="4" w:space="0" w:color="D9D9D9" w:themeColor="background1" w:themeShade="D9"/>
              <w:bottom w:val="single" w:sz="4" w:space="0" w:color="D9D9D9" w:themeColor="background1" w:themeShade="D9"/>
            </w:tcBorders>
          </w:tcPr>
          <w:p w14:paraId="792A7F2B" w14:textId="77777777" w:rsidR="00767472" w:rsidRPr="00863D9F" w:rsidRDefault="00767472" w:rsidP="005E380D">
            <w:pPr>
              <w:pStyle w:val="Tabletext"/>
              <w:cnfStyle w:val="000000000000" w:firstRow="0" w:lastRow="0" w:firstColumn="0" w:lastColumn="0" w:oddVBand="0" w:evenVBand="0" w:oddHBand="0" w:evenHBand="0" w:firstRowFirstColumn="0" w:firstRowLastColumn="0" w:lastRowFirstColumn="0" w:lastRowLastColumn="0"/>
              <w:rPr>
                <w:szCs w:val="20"/>
              </w:rPr>
            </w:pPr>
            <w:r w:rsidRPr="00863D9F">
              <w:rPr>
                <w:szCs w:val="20"/>
              </w:rPr>
              <w:t>United States Consumer Product Safety Commission</w:t>
            </w:r>
          </w:p>
        </w:tc>
      </w:tr>
      <w:tr w:rsidR="00767472" w:rsidRPr="00863D9F" w14:paraId="531658F3" w14:textId="77777777" w:rsidTr="005E380D">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183727FD" w14:textId="77777777" w:rsidR="00767472" w:rsidRPr="00863D9F" w:rsidRDefault="00767472" w:rsidP="005E380D">
            <w:pPr>
              <w:pStyle w:val="Tabletext"/>
              <w:rPr>
                <w:bCs/>
                <w:szCs w:val="20"/>
              </w:rPr>
            </w:pPr>
            <w:r w:rsidRPr="00863D9F">
              <w:rPr>
                <w:bCs/>
                <w:szCs w:val="20"/>
              </w:rPr>
              <w:t>VSL</w:t>
            </w:r>
          </w:p>
        </w:tc>
        <w:tc>
          <w:tcPr>
            <w:tcW w:w="7229" w:type="dxa"/>
            <w:tcBorders>
              <w:top w:val="single" w:sz="4" w:space="0" w:color="D9D9D9" w:themeColor="background1" w:themeShade="D9"/>
              <w:bottom w:val="single" w:sz="4" w:space="0" w:color="D9D9D9" w:themeColor="background1" w:themeShade="D9"/>
            </w:tcBorders>
          </w:tcPr>
          <w:p w14:paraId="1705C2FE" w14:textId="77777777" w:rsidR="00767472" w:rsidRPr="00863D9F" w:rsidRDefault="00767472" w:rsidP="005E380D">
            <w:pPr>
              <w:cnfStyle w:val="000000000000" w:firstRow="0" w:lastRow="0" w:firstColumn="0" w:lastColumn="0" w:oddVBand="0" w:evenVBand="0" w:oddHBand="0" w:evenHBand="0" w:firstRowFirstColumn="0" w:firstRowLastColumn="0" w:lastRowFirstColumn="0" w:lastRowLastColumn="0"/>
              <w:rPr>
                <w:szCs w:val="20"/>
              </w:rPr>
            </w:pPr>
            <w:r w:rsidRPr="00863D9F">
              <w:t>The Value of Statistical Life (VSL) according to the Office of Impact Analysis.</w:t>
            </w:r>
          </w:p>
        </w:tc>
      </w:tr>
    </w:tbl>
    <w:p w14:paraId="1B5F317B" w14:textId="77777777" w:rsidR="00767472" w:rsidRPr="00863D9F" w:rsidRDefault="00767472" w:rsidP="00767472">
      <w:pPr>
        <w:sectPr w:rsidR="00767472" w:rsidRPr="00863D9F" w:rsidSect="00585F74">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440" w:left="1440" w:header="708" w:footer="708" w:gutter="0"/>
          <w:pgNumType w:fmt="lowerRoman"/>
          <w:cols w:space="708"/>
          <w:docGrid w:linePitch="360"/>
        </w:sectPr>
      </w:pPr>
    </w:p>
    <w:p w14:paraId="4F1BC45D" w14:textId="2EBAB999" w:rsidR="00B957E1" w:rsidRPr="004E0FE3" w:rsidRDefault="00B957E1" w:rsidP="00B43520">
      <w:pPr>
        <w:pStyle w:val="Heading1"/>
        <w:spacing w:before="0"/>
        <w:rPr>
          <w:rFonts w:ascii="Roboto" w:hAnsi="Roboto"/>
        </w:rPr>
      </w:pPr>
      <w:bookmarkStart w:id="4" w:name="_Toc139452438"/>
      <w:bookmarkStart w:id="5" w:name="_Toc140065159"/>
      <w:r w:rsidRPr="00B43520">
        <w:rPr>
          <w:rFonts w:asciiTheme="majorHAnsi" w:hAnsiTheme="majorHAnsi"/>
          <w:sz w:val="44"/>
          <w:szCs w:val="44"/>
        </w:rPr>
        <w:t>Scope</w:t>
      </w:r>
      <w:bookmarkEnd w:id="4"/>
      <w:bookmarkEnd w:id="5"/>
    </w:p>
    <w:p w14:paraId="685029F4" w14:textId="77777777" w:rsidR="00767472" w:rsidRPr="00863D9F" w:rsidRDefault="00767472" w:rsidP="00767472">
      <w:r w:rsidRPr="00863D9F">
        <w:t xml:space="preserve">The ACCC’s recommendation addresses the risks associated with infant sleep. The following 3 terms, Infant Sleep Products, Inclined Sleep Products, and Inclined Non-Sleep Products are defined below. </w:t>
      </w:r>
    </w:p>
    <w:p w14:paraId="66665B64" w14:textId="77777777" w:rsidR="00767472" w:rsidRPr="00863D9F" w:rsidRDefault="00767472" w:rsidP="00767472">
      <w:r w:rsidRPr="00863D9F">
        <w:t>‘</w:t>
      </w:r>
      <w:r w:rsidRPr="00863D9F">
        <w:rPr>
          <w:b/>
          <w:bCs/>
        </w:rPr>
        <w:t>Infant Sleep Products</w:t>
      </w:r>
      <w:r w:rsidRPr="00863D9F">
        <w:t xml:space="preserve">’ relates to any product that has a surface on which an infant may lay which creates a sleep environment, including products that soothe or settle. Examples of Infant Sleep Products include infant hammocks, bassinets, bedside sleepers, sleep positioners or wedges, household cots and folding cots. Infant Sleep Products includes Inclined Sleep Products (see below). </w:t>
      </w:r>
    </w:p>
    <w:p w14:paraId="7FCCFECA" w14:textId="77777777" w:rsidR="00767472" w:rsidRPr="00863D9F" w:rsidRDefault="00767472" w:rsidP="00767472">
      <w:r w:rsidRPr="00863D9F">
        <w:t xml:space="preserve">A specific risk the ACCC is intending to address is incline. As such, the ACCC has applied the following additional definitions: </w:t>
      </w:r>
    </w:p>
    <w:p w14:paraId="7657880F" w14:textId="77777777" w:rsidR="00767472" w:rsidRPr="00863D9F" w:rsidRDefault="00767472" w:rsidP="00D21B3B">
      <w:pPr>
        <w:pStyle w:val="Bulletpoint"/>
        <w:numPr>
          <w:ilvl w:val="0"/>
          <w:numId w:val="32"/>
        </w:numPr>
      </w:pPr>
      <w:r w:rsidRPr="00863D9F">
        <w:t>‘</w:t>
      </w:r>
      <w:r w:rsidRPr="00863D9F">
        <w:rPr>
          <w:b/>
          <w:bCs/>
        </w:rPr>
        <w:t>Inclined Sleep Products</w:t>
      </w:r>
      <w:r w:rsidRPr="00863D9F">
        <w:t xml:space="preserve">’ being any inclined product for infants that position the infant’s head above the horizontal, which is designed, intended, </w:t>
      </w:r>
      <w:proofErr w:type="gramStart"/>
      <w:r w:rsidRPr="00863D9F">
        <w:t>marketed</w:t>
      </w:r>
      <w:proofErr w:type="gramEnd"/>
      <w:r w:rsidRPr="00863D9F">
        <w:t xml:space="preserve"> or contains representations that it is suitable for infant sleep. </w:t>
      </w:r>
    </w:p>
    <w:p w14:paraId="170BB13F" w14:textId="77777777" w:rsidR="00767472" w:rsidRPr="00863D9F" w:rsidRDefault="00767472" w:rsidP="00767472">
      <w:pPr>
        <w:pStyle w:val="Bulletpoint"/>
        <w:numPr>
          <w:ilvl w:val="0"/>
          <w:numId w:val="0"/>
        </w:numPr>
        <w:ind w:left="360"/>
      </w:pPr>
      <w:r w:rsidRPr="00863D9F">
        <w:t>Examples of Inclined Sleep Products include inclined sleepers and rockers marketed for sleep.</w:t>
      </w:r>
    </w:p>
    <w:p w14:paraId="369B72DD" w14:textId="77777777" w:rsidR="00767472" w:rsidRPr="00863D9F" w:rsidRDefault="00767472" w:rsidP="00D21B3B">
      <w:pPr>
        <w:pStyle w:val="Bulletpoint"/>
        <w:numPr>
          <w:ilvl w:val="0"/>
          <w:numId w:val="32"/>
        </w:numPr>
      </w:pPr>
      <w:r w:rsidRPr="00863D9F">
        <w:t>‘</w:t>
      </w:r>
      <w:r w:rsidRPr="00863D9F">
        <w:rPr>
          <w:b/>
          <w:bCs/>
        </w:rPr>
        <w:t>Inclined Non-Sleep Products</w:t>
      </w:r>
      <w:r w:rsidRPr="00863D9F">
        <w:t xml:space="preserve">’ being any inclined product for infants that position the infant’s head above the horizontal, which is not designed, intended, </w:t>
      </w:r>
      <w:proofErr w:type="gramStart"/>
      <w:r w:rsidRPr="00863D9F">
        <w:t>marketed</w:t>
      </w:r>
      <w:proofErr w:type="gramEnd"/>
      <w:r w:rsidRPr="00863D9F">
        <w:t xml:space="preserve"> or contain any representations that it is suitable for sleep, but where an infant may still fall asleep. </w:t>
      </w:r>
    </w:p>
    <w:p w14:paraId="04924BE0" w14:textId="77777777" w:rsidR="00767472" w:rsidRPr="00863D9F" w:rsidRDefault="00767472" w:rsidP="00767472">
      <w:pPr>
        <w:pStyle w:val="Bulletpoint"/>
        <w:numPr>
          <w:ilvl w:val="0"/>
          <w:numId w:val="0"/>
        </w:numPr>
        <w:ind w:left="360"/>
      </w:pPr>
      <w:r w:rsidRPr="00863D9F">
        <w:t xml:space="preserve">Examples of Inclined Non-Sleep Products include infant swings and bouncer seats. </w:t>
      </w:r>
    </w:p>
    <w:p w14:paraId="7B757DB4" w14:textId="77777777" w:rsidR="00767472" w:rsidRPr="00863D9F" w:rsidRDefault="00767472" w:rsidP="00767472">
      <w:r w:rsidRPr="00863D9F">
        <w:t xml:space="preserve">The application of these definitions to a particular product will depend on an objective assessment of the product and associated marketing and information. For example, a rocker may fall into both definitions depending on whether the packaging or advertising represents the product as appropriate for sleep, including images showing a baby sleeping.  </w:t>
      </w:r>
    </w:p>
    <w:p w14:paraId="65645E78" w14:textId="77777777" w:rsidR="00767472" w:rsidRPr="00863D9F" w:rsidRDefault="00767472" w:rsidP="00767472">
      <w:r w:rsidRPr="00863D9F">
        <w:t xml:space="preserve">Table 1 illustrates some infant products captured by the product categories. </w:t>
      </w:r>
    </w:p>
    <w:p w14:paraId="56891A01" w14:textId="77777777" w:rsidR="00767472" w:rsidRPr="00863D9F" w:rsidRDefault="00767472" w:rsidP="00767472">
      <w:pPr>
        <w:rPr>
          <w:b/>
          <w:bCs/>
        </w:rPr>
      </w:pPr>
      <w:r w:rsidRPr="00863D9F">
        <w:rPr>
          <w:b/>
          <w:bCs/>
        </w:rPr>
        <w:t xml:space="preserve">Exclusions </w:t>
      </w:r>
    </w:p>
    <w:p w14:paraId="64B76E3B" w14:textId="77777777" w:rsidR="00767472" w:rsidRPr="00863D9F" w:rsidRDefault="00767472" w:rsidP="00767472">
      <w:r w:rsidRPr="00863D9F">
        <w:t>Some products that may fall within these definitions are already subject to mandatory standards, such as baby walkers, beanbags, prams, strollers, and car seats including capsules. The ACCC does not propose to apply further regulation to these products, and they will be excluded from the proposed mandatory safety standard and mandatory information standard.</w:t>
      </w:r>
    </w:p>
    <w:p w14:paraId="6C0CAD6A" w14:textId="77777777" w:rsidR="00767472" w:rsidRPr="00863D9F" w:rsidRDefault="00767472" w:rsidP="00767472">
      <w:r w:rsidRPr="00863D9F">
        <w:t>The definition of Inclined Non-Sleep Products would exclude products where the infant is at 90 degrees from the horizontal such as highchairs or baby seats.</w:t>
      </w:r>
      <w:r w:rsidRPr="00863D9F">
        <w:rPr>
          <w:bCs/>
        </w:rPr>
        <w:t xml:space="preserve"> </w:t>
      </w:r>
      <w:r w:rsidRPr="00863D9F">
        <w:t>However, it may include those products where the product has a feature which has been designed to encourage sleep, for example reclining highchairs.</w:t>
      </w:r>
    </w:p>
    <w:p w14:paraId="3D65AF7F" w14:textId="77777777" w:rsidR="00767472" w:rsidRPr="00863D9F" w:rsidRDefault="00767472" w:rsidP="00767472">
      <w:pPr>
        <w:spacing w:after="240"/>
        <w:rPr>
          <w:highlight w:val="yellow"/>
        </w:rPr>
      </w:pPr>
      <w:r w:rsidRPr="00863D9F">
        <w:t xml:space="preserve">The ACCC also considers medical devices subject to regulation by the Therapeutic Goods Administration and products designed to carry infants on the body of another person (such as slings) are excluded from the proposed regulation. </w:t>
      </w:r>
    </w:p>
    <w:p w14:paraId="010A7BE0" w14:textId="77777777" w:rsidR="00767472" w:rsidRPr="00863D9F" w:rsidRDefault="00767472" w:rsidP="00767472"/>
    <w:p w14:paraId="195A3E2D" w14:textId="77777777" w:rsidR="0056619F" w:rsidRDefault="0056619F">
      <w:pPr>
        <w:rPr>
          <w:b/>
          <w:sz w:val="20"/>
        </w:rPr>
      </w:pPr>
      <w:r>
        <w:br w:type="page"/>
      </w:r>
    </w:p>
    <w:p w14:paraId="293B051B" w14:textId="6753EA8E" w:rsidR="00767472" w:rsidRPr="000F62D1" w:rsidRDefault="00767472" w:rsidP="00B43520">
      <w:pPr>
        <w:pStyle w:val="Tabletitle"/>
      </w:pPr>
      <w:r w:rsidRPr="000F62D1">
        <w:t>Table 1: Images of infant product types (not exclusive)</w:t>
      </w:r>
    </w:p>
    <w:tbl>
      <w:tblPr>
        <w:tblStyle w:val="TableGrid"/>
        <w:tblW w:w="0" w:type="auto"/>
        <w:jc w:val="center"/>
        <w:tblBorders>
          <w:top w:val="none" w:sz="0" w:space="0" w:color="auto"/>
          <w:bottom w:val="none" w:sz="0" w:space="0" w:color="auto"/>
        </w:tblBorders>
        <w:tblLayout w:type="fixed"/>
        <w:tblLook w:val="04A0" w:firstRow="1" w:lastRow="0" w:firstColumn="1" w:lastColumn="0" w:noHBand="0" w:noVBand="1"/>
      </w:tblPr>
      <w:tblGrid>
        <w:gridCol w:w="1701"/>
        <w:gridCol w:w="2547"/>
        <w:gridCol w:w="1989"/>
        <w:gridCol w:w="2496"/>
      </w:tblGrid>
      <w:tr w:rsidR="00767472" w:rsidRPr="00863D9F" w14:paraId="5B1B68ED" w14:textId="77777777" w:rsidTr="005E38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83FB2A3" w14:textId="77777777" w:rsidR="00767472" w:rsidRPr="00863D9F" w:rsidRDefault="00767472" w:rsidP="005E380D">
            <w:r w:rsidRPr="00863D9F">
              <w:t>Product</w:t>
            </w:r>
          </w:p>
        </w:tc>
        <w:tc>
          <w:tcPr>
            <w:tcW w:w="2547" w:type="dxa"/>
            <w:tcBorders>
              <w:right w:val="single" w:sz="4" w:space="0" w:color="BFBFBF" w:themeColor="background1" w:themeShade="BF"/>
            </w:tcBorders>
            <w:vAlign w:val="center"/>
          </w:tcPr>
          <w:p w14:paraId="1EB506E6"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pPr>
            <w:r w:rsidRPr="00863D9F">
              <w:t>Product Example</w:t>
            </w:r>
          </w:p>
        </w:tc>
        <w:tc>
          <w:tcPr>
            <w:tcW w:w="1989" w:type="dxa"/>
            <w:tcBorders>
              <w:left w:val="single" w:sz="4" w:space="0" w:color="BFBFBF" w:themeColor="background1" w:themeShade="BF"/>
            </w:tcBorders>
            <w:vAlign w:val="center"/>
          </w:tcPr>
          <w:p w14:paraId="21D66219"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pPr>
            <w:r w:rsidRPr="00863D9F">
              <w:t>Product</w:t>
            </w:r>
          </w:p>
        </w:tc>
        <w:tc>
          <w:tcPr>
            <w:tcW w:w="2496" w:type="dxa"/>
            <w:vAlign w:val="center"/>
          </w:tcPr>
          <w:p w14:paraId="387E29EE"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pPr>
            <w:r w:rsidRPr="00863D9F">
              <w:t>Product Example</w:t>
            </w:r>
          </w:p>
        </w:tc>
      </w:tr>
      <w:tr w:rsidR="00767472" w:rsidRPr="00863D9F" w14:paraId="0C67AEC3" w14:textId="77777777" w:rsidTr="005E380D">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BFBFBF" w:themeColor="background1" w:themeShade="BF"/>
              <w:bottom w:val="single" w:sz="4" w:space="0" w:color="BFBFBF" w:themeColor="background1" w:themeShade="BF"/>
            </w:tcBorders>
            <w:vAlign w:val="center"/>
          </w:tcPr>
          <w:p w14:paraId="4595214B" w14:textId="77777777" w:rsidR="00767472" w:rsidRPr="00863D9F" w:rsidRDefault="00767472" w:rsidP="005E380D">
            <w:r w:rsidRPr="00863D9F">
              <w:rPr>
                <w:b w:val="0"/>
                <w:bCs/>
              </w:rPr>
              <w:t>Infant hammock</w:t>
            </w:r>
          </w:p>
        </w:tc>
        <w:tc>
          <w:tcPr>
            <w:tcW w:w="2547"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52B01E2" w14:textId="77777777" w:rsidR="00767472" w:rsidRPr="00863D9F" w:rsidRDefault="00767472" w:rsidP="005E380D">
            <w:pPr>
              <w:cnfStyle w:val="000000000000" w:firstRow="0" w:lastRow="0" w:firstColumn="0" w:lastColumn="0" w:oddVBand="0" w:evenVBand="0" w:oddHBand="0" w:evenHBand="0" w:firstRowFirstColumn="0" w:firstRowLastColumn="0" w:lastRowFirstColumn="0" w:lastRowLastColumn="0"/>
            </w:pPr>
            <w:r w:rsidRPr="00863D9F">
              <w:rPr>
                <w:noProof/>
                <w:lang w:eastAsia="en-AU"/>
              </w:rPr>
              <w:drawing>
                <wp:anchor distT="0" distB="0" distL="114300" distR="114300" simplePos="0" relativeHeight="251661312" behindDoc="0" locked="0" layoutInCell="1" allowOverlap="1" wp14:anchorId="4FFBA023" wp14:editId="033B2FDE">
                  <wp:simplePos x="0" y="0"/>
                  <wp:positionH relativeFrom="column">
                    <wp:posOffset>157908</wp:posOffset>
                  </wp:positionH>
                  <wp:positionV relativeFrom="paragraph">
                    <wp:posOffset>135860</wp:posOffset>
                  </wp:positionV>
                  <wp:extent cx="1081405" cy="1424305"/>
                  <wp:effectExtent l="0" t="0" r="4445" b="4445"/>
                  <wp:wrapSquare wrapText="bothSides"/>
                  <wp:docPr id="25" name="Picture 25"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lt=&quot;&quo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81405" cy="1424305"/>
                          </a:xfrm>
                          <a:prstGeom prst="rect">
                            <a:avLst/>
                          </a:prstGeom>
                        </pic:spPr>
                      </pic:pic>
                    </a:graphicData>
                  </a:graphic>
                  <wp14:sizeRelH relativeFrom="margin">
                    <wp14:pctWidth>0</wp14:pctWidth>
                  </wp14:sizeRelH>
                  <wp14:sizeRelV relativeFrom="margin">
                    <wp14:pctHeight>0</wp14:pctHeight>
                  </wp14:sizeRelV>
                </wp:anchor>
              </w:drawing>
            </w: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DF3E117" w14:textId="77777777" w:rsidR="00767472" w:rsidRPr="00863D9F" w:rsidRDefault="00767472" w:rsidP="005E380D">
            <w:pPr>
              <w:cnfStyle w:val="000000000000" w:firstRow="0" w:lastRow="0" w:firstColumn="0" w:lastColumn="0" w:oddVBand="0" w:evenVBand="0" w:oddHBand="0" w:evenHBand="0" w:firstRowFirstColumn="0" w:firstRowLastColumn="0" w:lastRowFirstColumn="0" w:lastRowLastColumn="0"/>
            </w:pPr>
            <w:r w:rsidRPr="00863D9F">
              <w:rPr>
                <w:bCs/>
              </w:rPr>
              <w:t>Inclined sleeper/ bouncer/rocker</w:t>
            </w:r>
          </w:p>
        </w:tc>
        <w:tc>
          <w:tcPr>
            <w:tcW w:w="2496" w:type="dxa"/>
            <w:tcBorders>
              <w:top w:val="single" w:sz="4" w:space="0" w:color="BFBFBF" w:themeColor="background1" w:themeShade="BF"/>
              <w:bottom w:val="single" w:sz="4" w:space="0" w:color="BFBFBF" w:themeColor="background1" w:themeShade="BF"/>
            </w:tcBorders>
          </w:tcPr>
          <w:p w14:paraId="700F0CB7" w14:textId="77777777" w:rsidR="00767472" w:rsidRPr="00863D9F" w:rsidRDefault="00767472" w:rsidP="005E380D">
            <w:pPr>
              <w:jc w:val="center"/>
              <w:cnfStyle w:val="000000000000" w:firstRow="0" w:lastRow="0" w:firstColumn="0" w:lastColumn="0" w:oddVBand="0" w:evenVBand="0" w:oddHBand="0" w:evenHBand="0" w:firstRowFirstColumn="0" w:firstRowLastColumn="0" w:lastRowFirstColumn="0" w:lastRowLastColumn="0"/>
            </w:pPr>
            <w:r w:rsidRPr="00863D9F">
              <w:rPr>
                <w:noProof/>
                <w:lang w:eastAsia="en-AU"/>
              </w:rPr>
              <w:drawing>
                <wp:inline distT="0" distB="0" distL="0" distR="0" wp14:anchorId="10A80043" wp14:editId="181ECF0E">
                  <wp:extent cx="1449321" cy="1449321"/>
                  <wp:effectExtent l="0" t="0" r="0" b="0"/>
                  <wp:docPr id="26" name="Picture 26"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lt=&quot;&quo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6043" cy="1466043"/>
                          </a:xfrm>
                          <a:prstGeom prst="rect">
                            <a:avLst/>
                          </a:prstGeom>
                        </pic:spPr>
                      </pic:pic>
                    </a:graphicData>
                  </a:graphic>
                </wp:inline>
              </w:drawing>
            </w:r>
          </w:p>
        </w:tc>
      </w:tr>
      <w:tr w:rsidR="00767472" w:rsidRPr="00863D9F" w14:paraId="425EA812" w14:textId="77777777" w:rsidTr="005E380D">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BFBFBF" w:themeColor="background1" w:themeShade="BF"/>
              <w:bottom w:val="single" w:sz="4" w:space="0" w:color="BFBFBF" w:themeColor="background1" w:themeShade="BF"/>
            </w:tcBorders>
            <w:vAlign w:val="center"/>
          </w:tcPr>
          <w:p w14:paraId="00A82012" w14:textId="77777777" w:rsidR="00767472" w:rsidRPr="00863D9F" w:rsidRDefault="00767472" w:rsidP="005E380D">
            <w:r w:rsidRPr="00863D9F">
              <w:rPr>
                <w:b w:val="0"/>
                <w:bCs/>
              </w:rPr>
              <w:t>Infant lounger</w:t>
            </w:r>
          </w:p>
        </w:tc>
        <w:tc>
          <w:tcPr>
            <w:tcW w:w="2547"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CE312FA" w14:textId="77777777" w:rsidR="00767472" w:rsidRPr="00863D9F" w:rsidRDefault="00767472" w:rsidP="005E380D">
            <w:pPr>
              <w:cnfStyle w:val="000000000000" w:firstRow="0" w:lastRow="0" w:firstColumn="0" w:lastColumn="0" w:oddVBand="0" w:evenVBand="0" w:oddHBand="0" w:evenHBand="0" w:firstRowFirstColumn="0" w:firstRowLastColumn="0" w:lastRowFirstColumn="0" w:lastRowLastColumn="0"/>
              <w:rPr>
                <w:noProof/>
                <w:lang w:eastAsia="en-AU"/>
              </w:rPr>
            </w:pPr>
          </w:p>
          <w:p w14:paraId="3E5BE2C1" w14:textId="77777777" w:rsidR="00767472" w:rsidRPr="00863D9F" w:rsidRDefault="00767472" w:rsidP="005E380D">
            <w:pPr>
              <w:cnfStyle w:val="000000000000" w:firstRow="0" w:lastRow="0" w:firstColumn="0" w:lastColumn="0" w:oddVBand="0" w:evenVBand="0" w:oddHBand="0" w:evenHBand="0" w:firstRowFirstColumn="0" w:firstRowLastColumn="0" w:lastRowFirstColumn="0" w:lastRowLastColumn="0"/>
            </w:pPr>
            <w:r w:rsidRPr="00863D9F">
              <w:rPr>
                <w:noProof/>
                <w:lang w:eastAsia="en-AU"/>
              </w:rPr>
              <w:drawing>
                <wp:inline distT="0" distB="0" distL="0" distR="0" wp14:anchorId="70FA05DA" wp14:editId="42BF7E1F">
                  <wp:extent cx="1465434" cy="962025"/>
                  <wp:effectExtent l="0" t="0" r="1905" b="0"/>
                  <wp:docPr id="27" name="Picture 27"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lt=&quot;&quot;"/>
                          <pic:cNvPicPr/>
                        </pic:nvPicPr>
                        <pic:blipFill rotWithShape="1">
                          <a:blip r:embed="rId26" cstate="print">
                            <a:extLst>
                              <a:ext uri="{28A0092B-C50C-407E-A947-70E740481C1C}">
                                <a14:useLocalDpi xmlns:a14="http://schemas.microsoft.com/office/drawing/2010/main" val="0"/>
                              </a:ext>
                            </a:extLst>
                          </a:blip>
                          <a:srcRect l="6672" t="10432" r="10224" b="15644"/>
                          <a:stretch/>
                        </pic:blipFill>
                        <pic:spPr bwMode="auto">
                          <a:xfrm>
                            <a:off x="0" y="0"/>
                            <a:ext cx="1465434" cy="962025"/>
                          </a:xfrm>
                          <a:prstGeom prst="rect">
                            <a:avLst/>
                          </a:prstGeom>
                          <a:ln>
                            <a:noFill/>
                          </a:ln>
                          <a:extLst>
                            <a:ext uri="{53640926-AAD7-44D8-BBD7-CCE9431645EC}">
                              <a14:shadowObscured xmlns:a14="http://schemas.microsoft.com/office/drawing/2010/main"/>
                            </a:ext>
                          </a:extLst>
                        </pic:spPr>
                      </pic:pic>
                    </a:graphicData>
                  </a:graphic>
                </wp:inline>
              </w:drawing>
            </w: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6616D490" w14:textId="77777777" w:rsidR="00767472" w:rsidRPr="00863D9F" w:rsidRDefault="00767472" w:rsidP="005E380D">
            <w:pPr>
              <w:cnfStyle w:val="000000000000" w:firstRow="0" w:lastRow="0" w:firstColumn="0" w:lastColumn="0" w:oddVBand="0" w:evenVBand="0" w:oddHBand="0" w:evenHBand="0" w:firstRowFirstColumn="0" w:firstRowLastColumn="0" w:lastRowFirstColumn="0" w:lastRowLastColumn="0"/>
            </w:pPr>
            <w:r w:rsidRPr="00863D9F">
              <w:t>Infant swing</w:t>
            </w:r>
          </w:p>
        </w:tc>
        <w:tc>
          <w:tcPr>
            <w:tcW w:w="2496" w:type="dxa"/>
            <w:tcBorders>
              <w:top w:val="single" w:sz="4" w:space="0" w:color="BFBFBF" w:themeColor="background1" w:themeShade="BF"/>
              <w:bottom w:val="single" w:sz="4" w:space="0" w:color="BFBFBF" w:themeColor="background1" w:themeShade="BF"/>
            </w:tcBorders>
          </w:tcPr>
          <w:p w14:paraId="14E578F9" w14:textId="77777777" w:rsidR="00767472" w:rsidRPr="00863D9F" w:rsidRDefault="00767472" w:rsidP="005E380D">
            <w:pPr>
              <w:cnfStyle w:val="000000000000" w:firstRow="0" w:lastRow="0" w:firstColumn="0" w:lastColumn="0" w:oddVBand="0" w:evenVBand="0" w:oddHBand="0" w:evenHBand="0" w:firstRowFirstColumn="0" w:firstRowLastColumn="0" w:lastRowFirstColumn="0" w:lastRowLastColumn="0"/>
            </w:pPr>
            <w:r w:rsidRPr="00863D9F">
              <w:rPr>
                <w:noProof/>
                <w:lang w:eastAsia="en-AU"/>
              </w:rPr>
              <w:drawing>
                <wp:inline distT="0" distB="0" distL="0" distR="0" wp14:anchorId="475643E7" wp14:editId="5377CA2F">
                  <wp:extent cx="1532470" cy="1414130"/>
                  <wp:effectExtent l="0" t="0" r="0" b="0"/>
                  <wp:docPr id="28" name="Picture 28"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lt=&quot;&quo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68063" cy="1446974"/>
                          </a:xfrm>
                          <a:prstGeom prst="rect">
                            <a:avLst/>
                          </a:prstGeom>
                        </pic:spPr>
                      </pic:pic>
                    </a:graphicData>
                  </a:graphic>
                </wp:inline>
              </w:drawing>
            </w:r>
          </w:p>
        </w:tc>
      </w:tr>
      <w:tr w:rsidR="00767472" w:rsidRPr="00863D9F" w14:paraId="459E2C1C" w14:textId="77777777" w:rsidTr="005E380D">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BFBFBF" w:themeColor="background1" w:themeShade="BF"/>
              <w:bottom w:val="single" w:sz="4" w:space="0" w:color="BFBFBF" w:themeColor="background1" w:themeShade="BF"/>
            </w:tcBorders>
            <w:vAlign w:val="center"/>
          </w:tcPr>
          <w:p w14:paraId="44629C8C" w14:textId="77777777" w:rsidR="00767472" w:rsidRPr="00863D9F" w:rsidRDefault="00767472" w:rsidP="005E380D">
            <w:pPr>
              <w:rPr>
                <w:bCs/>
              </w:rPr>
            </w:pPr>
            <w:r w:rsidRPr="00863D9F">
              <w:rPr>
                <w:b w:val="0"/>
              </w:rPr>
              <w:t>Bassinet</w:t>
            </w:r>
          </w:p>
        </w:tc>
        <w:tc>
          <w:tcPr>
            <w:tcW w:w="2547"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61C70D1" w14:textId="77777777" w:rsidR="00767472" w:rsidRPr="00863D9F" w:rsidRDefault="00767472" w:rsidP="005E380D">
            <w:pPr>
              <w:cnfStyle w:val="000000000000" w:firstRow="0" w:lastRow="0" w:firstColumn="0" w:lastColumn="0" w:oddVBand="0" w:evenVBand="0" w:oddHBand="0" w:evenHBand="0" w:firstRowFirstColumn="0" w:firstRowLastColumn="0" w:lastRowFirstColumn="0" w:lastRowLastColumn="0"/>
              <w:rPr>
                <w:noProof/>
                <w:lang w:eastAsia="en-AU"/>
              </w:rPr>
            </w:pPr>
            <w:r w:rsidRPr="00863D9F">
              <w:rPr>
                <w:noProof/>
                <w:lang w:eastAsia="en-AU"/>
              </w:rPr>
              <w:drawing>
                <wp:inline distT="0" distB="0" distL="0" distR="0" wp14:anchorId="3594620A" wp14:editId="1881E1DE">
                  <wp:extent cx="1448554" cy="1289190"/>
                  <wp:effectExtent l="0" t="0" r="0" b="6350"/>
                  <wp:docPr id="29" name="Picture 29"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lt=&quot;&quo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65302" cy="1304096"/>
                          </a:xfrm>
                          <a:prstGeom prst="rect">
                            <a:avLst/>
                          </a:prstGeom>
                        </pic:spPr>
                      </pic:pic>
                    </a:graphicData>
                  </a:graphic>
                </wp:inline>
              </w:drawing>
            </w: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C20C01D" w14:textId="77777777" w:rsidR="00767472" w:rsidRPr="00863D9F" w:rsidRDefault="00767472" w:rsidP="005E380D">
            <w:pPr>
              <w:cnfStyle w:val="000000000000" w:firstRow="0" w:lastRow="0" w:firstColumn="0" w:lastColumn="0" w:oddVBand="0" w:evenVBand="0" w:oddHBand="0" w:evenHBand="0" w:firstRowFirstColumn="0" w:firstRowLastColumn="0" w:lastRowFirstColumn="0" w:lastRowLastColumn="0"/>
            </w:pPr>
            <w:r w:rsidRPr="00863D9F">
              <w:t>Folding cot</w:t>
            </w:r>
          </w:p>
        </w:tc>
        <w:tc>
          <w:tcPr>
            <w:tcW w:w="2496" w:type="dxa"/>
            <w:tcBorders>
              <w:top w:val="single" w:sz="4" w:space="0" w:color="BFBFBF" w:themeColor="background1" w:themeShade="BF"/>
              <w:bottom w:val="single" w:sz="4" w:space="0" w:color="BFBFBF" w:themeColor="background1" w:themeShade="BF"/>
            </w:tcBorders>
          </w:tcPr>
          <w:p w14:paraId="6F770F98" w14:textId="77777777" w:rsidR="00767472" w:rsidRPr="00863D9F" w:rsidRDefault="00767472" w:rsidP="005E380D">
            <w:pPr>
              <w:cnfStyle w:val="000000000000" w:firstRow="0" w:lastRow="0" w:firstColumn="0" w:lastColumn="0" w:oddVBand="0" w:evenVBand="0" w:oddHBand="0" w:evenHBand="0" w:firstRowFirstColumn="0" w:firstRowLastColumn="0" w:lastRowFirstColumn="0" w:lastRowLastColumn="0"/>
              <w:rPr>
                <w:noProof/>
                <w:lang w:eastAsia="en-AU"/>
              </w:rPr>
            </w:pPr>
            <w:r w:rsidRPr="00863D9F">
              <w:rPr>
                <w:noProof/>
                <w:lang w:eastAsia="en-AU"/>
              </w:rPr>
              <w:drawing>
                <wp:inline distT="0" distB="0" distL="0" distR="0" wp14:anchorId="49C2B905" wp14:editId="4E40D792">
                  <wp:extent cx="1452083" cy="1286540"/>
                  <wp:effectExtent l="0" t="0" r="0" b="8890"/>
                  <wp:docPr id="30" name="Picture 30"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lt=&quot;&quo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57266" cy="1291132"/>
                          </a:xfrm>
                          <a:prstGeom prst="rect">
                            <a:avLst/>
                          </a:prstGeom>
                        </pic:spPr>
                      </pic:pic>
                    </a:graphicData>
                  </a:graphic>
                </wp:inline>
              </w:drawing>
            </w:r>
          </w:p>
        </w:tc>
      </w:tr>
      <w:tr w:rsidR="00767472" w:rsidRPr="00863D9F" w14:paraId="20DB6FDC" w14:textId="77777777" w:rsidTr="005E380D">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BFBFBF" w:themeColor="background1" w:themeShade="BF"/>
              <w:bottom w:val="single" w:sz="4" w:space="0" w:color="BFBFBF" w:themeColor="background1" w:themeShade="BF"/>
            </w:tcBorders>
            <w:vAlign w:val="center"/>
          </w:tcPr>
          <w:p w14:paraId="600F0B9B" w14:textId="77777777" w:rsidR="00767472" w:rsidRPr="00863D9F" w:rsidRDefault="00767472" w:rsidP="005E380D">
            <w:pPr>
              <w:rPr>
                <w:bCs/>
              </w:rPr>
            </w:pPr>
            <w:r w:rsidRPr="00863D9F">
              <w:rPr>
                <w:b w:val="0"/>
              </w:rPr>
              <w:t>Household cot</w:t>
            </w:r>
          </w:p>
        </w:tc>
        <w:tc>
          <w:tcPr>
            <w:tcW w:w="2547"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C3D268E" w14:textId="77777777" w:rsidR="00767472" w:rsidRPr="00863D9F" w:rsidRDefault="00767472" w:rsidP="005E380D">
            <w:pPr>
              <w:jc w:val="center"/>
              <w:cnfStyle w:val="000000000000" w:firstRow="0" w:lastRow="0" w:firstColumn="0" w:lastColumn="0" w:oddVBand="0" w:evenVBand="0" w:oddHBand="0" w:evenHBand="0" w:firstRowFirstColumn="0" w:firstRowLastColumn="0" w:lastRowFirstColumn="0" w:lastRowLastColumn="0"/>
              <w:rPr>
                <w:noProof/>
                <w:lang w:eastAsia="en-AU"/>
              </w:rPr>
            </w:pPr>
            <w:r w:rsidRPr="00863D9F">
              <w:rPr>
                <w:noProof/>
                <w:lang w:eastAsia="en-AU"/>
              </w:rPr>
              <w:drawing>
                <wp:inline distT="0" distB="0" distL="0" distR="0" wp14:anchorId="289AE551" wp14:editId="595C0FC5">
                  <wp:extent cx="1571811" cy="1392866"/>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3886" cy="1394704"/>
                          </a:xfrm>
                          <a:prstGeom prst="rect">
                            <a:avLst/>
                          </a:prstGeom>
                          <a:noFill/>
                        </pic:spPr>
                      </pic:pic>
                    </a:graphicData>
                  </a:graphic>
                </wp:inline>
              </w:drawing>
            </w:r>
          </w:p>
        </w:tc>
        <w:tc>
          <w:tcPr>
            <w:tcW w:w="1989" w:type="dxa"/>
            <w:tcBorders>
              <w:top w:val="single" w:sz="4" w:space="0" w:color="BFBFBF" w:themeColor="background1" w:themeShade="BF"/>
              <w:left w:val="single" w:sz="4" w:space="0" w:color="BFBFBF" w:themeColor="background1" w:themeShade="BF"/>
            </w:tcBorders>
            <w:vAlign w:val="center"/>
          </w:tcPr>
          <w:p w14:paraId="10FCE8FC" w14:textId="77777777" w:rsidR="00767472" w:rsidRPr="00863D9F" w:rsidRDefault="00767472" w:rsidP="005E380D">
            <w:pPr>
              <w:cnfStyle w:val="000000000000" w:firstRow="0" w:lastRow="0" w:firstColumn="0" w:lastColumn="0" w:oddVBand="0" w:evenVBand="0" w:oddHBand="0" w:evenHBand="0" w:firstRowFirstColumn="0" w:firstRowLastColumn="0" w:lastRowFirstColumn="0" w:lastRowLastColumn="0"/>
            </w:pPr>
          </w:p>
        </w:tc>
        <w:tc>
          <w:tcPr>
            <w:tcW w:w="2496" w:type="dxa"/>
            <w:tcBorders>
              <w:top w:val="single" w:sz="4" w:space="0" w:color="BFBFBF" w:themeColor="background1" w:themeShade="BF"/>
            </w:tcBorders>
          </w:tcPr>
          <w:p w14:paraId="5182C564" w14:textId="77777777" w:rsidR="00767472" w:rsidRPr="00863D9F" w:rsidRDefault="00767472" w:rsidP="005E380D">
            <w:pPr>
              <w:cnfStyle w:val="000000000000" w:firstRow="0" w:lastRow="0" w:firstColumn="0" w:lastColumn="0" w:oddVBand="0" w:evenVBand="0" w:oddHBand="0" w:evenHBand="0" w:firstRowFirstColumn="0" w:firstRowLastColumn="0" w:lastRowFirstColumn="0" w:lastRowLastColumn="0"/>
              <w:rPr>
                <w:noProof/>
                <w:lang w:eastAsia="en-AU"/>
              </w:rPr>
            </w:pPr>
          </w:p>
        </w:tc>
      </w:tr>
    </w:tbl>
    <w:p w14:paraId="1D5F1F4B" w14:textId="77777777" w:rsidR="00767472" w:rsidRPr="00863D9F" w:rsidRDefault="00767472" w:rsidP="00767472"/>
    <w:p w14:paraId="654047F3" w14:textId="77777777" w:rsidR="00767472" w:rsidRPr="00863D9F" w:rsidRDefault="00767472" w:rsidP="00767472">
      <w:pPr>
        <w:rPr>
          <w:rFonts w:eastAsiaTheme="majorEastAsia" w:cstheme="majorBidi"/>
          <w:bCs/>
          <w:color w:val="342D8C" w:themeColor="accent1"/>
          <w:sz w:val="36"/>
          <w:szCs w:val="28"/>
        </w:rPr>
      </w:pPr>
      <w:r w:rsidRPr="00863D9F">
        <w:br w:type="page"/>
      </w:r>
    </w:p>
    <w:p w14:paraId="6E152EF5" w14:textId="6B89053A" w:rsidR="00767472" w:rsidRPr="0056619F" w:rsidRDefault="00767472" w:rsidP="00767472">
      <w:pPr>
        <w:pStyle w:val="Numbered1"/>
        <w:numPr>
          <w:ilvl w:val="0"/>
          <w:numId w:val="0"/>
        </w:numPr>
        <w:rPr>
          <w:rFonts w:ascii="Roboto" w:hAnsi="Roboto"/>
          <w:sz w:val="44"/>
          <w:szCs w:val="44"/>
        </w:rPr>
      </w:pPr>
      <w:bookmarkStart w:id="6" w:name="_Toc139452439"/>
      <w:bookmarkStart w:id="7" w:name="_Toc140065160"/>
      <w:r w:rsidRPr="0056619F">
        <w:rPr>
          <w:rFonts w:ascii="Roboto" w:hAnsi="Roboto"/>
          <w:sz w:val="44"/>
          <w:szCs w:val="44"/>
        </w:rPr>
        <w:t>Mandatory safety standard and mandatory information standard recommendation</w:t>
      </w:r>
      <w:bookmarkEnd w:id="6"/>
      <w:bookmarkEnd w:id="7"/>
    </w:p>
    <w:p w14:paraId="3DB76C9B" w14:textId="77777777" w:rsidR="00767472" w:rsidRPr="0056619F" w:rsidRDefault="00767472" w:rsidP="00767472">
      <w:pPr>
        <w:pStyle w:val="Numbered1"/>
        <w:numPr>
          <w:ilvl w:val="0"/>
          <w:numId w:val="0"/>
        </w:numPr>
        <w:ind w:left="360" w:hanging="360"/>
        <w:rPr>
          <w:rFonts w:ascii="Roboto" w:hAnsi="Roboto"/>
          <w:sz w:val="44"/>
          <w:szCs w:val="44"/>
        </w:rPr>
      </w:pPr>
      <w:bookmarkStart w:id="8" w:name="_Toc139452440"/>
      <w:bookmarkStart w:id="9" w:name="_Toc140065161"/>
      <w:r w:rsidRPr="0056619F">
        <w:rPr>
          <w:rFonts w:ascii="Roboto" w:hAnsi="Roboto"/>
          <w:sz w:val="44"/>
          <w:szCs w:val="44"/>
        </w:rPr>
        <w:t>Executive summary</w:t>
      </w:r>
      <w:bookmarkEnd w:id="8"/>
      <w:bookmarkEnd w:id="9"/>
      <w:r w:rsidRPr="0056619F">
        <w:rPr>
          <w:rFonts w:ascii="Roboto" w:hAnsi="Roboto"/>
          <w:sz w:val="44"/>
          <w:szCs w:val="44"/>
        </w:rPr>
        <w:t xml:space="preserve"> </w:t>
      </w:r>
    </w:p>
    <w:p w14:paraId="40CE5D09" w14:textId="77777777" w:rsidR="00767472" w:rsidRPr="00863D9F" w:rsidRDefault="00767472" w:rsidP="00767472">
      <w:r w:rsidRPr="00863D9F">
        <w:t>The ACCC recommends the Minister:</w:t>
      </w:r>
    </w:p>
    <w:p w14:paraId="47D3FD3B" w14:textId="77777777" w:rsidR="00767472" w:rsidRPr="00863D9F" w:rsidRDefault="00767472" w:rsidP="00D21B3B">
      <w:pPr>
        <w:pStyle w:val="Bulletpoint"/>
        <w:numPr>
          <w:ilvl w:val="0"/>
          <w:numId w:val="32"/>
        </w:numPr>
      </w:pPr>
      <w:r w:rsidRPr="00863D9F">
        <w:t xml:space="preserve">Make a mandatory safety standard for Infant Sleep Products, including Inclined Sleep Products, with an 18-month transition period. This would introduce testing and design requirements to address the risks associated with incline, curvature, </w:t>
      </w:r>
      <w:proofErr w:type="gramStart"/>
      <w:r w:rsidRPr="00863D9F">
        <w:t>rigidity</w:t>
      </w:r>
      <w:proofErr w:type="gramEnd"/>
      <w:r w:rsidRPr="00863D9F">
        <w:t xml:space="preserve"> and material used, in addition to established requirements such as stability. </w:t>
      </w:r>
    </w:p>
    <w:p w14:paraId="2AA6ADE8" w14:textId="77777777" w:rsidR="00767472" w:rsidRPr="00863D9F" w:rsidRDefault="00767472" w:rsidP="00D21B3B">
      <w:pPr>
        <w:pStyle w:val="Bulletpoint"/>
        <w:numPr>
          <w:ilvl w:val="0"/>
          <w:numId w:val="32"/>
        </w:numPr>
      </w:pPr>
      <w:r w:rsidRPr="00863D9F">
        <w:t xml:space="preserve">Make a mandatory information standard for Infant Sleep Products, including Inclined Sleep Products, and Inclined Non-Sleep Products with an 18-month transition period before full operation. This would include safety information and </w:t>
      </w:r>
      <w:proofErr w:type="gramStart"/>
      <w:r w:rsidRPr="00863D9F">
        <w:t>warnings</w:t>
      </w:r>
      <w:proofErr w:type="gramEnd"/>
      <w:r w:rsidRPr="00863D9F">
        <w:t xml:space="preserve"> so consumers are better informed of infant safe sleep practices and related risks.  </w:t>
      </w:r>
    </w:p>
    <w:p w14:paraId="576A5F38" w14:textId="77777777" w:rsidR="00767472" w:rsidRPr="00863D9F" w:rsidRDefault="00767472" w:rsidP="00D21B3B">
      <w:pPr>
        <w:pStyle w:val="Bulletpoint"/>
        <w:numPr>
          <w:ilvl w:val="0"/>
          <w:numId w:val="32"/>
        </w:numPr>
      </w:pPr>
      <w:r w:rsidRPr="00863D9F">
        <w:t xml:space="preserve">Revoke the </w:t>
      </w:r>
      <w:r w:rsidRPr="00863D9F">
        <w:rPr>
          <w:i/>
          <w:iCs/>
        </w:rPr>
        <w:t>Consumer Product Safety Standard: Children’s Household Cots 2005</w:t>
      </w:r>
      <w:r w:rsidRPr="00863D9F">
        <w:t xml:space="preserve"> mandatory safety standard and the </w:t>
      </w:r>
      <w:r w:rsidRPr="00863D9F">
        <w:rPr>
          <w:i/>
          <w:iCs/>
        </w:rPr>
        <w:t xml:space="preserve">Consumer Product Safety Standard for Children’s Portable Folding Cots 2008 </w:t>
      </w:r>
      <w:r w:rsidRPr="00863D9F">
        <w:t xml:space="preserve">mandatory safety standard which would then be captured by the new mandatory safety standard. </w:t>
      </w:r>
    </w:p>
    <w:p w14:paraId="26D3BB31" w14:textId="77777777" w:rsidR="00767472" w:rsidRPr="00863D9F" w:rsidRDefault="00767472" w:rsidP="00767472">
      <w:r w:rsidRPr="00863D9F">
        <w:t xml:space="preserve">In 2019, the United States Consumer Product Safety Commission (US-CPSC) commissioned a study by biometrics expert Erin Mannen </w:t>
      </w:r>
      <w:r w:rsidRPr="00863D9F">
        <w:rPr>
          <w:rFonts w:cs="Arial"/>
        </w:rPr>
        <w:t xml:space="preserve">PhD (the Mannen Report) that conducted testing and evaluated the design of Inclined Sleep Products. The Mannen Report concluded that placing an infant to sleep on an inclined surface may cause suffocation or asphyxiation and ultimately, infant fatalities. The Mannen Report also noted that other design features of sleep products may pose a similar risk such as curvature, rigidity, the material of a product, </w:t>
      </w:r>
      <w:proofErr w:type="gramStart"/>
      <w:r w:rsidRPr="00863D9F">
        <w:rPr>
          <w:rFonts w:cs="Arial"/>
        </w:rPr>
        <w:t>width</w:t>
      </w:r>
      <w:proofErr w:type="gramEnd"/>
      <w:r w:rsidRPr="00863D9F">
        <w:rPr>
          <w:rFonts w:cs="Arial"/>
        </w:rPr>
        <w:t xml:space="preserve"> and side height. This is consistent with longstanding public health advice to place infants to sleep </w:t>
      </w:r>
      <w:r w:rsidRPr="00863D9F">
        <w:t>on their backs on a firm, flat surface.</w:t>
      </w:r>
      <w:r w:rsidRPr="00863D9F">
        <w:rPr>
          <w:rStyle w:val="FootnoteReference"/>
        </w:rPr>
        <w:footnoteReference w:id="3"/>
      </w:r>
      <w:r w:rsidRPr="00863D9F">
        <w:t xml:space="preserve"> </w:t>
      </w:r>
    </w:p>
    <w:p w14:paraId="23C10418" w14:textId="77777777" w:rsidR="00767472" w:rsidRPr="00863D9F" w:rsidRDefault="00767472" w:rsidP="00767472">
      <w:r w:rsidRPr="00863D9F">
        <w:t xml:space="preserve">Infants may inadvertently fall asleep in products not intended for sleep. This includes products that may be purposely or unintentionally used to soothe or settle before sleep. For this reason, the ACCC is concerned about any inclined product that may create a sleep environment. </w:t>
      </w:r>
    </w:p>
    <w:p w14:paraId="3EC6D686" w14:textId="77777777" w:rsidR="00767472" w:rsidRPr="00863D9F" w:rsidRDefault="00767472" w:rsidP="00767472">
      <w:r w:rsidRPr="00863D9F">
        <w:t xml:space="preserve">In July 2021, the ACCC published an </w:t>
      </w:r>
      <w:hyperlink r:id="rId31" w:history="1">
        <w:r w:rsidRPr="00863D9F">
          <w:rPr>
            <w:rStyle w:val="Hyperlink"/>
          </w:rPr>
          <w:t>Issues Paper</w:t>
        </w:r>
      </w:hyperlink>
      <w:r w:rsidRPr="00863D9F">
        <w:t xml:space="preserve"> seeking stakeholder feedback on risks associated with Inclined Sleep Products and Inclined Non-Sleep Products and possible options to address those risks. The majority of stakeholders were in favour of at least one form of regulatory intervention to address risks associated with Inclined Sleep Products and Inclined Non-Sleep Products, such as an interim or permanent ban, a mandatory information standard or a mandatory safety standard. </w:t>
      </w:r>
    </w:p>
    <w:p w14:paraId="6D20A94B" w14:textId="77777777" w:rsidR="00767472" w:rsidRPr="00863D9F" w:rsidRDefault="00767472" w:rsidP="00767472">
      <w:r w:rsidRPr="00863D9F">
        <w:t xml:space="preserve">Following this, the ACCC procured 2 expert reports from Dr Tom Whyte, a biomechanical engineer, and Professor Rosemary Horne, a paediatrician (the Expert Reports), who were asked to comment on the risks identified in the Mannen Report. The Expert Reports confirmed curvature, rigidity and the material used pose a risk to infants and warrant consideration in addition to incline. As a result, the ACCC expanded this consultation to all Infant Sleep Products to consider the broader risks associated with infant sleep. </w:t>
      </w:r>
    </w:p>
    <w:p w14:paraId="190BA18D" w14:textId="77777777" w:rsidR="00767472" w:rsidRPr="00863D9F" w:rsidRDefault="00767472" w:rsidP="00767472">
      <w:r w:rsidRPr="00863D9F">
        <w:t xml:space="preserve">In August 2022, the ACCC published a </w:t>
      </w:r>
      <w:hyperlink r:id="rId32" w:history="1">
        <w:r w:rsidRPr="00863D9F">
          <w:rPr>
            <w:rStyle w:val="Hyperlink"/>
          </w:rPr>
          <w:t>Consultation paper</w:t>
        </w:r>
      </w:hyperlink>
      <w:r w:rsidRPr="00863D9F">
        <w:t xml:space="preserve"> seeking stakeholder feedback on the likely effectiveness and cost of regulatory and non-regulatory options to address the risk of incline, curvature, rigidity and materials used. The Consultation Paper simultaneously consulted on the existing household cots and folding cots mandatory safety standards. This was necessary because the household cots and folding cots mandatory safety standards also consider infant sleep risks and would be captured under the definition of Infant Sleep Products.</w:t>
      </w:r>
    </w:p>
    <w:p w14:paraId="6E416913" w14:textId="77777777" w:rsidR="00767472" w:rsidRPr="00863D9F" w:rsidRDefault="00767472" w:rsidP="00767472">
      <w:pPr>
        <w:pStyle w:val="Bulletpoint"/>
        <w:numPr>
          <w:ilvl w:val="0"/>
          <w:numId w:val="0"/>
        </w:numPr>
      </w:pPr>
      <w:r w:rsidRPr="00863D9F">
        <w:t xml:space="preserve">The ACCC’s preliminary view in the Consultation Paper was to pursue a permanent ban for Inclined Sleep Products, a mandatory safety standard for Infant Sleep Products, and a mandatory information standard for Infant Sleep Products and Inclined Non-Sleep Products. The ACCC considered this option would be the most effective in preventing the risk of injury and fatalities of infants because it would ban the supply of the highest risk Inclined Sleep Products in the Australian market in the short term while a holistic mandatory safety standard for all Infant Sleep Products was developed. </w:t>
      </w:r>
    </w:p>
    <w:p w14:paraId="5E68E959" w14:textId="77777777" w:rsidR="00767472" w:rsidRPr="00863D9F" w:rsidRDefault="00767472" w:rsidP="00767472">
      <w:r w:rsidRPr="00863D9F">
        <w:t>The ACCC did not pursue a ban for Inclined Sleep Products because:</w:t>
      </w:r>
    </w:p>
    <w:p w14:paraId="79CCE773" w14:textId="77777777" w:rsidR="00767472" w:rsidRPr="00863D9F" w:rsidRDefault="00767472" w:rsidP="00D21B3B">
      <w:pPr>
        <w:pStyle w:val="Bulletpoint"/>
        <w:numPr>
          <w:ilvl w:val="0"/>
          <w:numId w:val="32"/>
        </w:numPr>
      </w:pPr>
      <w:r w:rsidRPr="00863D9F">
        <w:t>A permanent ban would have only covered a discrete subset of Infant Sleep Products, being Inclined Sleep Products. Because of this confined scope, suppliers could have circumvented the ban by removing references to sleep in their marketing, thereby making their product an Inclined Non-Sleep Product. This meant inclined products on which infants may sleep could have continued to be sold without information provided to consumers about the risks of infants sleeping at an incline.</w:t>
      </w:r>
    </w:p>
    <w:p w14:paraId="44D82B1A" w14:textId="77777777" w:rsidR="00767472" w:rsidRPr="00863D9F" w:rsidRDefault="00767472" w:rsidP="00D21B3B">
      <w:pPr>
        <w:pStyle w:val="Bulletpoint"/>
        <w:numPr>
          <w:ilvl w:val="0"/>
          <w:numId w:val="32"/>
        </w:numPr>
      </w:pPr>
      <w:r w:rsidRPr="00863D9F">
        <w:t xml:space="preserve">As above, a permanent ban would have only addressed Inclined Sleep Products and delayed the development of a mandatory safety standard which addresses the risks associated with curvature, rigidity and material used in Infant Sleep Products, other than household and folding cots. </w:t>
      </w:r>
    </w:p>
    <w:p w14:paraId="33FA55E5" w14:textId="77777777" w:rsidR="00767472" w:rsidRPr="00863D9F" w:rsidRDefault="00767472" w:rsidP="00D21B3B">
      <w:pPr>
        <w:pStyle w:val="Bulletpoint"/>
        <w:numPr>
          <w:ilvl w:val="0"/>
          <w:numId w:val="32"/>
        </w:numPr>
      </w:pPr>
      <w:r w:rsidRPr="00863D9F">
        <w:t xml:space="preserve">There is a significant second-hand market for Infant Sleep Products. If a permanent ban were pursued in the first </w:t>
      </w:r>
      <w:proofErr w:type="gramStart"/>
      <w:r w:rsidRPr="00863D9F">
        <w:t>instance</w:t>
      </w:r>
      <w:proofErr w:type="gramEnd"/>
      <w:r w:rsidRPr="00863D9F">
        <w:t xml:space="preserve"> it would have no immediate effect on the second-hand market. This would also have delayed the comprehensive information requirements proposed by a mandatory information standard from flowing through to the second-hand market.</w:t>
      </w:r>
    </w:p>
    <w:p w14:paraId="25BDF6AE" w14:textId="77777777" w:rsidR="00767472" w:rsidRPr="00863D9F" w:rsidRDefault="00767472" w:rsidP="00767472">
      <w:r w:rsidRPr="00863D9F">
        <w:t xml:space="preserve">The ACCC has now refined the options previously presented in the Consultation Paper to: </w:t>
      </w:r>
    </w:p>
    <w:p w14:paraId="414DD6DC" w14:textId="77777777" w:rsidR="00767472" w:rsidRDefault="00767472" w:rsidP="00D21B3B">
      <w:pPr>
        <w:pStyle w:val="Bulletpoint"/>
        <w:shd w:val="clear" w:color="auto" w:fill="F2F2F2" w:themeFill="background1" w:themeFillShade="F2"/>
        <w:rPr>
          <w:b/>
          <w:bCs/>
        </w:rPr>
      </w:pPr>
      <w:r w:rsidRPr="00863D9F">
        <w:rPr>
          <w:b/>
          <w:bCs/>
        </w:rPr>
        <w:t>Option 1</w:t>
      </w:r>
      <w:r w:rsidRPr="00863D9F">
        <w:t xml:space="preserve">: Take no action (maintain the status quo). </w:t>
      </w:r>
    </w:p>
    <w:p w14:paraId="24820451" w14:textId="737DEF2F" w:rsidR="00767472" w:rsidRPr="00767472" w:rsidRDefault="00767472" w:rsidP="00D21B3B">
      <w:pPr>
        <w:pStyle w:val="Bulletpoint"/>
        <w:shd w:val="clear" w:color="auto" w:fill="F2F2F2" w:themeFill="background1" w:themeFillShade="F2"/>
        <w:rPr>
          <w:b/>
          <w:bCs/>
        </w:rPr>
      </w:pPr>
      <w:r w:rsidRPr="00767472">
        <w:rPr>
          <w:b/>
          <w:bCs/>
        </w:rPr>
        <w:t xml:space="preserve">Option 2: </w:t>
      </w:r>
      <w:r w:rsidRPr="00863D9F">
        <w:t>Amend the mandatory standards for household and folding cots.</w:t>
      </w:r>
    </w:p>
    <w:p w14:paraId="10316A4D" w14:textId="77777777" w:rsidR="00767472" w:rsidRDefault="00767472" w:rsidP="00D21B3B">
      <w:pPr>
        <w:pStyle w:val="Bulletpoint"/>
        <w:shd w:val="clear" w:color="auto" w:fill="F2F2F2" w:themeFill="background1" w:themeFillShade="F2"/>
      </w:pPr>
      <w:r w:rsidRPr="00863D9F">
        <w:rPr>
          <w:b/>
          <w:bCs/>
        </w:rPr>
        <w:t xml:space="preserve">Option 3: </w:t>
      </w:r>
      <w:r w:rsidRPr="00863D9F">
        <w:t>Make a mandatory information standard for Infant Sleep Products and Inclined Non-Sleep Products, plus an education campaign.</w:t>
      </w:r>
    </w:p>
    <w:p w14:paraId="4B439511" w14:textId="7BD75DAB" w:rsidR="00767472" w:rsidRPr="00863D9F" w:rsidRDefault="00767472" w:rsidP="00D21B3B">
      <w:pPr>
        <w:pStyle w:val="Bulletpoint"/>
        <w:shd w:val="clear" w:color="auto" w:fill="F2F2F2" w:themeFill="background1" w:themeFillShade="F2"/>
      </w:pPr>
      <w:r w:rsidRPr="00767472">
        <w:rPr>
          <w:b/>
          <w:bCs/>
        </w:rPr>
        <w:t>Option 4 (recommended):</w:t>
      </w:r>
      <w:r w:rsidRPr="00863D9F">
        <w:t xml:space="preserve"> Make a mandatory safety standard, mandatory information standard for Infant Sleep Products and Inclined Non-Sleep Products and revoke the household and folding cots mandatory standards, plus an education campaign. </w:t>
      </w:r>
    </w:p>
    <w:p w14:paraId="7ABA7C12" w14:textId="77777777" w:rsidR="00767472" w:rsidRPr="00863D9F" w:rsidRDefault="00767472" w:rsidP="00767472">
      <w:r w:rsidRPr="00863D9F">
        <w:t>The ACCC recommends Option 4 as it considers this option will best improve safety and address the risks associated with Infant Sleep Products and Inclined Non-Sleep Products by:</w:t>
      </w:r>
    </w:p>
    <w:p w14:paraId="5F36C901" w14:textId="77777777" w:rsidR="00767472" w:rsidRPr="00863D9F" w:rsidRDefault="00767472" w:rsidP="00D21B3B">
      <w:pPr>
        <w:pStyle w:val="Bulletpoint"/>
        <w:numPr>
          <w:ilvl w:val="0"/>
          <w:numId w:val="32"/>
        </w:numPr>
      </w:pPr>
      <w:r w:rsidRPr="00863D9F">
        <w:t xml:space="preserve">introducing test and design requirements for the risks associated with incline, curvature, rigidity and material used, which are currently </w:t>
      </w:r>
      <w:proofErr w:type="gramStart"/>
      <w:r w:rsidRPr="00863D9F">
        <w:t>unregulated</w:t>
      </w:r>
      <w:proofErr w:type="gramEnd"/>
      <w:r w:rsidRPr="00863D9F">
        <w:t xml:space="preserve"> </w:t>
      </w:r>
    </w:p>
    <w:p w14:paraId="53CA1EFA" w14:textId="77777777" w:rsidR="00767472" w:rsidRPr="00863D9F" w:rsidRDefault="00767472" w:rsidP="00D21B3B">
      <w:pPr>
        <w:pStyle w:val="Bulletpoint"/>
        <w:numPr>
          <w:ilvl w:val="0"/>
          <w:numId w:val="32"/>
        </w:numPr>
      </w:pPr>
      <w:r w:rsidRPr="00863D9F">
        <w:t xml:space="preserve">including safety information and warnings so consumers are better informed of infant safe sleep practices and related risks </w:t>
      </w:r>
    </w:p>
    <w:p w14:paraId="0C134114" w14:textId="427B2392" w:rsidR="00767472" w:rsidRPr="00863D9F" w:rsidRDefault="00767472" w:rsidP="00D21B3B">
      <w:pPr>
        <w:pStyle w:val="Bulletpoint"/>
        <w:numPr>
          <w:ilvl w:val="0"/>
          <w:numId w:val="32"/>
        </w:numPr>
      </w:pPr>
      <w:r w:rsidRPr="00863D9F">
        <w:t xml:space="preserve">minimising the likelihood of infants being placed in unsafe sleeping environments </w:t>
      </w:r>
    </w:p>
    <w:p w14:paraId="59B45117" w14:textId="77777777" w:rsidR="00767472" w:rsidRPr="00863D9F" w:rsidRDefault="00767472" w:rsidP="00D21B3B">
      <w:pPr>
        <w:pStyle w:val="Bulletpoint"/>
        <w:numPr>
          <w:ilvl w:val="0"/>
          <w:numId w:val="32"/>
        </w:numPr>
      </w:pPr>
      <w:r w:rsidRPr="00863D9F">
        <w:t xml:space="preserve">complementing existing educative resources such as Red Nose Australia and the ACCC’s Your First Steps </w:t>
      </w:r>
      <w:hyperlink r:id="rId33" w:history="1">
        <w:r w:rsidRPr="00863D9F">
          <w:rPr>
            <w:rStyle w:val="Hyperlink"/>
          </w:rPr>
          <w:t>website</w:t>
        </w:r>
      </w:hyperlink>
      <w:r w:rsidRPr="00863D9F">
        <w:t xml:space="preserve"> via a targeted education campaign focusing on safe sleep. </w:t>
      </w:r>
    </w:p>
    <w:p w14:paraId="7597BB5D" w14:textId="77777777" w:rsidR="00767472" w:rsidRDefault="00767472" w:rsidP="00767472">
      <w:pPr>
        <w:rPr>
          <w:rFonts w:eastAsiaTheme="majorEastAsia" w:cstheme="majorBidi"/>
          <w:bCs/>
          <w:color w:val="342D8C" w:themeColor="accent1"/>
          <w:sz w:val="36"/>
          <w:szCs w:val="28"/>
        </w:rPr>
      </w:pPr>
      <w:bookmarkStart w:id="10" w:name="_Toc139452441"/>
      <w:r>
        <w:br w:type="page"/>
      </w:r>
    </w:p>
    <w:p w14:paraId="58FBE116" w14:textId="70FEEFBB" w:rsidR="00767472" w:rsidRPr="00B43520" w:rsidRDefault="00767472" w:rsidP="00D21B3B">
      <w:pPr>
        <w:pStyle w:val="Numbered1"/>
        <w:numPr>
          <w:ilvl w:val="0"/>
          <w:numId w:val="44"/>
        </w:numPr>
        <w:rPr>
          <w:rFonts w:ascii="Roboto" w:hAnsi="Roboto"/>
          <w:sz w:val="44"/>
          <w:szCs w:val="44"/>
        </w:rPr>
      </w:pPr>
      <w:bookmarkStart w:id="11" w:name="_Toc140065162"/>
      <w:r w:rsidRPr="00B43520">
        <w:rPr>
          <w:rFonts w:ascii="Roboto" w:hAnsi="Roboto"/>
          <w:sz w:val="44"/>
          <w:szCs w:val="44"/>
        </w:rPr>
        <w:t xml:space="preserve">What is the problem </w:t>
      </w:r>
      <w:r w:rsidR="00255653">
        <w:rPr>
          <w:rFonts w:ascii="Roboto" w:hAnsi="Roboto"/>
          <w:sz w:val="44"/>
          <w:szCs w:val="44"/>
        </w:rPr>
        <w:t xml:space="preserve">you </w:t>
      </w:r>
      <w:r w:rsidRPr="00B43520">
        <w:rPr>
          <w:rFonts w:ascii="Roboto" w:hAnsi="Roboto"/>
          <w:sz w:val="44"/>
          <w:szCs w:val="44"/>
        </w:rPr>
        <w:t>are trying to solve?</w:t>
      </w:r>
      <w:bookmarkEnd w:id="10"/>
      <w:bookmarkEnd w:id="11"/>
    </w:p>
    <w:p w14:paraId="51F6DE09" w14:textId="77777777" w:rsidR="00767472" w:rsidRPr="0056619F" w:rsidRDefault="00767472" w:rsidP="00D21B3B">
      <w:pPr>
        <w:pStyle w:val="Numbered11"/>
        <w:rPr>
          <w:rFonts w:ascii="Roboto" w:hAnsi="Roboto"/>
          <w:sz w:val="32"/>
          <w:szCs w:val="32"/>
        </w:rPr>
      </w:pPr>
      <w:bookmarkStart w:id="12" w:name="_Toc139452442"/>
      <w:bookmarkStart w:id="13" w:name="_Toc140065163"/>
      <w:r w:rsidRPr="0056619F">
        <w:rPr>
          <w:rFonts w:ascii="Roboto" w:hAnsi="Roboto"/>
          <w:sz w:val="32"/>
          <w:szCs w:val="32"/>
        </w:rPr>
        <w:t>Risks associated with Infant Sleep Products</w:t>
      </w:r>
      <w:bookmarkEnd w:id="12"/>
      <w:bookmarkEnd w:id="13"/>
      <w:r w:rsidRPr="0056619F">
        <w:rPr>
          <w:rFonts w:ascii="Roboto" w:hAnsi="Roboto"/>
          <w:sz w:val="32"/>
          <w:szCs w:val="32"/>
        </w:rPr>
        <w:t xml:space="preserve"> </w:t>
      </w:r>
    </w:p>
    <w:p w14:paraId="06B0DF55" w14:textId="77777777" w:rsidR="00767472" w:rsidRPr="00863D9F" w:rsidRDefault="00767472" w:rsidP="00767472">
      <w:pPr>
        <w:pStyle w:val="Bulletpoint"/>
        <w:numPr>
          <w:ilvl w:val="0"/>
          <w:numId w:val="0"/>
        </w:numPr>
      </w:pPr>
      <w:bookmarkStart w:id="14" w:name="_Hlk140066990"/>
      <w:r w:rsidRPr="00863D9F">
        <w:t xml:space="preserve">The Mannen Report (commissioned by the US-CPSC) and subsequent ACCC-procured Expert Reports identified that incline, curvature, </w:t>
      </w:r>
      <w:proofErr w:type="gramStart"/>
      <w:r w:rsidRPr="00863D9F">
        <w:t>rigidity</w:t>
      </w:r>
      <w:proofErr w:type="gramEnd"/>
      <w:r w:rsidRPr="00863D9F">
        <w:t xml:space="preserve"> and the breathability of materials used in products pose a risk to infants when sleeping</w:t>
      </w:r>
      <w:bookmarkEnd w:id="14"/>
      <w:r w:rsidRPr="00863D9F">
        <w:t>:</w:t>
      </w:r>
    </w:p>
    <w:p w14:paraId="4A746E1C" w14:textId="77777777" w:rsidR="00767472" w:rsidRPr="00863D9F" w:rsidRDefault="00767472" w:rsidP="00D21B3B">
      <w:pPr>
        <w:pStyle w:val="Bulletpoint"/>
        <w:numPr>
          <w:ilvl w:val="0"/>
          <w:numId w:val="32"/>
        </w:numPr>
      </w:pPr>
      <w:r w:rsidRPr="00863D9F">
        <w:rPr>
          <w:b/>
          <w:bCs/>
        </w:rPr>
        <w:t>Incline</w:t>
      </w:r>
      <w:r w:rsidRPr="00863D9F">
        <w:t xml:space="preserve">: increases the risk of suffocation and positional asphyxiation by blocking the infant’s airway with fabric or padding when they roll or turn their head and promotes the chin to chest position. </w:t>
      </w:r>
    </w:p>
    <w:p w14:paraId="6FB104C8" w14:textId="77777777" w:rsidR="00767472" w:rsidRPr="00863D9F" w:rsidRDefault="00767472" w:rsidP="00D21B3B">
      <w:pPr>
        <w:pStyle w:val="Bulletpoint"/>
        <w:numPr>
          <w:ilvl w:val="0"/>
          <w:numId w:val="32"/>
        </w:numPr>
      </w:pPr>
      <w:r w:rsidRPr="00863D9F">
        <w:rPr>
          <w:b/>
          <w:bCs/>
        </w:rPr>
        <w:t>Curvature</w:t>
      </w:r>
      <w:r w:rsidRPr="00863D9F">
        <w:t>: curvature in the back (seat portion) of a product increases the risk of suffocation and carbon dioxide rebreathing when infants roll because their faces may be covered by the product and promotes the chin to chest position.</w:t>
      </w:r>
    </w:p>
    <w:p w14:paraId="751159F9" w14:textId="77777777" w:rsidR="00767472" w:rsidRPr="00863D9F" w:rsidRDefault="00767472" w:rsidP="00D21B3B">
      <w:pPr>
        <w:pStyle w:val="Bulletpoint"/>
        <w:numPr>
          <w:ilvl w:val="0"/>
          <w:numId w:val="32"/>
        </w:numPr>
      </w:pPr>
      <w:r w:rsidRPr="00863D9F">
        <w:rPr>
          <w:b/>
          <w:bCs/>
        </w:rPr>
        <w:t>Rigidity</w:t>
      </w:r>
      <w:r w:rsidRPr="00863D9F">
        <w:t xml:space="preserve">: the lack of rigidity of the lying surface and added padding poses a suffocation risk as it could prevent infants from self-correcting if they roll, especially when infants are unlikely to have enough strength to lift their heads to breathe.  </w:t>
      </w:r>
    </w:p>
    <w:p w14:paraId="35B5A642" w14:textId="77777777" w:rsidR="00767472" w:rsidRPr="00863D9F" w:rsidRDefault="00767472" w:rsidP="00D21B3B">
      <w:pPr>
        <w:pStyle w:val="Bulletpoint"/>
        <w:numPr>
          <w:ilvl w:val="0"/>
          <w:numId w:val="32"/>
        </w:numPr>
      </w:pPr>
      <w:r w:rsidRPr="00863D9F">
        <w:rPr>
          <w:b/>
          <w:bCs/>
        </w:rPr>
        <w:t>Materials used</w:t>
      </w:r>
      <w:r w:rsidRPr="00863D9F">
        <w:t xml:space="preserve">: the material on the side of the product can pose a risk of suffocation and carbon dioxide rebreathing when the infant’s face has partial or near contact with the side of the product. </w:t>
      </w:r>
    </w:p>
    <w:p w14:paraId="14B8151C" w14:textId="77777777" w:rsidR="00767472" w:rsidRPr="00863D9F" w:rsidRDefault="00767472" w:rsidP="00767472">
      <w:pPr>
        <w:pStyle w:val="Bulletpoint"/>
        <w:numPr>
          <w:ilvl w:val="0"/>
          <w:numId w:val="0"/>
        </w:numPr>
      </w:pPr>
      <w:r w:rsidRPr="00863D9F">
        <w:t>A 1995 Australian study which tested the side to side (horizontal) incline of infant products found infants tested on a 5 and 7 degree angle were able to breathe.</w:t>
      </w:r>
      <w:r w:rsidRPr="00863D9F">
        <w:rPr>
          <w:rStyle w:val="FootnoteReference"/>
        </w:rPr>
        <w:footnoteReference w:id="4"/>
      </w:r>
      <w:r w:rsidRPr="00863D9F">
        <w:t xml:space="preserve"> One of the Expert Reports noted this may indicate a 7 degree incline is appropriate, given the dynamic nature of infant sleep. </w:t>
      </w:r>
    </w:p>
    <w:p w14:paraId="750E928F" w14:textId="77777777" w:rsidR="00767472" w:rsidRPr="00863D9F" w:rsidRDefault="00767472" w:rsidP="00767472">
      <w:pPr>
        <w:pStyle w:val="Bulletpoint"/>
        <w:numPr>
          <w:ilvl w:val="0"/>
          <w:numId w:val="0"/>
        </w:numPr>
      </w:pPr>
      <w:r w:rsidRPr="00863D9F">
        <w:t xml:space="preserve">The Expert Reports and submissions to the ACCC’s Issues Paper and Consultation Paper reiterated established safe sleep advice that a firm, flat sleep surface is safest for infants. However, imposing a zero-degree limit is impractical from both a regulatory and industry perspective, as it could capture unintended products, does not allow for manufacturing variations and may be difficult to test accurately. </w:t>
      </w:r>
    </w:p>
    <w:p w14:paraId="4B196B6A" w14:textId="77777777" w:rsidR="00767472" w:rsidRPr="0056619F" w:rsidRDefault="00767472" w:rsidP="00D21B3B">
      <w:pPr>
        <w:pStyle w:val="Numbered11"/>
        <w:rPr>
          <w:rFonts w:ascii="Roboto" w:hAnsi="Roboto"/>
          <w:sz w:val="32"/>
          <w:szCs w:val="32"/>
        </w:rPr>
      </w:pPr>
      <w:bookmarkStart w:id="15" w:name="_Toc139452443"/>
      <w:bookmarkStart w:id="16" w:name="_Toc140065164"/>
      <w:r w:rsidRPr="0056619F">
        <w:rPr>
          <w:rFonts w:ascii="Roboto" w:hAnsi="Roboto"/>
          <w:sz w:val="32"/>
          <w:szCs w:val="32"/>
        </w:rPr>
        <w:t>Household and folding cots</w:t>
      </w:r>
      <w:bookmarkEnd w:id="15"/>
      <w:bookmarkEnd w:id="16"/>
      <w:r w:rsidRPr="0056619F">
        <w:rPr>
          <w:rFonts w:ascii="Roboto" w:hAnsi="Roboto"/>
          <w:sz w:val="32"/>
          <w:szCs w:val="32"/>
        </w:rPr>
        <w:t xml:space="preserve"> </w:t>
      </w:r>
    </w:p>
    <w:p w14:paraId="293A97E7" w14:textId="77777777" w:rsidR="00767472" w:rsidRPr="00863D9F" w:rsidRDefault="00767472" w:rsidP="00767472">
      <w:r w:rsidRPr="00863D9F">
        <w:t>The risks posed by household cots and folding cots are inherently linked to Infant Sleep Products and a safe sleep environment. As stated above, household cots and folding cots are both covered by mandatory safety standards:</w:t>
      </w:r>
    </w:p>
    <w:p w14:paraId="47E23CF4" w14:textId="77777777" w:rsidR="00767472" w:rsidRPr="00863D9F" w:rsidRDefault="00767472" w:rsidP="00D21B3B">
      <w:pPr>
        <w:pStyle w:val="ListParagraph"/>
        <w:numPr>
          <w:ilvl w:val="0"/>
          <w:numId w:val="34"/>
        </w:numPr>
      </w:pPr>
      <w:r w:rsidRPr="00863D9F">
        <w:t xml:space="preserve">The </w:t>
      </w:r>
      <w:hyperlink r:id="rId34" w:history="1">
        <w:r w:rsidRPr="00863D9F">
          <w:rPr>
            <w:rStyle w:val="Hyperlink"/>
          </w:rPr>
          <w:t>mandatory standard</w:t>
        </w:r>
      </w:hyperlink>
      <w:r w:rsidRPr="00863D9F">
        <w:rPr>
          <w:rStyle w:val="Hyperlink"/>
        </w:rPr>
        <w:t xml:space="preserve"> for Household Cots</w:t>
      </w:r>
      <w:r w:rsidRPr="00863D9F">
        <w:rPr>
          <w:rStyle w:val="Hyperlink"/>
          <w:color w:val="auto"/>
          <w:u w:val="none"/>
        </w:rPr>
        <w:t xml:space="preserve"> (</w:t>
      </w:r>
      <w:r w:rsidRPr="00863D9F">
        <w:rPr>
          <w:i/>
          <w:iCs/>
        </w:rPr>
        <w:t>Consumer Product Safety Standard: Children’s Household Cots 2005</w:t>
      </w:r>
      <w:r w:rsidRPr="00863D9F">
        <w:t xml:space="preserve">) (Household Cots Mandatory Standard) is based on the 2003 voluntary Australian standard for household cots (AS/NZS 2172:2003 Cots for household use - safety requirements) (Household Cots Voluntary Standard). </w:t>
      </w:r>
    </w:p>
    <w:p w14:paraId="4D4933C8" w14:textId="77777777" w:rsidR="00767472" w:rsidRPr="00863D9F" w:rsidRDefault="00767472" w:rsidP="00D21B3B">
      <w:pPr>
        <w:pStyle w:val="ListParagraph"/>
        <w:numPr>
          <w:ilvl w:val="0"/>
          <w:numId w:val="34"/>
        </w:numPr>
      </w:pPr>
      <w:r w:rsidRPr="00863D9F">
        <w:t xml:space="preserve">The </w:t>
      </w:r>
      <w:hyperlink r:id="rId35" w:history="1">
        <w:r w:rsidRPr="00863D9F">
          <w:rPr>
            <w:rStyle w:val="Hyperlink"/>
          </w:rPr>
          <w:t>mandatory standard</w:t>
        </w:r>
      </w:hyperlink>
      <w:r w:rsidRPr="00863D9F">
        <w:rPr>
          <w:rStyle w:val="Hyperlink"/>
        </w:rPr>
        <w:t xml:space="preserve"> for Folding Cots</w:t>
      </w:r>
      <w:r w:rsidRPr="00863D9F">
        <w:t xml:space="preserve"> (</w:t>
      </w:r>
      <w:r w:rsidRPr="00863D9F">
        <w:rPr>
          <w:i/>
          <w:iCs/>
        </w:rPr>
        <w:t>Consumer Product Safety Standard for Children’s Portable Folding Cots 2008</w:t>
      </w:r>
      <w:r w:rsidRPr="00863D9F">
        <w:t>) (Folding Cots Mandatory Standard) is based on the 1999 voluntary Australian standard for folding cots (AS/NZS 2195:1999 Folding cots – Safety requirements) (Folding Cots Voluntary Standard).</w:t>
      </w:r>
    </w:p>
    <w:p w14:paraId="0C546304" w14:textId="77777777" w:rsidR="00767472" w:rsidRPr="00863D9F" w:rsidRDefault="00767472" w:rsidP="00767472">
      <w:r w:rsidRPr="00863D9F">
        <w:t xml:space="preserve">These standards were introduced to reduce the risk of injuries associated with the products, including the risk of: </w:t>
      </w:r>
    </w:p>
    <w:p w14:paraId="1C673E63" w14:textId="77777777" w:rsidR="00767472" w:rsidRPr="00863D9F" w:rsidRDefault="00767472" w:rsidP="00D21B3B">
      <w:pPr>
        <w:pStyle w:val="ListParagraph"/>
        <w:numPr>
          <w:ilvl w:val="0"/>
          <w:numId w:val="34"/>
        </w:numPr>
      </w:pPr>
      <w:r w:rsidRPr="00863D9F">
        <w:t xml:space="preserve">head, neck or limb entrapment by regulating gap </w:t>
      </w:r>
      <w:proofErr w:type="gramStart"/>
      <w:r w:rsidRPr="00863D9F">
        <w:t>sizes</w:t>
      </w:r>
      <w:proofErr w:type="gramEnd"/>
    </w:p>
    <w:p w14:paraId="3FD11CB4" w14:textId="77777777" w:rsidR="00767472" w:rsidRPr="00863D9F" w:rsidRDefault="00767472" w:rsidP="00D21B3B">
      <w:pPr>
        <w:pStyle w:val="ListParagraph"/>
        <w:numPr>
          <w:ilvl w:val="0"/>
          <w:numId w:val="34"/>
        </w:numPr>
      </w:pPr>
      <w:r w:rsidRPr="00863D9F">
        <w:t xml:space="preserve">entrapment in folding and locking mechanisms </w:t>
      </w:r>
    </w:p>
    <w:p w14:paraId="5446FCD5" w14:textId="77777777" w:rsidR="00767472" w:rsidRPr="00863D9F" w:rsidRDefault="00767472" w:rsidP="00D21B3B">
      <w:pPr>
        <w:pStyle w:val="ListParagraph"/>
        <w:numPr>
          <w:ilvl w:val="0"/>
          <w:numId w:val="34"/>
        </w:numPr>
      </w:pPr>
      <w:r w:rsidRPr="00863D9F">
        <w:t>entrapment and suffocation from mattresses by requiring mattresses to neatly fit the base of the cot</w:t>
      </w:r>
    </w:p>
    <w:p w14:paraId="425E503E" w14:textId="77777777" w:rsidR="00767472" w:rsidRPr="00863D9F" w:rsidRDefault="00767472" w:rsidP="00D21B3B">
      <w:pPr>
        <w:pStyle w:val="ListParagraph"/>
        <w:numPr>
          <w:ilvl w:val="0"/>
          <w:numId w:val="34"/>
        </w:numPr>
      </w:pPr>
      <w:r w:rsidRPr="00863D9F">
        <w:t xml:space="preserve">strangulation caused by infant clothing being caught by prohibiting protrusions and snag points </w:t>
      </w:r>
    </w:p>
    <w:p w14:paraId="373944B3" w14:textId="77777777" w:rsidR="00767472" w:rsidRPr="00863D9F" w:rsidRDefault="00767472" w:rsidP="00D21B3B">
      <w:pPr>
        <w:pStyle w:val="ListParagraph"/>
        <w:numPr>
          <w:ilvl w:val="0"/>
          <w:numId w:val="34"/>
        </w:numPr>
      </w:pPr>
      <w:r w:rsidRPr="00863D9F">
        <w:t>falls by removing the possibility of footholds and establishing minimum side height requirements.</w:t>
      </w:r>
    </w:p>
    <w:p w14:paraId="2B0D4944" w14:textId="77777777" w:rsidR="00767472" w:rsidRPr="00863D9F" w:rsidRDefault="00767472" w:rsidP="00767472">
      <w:r w:rsidRPr="00863D9F">
        <w:t xml:space="preserve">The Household Cots Mandatory Standard and Folding Cots Mandatory Standard have minimum safety requirements for construction, design, performance labelling and include mandatory safety warnings and labelling about safe use. However, both voluntary standards referenced in the mandatory standards have been updated to meet additional design requirements (see section 3.1 and 3.2).  </w:t>
      </w:r>
    </w:p>
    <w:p w14:paraId="37C07F0F" w14:textId="77777777" w:rsidR="00767472" w:rsidRPr="00863D9F" w:rsidRDefault="00767472" w:rsidP="00767472">
      <w:r w:rsidRPr="00863D9F">
        <w:t xml:space="preserve">The Household Cots Mandatory Standard and Folding Cots Mandatory Standard are the only mandatory standards for Infant Sleep Products in Australia, meaning there is a regulatory gap for all other Infant Sleep Products such as bassinets. </w:t>
      </w:r>
    </w:p>
    <w:p w14:paraId="6ED7359E" w14:textId="77777777" w:rsidR="00767472" w:rsidRPr="0056619F" w:rsidRDefault="00767472" w:rsidP="00D21B3B">
      <w:pPr>
        <w:pStyle w:val="Numbered11"/>
        <w:rPr>
          <w:rFonts w:ascii="Roboto" w:hAnsi="Roboto"/>
          <w:sz w:val="32"/>
          <w:szCs w:val="32"/>
        </w:rPr>
      </w:pPr>
      <w:bookmarkStart w:id="17" w:name="_Toc139452444"/>
      <w:bookmarkStart w:id="18" w:name="_Toc140065165"/>
      <w:r w:rsidRPr="0056619F">
        <w:rPr>
          <w:rFonts w:ascii="Roboto" w:hAnsi="Roboto"/>
          <w:sz w:val="32"/>
          <w:szCs w:val="32"/>
        </w:rPr>
        <w:t>Fatalities</w:t>
      </w:r>
      <w:bookmarkEnd w:id="17"/>
      <w:bookmarkEnd w:id="18"/>
      <w:r w:rsidRPr="0056619F">
        <w:rPr>
          <w:rFonts w:ascii="Roboto" w:hAnsi="Roboto"/>
          <w:sz w:val="32"/>
          <w:szCs w:val="32"/>
        </w:rPr>
        <w:t xml:space="preserve"> </w:t>
      </w:r>
    </w:p>
    <w:p w14:paraId="5130E010" w14:textId="77777777" w:rsidR="00767472" w:rsidRPr="00863D9F" w:rsidRDefault="00767472" w:rsidP="00767472">
      <w:pPr>
        <w:pStyle w:val="Bulletpoint"/>
        <w:numPr>
          <w:ilvl w:val="0"/>
          <w:numId w:val="0"/>
        </w:numPr>
      </w:pPr>
      <w:r w:rsidRPr="00863D9F">
        <w:t>In 2019 the US-CPSC reported 1,108 incidents and 73 fatalities from January 2005 to June 2019 in the United States associated with the use of Inclined Sleep Products.</w:t>
      </w:r>
      <w:r w:rsidRPr="00863D9F">
        <w:rPr>
          <w:rStyle w:val="FootnoteReference"/>
        </w:rPr>
        <w:footnoteReference w:id="5"/>
      </w:r>
      <w:r w:rsidRPr="00863D9F">
        <w:t xml:space="preserve"> </w:t>
      </w:r>
    </w:p>
    <w:p w14:paraId="5B10B4C8" w14:textId="77777777" w:rsidR="00767472" w:rsidRPr="00863D9F" w:rsidRDefault="00767472" w:rsidP="00767472">
      <w:pPr>
        <w:pStyle w:val="Bulletpoint"/>
        <w:numPr>
          <w:ilvl w:val="0"/>
          <w:numId w:val="0"/>
        </w:numPr>
      </w:pPr>
      <w:r w:rsidRPr="00863D9F">
        <w:t>In Australia, incident data relating to infant products is difficult to obtain due to a number of factors, including:</w:t>
      </w:r>
    </w:p>
    <w:p w14:paraId="2AF436DF" w14:textId="77777777" w:rsidR="00767472" w:rsidRPr="00863D9F" w:rsidRDefault="00767472" w:rsidP="00D21B3B">
      <w:pPr>
        <w:pStyle w:val="ListParagraph"/>
        <w:numPr>
          <w:ilvl w:val="0"/>
          <w:numId w:val="34"/>
        </w:numPr>
      </w:pPr>
      <w:r w:rsidRPr="00863D9F">
        <w:t>the absence of an Australian national injury database</w:t>
      </w:r>
    </w:p>
    <w:p w14:paraId="75E9D729" w14:textId="77777777" w:rsidR="00767472" w:rsidRPr="00863D9F" w:rsidRDefault="00767472" w:rsidP="00D21B3B">
      <w:pPr>
        <w:pStyle w:val="ListParagraph"/>
        <w:numPr>
          <w:ilvl w:val="0"/>
          <w:numId w:val="34"/>
        </w:numPr>
      </w:pPr>
      <w:r w:rsidRPr="00863D9F">
        <w:t>infant fatalities usually cannot be conclusively attributed to a certain product due to difficulties pathologists have in interpreting the cause of death</w:t>
      </w:r>
    </w:p>
    <w:p w14:paraId="26F02B0B" w14:textId="77777777" w:rsidR="00767472" w:rsidRPr="00863D9F" w:rsidRDefault="00767472" w:rsidP="00D21B3B">
      <w:pPr>
        <w:pStyle w:val="ListParagraph"/>
        <w:numPr>
          <w:ilvl w:val="0"/>
          <w:numId w:val="34"/>
        </w:numPr>
      </w:pPr>
      <w:r w:rsidRPr="00863D9F">
        <w:t xml:space="preserve">near-miss incidents and fatalities are generally not reported because they do not meet the threshold for mandatory reporting to the ACCC. </w:t>
      </w:r>
    </w:p>
    <w:p w14:paraId="66B0153E" w14:textId="77777777" w:rsidR="00767472" w:rsidRPr="00863D9F" w:rsidRDefault="00767472" w:rsidP="00767472">
      <w:pPr>
        <w:pStyle w:val="Bulletpoint"/>
        <w:numPr>
          <w:ilvl w:val="0"/>
          <w:numId w:val="0"/>
        </w:numPr>
      </w:pPr>
      <w:r w:rsidRPr="00863D9F">
        <w:t xml:space="preserve">As a result of these limitations, the ACCC has developed the following method to estimate infant fatalities by Infant Sleep Products. </w:t>
      </w:r>
    </w:p>
    <w:p w14:paraId="0C2BD9F9" w14:textId="77777777" w:rsidR="00767472" w:rsidRPr="00863D9F" w:rsidRDefault="00767472" w:rsidP="00767472">
      <w:pPr>
        <w:pStyle w:val="Bulletpoint"/>
        <w:numPr>
          <w:ilvl w:val="0"/>
          <w:numId w:val="0"/>
        </w:numPr>
      </w:pPr>
      <w:r w:rsidRPr="00863D9F">
        <w:t xml:space="preserve">Medical stakeholders advised the ACCC that incidents are likely to either result in a fatality or are unlikely to be serious enough to warrant medical attention or reporting. For this reason, the focus of the incident data is on fatalities and not injuries or near-misses. </w:t>
      </w:r>
    </w:p>
    <w:p w14:paraId="0955CEE5" w14:textId="77777777" w:rsidR="00767472" w:rsidRPr="00863D9F" w:rsidRDefault="00767472" w:rsidP="00767472">
      <w:r w:rsidRPr="00863D9F">
        <w:t xml:space="preserve">There are a number of indirect factors associated with Sudden Unexpected Deaths in Infants (SUDI) or Sudden Infant Death Syndrome (SIDS), such as family circumstances, sleep environment and socio-economic status. SUDI occurs unexpectedly with no immediately obvious cause, but the cause of death can be determined following investigation (e.g. asphyxiation). SIDS is a subset of SUDI where no cause of death has been identified, meaning other health and environmental factors have been ruled out. </w:t>
      </w:r>
    </w:p>
    <w:p w14:paraId="3BEEEBD4" w14:textId="77777777" w:rsidR="00767472" w:rsidRPr="00863D9F" w:rsidRDefault="00767472" w:rsidP="00767472">
      <w:pPr>
        <w:pStyle w:val="Bulletpoint"/>
        <w:numPr>
          <w:ilvl w:val="0"/>
          <w:numId w:val="0"/>
        </w:numPr>
      </w:pPr>
      <w:r w:rsidRPr="00863D9F">
        <w:t>Based on the above understanding of how fatalities occur in Infant Sleep Products, the ACCC sought data relating to infant fatalities that cannot be attributed to any other cause of death, that occurred while sleeping in infant products. We have assumed the product is a causative link for SUDI and SIDS. The ACCC acknowledges there are assumptions and limitations with this approach:</w:t>
      </w:r>
    </w:p>
    <w:p w14:paraId="57D9E62D" w14:textId="77777777" w:rsidR="00767472" w:rsidRPr="00863D9F" w:rsidRDefault="00767472" w:rsidP="00D21B3B">
      <w:pPr>
        <w:pStyle w:val="ListParagraph"/>
        <w:numPr>
          <w:ilvl w:val="0"/>
          <w:numId w:val="34"/>
        </w:numPr>
      </w:pPr>
      <w:r w:rsidRPr="00863D9F">
        <w:t xml:space="preserve">The time for authorities to finalise reports means there is a delay in reportable fatalities which also affected the ability of each jurisdiction to understand and report on the circumstances surrounding the fatality.  </w:t>
      </w:r>
    </w:p>
    <w:p w14:paraId="5D603519" w14:textId="77777777" w:rsidR="00767472" w:rsidRPr="00863D9F" w:rsidRDefault="00767472" w:rsidP="00D21B3B">
      <w:pPr>
        <w:pStyle w:val="ListParagraph"/>
        <w:numPr>
          <w:ilvl w:val="0"/>
          <w:numId w:val="34"/>
        </w:numPr>
      </w:pPr>
      <w:r w:rsidRPr="00863D9F">
        <w:t>Even when finalised, reports of infant fatalities generally capture limited information about the product and therefore assumptions have been made in determining the infant fatalities included in these calculations (see Table 2).</w:t>
      </w:r>
    </w:p>
    <w:p w14:paraId="4EE1D75F" w14:textId="77777777" w:rsidR="00767472" w:rsidRPr="00863D9F" w:rsidRDefault="00767472" w:rsidP="00D21B3B">
      <w:pPr>
        <w:pStyle w:val="ListParagraph"/>
        <w:numPr>
          <w:ilvl w:val="0"/>
          <w:numId w:val="34"/>
        </w:numPr>
      </w:pPr>
      <w:r w:rsidRPr="00863D9F">
        <w:t>The change in population size over time. Although the fatality data covers 20 years, the calculations are based on 2020 data available from the Australian Bureau of Statistics, which is the 2020 population, 2020 infant population and 2020 infant fatalities figures.</w:t>
      </w:r>
      <w:r w:rsidRPr="00863D9F">
        <w:rPr>
          <w:vertAlign w:val="superscript"/>
        </w:rPr>
        <w:footnoteReference w:id="6"/>
      </w:r>
      <w:r w:rsidRPr="00863D9F">
        <w:rPr>
          <w:vertAlign w:val="superscript"/>
        </w:rPr>
        <w:t xml:space="preserve"> </w:t>
      </w:r>
      <w:r w:rsidRPr="00863D9F">
        <w:t xml:space="preserve"> Therefore, the estimated infant fatalities are likely an under estimation due to population growth.</w:t>
      </w:r>
    </w:p>
    <w:p w14:paraId="491048CE" w14:textId="77777777" w:rsidR="00767472" w:rsidRPr="00863D9F" w:rsidRDefault="00767472" w:rsidP="00767472">
      <w:pPr>
        <w:pStyle w:val="Bulletpoint"/>
        <w:numPr>
          <w:ilvl w:val="0"/>
          <w:numId w:val="0"/>
        </w:numPr>
      </w:pPr>
      <w:r w:rsidRPr="00863D9F">
        <w:t xml:space="preserve">Based on data collected from the Child Death Review and Prevention Groups in the ACT, NSW, Vic, Qld, Tas and SA, the ACCC estimates the total number of infant fatalities in Australia attributable to Infant Sleep Products and Inclined Sleep Products are: </w:t>
      </w:r>
    </w:p>
    <w:p w14:paraId="10C5D2E4" w14:textId="77777777" w:rsidR="00767472" w:rsidRPr="00863D9F" w:rsidRDefault="00767472" w:rsidP="00D21B3B">
      <w:pPr>
        <w:pStyle w:val="ListParagraph"/>
        <w:numPr>
          <w:ilvl w:val="0"/>
          <w:numId w:val="34"/>
        </w:numPr>
      </w:pPr>
      <w:r w:rsidRPr="00863D9F">
        <w:rPr>
          <w:b/>
          <w:bCs/>
        </w:rPr>
        <w:t>7.67</w:t>
      </w:r>
      <w:r w:rsidRPr="00863D9F">
        <w:t xml:space="preserve"> infant fatalities per year for Infant Sleep Products (excluding Inclined Sleep Products), and </w:t>
      </w:r>
    </w:p>
    <w:p w14:paraId="10383652" w14:textId="77777777" w:rsidR="00767472" w:rsidRPr="00863D9F" w:rsidRDefault="00767472" w:rsidP="00D21B3B">
      <w:pPr>
        <w:pStyle w:val="ListParagraph"/>
        <w:numPr>
          <w:ilvl w:val="0"/>
          <w:numId w:val="34"/>
        </w:numPr>
      </w:pPr>
      <w:r w:rsidRPr="00863D9F">
        <w:rPr>
          <w:b/>
          <w:bCs/>
        </w:rPr>
        <w:t>2.76</w:t>
      </w:r>
      <w:r w:rsidRPr="00863D9F">
        <w:t xml:space="preserve"> infant fatalities per year for Inclined Sleep Products. </w:t>
      </w:r>
    </w:p>
    <w:p w14:paraId="578891D3" w14:textId="77777777" w:rsidR="00767472" w:rsidRPr="00863D9F" w:rsidRDefault="00767472" w:rsidP="00767472">
      <w:pPr>
        <w:pStyle w:val="Bulletpoint"/>
        <w:numPr>
          <w:ilvl w:val="0"/>
          <w:numId w:val="0"/>
        </w:numPr>
        <w:tabs>
          <w:tab w:val="clear" w:pos="340"/>
          <w:tab w:val="left" w:pos="0"/>
        </w:tabs>
      </w:pPr>
      <w:r w:rsidRPr="00863D9F">
        <w:t xml:space="preserve">Additional information was provided by the Child Death Review and Prevention Groups since the publication of the Consultation Paper in August 2022, therefore, the estimated number of fatalities increased. The calculated total fatalities per year are an estimation, noting there are many factors which contribute to an infant’s death and there are limitations in the data available. </w:t>
      </w:r>
    </w:p>
    <w:p w14:paraId="2D4F21AC" w14:textId="77777777" w:rsidR="00767472" w:rsidRPr="00863D9F" w:rsidRDefault="00767472" w:rsidP="00767472">
      <w:pPr>
        <w:pStyle w:val="Bulletpoint"/>
        <w:numPr>
          <w:ilvl w:val="0"/>
          <w:numId w:val="0"/>
        </w:numPr>
      </w:pPr>
      <w:r w:rsidRPr="00863D9F">
        <w:t xml:space="preserve">The calculation methods are set out in </w:t>
      </w:r>
      <w:r w:rsidRPr="00863D9F">
        <w:rPr>
          <w:b/>
          <w:bCs/>
        </w:rPr>
        <w:t>Appendix 1</w:t>
      </w:r>
      <w:r w:rsidRPr="00863D9F">
        <w:t>,</w:t>
      </w:r>
      <w:r w:rsidRPr="00863D9F">
        <w:rPr>
          <w:b/>
          <w:bCs/>
        </w:rPr>
        <w:t xml:space="preserve"> </w:t>
      </w:r>
      <w:r w:rsidRPr="00863D9F">
        <w:t xml:space="preserve">noting the calculations have been omitted for confidentiality reasons. </w:t>
      </w:r>
    </w:p>
    <w:p w14:paraId="4FCB8B0A" w14:textId="77777777" w:rsidR="00767472" w:rsidRPr="00863D9F" w:rsidRDefault="00767472" w:rsidP="00767472">
      <w:pPr>
        <w:pStyle w:val="Bulletpoint"/>
        <w:numPr>
          <w:ilvl w:val="0"/>
          <w:numId w:val="0"/>
        </w:numPr>
      </w:pPr>
      <w:r w:rsidRPr="00863D9F">
        <w:t xml:space="preserve">For the purposes of these calculations, any Infant Sleep Product with an incline has been classified as an Inclined Sleep Product. It is not possible to access information about the exact product involved to precisely meet our product definitions, for example whether the product is marketed for sleep. As a result, there is no discrete calculation of fatalities caused by Inclined Non-Sleep Products and these may be captured within the fatalities for Inclined Sleep Products. </w:t>
      </w:r>
    </w:p>
    <w:p w14:paraId="4EA1EA61" w14:textId="77777777" w:rsidR="00767472" w:rsidRPr="00863D9F" w:rsidRDefault="00767472" w:rsidP="00767472">
      <w:pPr>
        <w:pStyle w:val="Bulletpoint"/>
        <w:numPr>
          <w:ilvl w:val="0"/>
          <w:numId w:val="0"/>
        </w:numPr>
        <w:spacing w:after="240"/>
      </w:pPr>
      <w:r w:rsidRPr="00863D9F">
        <w:t>For context, a total of 799 infant fatalities occurred in Australia in 2020.</w:t>
      </w:r>
      <w:r w:rsidRPr="00863D9F">
        <w:rPr>
          <w:rStyle w:val="FootnoteReference"/>
        </w:rPr>
        <w:footnoteReference w:id="7"/>
      </w:r>
      <w:r w:rsidRPr="00863D9F">
        <w:t xml:space="preserve"> As noted above, there were 73 infant fatalities in the United States between January 2005 and June 2019 caused by Inclined Sleep Products. This United States data was not used to estimate an Australian figure due to the difference in products available in the market, and population, socio-economic and behavioural differences. </w:t>
      </w:r>
    </w:p>
    <w:p w14:paraId="34A96CB9" w14:textId="77777777" w:rsidR="00767472" w:rsidRPr="00863D9F" w:rsidRDefault="00767472" w:rsidP="00767472">
      <w:pPr>
        <w:rPr>
          <w:b/>
          <w:highlight w:val="yellow"/>
        </w:rPr>
      </w:pPr>
      <w:r w:rsidRPr="00863D9F">
        <w:rPr>
          <w:highlight w:val="yellow"/>
        </w:rPr>
        <w:br w:type="page"/>
      </w:r>
    </w:p>
    <w:p w14:paraId="62BCB4BF" w14:textId="77777777" w:rsidR="00767472" w:rsidRPr="0056619F" w:rsidRDefault="00767472" w:rsidP="007E4C7F">
      <w:pPr>
        <w:pStyle w:val="Tabletitle"/>
      </w:pPr>
      <w:r w:rsidRPr="0056619F">
        <w:t xml:space="preserve">Table 2: Summary of fatalities likely attributed to Infant Sleep Products and inclined surfaces between 2001 – June 2021 in the ACT, NSW, Qld, SA, Tas and Vic </w:t>
      </w:r>
    </w:p>
    <w:tbl>
      <w:tblPr>
        <w:tblStyle w:val="TableGrid"/>
        <w:tblW w:w="0" w:type="auto"/>
        <w:jc w:val="center"/>
        <w:tblBorders>
          <w:left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1987"/>
      </w:tblGrid>
      <w:tr w:rsidR="00767472" w:rsidRPr="00863D9F" w14:paraId="76E0AFCF" w14:textId="77777777" w:rsidTr="005E380D">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C6EDE6C" w14:textId="77777777" w:rsidR="00767472" w:rsidRPr="00863D9F" w:rsidRDefault="00767472" w:rsidP="005E380D">
            <w:pPr>
              <w:rPr>
                <w:rFonts w:cs="Arial"/>
                <w:bCs/>
                <w:szCs w:val="20"/>
              </w:rPr>
            </w:pPr>
            <w:r w:rsidRPr="00863D9F">
              <w:rPr>
                <w:rFonts w:cs="Arial"/>
                <w:bCs/>
                <w:szCs w:val="20"/>
              </w:rPr>
              <w:t>Sleep surface</w:t>
            </w:r>
            <w:r w:rsidRPr="00863D9F">
              <w:rPr>
                <w:rStyle w:val="FootnoteReference"/>
                <w:rFonts w:cs="Arial"/>
                <w:bCs/>
                <w:szCs w:val="20"/>
              </w:rPr>
              <w:footnoteReference w:id="8"/>
            </w:r>
          </w:p>
        </w:tc>
        <w:tc>
          <w:tcPr>
            <w:tcW w:w="198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457C9AC"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rFonts w:cs="Arial"/>
                <w:bCs/>
                <w:szCs w:val="20"/>
              </w:rPr>
            </w:pPr>
            <w:r w:rsidRPr="00863D9F">
              <w:rPr>
                <w:rFonts w:cs="Arial"/>
                <w:bCs/>
                <w:szCs w:val="20"/>
              </w:rPr>
              <w:t xml:space="preserve">Total fatalities </w:t>
            </w:r>
          </w:p>
        </w:tc>
      </w:tr>
      <w:tr w:rsidR="00767472" w:rsidRPr="00863D9F" w14:paraId="4CB38AE2" w14:textId="77777777" w:rsidTr="005E380D">
        <w:trPr>
          <w:trHeight w:val="290"/>
          <w:jc w:val="center"/>
        </w:trPr>
        <w:tc>
          <w:tcPr>
            <w:cnfStyle w:val="001000000000" w:firstRow="0" w:lastRow="0" w:firstColumn="1" w:lastColumn="0" w:oddVBand="0" w:evenVBand="0" w:oddHBand="0" w:evenHBand="0" w:firstRowFirstColumn="0" w:firstRowLastColumn="0" w:lastRowFirstColumn="0" w:lastRowLastColumn="0"/>
            <w:tcW w:w="5951" w:type="dxa"/>
            <w:gridSpan w:val="2"/>
          </w:tcPr>
          <w:p w14:paraId="24C5A0B8" w14:textId="77777777" w:rsidR="00767472" w:rsidRPr="00863D9F" w:rsidRDefault="00767472" w:rsidP="005E380D">
            <w:pPr>
              <w:jc w:val="center"/>
              <w:rPr>
                <w:rFonts w:cs="Arial"/>
                <w:bCs/>
                <w:szCs w:val="20"/>
              </w:rPr>
            </w:pPr>
            <w:r w:rsidRPr="00863D9F">
              <w:rPr>
                <w:rFonts w:cs="Arial"/>
                <w:bCs/>
                <w:szCs w:val="20"/>
                <w:lang w:eastAsia="en-AU"/>
              </w:rPr>
              <w:t>Infant Sleep Products</w:t>
            </w:r>
          </w:p>
        </w:tc>
      </w:tr>
      <w:tr w:rsidR="00767472" w:rsidRPr="00863D9F" w14:paraId="74AD2E26" w14:textId="77777777" w:rsidTr="00255653">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tcPr>
          <w:p w14:paraId="1EE3EA5A" w14:textId="77777777" w:rsidR="00767472" w:rsidRPr="00863D9F" w:rsidRDefault="00767472" w:rsidP="005E380D">
            <w:pPr>
              <w:rPr>
                <w:rFonts w:cs="Arial"/>
                <w:b w:val="0"/>
                <w:szCs w:val="20"/>
                <w:lang w:eastAsia="en-AU"/>
              </w:rPr>
            </w:pPr>
            <w:r w:rsidRPr="00863D9F">
              <w:rPr>
                <w:rFonts w:cs="Arial"/>
                <w:b w:val="0"/>
                <w:szCs w:val="20"/>
              </w:rPr>
              <w:t>Bassinet</w:t>
            </w:r>
          </w:p>
        </w:tc>
        <w:tc>
          <w:tcPr>
            <w:tcW w:w="0" w:type="dxa"/>
            <w:vAlign w:val="center"/>
          </w:tcPr>
          <w:p w14:paraId="28A247E7"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rFonts w:cs="Arial"/>
                <w:szCs w:val="20"/>
              </w:rPr>
            </w:pPr>
            <w:r w:rsidRPr="00863D9F">
              <w:rPr>
                <w:rFonts w:cs="Arial"/>
                <w:szCs w:val="20"/>
              </w:rPr>
              <w:t>27</w:t>
            </w:r>
          </w:p>
        </w:tc>
      </w:tr>
      <w:tr w:rsidR="00767472" w:rsidRPr="00863D9F" w14:paraId="0CA5D181" w14:textId="77777777" w:rsidTr="00255653">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tcPr>
          <w:p w14:paraId="32D061B7" w14:textId="77777777" w:rsidR="00767472" w:rsidRPr="00863D9F" w:rsidRDefault="00767472" w:rsidP="005E380D">
            <w:pPr>
              <w:rPr>
                <w:rFonts w:cs="Arial"/>
                <w:b w:val="0"/>
                <w:szCs w:val="20"/>
                <w:lang w:eastAsia="en-AU"/>
              </w:rPr>
            </w:pPr>
            <w:r w:rsidRPr="00863D9F">
              <w:rPr>
                <w:rFonts w:cs="Arial"/>
                <w:b w:val="0"/>
                <w:szCs w:val="20"/>
              </w:rPr>
              <w:t>Cot</w:t>
            </w:r>
          </w:p>
        </w:tc>
        <w:tc>
          <w:tcPr>
            <w:tcW w:w="0" w:type="dxa"/>
            <w:vAlign w:val="center"/>
          </w:tcPr>
          <w:p w14:paraId="7F417155"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rFonts w:cs="Arial"/>
                <w:szCs w:val="20"/>
              </w:rPr>
            </w:pPr>
            <w:r w:rsidRPr="00863D9F">
              <w:rPr>
                <w:rFonts w:cs="Arial"/>
                <w:szCs w:val="20"/>
              </w:rPr>
              <w:t>58</w:t>
            </w:r>
          </w:p>
        </w:tc>
      </w:tr>
      <w:tr w:rsidR="00767472" w:rsidRPr="00863D9F" w14:paraId="49A96DDE" w14:textId="77777777" w:rsidTr="00255653">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tcPr>
          <w:p w14:paraId="5062ECA6" w14:textId="77777777" w:rsidR="00767472" w:rsidRPr="00863D9F" w:rsidRDefault="00767472" w:rsidP="005E380D">
            <w:pPr>
              <w:rPr>
                <w:rFonts w:cs="Arial"/>
                <w:b w:val="0"/>
                <w:szCs w:val="20"/>
                <w:lang w:eastAsia="en-AU"/>
              </w:rPr>
            </w:pPr>
            <w:r w:rsidRPr="00863D9F">
              <w:rPr>
                <w:rFonts w:cs="Arial"/>
                <w:b w:val="0"/>
                <w:szCs w:val="20"/>
              </w:rPr>
              <w:t xml:space="preserve">Folding cot </w:t>
            </w:r>
          </w:p>
        </w:tc>
        <w:tc>
          <w:tcPr>
            <w:tcW w:w="0" w:type="dxa"/>
            <w:vAlign w:val="center"/>
          </w:tcPr>
          <w:p w14:paraId="7E1D6B47"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rFonts w:cs="Arial"/>
                <w:szCs w:val="20"/>
              </w:rPr>
            </w:pPr>
            <w:r w:rsidRPr="00863D9F">
              <w:rPr>
                <w:rFonts w:cs="Arial"/>
                <w:szCs w:val="20"/>
              </w:rPr>
              <w:t>9</w:t>
            </w:r>
          </w:p>
        </w:tc>
      </w:tr>
      <w:tr w:rsidR="00767472" w:rsidRPr="00863D9F" w14:paraId="6D37134A" w14:textId="77777777" w:rsidTr="00255653">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tcPr>
          <w:p w14:paraId="03E8A6DB" w14:textId="77777777" w:rsidR="00767472" w:rsidRPr="00863D9F" w:rsidRDefault="00767472" w:rsidP="005E380D">
            <w:pPr>
              <w:rPr>
                <w:rFonts w:cs="Arial"/>
                <w:b w:val="0"/>
                <w:szCs w:val="20"/>
                <w:lang w:eastAsia="en-AU"/>
              </w:rPr>
            </w:pPr>
            <w:r w:rsidRPr="00863D9F">
              <w:rPr>
                <w:rFonts w:cs="Arial"/>
                <w:b w:val="0"/>
                <w:szCs w:val="20"/>
              </w:rPr>
              <w:t>Infant bed</w:t>
            </w:r>
          </w:p>
        </w:tc>
        <w:tc>
          <w:tcPr>
            <w:tcW w:w="0" w:type="dxa"/>
            <w:vAlign w:val="center"/>
          </w:tcPr>
          <w:p w14:paraId="0F55E4CC"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rFonts w:cs="Arial"/>
                <w:szCs w:val="20"/>
              </w:rPr>
            </w:pPr>
            <w:r w:rsidRPr="00863D9F">
              <w:rPr>
                <w:rFonts w:cs="Arial"/>
                <w:szCs w:val="20"/>
              </w:rPr>
              <w:t>1</w:t>
            </w:r>
          </w:p>
        </w:tc>
      </w:tr>
      <w:tr w:rsidR="00767472" w:rsidRPr="00863D9F" w14:paraId="0DDB5A51" w14:textId="77777777" w:rsidTr="00255653">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tcPr>
          <w:p w14:paraId="74EBEC06" w14:textId="77777777" w:rsidR="00767472" w:rsidRPr="00863D9F" w:rsidRDefault="00767472" w:rsidP="005E380D">
            <w:pPr>
              <w:rPr>
                <w:rFonts w:cs="Arial"/>
                <w:b w:val="0"/>
                <w:szCs w:val="20"/>
              </w:rPr>
            </w:pPr>
            <w:r w:rsidRPr="00863D9F">
              <w:rPr>
                <w:rFonts w:cs="Arial"/>
                <w:b w:val="0"/>
                <w:szCs w:val="20"/>
              </w:rPr>
              <w:t>Inflatable bed</w:t>
            </w:r>
          </w:p>
        </w:tc>
        <w:tc>
          <w:tcPr>
            <w:tcW w:w="0" w:type="dxa"/>
            <w:vAlign w:val="center"/>
          </w:tcPr>
          <w:p w14:paraId="19CAA2FC"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rFonts w:cs="Arial"/>
                <w:szCs w:val="20"/>
              </w:rPr>
            </w:pPr>
            <w:r w:rsidRPr="00863D9F">
              <w:rPr>
                <w:rFonts w:cs="Arial"/>
                <w:szCs w:val="20"/>
              </w:rPr>
              <w:t>1</w:t>
            </w:r>
          </w:p>
        </w:tc>
      </w:tr>
      <w:tr w:rsidR="00767472" w:rsidRPr="00863D9F" w14:paraId="1BAB59DD" w14:textId="77777777" w:rsidTr="00255653">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tcPr>
          <w:p w14:paraId="332494D1" w14:textId="77777777" w:rsidR="00767472" w:rsidRPr="00863D9F" w:rsidRDefault="00767472" w:rsidP="005E380D">
            <w:pPr>
              <w:rPr>
                <w:rFonts w:cs="Arial"/>
                <w:b w:val="0"/>
                <w:szCs w:val="20"/>
              </w:rPr>
            </w:pPr>
            <w:r w:rsidRPr="00863D9F">
              <w:rPr>
                <w:rFonts w:cs="Arial"/>
                <w:b w:val="0"/>
                <w:szCs w:val="20"/>
              </w:rPr>
              <w:t>Mattress</w:t>
            </w:r>
          </w:p>
        </w:tc>
        <w:tc>
          <w:tcPr>
            <w:tcW w:w="0" w:type="dxa"/>
            <w:vAlign w:val="center"/>
          </w:tcPr>
          <w:p w14:paraId="1D6DE308"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rFonts w:cs="Arial"/>
                <w:szCs w:val="20"/>
              </w:rPr>
            </w:pPr>
            <w:r w:rsidRPr="00863D9F">
              <w:rPr>
                <w:rFonts w:cs="Arial"/>
                <w:szCs w:val="20"/>
              </w:rPr>
              <w:t>1</w:t>
            </w:r>
          </w:p>
        </w:tc>
      </w:tr>
      <w:tr w:rsidR="00767472" w:rsidRPr="00863D9F" w14:paraId="363DE4FC" w14:textId="77777777" w:rsidTr="00255653">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tcPr>
          <w:p w14:paraId="17A3305B" w14:textId="77777777" w:rsidR="00767472" w:rsidRPr="00863D9F" w:rsidRDefault="00767472" w:rsidP="005E380D">
            <w:pPr>
              <w:rPr>
                <w:rFonts w:cs="Arial"/>
                <w:b w:val="0"/>
                <w:szCs w:val="20"/>
                <w:lang w:eastAsia="en-AU"/>
              </w:rPr>
            </w:pPr>
            <w:r w:rsidRPr="00863D9F">
              <w:rPr>
                <w:rFonts w:cs="Arial"/>
                <w:b w:val="0"/>
                <w:szCs w:val="20"/>
              </w:rPr>
              <w:t>Snuggle bed</w:t>
            </w:r>
          </w:p>
        </w:tc>
        <w:tc>
          <w:tcPr>
            <w:tcW w:w="0" w:type="dxa"/>
            <w:vAlign w:val="center"/>
          </w:tcPr>
          <w:p w14:paraId="6A82C7F5"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rFonts w:cs="Arial"/>
                <w:szCs w:val="20"/>
              </w:rPr>
            </w:pPr>
            <w:r w:rsidRPr="00863D9F">
              <w:rPr>
                <w:rFonts w:cs="Arial"/>
                <w:szCs w:val="20"/>
              </w:rPr>
              <w:t>1</w:t>
            </w:r>
          </w:p>
        </w:tc>
      </w:tr>
      <w:tr w:rsidR="00767472" w:rsidRPr="00863D9F" w14:paraId="636B1820" w14:textId="77777777" w:rsidTr="005E380D">
        <w:trPr>
          <w:trHeight w:val="290"/>
          <w:jc w:val="center"/>
        </w:trPr>
        <w:tc>
          <w:tcPr>
            <w:cnfStyle w:val="001000000000" w:firstRow="0" w:lastRow="0" w:firstColumn="1" w:lastColumn="0" w:oddVBand="0" w:evenVBand="0" w:oddHBand="0" w:evenHBand="0" w:firstRowFirstColumn="0" w:firstRowLastColumn="0" w:lastRowFirstColumn="0" w:lastRowLastColumn="0"/>
            <w:tcW w:w="5951" w:type="dxa"/>
            <w:gridSpan w:val="2"/>
          </w:tcPr>
          <w:p w14:paraId="7F866F5C" w14:textId="77777777" w:rsidR="00767472" w:rsidRPr="00863D9F" w:rsidRDefault="00767472" w:rsidP="005E380D">
            <w:pPr>
              <w:jc w:val="center"/>
              <w:rPr>
                <w:rFonts w:cs="Arial"/>
                <w:bCs/>
                <w:szCs w:val="20"/>
              </w:rPr>
            </w:pPr>
            <w:r w:rsidRPr="00863D9F">
              <w:rPr>
                <w:rFonts w:eastAsia="Times New Roman" w:cs="Arial"/>
                <w:bCs/>
                <w:color w:val="000000"/>
                <w:szCs w:val="20"/>
                <w:lang w:eastAsia="en-AU"/>
              </w:rPr>
              <w:t>Inclined Sleep Products</w:t>
            </w:r>
          </w:p>
        </w:tc>
      </w:tr>
      <w:tr w:rsidR="00767472" w:rsidRPr="00863D9F" w14:paraId="35E56873" w14:textId="77777777" w:rsidTr="00255653">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1E897FA2" w14:textId="77777777" w:rsidR="00767472" w:rsidRPr="00863D9F" w:rsidRDefault="00767472" w:rsidP="005E380D">
            <w:pPr>
              <w:rPr>
                <w:rFonts w:cs="Arial"/>
                <w:b w:val="0"/>
                <w:szCs w:val="20"/>
              </w:rPr>
            </w:pPr>
            <w:r w:rsidRPr="00863D9F">
              <w:rPr>
                <w:rFonts w:cs="Arial"/>
                <w:b w:val="0"/>
                <w:szCs w:val="20"/>
              </w:rPr>
              <w:t>Anti-roll pillow or sleep positioner wedge</w:t>
            </w:r>
          </w:p>
        </w:tc>
        <w:tc>
          <w:tcPr>
            <w:tcW w:w="0" w:type="dxa"/>
            <w:vAlign w:val="center"/>
            <w:hideMark/>
          </w:tcPr>
          <w:p w14:paraId="1BF234EF"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rFonts w:cs="Arial"/>
                <w:szCs w:val="20"/>
              </w:rPr>
            </w:pPr>
            <w:r w:rsidRPr="00863D9F">
              <w:rPr>
                <w:rFonts w:cs="Arial"/>
                <w:szCs w:val="20"/>
              </w:rPr>
              <w:t>14</w:t>
            </w:r>
          </w:p>
        </w:tc>
      </w:tr>
      <w:tr w:rsidR="00767472" w:rsidRPr="00863D9F" w14:paraId="37340D83" w14:textId="77777777" w:rsidTr="00255653">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3CE4E363" w14:textId="77777777" w:rsidR="00767472" w:rsidRPr="00863D9F" w:rsidRDefault="00767472" w:rsidP="005E380D">
            <w:pPr>
              <w:rPr>
                <w:rFonts w:cs="Arial"/>
                <w:b w:val="0"/>
                <w:szCs w:val="20"/>
              </w:rPr>
            </w:pPr>
            <w:r w:rsidRPr="00863D9F">
              <w:rPr>
                <w:rFonts w:cs="Arial"/>
                <w:b w:val="0"/>
                <w:szCs w:val="20"/>
              </w:rPr>
              <w:t>Beanbag</w:t>
            </w:r>
          </w:p>
        </w:tc>
        <w:tc>
          <w:tcPr>
            <w:tcW w:w="0" w:type="dxa"/>
            <w:vAlign w:val="center"/>
            <w:hideMark/>
          </w:tcPr>
          <w:p w14:paraId="33F41E1D"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rFonts w:cs="Arial"/>
                <w:szCs w:val="20"/>
              </w:rPr>
            </w:pPr>
            <w:r w:rsidRPr="00863D9F">
              <w:rPr>
                <w:rFonts w:cs="Arial"/>
                <w:szCs w:val="20"/>
              </w:rPr>
              <w:t>2</w:t>
            </w:r>
          </w:p>
        </w:tc>
      </w:tr>
      <w:tr w:rsidR="00767472" w:rsidRPr="00863D9F" w14:paraId="56234813" w14:textId="77777777" w:rsidTr="00255653">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62F71F4C" w14:textId="77777777" w:rsidR="00767472" w:rsidRPr="00863D9F" w:rsidRDefault="00767472" w:rsidP="005E380D">
            <w:pPr>
              <w:rPr>
                <w:rFonts w:cs="Arial"/>
                <w:b w:val="0"/>
                <w:szCs w:val="20"/>
              </w:rPr>
            </w:pPr>
            <w:r w:rsidRPr="00863D9F">
              <w:rPr>
                <w:rFonts w:cs="Arial"/>
                <w:b w:val="0"/>
                <w:szCs w:val="20"/>
              </w:rPr>
              <w:t>Bouncer</w:t>
            </w:r>
          </w:p>
        </w:tc>
        <w:tc>
          <w:tcPr>
            <w:tcW w:w="0" w:type="dxa"/>
            <w:vAlign w:val="center"/>
            <w:hideMark/>
          </w:tcPr>
          <w:p w14:paraId="3D78961A"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rFonts w:cs="Arial"/>
                <w:szCs w:val="20"/>
              </w:rPr>
            </w:pPr>
            <w:r w:rsidRPr="00863D9F">
              <w:rPr>
                <w:rFonts w:cs="Arial"/>
                <w:szCs w:val="20"/>
              </w:rPr>
              <w:t>4</w:t>
            </w:r>
          </w:p>
        </w:tc>
      </w:tr>
      <w:tr w:rsidR="00767472" w:rsidRPr="00863D9F" w14:paraId="56D69339" w14:textId="77777777" w:rsidTr="00255653">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2290D892" w14:textId="77777777" w:rsidR="00767472" w:rsidRPr="00863D9F" w:rsidRDefault="00767472" w:rsidP="005E380D">
            <w:pPr>
              <w:rPr>
                <w:rFonts w:cs="Arial"/>
                <w:b w:val="0"/>
                <w:szCs w:val="20"/>
              </w:rPr>
            </w:pPr>
            <w:r w:rsidRPr="00863D9F">
              <w:rPr>
                <w:rFonts w:cs="Arial"/>
                <w:b w:val="0"/>
                <w:szCs w:val="20"/>
              </w:rPr>
              <w:t>Cot elevated (tilted)</w:t>
            </w:r>
          </w:p>
        </w:tc>
        <w:tc>
          <w:tcPr>
            <w:tcW w:w="0" w:type="dxa"/>
            <w:vAlign w:val="center"/>
            <w:hideMark/>
          </w:tcPr>
          <w:p w14:paraId="29D12073"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rFonts w:cs="Arial"/>
                <w:szCs w:val="20"/>
              </w:rPr>
            </w:pPr>
            <w:r w:rsidRPr="00863D9F">
              <w:rPr>
                <w:rFonts w:cs="Arial"/>
                <w:szCs w:val="20"/>
              </w:rPr>
              <w:t>5</w:t>
            </w:r>
          </w:p>
        </w:tc>
      </w:tr>
      <w:tr w:rsidR="00767472" w:rsidRPr="00863D9F" w14:paraId="75A86A9D" w14:textId="77777777" w:rsidTr="00255653">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00DADB6F" w14:textId="77777777" w:rsidR="00767472" w:rsidRPr="00863D9F" w:rsidRDefault="00767472" w:rsidP="005E380D">
            <w:pPr>
              <w:rPr>
                <w:rFonts w:cs="Arial"/>
                <w:b w:val="0"/>
                <w:szCs w:val="20"/>
              </w:rPr>
            </w:pPr>
            <w:r w:rsidRPr="00863D9F">
              <w:rPr>
                <w:rFonts w:cs="Arial"/>
                <w:b w:val="0"/>
                <w:szCs w:val="20"/>
              </w:rPr>
              <w:t>Hammock</w:t>
            </w:r>
          </w:p>
        </w:tc>
        <w:tc>
          <w:tcPr>
            <w:tcW w:w="0" w:type="dxa"/>
            <w:vAlign w:val="center"/>
            <w:hideMark/>
          </w:tcPr>
          <w:p w14:paraId="6720F01D"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rFonts w:cs="Arial"/>
                <w:szCs w:val="20"/>
              </w:rPr>
            </w:pPr>
            <w:r w:rsidRPr="00863D9F">
              <w:rPr>
                <w:rFonts w:cs="Arial"/>
                <w:szCs w:val="20"/>
              </w:rPr>
              <w:t>2</w:t>
            </w:r>
          </w:p>
        </w:tc>
      </w:tr>
      <w:tr w:rsidR="00767472" w:rsidRPr="00863D9F" w14:paraId="1754C6ED" w14:textId="77777777" w:rsidTr="00255653">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590F0BC9" w14:textId="77777777" w:rsidR="00767472" w:rsidRPr="00863D9F" w:rsidRDefault="00767472" w:rsidP="005E380D">
            <w:pPr>
              <w:rPr>
                <w:rFonts w:cs="Arial"/>
                <w:b w:val="0"/>
                <w:szCs w:val="20"/>
              </w:rPr>
            </w:pPr>
            <w:r w:rsidRPr="00863D9F">
              <w:rPr>
                <w:rFonts w:cs="Arial"/>
                <w:b w:val="0"/>
                <w:szCs w:val="20"/>
              </w:rPr>
              <w:t>Infant swing/rocker</w:t>
            </w:r>
          </w:p>
        </w:tc>
        <w:tc>
          <w:tcPr>
            <w:tcW w:w="0" w:type="dxa"/>
            <w:vAlign w:val="center"/>
            <w:hideMark/>
          </w:tcPr>
          <w:p w14:paraId="3143F683"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rFonts w:cs="Arial"/>
                <w:szCs w:val="20"/>
              </w:rPr>
            </w:pPr>
            <w:r w:rsidRPr="00863D9F">
              <w:rPr>
                <w:rFonts w:cs="Arial"/>
                <w:szCs w:val="20"/>
              </w:rPr>
              <w:t>12</w:t>
            </w:r>
          </w:p>
        </w:tc>
      </w:tr>
      <w:tr w:rsidR="00767472" w:rsidRPr="00863D9F" w14:paraId="43BC08AA" w14:textId="77777777" w:rsidTr="00255653">
        <w:trPr>
          <w:trHeight w:val="28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EADFFD"/>
            <w:hideMark/>
          </w:tcPr>
          <w:p w14:paraId="2A602294" w14:textId="77777777" w:rsidR="00767472" w:rsidRPr="00863D9F" w:rsidRDefault="00767472" w:rsidP="005E380D">
            <w:pPr>
              <w:rPr>
                <w:rFonts w:cs="Arial"/>
                <w:bCs/>
                <w:szCs w:val="20"/>
              </w:rPr>
            </w:pPr>
            <w:r w:rsidRPr="00863D9F">
              <w:rPr>
                <w:rFonts w:cs="Arial"/>
                <w:bCs/>
                <w:szCs w:val="20"/>
              </w:rPr>
              <w:t xml:space="preserve">Total fatalities </w:t>
            </w:r>
          </w:p>
        </w:tc>
        <w:tc>
          <w:tcPr>
            <w:tcW w:w="0" w:type="dxa"/>
            <w:shd w:val="clear" w:color="auto" w:fill="EADFFD"/>
            <w:vAlign w:val="center"/>
            <w:hideMark/>
          </w:tcPr>
          <w:p w14:paraId="451B4F3F"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863D9F">
              <w:rPr>
                <w:rFonts w:cs="Arial"/>
                <w:b/>
                <w:bCs/>
                <w:szCs w:val="20"/>
              </w:rPr>
              <w:t>137</w:t>
            </w:r>
          </w:p>
        </w:tc>
      </w:tr>
    </w:tbl>
    <w:p w14:paraId="1FA5475D" w14:textId="7731D147" w:rsidR="00767472" w:rsidRPr="00863D9F" w:rsidRDefault="00767472" w:rsidP="00DA0BE5">
      <w:pPr>
        <w:pStyle w:val="Bulletpoint"/>
        <w:numPr>
          <w:ilvl w:val="0"/>
          <w:numId w:val="0"/>
        </w:numPr>
        <w:spacing w:before="240"/>
      </w:pPr>
      <w:r w:rsidRPr="00863D9F">
        <w:t>A significant portion of infant fatalities, 112 fatalities, in the same period are attributed to infants propped on items</w:t>
      </w:r>
      <w:r w:rsidR="007E40F4">
        <w:t>, such as pillows, wedges and other items</w:t>
      </w:r>
      <w:r w:rsidRPr="00863D9F">
        <w:t xml:space="preserve">. These products and practices are not included in the scope due to limitations in regulating sleep practices. Therefore, these figures are not included in the calculation of infant fatalities. However, they highlight the risks associated with soft inclined surfaces and can be addressed to some extent through an education campaign and mandatory information standard.   </w:t>
      </w:r>
    </w:p>
    <w:p w14:paraId="22AF79F4" w14:textId="77777777" w:rsidR="00767472" w:rsidRPr="0056619F" w:rsidRDefault="00767472" w:rsidP="00D21B3B">
      <w:pPr>
        <w:pStyle w:val="Numbered1"/>
        <w:rPr>
          <w:rFonts w:ascii="Roboto" w:hAnsi="Roboto"/>
          <w:sz w:val="44"/>
          <w:szCs w:val="44"/>
        </w:rPr>
      </w:pPr>
      <w:bookmarkStart w:id="19" w:name="_Toc139452445"/>
      <w:bookmarkStart w:id="20" w:name="_Toc140065166"/>
      <w:r w:rsidRPr="0056619F">
        <w:rPr>
          <w:rFonts w:ascii="Roboto" w:hAnsi="Roboto"/>
          <w:sz w:val="44"/>
          <w:szCs w:val="44"/>
        </w:rPr>
        <w:t>Why is government action needed?</w:t>
      </w:r>
      <w:bookmarkEnd w:id="19"/>
      <w:bookmarkEnd w:id="20"/>
    </w:p>
    <w:p w14:paraId="40E63DD6" w14:textId="77777777" w:rsidR="00767472" w:rsidRPr="00863D9F" w:rsidRDefault="00767472" w:rsidP="00767472">
      <w:r w:rsidRPr="00863D9F">
        <w:t xml:space="preserve">Unlike most other developed economies, the Australian product safety regime does not have a general safety provision that prohibits unsafe goods being supplied or any mandatory standards which specifically capture all Infant Sleep Products. There is currently no single Australian or international standard that can be adopted to address all risks identified for Infant Sleep Products. </w:t>
      </w:r>
    </w:p>
    <w:p w14:paraId="5BDF1D6C" w14:textId="77777777" w:rsidR="00767472" w:rsidRPr="00863D9F" w:rsidRDefault="00767472" w:rsidP="00767472">
      <w:r w:rsidRPr="00863D9F">
        <w:t>As outlined above, it is estimated that 7.67 fatalities associated with Infant Sleep Products and 2.76 fatalities associated with Inclined Sleep Products and Inclined Non-Sleep Products will continue to occur per year if no government action is taken. The ACCC considers the risk to infants posed by unsafe Infant Sleep Products is significant and likely to become more prominent in the future. The ACCC considers there is little likelihood the market will correct the problem, therefore,</w:t>
      </w:r>
      <w:r w:rsidRPr="00863D9F">
        <w:rPr>
          <w:rFonts w:cs="Arial"/>
        </w:rPr>
        <w:t xml:space="preserve"> </w:t>
      </w:r>
      <w:r w:rsidRPr="00863D9F">
        <w:t>government action that requires a consistent direction for customer protection measures provides the strongest approach to achieving a positive outcome for the Australian community.</w:t>
      </w:r>
    </w:p>
    <w:p w14:paraId="19789A8B" w14:textId="77777777" w:rsidR="00767472" w:rsidRPr="0056619F" w:rsidRDefault="00767472" w:rsidP="00D21B3B">
      <w:pPr>
        <w:pStyle w:val="Numbered11"/>
        <w:rPr>
          <w:rFonts w:ascii="Roboto" w:hAnsi="Roboto"/>
          <w:sz w:val="32"/>
          <w:szCs w:val="32"/>
        </w:rPr>
      </w:pPr>
      <w:bookmarkStart w:id="21" w:name="_Toc139452446"/>
      <w:bookmarkStart w:id="22" w:name="_Toc140065167"/>
      <w:r w:rsidRPr="0056619F">
        <w:rPr>
          <w:rFonts w:ascii="Roboto" w:hAnsi="Roboto"/>
          <w:sz w:val="32"/>
          <w:szCs w:val="32"/>
        </w:rPr>
        <w:t>Australian standards</w:t>
      </w:r>
      <w:bookmarkEnd w:id="21"/>
      <w:bookmarkEnd w:id="22"/>
    </w:p>
    <w:p w14:paraId="42CD85F6" w14:textId="77777777" w:rsidR="00767472" w:rsidRPr="00863D9F" w:rsidRDefault="00767472" w:rsidP="00767472">
      <w:pPr>
        <w:tabs>
          <w:tab w:val="left" w:pos="340"/>
        </w:tabs>
        <w:spacing w:before="120"/>
      </w:pPr>
      <w:r w:rsidRPr="00863D9F">
        <w:t>There are 2 relevant mandatory safety standards, being the Household Cots Mandatory Standard and the Folding Cots Mandatory Standard, meaning there is a regulatory gap for all other Infant Sleep Products, including common products such as bassinets. Separate to mandatory standards, suppliers can choose to also comply with relevant voluntary standards.</w:t>
      </w:r>
      <w:r w:rsidRPr="00863D9F">
        <w:rPr>
          <w:rFonts w:cs="Arial"/>
          <w:i/>
          <w:iCs/>
          <w:color w:val="242934"/>
        </w:rPr>
        <w:t xml:space="preserve"> </w:t>
      </w:r>
      <w:r w:rsidRPr="00863D9F">
        <w:t xml:space="preserve">Voluntary standards are developed by non-government bodies such as </w:t>
      </w:r>
      <w:hyperlink r:id="rId36" w:history="1">
        <w:r w:rsidRPr="00863D9F">
          <w:rPr>
            <w:rStyle w:val="Hyperlink"/>
          </w:rPr>
          <w:t>Standards Australia</w:t>
        </w:r>
      </w:hyperlink>
      <w:r w:rsidRPr="00863D9F">
        <w:t xml:space="preserve"> or the </w:t>
      </w:r>
      <w:hyperlink r:id="rId37" w:history="1">
        <w:r w:rsidRPr="00863D9F">
          <w:rPr>
            <w:rStyle w:val="Hyperlink"/>
          </w:rPr>
          <w:t>International Organization of Standardization</w:t>
        </w:r>
      </w:hyperlink>
      <w:r w:rsidRPr="00863D9F">
        <w:t xml:space="preserve">.  </w:t>
      </w:r>
    </w:p>
    <w:p w14:paraId="6199026F" w14:textId="77777777" w:rsidR="00767472" w:rsidRPr="0056619F" w:rsidRDefault="00767472" w:rsidP="00D21B3B">
      <w:pPr>
        <w:pStyle w:val="Numbered11"/>
        <w:ind w:left="794" w:hanging="794"/>
        <w:rPr>
          <w:rFonts w:ascii="Roboto" w:hAnsi="Roboto"/>
          <w:sz w:val="32"/>
          <w:szCs w:val="32"/>
        </w:rPr>
      </w:pPr>
      <w:bookmarkStart w:id="23" w:name="_Toc139452447"/>
      <w:bookmarkStart w:id="24" w:name="_Toc140065168"/>
      <w:r w:rsidRPr="0056619F">
        <w:rPr>
          <w:rFonts w:ascii="Roboto" w:hAnsi="Roboto"/>
          <w:sz w:val="32"/>
          <w:szCs w:val="32"/>
        </w:rPr>
        <w:t>Overseas standards and regulations</w:t>
      </w:r>
      <w:bookmarkEnd w:id="23"/>
      <w:bookmarkEnd w:id="24"/>
    </w:p>
    <w:p w14:paraId="45FF54E2" w14:textId="77777777" w:rsidR="00767472" w:rsidRPr="00863D9F" w:rsidRDefault="00767472" w:rsidP="00767472">
      <w:pPr>
        <w:tabs>
          <w:tab w:val="left" w:pos="340"/>
        </w:tabs>
        <w:spacing w:before="120"/>
      </w:pPr>
      <w:r w:rsidRPr="00863D9F">
        <w:t xml:space="preserve">Some countries regulate the safety of Infant Sleep Products through general safety provisions, others do so through product specific regulations. For example:   </w:t>
      </w:r>
    </w:p>
    <w:p w14:paraId="6F6845E7" w14:textId="77777777" w:rsidR="00767472" w:rsidRPr="00863D9F" w:rsidRDefault="00767472" w:rsidP="00D21B3B">
      <w:pPr>
        <w:pStyle w:val="ListParagraph"/>
        <w:numPr>
          <w:ilvl w:val="0"/>
          <w:numId w:val="34"/>
        </w:numPr>
      </w:pPr>
      <w:r w:rsidRPr="00863D9F">
        <w:t>The European Union and the United Kingdom do not have regulations that directly address Infant Sleep Products but rely on its general safety provisions and voluntary standards. There is a voluntary standard that addresses rigidity of mattresses for cots and cribs including test requirements.</w:t>
      </w:r>
      <w:r w:rsidRPr="00863D9F">
        <w:rPr>
          <w:vertAlign w:val="superscript"/>
        </w:rPr>
        <w:footnoteReference w:id="9"/>
      </w:r>
      <w:r w:rsidRPr="00863D9F">
        <w:rPr>
          <w:vertAlign w:val="superscript"/>
        </w:rPr>
        <w:t xml:space="preserve"> </w:t>
      </w:r>
      <w:r w:rsidRPr="00410E90">
        <w:t>Additionally, there is a voluntary standard for Cribs and Cradles that has an incline limit of 10 degrees.</w:t>
      </w:r>
      <w:r w:rsidRPr="00410E90">
        <w:rPr>
          <w:vertAlign w:val="superscript"/>
        </w:rPr>
        <w:footnoteReference w:id="10"/>
      </w:r>
      <w:r w:rsidRPr="00863D9F">
        <w:t xml:space="preserve"> European voluntary standards do not address curvature or material. </w:t>
      </w:r>
    </w:p>
    <w:p w14:paraId="0E4EAD07" w14:textId="77777777" w:rsidR="00767472" w:rsidRPr="00863D9F" w:rsidRDefault="00767472" w:rsidP="00D21B3B">
      <w:pPr>
        <w:pStyle w:val="ListParagraph"/>
        <w:numPr>
          <w:ilvl w:val="0"/>
          <w:numId w:val="34"/>
        </w:numPr>
      </w:pPr>
      <w:r w:rsidRPr="00863D9F">
        <w:t>Canada’s Cribs, Cradles and Bassinets Regulations capture all infant products that create a sleep environment and effectively ban sleep products with an incline greater than 7 degrees. These regulations also include requirements for the height of the sides of a product, stability, material used and warning labels.</w:t>
      </w:r>
      <w:r w:rsidRPr="00863D9F">
        <w:rPr>
          <w:vertAlign w:val="superscript"/>
        </w:rPr>
        <w:footnoteReference w:id="11"/>
      </w:r>
      <w:r w:rsidRPr="00863D9F">
        <w:rPr>
          <w:vertAlign w:val="superscript"/>
        </w:rPr>
        <w:t xml:space="preserve"> </w:t>
      </w:r>
      <w:r w:rsidRPr="00863D9F">
        <w:t xml:space="preserve">These regulations do not address mattress rigidity. </w:t>
      </w:r>
    </w:p>
    <w:p w14:paraId="7B508DA0" w14:textId="77777777" w:rsidR="00767472" w:rsidRPr="00863D9F" w:rsidRDefault="00767472" w:rsidP="00D21B3B">
      <w:pPr>
        <w:pStyle w:val="ListParagraph"/>
        <w:numPr>
          <w:ilvl w:val="0"/>
          <w:numId w:val="34"/>
        </w:numPr>
      </w:pPr>
      <w:r w:rsidRPr="00863D9F">
        <w:t xml:space="preserve">The United States’ recent </w:t>
      </w:r>
      <w:r w:rsidRPr="00863D9F">
        <w:rPr>
          <w:i/>
          <w:iCs/>
        </w:rPr>
        <w:t xml:space="preserve">Safe Sleep for Babies Act 2019 </w:t>
      </w:r>
      <w:r w:rsidRPr="00863D9F">
        <w:t xml:space="preserve">requires Infant Sleep Products to be tested to ensure the incline is less than 10 degrees, or comply with one of the following pre-existing mandatory standards: </w:t>
      </w:r>
    </w:p>
    <w:p w14:paraId="5C563A25" w14:textId="77777777" w:rsidR="00767472" w:rsidRPr="00863D9F" w:rsidRDefault="00767472" w:rsidP="00D21B3B">
      <w:pPr>
        <w:numPr>
          <w:ilvl w:val="2"/>
          <w:numId w:val="31"/>
        </w:numPr>
        <w:tabs>
          <w:tab w:val="left" w:pos="340"/>
        </w:tabs>
        <w:spacing w:before="120"/>
        <w:ind w:left="844"/>
      </w:pPr>
      <w:r w:rsidRPr="00863D9F">
        <w:rPr>
          <w:rFonts w:cs="Times New Roman"/>
        </w:rPr>
        <w:t>bassinets and cradles</w:t>
      </w:r>
    </w:p>
    <w:p w14:paraId="73018391" w14:textId="77777777" w:rsidR="00767472" w:rsidRPr="00863D9F" w:rsidRDefault="00767472" w:rsidP="00D21B3B">
      <w:pPr>
        <w:numPr>
          <w:ilvl w:val="2"/>
          <w:numId w:val="31"/>
        </w:numPr>
        <w:tabs>
          <w:tab w:val="left" w:pos="340"/>
        </w:tabs>
        <w:spacing w:before="120"/>
        <w:ind w:left="844"/>
      </w:pPr>
      <w:r w:rsidRPr="00863D9F">
        <w:rPr>
          <w:rFonts w:cs="Times New Roman"/>
        </w:rPr>
        <w:t>bedside sleepers</w:t>
      </w:r>
    </w:p>
    <w:p w14:paraId="1C21419F" w14:textId="77777777" w:rsidR="00767472" w:rsidRPr="00863D9F" w:rsidRDefault="00767472" w:rsidP="00D21B3B">
      <w:pPr>
        <w:numPr>
          <w:ilvl w:val="2"/>
          <w:numId w:val="31"/>
        </w:numPr>
        <w:tabs>
          <w:tab w:val="left" w:pos="340"/>
        </w:tabs>
        <w:spacing w:before="120"/>
        <w:ind w:left="844"/>
      </w:pPr>
      <w:r w:rsidRPr="00863D9F">
        <w:rPr>
          <w:rFonts w:cs="Times New Roman"/>
        </w:rPr>
        <w:t xml:space="preserve">crib mattresses </w:t>
      </w:r>
    </w:p>
    <w:p w14:paraId="42DF32A0" w14:textId="77777777" w:rsidR="00767472" w:rsidRPr="00863D9F" w:rsidRDefault="00767472" w:rsidP="00D21B3B">
      <w:pPr>
        <w:numPr>
          <w:ilvl w:val="2"/>
          <w:numId w:val="31"/>
        </w:numPr>
        <w:tabs>
          <w:tab w:val="left" w:pos="340"/>
        </w:tabs>
        <w:spacing w:before="120"/>
        <w:ind w:left="844"/>
      </w:pPr>
      <w:r w:rsidRPr="00863D9F">
        <w:rPr>
          <w:rFonts w:cs="Times New Roman"/>
        </w:rPr>
        <w:t>full-size cribs</w:t>
      </w:r>
    </w:p>
    <w:p w14:paraId="07A5F101" w14:textId="77777777" w:rsidR="00767472" w:rsidRPr="00863D9F" w:rsidRDefault="00767472" w:rsidP="00D21B3B">
      <w:pPr>
        <w:numPr>
          <w:ilvl w:val="2"/>
          <w:numId w:val="31"/>
        </w:numPr>
        <w:tabs>
          <w:tab w:val="left" w:pos="340"/>
        </w:tabs>
        <w:spacing w:before="120"/>
        <w:ind w:left="844"/>
      </w:pPr>
      <w:r w:rsidRPr="00863D9F">
        <w:rPr>
          <w:rFonts w:cs="Times New Roman"/>
        </w:rPr>
        <w:t>non-full-size cribs.</w:t>
      </w:r>
    </w:p>
    <w:p w14:paraId="041B74C8" w14:textId="77777777" w:rsidR="00767472" w:rsidRPr="00863D9F" w:rsidRDefault="00767472" w:rsidP="00767472">
      <w:pPr>
        <w:pStyle w:val="Bulletpoint"/>
        <w:numPr>
          <w:ilvl w:val="0"/>
          <w:numId w:val="0"/>
        </w:numPr>
        <w:ind w:left="360"/>
      </w:pPr>
      <w:r w:rsidRPr="00863D9F">
        <w:t xml:space="preserve">There are no requirements for curvature or material within any of these mandatory standards.  </w:t>
      </w:r>
    </w:p>
    <w:p w14:paraId="2C5BBFB9" w14:textId="77777777" w:rsidR="00767472" w:rsidRPr="00863D9F" w:rsidRDefault="00767472" w:rsidP="00D21B3B">
      <w:pPr>
        <w:pStyle w:val="ListParagraph"/>
        <w:numPr>
          <w:ilvl w:val="0"/>
          <w:numId w:val="34"/>
        </w:numPr>
      </w:pPr>
      <w:r w:rsidRPr="00863D9F">
        <w:t>New Zealand has a permanent ban preventing the sale of Inclined Sleep Products with an incline greater than 7 degrees.</w:t>
      </w:r>
      <w:r w:rsidRPr="00863D9F">
        <w:rPr>
          <w:vertAlign w:val="superscript"/>
        </w:rPr>
        <w:footnoteReference w:id="12"/>
      </w:r>
    </w:p>
    <w:p w14:paraId="56D6F658" w14:textId="77777777" w:rsidR="00767472" w:rsidRPr="00863D9F" w:rsidRDefault="00767472" w:rsidP="00767472">
      <w:r w:rsidRPr="00863D9F">
        <w:t>These standards do not holistically address all safety risks associated with Infant Sleep Products. Therefore, the ACCC considers adopting any one of these existing overseas standards would not address the scope of risks posed by Infant Sleep Products.</w:t>
      </w:r>
    </w:p>
    <w:p w14:paraId="0FB57B84" w14:textId="77777777" w:rsidR="00767472" w:rsidRPr="0056619F" w:rsidRDefault="00767472" w:rsidP="00D21B3B">
      <w:pPr>
        <w:pStyle w:val="Numbered11"/>
        <w:ind w:left="794" w:hanging="794"/>
        <w:rPr>
          <w:rFonts w:ascii="Roboto" w:hAnsi="Roboto"/>
          <w:sz w:val="32"/>
          <w:szCs w:val="32"/>
        </w:rPr>
      </w:pPr>
      <w:bookmarkStart w:id="25" w:name="_Toc139452448"/>
      <w:bookmarkStart w:id="26" w:name="_Toc140065169"/>
      <w:r w:rsidRPr="0056619F">
        <w:rPr>
          <w:rFonts w:ascii="Roboto" w:hAnsi="Roboto"/>
          <w:sz w:val="32"/>
          <w:szCs w:val="32"/>
        </w:rPr>
        <w:t>Alternatives to government action</w:t>
      </w:r>
      <w:bookmarkEnd w:id="25"/>
      <w:bookmarkEnd w:id="26"/>
    </w:p>
    <w:p w14:paraId="40503FDC" w14:textId="77777777" w:rsidR="00767472" w:rsidRPr="00863D9F" w:rsidRDefault="00767472" w:rsidP="00767472">
      <w:pPr>
        <w:pStyle w:val="Bulletpoint"/>
        <w:numPr>
          <w:ilvl w:val="0"/>
          <w:numId w:val="0"/>
        </w:numPr>
        <w:tabs>
          <w:tab w:val="clear" w:pos="340"/>
        </w:tabs>
      </w:pPr>
      <w:r w:rsidRPr="00863D9F">
        <w:t>Industry self-regulation activities are the primary alternative to mandatory regulation by government. The ACCC is not aware of any broad self-regulation in relation to the risks identified in this paper. The ACCC is aware that in June 2022 the Infant Safe Sleep Working Group, comprising of industry, medical, research and consumer advocacy representatives, released a ‘</w:t>
      </w:r>
      <w:hyperlink r:id="rId38" w:history="1">
        <w:r w:rsidRPr="00863D9F">
          <w:rPr>
            <w:rStyle w:val="Hyperlink"/>
          </w:rPr>
          <w:t>Best practice guide for the design of safe infant sleeping environments</w:t>
        </w:r>
      </w:hyperlink>
      <w:r w:rsidRPr="00863D9F">
        <w:t xml:space="preserve">’ to provide industry with information on what makes infant sleep environments unsafe and highlight design and marketing considerations. </w:t>
      </w:r>
    </w:p>
    <w:p w14:paraId="61AEAAA5" w14:textId="77777777" w:rsidR="00767472" w:rsidRPr="00863D9F" w:rsidRDefault="00767472" w:rsidP="00767472">
      <w:pPr>
        <w:pStyle w:val="Bulletpoint"/>
        <w:keepNext/>
        <w:numPr>
          <w:ilvl w:val="0"/>
          <w:numId w:val="0"/>
        </w:numPr>
      </w:pPr>
      <w:r w:rsidRPr="00863D9F">
        <w:t>Education and awareness-raising is another alternative to mandatory regulation. In Australia, safe sleeping advice and education is made available to parents and caregivers via:</w:t>
      </w:r>
    </w:p>
    <w:p w14:paraId="04D55FFA" w14:textId="77777777" w:rsidR="00767472" w:rsidRPr="00863D9F" w:rsidRDefault="00767472" w:rsidP="00D21B3B">
      <w:pPr>
        <w:pStyle w:val="ListParagraph"/>
        <w:numPr>
          <w:ilvl w:val="0"/>
          <w:numId w:val="34"/>
        </w:numPr>
      </w:pPr>
      <w:r w:rsidRPr="00863D9F">
        <w:t>The health departments in each state and territory which provide online information and resources. Many have safe sleeping standards or guidelines for healthcare providers to promote consistent safe sleeping practices.</w:t>
      </w:r>
      <w:r w:rsidRPr="00863D9F">
        <w:rPr>
          <w:vertAlign w:val="superscript"/>
        </w:rPr>
        <w:footnoteReference w:id="13"/>
      </w:r>
    </w:p>
    <w:p w14:paraId="08CF99BE" w14:textId="77777777" w:rsidR="00767472" w:rsidRPr="00863D9F" w:rsidRDefault="00767472" w:rsidP="00D21B3B">
      <w:pPr>
        <w:pStyle w:val="ListParagraph"/>
        <w:numPr>
          <w:ilvl w:val="0"/>
          <w:numId w:val="34"/>
        </w:numPr>
      </w:pPr>
      <w:r w:rsidRPr="00863D9F">
        <w:t xml:space="preserve">‘SIDS and Kids’ are not-for-profit organisations based in South Australia, </w:t>
      </w:r>
      <w:proofErr w:type="gramStart"/>
      <w:r w:rsidRPr="00863D9F">
        <w:t>Tasmania</w:t>
      </w:r>
      <w:proofErr w:type="gramEnd"/>
      <w:r w:rsidRPr="00863D9F">
        <w:t xml:space="preserve"> and the Northern Territory.</w:t>
      </w:r>
      <w:r w:rsidRPr="00863D9F">
        <w:rPr>
          <w:vertAlign w:val="superscript"/>
        </w:rPr>
        <w:footnoteReference w:id="14"/>
      </w:r>
      <w:r w:rsidRPr="00863D9F">
        <w:t xml:space="preserve"> These organisations provide state-based education programs and undertake public awareness campaigns in relation to safe sleep practices.</w:t>
      </w:r>
    </w:p>
    <w:p w14:paraId="1F49D00A" w14:textId="0693F534" w:rsidR="00767472" w:rsidRPr="00863D9F" w:rsidRDefault="00767472" w:rsidP="00D21B3B">
      <w:pPr>
        <w:pStyle w:val="ListParagraph"/>
        <w:numPr>
          <w:ilvl w:val="0"/>
          <w:numId w:val="34"/>
        </w:numPr>
      </w:pPr>
      <w:r w:rsidRPr="00863D9F">
        <w:t>Red Nose Australia (Red Nose) published safe sleep guidelines that recommend infants sleep on a flat, firm surface to reduce the risk of SIDS.</w:t>
      </w:r>
      <w:r w:rsidRPr="00863D9F">
        <w:rPr>
          <w:vertAlign w:val="superscript"/>
        </w:rPr>
        <w:footnoteReference w:id="15"/>
      </w:r>
      <w:r w:rsidRPr="00863D9F">
        <w:rPr>
          <w:vertAlign w:val="superscript"/>
        </w:rPr>
        <w:t xml:space="preserve"> </w:t>
      </w:r>
      <w:r w:rsidRPr="00863D9F">
        <w:t xml:space="preserve">This advice is consistent even for infants experiencing </w:t>
      </w:r>
      <w:r w:rsidR="00505A8C" w:rsidRPr="00505A8C">
        <w:t>g</w:t>
      </w:r>
      <w:r w:rsidR="008D165A" w:rsidRPr="008D165A">
        <w:t>astro-oesophageal</w:t>
      </w:r>
      <w:r w:rsidR="00505A8C" w:rsidRPr="00505A8C">
        <w:t> </w:t>
      </w:r>
      <w:r w:rsidRPr="00863D9F">
        <w:t>reflux and aligns with international best practice and has been consistent for decades.</w:t>
      </w:r>
      <w:r w:rsidRPr="00863D9F">
        <w:rPr>
          <w:vertAlign w:val="superscript"/>
        </w:rPr>
        <w:footnoteReference w:id="16"/>
      </w:r>
    </w:p>
    <w:p w14:paraId="6DBEC415" w14:textId="77777777" w:rsidR="00767472" w:rsidRPr="00863D9F" w:rsidRDefault="00767472" w:rsidP="00D21B3B">
      <w:pPr>
        <w:pStyle w:val="ListParagraph"/>
        <w:numPr>
          <w:ilvl w:val="0"/>
          <w:numId w:val="34"/>
        </w:numPr>
      </w:pPr>
      <w:r w:rsidRPr="00863D9F">
        <w:t xml:space="preserve">The ACCC’s </w:t>
      </w:r>
      <w:hyperlink r:id="rId39" w:history="1">
        <w:r w:rsidRPr="00863D9F">
          <w:rPr>
            <w:rStyle w:val="Hyperlink"/>
          </w:rPr>
          <w:t>Your First Steps</w:t>
        </w:r>
      </w:hyperlink>
      <w:r w:rsidRPr="00863D9F">
        <w:t xml:space="preserve"> website provides important information for parents and carers to consider when purchasing, installing, and using baby products, to keep babies safe. It also directs industry and consumers to the Product Safety Australia website for further information on their product safety rights and obligations.</w:t>
      </w:r>
      <w:r w:rsidRPr="00863D9F">
        <w:rPr>
          <w:rStyle w:val="FootnoteReference"/>
        </w:rPr>
        <w:footnoteReference w:id="17"/>
      </w:r>
      <w:r w:rsidRPr="00863D9F">
        <w:t xml:space="preserve"> </w:t>
      </w:r>
    </w:p>
    <w:p w14:paraId="4A75392A" w14:textId="77777777" w:rsidR="00767472" w:rsidRPr="00863D9F" w:rsidRDefault="00767472" w:rsidP="00767472">
      <w:pPr>
        <w:pStyle w:val="Bulletpoint"/>
        <w:numPr>
          <w:ilvl w:val="0"/>
          <w:numId w:val="0"/>
        </w:numPr>
        <w:tabs>
          <w:tab w:val="clear" w:pos="340"/>
        </w:tabs>
      </w:pPr>
      <w:r w:rsidRPr="00863D9F">
        <w:t>The safe sleep guidance for infants to sleep on their back on a firm, flat surface was published in the 1990s, resulting in an 85% reduction in SIDS.</w:t>
      </w:r>
      <w:r w:rsidRPr="00863D9F">
        <w:rPr>
          <w:vertAlign w:val="superscript"/>
        </w:rPr>
        <w:t xml:space="preserve"> </w:t>
      </w:r>
      <w:r w:rsidRPr="00863D9F">
        <w:t xml:space="preserve">Although these sources of information provide general advice to parents and caregivers, the ACCC continues to see products available in the Australian market that do not comply with this advice. </w:t>
      </w:r>
    </w:p>
    <w:p w14:paraId="0E1ECA84" w14:textId="77777777" w:rsidR="00767472" w:rsidRPr="0056619F" w:rsidRDefault="00767472" w:rsidP="00D21B3B">
      <w:pPr>
        <w:pStyle w:val="Numbered11"/>
        <w:rPr>
          <w:rFonts w:ascii="Roboto" w:hAnsi="Roboto"/>
          <w:sz w:val="32"/>
          <w:szCs w:val="32"/>
        </w:rPr>
      </w:pPr>
      <w:bookmarkStart w:id="27" w:name="_Toc139452449"/>
      <w:bookmarkStart w:id="28" w:name="_Toc140065170"/>
      <w:r w:rsidRPr="0056619F">
        <w:rPr>
          <w:rFonts w:ascii="Roboto" w:hAnsi="Roboto"/>
          <w:sz w:val="32"/>
          <w:szCs w:val="32"/>
        </w:rPr>
        <w:t>Objectives of intervention</w:t>
      </w:r>
      <w:bookmarkEnd w:id="27"/>
      <w:bookmarkEnd w:id="28"/>
      <w:r w:rsidRPr="0056619F">
        <w:rPr>
          <w:rFonts w:ascii="Roboto" w:hAnsi="Roboto"/>
          <w:sz w:val="32"/>
          <w:szCs w:val="32"/>
        </w:rPr>
        <w:t xml:space="preserve"> </w:t>
      </w:r>
    </w:p>
    <w:p w14:paraId="4E4BDDA7" w14:textId="77777777" w:rsidR="00767472" w:rsidRPr="00863D9F" w:rsidRDefault="00767472" w:rsidP="00767472">
      <w:pPr>
        <w:pStyle w:val="Bulletpoint"/>
        <w:numPr>
          <w:ilvl w:val="0"/>
          <w:numId w:val="0"/>
        </w:numPr>
      </w:pPr>
      <w:r w:rsidRPr="00863D9F">
        <w:t xml:space="preserve">The ultimate objective of regulatory intervention is to reduce injury and fatalities associated with Infant Sleep Products and Inclined Non-Sleep Products. Improving consumer awareness on the risks posed by infants sleeping in Inclined Non-Sleep Products is also expected to help achieve this outcome. </w:t>
      </w:r>
    </w:p>
    <w:p w14:paraId="4F83363F" w14:textId="77777777" w:rsidR="00767472" w:rsidRPr="00863D9F" w:rsidRDefault="00767472" w:rsidP="00767472">
      <w:pPr>
        <w:pStyle w:val="Bulletpoint"/>
        <w:numPr>
          <w:ilvl w:val="0"/>
          <w:numId w:val="0"/>
        </w:numPr>
      </w:pPr>
      <w:r w:rsidRPr="00863D9F">
        <w:t xml:space="preserve">Industry compliance is an important factor of regulatory intervention, and non-compliance, whether deliberately or by omission, would limit the effect of the regulation. For an optimal outcome, retailers and the wider industry must engage with the regulation, meet the prescribed </w:t>
      </w:r>
      <w:proofErr w:type="gramStart"/>
      <w:r w:rsidRPr="00863D9F">
        <w:t>requirements</w:t>
      </w:r>
      <w:proofErr w:type="gramEnd"/>
      <w:r w:rsidRPr="00863D9F">
        <w:t xml:space="preserve"> and further promote the relevant information to consumers. </w:t>
      </w:r>
    </w:p>
    <w:p w14:paraId="77C4DBE9" w14:textId="77777777" w:rsidR="00767472" w:rsidRPr="00863D9F" w:rsidRDefault="00767472" w:rsidP="00767472">
      <w:pPr>
        <w:pStyle w:val="Bulletpoint"/>
        <w:numPr>
          <w:ilvl w:val="0"/>
          <w:numId w:val="0"/>
        </w:numPr>
      </w:pPr>
      <w:r w:rsidRPr="00863D9F">
        <w:t xml:space="preserve">Whilst most risks will be addressed by the design requirements of the mandatory safety standard for Infant Sleep Products, the information standard for both Infant Sleep Products and Inclined Non-Sleep Products must resonate with consumers in the purchase and use. Should this intervention be unclear or be ignored, it will have a diminished outcome. </w:t>
      </w:r>
    </w:p>
    <w:p w14:paraId="56356F5B" w14:textId="77777777" w:rsidR="00767472" w:rsidRPr="00863D9F" w:rsidRDefault="00767472" w:rsidP="00767472">
      <w:pPr>
        <w:pStyle w:val="Bulletpoint"/>
        <w:numPr>
          <w:ilvl w:val="0"/>
          <w:numId w:val="0"/>
        </w:numPr>
      </w:pPr>
      <w:r w:rsidRPr="00863D9F">
        <w:t xml:space="preserve">We expect an improvement in consumer awareness over 5 years will demonstrate that the intervention has had a positive impact for Australian consumers. </w:t>
      </w:r>
    </w:p>
    <w:p w14:paraId="5AFDDDAF" w14:textId="77777777" w:rsidR="00767472" w:rsidRPr="0056619F" w:rsidRDefault="00767472" w:rsidP="00D21B3B">
      <w:pPr>
        <w:pStyle w:val="Numbered11"/>
        <w:rPr>
          <w:rFonts w:ascii="Roboto" w:hAnsi="Roboto"/>
          <w:sz w:val="32"/>
          <w:szCs w:val="32"/>
        </w:rPr>
      </w:pPr>
      <w:bookmarkStart w:id="29" w:name="_Toc139452450"/>
      <w:bookmarkStart w:id="30" w:name="_Toc140065171"/>
      <w:r w:rsidRPr="0056619F">
        <w:rPr>
          <w:rFonts w:ascii="Roboto" w:hAnsi="Roboto"/>
          <w:sz w:val="32"/>
          <w:szCs w:val="32"/>
        </w:rPr>
        <w:t>Estimated future impact</w:t>
      </w:r>
      <w:bookmarkEnd w:id="29"/>
      <w:bookmarkEnd w:id="30"/>
      <w:r w:rsidRPr="0056619F">
        <w:rPr>
          <w:rFonts w:ascii="Roboto" w:hAnsi="Roboto"/>
          <w:sz w:val="32"/>
          <w:szCs w:val="32"/>
        </w:rPr>
        <w:t xml:space="preserve"> </w:t>
      </w:r>
    </w:p>
    <w:p w14:paraId="582E646E" w14:textId="77777777" w:rsidR="00767472" w:rsidRPr="00863D9F" w:rsidRDefault="00767472" w:rsidP="00767472">
      <w:r w:rsidRPr="00863D9F">
        <w:t xml:space="preserve">The ACCC estimates </w:t>
      </w:r>
      <w:r w:rsidRPr="00863D9F">
        <w:rPr>
          <w:b/>
          <w:bCs/>
        </w:rPr>
        <w:t>7.67</w:t>
      </w:r>
      <w:r w:rsidRPr="00863D9F">
        <w:t xml:space="preserve"> infant fatalities occur per year for Infant Sleep Products and </w:t>
      </w:r>
      <w:r w:rsidRPr="00863D9F">
        <w:rPr>
          <w:b/>
          <w:bCs/>
        </w:rPr>
        <w:t>2.76</w:t>
      </w:r>
      <w:r w:rsidRPr="00863D9F">
        <w:t xml:space="preserve"> infant fatalities occur per year for Inclined Sleep Products. If no government action is taken, the ACCC estimates </w:t>
      </w:r>
      <w:r w:rsidRPr="00863D9F">
        <w:rPr>
          <w:b/>
          <w:bCs/>
        </w:rPr>
        <w:t>78</w:t>
      </w:r>
      <w:r w:rsidRPr="00863D9F">
        <w:t xml:space="preserve"> fatalities will occur by 2029 (see Table 6). The combined cost of fatalities is estimated to be </w:t>
      </w:r>
      <w:r w:rsidRPr="00863D9F">
        <w:rPr>
          <w:b/>
          <w:bCs/>
        </w:rPr>
        <w:t>$300 million</w:t>
      </w:r>
      <w:r w:rsidRPr="00863D9F">
        <w:t xml:space="preserve"> over this period (see part 5.1). </w:t>
      </w:r>
    </w:p>
    <w:p w14:paraId="06CFB258" w14:textId="77777777" w:rsidR="00767472" w:rsidRPr="00863D9F" w:rsidRDefault="00767472" w:rsidP="00767472">
      <w:r w:rsidRPr="00863D9F">
        <w:t>The true impact of injuries and fatalities is not quantifiable due to intangible costs faced by families and caregivers following a fatality or serious injury. The loss of a child will have an immense effect on the wellbeing of those affected in subsequent years.</w:t>
      </w:r>
      <w:r w:rsidRPr="00863D9F" w:rsidDel="006E0466">
        <w:rPr>
          <w:vertAlign w:val="superscript"/>
        </w:rPr>
        <w:t xml:space="preserve"> </w:t>
      </w:r>
    </w:p>
    <w:p w14:paraId="68F9A066" w14:textId="2A9F3D88" w:rsidR="00767472" w:rsidRPr="0056619F" w:rsidRDefault="00767472" w:rsidP="00D21B3B">
      <w:pPr>
        <w:pStyle w:val="Numbered1"/>
        <w:rPr>
          <w:rFonts w:ascii="Roboto" w:hAnsi="Roboto"/>
          <w:sz w:val="44"/>
          <w:szCs w:val="44"/>
        </w:rPr>
      </w:pPr>
      <w:bookmarkStart w:id="31" w:name="_Toc139452451"/>
      <w:bookmarkStart w:id="32" w:name="_Toc140065172"/>
      <w:r w:rsidRPr="0056619F">
        <w:rPr>
          <w:rFonts w:ascii="Roboto" w:hAnsi="Roboto"/>
          <w:sz w:val="44"/>
          <w:szCs w:val="44"/>
        </w:rPr>
        <w:t xml:space="preserve">Who </w:t>
      </w:r>
      <w:r w:rsidR="00255653">
        <w:rPr>
          <w:rFonts w:ascii="Roboto" w:hAnsi="Roboto"/>
          <w:sz w:val="44"/>
          <w:szCs w:val="44"/>
        </w:rPr>
        <w:t xml:space="preserve">did you </w:t>
      </w:r>
      <w:r w:rsidRPr="0056619F">
        <w:rPr>
          <w:rFonts w:ascii="Roboto" w:hAnsi="Roboto"/>
          <w:sz w:val="44"/>
          <w:szCs w:val="44"/>
        </w:rPr>
        <w:t xml:space="preserve">consult </w:t>
      </w:r>
      <w:r w:rsidR="007F3C76">
        <w:rPr>
          <w:rFonts w:ascii="Roboto" w:hAnsi="Roboto"/>
          <w:sz w:val="44"/>
          <w:szCs w:val="44"/>
        </w:rPr>
        <w:t xml:space="preserve">and how did you incorporate </w:t>
      </w:r>
      <w:r w:rsidRPr="0056619F">
        <w:rPr>
          <w:rFonts w:ascii="Roboto" w:hAnsi="Roboto"/>
          <w:sz w:val="44"/>
          <w:szCs w:val="44"/>
        </w:rPr>
        <w:t>their feedback?</w:t>
      </w:r>
      <w:bookmarkEnd w:id="31"/>
      <w:bookmarkEnd w:id="32"/>
      <w:r w:rsidRPr="0056619F">
        <w:rPr>
          <w:rFonts w:ascii="Roboto" w:hAnsi="Roboto"/>
          <w:sz w:val="44"/>
          <w:szCs w:val="44"/>
        </w:rPr>
        <w:t xml:space="preserve"> </w:t>
      </w:r>
    </w:p>
    <w:p w14:paraId="4B8B5F5E" w14:textId="77777777" w:rsidR="00767472" w:rsidRPr="00863D9F" w:rsidRDefault="00767472" w:rsidP="00767472">
      <w:r w:rsidRPr="00863D9F">
        <w:t xml:space="preserve">The ACCC consulted on multiple occasions on Infant Sleep Products, Inclined Sleep </w:t>
      </w:r>
      <w:proofErr w:type="gramStart"/>
      <w:r w:rsidRPr="00863D9F">
        <w:t>Products</w:t>
      </w:r>
      <w:proofErr w:type="gramEnd"/>
      <w:r w:rsidRPr="00863D9F">
        <w:t xml:space="preserve"> and Inclined Non-Sleep Products to understand the specific risks, if these apply to products within the Australian market and potential options to address these risks and the impacts. </w:t>
      </w:r>
    </w:p>
    <w:p w14:paraId="3CD66BB8" w14:textId="77777777" w:rsidR="00767472" w:rsidRPr="00863D9F" w:rsidRDefault="00767472" w:rsidP="00767472">
      <w:r w:rsidRPr="00863D9F">
        <w:t xml:space="preserve">In summary: </w:t>
      </w:r>
    </w:p>
    <w:p w14:paraId="08EF5221" w14:textId="77777777" w:rsidR="00767472" w:rsidRPr="00863D9F" w:rsidRDefault="00767472" w:rsidP="00D21B3B">
      <w:pPr>
        <w:pStyle w:val="ListParagraph"/>
        <w:numPr>
          <w:ilvl w:val="0"/>
          <w:numId w:val="35"/>
        </w:numPr>
      </w:pPr>
      <w:r w:rsidRPr="00863D9F">
        <w:t xml:space="preserve">In 2014 and 2016, the ACCC sought public consultation on the effectiveness of the Household Cots Mandatory Standard as per the ACCC’s role to monitor mandatory standards (see 3.1 below). </w:t>
      </w:r>
    </w:p>
    <w:p w14:paraId="602E7F1F" w14:textId="77777777" w:rsidR="00767472" w:rsidRPr="00863D9F" w:rsidRDefault="00767472" w:rsidP="00D21B3B">
      <w:pPr>
        <w:pStyle w:val="ListParagraph"/>
        <w:numPr>
          <w:ilvl w:val="0"/>
          <w:numId w:val="35"/>
        </w:numPr>
      </w:pPr>
      <w:r w:rsidRPr="00863D9F">
        <w:t xml:space="preserve">In 2021, the ACCC consulted with 14 stakeholders in a targeted consultation to understand if the risk of incline for Inclined Sleep Products was applicable in the Australian market. Stakeholders from industry, advocacy organisations, health professionals and international regulators agreed the incline risk applied to Inclined Sleep Products and Inclined Non-Sleep Products and likely applied to those in the Australian market. </w:t>
      </w:r>
    </w:p>
    <w:p w14:paraId="72CFBEDF" w14:textId="77777777" w:rsidR="00767472" w:rsidRPr="00863D9F" w:rsidRDefault="00767472" w:rsidP="00D21B3B">
      <w:pPr>
        <w:pStyle w:val="ListParagraph"/>
        <w:numPr>
          <w:ilvl w:val="0"/>
          <w:numId w:val="35"/>
        </w:numPr>
      </w:pPr>
      <w:r w:rsidRPr="00863D9F">
        <w:t xml:space="preserve">In 2021, the ACCC published an Issues Paper for public consultation on the risks associated with Inclined Sleep Products, Inclined Non-Sleep </w:t>
      </w:r>
      <w:proofErr w:type="gramStart"/>
      <w:r w:rsidRPr="00863D9F">
        <w:t>Products</w:t>
      </w:r>
      <w:proofErr w:type="gramEnd"/>
      <w:r w:rsidRPr="00863D9F">
        <w:t xml:space="preserve"> and possible options to address those risks. The ACCC received 27 submissions from a broad range of stakeholders, the majority of which supported regulatory intervention for Inclined Sleep Products and Inclined Non-Sleep Products (see 3.3 below).</w:t>
      </w:r>
    </w:p>
    <w:p w14:paraId="26DA5F75" w14:textId="77777777" w:rsidR="00767472" w:rsidRPr="00863D9F" w:rsidRDefault="00767472" w:rsidP="00D21B3B">
      <w:pPr>
        <w:pStyle w:val="ListParagraph"/>
        <w:numPr>
          <w:ilvl w:val="0"/>
          <w:numId w:val="35"/>
        </w:numPr>
      </w:pPr>
      <w:r w:rsidRPr="00863D9F">
        <w:t xml:space="preserve">In 2022, the ACCC received the Expert Reports from Dr Tom Whyte, a biomechanical engineer and Professor Rosemary Horne, a paediatrician. The Expert Reports confirmed curvature, rigidity and the material used pose a risk to infants and warrant consideration in addition to incline. Both experts highlight the need for adult supervision of infants placed in inclined products, noting infant fatalities can occur in short timeframes for infants both sleeping and awake. The Expert Reports considered there is insufficient scientific evidence to suggest the width of a product or side height pose a significant risk on their own. Based on this information, the ACCC expanded the scope of the products intended to be regulated. </w:t>
      </w:r>
    </w:p>
    <w:p w14:paraId="228CDB74" w14:textId="77777777" w:rsidR="00767472" w:rsidRPr="00863D9F" w:rsidRDefault="00767472" w:rsidP="00D21B3B">
      <w:pPr>
        <w:pStyle w:val="ListParagraph"/>
        <w:numPr>
          <w:ilvl w:val="0"/>
          <w:numId w:val="35"/>
        </w:numPr>
      </w:pPr>
      <w:r w:rsidRPr="00863D9F">
        <w:t xml:space="preserve">In 2022, the ACCC published a Consultation Paper which considered the broader risks associated with infant sleep and the likely effectiveness and cost of regulatory and non-regulatory options to address the risks identified in the Expert Reports. The Consultation Paper simultaneously consulted on the existing household cots and folding cots mandatory safety standards. The ACCC received 27 submissions from a broad range of stakeholders including manufacturers, government agencies, international bodies, advocacy organisations, businesses, </w:t>
      </w:r>
      <w:proofErr w:type="gramStart"/>
      <w:r w:rsidRPr="00863D9F">
        <w:t>consumers</w:t>
      </w:r>
      <w:proofErr w:type="gramEnd"/>
      <w:r w:rsidRPr="00863D9F">
        <w:t xml:space="preserve"> and health professionals (see 3.4 below).</w:t>
      </w:r>
    </w:p>
    <w:p w14:paraId="10CBC3B7" w14:textId="77777777" w:rsidR="00767472" w:rsidRPr="00863D9F" w:rsidRDefault="00767472" w:rsidP="00D21B3B">
      <w:pPr>
        <w:pStyle w:val="ListParagraph"/>
        <w:numPr>
          <w:ilvl w:val="0"/>
          <w:numId w:val="35"/>
        </w:numPr>
      </w:pPr>
      <w:r w:rsidRPr="00863D9F">
        <w:t xml:space="preserve">In March 2023, the ACCC sought further feedback from industry in relation to possible test methods and requirements for surface materials (breathability), firmness and bassinets. Additionally, cost information was requested to estimate the impacts of a mandatory safety standard and mandatory information standard. Stakeholders generally supported the requirements and test methods proposed. </w:t>
      </w:r>
      <w:r w:rsidRPr="00863D9F">
        <w:rPr>
          <w:rFonts w:cs="Arial"/>
        </w:rPr>
        <w:t xml:space="preserve">Bloom &amp; Grow, CNP Brands and </w:t>
      </w:r>
      <w:r w:rsidRPr="00863D9F">
        <w:t xml:space="preserve">the Infant Nursery Products Alliance of Australia (INPAA) </w:t>
      </w:r>
      <w:r w:rsidRPr="00863D9F">
        <w:rPr>
          <w:rFonts w:cs="Arial"/>
        </w:rPr>
        <w:t xml:space="preserve">provided cost information which has been used in the cost benefit analysis (see part 5). </w:t>
      </w:r>
    </w:p>
    <w:p w14:paraId="741FFD66" w14:textId="77777777" w:rsidR="00767472" w:rsidRPr="00863D9F" w:rsidRDefault="00767472" w:rsidP="00D21B3B">
      <w:pPr>
        <w:pStyle w:val="ListParagraph"/>
        <w:numPr>
          <w:ilvl w:val="0"/>
          <w:numId w:val="35"/>
        </w:numPr>
      </w:pPr>
      <w:r w:rsidRPr="00863D9F">
        <w:rPr>
          <w:rFonts w:cs="Arial"/>
        </w:rPr>
        <w:t xml:space="preserve">In April 2023, the ACCC continued to liaise with medical professionals to better understand the products provided in health care and outreach programs aimed at families in high-risk situations. Based on the information provided, it appears these products are likely to comply with the requirements of the proposed mandatory safety standard.  </w:t>
      </w:r>
    </w:p>
    <w:p w14:paraId="0A491B8F" w14:textId="77777777" w:rsidR="00767472" w:rsidRPr="0056619F" w:rsidRDefault="00767472" w:rsidP="00D21B3B">
      <w:pPr>
        <w:pStyle w:val="Numbered11"/>
        <w:rPr>
          <w:rFonts w:ascii="Roboto" w:hAnsi="Roboto"/>
          <w:sz w:val="32"/>
          <w:szCs w:val="32"/>
        </w:rPr>
      </w:pPr>
      <w:bookmarkStart w:id="33" w:name="_Toc139452452"/>
      <w:bookmarkStart w:id="34" w:name="_Toc140065173"/>
      <w:r w:rsidRPr="0056619F">
        <w:rPr>
          <w:rFonts w:ascii="Roboto" w:hAnsi="Roboto"/>
          <w:sz w:val="32"/>
          <w:szCs w:val="32"/>
        </w:rPr>
        <w:t>Household cots</w:t>
      </w:r>
      <w:bookmarkEnd w:id="33"/>
      <w:bookmarkEnd w:id="34"/>
    </w:p>
    <w:p w14:paraId="31B2E6D6" w14:textId="77777777" w:rsidR="00767472" w:rsidRPr="00863D9F" w:rsidRDefault="00767472" w:rsidP="00767472">
      <w:r w:rsidRPr="00863D9F">
        <w:t xml:space="preserve">The Household Cots Mandatory Standard was introduced in 2005 and references the 2003 Voluntary Standard. However, the Voluntary Standard was updated in 2010 and 2013. These updates included new test procedures for the strength and integrity of cots with drop sides and requirements for mattress firmness. As the Household Cots Mandatory Standard still references the 2003 version it does not capture these latest requirements. </w:t>
      </w:r>
    </w:p>
    <w:p w14:paraId="374E67D3" w14:textId="77777777" w:rsidR="00767472" w:rsidRPr="00863D9F" w:rsidRDefault="00767472" w:rsidP="00767472">
      <w:pPr>
        <w:keepNext/>
      </w:pPr>
      <w:r w:rsidRPr="00863D9F">
        <w:t>The ACCC conducted public consultations on the Household Cots Mandatory Standard in 2014, 2016 and 2022:</w:t>
      </w:r>
    </w:p>
    <w:p w14:paraId="55F1D973" w14:textId="77777777" w:rsidR="00767472" w:rsidRPr="00863D9F" w:rsidRDefault="00767472" w:rsidP="00D21B3B">
      <w:pPr>
        <w:pStyle w:val="ListParagraph"/>
        <w:numPr>
          <w:ilvl w:val="0"/>
          <w:numId w:val="35"/>
        </w:numPr>
      </w:pPr>
      <w:r w:rsidRPr="00863D9F">
        <w:t xml:space="preserve">In 2014, stakeholder responses supported inclusion of the voluntary standard for mattress firmness (AS/NZS 8811.1:2013 Methods of testing infant products, Method 1: Sleep Surfaces – Test for firmness) (Voluntary Infant Mattress Standard), which requires mattresses to meet a minimum rigidity by assessing whether infant sleep surfaces exhibit excessive compression when subject to constant applied force. This is incorporated in the 2013 version of the Household Cots Voluntary Standard. Stakeholders supported the inclusion of the Voluntary Infant Mattress Standard to apply to all infant mattresses supplied either with the cot or mattresses supplied separately, mattresses in folding cots and other sleep products where a mattress is included. </w:t>
      </w:r>
    </w:p>
    <w:p w14:paraId="3A2FFBC7" w14:textId="77777777" w:rsidR="00767472" w:rsidRPr="00863D9F" w:rsidRDefault="00767472" w:rsidP="00D21B3B">
      <w:pPr>
        <w:pStyle w:val="ListParagraph"/>
        <w:numPr>
          <w:ilvl w:val="0"/>
          <w:numId w:val="35"/>
        </w:numPr>
      </w:pPr>
      <w:r w:rsidRPr="00863D9F">
        <w:t>In 2016, stakeholder responses reinforced support for inclusion of the Voluntary Infant Mattress Standard and for the Household Cots Mandatory Standard to reflect the current version of the voluntary standards. However, revisions to the Household Cots Mandatory Standard were delayed.</w:t>
      </w:r>
    </w:p>
    <w:p w14:paraId="5DDAC374" w14:textId="77777777" w:rsidR="00767472" w:rsidRPr="00863D9F" w:rsidRDefault="00767472" w:rsidP="00D21B3B">
      <w:pPr>
        <w:pStyle w:val="ListParagraph"/>
        <w:numPr>
          <w:ilvl w:val="0"/>
          <w:numId w:val="35"/>
        </w:numPr>
      </w:pPr>
      <w:r w:rsidRPr="00863D9F">
        <w:t>In 2022, stakeholder responses supported updates to the Household Cots Mandatory Standard amended to adopt sections of the most recent respective Household Cots Voluntary Standard and allow compliance with trusted overseas standard (see 3.4 below).</w:t>
      </w:r>
    </w:p>
    <w:p w14:paraId="2C8921E4" w14:textId="77777777" w:rsidR="00767472" w:rsidRPr="0056619F" w:rsidRDefault="00767472" w:rsidP="00D21B3B">
      <w:pPr>
        <w:pStyle w:val="Numbered11"/>
        <w:rPr>
          <w:rFonts w:ascii="Roboto" w:hAnsi="Roboto"/>
          <w:sz w:val="32"/>
          <w:szCs w:val="32"/>
        </w:rPr>
      </w:pPr>
      <w:bookmarkStart w:id="35" w:name="_Toc139452453"/>
      <w:bookmarkStart w:id="36" w:name="_Toc140065174"/>
      <w:r w:rsidRPr="0056619F">
        <w:rPr>
          <w:rFonts w:ascii="Roboto" w:hAnsi="Roboto"/>
          <w:sz w:val="32"/>
          <w:szCs w:val="32"/>
        </w:rPr>
        <w:t>Folding cots</w:t>
      </w:r>
      <w:bookmarkEnd w:id="35"/>
      <w:bookmarkEnd w:id="36"/>
      <w:r w:rsidRPr="0056619F">
        <w:rPr>
          <w:rFonts w:ascii="Roboto" w:hAnsi="Roboto"/>
          <w:sz w:val="32"/>
          <w:szCs w:val="32"/>
        </w:rPr>
        <w:t xml:space="preserve"> </w:t>
      </w:r>
    </w:p>
    <w:p w14:paraId="23E5FF1F" w14:textId="77777777" w:rsidR="00767472" w:rsidRPr="00863D9F" w:rsidRDefault="00767472" w:rsidP="00767472">
      <w:pPr>
        <w:rPr>
          <w:rFonts w:eastAsia="Times New Roman" w:cs="Arial"/>
        </w:rPr>
      </w:pPr>
      <w:r w:rsidRPr="00863D9F">
        <w:rPr>
          <w:rFonts w:eastAsia="Times New Roman" w:cs="Arial"/>
        </w:rPr>
        <w:t>The Folding Cots Mandatory Standard was introduced in 2008 and references the 1999 Voluntary Standard for folding cots. The Voluntary Standard was updated in 2010 to include requirements for folding cots to have breathable materials, including the mattress and flexible sides. However, a</w:t>
      </w:r>
      <w:r w:rsidRPr="00863D9F">
        <w:t xml:space="preserve">s the Folding Cots Mandatory Standard still references the 1999 version it does not capture these latest requirements. </w:t>
      </w:r>
    </w:p>
    <w:p w14:paraId="49791331" w14:textId="77777777" w:rsidR="00767472" w:rsidRPr="00863D9F" w:rsidRDefault="00767472" w:rsidP="00767472">
      <w:pPr>
        <w:rPr>
          <w:rFonts w:eastAsia="Times New Roman" w:cs="Arial"/>
        </w:rPr>
      </w:pPr>
      <w:r w:rsidRPr="00863D9F">
        <w:rPr>
          <w:rFonts w:eastAsia="Times New Roman" w:cs="Arial"/>
        </w:rPr>
        <w:t>The Consultation Paper consulted on updates to the Folding Cots Mandatory Standard and considered whether that was done as part of a holistic standard for Infant Sleep Products or as a separate process (see 3.4 below).</w:t>
      </w:r>
    </w:p>
    <w:p w14:paraId="44E20ADA" w14:textId="77777777" w:rsidR="00767472" w:rsidRPr="0056619F" w:rsidRDefault="00767472" w:rsidP="00D21B3B">
      <w:pPr>
        <w:pStyle w:val="Numbered11"/>
        <w:rPr>
          <w:rFonts w:ascii="Roboto" w:hAnsi="Roboto"/>
          <w:sz w:val="32"/>
          <w:szCs w:val="32"/>
        </w:rPr>
      </w:pPr>
      <w:bookmarkStart w:id="37" w:name="_Toc139452454"/>
      <w:bookmarkStart w:id="38" w:name="_Toc140065175"/>
      <w:r w:rsidRPr="0056619F">
        <w:rPr>
          <w:rFonts w:ascii="Roboto" w:hAnsi="Roboto"/>
          <w:sz w:val="32"/>
          <w:szCs w:val="32"/>
        </w:rPr>
        <w:t>Issues Paper</w:t>
      </w:r>
      <w:bookmarkEnd w:id="37"/>
      <w:bookmarkEnd w:id="38"/>
      <w:r w:rsidRPr="0056619F">
        <w:rPr>
          <w:rFonts w:ascii="Roboto" w:hAnsi="Roboto"/>
          <w:sz w:val="32"/>
          <w:szCs w:val="32"/>
        </w:rPr>
        <w:t xml:space="preserve"> </w:t>
      </w:r>
    </w:p>
    <w:p w14:paraId="2EC7350C" w14:textId="77777777" w:rsidR="00767472" w:rsidRPr="00863D9F" w:rsidRDefault="00767472" w:rsidP="00767472">
      <w:r w:rsidRPr="00863D9F">
        <w:t xml:space="preserve">In July 2021, the ACCC published an </w:t>
      </w:r>
      <w:hyperlink r:id="rId40" w:history="1">
        <w:r w:rsidRPr="00863D9F">
          <w:rPr>
            <w:rStyle w:val="Hyperlink"/>
          </w:rPr>
          <w:t>Issues Paper</w:t>
        </w:r>
      </w:hyperlink>
      <w:r w:rsidRPr="00863D9F">
        <w:rPr>
          <w:rStyle w:val="Hyperlink"/>
        </w:rPr>
        <w:t xml:space="preserve">, </w:t>
      </w:r>
      <w:r w:rsidRPr="00863D9F">
        <w:t xml:space="preserve">seeking stakeholder feedback on risks associated with Inclined Sleep Products and Inclined Non-Sleep Products and possible options to address those risks.  </w:t>
      </w:r>
    </w:p>
    <w:p w14:paraId="2B4ADDC2" w14:textId="77777777" w:rsidR="00767472" w:rsidRPr="00863D9F" w:rsidRDefault="00767472" w:rsidP="00767472">
      <w:r w:rsidRPr="00863D9F">
        <w:t xml:space="preserve">The ACCC received 27 submissions from a broad range of stakeholders including manufacturers, government agencies, international bodies, advocacy organisations, businesses, </w:t>
      </w:r>
      <w:proofErr w:type="gramStart"/>
      <w:r w:rsidRPr="00863D9F">
        <w:t>consumers</w:t>
      </w:r>
      <w:proofErr w:type="gramEnd"/>
      <w:r w:rsidRPr="00863D9F">
        <w:t xml:space="preserve"> and health professionals. Overall:</w:t>
      </w:r>
    </w:p>
    <w:p w14:paraId="722A317E" w14:textId="77777777" w:rsidR="00767472" w:rsidRPr="00863D9F" w:rsidRDefault="00767472" w:rsidP="00D21B3B">
      <w:pPr>
        <w:pStyle w:val="ListParagraph"/>
        <w:numPr>
          <w:ilvl w:val="0"/>
          <w:numId w:val="35"/>
        </w:numPr>
      </w:pPr>
      <w:r w:rsidRPr="00863D9F">
        <w:t xml:space="preserve">The majority of stakeholders were in favour of at least one form of regulatory intervention for Inclined Sleep Products and Inclined Non-Sleep Products. There was no significant stakeholder opposition to the options outlined in the Issues Paper being an interim or permanent ban, a mandatory information standard and/or a mandatory safety standard. </w:t>
      </w:r>
    </w:p>
    <w:p w14:paraId="57B99CB1" w14:textId="77777777" w:rsidR="00767472" w:rsidRPr="00863D9F" w:rsidRDefault="00767472" w:rsidP="00D21B3B">
      <w:pPr>
        <w:pStyle w:val="ListParagraph"/>
        <w:numPr>
          <w:ilvl w:val="0"/>
          <w:numId w:val="35"/>
        </w:numPr>
      </w:pPr>
      <w:r w:rsidRPr="00863D9F">
        <w:t xml:space="preserve">There was a reasonable degree of consensus supporting banning Inclined Sleep Products and/or regulating Inclined Sleep Products and Inclined Non-Sleep Products by way of a mandatory safety standard. However, there were differences between industry and consumer groups on whether a potential regulation should apply to Inclined Sleep Products only, or to both Inclined Sleep Products and Inclined Non-Sleep Products. Where stakeholders supported a mandatory safety standard, they did not tend to specify what design aspects should be included. </w:t>
      </w:r>
    </w:p>
    <w:p w14:paraId="06BD1E20" w14:textId="77777777" w:rsidR="00767472" w:rsidRPr="00863D9F" w:rsidRDefault="00767472" w:rsidP="00D21B3B">
      <w:pPr>
        <w:pStyle w:val="ListParagraph"/>
        <w:numPr>
          <w:ilvl w:val="0"/>
          <w:numId w:val="35"/>
        </w:numPr>
      </w:pPr>
      <w:r w:rsidRPr="00863D9F">
        <w:t>Several stakeholders supported the use of labels and warnings against unsafe or unsupervised sleep in Inclined Non-Sleep Products, in addition to a ban or mandatory safety standard for Inclined Sleep Products.</w:t>
      </w:r>
    </w:p>
    <w:p w14:paraId="203973B7" w14:textId="77777777" w:rsidR="00767472" w:rsidRPr="00863D9F" w:rsidRDefault="00767472" w:rsidP="00D21B3B">
      <w:pPr>
        <w:pStyle w:val="ListParagraph"/>
        <w:numPr>
          <w:ilvl w:val="0"/>
          <w:numId w:val="35"/>
        </w:numPr>
      </w:pPr>
      <w:r w:rsidRPr="00863D9F">
        <w:t>Most stakeholders supported increased consumer education.</w:t>
      </w:r>
    </w:p>
    <w:p w14:paraId="5718EEE6" w14:textId="77777777" w:rsidR="00767472" w:rsidRPr="00863D9F" w:rsidRDefault="00767472" w:rsidP="00767472">
      <w:r w:rsidRPr="00863D9F">
        <w:t xml:space="preserve">Submissions are publicly available on the </w:t>
      </w:r>
      <w:hyperlink r:id="rId41" w:history="1">
        <w:r w:rsidRPr="00863D9F">
          <w:rPr>
            <w:rStyle w:val="Hyperlink"/>
          </w:rPr>
          <w:t>ACCC Consultation Hub</w:t>
        </w:r>
      </w:hyperlink>
      <w:r w:rsidRPr="00863D9F">
        <w:t xml:space="preserve">. </w:t>
      </w:r>
    </w:p>
    <w:p w14:paraId="7291C8F7" w14:textId="77777777" w:rsidR="00767472" w:rsidRPr="0056619F" w:rsidRDefault="00767472" w:rsidP="00D21B3B">
      <w:pPr>
        <w:pStyle w:val="Numbered11"/>
        <w:rPr>
          <w:rFonts w:ascii="Roboto" w:hAnsi="Roboto"/>
          <w:sz w:val="32"/>
          <w:szCs w:val="32"/>
        </w:rPr>
      </w:pPr>
      <w:bookmarkStart w:id="39" w:name="_Toc139452455"/>
      <w:bookmarkStart w:id="40" w:name="_Toc140065176"/>
      <w:r w:rsidRPr="0056619F">
        <w:rPr>
          <w:rFonts w:ascii="Roboto" w:hAnsi="Roboto"/>
          <w:sz w:val="32"/>
          <w:szCs w:val="32"/>
        </w:rPr>
        <w:t>Consultation Paper</w:t>
      </w:r>
      <w:bookmarkEnd w:id="39"/>
      <w:bookmarkEnd w:id="40"/>
    </w:p>
    <w:p w14:paraId="5DD79CA5" w14:textId="77777777" w:rsidR="00767472" w:rsidRPr="00863D9F" w:rsidRDefault="00767472" w:rsidP="00767472">
      <w:r w:rsidRPr="00863D9F">
        <w:t xml:space="preserve">In August 2022, the ACCC published the Infant Sleep Products </w:t>
      </w:r>
      <w:hyperlink r:id="rId42" w:history="1">
        <w:r w:rsidRPr="00863D9F">
          <w:rPr>
            <w:rStyle w:val="Hyperlink"/>
          </w:rPr>
          <w:t>Consultation Paper</w:t>
        </w:r>
      </w:hyperlink>
      <w:r w:rsidRPr="00863D9F">
        <w:t>, which sought feedback on the likely effectiveness and costs of the following options to address the risks of Infant Sleep Products and Inclined Non-Sleep Products:</w:t>
      </w:r>
    </w:p>
    <w:p w14:paraId="33A15BF4" w14:textId="77777777" w:rsidR="00767472" w:rsidRPr="00863D9F" w:rsidRDefault="00767472" w:rsidP="00D21B3B">
      <w:pPr>
        <w:pStyle w:val="ListParagraph"/>
        <w:numPr>
          <w:ilvl w:val="0"/>
          <w:numId w:val="35"/>
        </w:numPr>
      </w:pPr>
      <w:r w:rsidRPr="00863D9F">
        <w:rPr>
          <w:b/>
          <w:bCs/>
        </w:rPr>
        <w:t>Option 1</w:t>
      </w:r>
      <w:r w:rsidRPr="00863D9F">
        <w:t>: Take no action (maintain the status quo).</w:t>
      </w:r>
    </w:p>
    <w:p w14:paraId="50517CB3" w14:textId="77777777" w:rsidR="00767472" w:rsidRPr="00863D9F" w:rsidRDefault="00767472" w:rsidP="00D21B3B">
      <w:pPr>
        <w:pStyle w:val="ListParagraph"/>
        <w:numPr>
          <w:ilvl w:val="0"/>
          <w:numId w:val="35"/>
        </w:numPr>
      </w:pPr>
      <w:r w:rsidRPr="00863D9F">
        <w:rPr>
          <w:b/>
          <w:bCs/>
        </w:rPr>
        <w:t>Option 2</w:t>
      </w:r>
      <w:r w:rsidRPr="00863D9F">
        <w:t>: A safe sleep education campaign.</w:t>
      </w:r>
    </w:p>
    <w:p w14:paraId="6129CFCB" w14:textId="77777777" w:rsidR="00767472" w:rsidRPr="00863D9F" w:rsidRDefault="00767472" w:rsidP="00D21B3B">
      <w:pPr>
        <w:pStyle w:val="ListParagraph"/>
        <w:numPr>
          <w:ilvl w:val="0"/>
          <w:numId w:val="35"/>
        </w:numPr>
      </w:pPr>
      <w:r w:rsidRPr="00863D9F">
        <w:rPr>
          <w:b/>
          <w:bCs/>
        </w:rPr>
        <w:t>Option 3</w:t>
      </w:r>
      <w:r w:rsidRPr="00863D9F">
        <w:t>: Mandatory information standard focusing on the inclined risk in Inclined Sleep Products and Inclined Non-Sleep Products, plus an education campaign.</w:t>
      </w:r>
    </w:p>
    <w:p w14:paraId="1C1586C0" w14:textId="77777777" w:rsidR="00767472" w:rsidRPr="00863D9F" w:rsidRDefault="00767472" w:rsidP="00D21B3B">
      <w:pPr>
        <w:pStyle w:val="ListParagraph"/>
        <w:numPr>
          <w:ilvl w:val="0"/>
          <w:numId w:val="35"/>
        </w:numPr>
      </w:pPr>
      <w:r w:rsidRPr="00863D9F">
        <w:rPr>
          <w:b/>
          <w:bCs/>
        </w:rPr>
        <w:t>Option 4</w:t>
      </w:r>
      <w:r w:rsidRPr="00863D9F">
        <w:t>: Mandatory safety standard focusing on the inclined risk, with a prescribed maximum incline angle of 7 degrees for Infant Sleep Products, plus a mandatory information standard focusing on the inclined risk in Inclined Sleep Products and Inclined Non-Sleep Products and an education campaign.</w:t>
      </w:r>
    </w:p>
    <w:p w14:paraId="00DF2BBA" w14:textId="77777777" w:rsidR="00767472" w:rsidRPr="00863D9F" w:rsidRDefault="00767472" w:rsidP="00D21B3B">
      <w:pPr>
        <w:pStyle w:val="ListParagraph"/>
        <w:numPr>
          <w:ilvl w:val="0"/>
          <w:numId w:val="35"/>
        </w:numPr>
      </w:pPr>
      <w:r w:rsidRPr="00863D9F">
        <w:rPr>
          <w:b/>
          <w:bCs/>
        </w:rPr>
        <w:t>Option 5</w:t>
      </w:r>
      <w:r w:rsidRPr="00863D9F">
        <w:t>: Mandatory information standard focusing on all Infant Sleep Products and Inclined Non-Sleep Products, plus an education campaign.</w:t>
      </w:r>
    </w:p>
    <w:p w14:paraId="0C9D25FC" w14:textId="77777777" w:rsidR="00767472" w:rsidRPr="00863D9F" w:rsidRDefault="00767472" w:rsidP="00D21B3B">
      <w:pPr>
        <w:pStyle w:val="ListParagraph"/>
        <w:numPr>
          <w:ilvl w:val="0"/>
          <w:numId w:val="35"/>
        </w:numPr>
      </w:pPr>
      <w:r w:rsidRPr="00863D9F">
        <w:rPr>
          <w:b/>
          <w:bCs/>
        </w:rPr>
        <w:t>Option 6</w:t>
      </w:r>
      <w:r w:rsidRPr="00863D9F">
        <w:t>: Mandatory safety standard focusing on all Infant Sleep Products, including general requirements for all Infant Sleep Products and additional specific requirements for discrete product categories (such as household and folding cots), plus a mandatory information standard focusing on all Infant Sleep Products and Inclined Non-Sleep Products, plus an education campaign.</w:t>
      </w:r>
    </w:p>
    <w:p w14:paraId="03C6FCDC" w14:textId="77777777" w:rsidR="00767472" w:rsidRPr="00863D9F" w:rsidRDefault="00767472" w:rsidP="00D21B3B">
      <w:pPr>
        <w:pStyle w:val="ListParagraph"/>
        <w:numPr>
          <w:ilvl w:val="0"/>
          <w:numId w:val="35"/>
        </w:numPr>
      </w:pPr>
      <w:r w:rsidRPr="00863D9F">
        <w:rPr>
          <w:b/>
          <w:bCs/>
        </w:rPr>
        <w:t>Option 7</w:t>
      </w:r>
      <w:r w:rsidRPr="00863D9F">
        <w:t xml:space="preserve">: In the short term, implement a permanent ban on the supply of Inclined Sleep Products with an incline greater than 7 degrees, plus Option 6. This option was presented as enabling a quicker outcome while the mandatory safety and information standards were developed. </w:t>
      </w:r>
    </w:p>
    <w:p w14:paraId="03DF2768" w14:textId="77777777" w:rsidR="00767472" w:rsidRPr="00863D9F" w:rsidRDefault="00767472" w:rsidP="00767472">
      <w:pPr>
        <w:pStyle w:val="Bulletpoint"/>
        <w:numPr>
          <w:ilvl w:val="0"/>
          <w:numId w:val="0"/>
        </w:numPr>
      </w:pPr>
      <w:r w:rsidRPr="00863D9F">
        <w:t xml:space="preserve">The ACCC’s preliminary view was that Option 7 would be the most effective in preventing the risk of injury and death of infants because it would ban the supply of the highest risk Inclined Sleep Products in the Australian market in the short term while a holistic mandatory safety standard for all Infant Sleep Products was developed. However, the ACCC did not pursue a permanent ban because it was possible to circumvent the ban by still supplying Inclined Non-Sleep Products which could be used for sleep and would not prevent the sale of second-hand Inclined Sleep Products via the second-hand market. </w:t>
      </w:r>
    </w:p>
    <w:p w14:paraId="22F76157" w14:textId="77777777" w:rsidR="00767472" w:rsidRPr="00863D9F" w:rsidRDefault="00767472" w:rsidP="00767472">
      <w:pPr>
        <w:pStyle w:val="Bulletpoint"/>
        <w:numPr>
          <w:ilvl w:val="0"/>
          <w:numId w:val="0"/>
        </w:numPr>
      </w:pPr>
      <w:r w:rsidRPr="00863D9F">
        <w:t xml:space="preserve">The ACCC received 27 submissions to the Consultation Paper: </w:t>
      </w:r>
    </w:p>
    <w:p w14:paraId="075E0A4F" w14:textId="77777777" w:rsidR="00767472" w:rsidRPr="00863D9F" w:rsidRDefault="00767472" w:rsidP="00D21B3B">
      <w:pPr>
        <w:pStyle w:val="Bulletpoint"/>
        <w:numPr>
          <w:ilvl w:val="0"/>
          <w:numId w:val="32"/>
        </w:numPr>
        <w:rPr>
          <w:rFonts w:cstheme="minorBidi"/>
        </w:rPr>
      </w:pPr>
      <w:r w:rsidRPr="00863D9F">
        <w:t>59% of stakeholders (16 submissions; 8 industry, 4 government, 2 advocacy and 2 medical) supported a permanent ban being introduced in the short term while a mandatory safety standard and a mandatory information standard were developed (Option 7).</w:t>
      </w:r>
      <w:r w:rsidRPr="00863D9F">
        <w:rPr>
          <w:rFonts w:cstheme="minorBidi"/>
        </w:rPr>
        <w:t xml:space="preserve"> </w:t>
      </w:r>
    </w:p>
    <w:p w14:paraId="3DBE1D4D" w14:textId="77777777" w:rsidR="00767472" w:rsidRPr="00863D9F" w:rsidRDefault="00767472" w:rsidP="00D21B3B">
      <w:pPr>
        <w:pStyle w:val="Bulletpoint"/>
        <w:numPr>
          <w:ilvl w:val="0"/>
          <w:numId w:val="32"/>
        </w:numPr>
      </w:pPr>
      <w:r w:rsidRPr="00863D9F">
        <w:t>19% of stakeholders (5 submissions; 2 industry, one government, medical and international) proposed alternative options or a different combination of proposed options. For example, the NSW Department of Education supported a permanent ban, an information standard (Option 5) and an education campaign (Option 2).</w:t>
      </w:r>
    </w:p>
    <w:p w14:paraId="4176F5B1" w14:textId="77777777" w:rsidR="00767472" w:rsidRPr="00863D9F" w:rsidRDefault="00767472" w:rsidP="00D21B3B">
      <w:pPr>
        <w:pStyle w:val="ListParagraph"/>
        <w:numPr>
          <w:ilvl w:val="0"/>
          <w:numId w:val="32"/>
        </w:numPr>
      </w:pPr>
      <w:r w:rsidRPr="00863D9F">
        <w:t>11% of stakeholders (3 submissions; one industry, government and international) did not preference an option.</w:t>
      </w:r>
    </w:p>
    <w:p w14:paraId="0BBC59E0" w14:textId="77777777" w:rsidR="00767472" w:rsidRPr="00863D9F" w:rsidRDefault="00767472" w:rsidP="00767472">
      <w:r w:rsidRPr="00863D9F">
        <w:t xml:space="preserve">Figure 3 summarises the options supported by stakeholders by stakeholder categories. </w:t>
      </w:r>
    </w:p>
    <w:p w14:paraId="53D0A04B" w14:textId="77777777" w:rsidR="00767472" w:rsidRPr="00863D9F" w:rsidRDefault="00767472" w:rsidP="00767472">
      <w:r w:rsidRPr="00863D9F">
        <w:t xml:space="preserve">Submissions are publicly available on the </w:t>
      </w:r>
      <w:hyperlink r:id="rId43" w:history="1">
        <w:r w:rsidRPr="00863D9F">
          <w:rPr>
            <w:rStyle w:val="Hyperlink"/>
          </w:rPr>
          <w:t>ACCC Consultation Hub</w:t>
        </w:r>
      </w:hyperlink>
      <w:r w:rsidRPr="00863D9F">
        <w:t xml:space="preserve">. </w:t>
      </w:r>
    </w:p>
    <w:p w14:paraId="3D80DDA3" w14:textId="77777777" w:rsidR="00767472" w:rsidRPr="00863D9F" w:rsidRDefault="00767472" w:rsidP="00B43520">
      <w:pPr>
        <w:pStyle w:val="Tabletitle"/>
      </w:pPr>
      <w:r w:rsidRPr="00863D9F">
        <w:t xml:space="preserve">Figure 3: Options supported in stakeholder submissions by stakeholder category  </w:t>
      </w:r>
    </w:p>
    <w:p w14:paraId="13C37E4D" w14:textId="77777777" w:rsidR="00767472" w:rsidRPr="00863D9F" w:rsidRDefault="00767472" w:rsidP="00767472">
      <w:pPr>
        <w:spacing w:before="0"/>
        <w:jc w:val="center"/>
      </w:pPr>
      <w:r w:rsidRPr="00863D9F">
        <w:rPr>
          <w:noProof/>
          <w:lang w:eastAsia="en-AU"/>
        </w:rPr>
        <w:drawing>
          <wp:inline distT="0" distB="0" distL="0" distR="0" wp14:anchorId="3BD5CD03" wp14:editId="1426BAC4">
            <wp:extent cx="5681500" cy="27051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92272" cy="2710229"/>
                    </a:xfrm>
                    <a:prstGeom prst="rect">
                      <a:avLst/>
                    </a:prstGeom>
                    <a:noFill/>
                  </pic:spPr>
                </pic:pic>
              </a:graphicData>
            </a:graphic>
          </wp:inline>
        </w:drawing>
      </w:r>
    </w:p>
    <w:p w14:paraId="4DD0F968" w14:textId="77777777" w:rsidR="00767472" w:rsidRPr="00863D9F" w:rsidRDefault="00767472" w:rsidP="00767472">
      <w:pPr>
        <w:spacing w:before="0"/>
      </w:pPr>
    </w:p>
    <w:p w14:paraId="64FCF5C7" w14:textId="77777777" w:rsidR="00767472" w:rsidRPr="00863D9F" w:rsidRDefault="00767472" w:rsidP="00767472">
      <w:pPr>
        <w:pStyle w:val="Bulletpoint"/>
        <w:numPr>
          <w:ilvl w:val="0"/>
          <w:numId w:val="0"/>
        </w:numPr>
      </w:pPr>
      <w:r w:rsidRPr="00863D9F">
        <w:t xml:space="preserve">The Consultation Paper also sought stakeholder feedback on the existing mandatory safety standards for household cots and folding cots. As the ACCC’s preferred option presented in the Consultation Paper included developing a holistic safety standard capturing all Infant Sleep Products, it was relevant and appropriate to consult on the efficacy and scope of these existing standards. This is consistent with the ACCC’s role in periodically reviewing and updating safety standards. </w:t>
      </w:r>
    </w:p>
    <w:p w14:paraId="576DBBD1" w14:textId="77777777" w:rsidR="00767472" w:rsidRPr="00863D9F" w:rsidRDefault="00767472" w:rsidP="00767472">
      <w:pPr>
        <w:pStyle w:val="Bulletpoint"/>
        <w:numPr>
          <w:ilvl w:val="0"/>
          <w:numId w:val="0"/>
        </w:numPr>
      </w:pPr>
      <w:r w:rsidRPr="00863D9F">
        <w:t xml:space="preserve">It was envisaged updates to these standards would occur in conjunction with the outcomes of the Consultation Paper and if a holistic safety standard were developed, it would be incorporated into that standard. </w:t>
      </w:r>
    </w:p>
    <w:p w14:paraId="27CB29AD" w14:textId="77777777" w:rsidR="00767472" w:rsidRPr="00863D9F" w:rsidRDefault="00767472" w:rsidP="00767472">
      <w:r w:rsidRPr="00863D9F">
        <w:t>The options for consideration in relation to the Household Cots Mandatory Standard and separately the Folding Cots Mandatory Standard were:</w:t>
      </w:r>
    </w:p>
    <w:p w14:paraId="380AA924" w14:textId="77777777" w:rsidR="00767472" w:rsidRPr="00863D9F" w:rsidRDefault="00767472" w:rsidP="00D21B3B">
      <w:pPr>
        <w:pStyle w:val="Bulletpoint"/>
        <w:numPr>
          <w:ilvl w:val="0"/>
          <w:numId w:val="32"/>
        </w:numPr>
      </w:pPr>
      <w:r w:rsidRPr="00863D9F">
        <w:rPr>
          <w:b/>
          <w:bCs/>
        </w:rPr>
        <w:t>Option H1 and F1</w:t>
      </w:r>
      <w:r w:rsidRPr="00863D9F">
        <w:t>: No change to the existing standards.</w:t>
      </w:r>
    </w:p>
    <w:p w14:paraId="0C079503" w14:textId="77777777" w:rsidR="00767472" w:rsidRPr="00863D9F" w:rsidRDefault="00767472" w:rsidP="00D21B3B">
      <w:pPr>
        <w:pStyle w:val="Bulletpoint"/>
        <w:numPr>
          <w:ilvl w:val="0"/>
          <w:numId w:val="32"/>
        </w:numPr>
      </w:pPr>
      <w:r w:rsidRPr="00863D9F">
        <w:rPr>
          <w:b/>
          <w:bCs/>
        </w:rPr>
        <w:t>Option H2 and F2</w:t>
      </w:r>
      <w:r w:rsidRPr="00863D9F">
        <w:t>: Amend by adopting sections of the most recent respective Voluntary Standards.</w:t>
      </w:r>
    </w:p>
    <w:p w14:paraId="19EC39C8" w14:textId="77777777" w:rsidR="00767472" w:rsidRPr="00863D9F" w:rsidRDefault="00767472" w:rsidP="00D21B3B">
      <w:pPr>
        <w:pStyle w:val="Bulletpoint"/>
        <w:numPr>
          <w:ilvl w:val="0"/>
          <w:numId w:val="32"/>
        </w:numPr>
      </w:pPr>
      <w:r w:rsidRPr="00863D9F">
        <w:rPr>
          <w:b/>
          <w:bCs/>
        </w:rPr>
        <w:t>Option H3 and F3</w:t>
      </w:r>
      <w:r w:rsidRPr="00863D9F">
        <w:t>: Amend by adopting the entirety of the most recent respective Voluntary Standards.</w:t>
      </w:r>
    </w:p>
    <w:p w14:paraId="16716F25" w14:textId="77777777" w:rsidR="00767472" w:rsidRPr="00863D9F" w:rsidRDefault="00767472" w:rsidP="00D21B3B">
      <w:pPr>
        <w:pStyle w:val="Bulletpoint"/>
        <w:numPr>
          <w:ilvl w:val="0"/>
          <w:numId w:val="32"/>
        </w:numPr>
      </w:pPr>
      <w:r w:rsidRPr="00863D9F">
        <w:rPr>
          <w:b/>
          <w:bCs/>
        </w:rPr>
        <w:t>Option H4 and F4</w:t>
      </w:r>
      <w:r w:rsidRPr="00863D9F">
        <w:t>: Amend by adopting sections of the most recent respective Voluntary Standards and allowing compliance with trusted international standards.</w:t>
      </w:r>
    </w:p>
    <w:p w14:paraId="18C1AED8" w14:textId="77777777" w:rsidR="00767472" w:rsidRPr="00863D9F" w:rsidRDefault="00767472" w:rsidP="00767472">
      <w:r w:rsidRPr="00863D9F">
        <w:t>Of the 27 submissions received, overall:</w:t>
      </w:r>
    </w:p>
    <w:p w14:paraId="595D441F" w14:textId="77777777" w:rsidR="00767472" w:rsidRPr="00863D9F" w:rsidRDefault="00767472" w:rsidP="00D21B3B">
      <w:pPr>
        <w:pStyle w:val="ListParagraph"/>
        <w:numPr>
          <w:ilvl w:val="0"/>
          <w:numId w:val="33"/>
        </w:numPr>
      </w:pPr>
      <w:r w:rsidRPr="00863D9F">
        <w:t xml:space="preserve">11 stakeholders (one advocacy, 2 government, 6 industry and 2 medical) supported the Household Cots Mandatory Standard and Folding Cots Mandatory Standard be amended to adopt sections of the most recent respective Voluntary Standards and allowing compliance with trusted international standards (Option H4 and F4). </w:t>
      </w:r>
    </w:p>
    <w:p w14:paraId="6A0B472E" w14:textId="77777777" w:rsidR="00767472" w:rsidRPr="00863D9F" w:rsidRDefault="00767472" w:rsidP="00D21B3B">
      <w:pPr>
        <w:pStyle w:val="ListParagraph"/>
        <w:numPr>
          <w:ilvl w:val="0"/>
          <w:numId w:val="33"/>
        </w:numPr>
      </w:pPr>
      <w:r w:rsidRPr="00863D9F">
        <w:t xml:space="preserve">7 stakeholders (one advocacy, 2 government and 4 industry) proposed the Household Cots Mandatory Standard and Folding Cots Mandatory Standard be amended to adopt the entirety of the most recent respective Voluntary Standards (Option H3 and F3). One of these industry stakeholders also supported the Household Cots Mandatory Standard and Folding Cots Mandatory Standard adopting sections from the most recent respective Voluntary Standards (Option H2 and F2). </w:t>
      </w:r>
    </w:p>
    <w:p w14:paraId="4DB69B75" w14:textId="77777777" w:rsidR="00767472" w:rsidRPr="00863D9F" w:rsidRDefault="00767472" w:rsidP="00D21B3B">
      <w:pPr>
        <w:pStyle w:val="ListParagraph"/>
        <w:numPr>
          <w:ilvl w:val="0"/>
          <w:numId w:val="33"/>
        </w:numPr>
      </w:pPr>
      <w:r w:rsidRPr="00863D9F">
        <w:t xml:space="preserve">2 stakeholders (one consumer and one medical) proposed alternative options, such as banning drop sides in addition to the current requirements for household cots. </w:t>
      </w:r>
    </w:p>
    <w:p w14:paraId="7176B8FC" w14:textId="77777777" w:rsidR="00767472" w:rsidRPr="00863D9F" w:rsidRDefault="00767472" w:rsidP="00D21B3B">
      <w:pPr>
        <w:pStyle w:val="ListParagraph"/>
        <w:numPr>
          <w:ilvl w:val="0"/>
          <w:numId w:val="33"/>
        </w:numPr>
      </w:pPr>
      <w:r w:rsidRPr="00863D9F">
        <w:t xml:space="preserve">7 stakeholders (2 government, 4 industry and one international) did not preference an option. </w:t>
      </w:r>
    </w:p>
    <w:p w14:paraId="72A38172" w14:textId="77777777" w:rsidR="00767472" w:rsidRPr="00863D9F" w:rsidRDefault="00767472" w:rsidP="00767472">
      <w:r w:rsidRPr="00863D9F">
        <w:t>Figure 4 summarises the options supported by stakeholders by stakeholder categories.</w:t>
      </w:r>
    </w:p>
    <w:p w14:paraId="05A9F3D2" w14:textId="77777777" w:rsidR="00767472" w:rsidRPr="00863D9F" w:rsidRDefault="00767472" w:rsidP="00B43520">
      <w:pPr>
        <w:pStyle w:val="Tabletitle"/>
      </w:pPr>
      <w:r w:rsidRPr="00863D9F">
        <w:t xml:space="preserve">Figure 4: Options supported in stakeholder submissions by stakeholder category  </w:t>
      </w:r>
    </w:p>
    <w:p w14:paraId="63FB6713" w14:textId="77777777" w:rsidR="00767472" w:rsidRPr="00863D9F" w:rsidRDefault="00767472" w:rsidP="00767472">
      <w:pPr>
        <w:spacing w:before="0"/>
        <w:jc w:val="center"/>
      </w:pPr>
      <w:r w:rsidRPr="00863D9F">
        <w:rPr>
          <w:noProof/>
        </w:rPr>
        <w:drawing>
          <wp:inline distT="0" distB="0" distL="0" distR="0" wp14:anchorId="2CD7C067" wp14:editId="65A0C847">
            <wp:extent cx="5324797" cy="336232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335866" cy="3369314"/>
                    </a:xfrm>
                    <a:prstGeom prst="rect">
                      <a:avLst/>
                    </a:prstGeom>
                  </pic:spPr>
                </pic:pic>
              </a:graphicData>
            </a:graphic>
          </wp:inline>
        </w:drawing>
      </w:r>
    </w:p>
    <w:p w14:paraId="3EAE2F0D" w14:textId="77777777" w:rsidR="00767472" w:rsidRPr="00AF6307" w:rsidRDefault="00767472" w:rsidP="00D21B3B">
      <w:pPr>
        <w:pStyle w:val="Numbered111"/>
        <w:rPr>
          <w:sz w:val="28"/>
          <w:szCs w:val="28"/>
        </w:rPr>
      </w:pPr>
      <w:bookmarkStart w:id="41" w:name="_Toc139452456"/>
      <w:bookmarkStart w:id="42" w:name="_Toc140065177"/>
      <w:r w:rsidRPr="00AF6307">
        <w:rPr>
          <w:sz w:val="28"/>
          <w:szCs w:val="28"/>
        </w:rPr>
        <w:t>Stakeholder feedback</w:t>
      </w:r>
      <w:bookmarkEnd w:id="41"/>
      <w:bookmarkEnd w:id="42"/>
      <w:r w:rsidRPr="00AF6307">
        <w:rPr>
          <w:sz w:val="28"/>
          <w:szCs w:val="28"/>
        </w:rPr>
        <w:t xml:space="preserve"> </w:t>
      </w:r>
    </w:p>
    <w:p w14:paraId="3B4FD5D2" w14:textId="77777777" w:rsidR="00767472" w:rsidRPr="00863D9F" w:rsidRDefault="00767472" w:rsidP="00767472">
      <w:pPr>
        <w:rPr>
          <w:i/>
          <w:iCs/>
        </w:rPr>
      </w:pPr>
      <w:r w:rsidRPr="00863D9F">
        <w:rPr>
          <w:i/>
          <w:iCs/>
        </w:rPr>
        <w:t xml:space="preserve">Mandatory information standard  </w:t>
      </w:r>
    </w:p>
    <w:p w14:paraId="00CAB9CD" w14:textId="77777777" w:rsidR="00767472" w:rsidRPr="00863D9F" w:rsidRDefault="00767472" w:rsidP="00767472">
      <w:r w:rsidRPr="00863D9F">
        <w:t xml:space="preserve">The Consultation Paper proposed the following warnings for the mandatory information standard: </w:t>
      </w:r>
    </w:p>
    <w:p w14:paraId="7C469F26" w14:textId="77777777" w:rsidR="00767472" w:rsidRPr="00863D9F" w:rsidRDefault="00767472" w:rsidP="00D21B3B">
      <w:pPr>
        <w:pStyle w:val="ListParagraph"/>
        <w:numPr>
          <w:ilvl w:val="0"/>
          <w:numId w:val="35"/>
        </w:numPr>
      </w:pPr>
      <w:r w:rsidRPr="00863D9F">
        <w:t>warning that infant should be placed on their back</w:t>
      </w:r>
    </w:p>
    <w:p w14:paraId="3C545F0E" w14:textId="77777777" w:rsidR="00767472" w:rsidRPr="00863D9F" w:rsidRDefault="00767472" w:rsidP="00D21B3B">
      <w:pPr>
        <w:pStyle w:val="ListParagraph"/>
        <w:numPr>
          <w:ilvl w:val="0"/>
          <w:numId w:val="35"/>
        </w:numPr>
      </w:pPr>
      <w:r w:rsidRPr="00863D9F">
        <w:t>warning that infant should be placed to sleep on a firm, flat surface</w:t>
      </w:r>
    </w:p>
    <w:p w14:paraId="0BCF70D5" w14:textId="77777777" w:rsidR="00767472" w:rsidRPr="00863D9F" w:rsidRDefault="00767472" w:rsidP="00D21B3B">
      <w:pPr>
        <w:pStyle w:val="ListParagraph"/>
        <w:numPr>
          <w:ilvl w:val="0"/>
          <w:numId w:val="35"/>
        </w:numPr>
      </w:pPr>
      <w:r w:rsidRPr="00863D9F">
        <w:t>warning not to put objects or accessories in an infant’s sleep environment (including cot bumpers, soft toys, blankets) (Infant Sleep Products only)</w:t>
      </w:r>
    </w:p>
    <w:p w14:paraId="30285F91" w14:textId="77777777" w:rsidR="00767472" w:rsidRPr="00863D9F" w:rsidRDefault="00767472" w:rsidP="00D21B3B">
      <w:pPr>
        <w:pStyle w:val="ListParagraph"/>
        <w:numPr>
          <w:ilvl w:val="0"/>
          <w:numId w:val="35"/>
        </w:numPr>
      </w:pPr>
      <w:r w:rsidRPr="00863D9F">
        <w:t>warning against use for sleep (Inclined Non-Sleep Products only)</w:t>
      </w:r>
    </w:p>
    <w:p w14:paraId="17E6FC65" w14:textId="77777777" w:rsidR="00767472" w:rsidRPr="00863D9F" w:rsidRDefault="00767472" w:rsidP="00D21B3B">
      <w:pPr>
        <w:pStyle w:val="ListParagraph"/>
        <w:numPr>
          <w:ilvl w:val="0"/>
          <w:numId w:val="35"/>
        </w:numPr>
      </w:pPr>
      <w:r w:rsidRPr="00863D9F">
        <w:t xml:space="preserve">warnings against unsupervised use (Inclined Non-Sleep Products only). </w:t>
      </w:r>
    </w:p>
    <w:p w14:paraId="136D6372" w14:textId="77777777" w:rsidR="00767472" w:rsidRPr="00863D9F" w:rsidRDefault="00767472" w:rsidP="00767472">
      <w:r w:rsidRPr="00863D9F">
        <w:t xml:space="preserve">19 of 27 stakeholders from </w:t>
      </w:r>
      <w:r w:rsidRPr="00863D9F">
        <w:rPr>
          <w:bCs/>
        </w:rPr>
        <w:t>advocacy associations, industry, including industry associations, health professionals and government</w:t>
      </w:r>
      <w:r w:rsidRPr="00863D9F">
        <w:t xml:space="preserve"> supported a mandatory information standard. The majority of stakeholders reiterated the need of the above warnings. </w:t>
      </w:r>
    </w:p>
    <w:p w14:paraId="668CBB18" w14:textId="77777777" w:rsidR="00767472" w:rsidRPr="00863D9F" w:rsidRDefault="00767472" w:rsidP="009E0B67">
      <w:pPr>
        <w:keepNext/>
        <w:keepLines/>
        <w:rPr>
          <w:i/>
          <w:iCs/>
        </w:rPr>
      </w:pPr>
      <w:r w:rsidRPr="00863D9F">
        <w:rPr>
          <w:i/>
          <w:iCs/>
        </w:rPr>
        <w:t xml:space="preserve">Mandatory safety standard </w:t>
      </w:r>
    </w:p>
    <w:p w14:paraId="3FF267C7" w14:textId="77777777" w:rsidR="00767472" w:rsidRPr="00863D9F" w:rsidRDefault="00767472" w:rsidP="00767472">
      <w:pPr>
        <w:pStyle w:val="Bulletpoint"/>
        <w:numPr>
          <w:ilvl w:val="0"/>
          <w:numId w:val="0"/>
        </w:numPr>
      </w:pPr>
      <w:r w:rsidRPr="00863D9F">
        <w:t xml:space="preserve">The Consultation Paper presented the mandatory safety standard general requirements for all Infant Sleep Products would have: </w:t>
      </w:r>
    </w:p>
    <w:p w14:paraId="518411E3" w14:textId="77777777" w:rsidR="00767472" w:rsidRPr="00863D9F" w:rsidRDefault="00767472" w:rsidP="00D21B3B">
      <w:pPr>
        <w:pStyle w:val="ListParagraph"/>
        <w:numPr>
          <w:ilvl w:val="0"/>
          <w:numId w:val="35"/>
        </w:numPr>
      </w:pPr>
      <w:r w:rsidRPr="00863D9F">
        <w:t>no incline greater than 7 degrees</w:t>
      </w:r>
    </w:p>
    <w:p w14:paraId="52AF0E13" w14:textId="77777777" w:rsidR="00767472" w:rsidRPr="00863D9F" w:rsidRDefault="00767472" w:rsidP="00D21B3B">
      <w:pPr>
        <w:pStyle w:val="ListParagraph"/>
        <w:numPr>
          <w:ilvl w:val="0"/>
          <w:numId w:val="35"/>
        </w:numPr>
      </w:pPr>
      <w:r w:rsidRPr="00863D9F">
        <w:t>no curvature (i.e. a flat sleeping surface)</w:t>
      </w:r>
    </w:p>
    <w:p w14:paraId="20BBDC3A" w14:textId="77777777" w:rsidR="00767472" w:rsidRPr="00863D9F" w:rsidRDefault="00767472" w:rsidP="00D21B3B">
      <w:pPr>
        <w:pStyle w:val="ListParagraph"/>
        <w:numPr>
          <w:ilvl w:val="0"/>
          <w:numId w:val="35"/>
        </w:numPr>
      </w:pPr>
      <w:r w:rsidRPr="00863D9F">
        <w:t>the product be made of breathable fabric that meets testing requirements</w:t>
      </w:r>
    </w:p>
    <w:p w14:paraId="61FC5112" w14:textId="77777777" w:rsidR="00767472" w:rsidRPr="00863D9F" w:rsidRDefault="00767472" w:rsidP="00D21B3B">
      <w:pPr>
        <w:pStyle w:val="ListParagraph"/>
        <w:numPr>
          <w:ilvl w:val="0"/>
          <w:numId w:val="35"/>
        </w:numPr>
      </w:pPr>
      <w:r w:rsidRPr="00863D9F">
        <w:t>minimum tests for rigidity (firmness) of the sleeping surface</w:t>
      </w:r>
    </w:p>
    <w:p w14:paraId="27BEFBA1" w14:textId="77777777" w:rsidR="00767472" w:rsidRPr="00863D9F" w:rsidRDefault="00767472" w:rsidP="00D21B3B">
      <w:pPr>
        <w:pStyle w:val="ListParagraph"/>
        <w:numPr>
          <w:ilvl w:val="0"/>
          <w:numId w:val="35"/>
        </w:numPr>
      </w:pPr>
      <w:r w:rsidRPr="00863D9F">
        <w:t>mattress requirements, including dimensions, rigidity and no gaps between the mattress and the base or sides of the product</w:t>
      </w:r>
    </w:p>
    <w:p w14:paraId="64C80C07" w14:textId="77777777" w:rsidR="00767472" w:rsidRPr="00863D9F" w:rsidRDefault="00767472" w:rsidP="00D21B3B">
      <w:pPr>
        <w:pStyle w:val="ListParagraph"/>
        <w:numPr>
          <w:ilvl w:val="0"/>
          <w:numId w:val="35"/>
        </w:numPr>
      </w:pPr>
      <w:r w:rsidRPr="00863D9F">
        <w:t>static strength sufficient to support an infant</w:t>
      </w:r>
    </w:p>
    <w:p w14:paraId="69825FC0" w14:textId="77777777" w:rsidR="00767472" w:rsidRPr="00863D9F" w:rsidRDefault="00767472" w:rsidP="00D21B3B">
      <w:pPr>
        <w:pStyle w:val="ListParagraph"/>
        <w:numPr>
          <w:ilvl w:val="0"/>
          <w:numId w:val="35"/>
        </w:numPr>
      </w:pPr>
      <w:r w:rsidRPr="00863D9F">
        <w:t>quality component requirements (e.g. metal components must be corrosion-resistant and wood must be free from splinters)</w:t>
      </w:r>
    </w:p>
    <w:p w14:paraId="49A04894" w14:textId="77777777" w:rsidR="00767472" w:rsidRPr="00863D9F" w:rsidRDefault="00767472" w:rsidP="00D21B3B">
      <w:pPr>
        <w:pStyle w:val="ListParagraph"/>
        <w:numPr>
          <w:ilvl w:val="0"/>
          <w:numId w:val="35"/>
        </w:numPr>
      </w:pPr>
      <w:r w:rsidRPr="00863D9F">
        <w:t>toxicology requirements</w:t>
      </w:r>
    </w:p>
    <w:p w14:paraId="250D2AF6" w14:textId="77777777" w:rsidR="00767472" w:rsidRPr="00863D9F" w:rsidRDefault="00767472" w:rsidP="00D21B3B">
      <w:pPr>
        <w:pStyle w:val="ListParagraph"/>
        <w:numPr>
          <w:ilvl w:val="0"/>
          <w:numId w:val="35"/>
        </w:numPr>
      </w:pPr>
      <w:r w:rsidRPr="00863D9F">
        <w:t>have no restraint system.</w:t>
      </w:r>
    </w:p>
    <w:p w14:paraId="0535E701" w14:textId="77777777" w:rsidR="00767472" w:rsidRPr="00863D9F" w:rsidRDefault="00767472" w:rsidP="00767472">
      <w:r w:rsidRPr="00863D9F">
        <w:t xml:space="preserve">16 of 27 stakeholders supported implementing a holistic mandatory safety standard covering all Infant Sleep Products with requirements for incline, curvature, rigidity, and materials used. </w:t>
      </w:r>
    </w:p>
    <w:p w14:paraId="7FEBB759" w14:textId="77777777" w:rsidR="00767472" w:rsidRPr="00863D9F" w:rsidRDefault="00767472" w:rsidP="00767472">
      <w:r w:rsidRPr="00863D9F">
        <w:t>Additional requirements were suggested by various stakeholders. The Australian Toy Association recommended stability requirements so products do not easily tip over.</w:t>
      </w:r>
    </w:p>
    <w:p w14:paraId="10E5D50F" w14:textId="77777777" w:rsidR="00767472" w:rsidRPr="00863D9F" w:rsidRDefault="00767472" w:rsidP="00767472">
      <w:r w:rsidRPr="00863D9F">
        <w:t xml:space="preserve">Bloom &amp; Grow suggested an age limit of 3 months and dimensional requirements such as maximum internal length to prevent use by older children. Bloom &amp; Grow also advised restraints do not pose a risk of strangulation if properly used and banning restraints could be hazardous. </w:t>
      </w:r>
    </w:p>
    <w:p w14:paraId="5C2B6083" w14:textId="77777777" w:rsidR="00767472" w:rsidRPr="00863D9F" w:rsidRDefault="00767472" w:rsidP="00767472">
      <w:r w:rsidRPr="00863D9F">
        <w:t xml:space="preserve">Dr Barker et al recommended the proposed general requirements in addition to addressing gaps (static and dynamic), snag hazards (static and dynamic), strength (static and dynamic) quality and no restraints. </w:t>
      </w:r>
    </w:p>
    <w:p w14:paraId="0722670C" w14:textId="77777777" w:rsidR="00767472" w:rsidRPr="00863D9F" w:rsidRDefault="00767472" w:rsidP="00767472">
      <w:r w:rsidRPr="00863D9F">
        <w:t xml:space="preserve">Red Nose supported specific requirements for bassinets in addition to the Household Cots Mandatory Standard and Folding Cots Mandatory Standard. Red Nose recommended the following requirements for bassinets: </w:t>
      </w:r>
    </w:p>
    <w:p w14:paraId="4DD7E896" w14:textId="77777777" w:rsidR="00767472" w:rsidRPr="00863D9F" w:rsidRDefault="00767472" w:rsidP="00D21B3B">
      <w:pPr>
        <w:pStyle w:val="ListParagraph"/>
        <w:numPr>
          <w:ilvl w:val="0"/>
          <w:numId w:val="35"/>
        </w:numPr>
      </w:pPr>
      <w:r w:rsidRPr="00863D9F">
        <w:t xml:space="preserve">a wide, stable base to reduce risk of the bassinet tipping over or collapsing </w:t>
      </w:r>
    </w:p>
    <w:p w14:paraId="6F02A94B" w14:textId="77777777" w:rsidR="00767472" w:rsidRPr="00863D9F" w:rsidRDefault="00767472" w:rsidP="00D21B3B">
      <w:pPr>
        <w:pStyle w:val="ListParagraph"/>
        <w:numPr>
          <w:ilvl w:val="0"/>
          <w:numId w:val="35"/>
        </w:numPr>
      </w:pPr>
      <w:r w:rsidRPr="00863D9F">
        <w:t xml:space="preserve">sides that are sufficiently high to prevent the infant from falling out of the product </w:t>
      </w:r>
    </w:p>
    <w:p w14:paraId="5425842D" w14:textId="77777777" w:rsidR="00767472" w:rsidRPr="00863D9F" w:rsidRDefault="00767472" w:rsidP="00D21B3B">
      <w:pPr>
        <w:pStyle w:val="ListParagraph"/>
        <w:numPr>
          <w:ilvl w:val="0"/>
          <w:numId w:val="35"/>
        </w:numPr>
      </w:pPr>
      <w:r w:rsidRPr="00863D9F">
        <w:t xml:space="preserve">sides that are mesh or other air-permeable material to ensure adequate ventilation to prevent overheating and reduce risk of suffocation </w:t>
      </w:r>
    </w:p>
    <w:p w14:paraId="3E4C9BC6" w14:textId="77777777" w:rsidR="00767472" w:rsidRPr="00863D9F" w:rsidRDefault="00767472" w:rsidP="00D21B3B">
      <w:pPr>
        <w:pStyle w:val="ListParagraph"/>
        <w:numPr>
          <w:ilvl w:val="0"/>
          <w:numId w:val="35"/>
        </w:numPr>
      </w:pPr>
      <w:r w:rsidRPr="00863D9F">
        <w:t xml:space="preserve">a firm, flat, well-fitting mattress that is no more than 75mm in thickness </w:t>
      </w:r>
    </w:p>
    <w:p w14:paraId="1C00C436" w14:textId="77777777" w:rsidR="00767472" w:rsidRPr="00863D9F" w:rsidRDefault="00767472" w:rsidP="00D21B3B">
      <w:pPr>
        <w:pStyle w:val="ListParagraph"/>
        <w:numPr>
          <w:ilvl w:val="0"/>
          <w:numId w:val="35"/>
        </w:numPr>
      </w:pPr>
      <w:r w:rsidRPr="00863D9F">
        <w:t xml:space="preserve">be free from ribbons, cords or other decorations that could cause choking/strangulation hazards.  </w:t>
      </w:r>
    </w:p>
    <w:p w14:paraId="647417D1" w14:textId="77777777" w:rsidR="00767472" w:rsidRPr="00863D9F" w:rsidRDefault="00767472" w:rsidP="00767472">
      <w:pPr>
        <w:rPr>
          <w:i/>
          <w:iCs/>
        </w:rPr>
      </w:pPr>
      <w:r w:rsidRPr="00863D9F">
        <w:rPr>
          <w:i/>
          <w:iCs/>
        </w:rPr>
        <w:t>Other options</w:t>
      </w:r>
    </w:p>
    <w:p w14:paraId="54C2A2B6" w14:textId="77777777" w:rsidR="00767472" w:rsidRPr="00863D9F" w:rsidRDefault="00767472" w:rsidP="00767472">
      <w:r w:rsidRPr="00863D9F">
        <w:t>The Australian Toy Association supported an education campaign, mandatory information standard and mandatory safety standard regulating incline, but did not support a permanent ban.</w:t>
      </w:r>
    </w:p>
    <w:p w14:paraId="49E90EA3" w14:textId="77777777" w:rsidR="00767472" w:rsidRPr="00863D9F" w:rsidRDefault="00767472" w:rsidP="00767472">
      <w:r w:rsidRPr="00863D9F">
        <w:t>The Consumers Federation of Australia considered a mandatory safety standard and mandatory information standard (Option 7) might not keep up with product design and innovation. The Consumers Federation of Australia recommended a general safety provision but did acknowledge this was outside the scope of consultation.</w:t>
      </w:r>
    </w:p>
    <w:p w14:paraId="0CE359FC" w14:textId="27610E8F" w:rsidR="00767472" w:rsidRPr="00863D9F" w:rsidRDefault="00767472" w:rsidP="00767472">
      <w:r w:rsidRPr="00863D9F">
        <w:t xml:space="preserve">The NSW Department of Education supported a permanent ban preventing the supply of Inclined Sleep Products with an incline greater than 7 degrees, a mandatory information standard for Infant Sleep Products and Inclined Non-Sleep Products (Option 5) and an education campaign (Option 2). The NSW Department of Education did not support a holistic mandatory safety standard for Infant Sleep Products because it could result in unintended consequences for the early childhood education and care sector as they may deem an Infant Sleep Product, such as a bassinet, as </w:t>
      </w:r>
      <w:r w:rsidR="007E40F4">
        <w:t>‘</w:t>
      </w:r>
      <w:r w:rsidRPr="00863D9F">
        <w:t>safe</w:t>
      </w:r>
      <w:r w:rsidR="007E40F4">
        <w:t>’</w:t>
      </w:r>
      <w:r w:rsidRPr="00863D9F">
        <w:t xml:space="preserve"> which would increase the use for sleep. However, should a mandatory safety standard be implemented, all Infant Sleep Products will be required to meet minimum design requirements to address the risks associated with these products and infant sleep.</w:t>
      </w:r>
    </w:p>
    <w:p w14:paraId="08FFD910" w14:textId="77777777" w:rsidR="00767472" w:rsidRPr="00863D9F" w:rsidRDefault="00767472" w:rsidP="00767472">
      <w:pPr>
        <w:rPr>
          <w:i/>
          <w:iCs/>
        </w:rPr>
      </w:pPr>
      <w:r w:rsidRPr="00863D9F">
        <w:rPr>
          <w:i/>
          <w:iCs/>
        </w:rPr>
        <w:t>Definitions and scope</w:t>
      </w:r>
    </w:p>
    <w:p w14:paraId="5A36FD59" w14:textId="77777777" w:rsidR="00767472" w:rsidRPr="00863D9F" w:rsidRDefault="00767472" w:rsidP="00767472">
      <w:pPr>
        <w:pStyle w:val="Bulletpoint"/>
        <w:numPr>
          <w:ilvl w:val="0"/>
          <w:numId w:val="0"/>
        </w:numPr>
        <w:tabs>
          <w:tab w:val="clear" w:pos="340"/>
        </w:tabs>
        <w:ind w:left="32" w:hanging="32"/>
        <w:rPr>
          <w:bCs/>
        </w:rPr>
      </w:pPr>
      <w:r w:rsidRPr="00863D9F">
        <w:rPr>
          <w:bCs/>
        </w:rPr>
        <w:t xml:space="preserve">11 stakeholders agreed with the definitions for Infant Sleep Products, Inclined Sleep </w:t>
      </w:r>
      <w:proofErr w:type="gramStart"/>
      <w:r w:rsidRPr="00863D9F">
        <w:rPr>
          <w:bCs/>
        </w:rPr>
        <w:t>Products</w:t>
      </w:r>
      <w:proofErr w:type="gramEnd"/>
      <w:r w:rsidRPr="00863D9F">
        <w:rPr>
          <w:bCs/>
        </w:rPr>
        <w:t xml:space="preserve"> and Inclined Non-Sleep Products. These stakeholders included advocacy associations, consumers, industry, industry associations, health professionals and government. </w:t>
      </w:r>
    </w:p>
    <w:p w14:paraId="0AA22490" w14:textId="77777777" w:rsidR="00767472" w:rsidRPr="00863D9F" w:rsidRDefault="00767472" w:rsidP="00767472">
      <w:pPr>
        <w:pStyle w:val="Bulletpoint"/>
        <w:numPr>
          <w:ilvl w:val="0"/>
          <w:numId w:val="0"/>
        </w:numPr>
        <w:tabs>
          <w:tab w:val="clear" w:pos="340"/>
        </w:tabs>
        <w:ind w:left="32" w:hanging="32"/>
        <w:rPr>
          <w:bCs/>
        </w:rPr>
      </w:pPr>
      <w:r w:rsidRPr="00863D9F">
        <w:rPr>
          <w:bCs/>
        </w:rPr>
        <w:t>9 stakeholders recommended sleep accessories such as wedges, sleep positioners, pillows, anti-roll devices and cot bumpers be included in the definition of Infant Sleep Products. Some stakeholders suggested cot bumpers also be banned.</w:t>
      </w:r>
    </w:p>
    <w:p w14:paraId="09616B01" w14:textId="77777777" w:rsidR="00767472" w:rsidRPr="00863D9F" w:rsidRDefault="00767472" w:rsidP="00767472">
      <w:pPr>
        <w:pStyle w:val="Bulletpoint"/>
        <w:numPr>
          <w:ilvl w:val="0"/>
          <w:numId w:val="0"/>
        </w:numPr>
      </w:pPr>
      <w:r w:rsidRPr="00863D9F">
        <w:t xml:space="preserve">3 industry stakeholders and an advocacy organisation disagreed with the proposed definitions: </w:t>
      </w:r>
    </w:p>
    <w:p w14:paraId="7952ABCC" w14:textId="77777777" w:rsidR="00767472" w:rsidRPr="00863D9F" w:rsidRDefault="00767472" w:rsidP="00D21B3B">
      <w:pPr>
        <w:pStyle w:val="Bulletpoint"/>
        <w:numPr>
          <w:ilvl w:val="0"/>
          <w:numId w:val="37"/>
        </w:numPr>
      </w:pPr>
      <w:proofErr w:type="spellStart"/>
      <w:r w:rsidRPr="00863D9F">
        <w:t>Britax</w:t>
      </w:r>
      <w:proofErr w:type="spellEnd"/>
      <w:r w:rsidRPr="00863D9F">
        <w:t xml:space="preserve"> Childcare Pty Ltd reiterated child restraints for motor vehicles, prams and strollers should not be captured.</w:t>
      </w:r>
    </w:p>
    <w:p w14:paraId="7395B847" w14:textId="77777777" w:rsidR="00767472" w:rsidRPr="00863D9F" w:rsidRDefault="00767472" w:rsidP="00D21B3B">
      <w:pPr>
        <w:pStyle w:val="Bulletpoint"/>
        <w:numPr>
          <w:ilvl w:val="0"/>
          <w:numId w:val="37"/>
        </w:numPr>
      </w:pPr>
      <w:r w:rsidRPr="00863D9F">
        <w:t xml:space="preserve">National Retail Association coordinated its response with INPAA, both of which supported banning sleep accessories captured above. </w:t>
      </w:r>
    </w:p>
    <w:p w14:paraId="51CB6FB5" w14:textId="77777777" w:rsidR="00767472" w:rsidRPr="00863D9F" w:rsidRDefault="00767472" w:rsidP="00D21B3B">
      <w:pPr>
        <w:pStyle w:val="Bulletpoint"/>
        <w:numPr>
          <w:ilvl w:val="0"/>
          <w:numId w:val="37"/>
        </w:numPr>
      </w:pPr>
      <w:r w:rsidRPr="00863D9F">
        <w:t>Kidsafe Australia raised concerns for non-essential infant products used for sleeping such as infant pillows, sleep positioning/wedges, nests, sleeping pods, infant cocoons, head restraints which are specifically designed to restrain an infant in a child car restraint in a vehicle and reclined sleeping accessories for use in portable cots.</w:t>
      </w:r>
    </w:p>
    <w:p w14:paraId="04894C99" w14:textId="77777777" w:rsidR="00767472" w:rsidRPr="00863D9F" w:rsidRDefault="00767472" w:rsidP="00767472">
      <w:pPr>
        <w:pStyle w:val="Bulletpoint"/>
        <w:numPr>
          <w:ilvl w:val="0"/>
          <w:numId w:val="0"/>
        </w:numPr>
      </w:pPr>
      <w:r w:rsidRPr="00863D9F">
        <w:t xml:space="preserve">Based on this feedback, the ACCC removed infant pillows, sleep positioners and wedges from the exclusion of the proposed mandatory safety standard so they are captured by the scope. However, the use of other infant products and accessories in the sleep environment is a risk due to consumer behaviour which cannot be regulated but will be addressed somewhat by the education campaign.   </w:t>
      </w:r>
    </w:p>
    <w:p w14:paraId="224C34E5" w14:textId="77777777" w:rsidR="00767472" w:rsidRPr="00863D9F" w:rsidRDefault="00767472" w:rsidP="00767472">
      <w:pPr>
        <w:pStyle w:val="Bulletpoint"/>
        <w:numPr>
          <w:ilvl w:val="0"/>
          <w:numId w:val="0"/>
        </w:numPr>
        <w:ind w:left="360" w:hanging="360"/>
        <w:rPr>
          <w:i/>
          <w:iCs/>
        </w:rPr>
      </w:pPr>
      <w:r w:rsidRPr="00863D9F">
        <w:rPr>
          <w:i/>
          <w:iCs/>
        </w:rPr>
        <w:t xml:space="preserve">Mattress firmness </w:t>
      </w:r>
    </w:p>
    <w:p w14:paraId="6095E837" w14:textId="77777777" w:rsidR="00767472" w:rsidRPr="00863D9F" w:rsidRDefault="00767472" w:rsidP="00767472">
      <w:pPr>
        <w:pStyle w:val="Bulletpoint"/>
        <w:numPr>
          <w:ilvl w:val="0"/>
          <w:numId w:val="0"/>
        </w:numPr>
        <w:rPr>
          <w:b/>
        </w:rPr>
      </w:pPr>
      <w:r w:rsidRPr="00863D9F">
        <w:t xml:space="preserve">The Consultation Paper proposed minimum requirements for mattress firmness for all Infant Sleep Products and referenced the Mattress Firmness Voluntary Standard as possible requirements. </w:t>
      </w:r>
    </w:p>
    <w:p w14:paraId="71FA7A91" w14:textId="77777777" w:rsidR="00767472" w:rsidRPr="00863D9F" w:rsidRDefault="00767472" w:rsidP="00767472">
      <w:pPr>
        <w:pStyle w:val="Bulletpoint"/>
        <w:numPr>
          <w:ilvl w:val="0"/>
          <w:numId w:val="0"/>
        </w:numPr>
      </w:pPr>
      <w:r w:rsidRPr="00863D9F">
        <w:t xml:space="preserve">There was broad support for a mattress firmness test for Infant Sleep Products, including household cots and folding cots. Stakeholder responses, including the INPAA, raised concerns about whether the test contained in Mattress Firmness Voluntary Standard may not be suitable for Infant Sleep Products with an incline as the sleep surface is required to be horizontal when tested. </w:t>
      </w:r>
    </w:p>
    <w:p w14:paraId="313CFECB" w14:textId="77777777" w:rsidR="00767472" w:rsidRPr="00863D9F" w:rsidRDefault="00767472" w:rsidP="00767472">
      <w:pPr>
        <w:pStyle w:val="Bulletpoint"/>
        <w:numPr>
          <w:ilvl w:val="0"/>
          <w:numId w:val="0"/>
        </w:numPr>
      </w:pPr>
      <w:r w:rsidRPr="00863D9F">
        <w:t xml:space="preserve">The ACCC also received further feedback from industry about an additional mattress firmness test which follows on from the Mattress Firmness Voluntary Standard and can be used for inclined products. To reduce the burden of test costs for industry, a test order for the mandatory safety standard requires products to be tested against the incline requirements (maximum incline of 7 degrees from the horizontal) so the products will effectively be flat, before being tested against the rigidity requirements. </w:t>
      </w:r>
    </w:p>
    <w:p w14:paraId="0C077DCD" w14:textId="77777777" w:rsidR="00767472" w:rsidRPr="00863D9F" w:rsidRDefault="00767472" w:rsidP="00767472">
      <w:pPr>
        <w:pStyle w:val="Bulletpoint"/>
        <w:numPr>
          <w:ilvl w:val="0"/>
          <w:numId w:val="0"/>
        </w:numPr>
        <w:rPr>
          <w:i/>
          <w:iCs/>
        </w:rPr>
      </w:pPr>
      <w:r w:rsidRPr="00863D9F">
        <w:rPr>
          <w:i/>
          <w:iCs/>
        </w:rPr>
        <w:t>Materials used (breathability)</w:t>
      </w:r>
    </w:p>
    <w:p w14:paraId="1671E2F6" w14:textId="77777777" w:rsidR="00767472" w:rsidRPr="00863D9F" w:rsidRDefault="00767472" w:rsidP="00767472">
      <w:pPr>
        <w:pStyle w:val="Bulletpoint"/>
        <w:numPr>
          <w:ilvl w:val="0"/>
          <w:numId w:val="0"/>
        </w:numPr>
      </w:pPr>
      <w:r w:rsidRPr="00863D9F">
        <w:t xml:space="preserve">The Consultation Paper recommended including requirements for breathability to address the risk of carbon dioxide rebreathing, specifically the product be made of breathable fabric that meets testing requirements.  </w:t>
      </w:r>
    </w:p>
    <w:p w14:paraId="2A1CC7C4" w14:textId="77777777" w:rsidR="00767472" w:rsidRPr="00863D9F" w:rsidRDefault="00767472" w:rsidP="00D21B3B">
      <w:pPr>
        <w:pStyle w:val="ListParagraph"/>
        <w:numPr>
          <w:ilvl w:val="0"/>
          <w:numId w:val="35"/>
        </w:numPr>
      </w:pPr>
      <w:proofErr w:type="spellStart"/>
      <w:r w:rsidRPr="00863D9F">
        <w:t>Britax</w:t>
      </w:r>
      <w:proofErr w:type="spellEnd"/>
      <w:r w:rsidRPr="00863D9F">
        <w:t xml:space="preserve"> Childcare Pty Ltd, a manufacturer, advised that Standards Australia Committee CS-003 considered breathability requirements for mattresses and concluded requiring mattress breathability was not of any benefit as the infant would still be unable to breathe in the prone position.</w:t>
      </w:r>
    </w:p>
    <w:p w14:paraId="2D288039" w14:textId="77777777" w:rsidR="00767472" w:rsidRPr="00863D9F" w:rsidRDefault="00767472" w:rsidP="00D21B3B">
      <w:pPr>
        <w:pStyle w:val="ListParagraph"/>
        <w:numPr>
          <w:ilvl w:val="0"/>
          <w:numId w:val="35"/>
        </w:numPr>
      </w:pPr>
      <w:r w:rsidRPr="00863D9F">
        <w:t>Dr Barker et al noted the concept of breathability is currently undergoing rigorous reassessment. Kidsafe Australia similarly noted further research is required as breathability has become an unsupported marketing claim.</w:t>
      </w:r>
    </w:p>
    <w:p w14:paraId="05CBD244" w14:textId="77777777" w:rsidR="00767472" w:rsidRPr="00863D9F" w:rsidRDefault="00767472" w:rsidP="00767472">
      <w:pPr>
        <w:rPr>
          <w:i/>
          <w:iCs/>
        </w:rPr>
      </w:pPr>
      <w:r w:rsidRPr="00863D9F">
        <w:rPr>
          <w:i/>
          <w:iCs/>
        </w:rPr>
        <w:t xml:space="preserve">Household and folding cots </w:t>
      </w:r>
    </w:p>
    <w:p w14:paraId="774E4015" w14:textId="77777777" w:rsidR="00767472" w:rsidRPr="00863D9F" w:rsidRDefault="00767472" w:rsidP="00767472">
      <w:r w:rsidRPr="00863D9F">
        <w:t xml:space="preserve">The Consultation Paper sought feedback on the relevance, effectiveness and whether to allow compliance with international voluntary standards for the Household Cots Mandatory Standard and Folding Cots Mandatory Standard. </w:t>
      </w:r>
    </w:p>
    <w:p w14:paraId="0FFD6D7A" w14:textId="77777777" w:rsidR="00767472" w:rsidRPr="00863D9F" w:rsidRDefault="00767472" w:rsidP="00767472">
      <w:r w:rsidRPr="00863D9F">
        <w:t>The NSW Department of Education considered adopting only the most recent voluntary standard in full (Option H3 and F3) would provide clearer requirements that better ensure the mandatory standards are relevant, effective and provide a better level of safety. The NSW Education advised adopting international voluntary standards in addition to Australian voluntary standards (Option H4 and F4) would create confusion and make it difficult for regulators and consumers to test compliance. The NSW Department of Education believe this uncertainty will lead to increased risk for children and did not perceive this option would adequately address identified risks.</w:t>
      </w:r>
    </w:p>
    <w:p w14:paraId="085DA0F0" w14:textId="336BC147" w:rsidR="00767472" w:rsidRPr="00863D9F" w:rsidRDefault="00767472" w:rsidP="00767472">
      <w:r w:rsidRPr="00863D9F">
        <w:t xml:space="preserve">The INPAA also felt </w:t>
      </w:r>
      <w:r w:rsidR="002A203C">
        <w:t>i</w:t>
      </w:r>
      <w:r w:rsidRPr="00863D9F">
        <w:t xml:space="preserve">ncluding international requirements was unnecessary. </w:t>
      </w:r>
    </w:p>
    <w:p w14:paraId="0AF3D2D6" w14:textId="77777777" w:rsidR="00767472" w:rsidRPr="00863D9F" w:rsidRDefault="00767472" w:rsidP="00767472">
      <w:r w:rsidRPr="00863D9F">
        <w:t xml:space="preserve">The Australian Toy Association advised it considers adopting international voluntary standards in addition to Australian voluntary standards (Option H4 and F4) would significantly reduce compliance costs for suppliers. </w:t>
      </w:r>
    </w:p>
    <w:p w14:paraId="46EBFF55" w14:textId="77777777" w:rsidR="00767472" w:rsidRPr="00863D9F" w:rsidRDefault="00767472" w:rsidP="00767472">
      <w:r w:rsidRPr="00863D9F">
        <w:t>The Consultation Paper also sought feedback on definitional issues with the Folding Cots Mandatory Standard, where 8 stakeholders responded.</w:t>
      </w:r>
    </w:p>
    <w:p w14:paraId="66AF446E" w14:textId="77777777" w:rsidR="00767472" w:rsidRPr="00863D9F" w:rsidRDefault="00767472" w:rsidP="00D21B3B">
      <w:pPr>
        <w:pStyle w:val="ListParagraph"/>
        <w:numPr>
          <w:ilvl w:val="0"/>
          <w:numId w:val="38"/>
        </w:numPr>
      </w:pPr>
      <w:r w:rsidRPr="00863D9F">
        <w:t xml:space="preserve">CNP Brands suggested making the scope of folding cots and household cots clearer. </w:t>
      </w:r>
    </w:p>
    <w:p w14:paraId="6CE12705" w14:textId="77777777" w:rsidR="00767472" w:rsidRPr="00863D9F" w:rsidRDefault="00767472" w:rsidP="00D21B3B">
      <w:pPr>
        <w:pStyle w:val="ListParagraph"/>
        <w:numPr>
          <w:ilvl w:val="0"/>
          <w:numId w:val="38"/>
        </w:numPr>
      </w:pPr>
      <w:r w:rsidRPr="00863D9F">
        <w:t xml:space="preserve">Kidsafe Australia, the Nation Retail Association and the INPAA recommended updating the folding cot definition to clearly specify the terminology for ‘floor’ which would exclude playpens. </w:t>
      </w:r>
    </w:p>
    <w:p w14:paraId="14A2DCB6" w14:textId="77777777" w:rsidR="00767472" w:rsidRPr="00863D9F" w:rsidRDefault="00767472" w:rsidP="00767472">
      <w:pPr>
        <w:rPr>
          <w:i/>
          <w:iCs/>
        </w:rPr>
      </w:pPr>
      <w:r w:rsidRPr="00863D9F">
        <w:rPr>
          <w:i/>
          <w:iCs/>
        </w:rPr>
        <w:t xml:space="preserve">Transition period </w:t>
      </w:r>
    </w:p>
    <w:p w14:paraId="46F9E930" w14:textId="77777777" w:rsidR="00767472" w:rsidRPr="00863D9F" w:rsidRDefault="00767472" w:rsidP="00767472">
      <w:r w:rsidRPr="00863D9F">
        <w:t xml:space="preserve">The Consultation Paper suggested an 18-month transition period for a mandatory safety standard and a 12-month transition period for a mandatory information standard. </w:t>
      </w:r>
    </w:p>
    <w:p w14:paraId="7C73C3AE" w14:textId="77777777" w:rsidR="00767472" w:rsidRPr="00863D9F" w:rsidRDefault="00767472" w:rsidP="00767472">
      <w:r w:rsidRPr="00863D9F">
        <w:t>4 stakeholders from industry and government agreed with the proposed transition periods. One stakeholder advised 12 months would be challenging to sell existing products before they become non-</w:t>
      </w:r>
      <w:proofErr w:type="gramStart"/>
      <w:r w:rsidRPr="00863D9F">
        <w:t>compliant</w:t>
      </w:r>
      <w:proofErr w:type="gramEnd"/>
      <w:r w:rsidRPr="00863D9F">
        <w:t xml:space="preserve"> and a 24-month transition period would be more realistic for both a mandatory information standard and mandatory information standard. </w:t>
      </w:r>
    </w:p>
    <w:p w14:paraId="0026E3F9" w14:textId="77777777" w:rsidR="00767472" w:rsidRPr="00AF6307" w:rsidRDefault="00767472" w:rsidP="00D21B3B">
      <w:pPr>
        <w:pStyle w:val="Numbered1"/>
        <w:rPr>
          <w:rFonts w:ascii="Roboto" w:hAnsi="Roboto"/>
          <w:sz w:val="44"/>
          <w:szCs w:val="44"/>
        </w:rPr>
      </w:pPr>
      <w:bookmarkStart w:id="43" w:name="_Toc139452457"/>
      <w:bookmarkStart w:id="44" w:name="_Toc140065178"/>
      <w:r w:rsidRPr="00AF6307">
        <w:rPr>
          <w:rFonts w:ascii="Roboto" w:hAnsi="Roboto"/>
          <w:sz w:val="44"/>
          <w:szCs w:val="44"/>
        </w:rPr>
        <w:t>What policy options are you considering?</w:t>
      </w:r>
      <w:bookmarkEnd w:id="43"/>
      <w:bookmarkEnd w:id="44"/>
      <w:r w:rsidRPr="00AF6307">
        <w:rPr>
          <w:rFonts w:ascii="Roboto" w:hAnsi="Roboto"/>
          <w:sz w:val="44"/>
          <w:szCs w:val="44"/>
        </w:rPr>
        <w:t xml:space="preserve"> </w:t>
      </w:r>
    </w:p>
    <w:p w14:paraId="6F048160" w14:textId="77777777" w:rsidR="00767472" w:rsidRPr="00AF6307" w:rsidRDefault="00767472" w:rsidP="00D21B3B">
      <w:pPr>
        <w:pStyle w:val="Numbered11"/>
        <w:rPr>
          <w:rFonts w:ascii="Roboto" w:hAnsi="Roboto"/>
          <w:sz w:val="32"/>
          <w:szCs w:val="32"/>
        </w:rPr>
      </w:pPr>
      <w:bookmarkStart w:id="45" w:name="_Toc139452458"/>
      <w:bookmarkStart w:id="46" w:name="_Toc140065179"/>
      <w:r w:rsidRPr="00AF6307">
        <w:rPr>
          <w:rFonts w:ascii="Roboto" w:hAnsi="Roboto"/>
          <w:sz w:val="32"/>
          <w:szCs w:val="32"/>
        </w:rPr>
        <w:t>Regulatory options under the ACL</w:t>
      </w:r>
      <w:bookmarkEnd w:id="45"/>
      <w:bookmarkEnd w:id="46"/>
    </w:p>
    <w:p w14:paraId="1AE42961" w14:textId="77777777" w:rsidR="00767472" w:rsidRPr="00863D9F" w:rsidRDefault="00767472" w:rsidP="00767472">
      <w:r w:rsidRPr="00863D9F">
        <w:t>The Australian consumer product safety framework is underpinned by the Australian Consumer Law (ACL), where the responsible Commonwealth Minister has regulatory options to prevent and reduce the risks associated with consumer goods. Options available to the Minister include:</w:t>
      </w:r>
    </w:p>
    <w:p w14:paraId="3E142683" w14:textId="77777777" w:rsidR="00767472" w:rsidRPr="00863D9F" w:rsidRDefault="00767472" w:rsidP="00D21B3B">
      <w:pPr>
        <w:pStyle w:val="Bulletpoint"/>
        <w:numPr>
          <w:ilvl w:val="0"/>
          <w:numId w:val="32"/>
        </w:numPr>
      </w:pPr>
      <w:r w:rsidRPr="00863D9F">
        <w:t>a mandatory safety standard under section 104 of the ACL</w:t>
      </w:r>
      <w:r w:rsidRPr="00863D9F">
        <w:rPr>
          <w:vertAlign w:val="superscript"/>
        </w:rPr>
        <w:footnoteReference w:id="18"/>
      </w:r>
    </w:p>
    <w:p w14:paraId="261632E1" w14:textId="77777777" w:rsidR="00767472" w:rsidRPr="00863D9F" w:rsidRDefault="00767472" w:rsidP="00D21B3B">
      <w:pPr>
        <w:pStyle w:val="Bulletpoint"/>
        <w:numPr>
          <w:ilvl w:val="0"/>
          <w:numId w:val="32"/>
        </w:numPr>
      </w:pPr>
      <w:r w:rsidRPr="00863D9F">
        <w:t>a mandatory information standard under section 134 of the ACL</w:t>
      </w:r>
      <w:r w:rsidRPr="00863D9F">
        <w:rPr>
          <w:vertAlign w:val="superscript"/>
        </w:rPr>
        <w:footnoteReference w:id="19"/>
      </w:r>
      <w:r w:rsidRPr="00863D9F">
        <w:rPr>
          <w:vertAlign w:val="superscript"/>
        </w:rPr>
        <w:t xml:space="preserve"> </w:t>
      </w:r>
      <w:r w:rsidRPr="00863D9F">
        <w:t xml:space="preserve"> </w:t>
      </w:r>
    </w:p>
    <w:p w14:paraId="3CAA998F" w14:textId="77777777" w:rsidR="00767472" w:rsidRPr="00863D9F" w:rsidRDefault="00767472" w:rsidP="00D21B3B">
      <w:pPr>
        <w:pStyle w:val="Bulletpoint"/>
        <w:numPr>
          <w:ilvl w:val="0"/>
          <w:numId w:val="32"/>
        </w:numPr>
      </w:pPr>
      <w:r w:rsidRPr="00863D9F">
        <w:t>interim and permanent bans on products of a particular kind under section 109 and 114 respectively</w:t>
      </w:r>
      <w:r w:rsidRPr="00863D9F">
        <w:rPr>
          <w:vertAlign w:val="superscript"/>
        </w:rPr>
        <w:footnoteReference w:id="20"/>
      </w:r>
    </w:p>
    <w:p w14:paraId="77D1E926" w14:textId="77777777" w:rsidR="00767472" w:rsidRPr="00863D9F" w:rsidRDefault="00767472" w:rsidP="00D21B3B">
      <w:pPr>
        <w:pStyle w:val="Bulletpoint"/>
        <w:numPr>
          <w:ilvl w:val="0"/>
          <w:numId w:val="32"/>
        </w:numPr>
      </w:pPr>
      <w:r w:rsidRPr="00863D9F">
        <w:t>a safety warning notice under section 129 of the ACL.</w:t>
      </w:r>
    </w:p>
    <w:p w14:paraId="4AEA4DB7" w14:textId="77777777" w:rsidR="00767472" w:rsidRPr="00863D9F" w:rsidRDefault="00767472" w:rsidP="00767472">
      <w:r w:rsidRPr="00863D9F">
        <w:t>Given the enduring trend of infant fatalities and public and expert health advise, the ACCC focused on pre-emptive risk mitigation strategies (mandatory standards) rather than reactive options such as safety warning notices, bans or recalls to better address the problem.</w:t>
      </w:r>
    </w:p>
    <w:p w14:paraId="19B44983" w14:textId="77777777" w:rsidR="00767472" w:rsidRPr="00AF6307" w:rsidRDefault="00767472" w:rsidP="00D21B3B">
      <w:pPr>
        <w:pStyle w:val="Numbered11"/>
        <w:rPr>
          <w:rFonts w:ascii="Roboto" w:hAnsi="Roboto"/>
          <w:sz w:val="32"/>
          <w:szCs w:val="32"/>
        </w:rPr>
      </w:pPr>
      <w:bookmarkStart w:id="47" w:name="_Toc139452459"/>
      <w:bookmarkStart w:id="48" w:name="_Toc140065180"/>
      <w:r w:rsidRPr="00AF6307">
        <w:rPr>
          <w:rFonts w:ascii="Roboto" w:hAnsi="Roboto"/>
          <w:sz w:val="32"/>
          <w:szCs w:val="32"/>
        </w:rPr>
        <w:t>Assessing the regulatory options</w:t>
      </w:r>
      <w:bookmarkEnd w:id="47"/>
      <w:bookmarkEnd w:id="48"/>
    </w:p>
    <w:p w14:paraId="3474ECE0" w14:textId="77777777" w:rsidR="00767472" w:rsidRPr="00863D9F" w:rsidRDefault="00767472" w:rsidP="00767472">
      <w:pPr>
        <w:pStyle w:val="Bulletpoint"/>
        <w:numPr>
          <w:ilvl w:val="0"/>
          <w:numId w:val="0"/>
        </w:numPr>
      </w:pPr>
      <w:r w:rsidRPr="00863D9F">
        <w:t xml:space="preserve">The ACCC is of the view that a mandatory safety standard for all Infant Sleep Products and a mandatory information standard for Infant Sleep Products and Inclined Non-Sleep Products is the most effective action to reduce the risk of injury and fatalities associated with these products. </w:t>
      </w:r>
    </w:p>
    <w:p w14:paraId="04B00F64" w14:textId="77777777" w:rsidR="00767472" w:rsidRPr="00863D9F" w:rsidRDefault="00767472" w:rsidP="00767472">
      <w:pPr>
        <w:pStyle w:val="Bulletpoint"/>
        <w:numPr>
          <w:ilvl w:val="0"/>
          <w:numId w:val="0"/>
        </w:numPr>
      </w:pPr>
      <w:r w:rsidRPr="00863D9F">
        <w:t xml:space="preserve">Stakeholder responses have informed the preferred option, having regard to both quantitative and qualitative considerations including the cost to industry and effectiveness at preventing or reducing the risk of injury and fatalities. </w:t>
      </w:r>
    </w:p>
    <w:p w14:paraId="714B23C6" w14:textId="77777777" w:rsidR="00767472" w:rsidRPr="00863D9F" w:rsidRDefault="00767472" w:rsidP="00767472">
      <w:pPr>
        <w:pStyle w:val="Bulletpoint"/>
        <w:numPr>
          <w:ilvl w:val="0"/>
          <w:numId w:val="0"/>
        </w:numPr>
      </w:pPr>
      <w:r w:rsidRPr="00863D9F">
        <w:t xml:space="preserve">Benefits and costs for each option were also considered, noting they contain a degree of uncertainty. There is limited specific market information available, so the cost-benefit calculations were based on various assumptions. </w:t>
      </w:r>
    </w:p>
    <w:p w14:paraId="6AA868D3" w14:textId="77777777" w:rsidR="00767472" w:rsidRPr="00863D9F" w:rsidRDefault="00767472" w:rsidP="00767472">
      <w:pPr>
        <w:pStyle w:val="Bulletpoint"/>
        <w:numPr>
          <w:ilvl w:val="0"/>
          <w:numId w:val="0"/>
        </w:numPr>
      </w:pPr>
      <w:r w:rsidRPr="00863D9F">
        <w:t xml:space="preserve">The requirements in each option would apply to any entity in the supply chain, including manufacturers, importers, </w:t>
      </w:r>
      <w:proofErr w:type="gramStart"/>
      <w:r w:rsidRPr="00863D9F">
        <w:t>distributors</w:t>
      </w:r>
      <w:proofErr w:type="gramEnd"/>
      <w:r w:rsidRPr="00863D9F">
        <w:t xml:space="preserve"> and retailers, who supply Infant Sleep Products and Inclined Non-Sleep Products. Updates to the mandatory standards for household and folding cots will apply to any entity who supplies household and folding cots, including current and future entities:</w:t>
      </w:r>
    </w:p>
    <w:p w14:paraId="59CA5745" w14:textId="77777777" w:rsidR="00767472" w:rsidRPr="00863D9F" w:rsidRDefault="00767472" w:rsidP="00D21B3B">
      <w:pPr>
        <w:pStyle w:val="ListParagraph"/>
        <w:numPr>
          <w:ilvl w:val="0"/>
          <w:numId w:val="36"/>
        </w:numPr>
        <w:spacing w:before="60"/>
        <w:rPr>
          <w:rFonts w:cs="Arial"/>
        </w:rPr>
      </w:pPr>
      <w:r w:rsidRPr="00863D9F">
        <w:rPr>
          <w:rFonts w:cs="Arial"/>
          <w:b/>
          <w:bCs/>
        </w:rPr>
        <w:t>Option 1</w:t>
      </w:r>
      <w:r w:rsidRPr="00863D9F">
        <w:rPr>
          <w:rFonts w:cs="Arial"/>
        </w:rPr>
        <w:t xml:space="preserve">: Take no action (maintain the status quo).  </w:t>
      </w:r>
    </w:p>
    <w:p w14:paraId="4282CC21" w14:textId="77777777" w:rsidR="00767472" w:rsidRPr="00863D9F" w:rsidRDefault="00767472" w:rsidP="00D21B3B">
      <w:pPr>
        <w:pStyle w:val="ListParagraph"/>
        <w:numPr>
          <w:ilvl w:val="0"/>
          <w:numId w:val="36"/>
        </w:numPr>
        <w:spacing w:before="60"/>
        <w:rPr>
          <w:rFonts w:cs="Arial"/>
        </w:rPr>
      </w:pPr>
      <w:r w:rsidRPr="00863D9F">
        <w:rPr>
          <w:rFonts w:cs="Arial"/>
          <w:b/>
          <w:bCs/>
        </w:rPr>
        <w:t xml:space="preserve">Option </w:t>
      </w:r>
      <w:r w:rsidRPr="007E40F4">
        <w:rPr>
          <w:rFonts w:cs="Arial"/>
          <w:b/>
          <w:bCs/>
        </w:rPr>
        <w:t>2</w:t>
      </w:r>
      <w:r w:rsidRPr="00863D9F">
        <w:rPr>
          <w:rFonts w:cs="Arial"/>
        </w:rPr>
        <w:t>: Amend the mandatory standards for household and folding cots.</w:t>
      </w:r>
    </w:p>
    <w:p w14:paraId="2EDDF491" w14:textId="77777777" w:rsidR="00767472" w:rsidRPr="00863D9F" w:rsidRDefault="00767472" w:rsidP="00D21B3B">
      <w:pPr>
        <w:pStyle w:val="ListParagraph"/>
        <w:numPr>
          <w:ilvl w:val="0"/>
          <w:numId w:val="36"/>
        </w:numPr>
        <w:spacing w:before="60"/>
        <w:rPr>
          <w:rFonts w:cs="Arial"/>
        </w:rPr>
      </w:pPr>
      <w:r w:rsidRPr="00863D9F">
        <w:rPr>
          <w:rFonts w:cs="Arial"/>
          <w:b/>
          <w:bCs/>
        </w:rPr>
        <w:t xml:space="preserve">Option </w:t>
      </w:r>
      <w:r w:rsidRPr="007E40F4">
        <w:rPr>
          <w:rFonts w:cs="Arial"/>
          <w:b/>
          <w:bCs/>
        </w:rPr>
        <w:t>3</w:t>
      </w:r>
      <w:r w:rsidRPr="00863D9F">
        <w:rPr>
          <w:rFonts w:cs="Arial"/>
        </w:rPr>
        <w:t>: Make a mandatory information standard for Infant Sleep Products and Inclined Non-Sleep Products, plus an education campaign.</w:t>
      </w:r>
    </w:p>
    <w:p w14:paraId="13FC2BB5" w14:textId="77777777" w:rsidR="00767472" w:rsidRPr="00863D9F" w:rsidRDefault="00767472" w:rsidP="00D21B3B">
      <w:pPr>
        <w:pStyle w:val="ListParagraph"/>
        <w:numPr>
          <w:ilvl w:val="0"/>
          <w:numId w:val="36"/>
        </w:numPr>
        <w:spacing w:before="60"/>
      </w:pPr>
      <w:r w:rsidRPr="00863D9F">
        <w:rPr>
          <w:rFonts w:cs="Arial"/>
          <w:b/>
          <w:bCs/>
        </w:rPr>
        <w:t xml:space="preserve">Option </w:t>
      </w:r>
      <w:r w:rsidRPr="007E40F4">
        <w:rPr>
          <w:rFonts w:cs="Arial"/>
          <w:b/>
          <w:bCs/>
        </w:rPr>
        <w:t>4</w:t>
      </w:r>
      <w:r w:rsidRPr="00863D9F">
        <w:rPr>
          <w:rFonts w:cs="Arial"/>
        </w:rPr>
        <w:t>: Make a mandatory safety standard for Infant Sleep Products, mandatory information standard for Infant Sleep Products and Inclined Non-Sleep Products and revoke the household</w:t>
      </w:r>
      <w:r w:rsidRPr="00863D9F">
        <w:t xml:space="preserve"> and folding cots mandatory standards, plus an education campaign. </w:t>
      </w:r>
    </w:p>
    <w:p w14:paraId="4C2567BD" w14:textId="77777777" w:rsidR="00767472" w:rsidRPr="00AF6307" w:rsidRDefault="00767472" w:rsidP="00D21B3B">
      <w:pPr>
        <w:pStyle w:val="Numbered111"/>
        <w:rPr>
          <w:sz w:val="28"/>
          <w:szCs w:val="28"/>
        </w:rPr>
      </w:pPr>
      <w:bookmarkStart w:id="49" w:name="_Toc139452460"/>
      <w:bookmarkStart w:id="50" w:name="_Toc140065181"/>
      <w:r w:rsidRPr="00AF6307">
        <w:rPr>
          <w:sz w:val="28"/>
          <w:szCs w:val="28"/>
        </w:rPr>
        <w:t>Option 1: Take no action (maintain the status quo).</w:t>
      </w:r>
      <w:bookmarkEnd w:id="49"/>
      <w:bookmarkEnd w:id="50"/>
      <w:r w:rsidRPr="00AF6307">
        <w:rPr>
          <w:sz w:val="28"/>
          <w:szCs w:val="28"/>
        </w:rPr>
        <w:t xml:space="preserve"> </w:t>
      </w:r>
    </w:p>
    <w:p w14:paraId="5209A536" w14:textId="77777777" w:rsidR="00767472" w:rsidRPr="00863D9F" w:rsidRDefault="00767472" w:rsidP="00767472">
      <w:pPr>
        <w:pStyle w:val="Bulletpoint"/>
        <w:numPr>
          <w:ilvl w:val="0"/>
          <w:numId w:val="0"/>
        </w:numPr>
        <w:pBdr>
          <w:top w:val="single" w:sz="4" w:space="1" w:color="auto"/>
          <w:left w:val="single" w:sz="4" w:space="4" w:color="auto"/>
          <w:bottom w:val="single" w:sz="4" w:space="1" w:color="auto"/>
          <w:right w:val="single" w:sz="4" w:space="4" w:color="auto"/>
        </w:pBdr>
        <w:shd w:val="clear" w:color="auto" w:fill="D5D6D2" w:themeFill="background2"/>
      </w:pPr>
      <w:r w:rsidRPr="00863D9F">
        <w:rPr>
          <w:b/>
          <w:bCs/>
        </w:rPr>
        <w:t xml:space="preserve">Option 1: Take no action (maintain the status quo). </w:t>
      </w:r>
      <w:r w:rsidRPr="00863D9F">
        <w:t xml:space="preserve"> </w:t>
      </w:r>
    </w:p>
    <w:p w14:paraId="5713E381" w14:textId="77777777" w:rsidR="00767472" w:rsidRPr="00863D9F" w:rsidRDefault="00767472" w:rsidP="00767472">
      <w:pPr>
        <w:pStyle w:val="Bulletpoint"/>
        <w:numPr>
          <w:ilvl w:val="0"/>
          <w:numId w:val="0"/>
        </w:numPr>
      </w:pPr>
      <w:r w:rsidRPr="00863D9F">
        <w:t>Maintaining the status quo would mean taking no regulatory action to address the current availability of Infant Sleep Products. There would be no impact on reducing the number of fatalities and injuries associated with Infant Sleep Products. No additional cost would be imposed on business under this option.</w:t>
      </w:r>
    </w:p>
    <w:p w14:paraId="310BB25E" w14:textId="44259F9F" w:rsidR="00767472" w:rsidRPr="00863D9F" w:rsidRDefault="00767472" w:rsidP="00767472">
      <w:r w:rsidRPr="00863D9F">
        <w:t>Given international developments relating to Infant Sleep Products, particularly by the United States, suppliers may self-regulate by adopting voluntary or international standards that address some of the risks associated with Infant Sleep Products. Additionally, the Household Cots Mandatory Standard and Folding Cots Mandatory Standard would continue to mandate minimum safety requirements for construction, design, performance labelling and include mandatory safety warnings and labelling about safe use. However, these do not address the risks addressed in the updated voluntary standards such as rigidity or drop sides</w:t>
      </w:r>
      <w:r w:rsidR="007E40F4">
        <w:t xml:space="preserve"> and would continue to be outdated</w:t>
      </w:r>
      <w:r w:rsidRPr="00863D9F">
        <w:t xml:space="preserve">. </w:t>
      </w:r>
    </w:p>
    <w:p w14:paraId="28C68635" w14:textId="77777777" w:rsidR="00767472" w:rsidRPr="00AF6307" w:rsidRDefault="00767472" w:rsidP="00D21B3B">
      <w:pPr>
        <w:pStyle w:val="Numbered111"/>
        <w:rPr>
          <w:sz w:val="28"/>
          <w:szCs w:val="28"/>
        </w:rPr>
      </w:pPr>
      <w:bookmarkStart w:id="51" w:name="_Toc139452461"/>
      <w:bookmarkStart w:id="52" w:name="_Toc140065182"/>
      <w:r w:rsidRPr="00AF6307">
        <w:rPr>
          <w:sz w:val="28"/>
          <w:szCs w:val="28"/>
        </w:rPr>
        <w:t>Option 2: Amend the current mandatory standards for household and folding cots</w:t>
      </w:r>
      <w:bookmarkEnd w:id="51"/>
      <w:bookmarkEnd w:id="52"/>
      <w:r w:rsidRPr="00AF6307">
        <w:rPr>
          <w:sz w:val="28"/>
          <w:szCs w:val="28"/>
        </w:rPr>
        <w:t xml:space="preserve"> </w:t>
      </w:r>
    </w:p>
    <w:p w14:paraId="631772B9" w14:textId="77777777" w:rsidR="00767472" w:rsidRPr="00863D9F" w:rsidRDefault="00767472" w:rsidP="00767472">
      <w:pPr>
        <w:pStyle w:val="Bulletpoint"/>
        <w:numPr>
          <w:ilvl w:val="0"/>
          <w:numId w:val="0"/>
        </w:numPr>
        <w:pBdr>
          <w:top w:val="single" w:sz="4" w:space="1" w:color="auto"/>
          <w:left w:val="single" w:sz="4" w:space="4" w:color="auto"/>
          <w:bottom w:val="single" w:sz="4" w:space="1" w:color="auto"/>
          <w:right w:val="single" w:sz="4" w:space="4" w:color="auto"/>
        </w:pBdr>
        <w:shd w:val="clear" w:color="auto" w:fill="D5D6D2" w:themeFill="background2"/>
      </w:pPr>
      <w:r w:rsidRPr="00863D9F">
        <w:rPr>
          <w:b/>
          <w:bCs/>
        </w:rPr>
        <w:t>Option 2:</w:t>
      </w:r>
      <w:r w:rsidRPr="00863D9F">
        <w:t xml:space="preserve"> Amend the current Household Cots Mandatory Standard and Folding Cots Mandatory Standard to adopt sections of the most recent respective voluntary standards to allow compliance with trusted international standards.</w:t>
      </w:r>
    </w:p>
    <w:p w14:paraId="15990A63" w14:textId="77777777" w:rsidR="00767472" w:rsidRPr="00863D9F" w:rsidRDefault="00767472" w:rsidP="00767472">
      <w:r w:rsidRPr="00863D9F">
        <w:t xml:space="preserve">This option will ensure the Household Cots Mandatory Standard and Folding Cots Mandatory Standard are relevant, </w:t>
      </w:r>
      <w:proofErr w:type="gramStart"/>
      <w:r w:rsidRPr="00863D9F">
        <w:t>effective</w:t>
      </w:r>
      <w:proofErr w:type="gramEnd"/>
      <w:r w:rsidRPr="00863D9F">
        <w:t xml:space="preserve"> and up to date. Suppliers would be required to comply with the relevant sections of any of the following voluntary standards:</w:t>
      </w:r>
    </w:p>
    <w:p w14:paraId="2B303003" w14:textId="77777777" w:rsidR="00767472" w:rsidRPr="00211C74" w:rsidRDefault="00767472" w:rsidP="00D21B3B">
      <w:pPr>
        <w:pStyle w:val="ListParagraph"/>
        <w:numPr>
          <w:ilvl w:val="0"/>
          <w:numId w:val="40"/>
        </w:numPr>
        <w:rPr>
          <w:b/>
          <w:bCs/>
        </w:rPr>
      </w:pPr>
      <w:r w:rsidRPr="00211C74">
        <w:rPr>
          <w:b/>
          <w:bCs/>
        </w:rPr>
        <w:t>Folding cots</w:t>
      </w:r>
    </w:p>
    <w:p w14:paraId="1B5F16FB" w14:textId="77777777" w:rsidR="00B43520" w:rsidRDefault="00767472" w:rsidP="00B43520">
      <w:pPr>
        <w:pStyle w:val="ListParagraph"/>
        <w:numPr>
          <w:ilvl w:val="1"/>
          <w:numId w:val="40"/>
        </w:numPr>
        <w:ind w:left="700"/>
      </w:pPr>
      <w:r w:rsidRPr="00863D9F">
        <w:t xml:space="preserve">Australian voluntary: </w:t>
      </w:r>
      <w:r w:rsidRPr="00863D9F">
        <w:rPr>
          <w:i/>
          <w:iCs/>
        </w:rPr>
        <w:t>Folding cots – Safety requirements (AS/NZS 2915:2010);</w:t>
      </w:r>
      <w:r w:rsidRPr="00863D9F">
        <w:t xml:space="preserve"> </w:t>
      </w:r>
    </w:p>
    <w:p w14:paraId="0FC02106" w14:textId="777D454C" w:rsidR="00095BD7" w:rsidRDefault="00767472" w:rsidP="00211C74">
      <w:pPr>
        <w:pStyle w:val="ListParagraph"/>
        <w:numPr>
          <w:ilvl w:val="1"/>
          <w:numId w:val="40"/>
        </w:numPr>
        <w:ind w:left="700"/>
      </w:pPr>
      <w:r w:rsidRPr="00863D9F">
        <w:t xml:space="preserve">United States voluntary: </w:t>
      </w:r>
      <w:r w:rsidRPr="00B43520">
        <w:rPr>
          <w:i/>
          <w:iCs/>
        </w:rPr>
        <w:t>Standard Consumer Safety Specification for Non-Full-Size Baby Cribs/Play Yards (ASTM F406-</w:t>
      </w:r>
      <w:r w:rsidR="00F94148">
        <w:rPr>
          <w:i/>
          <w:iCs/>
        </w:rPr>
        <w:t>22</w:t>
      </w:r>
      <w:r w:rsidRPr="00B43520">
        <w:rPr>
          <w:i/>
          <w:iCs/>
        </w:rPr>
        <w:t>);</w:t>
      </w:r>
      <w:r w:rsidRPr="00863D9F">
        <w:t xml:space="preserve"> or </w:t>
      </w:r>
    </w:p>
    <w:p w14:paraId="5545099E" w14:textId="14334B6E" w:rsidR="001F37FB" w:rsidRPr="001F37FB" w:rsidRDefault="00F94148" w:rsidP="00095BD7">
      <w:pPr>
        <w:pStyle w:val="ListParagraph"/>
        <w:numPr>
          <w:ilvl w:val="1"/>
          <w:numId w:val="40"/>
        </w:numPr>
        <w:ind w:left="700"/>
      </w:pPr>
      <w:r>
        <w:t xml:space="preserve">British voluntary: </w:t>
      </w:r>
      <w:r w:rsidRPr="00410E90">
        <w:rPr>
          <w:rFonts w:ascii="Arial" w:hAnsi="Arial" w:cs="Arial"/>
          <w:i/>
          <w:iCs/>
          <w:color w:val="000000"/>
        </w:rPr>
        <w:t>Furniture - Children’s cots and folding cots for domestic use - Part 1: Safety requirements</w:t>
      </w:r>
      <w:r>
        <w:rPr>
          <w:rFonts w:ascii="Arial" w:hAnsi="Arial" w:cs="Arial"/>
          <w:color w:val="000000"/>
        </w:rPr>
        <w:t xml:space="preserve"> </w:t>
      </w:r>
      <w:r w:rsidRPr="00410E90">
        <w:rPr>
          <w:rFonts w:ascii="Arial" w:hAnsi="Arial" w:cs="Arial"/>
          <w:i/>
          <w:iCs/>
          <w:color w:val="000000"/>
        </w:rPr>
        <w:t>(BS EN 716</w:t>
      </w:r>
      <w:r w:rsidRPr="00410E90">
        <w:rPr>
          <w:rFonts w:ascii="Arial" w:hAnsi="Arial" w:cs="Arial"/>
          <w:i/>
          <w:iCs/>
          <w:color w:val="2D2D2D"/>
          <w:shd w:val="clear" w:color="auto" w:fill="FFFFFF"/>
        </w:rPr>
        <w:t>-1:2017 Incorporating corrigendum March 2019)</w:t>
      </w:r>
      <w:r>
        <w:rPr>
          <w:rFonts w:ascii="Arial" w:hAnsi="Arial" w:cs="Arial"/>
          <w:color w:val="2D2D2D"/>
          <w:shd w:val="clear" w:color="auto" w:fill="FFFFFF"/>
        </w:rPr>
        <w:t xml:space="preserve">. </w:t>
      </w:r>
    </w:p>
    <w:p w14:paraId="171B4E34" w14:textId="0A991D41" w:rsidR="00767472" w:rsidRPr="00211C74" w:rsidRDefault="00767472" w:rsidP="00211C74">
      <w:pPr>
        <w:pStyle w:val="ListParagraph"/>
        <w:keepNext/>
        <w:keepLines/>
        <w:numPr>
          <w:ilvl w:val="0"/>
          <w:numId w:val="40"/>
        </w:numPr>
        <w:ind w:hanging="357"/>
        <w:rPr>
          <w:b/>
          <w:bCs/>
        </w:rPr>
      </w:pPr>
      <w:r w:rsidRPr="00211C74">
        <w:rPr>
          <w:b/>
          <w:bCs/>
        </w:rPr>
        <w:t>Household cots</w:t>
      </w:r>
    </w:p>
    <w:p w14:paraId="0D93EDB2" w14:textId="77777777" w:rsidR="00767472" w:rsidRPr="00863D9F" w:rsidRDefault="00767472" w:rsidP="00211C74">
      <w:pPr>
        <w:pStyle w:val="ListParagraph"/>
        <w:keepNext/>
        <w:keepLines/>
        <w:numPr>
          <w:ilvl w:val="1"/>
          <w:numId w:val="40"/>
        </w:numPr>
        <w:ind w:left="700" w:hanging="357"/>
      </w:pPr>
      <w:r w:rsidRPr="00863D9F">
        <w:t xml:space="preserve">Australian voluntary: </w:t>
      </w:r>
      <w:r w:rsidRPr="00863D9F">
        <w:rPr>
          <w:i/>
          <w:iCs/>
        </w:rPr>
        <w:t xml:space="preserve">Cots for household use - safety requirements (AS/NZS 2172-2013); </w:t>
      </w:r>
    </w:p>
    <w:p w14:paraId="3A9B187D" w14:textId="3240EDB9" w:rsidR="00095BD7" w:rsidRDefault="00767472" w:rsidP="00211C74">
      <w:pPr>
        <w:pStyle w:val="ListParagraph"/>
        <w:numPr>
          <w:ilvl w:val="1"/>
          <w:numId w:val="40"/>
        </w:numPr>
        <w:ind w:left="700"/>
      </w:pPr>
      <w:r w:rsidRPr="00863D9F">
        <w:t xml:space="preserve">United States voluntary: </w:t>
      </w:r>
      <w:r w:rsidRPr="00863D9F">
        <w:rPr>
          <w:i/>
          <w:iCs/>
        </w:rPr>
        <w:t>Standard Consumer Safety Specification for Full-Size Baby Cribs (ASTM F1169-19);</w:t>
      </w:r>
      <w:r w:rsidRPr="00863D9F">
        <w:t xml:space="preserve"> or </w:t>
      </w:r>
    </w:p>
    <w:p w14:paraId="24207551" w14:textId="069CF26B" w:rsidR="00F94148" w:rsidRPr="001F37FB" w:rsidRDefault="00095BD7" w:rsidP="00F94148">
      <w:pPr>
        <w:pStyle w:val="ListParagraph"/>
        <w:numPr>
          <w:ilvl w:val="1"/>
          <w:numId w:val="40"/>
        </w:numPr>
        <w:ind w:left="700"/>
      </w:pPr>
      <w:r>
        <w:t xml:space="preserve">British voluntary: </w:t>
      </w:r>
      <w:r w:rsidRPr="00410E90">
        <w:rPr>
          <w:rFonts w:ascii="Arial" w:hAnsi="Arial" w:cs="Arial"/>
          <w:i/>
          <w:iCs/>
          <w:color w:val="000000"/>
        </w:rPr>
        <w:t>Furniture - Children’s cots and folding cots for domestic use - Part 1: Safety requirements</w:t>
      </w:r>
      <w:r>
        <w:rPr>
          <w:rFonts w:ascii="Arial" w:hAnsi="Arial" w:cs="Arial"/>
          <w:color w:val="000000"/>
        </w:rPr>
        <w:t xml:space="preserve"> </w:t>
      </w:r>
      <w:r w:rsidRPr="00410E90">
        <w:rPr>
          <w:rFonts w:ascii="Arial" w:hAnsi="Arial" w:cs="Arial"/>
          <w:i/>
          <w:iCs/>
          <w:color w:val="000000"/>
        </w:rPr>
        <w:t>(BS EN 716</w:t>
      </w:r>
      <w:r w:rsidRPr="00410E90">
        <w:rPr>
          <w:rFonts w:ascii="Arial" w:hAnsi="Arial" w:cs="Arial"/>
          <w:i/>
          <w:iCs/>
          <w:color w:val="2D2D2D"/>
          <w:shd w:val="clear" w:color="auto" w:fill="FFFFFF"/>
        </w:rPr>
        <w:t>-1:2017 Incorporating corrigendum March 2019)</w:t>
      </w:r>
      <w:r>
        <w:rPr>
          <w:rFonts w:ascii="Arial" w:hAnsi="Arial" w:cs="Arial"/>
          <w:color w:val="2D2D2D"/>
          <w:shd w:val="clear" w:color="auto" w:fill="FFFFFF"/>
        </w:rPr>
        <w:t>.</w:t>
      </w:r>
      <w:r w:rsidR="00F94148">
        <w:rPr>
          <w:rFonts w:ascii="Arial" w:hAnsi="Arial" w:cs="Arial"/>
          <w:color w:val="2D2D2D"/>
          <w:shd w:val="clear" w:color="auto" w:fill="FFFFFF"/>
        </w:rPr>
        <w:t xml:space="preserve"> </w:t>
      </w:r>
    </w:p>
    <w:p w14:paraId="6435B60B" w14:textId="77777777" w:rsidR="00767472" w:rsidRPr="00863D9F" w:rsidRDefault="00767472" w:rsidP="00767472">
      <w:r w:rsidRPr="00863D9F">
        <w:t>This option received the most stakeholder support and will enhance minimum safety requirements for household and folding cots, which will reduce the likelihood of injuries and fatalities.</w:t>
      </w:r>
    </w:p>
    <w:p w14:paraId="7B95BC07" w14:textId="77777777" w:rsidR="00767472" w:rsidRPr="00863D9F" w:rsidRDefault="00767472" w:rsidP="00767472">
      <w:r w:rsidRPr="00863D9F">
        <w:t xml:space="preserve">The ACCC considers a 6-month transition period is sufficient because the update provides greater flexibility to suppliers. </w:t>
      </w:r>
    </w:p>
    <w:p w14:paraId="3A5B584C" w14:textId="77777777" w:rsidR="00767472" w:rsidRPr="00AF6307" w:rsidRDefault="00767472" w:rsidP="00E2028F">
      <w:pPr>
        <w:pStyle w:val="Numbered111"/>
        <w:keepLines/>
        <w:rPr>
          <w:sz w:val="28"/>
          <w:szCs w:val="28"/>
        </w:rPr>
      </w:pPr>
      <w:bookmarkStart w:id="53" w:name="_Toc139452462"/>
      <w:bookmarkStart w:id="54" w:name="_Toc140065183"/>
      <w:r w:rsidRPr="00AF6307">
        <w:rPr>
          <w:sz w:val="28"/>
          <w:szCs w:val="28"/>
        </w:rPr>
        <w:t>Option 3: Mandatory information standard and education campaign</w:t>
      </w:r>
      <w:bookmarkEnd w:id="53"/>
      <w:bookmarkEnd w:id="54"/>
      <w:r w:rsidRPr="00AF6307">
        <w:rPr>
          <w:sz w:val="28"/>
          <w:szCs w:val="28"/>
        </w:rPr>
        <w:t xml:space="preserve"> </w:t>
      </w:r>
    </w:p>
    <w:p w14:paraId="5D5729E8" w14:textId="77777777" w:rsidR="00767472" w:rsidRPr="00863D9F" w:rsidRDefault="00767472" w:rsidP="00E2028F">
      <w:pPr>
        <w:pStyle w:val="Bulletpoint"/>
        <w:keepNext/>
        <w:keepLines/>
        <w:numPr>
          <w:ilvl w:val="0"/>
          <w:numId w:val="0"/>
        </w:numPr>
        <w:pBdr>
          <w:top w:val="single" w:sz="4" w:space="1" w:color="auto"/>
          <w:left w:val="single" w:sz="4" w:space="4" w:color="auto"/>
          <w:bottom w:val="single" w:sz="4" w:space="1" w:color="auto"/>
          <w:right w:val="single" w:sz="4" w:space="4" w:color="auto"/>
        </w:pBdr>
        <w:shd w:val="clear" w:color="auto" w:fill="D5D6D2" w:themeFill="background2"/>
        <w:rPr>
          <w:b/>
          <w:bCs/>
        </w:rPr>
      </w:pPr>
      <w:r w:rsidRPr="00863D9F">
        <w:rPr>
          <w:b/>
          <w:bCs/>
        </w:rPr>
        <w:t>Section 134 of the ACL allows the commonwealth minister to make a mandatory information standard. Mandatory information standards ensure consumers are provided with important information about a product to assist them in making a purchasing decision.</w:t>
      </w:r>
    </w:p>
    <w:p w14:paraId="73EFA25D" w14:textId="77777777" w:rsidR="00767472" w:rsidRPr="00863D9F" w:rsidRDefault="00767472" w:rsidP="00E2028F">
      <w:pPr>
        <w:pStyle w:val="Bulletpoint"/>
        <w:keepNext/>
        <w:keepLines/>
        <w:numPr>
          <w:ilvl w:val="0"/>
          <w:numId w:val="0"/>
        </w:numPr>
        <w:pBdr>
          <w:top w:val="single" w:sz="4" w:space="1" w:color="auto"/>
          <w:left w:val="single" w:sz="4" w:space="4" w:color="auto"/>
          <w:bottom w:val="single" w:sz="4" w:space="1" w:color="auto"/>
          <w:right w:val="single" w:sz="4" w:space="4" w:color="auto"/>
        </w:pBdr>
        <w:shd w:val="clear" w:color="auto" w:fill="D5D6D2" w:themeFill="background2"/>
      </w:pPr>
      <w:r w:rsidRPr="00863D9F">
        <w:rPr>
          <w:b/>
          <w:bCs/>
        </w:rPr>
        <w:t>Option 3:</w:t>
      </w:r>
      <w:r w:rsidRPr="00863D9F">
        <w:t xml:space="preserve"> In addition to amending the mandatory standards for household and folding cots (Option 2), introduce a mandatory information standard, focusing only on the incline risk in Infant Sleep Products and Inclined Non-Sleep Products, that requires safety warnings and information advising against using these products for infant sleep:</w:t>
      </w:r>
    </w:p>
    <w:p w14:paraId="4B34B801" w14:textId="77777777" w:rsidR="00767472" w:rsidRPr="00863D9F" w:rsidRDefault="00767472" w:rsidP="00E2028F">
      <w:pPr>
        <w:pStyle w:val="Bulletpoint"/>
        <w:keepNext/>
        <w:keepLines/>
        <w:numPr>
          <w:ilvl w:val="0"/>
          <w:numId w:val="0"/>
        </w:numPr>
        <w:pBdr>
          <w:top w:val="single" w:sz="4" w:space="1" w:color="auto"/>
          <w:left w:val="single" w:sz="4" w:space="4" w:color="auto"/>
          <w:bottom w:val="single" w:sz="4" w:space="1" w:color="auto"/>
          <w:right w:val="single" w:sz="4" w:space="4" w:color="auto"/>
        </w:pBdr>
        <w:shd w:val="clear" w:color="auto" w:fill="D5D6D2" w:themeFill="background2"/>
      </w:pPr>
      <w:r w:rsidRPr="00863D9F">
        <w:t xml:space="preserve">1. in instructions for use to be provided with the product </w:t>
      </w:r>
    </w:p>
    <w:p w14:paraId="4083DFB2" w14:textId="77777777" w:rsidR="00767472" w:rsidRPr="00863D9F" w:rsidRDefault="00767472" w:rsidP="00E2028F">
      <w:pPr>
        <w:pStyle w:val="Bulletpoint"/>
        <w:keepNext/>
        <w:keepLines/>
        <w:numPr>
          <w:ilvl w:val="0"/>
          <w:numId w:val="0"/>
        </w:numPr>
        <w:pBdr>
          <w:top w:val="single" w:sz="4" w:space="1" w:color="auto"/>
          <w:left w:val="single" w:sz="4" w:space="4" w:color="auto"/>
          <w:bottom w:val="single" w:sz="4" w:space="1" w:color="auto"/>
          <w:right w:val="single" w:sz="4" w:space="4" w:color="auto"/>
        </w:pBdr>
        <w:shd w:val="clear" w:color="auto" w:fill="D5D6D2" w:themeFill="background2"/>
      </w:pPr>
      <w:r w:rsidRPr="00863D9F">
        <w:t xml:space="preserve">2. on a permanent affixed product label </w:t>
      </w:r>
    </w:p>
    <w:p w14:paraId="1E2987A2" w14:textId="77777777" w:rsidR="00767472" w:rsidRPr="00863D9F" w:rsidRDefault="00767472" w:rsidP="00E2028F">
      <w:pPr>
        <w:pStyle w:val="Bulletpoint"/>
        <w:keepNext/>
        <w:keepLines/>
        <w:numPr>
          <w:ilvl w:val="0"/>
          <w:numId w:val="0"/>
        </w:numPr>
        <w:pBdr>
          <w:top w:val="single" w:sz="4" w:space="1" w:color="auto"/>
          <w:left w:val="single" w:sz="4" w:space="4" w:color="auto"/>
          <w:bottom w:val="single" w:sz="4" w:space="1" w:color="auto"/>
          <w:right w:val="single" w:sz="4" w:space="4" w:color="auto"/>
        </w:pBdr>
        <w:shd w:val="clear" w:color="auto" w:fill="D5D6D2" w:themeFill="background2"/>
      </w:pPr>
      <w:r w:rsidRPr="00863D9F">
        <w:t xml:space="preserve">3. on packaging containing the product at the point of sale, including where supplied online. </w:t>
      </w:r>
    </w:p>
    <w:p w14:paraId="3A450EC5" w14:textId="77777777" w:rsidR="00767472" w:rsidRPr="00863D9F" w:rsidRDefault="00767472" w:rsidP="00E2028F">
      <w:pPr>
        <w:pStyle w:val="Bulletpoint"/>
        <w:keepNext/>
        <w:keepLines/>
        <w:numPr>
          <w:ilvl w:val="0"/>
          <w:numId w:val="0"/>
        </w:numPr>
        <w:pBdr>
          <w:top w:val="single" w:sz="4" w:space="1" w:color="auto"/>
          <w:left w:val="single" w:sz="4" w:space="4" w:color="auto"/>
          <w:bottom w:val="single" w:sz="4" w:space="1" w:color="auto"/>
          <w:right w:val="single" w:sz="4" w:space="4" w:color="auto"/>
        </w:pBdr>
        <w:shd w:val="clear" w:color="auto" w:fill="D5D6D2" w:themeFill="background2"/>
      </w:pPr>
      <w:r w:rsidRPr="00863D9F">
        <w:t xml:space="preserve">Plus a safe sleep consumer education campaign. </w:t>
      </w:r>
    </w:p>
    <w:p w14:paraId="065468E5" w14:textId="77777777" w:rsidR="00767472" w:rsidRPr="00863D9F" w:rsidRDefault="00767472" w:rsidP="00767472">
      <w:r w:rsidRPr="00863D9F">
        <w:t>This option is confined to addressing the incline risk present in Infant Sleep Products and Inclined Non-Sleep Products and it would not address the other risks identified.</w:t>
      </w:r>
    </w:p>
    <w:p w14:paraId="6F48DE0C" w14:textId="77777777" w:rsidR="00767472" w:rsidRPr="00863D9F" w:rsidRDefault="00767472" w:rsidP="00767472">
      <w:r w:rsidRPr="00863D9F">
        <w:t>Although there are some warning label requirements in overseas standards, they seek to address suffocation risks generally</w:t>
      </w:r>
      <w:r w:rsidRPr="00863D9F">
        <w:rPr>
          <w:rStyle w:val="FootnoteReference"/>
        </w:rPr>
        <w:footnoteReference w:id="21"/>
      </w:r>
      <w:r w:rsidRPr="00863D9F">
        <w:t xml:space="preserve"> or to address the need for supervision.</w:t>
      </w:r>
      <w:r w:rsidRPr="00863D9F">
        <w:rPr>
          <w:rStyle w:val="FootnoteReference"/>
        </w:rPr>
        <w:footnoteReference w:id="22"/>
      </w:r>
      <w:r w:rsidRPr="00863D9F">
        <w:t xml:space="preserve"> As such, the ACCC proposes the following information be required on the packaging, at the point of sale and in the instructions:</w:t>
      </w:r>
    </w:p>
    <w:tbl>
      <w:tblPr>
        <w:tblStyle w:val="TableGrid"/>
        <w:tblW w:w="4772" w:type="pct"/>
        <w:jc w:val="center"/>
        <w:tblLook w:val="0420" w:firstRow="1" w:lastRow="0" w:firstColumn="0" w:lastColumn="0" w:noHBand="0" w:noVBand="1"/>
      </w:tblPr>
      <w:tblGrid>
        <w:gridCol w:w="4254"/>
        <w:gridCol w:w="4360"/>
      </w:tblGrid>
      <w:tr w:rsidR="00767472" w:rsidRPr="00863D9F" w14:paraId="149E41BA" w14:textId="77777777" w:rsidTr="005E380D">
        <w:trPr>
          <w:cnfStyle w:val="100000000000" w:firstRow="1" w:lastRow="0" w:firstColumn="0" w:lastColumn="0" w:oddVBand="0" w:evenVBand="0" w:oddHBand="0" w:evenHBand="0" w:firstRowFirstColumn="0" w:firstRowLastColumn="0" w:lastRowFirstColumn="0" w:lastRowLastColumn="0"/>
          <w:tblHeader/>
          <w:jc w:val="center"/>
        </w:trPr>
        <w:tc>
          <w:tcPr>
            <w:tcW w:w="2469" w:type="pct"/>
          </w:tcPr>
          <w:p w14:paraId="597B6FCA" w14:textId="77777777" w:rsidR="00767472" w:rsidRPr="00863D9F" w:rsidRDefault="00767472" w:rsidP="005E380D">
            <w:pPr>
              <w:pStyle w:val="TableHeading"/>
              <w:rPr>
                <w:rFonts w:ascii="Roboto" w:hAnsi="Roboto"/>
                <w:b/>
                <w:bCs/>
              </w:rPr>
            </w:pPr>
            <w:r w:rsidRPr="00863D9F">
              <w:rPr>
                <w:rFonts w:ascii="Roboto" w:hAnsi="Roboto"/>
                <w:b/>
                <w:bCs/>
              </w:rPr>
              <w:t xml:space="preserve">Infant Sleep Product </w:t>
            </w:r>
          </w:p>
        </w:tc>
        <w:tc>
          <w:tcPr>
            <w:tcW w:w="2531" w:type="pct"/>
          </w:tcPr>
          <w:p w14:paraId="6F7C74EB" w14:textId="77777777" w:rsidR="00767472" w:rsidRPr="00863D9F" w:rsidRDefault="00767472" w:rsidP="005E380D">
            <w:pPr>
              <w:pStyle w:val="TableHeading"/>
              <w:rPr>
                <w:rFonts w:ascii="Roboto" w:hAnsi="Roboto"/>
                <w:bCs/>
              </w:rPr>
            </w:pPr>
            <w:r w:rsidRPr="00863D9F">
              <w:rPr>
                <w:rFonts w:ascii="Roboto" w:hAnsi="Roboto"/>
                <w:b/>
              </w:rPr>
              <w:t xml:space="preserve">Inclined Non-Sleep Product </w:t>
            </w:r>
          </w:p>
        </w:tc>
      </w:tr>
      <w:tr w:rsidR="00767472" w:rsidRPr="00863D9F" w14:paraId="0BB9834E" w14:textId="77777777" w:rsidTr="005E380D">
        <w:trPr>
          <w:jc w:val="center"/>
        </w:trPr>
        <w:tc>
          <w:tcPr>
            <w:tcW w:w="2469" w:type="pct"/>
          </w:tcPr>
          <w:p w14:paraId="164C34D8" w14:textId="77777777" w:rsidR="00767472" w:rsidRPr="00863D9F" w:rsidRDefault="00767472" w:rsidP="00D21B3B">
            <w:pPr>
              <w:pStyle w:val="Bulletpoint"/>
              <w:numPr>
                <w:ilvl w:val="0"/>
                <w:numId w:val="43"/>
              </w:numPr>
            </w:pPr>
            <w:r w:rsidRPr="00863D9F">
              <w:t>warning infant should be placed on their back</w:t>
            </w:r>
          </w:p>
          <w:p w14:paraId="049405C2" w14:textId="77777777" w:rsidR="00767472" w:rsidRPr="00863D9F" w:rsidRDefault="00767472" w:rsidP="00D21B3B">
            <w:pPr>
              <w:pStyle w:val="Bulletpoint"/>
              <w:numPr>
                <w:ilvl w:val="0"/>
                <w:numId w:val="43"/>
              </w:numPr>
              <w:rPr>
                <w:sz w:val="22"/>
              </w:rPr>
            </w:pPr>
            <w:r w:rsidRPr="00863D9F">
              <w:t xml:space="preserve">warning </w:t>
            </w:r>
            <w:bookmarkStart w:id="55" w:name="_Hlk139283721"/>
            <w:r w:rsidRPr="00863D9F">
              <w:t>infant should be placed to sleep on a firm, flat surface</w:t>
            </w:r>
            <w:bookmarkEnd w:id="55"/>
          </w:p>
          <w:p w14:paraId="3DAD9B4C" w14:textId="77777777" w:rsidR="00767472" w:rsidRPr="00863D9F" w:rsidRDefault="00767472" w:rsidP="00D21B3B">
            <w:pPr>
              <w:pStyle w:val="Bulletpoint"/>
              <w:numPr>
                <w:ilvl w:val="0"/>
                <w:numId w:val="43"/>
              </w:numPr>
            </w:pPr>
            <w:r w:rsidRPr="00863D9F">
              <w:t xml:space="preserve">warning not to put objects or accessories in an infant’s sleep environment </w:t>
            </w:r>
          </w:p>
        </w:tc>
        <w:tc>
          <w:tcPr>
            <w:tcW w:w="2531" w:type="pct"/>
          </w:tcPr>
          <w:p w14:paraId="482B98D0" w14:textId="77777777" w:rsidR="00767472" w:rsidRPr="00863D9F" w:rsidRDefault="00767472" w:rsidP="00D21B3B">
            <w:pPr>
              <w:pStyle w:val="Bulletpoint"/>
              <w:numPr>
                <w:ilvl w:val="0"/>
                <w:numId w:val="43"/>
              </w:numPr>
            </w:pPr>
            <w:r w:rsidRPr="00863D9F">
              <w:t>warning infant should be placed on their back</w:t>
            </w:r>
          </w:p>
          <w:p w14:paraId="4B92341C" w14:textId="77777777" w:rsidR="00767472" w:rsidRPr="00863D9F" w:rsidRDefault="00767472" w:rsidP="00D21B3B">
            <w:pPr>
              <w:pStyle w:val="Bulletpoint"/>
              <w:numPr>
                <w:ilvl w:val="0"/>
                <w:numId w:val="43"/>
              </w:numPr>
            </w:pPr>
            <w:r w:rsidRPr="00863D9F">
              <w:t>warning against use for sleep</w:t>
            </w:r>
          </w:p>
          <w:p w14:paraId="42E5FA20" w14:textId="77777777" w:rsidR="00767472" w:rsidRPr="00863D9F" w:rsidRDefault="00767472" w:rsidP="00D21B3B">
            <w:pPr>
              <w:pStyle w:val="Bulletpoint"/>
              <w:numPr>
                <w:ilvl w:val="0"/>
                <w:numId w:val="43"/>
              </w:numPr>
            </w:pPr>
            <w:r w:rsidRPr="00863D9F">
              <w:t>warnings against unsupervised use</w:t>
            </w:r>
          </w:p>
        </w:tc>
      </w:tr>
    </w:tbl>
    <w:p w14:paraId="66EF0D77" w14:textId="77777777" w:rsidR="00767472" w:rsidRPr="00863D9F" w:rsidRDefault="00767472" w:rsidP="009E0B67">
      <w:pPr>
        <w:spacing w:after="240"/>
      </w:pPr>
      <w:r w:rsidRPr="00863D9F">
        <w:t>An example warning label to be on an Inclined Non-Sleep Product is displayed below:</w:t>
      </w:r>
    </w:p>
    <w:p w14:paraId="7BE48F07" w14:textId="77777777" w:rsidR="00767472" w:rsidRPr="00863D9F" w:rsidRDefault="00767472" w:rsidP="00767472">
      <w:pPr>
        <w:pStyle w:val="NoSpacing"/>
        <w:jc w:val="center"/>
      </w:pPr>
      <w:r w:rsidRPr="00863D9F">
        <w:rPr>
          <w:noProof/>
        </w:rPr>
        <w:drawing>
          <wp:inline distT="0" distB="0" distL="0" distR="0" wp14:anchorId="65505B09" wp14:editId="64EA44FC">
            <wp:extent cx="1979513" cy="19621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08100" cy="1990486"/>
                    </a:xfrm>
                    <a:prstGeom prst="rect">
                      <a:avLst/>
                    </a:prstGeom>
                    <a:noFill/>
                  </pic:spPr>
                </pic:pic>
              </a:graphicData>
            </a:graphic>
          </wp:inline>
        </w:drawing>
      </w:r>
    </w:p>
    <w:p w14:paraId="0A5008F7" w14:textId="77777777" w:rsidR="00767472" w:rsidRPr="00863D9F" w:rsidRDefault="00767472" w:rsidP="00767472">
      <w:r w:rsidRPr="00863D9F">
        <w:t>The ACCC anticipates the mandatory information standard would have an 18-month transition period from the date of commencement.</w:t>
      </w:r>
    </w:p>
    <w:p w14:paraId="3B74A44D" w14:textId="77777777" w:rsidR="00767472" w:rsidRPr="00863D9F" w:rsidRDefault="00767472" w:rsidP="00767472">
      <w:pPr>
        <w:pStyle w:val="Bulletpoint"/>
        <w:numPr>
          <w:ilvl w:val="0"/>
          <w:numId w:val="0"/>
        </w:numPr>
      </w:pPr>
      <w:r w:rsidRPr="00863D9F">
        <w:t>In addition to the mandatory information standard, the ACCC in partnership with other stakeholders would undertake a safe sleep consumer education campaign which would seek to ensure new parents and caregivers are aware of the various risks associated with infant sleep, including:</w:t>
      </w:r>
    </w:p>
    <w:p w14:paraId="04CFFD23" w14:textId="77777777" w:rsidR="00767472" w:rsidRPr="00863D9F" w:rsidRDefault="00767472" w:rsidP="00D21B3B">
      <w:pPr>
        <w:pStyle w:val="ListParagraph"/>
        <w:numPr>
          <w:ilvl w:val="0"/>
          <w:numId w:val="36"/>
        </w:numPr>
        <w:spacing w:before="60"/>
        <w:rPr>
          <w:rFonts w:cs="Arial"/>
        </w:rPr>
      </w:pPr>
      <w:r w:rsidRPr="00863D9F">
        <w:rPr>
          <w:rFonts w:cs="Arial"/>
        </w:rPr>
        <w:t xml:space="preserve">Infant Sleep Products, Inclined Non-Sleep </w:t>
      </w:r>
      <w:proofErr w:type="gramStart"/>
      <w:r w:rsidRPr="00863D9F">
        <w:rPr>
          <w:rFonts w:cs="Arial"/>
        </w:rPr>
        <w:t>Products</w:t>
      </w:r>
      <w:proofErr w:type="gramEnd"/>
      <w:r w:rsidRPr="00863D9F">
        <w:rPr>
          <w:rFonts w:cs="Arial"/>
        </w:rPr>
        <w:t xml:space="preserve"> and inclined accessories such as wedges and sleep positioners.</w:t>
      </w:r>
    </w:p>
    <w:p w14:paraId="3A2ECF0E" w14:textId="77777777" w:rsidR="00767472" w:rsidRPr="00863D9F" w:rsidRDefault="00767472" w:rsidP="00D21B3B">
      <w:pPr>
        <w:pStyle w:val="ListParagraph"/>
        <w:numPr>
          <w:ilvl w:val="0"/>
          <w:numId w:val="36"/>
        </w:numPr>
        <w:spacing w:before="60"/>
        <w:rPr>
          <w:rFonts w:cs="Arial"/>
        </w:rPr>
      </w:pPr>
      <w:r w:rsidRPr="00863D9F">
        <w:t>Outline risk mitigation strategies</w:t>
      </w:r>
      <w:r w:rsidRPr="00863D9F">
        <w:rPr>
          <w:rFonts w:cs="Arial"/>
        </w:rPr>
        <w:t xml:space="preserve"> for other design features including curvature, rigidity and breathability of materials used</w:t>
      </w:r>
      <w:r w:rsidRPr="00863D9F">
        <w:t>.</w:t>
      </w:r>
    </w:p>
    <w:p w14:paraId="30CA0D6D" w14:textId="77777777" w:rsidR="00767472" w:rsidRPr="00863D9F" w:rsidRDefault="00767472" w:rsidP="00D21B3B">
      <w:pPr>
        <w:pStyle w:val="ListParagraph"/>
        <w:numPr>
          <w:ilvl w:val="0"/>
          <w:numId w:val="36"/>
        </w:numPr>
        <w:spacing w:before="60"/>
        <w:rPr>
          <w:rFonts w:cs="Arial"/>
          <w:i/>
          <w:iCs/>
        </w:rPr>
      </w:pPr>
      <w:r w:rsidRPr="00863D9F">
        <w:rPr>
          <w:rFonts w:cs="Arial"/>
        </w:rPr>
        <w:t xml:space="preserve">Foreign objects and accessories (including cot bumpers, loose </w:t>
      </w:r>
      <w:proofErr w:type="gramStart"/>
      <w:r w:rsidRPr="00863D9F">
        <w:rPr>
          <w:rFonts w:cs="Arial"/>
        </w:rPr>
        <w:t>blankets</w:t>
      </w:r>
      <w:proofErr w:type="gramEnd"/>
      <w:r w:rsidRPr="00863D9F">
        <w:rPr>
          <w:rFonts w:cs="Arial"/>
        </w:rPr>
        <w:t xml:space="preserve"> and soft toys) in an infant’s sleep environment. </w:t>
      </w:r>
    </w:p>
    <w:p w14:paraId="5271D10F" w14:textId="77777777" w:rsidR="00767472" w:rsidRPr="00863D9F" w:rsidRDefault="00767472" w:rsidP="00767472">
      <w:pPr>
        <w:pStyle w:val="Bulletpoint"/>
        <w:numPr>
          <w:ilvl w:val="0"/>
          <w:numId w:val="0"/>
        </w:numPr>
      </w:pPr>
      <w:r w:rsidRPr="00863D9F">
        <w:t xml:space="preserve">An education campaign would respond to the risks by targeting first time parents through online platforms, social media and information provided at hospitals and by key infant safety stakeholders, including </w:t>
      </w:r>
      <w:r w:rsidRPr="00863D9F">
        <w:rPr>
          <w:rFonts w:eastAsia="Times New Roman" w:cs="Arial"/>
          <w:bCs/>
          <w:szCs w:val="20"/>
        </w:rPr>
        <w:t>early childhood education professionals and centres</w:t>
      </w:r>
      <w:r w:rsidRPr="00863D9F">
        <w:rPr>
          <w:rFonts w:eastAsia="Times New Roman" w:cs="Arial"/>
          <w:bCs/>
          <w:i/>
          <w:iCs/>
          <w:szCs w:val="20"/>
        </w:rPr>
        <w:t>.</w:t>
      </w:r>
    </w:p>
    <w:p w14:paraId="736E0AB5" w14:textId="77777777" w:rsidR="00767472" w:rsidRPr="00863D9F" w:rsidRDefault="00767472" w:rsidP="00767472">
      <w:pPr>
        <w:pStyle w:val="Bulletpoint"/>
        <w:numPr>
          <w:ilvl w:val="0"/>
          <w:numId w:val="0"/>
        </w:numPr>
      </w:pPr>
      <w:r w:rsidRPr="00863D9F">
        <w:t>Such a campaign would further publicise existing public health advice regarding infant safe sleep, including to refrain from placing any objects such as soft toys in the sleep environment. The ACCC envisions a safe sleep consumer education campaign would complement, rather than duplicate, existing measures, such as Red Nose and the ACCC’s Your First Steps website.</w:t>
      </w:r>
    </w:p>
    <w:p w14:paraId="4EA27AFA" w14:textId="3EDF32CF" w:rsidR="00312A58" w:rsidRDefault="00767472" w:rsidP="00312A58">
      <w:r w:rsidRPr="00863D9F">
        <w:t>24 of 27 stakeholders supported an education campaign. Additionally, in response to both the Issues Paper and Consultation Paper, 15 stakeholders expressed a willingness to partner with the ACCC for an education campaign.</w:t>
      </w:r>
      <w:r w:rsidR="00312A58">
        <w:br w:type="page"/>
      </w:r>
    </w:p>
    <w:p w14:paraId="3F4C869A" w14:textId="691F72C9" w:rsidR="00767472" w:rsidRPr="00AF6307" w:rsidRDefault="00F95BD0" w:rsidP="00F95BD0">
      <w:pPr>
        <w:pStyle w:val="Numbered111"/>
      </w:pPr>
      <w:bookmarkStart w:id="56" w:name="_Toc139452463"/>
      <w:r>
        <w:t>O</w:t>
      </w:r>
      <w:bookmarkStart w:id="57" w:name="_Toc140065184"/>
      <w:r w:rsidR="00767472" w:rsidRPr="00AF6307">
        <w:t xml:space="preserve">ption 4: </w:t>
      </w:r>
      <w:r w:rsidR="00767472" w:rsidRPr="00F95BD0">
        <w:t>Mandatory</w:t>
      </w:r>
      <w:r w:rsidR="00767472" w:rsidRPr="00AF6307">
        <w:t xml:space="preserve"> safety standard and mandatory information standard and revoke current mandatory standards for household and folding cots, plus an education campaign (recommended)</w:t>
      </w:r>
      <w:bookmarkEnd w:id="56"/>
      <w:bookmarkEnd w:id="57"/>
      <w:r w:rsidR="00767472" w:rsidRPr="00AF6307">
        <w:t xml:space="preserve"> </w:t>
      </w:r>
    </w:p>
    <w:p w14:paraId="75D486E0" w14:textId="77777777" w:rsidR="00767472" w:rsidRPr="00863D9F" w:rsidRDefault="00767472" w:rsidP="00F94148">
      <w:pPr>
        <w:keepNext/>
        <w:keepLines/>
        <w:pBdr>
          <w:top w:val="single" w:sz="4" w:space="1" w:color="auto"/>
          <w:left w:val="single" w:sz="4" w:space="4" w:color="auto"/>
          <w:bottom w:val="single" w:sz="4" w:space="1" w:color="auto"/>
          <w:right w:val="single" w:sz="4" w:space="4" w:color="auto"/>
        </w:pBdr>
        <w:shd w:val="clear" w:color="auto" w:fill="D5D6D2" w:themeFill="background2"/>
        <w:rPr>
          <w:b/>
          <w:bCs/>
        </w:rPr>
      </w:pPr>
      <w:r w:rsidRPr="00863D9F">
        <w:rPr>
          <w:b/>
          <w:bCs/>
        </w:rPr>
        <w:t xml:space="preserve">Section 104 of the ACL allows the commonwealth minister to make a mandatory safety standard. Mandatory safety standards prescribe requirements for the design, construction, labelling and testing of products. </w:t>
      </w:r>
    </w:p>
    <w:p w14:paraId="754743C5" w14:textId="77777777" w:rsidR="00767472" w:rsidRPr="00863D9F" w:rsidRDefault="00767472" w:rsidP="00F94148">
      <w:pPr>
        <w:keepNext/>
        <w:keepLines/>
        <w:pBdr>
          <w:top w:val="single" w:sz="4" w:space="1" w:color="auto"/>
          <w:left w:val="single" w:sz="4" w:space="4" w:color="auto"/>
          <w:bottom w:val="single" w:sz="4" w:space="1" w:color="auto"/>
          <w:right w:val="single" w:sz="4" w:space="4" w:color="auto"/>
        </w:pBdr>
        <w:shd w:val="clear" w:color="auto" w:fill="D5D6D2" w:themeFill="background2"/>
      </w:pPr>
      <w:r w:rsidRPr="00863D9F">
        <w:rPr>
          <w:b/>
          <w:bCs/>
        </w:rPr>
        <w:t>Option 4</w:t>
      </w:r>
      <w:r w:rsidRPr="00863D9F">
        <w:t xml:space="preserve">: In addition to an education campaign and a mandatory information standard for all Infant Sleep Products and Inclined Non-Sleep Products, a holistic mandatory safety standard for Infant Sleep Products and revoking the current Household Cots Mandatory Standard and Folding Cots Mandatory Standard. </w:t>
      </w:r>
    </w:p>
    <w:p w14:paraId="49FFDB45" w14:textId="77777777" w:rsidR="00767472" w:rsidRPr="00863D9F" w:rsidRDefault="00767472" w:rsidP="00767472">
      <w:r w:rsidRPr="00863D9F">
        <w:t xml:space="preserve">This option addresses all known design risks outlined above in Parts 1.1 and 1.2, including incline, curvature, </w:t>
      </w:r>
      <w:proofErr w:type="gramStart"/>
      <w:r w:rsidRPr="00863D9F">
        <w:t>rigidity</w:t>
      </w:r>
      <w:proofErr w:type="gramEnd"/>
      <w:r w:rsidRPr="00863D9F">
        <w:t xml:space="preserve"> and material used, in addition to risks inherent such as entrapments, and ensures the design of Infant Sleep Products aligns with long-standing public health advice. </w:t>
      </w:r>
    </w:p>
    <w:p w14:paraId="778BC5E6" w14:textId="77777777" w:rsidR="00767472" w:rsidRPr="00863D9F" w:rsidRDefault="00767472" w:rsidP="00767472">
      <w:r w:rsidRPr="00863D9F">
        <w:t xml:space="preserve">In addition to the mandatory information standard requirements outlined in Option 3, the holistic mandatory safety standard for Infant Sleep Products would apply to the following products insofar as they are designed, intended, </w:t>
      </w:r>
      <w:proofErr w:type="gramStart"/>
      <w:r w:rsidRPr="00863D9F">
        <w:t>marketed</w:t>
      </w:r>
      <w:proofErr w:type="gramEnd"/>
      <w:r w:rsidRPr="00863D9F">
        <w:t xml:space="preserve"> or contain any representation that they are suitable for an infant to sleep in (not intended to be exhaustive):</w:t>
      </w:r>
    </w:p>
    <w:p w14:paraId="4833EE9B" w14:textId="77777777" w:rsidR="00767472" w:rsidRPr="00863D9F" w:rsidRDefault="00767472" w:rsidP="00D21B3B">
      <w:pPr>
        <w:pStyle w:val="ListParagraph"/>
        <w:numPr>
          <w:ilvl w:val="0"/>
          <w:numId w:val="39"/>
        </w:numPr>
      </w:pPr>
      <w:r w:rsidRPr="00863D9F">
        <w:t>cots (household and folding), cribs, cradles</w:t>
      </w:r>
    </w:p>
    <w:p w14:paraId="0B559970" w14:textId="77777777" w:rsidR="00767472" w:rsidRPr="00863D9F" w:rsidRDefault="00767472" w:rsidP="00D21B3B">
      <w:pPr>
        <w:pStyle w:val="ListParagraph"/>
        <w:numPr>
          <w:ilvl w:val="0"/>
          <w:numId w:val="39"/>
        </w:numPr>
      </w:pPr>
      <w:r w:rsidRPr="00863D9F">
        <w:t>bassinets and moses baskets</w:t>
      </w:r>
    </w:p>
    <w:p w14:paraId="6DEC0B17" w14:textId="77777777" w:rsidR="00767472" w:rsidRPr="00863D9F" w:rsidRDefault="00767472" w:rsidP="00D21B3B">
      <w:pPr>
        <w:pStyle w:val="ListParagraph"/>
        <w:numPr>
          <w:ilvl w:val="0"/>
          <w:numId w:val="39"/>
        </w:numPr>
      </w:pPr>
      <w:r w:rsidRPr="00863D9F">
        <w:t>loungers, co-</w:t>
      </w:r>
      <w:proofErr w:type="gramStart"/>
      <w:r w:rsidRPr="00863D9F">
        <w:t>sleepers</w:t>
      </w:r>
      <w:proofErr w:type="gramEnd"/>
      <w:r w:rsidRPr="00863D9F">
        <w:t xml:space="preserve"> and bedside sleepers</w:t>
      </w:r>
    </w:p>
    <w:p w14:paraId="13727468" w14:textId="77777777" w:rsidR="00767472" w:rsidRPr="00863D9F" w:rsidRDefault="00767472" w:rsidP="00D21B3B">
      <w:pPr>
        <w:pStyle w:val="ListParagraph"/>
        <w:numPr>
          <w:ilvl w:val="0"/>
          <w:numId w:val="39"/>
        </w:numPr>
      </w:pPr>
      <w:r w:rsidRPr="00863D9F">
        <w:t xml:space="preserve">inclined sleepers </w:t>
      </w:r>
    </w:p>
    <w:p w14:paraId="28E887C9" w14:textId="77777777" w:rsidR="00767472" w:rsidRPr="00863D9F" w:rsidRDefault="00767472" w:rsidP="00D21B3B">
      <w:pPr>
        <w:pStyle w:val="ListParagraph"/>
        <w:numPr>
          <w:ilvl w:val="0"/>
          <w:numId w:val="39"/>
        </w:numPr>
      </w:pPr>
      <w:r w:rsidRPr="00863D9F">
        <w:t xml:space="preserve">bouncers, reclined </w:t>
      </w:r>
      <w:proofErr w:type="gramStart"/>
      <w:r w:rsidRPr="00863D9F">
        <w:t>cradles</w:t>
      </w:r>
      <w:proofErr w:type="gramEnd"/>
      <w:r w:rsidRPr="00863D9F">
        <w:t xml:space="preserve"> and rockers </w:t>
      </w:r>
    </w:p>
    <w:p w14:paraId="7BADE0DD" w14:textId="77777777" w:rsidR="00767472" w:rsidRPr="00863D9F" w:rsidRDefault="00767472" w:rsidP="00D21B3B">
      <w:pPr>
        <w:pStyle w:val="ListParagraph"/>
        <w:numPr>
          <w:ilvl w:val="0"/>
          <w:numId w:val="39"/>
        </w:numPr>
      </w:pPr>
      <w:r w:rsidRPr="00863D9F">
        <w:t xml:space="preserve">infant swings and hammocks </w:t>
      </w:r>
    </w:p>
    <w:p w14:paraId="58987CFD" w14:textId="77777777" w:rsidR="00767472" w:rsidRPr="00863D9F" w:rsidRDefault="00767472" w:rsidP="00D21B3B">
      <w:pPr>
        <w:pStyle w:val="ListParagraph"/>
        <w:numPr>
          <w:ilvl w:val="0"/>
          <w:numId w:val="39"/>
        </w:numPr>
      </w:pPr>
      <w:r w:rsidRPr="00863D9F">
        <w:t>infant boxes and nests</w:t>
      </w:r>
    </w:p>
    <w:p w14:paraId="6CFFD5BE" w14:textId="77777777" w:rsidR="00767472" w:rsidRPr="00863D9F" w:rsidRDefault="00767472" w:rsidP="00D21B3B">
      <w:pPr>
        <w:pStyle w:val="ListParagraph"/>
        <w:numPr>
          <w:ilvl w:val="0"/>
          <w:numId w:val="39"/>
        </w:numPr>
      </w:pPr>
      <w:r w:rsidRPr="00863D9F">
        <w:t>sleep positioners/wedges</w:t>
      </w:r>
    </w:p>
    <w:p w14:paraId="2DB7C014" w14:textId="77777777" w:rsidR="00767472" w:rsidRPr="00863D9F" w:rsidRDefault="00767472" w:rsidP="00D21B3B">
      <w:pPr>
        <w:pStyle w:val="ListParagraph"/>
        <w:numPr>
          <w:ilvl w:val="0"/>
          <w:numId w:val="39"/>
        </w:numPr>
      </w:pPr>
      <w:r w:rsidRPr="00863D9F">
        <w:t>any multi-use, hybrid or convertible product which may convert into an Infant Sleep Product.</w:t>
      </w:r>
    </w:p>
    <w:p w14:paraId="7D508206" w14:textId="77777777" w:rsidR="00767472" w:rsidRPr="00863D9F" w:rsidRDefault="00767472" w:rsidP="00767472">
      <w:pPr>
        <w:pStyle w:val="Bulletpoint"/>
        <w:numPr>
          <w:ilvl w:val="0"/>
          <w:numId w:val="0"/>
        </w:numPr>
      </w:pPr>
      <w:r w:rsidRPr="00863D9F">
        <w:t xml:space="preserve">The </w:t>
      </w:r>
      <w:r w:rsidRPr="00863D9F">
        <w:rPr>
          <w:b/>
          <w:bCs/>
        </w:rPr>
        <w:t>general requirements</w:t>
      </w:r>
      <w:r w:rsidRPr="00863D9F">
        <w:t xml:space="preserve"> for </w:t>
      </w:r>
      <w:r w:rsidRPr="00863D9F">
        <w:rPr>
          <w:b/>
          <w:bCs/>
        </w:rPr>
        <w:t xml:space="preserve">all Infant Sleep Products </w:t>
      </w:r>
      <w:r w:rsidRPr="00863D9F">
        <w:t>include:</w:t>
      </w:r>
    </w:p>
    <w:p w14:paraId="14991A51" w14:textId="4C46E0DD" w:rsidR="00767472" w:rsidRPr="00863D9F" w:rsidRDefault="00767472" w:rsidP="00D21B3B">
      <w:pPr>
        <w:pStyle w:val="ListParagraph"/>
        <w:numPr>
          <w:ilvl w:val="0"/>
          <w:numId w:val="35"/>
        </w:numPr>
      </w:pPr>
      <w:r w:rsidRPr="00863D9F">
        <w:t>no incline greater than 7 degrees</w:t>
      </w:r>
      <w:r w:rsidR="00E02C97">
        <w:t xml:space="preserve">, including test requirements </w:t>
      </w:r>
    </w:p>
    <w:p w14:paraId="50934BE6" w14:textId="798FBBE7" w:rsidR="00767472" w:rsidRPr="00863D9F" w:rsidRDefault="00767472" w:rsidP="00D21B3B">
      <w:pPr>
        <w:pStyle w:val="ListParagraph"/>
        <w:numPr>
          <w:ilvl w:val="0"/>
          <w:numId w:val="35"/>
        </w:numPr>
      </w:pPr>
      <w:r w:rsidRPr="00863D9F">
        <w:t>no curvature (i.e. a flat sleeping surface)</w:t>
      </w:r>
      <w:r w:rsidR="00E02C97">
        <w:t xml:space="preserve">, including test </w:t>
      </w:r>
      <w:proofErr w:type="gramStart"/>
      <w:r w:rsidR="00E02C97">
        <w:t>requirements</w:t>
      </w:r>
      <w:proofErr w:type="gramEnd"/>
    </w:p>
    <w:p w14:paraId="3DD3926B" w14:textId="3B9B1002" w:rsidR="00767472" w:rsidRPr="00863D9F" w:rsidRDefault="00767472" w:rsidP="00D21B3B">
      <w:pPr>
        <w:pStyle w:val="ListParagraph"/>
        <w:numPr>
          <w:ilvl w:val="0"/>
          <w:numId w:val="35"/>
        </w:numPr>
      </w:pPr>
      <w:r w:rsidRPr="00863D9F">
        <w:t>breathable fabric on the sides product that meet test requirements where applicable</w:t>
      </w:r>
    </w:p>
    <w:p w14:paraId="78A4E0DE" w14:textId="77777777" w:rsidR="00767472" w:rsidRPr="00863D9F" w:rsidRDefault="00767472" w:rsidP="00D21B3B">
      <w:pPr>
        <w:pStyle w:val="ListParagraph"/>
        <w:numPr>
          <w:ilvl w:val="0"/>
          <w:numId w:val="35"/>
        </w:numPr>
      </w:pPr>
      <w:r w:rsidRPr="00863D9F">
        <w:t>minimum tests for rigidity (firmness) of the sleeping surface</w:t>
      </w:r>
    </w:p>
    <w:p w14:paraId="6853A838" w14:textId="77777777" w:rsidR="00767472" w:rsidRPr="00863D9F" w:rsidRDefault="00767472" w:rsidP="00D21B3B">
      <w:pPr>
        <w:pStyle w:val="ListParagraph"/>
        <w:numPr>
          <w:ilvl w:val="0"/>
          <w:numId w:val="35"/>
        </w:numPr>
      </w:pPr>
      <w:r w:rsidRPr="00863D9F">
        <w:t>mattress requirements, including dimensions, rigidity and no gaps between the mattress and the base or sides of the product</w:t>
      </w:r>
    </w:p>
    <w:p w14:paraId="6C696B0C" w14:textId="77777777" w:rsidR="00767472" w:rsidRPr="00863D9F" w:rsidRDefault="00767472" w:rsidP="00D21B3B">
      <w:pPr>
        <w:pStyle w:val="ListParagraph"/>
        <w:numPr>
          <w:ilvl w:val="0"/>
          <w:numId w:val="35"/>
        </w:numPr>
      </w:pPr>
      <w:r w:rsidRPr="00863D9F">
        <w:t xml:space="preserve">sufficient strength and integrity to support an infant </w:t>
      </w:r>
    </w:p>
    <w:p w14:paraId="233C8B1F" w14:textId="77777777" w:rsidR="00767472" w:rsidRPr="00863D9F" w:rsidRDefault="00767472" w:rsidP="00D21B3B">
      <w:pPr>
        <w:pStyle w:val="ListParagraph"/>
        <w:numPr>
          <w:ilvl w:val="0"/>
          <w:numId w:val="35"/>
        </w:numPr>
      </w:pPr>
      <w:r w:rsidRPr="00863D9F">
        <w:t>quality component requirements (e.g. metal components must be corrosion-resistant and wood must be free from splinters)</w:t>
      </w:r>
    </w:p>
    <w:p w14:paraId="64B1DD21" w14:textId="77777777" w:rsidR="00767472" w:rsidRPr="00863D9F" w:rsidRDefault="00767472" w:rsidP="00D21B3B">
      <w:pPr>
        <w:pStyle w:val="ListParagraph"/>
        <w:numPr>
          <w:ilvl w:val="0"/>
          <w:numId w:val="35"/>
        </w:numPr>
      </w:pPr>
      <w:r w:rsidRPr="00863D9F">
        <w:t>no ribbons, cords or other decorations that would cause choking or strangulation hazards</w:t>
      </w:r>
    </w:p>
    <w:p w14:paraId="167D3606" w14:textId="77777777" w:rsidR="00767472" w:rsidRPr="00863D9F" w:rsidRDefault="00767472" w:rsidP="00D21B3B">
      <w:pPr>
        <w:pStyle w:val="ListParagraph"/>
        <w:numPr>
          <w:ilvl w:val="0"/>
          <w:numId w:val="35"/>
        </w:numPr>
      </w:pPr>
      <w:r w:rsidRPr="00863D9F">
        <w:t>no small parts</w:t>
      </w:r>
    </w:p>
    <w:p w14:paraId="5C8E4165" w14:textId="77777777" w:rsidR="00767472" w:rsidRPr="00863D9F" w:rsidRDefault="00767472" w:rsidP="00D21B3B">
      <w:pPr>
        <w:pStyle w:val="ListParagraph"/>
        <w:numPr>
          <w:ilvl w:val="0"/>
          <w:numId w:val="35"/>
        </w:numPr>
      </w:pPr>
      <w:r w:rsidRPr="00863D9F">
        <w:t>no restraint system.</w:t>
      </w:r>
    </w:p>
    <w:p w14:paraId="586FA8E4" w14:textId="77777777" w:rsidR="00767472" w:rsidRPr="00863D9F" w:rsidRDefault="00767472" w:rsidP="00767472">
      <w:r w:rsidRPr="00863D9F">
        <w:t xml:space="preserve">The product specific requirements would be in addition to the general requirements for all Infant Sleep Products and include: </w:t>
      </w:r>
    </w:p>
    <w:p w14:paraId="4EAF0D91" w14:textId="77777777" w:rsidR="00767472" w:rsidRPr="00863D9F" w:rsidRDefault="00767472" w:rsidP="00D21B3B">
      <w:pPr>
        <w:pStyle w:val="ListParagraph"/>
        <w:numPr>
          <w:ilvl w:val="0"/>
          <w:numId w:val="40"/>
        </w:numPr>
        <w:rPr>
          <w:b/>
          <w:bCs/>
        </w:rPr>
      </w:pPr>
      <w:r w:rsidRPr="00863D9F">
        <w:rPr>
          <w:b/>
          <w:bCs/>
        </w:rPr>
        <w:t xml:space="preserve">Bassinets: </w:t>
      </w:r>
      <w:r w:rsidRPr="00863D9F">
        <w:t xml:space="preserve">The additional requirements address side height, filler bars, base width, and necessary warnings specific to bassinets which are not captured by the information standard for Infant Sleep Products (Option 3). </w:t>
      </w:r>
    </w:p>
    <w:p w14:paraId="2CA84C3E" w14:textId="77777777" w:rsidR="00767472" w:rsidRPr="00863D9F" w:rsidRDefault="00767472" w:rsidP="00D21B3B">
      <w:pPr>
        <w:pStyle w:val="ListParagraph"/>
        <w:numPr>
          <w:ilvl w:val="0"/>
          <w:numId w:val="40"/>
        </w:numPr>
        <w:rPr>
          <w:b/>
          <w:bCs/>
        </w:rPr>
      </w:pPr>
      <w:r w:rsidRPr="00863D9F">
        <w:rPr>
          <w:b/>
          <w:bCs/>
        </w:rPr>
        <w:t xml:space="preserve">Folding cots: </w:t>
      </w:r>
      <w:r w:rsidRPr="00863D9F">
        <w:t xml:space="preserve">The additional requirements address side height, </w:t>
      </w:r>
      <w:proofErr w:type="gramStart"/>
      <w:r w:rsidRPr="00863D9F">
        <w:t>stability</w:t>
      </w:r>
      <w:proofErr w:type="gramEnd"/>
      <w:r w:rsidRPr="00863D9F">
        <w:t xml:space="preserve"> and strength risks. Suppliers would be required to comply with the relevant sections of any of the following voluntary standards: </w:t>
      </w:r>
    </w:p>
    <w:p w14:paraId="4F81B4D3" w14:textId="77777777" w:rsidR="00767472" w:rsidRPr="00863D9F" w:rsidRDefault="00767472" w:rsidP="00D21B3B">
      <w:pPr>
        <w:pStyle w:val="ListParagraph"/>
        <w:numPr>
          <w:ilvl w:val="1"/>
          <w:numId w:val="40"/>
        </w:numPr>
        <w:ind w:left="700"/>
      </w:pPr>
      <w:r w:rsidRPr="00863D9F">
        <w:t xml:space="preserve">Australian voluntary: </w:t>
      </w:r>
      <w:r w:rsidRPr="00863D9F">
        <w:rPr>
          <w:i/>
          <w:iCs/>
        </w:rPr>
        <w:t>Folding cots – Safety requirements (AS/NZS 2915:2010</w:t>
      </w:r>
      <w:r w:rsidRPr="00863D9F">
        <w:t xml:space="preserve">); </w:t>
      </w:r>
    </w:p>
    <w:p w14:paraId="749DB28A" w14:textId="31F5AE1E" w:rsidR="00AD33DC" w:rsidRPr="00AD33DC" w:rsidRDefault="00767472" w:rsidP="00312A58">
      <w:pPr>
        <w:pStyle w:val="ListParagraph"/>
        <w:numPr>
          <w:ilvl w:val="1"/>
          <w:numId w:val="40"/>
        </w:numPr>
        <w:ind w:left="700"/>
      </w:pPr>
      <w:r w:rsidRPr="00863D9F">
        <w:t xml:space="preserve">United States voluntary: </w:t>
      </w:r>
      <w:r w:rsidRPr="00863D9F">
        <w:rPr>
          <w:i/>
          <w:iCs/>
        </w:rPr>
        <w:t>Standard Consumer Safety Specification for Non-Full-Size Baby Cribs/Play Yards (ASTM F406-</w:t>
      </w:r>
      <w:r w:rsidR="00F94148">
        <w:rPr>
          <w:i/>
          <w:iCs/>
        </w:rPr>
        <w:t>22</w:t>
      </w:r>
      <w:r w:rsidRPr="00863D9F">
        <w:t>); or</w:t>
      </w:r>
    </w:p>
    <w:p w14:paraId="077DAE53" w14:textId="77777777" w:rsidR="00F94148" w:rsidRPr="001F37FB" w:rsidRDefault="00F94148" w:rsidP="00F94148">
      <w:pPr>
        <w:pStyle w:val="ListParagraph"/>
        <w:numPr>
          <w:ilvl w:val="1"/>
          <w:numId w:val="40"/>
        </w:numPr>
        <w:ind w:left="700"/>
      </w:pPr>
      <w:r>
        <w:t xml:space="preserve">British voluntary: </w:t>
      </w:r>
      <w:r w:rsidRPr="00410E90">
        <w:rPr>
          <w:rFonts w:ascii="Arial" w:hAnsi="Arial" w:cs="Arial"/>
          <w:i/>
          <w:iCs/>
          <w:color w:val="000000"/>
        </w:rPr>
        <w:t>Furniture - Children’s cots and folding cots for domestic use - Part 1: Safety requirements</w:t>
      </w:r>
      <w:r>
        <w:rPr>
          <w:rFonts w:ascii="Arial" w:hAnsi="Arial" w:cs="Arial"/>
          <w:color w:val="000000"/>
        </w:rPr>
        <w:t xml:space="preserve"> </w:t>
      </w:r>
      <w:r w:rsidRPr="00410E90">
        <w:rPr>
          <w:rFonts w:ascii="Arial" w:hAnsi="Arial" w:cs="Arial"/>
          <w:i/>
          <w:iCs/>
          <w:color w:val="000000"/>
        </w:rPr>
        <w:t>(BS EN 716</w:t>
      </w:r>
      <w:r w:rsidRPr="00410E90">
        <w:rPr>
          <w:rFonts w:ascii="Arial" w:hAnsi="Arial" w:cs="Arial"/>
          <w:i/>
          <w:iCs/>
          <w:color w:val="2D2D2D"/>
          <w:shd w:val="clear" w:color="auto" w:fill="FFFFFF"/>
        </w:rPr>
        <w:t>-1:2017 Incorporating corrigendum March 2019)</w:t>
      </w:r>
      <w:r>
        <w:rPr>
          <w:rFonts w:ascii="Arial" w:hAnsi="Arial" w:cs="Arial"/>
          <w:color w:val="2D2D2D"/>
          <w:shd w:val="clear" w:color="auto" w:fill="FFFFFF"/>
        </w:rPr>
        <w:t xml:space="preserve">. </w:t>
      </w:r>
    </w:p>
    <w:p w14:paraId="2EBD6631" w14:textId="77777777" w:rsidR="00767472" w:rsidRPr="00863D9F" w:rsidRDefault="00767472" w:rsidP="00D21B3B">
      <w:pPr>
        <w:pStyle w:val="ListParagraph"/>
        <w:numPr>
          <w:ilvl w:val="0"/>
          <w:numId w:val="40"/>
        </w:numPr>
        <w:rPr>
          <w:b/>
          <w:bCs/>
        </w:rPr>
      </w:pPr>
      <w:r w:rsidRPr="00863D9F">
        <w:rPr>
          <w:b/>
          <w:bCs/>
        </w:rPr>
        <w:t xml:space="preserve">Household cots: </w:t>
      </w:r>
      <w:r w:rsidRPr="00863D9F">
        <w:t>The additional requirements address design, stability, strength and drop side strength where applicable. Suppliers would be required to comply with the relevant sections of any of the following voluntary standards:</w:t>
      </w:r>
    </w:p>
    <w:p w14:paraId="330636CD" w14:textId="77777777" w:rsidR="00767472" w:rsidRPr="00863D9F" w:rsidRDefault="00767472" w:rsidP="00D21B3B">
      <w:pPr>
        <w:pStyle w:val="ListParagraph"/>
        <w:numPr>
          <w:ilvl w:val="1"/>
          <w:numId w:val="40"/>
        </w:numPr>
        <w:ind w:left="700"/>
      </w:pPr>
      <w:r w:rsidRPr="00863D9F">
        <w:t xml:space="preserve">Australian voluntary: </w:t>
      </w:r>
      <w:r w:rsidRPr="00863D9F">
        <w:rPr>
          <w:i/>
          <w:iCs/>
        </w:rPr>
        <w:t xml:space="preserve">Cots for household use - safety requirements (AS/NZS 2172-2013); </w:t>
      </w:r>
    </w:p>
    <w:p w14:paraId="69CD5058" w14:textId="4F0B5672" w:rsidR="00AD33DC" w:rsidRDefault="00767472" w:rsidP="00312A58">
      <w:pPr>
        <w:pStyle w:val="ListParagraph"/>
        <w:numPr>
          <w:ilvl w:val="1"/>
          <w:numId w:val="40"/>
        </w:numPr>
        <w:ind w:left="700"/>
      </w:pPr>
      <w:r w:rsidRPr="00863D9F">
        <w:t>United States voluntary:</w:t>
      </w:r>
      <w:r w:rsidRPr="00863D9F">
        <w:rPr>
          <w:i/>
          <w:iCs/>
        </w:rPr>
        <w:t xml:space="preserve"> Standard Consumer Safety Specification for Full-Size Baby Cribs (ASTM F1169-19);</w:t>
      </w:r>
      <w:r w:rsidRPr="00863D9F">
        <w:t xml:space="preserve"> or</w:t>
      </w:r>
    </w:p>
    <w:p w14:paraId="6A117203" w14:textId="77777777" w:rsidR="00F94148" w:rsidRPr="001F37FB" w:rsidRDefault="00F94148" w:rsidP="00095BD7">
      <w:pPr>
        <w:pStyle w:val="ListParagraph"/>
        <w:numPr>
          <w:ilvl w:val="1"/>
          <w:numId w:val="40"/>
        </w:numPr>
        <w:ind w:left="700"/>
      </w:pPr>
      <w:r>
        <w:t xml:space="preserve">British voluntary: </w:t>
      </w:r>
      <w:r w:rsidRPr="00095BD7">
        <w:rPr>
          <w:rFonts w:ascii="Arial" w:hAnsi="Arial" w:cs="Arial"/>
          <w:i/>
          <w:iCs/>
          <w:color w:val="000000"/>
        </w:rPr>
        <w:t>Furniture - Children’s cots and folding cots for domestic use - Part 1: Safety requirements</w:t>
      </w:r>
      <w:r w:rsidRPr="00095BD7">
        <w:rPr>
          <w:rFonts w:ascii="Arial" w:hAnsi="Arial" w:cs="Arial"/>
          <w:color w:val="000000"/>
        </w:rPr>
        <w:t xml:space="preserve"> </w:t>
      </w:r>
      <w:r w:rsidRPr="00095BD7">
        <w:rPr>
          <w:rFonts w:ascii="Arial" w:hAnsi="Arial" w:cs="Arial"/>
          <w:i/>
          <w:iCs/>
          <w:color w:val="000000"/>
        </w:rPr>
        <w:t>(BS EN 716</w:t>
      </w:r>
      <w:r w:rsidRPr="00095BD7">
        <w:rPr>
          <w:rFonts w:ascii="Arial" w:hAnsi="Arial" w:cs="Arial"/>
          <w:i/>
          <w:iCs/>
          <w:color w:val="2D2D2D"/>
          <w:shd w:val="clear" w:color="auto" w:fill="FFFFFF"/>
        </w:rPr>
        <w:t>-1:2017 Incorporating corrigendum March 2019)</w:t>
      </w:r>
      <w:r w:rsidRPr="00095BD7">
        <w:rPr>
          <w:rFonts w:ascii="Arial" w:hAnsi="Arial" w:cs="Arial"/>
          <w:color w:val="2D2D2D"/>
          <w:shd w:val="clear" w:color="auto" w:fill="FFFFFF"/>
        </w:rPr>
        <w:t xml:space="preserve">. </w:t>
      </w:r>
    </w:p>
    <w:p w14:paraId="5603A1E0" w14:textId="77777777" w:rsidR="00767472" w:rsidRPr="00863D9F" w:rsidRDefault="00767472" w:rsidP="00767472">
      <w:r w:rsidRPr="00863D9F">
        <w:t xml:space="preserve">As outlined in Option 2, the current Household Cots Mandatory Standard and Folding Cots Mandatory Standard would be updated to reflect the most recent voluntary standards, both domestic and overseas. These mandatory standards as they currently stand would be revoked because they would be captured in the proposed safety standard as the risks addressed relate to the sleep environment. Revoking the current household and folding cots mandatory standards also avoids regulatory duplication. </w:t>
      </w:r>
    </w:p>
    <w:p w14:paraId="6465FA0C" w14:textId="77777777" w:rsidR="00767472" w:rsidRDefault="00767472" w:rsidP="00767472">
      <w:r w:rsidRPr="00863D9F">
        <w:t>The ACCC anticipate the mandatory safety standard would have an 18-month transition period.</w:t>
      </w:r>
    </w:p>
    <w:p w14:paraId="373678E0" w14:textId="77777777" w:rsidR="00767472" w:rsidRPr="00863D9F" w:rsidRDefault="00767472" w:rsidP="00767472">
      <w:r w:rsidRPr="00863D9F">
        <w:t xml:space="preserve">The ACCC received feedback from industry which recommended stands be mandated on bassinets in the proposed mandatory safety standard. We do not consider this approach to be appropriate because it would effectively ban other Infant Sleep Products such as baskets, bed nests, and devices used to reduce the risk of injuries and fatalities in co-sleeping situations. It is important these products are still available for consumers from low socio-economic households where the cost of cots and bassinets may be a barrier. </w:t>
      </w:r>
    </w:p>
    <w:p w14:paraId="3FC7ED09" w14:textId="77777777" w:rsidR="00767472" w:rsidRPr="00863D9F" w:rsidRDefault="00767472" w:rsidP="00767472">
      <w:r w:rsidRPr="00863D9F">
        <w:t>Some stakeholders also considered bassinet mattress thickness as a risk, however, we consider this is addressed by the rigidity requirement for all Infant Sleep Products and specifying additional requirements will add an unnecessary burden to industry.</w:t>
      </w:r>
    </w:p>
    <w:p w14:paraId="73DD4CEE" w14:textId="77777777" w:rsidR="00767472" w:rsidRPr="00AF6307" w:rsidRDefault="00767472" w:rsidP="00D21B3B">
      <w:pPr>
        <w:pStyle w:val="Numbered1"/>
        <w:rPr>
          <w:rFonts w:ascii="Roboto" w:hAnsi="Roboto"/>
          <w:sz w:val="44"/>
          <w:szCs w:val="44"/>
        </w:rPr>
      </w:pPr>
      <w:bookmarkStart w:id="58" w:name="_Toc139452464"/>
      <w:bookmarkStart w:id="59" w:name="_Toc140065185"/>
      <w:r w:rsidRPr="00AF6307">
        <w:rPr>
          <w:rFonts w:ascii="Roboto" w:hAnsi="Roboto"/>
          <w:sz w:val="44"/>
          <w:szCs w:val="44"/>
        </w:rPr>
        <w:t>What are the costs and benefits of regulatory intervention?</w:t>
      </w:r>
      <w:bookmarkEnd w:id="58"/>
      <w:bookmarkEnd w:id="59"/>
      <w:r w:rsidRPr="00AF6307">
        <w:rPr>
          <w:rFonts w:ascii="Roboto" w:hAnsi="Roboto"/>
          <w:sz w:val="44"/>
          <w:szCs w:val="44"/>
        </w:rPr>
        <w:t xml:space="preserve">  </w:t>
      </w:r>
    </w:p>
    <w:p w14:paraId="0BDD3E6D" w14:textId="77777777" w:rsidR="00767472" w:rsidRPr="00863D9F" w:rsidRDefault="00767472" w:rsidP="00767472">
      <w:r w:rsidRPr="00863D9F">
        <w:t>The cost-benefit analysis indicates the cost of intervention relative to outcomes in terms of injuries and fatalities prevented. According to the Best Practice Regulation Guidance Note Value published by The Office of Impact Analysis, the Value of Statistical Life (VSL) is most appropriately measured by estimating how much society is willing to pay to reduce the risk of fatalities. Based on international and Australian research, a credible estimate of the VSL is $5,300,000 for a young adult assuming 40 years of life ahead.</w:t>
      </w:r>
      <w:r w:rsidRPr="00863D9F">
        <w:rPr>
          <w:rStyle w:val="FootnoteReference"/>
        </w:rPr>
        <w:footnoteReference w:id="23"/>
      </w:r>
      <w:r w:rsidRPr="00863D9F">
        <w:t xml:space="preserve"> The VSL figure allows for the potential monetary costs and benefits of regulatory options to be compared.</w:t>
      </w:r>
    </w:p>
    <w:p w14:paraId="41B087BB" w14:textId="77777777" w:rsidR="00767472" w:rsidRPr="00863D9F" w:rsidRDefault="00767472" w:rsidP="00767472">
      <w:r w:rsidRPr="00863D9F">
        <w:t xml:space="preserve">The cost-benefit analysis has been calculated based on information provided by industry. Based on this, we understand there is a large second-hand market, between 40% - 55% of sales per year depending on the product, for Infant Sleep Products, Inclined Sleep </w:t>
      </w:r>
      <w:proofErr w:type="gramStart"/>
      <w:r w:rsidRPr="00863D9F">
        <w:t>Products</w:t>
      </w:r>
      <w:proofErr w:type="gramEnd"/>
      <w:r w:rsidRPr="00863D9F">
        <w:t xml:space="preserve"> and Inclined Non-Sleep Products. Additionally, these products have an average lifespan of 4 years. The quantitative costs, in terms of fatalities, of each option being considered are outlined below and are based on the assumption that every birth will generate a purchase of more than one product (there are approximately 300,000 births per year in Australia).</w:t>
      </w:r>
      <w:r w:rsidRPr="00863D9F">
        <w:rPr>
          <w:rStyle w:val="FootnoteReference"/>
        </w:rPr>
        <w:footnoteReference w:id="24"/>
      </w:r>
      <w:r w:rsidRPr="00863D9F">
        <w:t xml:space="preserve"> This over estimation of products purchased also accounts for consumers who migrate to Australia post infant birth, noting there is a minimal difference between the number of births per year and the population of infants. </w:t>
      </w:r>
    </w:p>
    <w:p w14:paraId="2C53EA40" w14:textId="77777777" w:rsidR="00767472" w:rsidRPr="00863D9F" w:rsidRDefault="00767472" w:rsidP="00767472">
      <w:r w:rsidRPr="00863D9F">
        <w:t>While the cost-benefit analysis has assumed there will be a likely benefit from intervention broadly (i.e. reduced number of fatalities), not all impacts of a fatality can be quantified. The loss of a child is one of the most extreme stressors that a person can face. There are wide ranging and long-term impacts for families and broader society following the death of an infant. These impacts are very important factors in considering the effect of the recommended option and are difficult to quantify. For example, parental bereavement has been linked to an increase in mortality, physical health issues and reduced mental health.</w:t>
      </w:r>
      <w:r w:rsidRPr="00863D9F">
        <w:rPr>
          <w:rStyle w:val="FootnoteReference"/>
        </w:rPr>
        <w:footnoteReference w:id="25"/>
      </w:r>
      <w:r w:rsidRPr="00863D9F">
        <w:t xml:space="preserve"> </w:t>
      </w:r>
    </w:p>
    <w:p w14:paraId="2A4E6082" w14:textId="77777777" w:rsidR="00767472" w:rsidRPr="00863D9F" w:rsidRDefault="00767472" w:rsidP="00767472">
      <w:r w:rsidRPr="00863D9F">
        <w:t>Given the difficulty to quantify the costs of these impacts, the ACCC’s analysis of impacts and associated cost estimates are conservative and do not account for qualitative considerations such as emotional distress and long-term psychological impacts. The cost of the proposed mandatory information standard (Option 3) and proposed mandatory safety standard (Option 4) will be measured against the cost of taking no action (Option 1) with an estimated cost of $55,279,000 for 2022.</w:t>
      </w:r>
    </w:p>
    <w:p w14:paraId="1BD92B1A" w14:textId="77777777" w:rsidR="00767472" w:rsidRPr="00AF6307" w:rsidRDefault="00767472" w:rsidP="00D21B3B">
      <w:pPr>
        <w:pStyle w:val="Numbered11"/>
        <w:rPr>
          <w:rFonts w:ascii="Roboto" w:hAnsi="Roboto"/>
          <w:sz w:val="32"/>
          <w:szCs w:val="32"/>
        </w:rPr>
      </w:pPr>
      <w:bookmarkStart w:id="60" w:name="_Toc139452465"/>
      <w:bookmarkStart w:id="61" w:name="_Toc140065186"/>
      <w:r w:rsidRPr="00AF6307">
        <w:rPr>
          <w:rFonts w:ascii="Roboto" w:hAnsi="Roboto"/>
          <w:sz w:val="32"/>
          <w:szCs w:val="32"/>
        </w:rPr>
        <w:t>Option 1 Take no action (maintain the status quo). Implement a consumer education campaign with no regulatory change.</w:t>
      </w:r>
      <w:bookmarkEnd w:id="60"/>
      <w:bookmarkEnd w:id="61"/>
    </w:p>
    <w:p w14:paraId="7557500C" w14:textId="77777777" w:rsidR="00767472" w:rsidRPr="00AF6307" w:rsidRDefault="00767472" w:rsidP="00D21B3B">
      <w:pPr>
        <w:pStyle w:val="Numbered111"/>
        <w:rPr>
          <w:sz w:val="28"/>
          <w:szCs w:val="28"/>
        </w:rPr>
      </w:pPr>
      <w:bookmarkStart w:id="62" w:name="_Toc139452466"/>
      <w:bookmarkStart w:id="63" w:name="_Toc140065187"/>
      <w:r w:rsidRPr="00AF6307">
        <w:rPr>
          <w:sz w:val="28"/>
          <w:szCs w:val="28"/>
        </w:rPr>
        <w:t>Costs</w:t>
      </w:r>
      <w:bookmarkEnd w:id="62"/>
      <w:bookmarkEnd w:id="63"/>
    </w:p>
    <w:p w14:paraId="31A6C0C4" w14:textId="77777777" w:rsidR="00767472" w:rsidRPr="00863D9F" w:rsidRDefault="00767472" w:rsidP="00767472">
      <w:r w:rsidRPr="00863D9F">
        <w:t>Under this option, there would be no regulation, and an education campaign would be undertaken by government. The ACCC considers an education campaign would need to be widespread to generate awareness of safe sleep messaging and anticipates an education campaign would involve additional costs to government, estimated to be $200,000.</w:t>
      </w:r>
      <w:r w:rsidRPr="00863D9F">
        <w:rPr>
          <w:rStyle w:val="FootnoteReference"/>
        </w:rPr>
        <w:footnoteReference w:id="26"/>
      </w:r>
      <w:r w:rsidRPr="00863D9F">
        <w:t xml:space="preserve"> </w:t>
      </w:r>
    </w:p>
    <w:p w14:paraId="653DE1F6" w14:textId="77777777" w:rsidR="00767472" w:rsidRPr="00863D9F" w:rsidRDefault="00767472" w:rsidP="00767472">
      <w:r w:rsidRPr="00863D9F">
        <w:t>Further, if no government action is taken, it is estimated that 7.67 fatalities associated with Infant Sleep Products and 2.76 fatalities associated with Inclined Sleep Products and Inclined Non-Sleep Products will continue to occur. With no regulatory intervention, the total VSL lost is estimated as $55,279,000 for 2022. Table 5 outlines the estimated costs of no regulation.</w:t>
      </w:r>
    </w:p>
    <w:p w14:paraId="12129481" w14:textId="77777777" w:rsidR="00767472" w:rsidRPr="00E27635" w:rsidRDefault="00767472" w:rsidP="00E27635">
      <w:pPr>
        <w:pStyle w:val="Tabletitle"/>
      </w:pPr>
      <w:r w:rsidRPr="00E27635">
        <w:t>Table 5: Estimated costs of no regulation</w:t>
      </w:r>
    </w:p>
    <w:tbl>
      <w:tblPr>
        <w:tblStyle w:val="TableGrid"/>
        <w:tblW w:w="0" w:type="auto"/>
        <w:tblLook w:val="0400" w:firstRow="0" w:lastRow="0" w:firstColumn="0" w:lastColumn="0" w:noHBand="0" w:noVBand="1"/>
      </w:tblPr>
      <w:tblGrid>
        <w:gridCol w:w="6237"/>
        <w:gridCol w:w="2789"/>
      </w:tblGrid>
      <w:tr w:rsidR="00767472" w:rsidRPr="00863D9F" w14:paraId="6C7CF006" w14:textId="77777777" w:rsidTr="005E380D">
        <w:tc>
          <w:tcPr>
            <w:tcW w:w="6237" w:type="dxa"/>
          </w:tcPr>
          <w:p w14:paraId="6DD7CF2F" w14:textId="77777777" w:rsidR="00767472" w:rsidRPr="00863D9F" w:rsidRDefault="00767472" w:rsidP="005E380D">
            <w:pPr>
              <w:pStyle w:val="Tabletext"/>
            </w:pPr>
            <w:r w:rsidRPr="00863D9F">
              <w:t>Value of Statistical Life (VSL)</w:t>
            </w:r>
          </w:p>
        </w:tc>
        <w:tc>
          <w:tcPr>
            <w:tcW w:w="2789" w:type="dxa"/>
          </w:tcPr>
          <w:p w14:paraId="0B34325E" w14:textId="77777777" w:rsidR="00767472" w:rsidRPr="00863D9F" w:rsidRDefault="00767472" w:rsidP="005E380D">
            <w:pPr>
              <w:pStyle w:val="Tabletext"/>
            </w:pPr>
            <w:r w:rsidRPr="00863D9F">
              <w:t>$5,300,000 (2022 dollars)</w:t>
            </w:r>
          </w:p>
        </w:tc>
      </w:tr>
      <w:tr w:rsidR="00767472" w:rsidRPr="00863D9F" w14:paraId="4189B3BC" w14:textId="77777777" w:rsidTr="005E380D">
        <w:tc>
          <w:tcPr>
            <w:tcW w:w="6237" w:type="dxa"/>
          </w:tcPr>
          <w:p w14:paraId="10111902" w14:textId="77777777" w:rsidR="00767472" w:rsidRPr="00863D9F" w:rsidRDefault="00767472" w:rsidP="005E380D">
            <w:pPr>
              <w:pStyle w:val="Tabletext"/>
            </w:pPr>
            <w:r w:rsidRPr="00863D9F">
              <w:t>Estimated deaths associated with Infant Sleep Products per year</w:t>
            </w:r>
          </w:p>
        </w:tc>
        <w:tc>
          <w:tcPr>
            <w:tcW w:w="2789" w:type="dxa"/>
          </w:tcPr>
          <w:p w14:paraId="7AF91AE5" w14:textId="77777777" w:rsidR="00767472" w:rsidRPr="00863D9F" w:rsidRDefault="00767472" w:rsidP="005E380D">
            <w:pPr>
              <w:pStyle w:val="Tabletext"/>
              <w:rPr>
                <w:b/>
                <w:bCs/>
              </w:rPr>
            </w:pPr>
            <w:r w:rsidRPr="00863D9F">
              <w:t>7.67 fatalities</w:t>
            </w:r>
          </w:p>
        </w:tc>
      </w:tr>
      <w:tr w:rsidR="00767472" w:rsidRPr="00863D9F" w14:paraId="32034DFA" w14:textId="77777777" w:rsidTr="005E380D">
        <w:tc>
          <w:tcPr>
            <w:tcW w:w="6237" w:type="dxa"/>
          </w:tcPr>
          <w:p w14:paraId="5AC1068A" w14:textId="77777777" w:rsidR="00767472" w:rsidRPr="00863D9F" w:rsidRDefault="00767472" w:rsidP="005E380D">
            <w:pPr>
              <w:pStyle w:val="Tabletext"/>
            </w:pPr>
            <w:r w:rsidRPr="00863D9F">
              <w:t>Estimated deaths associated with Inclined Sleep Products and Inclined Non-Sleep Products per year</w:t>
            </w:r>
          </w:p>
        </w:tc>
        <w:tc>
          <w:tcPr>
            <w:tcW w:w="2789" w:type="dxa"/>
          </w:tcPr>
          <w:p w14:paraId="3A24D4C5" w14:textId="77777777" w:rsidR="00767472" w:rsidRPr="00863D9F" w:rsidRDefault="00767472" w:rsidP="005E380D">
            <w:pPr>
              <w:pStyle w:val="Tabletext"/>
            </w:pPr>
            <w:r w:rsidRPr="00863D9F">
              <w:t xml:space="preserve">2.76 fatalities </w:t>
            </w:r>
          </w:p>
        </w:tc>
      </w:tr>
      <w:tr w:rsidR="00767472" w:rsidRPr="00863D9F" w14:paraId="155DD2A5" w14:textId="77777777" w:rsidTr="005E380D">
        <w:tc>
          <w:tcPr>
            <w:tcW w:w="6237" w:type="dxa"/>
            <w:shd w:val="clear" w:color="auto" w:fill="FEF1F0"/>
          </w:tcPr>
          <w:p w14:paraId="43D34371" w14:textId="77777777" w:rsidR="00767472" w:rsidRPr="00863D9F" w:rsidRDefault="00767472" w:rsidP="005E380D">
            <w:pPr>
              <w:pStyle w:val="Tabletext"/>
            </w:pPr>
            <w:r w:rsidRPr="00863D9F">
              <w:t>Total = (5,300,000 X (7.67 + 2.76))</w:t>
            </w:r>
          </w:p>
        </w:tc>
        <w:tc>
          <w:tcPr>
            <w:tcW w:w="2789" w:type="dxa"/>
            <w:shd w:val="clear" w:color="auto" w:fill="FEF1F0"/>
          </w:tcPr>
          <w:p w14:paraId="1ACF14CE" w14:textId="77777777" w:rsidR="00767472" w:rsidRPr="00863D9F" w:rsidRDefault="00767472" w:rsidP="005E380D">
            <w:pPr>
              <w:pStyle w:val="Tabletext"/>
            </w:pPr>
            <w:r w:rsidRPr="00863D9F">
              <w:rPr>
                <w:b/>
                <w:bCs/>
              </w:rPr>
              <w:t>$55,279,000 per year</w:t>
            </w:r>
          </w:p>
        </w:tc>
      </w:tr>
    </w:tbl>
    <w:p w14:paraId="4B66B312" w14:textId="77777777" w:rsidR="00767472" w:rsidRPr="00863D9F" w:rsidRDefault="00767472" w:rsidP="00767472">
      <w:r w:rsidRPr="00863D9F">
        <w:t>Table 6 outlines the 5-year projection of estimated and accumulated costs based on the projected population.</w:t>
      </w:r>
      <w:r w:rsidRPr="00863D9F">
        <w:rPr>
          <w:rStyle w:val="FootnoteReference"/>
        </w:rPr>
        <w:footnoteReference w:id="27"/>
      </w:r>
      <w:r w:rsidRPr="00863D9F">
        <w:t xml:space="preserve"> </w:t>
      </w:r>
    </w:p>
    <w:p w14:paraId="52C5913A" w14:textId="01002371" w:rsidR="00767472" w:rsidRPr="00E27635" w:rsidRDefault="00767472" w:rsidP="00F94148">
      <w:pPr>
        <w:pStyle w:val="Tabletitle"/>
      </w:pPr>
      <w:r w:rsidRPr="00E27635">
        <w:t>Table 6: 5-year projection of costs and fatalities with no regulation</w:t>
      </w:r>
    </w:p>
    <w:tbl>
      <w:tblPr>
        <w:tblStyle w:val="ACCCTable1"/>
        <w:tblW w:w="0" w:type="auto"/>
        <w:tblBorders>
          <w:top w:val="single" w:sz="8" w:space="0" w:color="D5D6D2" w:themeColor="background2"/>
          <w:left w:val="single" w:sz="8" w:space="0" w:color="D5D6D2" w:themeColor="background2"/>
          <w:bottom w:val="single" w:sz="8" w:space="0" w:color="D5D6D2" w:themeColor="background2"/>
          <w:right w:val="single" w:sz="8" w:space="0" w:color="D5D6D2" w:themeColor="background2"/>
          <w:insideH w:val="single" w:sz="8" w:space="0" w:color="D5D6D2" w:themeColor="background2"/>
          <w:insideV w:val="single" w:sz="8" w:space="0" w:color="D5D6D2" w:themeColor="background2"/>
        </w:tblBorders>
        <w:tblLook w:val="04A0" w:firstRow="1" w:lastRow="0" w:firstColumn="1" w:lastColumn="0" w:noHBand="0" w:noVBand="1"/>
      </w:tblPr>
      <w:tblGrid>
        <w:gridCol w:w="967"/>
        <w:gridCol w:w="1403"/>
        <w:gridCol w:w="1448"/>
        <w:gridCol w:w="1479"/>
        <w:gridCol w:w="1676"/>
        <w:gridCol w:w="2033"/>
      </w:tblGrid>
      <w:tr w:rsidR="00767472" w:rsidRPr="00863D9F" w14:paraId="1A763F48" w14:textId="77777777" w:rsidTr="00CF3D80">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6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0613CEF" w14:textId="77777777" w:rsidR="00767472" w:rsidRPr="00863D9F" w:rsidRDefault="00767472" w:rsidP="005E380D">
            <w:pPr>
              <w:rPr>
                <w:bCs/>
              </w:rPr>
            </w:pPr>
            <w:r w:rsidRPr="00863D9F">
              <w:rPr>
                <w:bCs/>
              </w:rPr>
              <w:t>Year</w:t>
            </w:r>
          </w:p>
        </w:tc>
        <w:tc>
          <w:tcPr>
            <w:tcW w:w="1403"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2D6B4EA7"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bCs/>
              </w:rPr>
            </w:pPr>
            <w:r w:rsidRPr="00863D9F">
              <w:rPr>
                <w:bCs/>
              </w:rPr>
              <w:t>Projected population</w:t>
            </w:r>
          </w:p>
        </w:tc>
        <w:tc>
          <w:tcPr>
            <w:tcW w:w="1448"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8B52E7F"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bCs/>
              </w:rPr>
            </w:pPr>
            <w:r w:rsidRPr="00863D9F">
              <w:rPr>
                <w:bCs/>
              </w:rPr>
              <w:t>Fatalities per 100,000</w:t>
            </w:r>
          </w:p>
        </w:tc>
        <w:tc>
          <w:tcPr>
            <w:tcW w:w="147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29C56720"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bCs/>
              </w:rPr>
            </w:pPr>
            <w:r w:rsidRPr="00863D9F">
              <w:rPr>
                <w:bCs/>
              </w:rPr>
              <w:t xml:space="preserve">Forecast fatalities </w:t>
            </w:r>
          </w:p>
        </w:tc>
        <w:tc>
          <w:tcPr>
            <w:tcW w:w="1676"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1511F7D1"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bCs/>
              </w:rPr>
            </w:pPr>
            <w:r w:rsidRPr="00863D9F">
              <w:rPr>
                <w:bCs/>
              </w:rPr>
              <w:t>Estimated net cost</w:t>
            </w:r>
          </w:p>
        </w:tc>
        <w:tc>
          <w:tcPr>
            <w:tcW w:w="2033"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D5CC173"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bCs/>
              </w:rPr>
            </w:pPr>
            <w:r w:rsidRPr="00863D9F">
              <w:rPr>
                <w:bCs/>
              </w:rPr>
              <w:t>Accumulative costs over 5 years</w:t>
            </w:r>
          </w:p>
        </w:tc>
      </w:tr>
      <w:tr w:rsidR="00767472" w:rsidRPr="00863D9F" w14:paraId="299A3E86" w14:textId="77777777" w:rsidTr="00255653">
        <w:trPr>
          <w:trHeight w:val="28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5667337" w14:textId="77777777" w:rsidR="00767472" w:rsidRPr="00863D9F" w:rsidRDefault="00767472" w:rsidP="008A41D7">
            <w:pPr>
              <w:rPr>
                <w:b w:val="0"/>
                <w:bCs/>
              </w:rPr>
            </w:pPr>
            <w:r w:rsidRPr="00863D9F">
              <w:rPr>
                <w:b w:val="0"/>
                <w:bCs/>
              </w:rPr>
              <w:t>2025</w:t>
            </w:r>
          </w:p>
        </w:tc>
        <w:tc>
          <w:tcPr>
            <w:tcW w:w="0" w:type="dxa"/>
            <w:vAlign w:val="center"/>
            <w:hideMark/>
          </w:tcPr>
          <w:p w14:paraId="065ED874"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t>28,311,405</w:t>
            </w:r>
          </w:p>
        </w:tc>
        <w:tc>
          <w:tcPr>
            <w:tcW w:w="0" w:type="dxa"/>
            <w:vAlign w:val="center"/>
            <w:hideMark/>
          </w:tcPr>
          <w:p w14:paraId="7FA29AF3"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color w:val="000000"/>
                <w:szCs w:val="20"/>
              </w:rPr>
              <w:t>0.0388</w:t>
            </w:r>
          </w:p>
        </w:tc>
        <w:tc>
          <w:tcPr>
            <w:tcW w:w="0" w:type="dxa"/>
            <w:vAlign w:val="center"/>
            <w:hideMark/>
          </w:tcPr>
          <w:p w14:paraId="1C1F610E"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color w:val="000000"/>
                <w:szCs w:val="20"/>
              </w:rPr>
              <w:t>10.99</w:t>
            </w:r>
          </w:p>
        </w:tc>
        <w:tc>
          <w:tcPr>
            <w:tcW w:w="0" w:type="dxa"/>
            <w:vAlign w:val="center"/>
            <w:hideMark/>
          </w:tcPr>
          <w:p w14:paraId="7ADB0477"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color w:val="000000"/>
                <w:szCs w:val="20"/>
              </w:rPr>
              <w:t xml:space="preserve">$58,235,813 </w:t>
            </w:r>
          </w:p>
        </w:tc>
        <w:tc>
          <w:tcPr>
            <w:tcW w:w="0" w:type="dxa"/>
            <w:vAlign w:val="center"/>
            <w:hideMark/>
          </w:tcPr>
          <w:p w14:paraId="3F4733C7"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color w:val="000000"/>
                <w:szCs w:val="20"/>
              </w:rPr>
            </w:pPr>
            <w:r w:rsidRPr="00863D9F">
              <w:rPr>
                <w:color w:val="000000"/>
                <w:szCs w:val="20"/>
              </w:rPr>
              <w:t xml:space="preserve">$58,235,813 </w:t>
            </w:r>
          </w:p>
        </w:tc>
      </w:tr>
      <w:tr w:rsidR="00767472" w:rsidRPr="00863D9F" w14:paraId="6DAC8994" w14:textId="77777777" w:rsidTr="00255653">
        <w:trPr>
          <w:trHeight w:val="28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D5D5D5E" w14:textId="77777777" w:rsidR="00767472" w:rsidRPr="00863D9F" w:rsidRDefault="00767472" w:rsidP="008A41D7">
            <w:pPr>
              <w:rPr>
                <w:b w:val="0"/>
                <w:bCs/>
              </w:rPr>
            </w:pPr>
            <w:r w:rsidRPr="00863D9F">
              <w:rPr>
                <w:b w:val="0"/>
                <w:bCs/>
              </w:rPr>
              <w:t>2026</w:t>
            </w:r>
          </w:p>
        </w:tc>
        <w:tc>
          <w:tcPr>
            <w:tcW w:w="0" w:type="dxa"/>
            <w:vAlign w:val="center"/>
            <w:hideMark/>
          </w:tcPr>
          <w:p w14:paraId="21D3ABF4"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t>28,796,151</w:t>
            </w:r>
          </w:p>
        </w:tc>
        <w:tc>
          <w:tcPr>
            <w:tcW w:w="0" w:type="dxa"/>
            <w:vAlign w:val="center"/>
            <w:hideMark/>
          </w:tcPr>
          <w:p w14:paraId="50786A16"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color w:val="000000"/>
                <w:szCs w:val="20"/>
              </w:rPr>
              <w:t>0.0388</w:t>
            </w:r>
          </w:p>
        </w:tc>
        <w:tc>
          <w:tcPr>
            <w:tcW w:w="0" w:type="dxa"/>
            <w:vAlign w:val="center"/>
            <w:hideMark/>
          </w:tcPr>
          <w:p w14:paraId="368A9B8B"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rFonts w:cs="Arial"/>
                <w:color w:val="000000"/>
                <w:szCs w:val="20"/>
              </w:rPr>
              <w:t>11.18</w:t>
            </w:r>
          </w:p>
        </w:tc>
        <w:tc>
          <w:tcPr>
            <w:tcW w:w="0" w:type="dxa"/>
            <w:vAlign w:val="center"/>
            <w:hideMark/>
          </w:tcPr>
          <w:p w14:paraId="7E7DFD42"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rFonts w:cs="Arial"/>
                <w:color w:val="000000"/>
                <w:szCs w:val="20"/>
              </w:rPr>
              <w:t xml:space="preserve">$59,232,923 </w:t>
            </w:r>
          </w:p>
        </w:tc>
        <w:tc>
          <w:tcPr>
            <w:tcW w:w="0" w:type="dxa"/>
            <w:vAlign w:val="center"/>
            <w:hideMark/>
          </w:tcPr>
          <w:p w14:paraId="4269BE0B"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color w:val="000000"/>
                <w:szCs w:val="20"/>
              </w:rPr>
            </w:pPr>
            <w:r w:rsidRPr="00863D9F">
              <w:rPr>
                <w:color w:val="000000"/>
                <w:szCs w:val="20"/>
              </w:rPr>
              <w:t xml:space="preserve">$117,468,736 </w:t>
            </w:r>
          </w:p>
        </w:tc>
      </w:tr>
      <w:tr w:rsidR="00767472" w:rsidRPr="00863D9F" w14:paraId="7073F81D" w14:textId="77777777" w:rsidTr="00255653">
        <w:trPr>
          <w:trHeight w:val="28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0F26EDF3" w14:textId="77777777" w:rsidR="00767472" w:rsidRPr="00863D9F" w:rsidRDefault="00767472" w:rsidP="008A41D7">
            <w:pPr>
              <w:rPr>
                <w:b w:val="0"/>
                <w:bCs/>
              </w:rPr>
            </w:pPr>
            <w:r w:rsidRPr="00863D9F">
              <w:rPr>
                <w:b w:val="0"/>
                <w:bCs/>
              </w:rPr>
              <w:t>2027</w:t>
            </w:r>
          </w:p>
        </w:tc>
        <w:tc>
          <w:tcPr>
            <w:tcW w:w="0" w:type="dxa"/>
            <w:vAlign w:val="center"/>
            <w:hideMark/>
          </w:tcPr>
          <w:p w14:paraId="63834E6E"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t>29,283,507</w:t>
            </w:r>
          </w:p>
        </w:tc>
        <w:tc>
          <w:tcPr>
            <w:tcW w:w="0" w:type="dxa"/>
            <w:vAlign w:val="center"/>
            <w:hideMark/>
          </w:tcPr>
          <w:p w14:paraId="3F64B2EB"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color w:val="000000"/>
                <w:szCs w:val="20"/>
              </w:rPr>
              <w:t>0.0388</w:t>
            </w:r>
          </w:p>
        </w:tc>
        <w:tc>
          <w:tcPr>
            <w:tcW w:w="0" w:type="dxa"/>
            <w:vAlign w:val="center"/>
            <w:hideMark/>
          </w:tcPr>
          <w:p w14:paraId="1530BCDD"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rFonts w:cs="Arial"/>
                <w:color w:val="000000"/>
                <w:szCs w:val="20"/>
              </w:rPr>
              <w:t>11.37</w:t>
            </w:r>
          </w:p>
        </w:tc>
        <w:tc>
          <w:tcPr>
            <w:tcW w:w="0" w:type="dxa"/>
            <w:vAlign w:val="center"/>
            <w:hideMark/>
          </w:tcPr>
          <w:p w14:paraId="09CA1573"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rFonts w:cs="Arial"/>
                <w:color w:val="000000"/>
                <w:szCs w:val="20"/>
              </w:rPr>
              <w:t xml:space="preserve">$60,235,401 </w:t>
            </w:r>
          </w:p>
        </w:tc>
        <w:tc>
          <w:tcPr>
            <w:tcW w:w="0" w:type="dxa"/>
            <w:vAlign w:val="center"/>
            <w:hideMark/>
          </w:tcPr>
          <w:p w14:paraId="28A581DE"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color w:val="000000"/>
                <w:szCs w:val="20"/>
              </w:rPr>
            </w:pPr>
            <w:r w:rsidRPr="00863D9F">
              <w:rPr>
                <w:color w:val="000000"/>
                <w:szCs w:val="20"/>
              </w:rPr>
              <w:t xml:space="preserve">$177,704,137 </w:t>
            </w:r>
          </w:p>
        </w:tc>
      </w:tr>
      <w:tr w:rsidR="00767472" w:rsidRPr="00863D9F" w14:paraId="38343F07" w14:textId="77777777" w:rsidTr="00255653">
        <w:trPr>
          <w:trHeight w:val="28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C0261E7" w14:textId="77777777" w:rsidR="00767472" w:rsidRPr="00863D9F" w:rsidRDefault="00767472" w:rsidP="008A41D7">
            <w:pPr>
              <w:rPr>
                <w:b w:val="0"/>
                <w:bCs/>
              </w:rPr>
            </w:pPr>
            <w:r w:rsidRPr="00863D9F">
              <w:rPr>
                <w:b w:val="0"/>
                <w:bCs/>
              </w:rPr>
              <w:t>2028</w:t>
            </w:r>
          </w:p>
        </w:tc>
        <w:tc>
          <w:tcPr>
            <w:tcW w:w="0" w:type="dxa"/>
            <w:vAlign w:val="center"/>
            <w:hideMark/>
          </w:tcPr>
          <w:p w14:paraId="7272AE03"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t>29,773,492</w:t>
            </w:r>
          </w:p>
        </w:tc>
        <w:tc>
          <w:tcPr>
            <w:tcW w:w="0" w:type="dxa"/>
            <w:vAlign w:val="center"/>
            <w:hideMark/>
          </w:tcPr>
          <w:p w14:paraId="348A93CA"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color w:val="000000"/>
                <w:szCs w:val="20"/>
              </w:rPr>
              <w:t>0.0388</w:t>
            </w:r>
          </w:p>
        </w:tc>
        <w:tc>
          <w:tcPr>
            <w:tcW w:w="0" w:type="dxa"/>
            <w:vAlign w:val="center"/>
            <w:hideMark/>
          </w:tcPr>
          <w:p w14:paraId="43547909"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rFonts w:cs="Arial"/>
                <w:color w:val="000000"/>
                <w:szCs w:val="20"/>
              </w:rPr>
              <w:t>11.56</w:t>
            </w:r>
          </w:p>
        </w:tc>
        <w:tc>
          <w:tcPr>
            <w:tcW w:w="0" w:type="dxa"/>
            <w:vAlign w:val="center"/>
            <w:hideMark/>
          </w:tcPr>
          <w:p w14:paraId="1AB42125"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rFonts w:cs="Arial"/>
                <w:color w:val="000000"/>
                <w:szCs w:val="20"/>
              </w:rPr>
              <w:t xml:space="preserve">$61,243,288 </w:t>
            </w:r>
          </w:p>
        </w:tc>
        <w:tc>
          <w:tcPr>
            <w:tcW w:w="0" w:type="dxa"/>
            <w:vAlign w:val="center"/>
            <w:hideMark/>
          </w:tcPr>
          <w:p w14:paraId="0B6837E0"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color w:val="000000"/>
                <w:szCs w:val="20"/>
              </w:rPr>
            </w:pPr>
            <w:r w:rsidRPr="00863D9F">
              <w:rPr>
                <w:color w:val="000000"/>
                <w:szCs w:val="20"/>
              </w:rPr>
              <w:t xml:space="preserve">$238,947,425 </w:t>
            </w:r>
          </w:p>
        </w:tc>
      </w:tr>
      <w:tr w:rsidR="00767472" w:rsidRPr="00863D9F" w14:paraId="33414223" w14:textId="77777777" w:rsidTr="00255653">
        <w:trPr>
          <w:trHeight w:val="28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762C14A" w14:textId="77777777" w:rsidR="00767472" w:rsidRPr="00863D9F" w:rsidRDefault="00767472" w:rsidP="008A41D7">
            <w:pPr>
              <w:rPr>
                <w:b w:val="0"/>
                <w:bCs/>
              </w:rPr>
            </w:pPr>
            <w:r w:rsidRPr="00863D9F">
              <w:rPr>
                <w:b w:val="0"/>
                <w:bCs/>
              </w:rPr>
              <w:t xml:space="preserve">2029 </w:t>
            </w:r>
          </w:p>
        </w:tc>
        <w:tc>
          <w:tcPr>
            <w:tcW w:w="0" w:type="dxa"/>
            <w:vAlign w:val="center"/>
            <w:hideMark/>
          </w:tcPr>
          <w:p w14:paraId="329E143E"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t>30,264,147</w:t>
            </w:r>
          </w:p>
        </w:tc>
        <w:tc>
          <w:tcPr>
            <w:tcW w:w="0" w:type="dxa"/>
            <w:vAlign w:val="center"/>
            <w:hideMark/>
          </w:tcPr>
          <w:p w14:paraId="757B58A0"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color w:val="000000"/>
                <w:szCs w:val="20"/>
              </w:rPr>
              <w:t>0.0388</w:t>
            </w:r>
          </w:p>
        </w:tc>
        <w:tc>
          <w:tcPr>
            <w:tcW w:w="0" w:type="dxa"/>
            <w:vAlign w:val="center"/>
            <w:hideMark/>
          </w:tcPr>
          <w:p w14:paraId="1803E49E"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rFonts w:cs="Arial"/>
                <w:color w:val="000000"/>
                <w:szCs w:val="20"/>
              </w:rPr>
              <w:t>11.75</w:t>
            </w:r>
          </w:p>
        </w:tc>
        <w:tc>
          <w:tcPr>
            <w:tcW w:w="0" w:type="dxa"/>
            <w:vAlign w:val="center"/>
            <w:hideMark/>
          </w:tcPr>
          <w:p w14:paraId="686649DA"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pPr>
            <w:r w:rsidRPr="00863D9F">
              <w:rPr>
                <w:rFonts w:cs="Arial"/>
                <w:color w:val="000000"/>
                <w:szCs w:val="20"/>
              </w:rPr>
              <w:t xml:space="preserve">$62,252,552 </w:t>
            </w:r>
          </w:p>
        </w:tc>
        <w:tc>
          <w:tcPr>
            <w:tcW w:w="0" w:type="dxa"/>
            <w:vAlign w:val="center"/>
            <w:hideMark/>
          </w:tcPr>
          <w:p w14:paraId="372C22D6" w14:textId="77777777" w:rsidR="00767472" w:rsidRPr="00863D9F" w:rsidRDefault="00767472" w:rsidP="00255653">
            <w:pPr>
              <w:jc w:val="right"/>
              <w:cnfStyle w:val="000000000000" w:firstRow="0" w:lastRow="0" w:firstColumn="0" w:lastColumn="0" w:oddVBand="0" w:evenVBand="0" w:oddHBand="0" w:evenHBand="0" w:firstRowFirstColumn="0" w:firstRowLastColumn="0" w:lastRowFirstColumn="0" w:lastRowLastColumn="0"/>
              <w:rPr>
                <w:color w:val="000000"/>
                <w:szCs w:val="20"/>
              </w:rPr>
            </w:pPr>
            <w:r w:rsidRPr="00863D9F">
              <w:rPr>
                <w:color w:val="000000"/>
                <w:szCs w:val="20"/>
              </w:rPr>
              <w:t xml:space="preserve">$301,199,977 </w:t>
            </w:r>
          </w:p>
        </w:tc>
      </w:tr>
    </w:tbl>
    <w:p w14:paraId="69D27147" w14:textId="4C4009EA" w:rsidR="00110AEA" w:rsidRPr="00110AEA" w:rsidRDefault="00767472" w:rsidP="00110AEA">
      <w:r w:rsidRPr="00863D9F">
        <w:t xml:space="preserve">If no action occurs, based on the fatalities forecasted outlined in Table 6, a total of 78 fatalities is predicted to occur between 2023 and 2029, estimated to cost over $300 million. </w:t>
      </w:r>
    </w:p>
    <w:p w14:paraId="46F728E4" w14:textId="77777777" w:rsidR="00767472" w:rsidRPr="00AF6307" w:rsidRDefault="00767472" w:rsidP="00D21B3B">
      <w:pPr>
        <w:pStyle w:val="Numbered111"/>
        <w:rPr>
          <w:sz w:val="28"/>
          <w:szCs w:val="28"/>
        </w:rPr>
      </w:pPr>
      <w:bookmarkStart w:id="64" w:name="_Toc139452467"/>
      <w:bookmarkStart w:id="65" w:name="_Toc140065188"/>
      <w:r w:rsidRPr="00AF6307">
        <w:rPr>
          <w:sz w:val="28"/>
          <w:szCs w:val="28"/>
        </w:rPr>
        <w:t>Benefits</w:t>
      </w:r>
      <w:bookmarkEnd w:id="64"/>
      <w:bookmarkEnd w:id="65"/>
    </w:p>
    <w:p w14:paraId="12E89630" w14:textId="77777777" w:rsidR="00767472" w:rsidRPr="00863D9F" w:rsidRDefault="00767472" w:rsidP="00767472">
      <w:r w:rsidRPr="00863D9F">
        <w:t xml:space="preserve">No additional regulatory costs would be imposed on industry, therefore, the level of compliance and testing costs to industry will remain the same. </w:t>
      </w:r>
    </w:p>
    <w:p w14:paraId="7FD65D5D" w14:textId="77777777" w:rsidR="00767472" w:rsidRPr="00863D9F" w:rsidRDefault="00767472" w:rsidP="00767472">
      <w:r w:rsidRPr="00863D9F">
        <w:t>The industry will remain at its current levels of activity, with the level of sales remaining the same.</w:t>
      </w:r>
    </w:p>
    <w:p w14:paraId="5DC8C640" w14:textId="77777777" w:rsidR="00767472" w:rsidRPr="00AF6307" w:rsidRDefault="00767472" w:rsidP="00D21B3B">
      <w:pPr>
        <w:pStyle w:val="Numbered11"/>
        <w:rPr>
          <w:rFonts w:ascii="Roboto" w:hAnsi="Roboto"/>
          <w:sz w:val="32"/>
          <w:szCs w:val="32"/>
        </w:rPr>
      </w:pPr>
      <w:bookmarkStart w:id="66" w:name="_Toc139452468"/>
      <w:bookmarkStart w:id="67" w:name="_Toc140065189"/>
      <w:r w:rsidRPr="00AF6307">
        <w:rPr>
          <w:rFonts w:ascii="Roboto" w:hAnsi="Roboto"/>
          <w:sz w:val="32"/>
          <w:szCs w:val="32"/>
        </w:rPr>
        <w:t>Option 2– Update the current mandatory standards for household and folding cots</w:t>
      </w:r>
      <w:bookmarkEnd w:id="66"/>
      <w:bookmarkEnd w:id="67"/>
    </w:p>
    <w:p w14:paraId="7A6A5CB0" w14:textId="77777777" w:rsidR="00767472" w:rsidRPr="00863D9F" w:rsidRDefault="00767472" w:rsidP="00767472">
      <w:r w:rsidRPr="00863D9F">
        <w:t>The current Household Cots Mandatory Standard and Folding Cots Mandatory Standard would be updated to reflect the most recent Australian and overseas voluntary standards. The additional requirements will address design, stability, strength and drop side strength. Certain stakeholder responses have supported updates to these standards.</w:t>
      </w:r>
    </w:p>
    <w:p w14:paraId="5D72CB2A" w14:textId="77777777" w:rsidR="00767472" w:rsidRPr="00AF6307" w:rsidRDefault="00767472" w:rsidP="00D21B3B">
      <w:pPr>
        <w:pStyle w:val="Numbered111"/>
        <w:rPr>
          <w:sz w:val="28"/>
          <w:szCs w:val="28"/>
        </w:rPr>
      </w:pPr>
      <w:bookmarkStart w:id="68" w:name="_Toc139452469"/>
      <w:bookmarkStart w:id="69" w:name="_Toc140065190"/>
      <w:r w:rsidRPr="00AF6307">
        <w:rPr>
          <w:sz w:val="28"/>
          <w:szCs w:val="28"/>
        </w:rPr>
        <w:t>Costs</w:t>
      </w:r>
      <w:bookmarkEnd w:id="68"/>
      <w:bookmarkEnd w:id="69"/>
      <w:r w:rsidRPr="00AF6307">
        <w:rPr>
          <w:sz w:val="28"/>
          <w:szCs w:val="28"/>
        </w:rPr>
        <w:t xml:space="preserve"> </w:t>
      </w:r>
    </w:p>
    <w:p w14:paraId="17E8F495" w14:textId="77777777" w:rsidR="00767472" w:rsidRPr="00863D9F" w:rsidRDefault="00767472" w:rsidP="00767472">
      <w:r w:rsidRPr="00863D9F">
        <w:t>Stakeholders advised the costs of this option are expected to be minimal because industry is already required to meet design and labelling requirements of the Household Cots Mandatory Standard and Folding Cots Mandatory Standard.</w:t>
      </w:r>
    </w:p>
    <w:p w14:paraId="5EFBC84D" w14:textId="77777777" w:rsidR="00767472" w:rsidRPr="00AF6307" w:rsidRDefault="00767472" w:rsidP="00D21B3B">
      <w:pPr>
        <w:pStyle w:val="Numbered111"/>
        <w:rPr>
          <w:sz w:val="28"/>
          <w:szCs w:val="28"/>
        </w:rPr>
      </w:pPr>
      <w:bookmarkStart w:id="70" w:name="_Toc139452470"/>
      <w:bookmarkStart w:id="71" w:name="_Toc140065191"/>
      <w:r w:rsidRPr="00AF6307">
        <w:rPr>
          <w:sz w:val="28"/>
          <w:szCs w:val="28"/>
        </w:rPr>
        <w:t>Benefits</w:t>
      </w:r>
      <w:bookmarkEnd w:id="70"/>
      <w:bookmarkEnd w:id="71"/>
      <w:r w:rsidRPr="00AF6307">
        <w:rPr>
          <w:sz w:val="28"/>
          <w:szCs w:val="28"/>
        </w:rPr>
        <w:t xml:space="preserve"> </w:t>
      </w:r>
    </w:p>
    <w:p w14:paraId="7C401972" w14:textId="77777777" w:rsidR="00767472" w:rsidRPr="00863D9F" w:rsidRDefault="00767472" w:rsidP="00767472">
      <w:r w:rsidRPr="00863D9F">
        <w:t xml:space="preserve">Stakeholders advised they already comply with the updated recent voluntary standards. Therefore, updating the mandatory standards to reflect the current voluntary standards would remove testing duplication and reduce testing and compliance costs (some stakeholders have advised they test compliance with both the mandatory safety standard and the updated voluntary standards). </w:t>
      </w:r>
    </w:p>
    <w:p w14:paraId="421D24B2" w14:textId="77777777" w:rsidR="00767472" w:rsidRPr="00AF6307" w:rsidRDefault="00767472" w:rsidP="00D21B3B">
      <w:pPr>
        <w:pStyle w:val="Numbered11"/>
        <w:rPr>
          <w:rFonts w:ascii="Roboto" w:hAnsi="Roboto"/>
          <w:sz w:val="32"/>
          <w:szCs w:val="32"/>
        </w:rPr>
      </w:pPr>
      <w:bookmarkStart w:id="72" w:name="_Toc139452471"/>
      <w:bookmarkStart w:id="73" w:name="_Toc140065192"/>
      <w:bookmarkStart w:id="74" w:name="_Hlk135823819"/>
      <w:r w:rsidRPr="00AF6307">
        <w:rPr>
          <w:rFonts w:ascii="Roboto" w:hAnsi="Roboto"/>
          <w:sz w:val="32"/>
          <w:szCs w:val="32"/>
        </w:rPr>
        <w:t>Option 3– Mandatory information standard for Infant Sleep Products and Inclined Non-Sleep Products</w:t>
      </w:r>
      <w:bookmarkEnd w:id="72"/>
      <w:bookmarkEnd w:id="73"/>
      <w:r w:rsidRPr="00AF6307">
        <w:rPr>
          <w:rFonts w:ascii="Roboto" w:hAnsi="Roboto"/>
          <w:sz w:val="32"/>
          <w:szCs w:val="32"/>
        </w:rPr>
        <w:t xml:space="preserve"> </w:t>
      </w:r>
    </w:p>
    <w:p w14:paraId="7315AB49" w14:textId="77777777" w:rsidR="00767472" w:rsidRPr="00AF6307" w:rsidRDefault="00767472" w:rsidP="00D21B3B">
      <w:pPr>
        <w:pStyle w:val="Numbered111"/>
        <w:rPr>
          <w:sz w:val="28"/>
          <w:szCs w:val="28"/>
        </w:rPr>
      </w:pPr>
      <w:bookmarkStart w:id="75" w:name="_Toc139452472"/>
      <w:bookmarkStart w:id="76" w:name="_Toc140065193"/>
      <w:r w:rsidRPr="00AF6307">
        <w:rPr>
          <w:sz w:val="28"/>
          <w:szCs w:val="28"/>
        </w:rPr>
        <w:t>Costs</w:t>
      </w:r>
      <w:bookmarkEnd w:id="75"/>
      <w:bookmarkEnd w:id="76"/>
    </w:p>
    <w:p w14:paraId="2AC2F773" w14:textId="7D5C5939" w:rsidR="00E27635" w:rsidRDefault="00767472" w:rsidP="00F94148">
      <w:pPr>
        <w:spacing w:after="240"/>
      </w:pPr>
      <w:r w:rsidRPr="00863D9F">
        <w:t xml:space="preserve">If a mandatory information standard was to be implemented, industry would face costs relating to product warnings, packaging changes and instruction manual changes, in addition to ongoing internal administration cost verifying compliance. Table 7 shows the total estimated costs based on information provided by industry. </w:t>
      </w:r>
    </w:p>
    <w:p w14:paraId="516A9363" w14:textId="77777777" w:rsidR="00E27635" w:rsidRDefault="00E27635" w:rsidP="00E27635">
      <w:pPr>
        <w:pStyle w:val="Tabletitle"/>
      </w:pPr>
      <w:r>
        <w:br w:type="page"/>
      </w:r>
    </w:p>
    <w:p w14:paraId="6DB7C0D1" w14:textId="3EB56EDB" w:rsidR="00767472" w:rsidRPr="00863D9F" w:rsidRDefault="00767472" w:rsidP="00F94148">
      <w:pPr>
        <w:pStyle w:val="Tabletitle"/>
      </w:pPr>
      <w:r w:rsidRPr="00863D9F">
        <w:t xml:space="preserve">Table 7: Estimated costs of a mandatory information standard  </w:t>
      </w:r>
    </w:p>
    <w:tbl>
      <w:tblPr>
        <w:tblStyle w:val="TableGrid"/>
        <w:tblW w:w="0" w:type="auto"/>
        <w:tblLook w:val="0400" w:firstRow="0" w:lastRow="0" w:firstColumn="0" w:lastColumn="0" w:noHBand="0" w:noVBand="1"/>
      </w:tblPr>
      <w:tblGrid>
        <w:gridCol w:w="4678"/>
        <w:gridCol w:w="4348"/>
      </w:tblGrid>
      <w:tr w:rsidR="00767472" w:rsidRPr="00863D9F" w14:paraId="6A99A59E" w14:textId="77777777" w:rsidTr="005E380D">
        <w:tc>
          <w:tcPr>
            <w:tcW w:w="4678" w:type="dxa"/>
          </w:tcPr>
          <w:p w14:paraId="3D6CF548" w14:textId="77777777" w:rsidR="00767472" w:rsidRPr="00863D9F" w:rsidRDefault="00767472" w:rsidP="00F94148">
            <w:pPr>
              <w:pStyle w:val="Tabletext"/>
              <w:keepNext/>
              <w:keepLines/>
            </w:pPr>
            <w:r w:rsidRPr="00863D9F">
              <w:t>Cost of product warning label</w:t>
            </w:r>
          </w:p>
        </w:tc>
        <w:tc>
          <w:tcPr>
            <w:tcW w:w="4348" w:type="dxa"/>
          </w:tcPr>
          <w:p w14:paraId="180A9F9A" w14:textId="77777777" w:rsidR="00767472" w:rsidRPr="00863D9F" w:rsidRDefault="00767472" w:rsidP="00F94148">
            <w:pPr>
              <w:pStyle w:val="Tabletext"/>
              <w:keepNext/>
              <w:keepLines/>
            </w:pPr>
            <w:r w:rsidRPr="00863D9F">
              <w:t>$0.20 - $1.00 per unit</w:t>
            </w:r>
          </w:p>
        </w:tc>
      </w:tr>
      <w:tr w:rsidR="00767472" w:rsidRPr="00863D9F" w14:paraId="338B0951" w14:textId="77777777" w:rsidTr="005E380D">
        <w:tc>
          <w:tcPr>
            <w:tcW w:w="4678" w:type="dxa"/>
          </w:tcPr>
          <w:p w14:paraId="237393F7" w14:textId="77777777" w:rsidR="00767472" w:rsidRPr="00863D9F" w:rsidRDefault="00767472" w:rsidP="00F94148">
            <w:pPr>
              <w:pStyle w:val="Tabletext"/>
              <w:keepNext/>
              <w:keepLines/>
            </w:pPr>
            <w:r w:rsidRPr="00863D9F">
              <w:t>Cost to include warnings on product packaging</w:t>
            </w:r>
          </w:p>
        </w:tc>
        <w:tc>
          <w:tcPr>
            <w:tcW w:w="4348" w:type="dxa"/>
          </w:tcPr>
          <w:p w14:paraId="24001DFC" w14:textId="77777777" w:rsidR="00767472" w:rsidRPr="00863D9F" w:rsidRDefault="00767472" w:rsidP="00F94148">
            <w:pPr>
              <w:pStyle w:val="Tabletext"/>
              <w:keepNext/>
              <w:keepLines/>
            </w:pPr>
            <w:r w:rsidRPr="00863D9F">
              <w:t>$0.05 - $0.10 per unit</w:t>
            </w:r>
          </w:p>
        </w:tc>
      </w:tr>
      <w:tr w:rsidR="00767472" w:rsidRPr="00863D9F" w14:paraId="55D1C4EF" w14:textId="77777777" w:rsidTr="005E380D">
        <w:tc>
          <w:tcPr>
            <w:tcW w:w="4678" w:type="dxa"/>
          </w:tcPr>
          <w:p w14:paraId="77F127D0" w14:textId="77777777" w:rsidR="00767472" w:rsidRPr="00863D9F" w:rsidRDefault="00767472" w:rsidP="00F94148">
            <w:pPr>
              <w:pStyle w:val="Tabletext"/>
              <w:keepNext/>
              <w:keepLines/>
            </w:pPr>
            <w:r w:rsidRPr="00863D9F">
              <w:t>Cost to include warnings in the instruction manual</w:t>
            </w:r>
          </w:p>
        </w:tc>
        <w:tc>
          <w:tcPr>
            <w:tcW w:w="4348" w:type="dxa"/>
          </w:tcPr>
          <w:p w14:paraId="79914A06" w14:textId="77777777" w:rsidR="00767472" w:rsidRPr="00863D9F" w:rsidRDefault="00767472" w:rsidP="00F94148">
            <w:pPr>
              <w:pStyle w:val="Tabletext"/>
              <w:keepNext/>
              <w:keepLines/>
            </w:pPr>
            <w:r w:rsidRPr="00863D9F">
              <w:t>$0.05 - $0.10 per unit</w:t>
            </w:r>
          </w:p>
        </w:tc>
      </w:tr>
      <w:tr w:rsidR="00767472" w:rsidRPr="00863D9F" w14:paraId="7F28B613" w14:textId="77777777" w:rsidTr="005E380D">
        <w:tc>
          <w:tcPr>
            <w:tcW w:w="4678" w:type="dxa"/>
          </w:tcPr>
          <w:p w14:paraId="6B7CEF4C" w14:textId="77777777" w:rsidR="00767472" w:rsidRPr="00863D9F" w:rsidRDefault="00767472" w:rsidP="00F94148">
            <w:pPr>
              <w:pStyle w:val="Tabletext"/>
              <w:keepNext/>
              <w:keepLines/>
            </w:pPr>
            <w:r w:rsidRPr="00863D9F">
              <w:t xml:space="preserve">Cost of internal administration  </w:t>
            </w:r>
          </w:p>
        </w:tc>
        <w:tc>
          <w:tcPr>
            <w:tcW w:w="4348" w:type="dxa"/>
          </w:tcPr>
          <w:p w14:paraId="32F514B8" w14:textId="77777777" w:rsidR="00767472" w:rsidRPr="00863D9F" w:rsidRDefault="00767472" w:rsidP="00F94148">
            <w:pPr>
              <w:pStyle w:val="Tabletext"/>
              <w:keepNext/>
              <w:keepLines/>
            </w:pPr>
            <w:r w:rsidRPr="00863D9F">
              <w:t>$473,200 - $728,000 per year for all suppliers</w:t>
            </w:r>
          </w:p>
        </w:tc>
      </w:tr>
      <w:tr w:rsidR="00767472" w:rsidRPr="00863D9F" w14:paraId="5DBAB55B" w14:textId="77777777" w:rsidTr="005E380D">
        <w:tc>
          <w:tcPr>
            <w:tcW w:w="4678" w:type="dxa"/>
            <w:shd w:val="clear" w:color="auto" w:fill="EDE1FF"/>
          </w:tcPr>
          <w:p w14:paraId="57DDF1EF" w14:textId="77777777" w:rsidR="00767472" w:rsidRPr="00863D9F" w:rsidRDefault="00767472" w:rsidP="00F94148">
            <w:pPr>
              <w:pStyle w:val="Tabletext"/>
              <w:keepNext/>
              <w:keepLines/>
            </w:pPr>
            <w:r w:rsidRPr="00863D9F">
              <w:t>Total estimated costs</w:t>
            </w:r>
          </w:p>
        </w:tc>
        <w:tc>
          <w:tcPr>
            <w:tcW w:w="4348" w:type="dxa"/>
            <w:shd w:val="clear" w:color="auto" w:fill="EDE1FF"/>
          </w:tcPr>
          <w:p w14:paraId="7897418D" w14:textId="77777777" w:rsidR="00767472" w:rsidRPr="00863D9F" w:rsidRDefault="00767472" w:rsidP="00F94148">
            <w:pPr>
              <w:pStyle w:val="Tabletext"/>
              <w:keepNext/>
              <w:keepLines/>
            </w:pPr>
            <w:r w:rsidRPr="00863D9F">
              <w:t>$627,700 - $1,346,000 per year</w:t>
            </w:r>
          </w:p>
        </w:tc>
      </w:tr>
    </w:tbl>
    <w:p w14:paraId="5ECC5D11" w14:textId="77777777" w:rsidR="00767472" w:rsidRPr="00863D9F" w:rsidRDefault="00767472" w:rsidP="00767472">
      <w:r w:rsidRPr="00863D9F">
        <w:t xml:space="preserve">The ACCC projects the total cost to be between the cost ranges estimated by industry. As such, the ACCC estimates the total estimated cost for the mandatory information standard would be </w:t>
      </w:r>
      <w:bookmarkStart w:id="77" w:name="_Hlk135751708"/>
      <w:r w:rsidRPr="00863D9F">
        <w:t>$986,850 per year</w:t>
      </w:r>
      <w:bookmarkEnd w:id="77"/>
      <w:r w:rsidRPr="00863D9F">
        <w:t>.</w:t>
      </w:r>
      <w:r w:rsidRPr="00863D9F">
        <w:rPr>
          <w:rStyle w:val="FootnoteReference"/>
        </w:rPr>
        <w:footnoteReference w:id="28"/>
      </w:r>
      <w:r w:rsidRPr="00863D9F">
        <w:t xml:space="preserve"> The calculations are shown in </w:t>
      </w:r>
      <w:r w:rsidRPr="00863D9F">
        <w:rPr>
          <w:b/>
          <w:bCs/>
        </w:rPr>
        <w:t>Appendix 2</w:t>
      </w:r>
      <w:r w:rsidRPr="00863D9F">
        <w:t xml:space="preserve">. </w:t>
      </w:r>
    </w:p>
    <w:p w14:paraId="611B3C6D" w14:textId="77777777" w:rsidR="00767472" w:rsidRPr="00863D9F" w:rsidRDefault="00767472" w:rsidP="00E27635">
      <w:r w:rsidRPr="00863D9F">
        <w:t>The ACCC considers the mandatory information standard would have an impact on reducing fatalities and the estimated cost of $55,279,000 per year. The ACCC anticipates a reduction of 2 fatalities in the first year following the transition period. Based on the 4-year lifespan of the products and large second-hand market, the ACCC estimates the rate of fatalities will reduce by a quarter each year to match the rate of non-regulated products exiting the second-hand market. Table 8 demonstrates the 5-year projection of fatalities, total costs of regulation, plus total costs to society for continued fatalities and the overall accumulated cost.</w:t>
      </w:r>
      <w:r w:rsidRPr="00863D9F">
        <w:rPr>
          <w:rStyle w:val="FootnoteReference"/>
        </w:rPr>
        <w:footnoteReference w:id="29"/>
      </w:r>
      <w:r w:rsidRPr="00863D9F">
        <w:t xml:space="preserve"> The last row (shaded grey) compares the final net cost and the accumulative cost over 5 years to the costs of Option 1, taking no action (maintaining status quo). A visual comparison of a mandatory information standard compared to no action is illustrated in Figure 13 and 14.</w:t>
      </w:r>
    </w:p>
    <w:p w14:paraId="6CEA06F9" w14:textId="06B7F2E6" w:rsidR="00767472" w:rsidRPr="00863D9F" w:rsidRDefault="00767472" w:rsidP="00F94148">
      <w:pPr>
        <w:pStyle w:val="Tabletitle"/>
      </w:pPr>
      <w:r w:rsidRPr="00863D9F">
        <w:t xml:space="preserve">Table 8: 5-year projection of total costs for a mandatory information standard on industry and society </w:t>
      </w:r>
    </w:p>
    <w:tbl>
      <w:tblPr>
        <w:tblStyle w:val="ACCCTable1"/>
        <w:tblW w:w="0" w:type="auto"/>
        <w:tblBorders>
          <w:top w:val="single" w:sz="8" w:space="0" w:color="D5D6D2" w:themeColor="background2"/>
          <w:left w:val="single" w:sz="8" w:space="0" w:color="D5D6D2" w:themeColor="background2"/>
          <w:bottom w:val="single" w:sz="8" w:space="0" w:color="D5D6D2" w:themeColor="background2"/>
          <w:right w:val="single" w:sz="8" w:space="0" w:color="D5D6D2" w:themeColor="background2"/>
          <w:insideH w:val="single" w:sz="8" w:space="0" w:color="D5D6D2" w:themeColor="background2"/>
          <w:insideV w:val="single" w:sz="8" w:space="0" w:color="D5D6D2" w:themeColor="background2"/>
        </w:tblBorders>
        <w:tblLook w:val="04A0" w:firstRow="1" w:lastRow="0" w:firstColumn="1" w:lastColumn="0" w:noHBand="0" w:noVBand="1"/>
      </w:tblPr>
      <w:tblGrid>
        <w:gridCol w:w="2345"/>
        <w:gridCol w:w="1128"/>
        <w:gridCol w:w="1083"/>
        <w:gridCol w:w="1388"/>
        <w:gridCol w:w="1417"/>
        <w:gridCol w:w="1645"/>
      </w:tblGrid>
      <w:tr w:rsidR="00767472" w:rsidRPr="00863D9F" w14:paraId="4D2763C0" w14:textId="77777777" w:rsidTr="00CF3D80">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345"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91A7571" w14:textId="77777777" w:rsidR="00767472" w:rsidRPr="00863D9F" w:rsidRDefault="00767472" w:rsidP="005E380D">
            <w:pPr>
              <w:rPr>
                <w:bCs/>
              </w:rPr>
            </w:pPr>
            <w:r w:rsidRPr="00863D9F">
              <w:rPr>
                <w:bCs/>
              </w:rPr>
              <w:t>Year</w:t>
            </w:r>
          </w:p>
        </w:tc>
        <w:tc>
          <w:tcPr>
            <w:tcW w:w="1128"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37185AF9"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bCs/>
              </w:rPr>
            </w:pPr>
            <w:r w:rsidRPr="00863D9F">
              <w:rPr>
                <w:bCs/>
              </w:rPr>
              <w:t xml:space="preserve">Fatality reduction </w:t>
            </w:r>
          </w:p>
        </w:tc>
        <w:tc>
          <w:tcPr>
            <w:tcW w:w="1083"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3C66E404"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bCs/>
              </w:rPr>
            </w:pPr>
            <w:r w:rsidRPr="00863D9F">
              <w:rPr>
                <w:bCs/>
              </w:rPr>
              <w:t>Fatalities</w:t>
            </w:r>
            <w:r w:rsidRPr="00863D9F">
              <w:rPr>
                <w:b w:val="0"/>
                <w:bCs/>
              </w:rPr>
              <w:t xml:space="preserve"> </w:t>
            </w:r>
            <w:r w:rsidRPr="00863D9F">
              <w:t>per year</w:t>
            </w:r>
            <w:r w:rsidRPr="00863D9F">
              <w:rPr>
                <w:bCs/>
              </w:rPr>
              <w:t xml:space="preserve"> </w:t>
            </w:r>
          </w:p>
        </w:tc>
        <w:tc>
          <w:tcPr>
            <w:tcW w:w="1388"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24633F6"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bCs/>
              </w:rPr>
            </w:pPr>
            <w:r w:rsidRPr="00863D9F">
              <w:rPr>
                <w:bCs/>
              </w:rPr>
              <w:t xml:space="preserve">Cost of fatalities </w:t>
            </w:r>
          </w:p>
        </w:tc>
        <w:tc>
          <w:tcPr>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A443B48"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bCs/>
              </w:rPr>
            </w:pPr>
            <w:r w:rsidRPr="00863D9F">
              <w:rPr>
                <w:bCs/>
              </w:rPr>
              <w:t>Final net cost</w:t>
            </w:r>
          </w:p>
        </w:tc>
        <w:tc>
          <w:tcPr>
            <w:tcW w:w="1645"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6A32DF8"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bCs/>
              </w:rPr>
            </w:pPr>
            <w:r w:rsidRPr="00863D9F">
              <w:rPr>
                <w:bCs/>
              </w:rPr>
              <w:t>Accumulative costs over 5 years</w:t>
            </w:r>
          </w:p>
        </w:tc>
      </w:tr>
      <w:tr w:rsidR="00767472" w:rsidRPr="00863D9F" w14:paraId="40EB0604" w14:textId="77777777" w:rsidTr="00255653">
        <w:trPr>
          <w:trHeight w:val="285"/>
        </w:trPr>
        <w:tc>
          <w:tcPr>
            <w:cnfStyle w:val="001000000000" w:firstRow="0" w:lastRow="0" w:firstColumn="1" w:lastColumn="0" w:oddVBand="0" w:evenVBand="0" w:oddHBand="0" w:evenHBand="0" w:firstRowFirstColumn="0" w:firstRowLastColumn="0" w:lastRowFirstColumn="0" w:lastRowLastColumn="0"/>
            <w:tcW w:w="0" w:type="dxa"/>
            <w:hideMark/>
          </w:tcPr>
          <w:p w14:paraId="7B2AA2B9" w14:textId="77777777" w:rsidR="00767472" w:rsidRPr="00863D9F" w:rsidRDefault="00767472" w:rsidP="005E380D">
            <w:pPr>
              <w:spacing w:before="0"/>
              <w:rPr>
                <w:rFonts w:eastAsia="Times New Roman" w:cs="Arial"/>
                <w:b w:val="0"/>
                <w:bCs/>
                <w:color w:val="000000"/>
                <w:lang w:eastAsia="en-AU"/>
              </w:rPr>
            </w:pPr>
            <w:r w:rsidRPr="00863D9F">
              <w:rPr>
                <w:rFonts w:eastAsia="Times New Roman" w:cs="Arial"/>
                <w:b w:val="0"/>
                <w:bCs/>
                <w:color w:val="000000"/>
                <w:lang w:eastAsia="en-AU"/>
              </w:rPr>
              <w:t>2025</w:t>
            </w:r>
          </w:p>
        </w:tc>
        <w:tc>
          <w:tcPr>
            <w:tcW w:w="0" w:type="dxa"/>
            <w:vAlign w:val="center"/>
            <w:hideMark/>
          </w:tcPr>
          <w:p w14:paraId="2DB19B94"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eastAsia="Times New Roman" w:cs="Arial"/>
                <w:color w:val="000000"/>
                <w:lang w:eastAsia="en-AU"/>
              </w:rPr>
              <w:t>2</w:t>
            </w:r>
          </w:p>
        </w:tc>
        <w:tc>
          <w:tcPr>
            <w:tcW w:w="0" w:type="dxa"/>
            <w:vAlign w:val="center"/>
            <w:hideMark/>
          </w:tcPr>
          <w:p w14:paraId="11AA46B9"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color w:val="000000"/>
                <w:szCs w:val="20"/>
              </w:rPr>
              <w:t>8.43</w:t>
            </w:r>
          </w:p>
        </w:tc>
        <w:tc>
          <w:tcPr>
            <w:tcW w:w="0" w:type="dxa"/>
            <w:vAlign w:val="center"/>
            <w:hideMark/>
          </w:tcPr>
          <w:p w14:paraId="4C67E566"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color w:val="000000"/>
                <w:szCs w:val="20"/>
              </w:rPr>
              <w:t xml:space="preserve">$44,679,000 </w:t>
            </w:r>
          </w:p>
        </w:tc>
        <w:tc>
          <w:tcPr>
            <w:tcW w:w="0" w:type="dxa"/>
            <w:vAlign w:val="center"/>
            <w:hideMark/>
          </w:tcPr>
          <w:p w14:paraId="48D84AC1"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color w:val="000000"/>
                <w:szCs w:val="20"/>
              </w:rPr>
              <w:t xml:space="preserve">$45,665,850 </w:t>
            </w:r>
          </w:p>
        </w:tc>
        <w:tc>
          <w:tcPr>
            <w:tcW w:w="0" w:type="dxa"/>
            <w:vAlign w:val="center"/>
            <w:hideMark/>
          </w:tcPr>
          <w:p w14:paraId="2CB899A4"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color w:val="000000"/>
                <w:szCs w:val="20"/>
              </w:rPr>
            </w:pPr>
            <w:r w:rsidRPr="00863D9F">
              <w:rPr>
                <w:color w:val="000000"/>
                <w:szCs w:val="20"/>
              </w:rPr>
              <w:t xml:space="preserve">$45,665,850 </w:t>
            </w:r>
          </w:p>
        </w:tc>
      </w:tr>
      <w:tr w:rsidR="00767472" w:rsidRPr="00863D9F" w14:paraId="1E6C9150" w14:textId="77777777" w:rsidTr="00255653">
        <w:trPr>
          <w:trHeight w:val="285"/>
        </w:trPr>
        <w:tc>
          <w:tcPr>
            <w:cnfStyle w:val="001000000000" w:firstRow="0" w:lastRow="0" w:firstColumn="1" w:lastColumn="0" w:oddVBand="0" w:evenVBand="0" w:oddHBand="0" w:evenHBand="0" w:firstRowFirstColumn="0" w:firstRowLastColumn="0" w:lastRowFirstColumn="0" w:lastRowLastColumn="0"/>
            <w:tcW w:w="0" w:type="dxa"/>
            <w:hideMark/>
          </w:tcPr>
          <w:p w14:paraId="13528E57" w14:textId="77777777" w:rsidR="00767472" w:rsidRPr="00863D9F" w:rsidRDefault="00767472" w:rsidP="005E380D">
            <w:pPr>
              <w:spacing w:before="0"/>
              <w:rPr>
                <w:rFonts w:eastAsia="Times New Roman" w:cs="Arial"/>
                <w:b w:val="0"/>
                <w:bCs/>
                <w:color w:val="000000"/>
                <w:lang w:eastAsia="en-AU"/>
              </w:rPr>
            </w:pPr>
            <w:r w:rsidRPr="00863D9F">
              <w:rPr>
                <w:rFonts w:eastAsia="Times New Roman" w:cs="Arial"/>
                <w:b w:val="0"/>
                <w:bCs/>
                <w:color w:val="000000"/>
                <w:lang w:eastAsia="en-AU"/>
              </w:rPr>
              <w:t>2026</w:t>
            </w:r>
          </w:p>
        </w:tc>
        <w:tc>
          <w:tcPr>
            <w:tcW w:w="0" w:type="dxa"/>
            <w:vAlign w:val="center"/>
            <w:hideMark/>
          </w:tcPr>
          <w:p w14:paraId="612B4CA3"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eastAsia="Times New Roman" w:cs="Arial"/>
                <w:color w:val="000000"/>
                <w:lang w:eastAsia="en-AU"/>
              </w:rPr>
              <w:t>2.25</w:t>
            </w:r>
          </w:p>
        </w:tc>
        <w:tc>
          <w:tcPr>
            <w:tcW w:w="0" w:type="dxa"/>
            <w:vAlign w:val="center"/>
            <w:hideMark/>
          </w:tcPr>
          <w:p w14:paraId="5527E96C"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color w:val="000000"/>
                <w:szCs w:val="20"/>
              </w:rPr>
              <w:t>8.18</w:t>
            </w:r>
          </w:p>
        </w:tc>
        <w:tc>
          <w:tcPr>
            <w:tcW w:w="0" w:type="dxa"/>
            <w:vAlign w:val="center"/>
            <w:hideMark/>
          </w:tcPr>
          <w:p w14:paraId="7732B6C3"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$43,354,000 </w:t>
            </w:r>
          </w:p>
        </w:tc>
        <w:tc>
          <w:tcPr>
            <w:tcW w:w="0" w:type="dxa"/>
            <w:vAlign w:val="center"/>
            <w:hideMark/>
          </w:tcPr>
          <w:p w14:paraId="6F9A5192"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$44,340,850 </w:t>
            </w:r>
          </w:p>
        </w:tc>
        <w:tc>
          <w:tcPr>
            <w:tcW w:w="0" w:type="dxa"/>
            <w:vAlign w:val="center"/>
            <w:hideMark/>
          </w:tcPr>
          <w:p w14:paraId="0E383C43"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color w:val="000000"/>
                <w:szCs w:val="20"/>
              </w:rPr>
            </w:pPr>
            <w:r w:rsidRPr="00863D9F">
              <w:rPr>
                <w:color w:val="000000"/>
                <w:szCs w:val="20"/>
              </w:rPr>
              <w:t xml:space="preserve">$90,006,700 </w:t>
            </w:r>
          </w:p>
        </w:tc>
      </w:tr>
      <w:tr w:rsidR="00767472" w:rsidRPr="00863D9F" w14:paraId="0B04469B" w14:textId="77777777" w:rsidTr="00255653">
        <w:trPr>
          <w:trHeight w:val="285"/>
        </w:trPr>
        <w:tc>
          <w:tcPr>
            <w:cnfStyle w:val="001000000000" w:firstRow="0" w:lastRow="0" w:firstColumn="1" w:lastColumn="0" w:oddVBand="0" w:evenVBand="0" w:oddHBand="0" w:evenHBand="0" w:firstRowFirstColumn="0" w:firstRowLastColumn="0" w:lastRowFirstColumn="0" w:lastRowLastColumn="0"/>
            <w:tcW w:w="0" w:type="dxa"/>
            <w:hideMark/>
          </w:tcPr>
          <w:p w14:paraId="460F5BAA" w14:textId="77777777" w:rsidR="00767472" w:rsidRPr="00863D9F" w:rsidRDefault="00767472" w:rsidP="005E380D">
            <w:pPr>
              <w:spacing w:before="0"/>
              <w:rPr>
                <w:rFonts w:eastAsia="Times New Roman" w:cs="Arial"/>
                <w:b w:val="0"/>
                <w:bCs/>
                <w:color w:val="000000"/>
                <w:lang w:eastAsia="en-AU"/>
              </w:rPr>
            </w:pPr>
            <w:r w:rsidRPr="00863D9F">
              <w:rPr>
                <w:rFonts w:eastAsia="Times New Roman" w:cs="Arial"/>
                <w:b w:val="0"/>
                <w:bCs/>
                <w:color w:val="000000"/>
                <w:lang w:eastAsia="en-AU"/>
              </w:rPr>
              <w:t>2027</w:t>
            </w:r>
          </w:p>
        </w:tc>
        <w:tc>
          <w:tcPr>
            <w:tcW w:w="0" w:type="dxa"/>
            <w:vAlign w:val="center"/>
            <w:hideMark/>
          </w:tcPr>
          <w:p w14:paraId="563C6C09"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eastAsia="Times New Roman" w:cs="Arial"/>
                <w:color w:val="000000"/>
                <w:lang w:eastAsia="en-AU"/>
              </w:rPr>
              <w:t>2.5</w:t>
            </w:r>
          </w:p>
        </w:tc>
        <w:tc>
          <w:tcPr>
            <w:tcW w:w="0" w:type="dxa"/>
            <w:vAlign w:val="center"/>
            <w:hideMark/>
          </w:tcPr>
          <w:p w14:paraId="670988F5"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color w:val="000000"/>
                <w:szCs w:val="20"/>
              </w:rPr>
              <w:t>7.93</w:t>
            </w:r>
          </w:p>
        </w:tc>
        <w:tc>
          <w:tcPr>
            <w:tcW w:w="0" w:type="dxa"/>
            <w:vAlign w:val="center"/>
            <w:hideMark/>
          </w:tcPr>
          <w:p w14:paraId="73D80A39"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$42,029,000 </w:t>
            </w:r>
          </w:p>
        </w:tc>
        <w:tc>
          <w:tcPr>
            <w:tcW w:w="0" w:type="dxa"/>
            <w:vAlign w:val="center"/>
            <w:hideMark/>
          </w:tcPr>
          <w:p w14:paraId="420D2A23"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$43,015,850 </w:t>
            </w:r>
          </w:p>
        </w:tc>
        <w:tc>
          <w:tcPr>
            <w:tcW w:w="0" w:type="dxa"/>
            <w:vAlign w:val="center"/>
            <w:hideMark/>
          </w:tcPr>
          <w:p w14:paraId="0E165D41"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color w:val="000000"/>
                <w:szCs w:val="20"/>
              </w:rPr>
            </w:pPr>
            <w:r w:rsidRPr="00863D9F">
              <w:rPr>
                <w:color w:val="000000"/>
                <w:szCs w:val="20"/>
              </w:rPr>
              <w:t xml:space="preserve">$133,022,550 </w:t>
            </w:r>
          </w:p>
        </w:tc>
      </w:tr>
      <w:tr w:rsidR="00767472" w:rsidRPr="00863D9F" w14:paraId="1D7CAC3C" w14:textId="77777777" w:rsidTr="00255653">
        <w:trPr>
          <w:trHeight w:val="285"/>
        </w:trPr>
        <w:tc>
          <w:tcPr>
            <w:cnfStyle w:val="001000000000" w:firstRow="0" w:lastRow="0" w:firstColumn="1" w:lastColumn="0" w:oddVBand="0" w:evenVBand="0" w:oddHBand="0" w:evenHBand="0" w:firstRowFirstColumn="0" w:firstRowLastColumn="0" w:lastRowFirstColumn="0" w:lastRowLastColumn="0"/>
            <w:tcW w:w="0" w:type="dxa"/>
            <w:hideMark/>
          </w:tcPr>
          <w:p w14:paraId="3E15606E" w14:textId="77777777" w:rsidR="00767472" w:rsidRPr="00863D9F" w:rsidRDefault="00767472" w:rsidP="005E380D">
            <w:pPr>
              <w:spacing w:before="0"/>
              <w:rPr>
                <w:rFonts w:eastAsia="Times New Roman" w:cs="Arial"/>
                <w:b w:val="0"/>
                <w:bCs/>
                <w:color w:val="000000"/>
                <w:lang w:eastAsia="en-AU"/>
              </w:rPr>
            </w:pPr>
            <w:r w:rsidRPr="00863D9F">
              <w:rPr>
                <w:rFonts w:eastAsia="Times New Roman" w:cs="Arial"/>
                <w:b w:val="0"/>
                <w:bCs/>
                <w:color w:val="000000"/>
                <w:lang w:eastAsia="en-AU"/>
              </w:rPr>
              <w:t>2028</w:t>
            </w:r>
          </w:p>
        </w:tc>
        <w:tc>
          <w:tcPr>
            <w:tcW w:w="0" w:type="dxa"/>
            <w:vAlign w:val="center"/>
            <w:hideMark/>
          </w:tcPr>
          <w:p w14:paraId="552137AC"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eastAsia="Times New Roman" w:cs="Arial"/>
                <w:color w:val="000000"/>
                <w:lang w:eastAsia="en-AU"/>
              </w:rPr>
              <w:t>2.75</w:t>
            </w:r>
          </w:p>
        </w:tc>
        <w:tc>
          <w:tcPr>
            <w:tcW w:w="0" w:type="dxa"/>
            <w:vAlign w:val="center"/>
            <w:hideMark/>
          </w:tcPr>
          <w:p w14:paraId="7661A7E9"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color w:val="000000"/>
                <w:szCs w:val="20"/>
              </w:rPr>
              <w:t>7.68</w:t>
            </w:r>
          </w:p>
        </w:tc>
        <w:tc>
          <w:tcPr>
            <w:tcW w:w="0" w:type="dxa"/>
            <w:vAlign w:val="center"/>
            <w:hideMark/>
          </w:tcPr>
          <w:p w14:paraId="1B737B1A"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$40,704,000 </w:t>
            </w:r>
          </w:p>
        </w:tc>
        <w:tc>
          <w:tcPr>
            <w:tcW w:w="0" w:type="dxa"/>
            <w:vAlign w:val="center"/>
            <w:hideMark/>
          </w:tcPr>
          <w:p w14:paraId="384645D3"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$41,690,850 </w:t>
            </w:r>
          </w:p>
        </w:tc>
        <w:tc>
          <w:tcPr>
            <w:tcW w:w="0" w:type="dxa"/>
            <w:vAlign w:val="center"/>
            <w:hideMark/>
          </w:tcPr>
          <w:p w14:paraId="7AF17E06"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color w:val="000000"/>
                <w:szCs w:val="20"/>
              </w:rPr>
            </w:pPr>
            <w:r w:rsidRPr="00863D9F">
              <w:rPr>
                <w:color w:val="000000"/>
                <w:szCs w:val="20"/>
              </w:rPr>
              <w:t xml:space="preserve">$174,713,400 </w:t>
            </w:r>
          </w:p>
        </w:tc>
      </w:tr>
      <w:tr w:rsidR="00767472" w:rsidRPr="00863D9F" w14:paraId="0651F5C2" w14:textId="77777777" w:rsidTr="00255653">
        <w:trPr>
          <w:trHeight w:val="285"/>
        </w:trPr>
        <w:tc>
          <w:tcPr>
            <w:cnfStyle w:val="001000000000" w:firstRow="0" w:lastRow="0" w:firstColumn="1" w:lastColumn="0" w:oddVBand="0" w:evenVBand="0" w:oddHBand="0" w:evenHBand="0" w:firstRowFirstColumn="0" w:firstRowLastColumn="0" w:lastRowFirstColumn="0" w:lastRowLastColumn="0"/>
            <w:tcW w:w="0" w:type="dxa"/>
            <w:hideMark/>
          </w:tcPr>
          <w:p w14:paraId="52E83D9B" w14:textId="77777777" w:rsidR="00767472" w:rsidRPr="00863D9F" w:rsidRDefault="00767472" w:rsidP="005E380D">
            <w:pPr>
              <w:spacing w:before="0"/>
              <w:rPr>
                <w:rFonts w:eastAsia="Times New Roman" w:cs="Arial"/>
                <w:b w:val="0"/>
                <w:bCs/>
                <w:color w:val="000000"/>
                <w:lang w:eastAsia="en-AU"/>
              </w:rPr>
            </w:pPr>
            <w:r w:rsidRPr="00863D9F">
              <w:rPr>
                <w:rFonts w:eastAsia="Times New Roman" w:cs="Arial"/>
                <w:b w:val="0"/>
                <w:bCs/>
                <w:color w:val="000000"/>
                <w:lang w:eastAsia="en-AU"/>
              </w:rPr>
              <w:t>2029 (and there on)</w:t>
            </w:r>
          </w:p>
        </w:tc>
        <w:tc>
          <w:tcPr>
            <w:tcW w:w="0" w:type="dxa"/>
            <w:vAlign w:val="center"/>
            <w:hideMark/>
          </w:tcPr>
          <w:p w14:paraId="32904BE9"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eastAsia="Times New Roman" w:cs="Arial"/>
                <w:color w:val="000000"/>
                <w:lang w:eastAsia="en-AU"/>
              </w:rPr>
              <w:t>3</w:t>
            </w:r>
          </w:p>
        </w:tc>
        <w:tc>
          <w:tcPr>
            <w:tcW w:w="0" w:type="dxa"/>
            <w:vAlign w:val="center"/>
            <w:hideMark/>
          </w:tcPr>
          <w:p w14:paraId="64BCF2FF"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color w:val="000000"/>
                <w:szCs w:val="20"/>
              </w:rPr>
              <w:t>7.43</w:t>
            </w:r>
          </w:p>
        </w:tc>
        <w:tc>
          <w:tcPr>
            <w:tcW w:w="0" w:type="dxa"/>
            <w:vAlign w:val="center"/>
            <w:hideMark/>
          </w:tcPr>
          <w:p w14:paraId="3FC31A2C"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$39,379,000 </w:t>
            </w:r>
          </w:p>
        </w:tc>
        <w:tc>
          <w:tcPr>
            <w:tcW w:w="0" w:type="dxa"/>
            <w:vAlign w:val="center"/>
            <w:hideMark/>
          </w:tcPr>
          <w:p w14:paraId="3ACFD54A"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$40,365,850 </w:t>
            </w:r>
          </w:p>
        </w:tc>
        <w:tc>
          <w:tcPr>
            <w:tcW w:w="0" w:type="dxa"/>
            <w:vAlign w:val="center"/>
            <w:hideMark/>
          </w:tcPr>
          <w:p w14:paraId="5236406A"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b/>
                <w:bCs/>
                <w:color w:val="000000"/>
                <w:szCs w:val="20"/>
              </w:rPr>
            </w:pPr>
            <w:r w:rsidRPr="00863D9F">
              <w:rPr>
                <w:b/>
                <w:bCs/>
                <w:color w:val="000000"/>
                <w:szCs w:val="20"/>
              </w:rPr>
              <w:t xml:space="preserve">$215,079,250 </w:t>
            </w:r>
          </w:p>
        </w:tc>
      </w:tr>
      <w:tr w:rsidR="00767472" w:rsidRPr="00863D9F" w14:paraId="4BA5E679" w14:textId="77777777" w:rsidTr="00255653">
        <w:trPr>
          <w:trHeight w:val="285"/>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114DBF63" w14:textId="77777777" w:rsidR="00767472" w:rsidRPr="00863D9F" w:rsidRDefault="00767472" w:rsidP="005E380D">
            <w:pPr>
              <w:spacing w:before="0"/>
              <w:rPr>
                <w:rFonts w:eastAsia="Times New Roman" w:cs="Arial"/>
                <w:b w:val="0"/>
                <w:color w:val="000000"/>
                <w:lang w:eastAsia="en-AU"/>
              </w:rPr>
            </w:pPr>
            <w:r w:rsidRPr="00863D9F">
              <w:rPr>
                <w:rFonts w:eastAsia="Times New Roman" w:cs="Arial"/>
                <w:color w:val="000000"/>
                <w:lang w:eastAsia="en-AU"/>
              </w:rPr>
              <w:t xml:space="preserve">2029 No action </w:t>
            </w:r>
          </w:p>
        </w:tc>
        <w:tc>
          <w:tcPr>
            <w:tcW w:w="0" w:type="dxa"/>
            <w:shd w:val="clear" w:color="auto" w:fill="F2F2F2" w:themeFill="background1" w:themeFillShade="F2"/>
            <w:vAlign w:val="center"/>
          </w:tcPr>
          <w:p w14:paraId="6EB3FD5F"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eastAsia="Times New Roman" w:cs="Arial"/>
                <w:color w:val="000000"/>
                <w:lang w:eastAsia="en-AU"/>
              </w:rPr>
              <w:t>0</w:t>
            </w:r>
          </w:p>
        </w:tc>
        <w:tc>
          <w:tcPr>
            <w:tcW w:w="0" w:type="dxa"/>
            <w:shd w:val="clear" w:color="auto" w:fill="F2F2F2" w:themeFill="background1" w:themeFillShade="F2"/>
            <w:vAlign w:val="center"/>
          </w:tcPr>
          <w:p w14:paraId="0A0C1F80"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t>11.75</w:t>
            </w:r>
          </w:p>
        </w:tc>
        <w:tc>
          <w:tcPr>
            <w:tcW w:w="0" w:type="dxa"/>
            <w:shd w:val="clear" w:color="auto" w:fill="F2F2F2" w:themeFill="background1" w:themeFillShade="F2"/>
            <w:vAlign w:val="center"/>
          </w:tcPr>
          <w:p w14:paraId="0E2119E4"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t xml:space="preserve">$62,252,552 </w:t>
            </w:r>
          </w:p>
        </w:tc>
        <w:tc>
          <w:tcPr>
            <w:tcW w:w="0" w:type="dxa"/>
            <w:shd w:val="clear" w:color="auto" w:fill="F2F2F2" w:themeFill="background1" w:themeFillShade="F2"/>
            <w:vAlign w:val="center"/>
          </w:tcPr>
          <w:p w14:paraId="26EAEFA2"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t>$62,252,552</w:t>
            </w:r>
          </w:p>
        </w:tc>
        <w:tc>
          <w:tcPr>
            <w:tcW w:w="0" w:type="dxa"/>
            <w:shd w:val="clear" w:color="auto" w:fill="F2F2F2" w:themeFill="background1" w:themeFillShade="F2"/>
            <w:vAlign w:val="center"/>
          </w:tcPr>
          <w:p w14:paraId="1DF7EF59" w14:textId="77777777" w:rsidR="00767472" w:rsidRPr="00863D9F" w:rsidRDefault="00767472" w:rsidP="0025565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t>$301,199,977</w:t>
            </w:r>
          </w:p>
        </w:tc>
      </w:tr>
    </w:tbl>
    <w:p w14:paraId="36879230" w14:textId="77777777" w:rsidR="00767472" w:rsidRPr="00863D9F" w:rsidRDefault="00767472" w:rsidP="00767472">
      <w:r w:rsidRPr="00863D9F">
        <w:t>The estimated costs do not account for inflation and assumes the VSL remains at $5,300,000 per fatality.</w:t>
      </w:r>
    </w:p>
    <w:p w14:paraId="0A001A4D" w14:textId="77777777" w:rsidR="00767472" w:rsidRPr="00AF6307" w:rsidRDefault="00767472" w:rsidP="00D21B3B">
      <w:pPr>
        <w:pStyle w:val="Numbered111"/>
        <w:rPr>
          <w:sz w:val="28"/>
          <w:szCs w:val="28"/>
        </w:rPr>
      </w:pPr>
      <w:bookmarkStart w:id="78" w:name="_Toc139452473"/>
      <w:bookmarkStart w:id="79" w:name="_Toc140065194"/>
      <w:r w:rsidRPr="00AF6307">
        <w:rPr>
          <w:sz w:val="28"/>
          <w:szCs w:val="28"/>
        </w:rPr>
        <w:t>Benefits</w:t>
      </w:r>
      <w:bookmarkEnd w:id="78"/>
      <w:bookmarkEnd w:id="79"/>
      <w:r w:rsidRPr="00AF6307">
        <w:rPr>
          <w:sz w:val="28"/>
          <w:szCs w:val="28"/>
        </w:rPr>
        <w:t xml:space="preserve"> </w:t>
      </w:r>
    </w:p>
    <w:p w14:paraId="671D823E" w14:textId="3A9F6969" w:rsidR="00E27635" w:rsidRDefault="00767472" w:rsidP="00F94148">
      <w:pPr>
        <w:spacing w:after="240"/>
      </w:pPr>
      <w:r w:rsidRPr="00863D9F">
        <w:t xml:space="preserve">When considering the benefits of a mandatory information standard in relation to the costs to society of continued fatalities, we assume the anticipated number of fatalities in the first year of regulation also reduce by 2 and the cost of a mandatory information standard is $986,850 per year for industry. </w:t>
      </w:r>
      <w:r w:rsidRPr="00E27635">
        <w:t>This means the net benefit of regulation begins at $9,613,150 from 2025 and increases each following year as seen in Table 9. Overall, there is net benefit of a mandatory information standard for Infant Sleep Products, Inclined Sleep Products and Inclined Non-Sleep Products to industry and society.</w:t>
      </w:r>
    </w:p>
    <w:p w14:paraId="5F01634B" w14:textId="3E869816" w:rsidR="00767472" w:rsidRPr="00E27635" w:rsidRDefault="00767472" w:rsidP="00F94148">
      <w:pPr>
        <w:pStyle w:val="Tabletitle"/>
      </w:pPr>
      <w:r w:rsidRPr="00E27635">
        <w:t xml:space="preserve">Table 9: Net benefit of a mandatory information standard </w:t>
      </w:r>
    </w:p>
    <w:tbl>
      <w:tblPr>
        <w:tblW w:w="8789" w:type="dxa"/>
        <w:tblBorders>
          <w:top w:val="single" w:sz="8" w:space="0" w:color="D5D6D2" w:themeColor="background2"/>
          <w:left w:val="single" w:sz="8" w:space="0" w:color="D5D6D2" w:themeColor="background2"/>
          <w:bottom w:val="single" w:sz="8" w:space="0" w:color="D5D6D2" w:themeColor="background2"/>
          <w:right w:val="single" w:sz="8" w:space="0" w:color="D5D6D2" w:themeColor="background2"/>
          <w:insideH w:val="single" w:sz="8" w:space="0" w:color="D5D6D2" w:themeColor="background2"/>
          <w:insideV w:val="single" w:sz="8" w:space="0" w:color="D5D6D2" w:themeColor="background2"/>
        </w:tblBorders>
        <w:tblLook w:val="04A0" w:firstRow="1" w:lastRow="0" w:firstColumn="1" w:lastColumn="0" w:noHBand="0" w:noVBand="1"/>
      </w:tblPr>
      <w:tblGrid>
        <w:gridCol w:w="2400"/>
        <w:gridCol w:w="1418"/>
        <w:gridCol w:w="1701"/>
        <w:gridCol w:w="1559"/>
        <w:gridCol w:w="1711"/>
      </w:tblGrid>
      <w:tr w:rsidR="00767472" w:rsidRPr="00863D9F" w14:paraId="290B3288" w14:textId="77777777" w:rsidTr="005E380D">
        <w:trPr>
          <w:trHeight w:val="530"/>
        </w:trPr>
        <w:tc>
          <w:tcPr>
            <w:tcW w:w="2400" w:type="dxa"/>
            <w:shd w:val="clear" w:color="auto" w:fill="auto"/>
            <w:hideMark/>
          </w:tcPr>
          <w:p w14:paraId="534B1B92" w14:textId="77777777" w:rsidR="00767472" w:rsidRPr="00863D9F" w:rsidRDefault="00767472" w:rsidP="005E380D">
            <w:pPr>
              <w:spacing w:before="0"/>
              <w:rPr>
                <w:rFonts w:eastAsia="Times New Roman" w:cs="Arial"/>
                <w:b/>
                <w:bCs/>
                <w:color w:val="000000"/>
                <w:sz w:val="20"/>
                <w:szCs w:val="20"/>
                <w:lang w:eastAsia="en-AU"/>
              </w:rPr>
            </w:pPr>
            <w:r w:rsidRPr="00863D9F">
              <w:rPr>
                <w:rFonts w:eastAsia="Times New Roman" w:cs="Arial"/>
                <w:b/>
                <w:bCs/>
                <w:color w:val="000000"/>
                <w:sz w:val="20"/>
                <w:szCs w:val="20"/>
                <w:lang w:eastAsia="en-AU"/>
              </w:rPr>
              <w:t>Year</w:t>
            </w:r>
          </w:p>
        </w:tc>
        <w:tc>
          <w:tcPr>
            <w:tcW w:w="1418" w:type="dxa"/>
            <w:shd w:val="clear" w:color="auto" w:fill="auto"/>
            <w:hideMark/>
          </w:tcPr>
          <w:p w14:paraId="036D9C64" w14:textId="77777777" w:rsidR="00767472" w:rsidRPr="00863D9F" w:rsidRDefault="00767472" w:rsidP="005E380D">
            <w:pPr>
              <w:spacing w:before="0"/>
              <w:rPr>
                <w:rFonts w:eastAsia="Times New Roman" w:cs="Arial"/>
                <w:b/>
                <w:bCs/>
                <w:color w:val="000000"/>
                <w:sz w:val="20"/>
                <w:szCs w:val="20"/>
                <w:lang w:eastAsia="en-AU"/>
              </w:rPr>
            </w:pPr>
            <w:r w:rsidRPr="00863D9F">
              <w:rPr>
                <w:rFonts w:eastAsia="Times New Roman" w:cs="Arial"/>
                <w:b/>
                <w:bCs/>
                <w:color w:val="000000"/>
                <w:sz w:val="20"/>
                <w:szCs w:val="20"/>
                <w:lang w:eastAsia="en-AU"/>
              </w:rPr>
              <w:t xml:space="preserve">Fatality reduction </w:t>
            </w:r>
          </w:p>
        </w:tc>
        <w:tc>
          <w:tcPr>
            <w:tcW w:w="1701" w:type="dxa"/>
            <w:shd w:val="clear" w:color="auto" w:fill="auto"/>
            <w:hideMark/>
          </w:tcPr>
          <w:p w14:paraId="1F154E78" w14:textId="77777777" w:rsidR="00767472" w:rsidRPr="00863D9F" w:rsidRDefault="00767472" w:rsidP="005E380D">
            <w:pPr>
              <w:spacing w:before="0"/>
              <w:rPr>
                <w:rFonts w:eastAsia="Times New Roman" w:cs="Arial"/>
                <w:b/>
                <w:bCs/>
                <w:color w:val="000000"/>
                <w:sz w:val="20"/>
                <w:szCs w:val="20"/>
                <w:lang w:eastAsia="en-AU"/>
              </w:rPr>
            </w:pPr>
            <w:r w:rsidRPr="00863D9F">
              <w:rPr>
                <w:rFonts w:eastAsia="Times New Roman" w:cs="Arial"/>
                <w:b/>
                <w:bCs/>
                <w:color w:val="000000"/>
                <w:sz w:val="20"/>
                <w:szCs w:val="20"/>
                <w:lang w:eastAsia="en-AU"/>
              </w:rPr>
              <w:t>Benefit</w:t>
            </w:r>
          </w:p>
        </w:tc>
        <w:tc>
          <w:tcPr>
            <w:tcW w:w="1559" w:type="dxa"/>
            <w:shd w:val="clear" w:color="auto" w:fill="auto"/>
            <w:hideMark/>
          </w:tcPr>
          <w:p w14:paraId="0F701688" w14:textId="77777777" w:rsidR="00767472" w:rsidRPr="00863D9F" w:rsidRDefault="00767472" w:rsidP="005E380D">
            <w:pPr>
              <w:spacing w:before="0"/>
              <w:rPr>
                <w:rFonts w:eastAsia="Times New Roman" w:cs="Arial"/>
                <w:b/>
                <w:bCs/>
                <w:color w:val="000000"/>
                <w:sz w:val="20"/>
                <w:szCs w:val="20"/>
                <w:lang w:eastAsia="en-AU"/>
              </w:rPr>
            </w:pPr>
            <w:r w:rsidRPr="00863D9F">
              <w:rPr>
                <w:rFonts w:eastAsia="Times New Roman" w:cs="Arial"/>
                <w:b/>
                <w:bCs/>
                <w:color w:val="000000"/>
                <w:sz w:val="20"/>
                <w:szCs w:val="20"/>
                <w:lang w:eastAsia="en-AU"/>
              </w:rPr>
              <w:t>Net benefit</w:t>
            </w:r>
          </w:p>
        </w:tc>
        <w:tc>
          <w:tcPr>
            <w:tcW w:w="1711" w:type="dxa"/>
            <w:shd w:val="clear" w:color="auto" w:fill="auto"/>
            <w:hideMark/>
          </w:tcPr>
          <w:p w14:paraId="5A1D1714" w14:textId="77777777" w:rsidR="00767472" w:rsidRPr="00863D9F" w:rsidRDefault="00767472" w:rsidP="005E380D">
            <w:pPr>
              <w:spacing w:before="0"/>
              <w:rPr>
                <w:rFonts w:eastAsia="Times New Roman" w:cs="Arial"/>
                <w:b/>
                <w:bCs/>
                <w:color w:val="000000"/>
                <w:sz w:val="20"/>
                <w:szCs w:val="20"/>
                <w:lang w:eastAsia="en-AU"/>
              </w:rPr>
            </w:pPr>
            <w:r w:rsidRPr="00863D9F">
              <w:rPr>
                <w:rFonts w:eastAsia="Times New Roman" w:cs="Arial"/>
                <w:b/>
                <w:bCs/>
                <w:color w:val="000000"/>
                <w:sz w:val="20"/>
                <w:szCs w:val="20"/>
                <w:lang w:eastAsia="en-AU"/>
              </w:rPr>
              <w:t>Accumulative net benefit</w:t>
            </w:r>
          </w:p>
        </w:tc>
      </w:tr>
      <w:tr w:rsidR="00767472" w:rsidRPr="00863D9F" w14:paraId="45944BA3" w14:textId="77777777" w:rsidTr="00255653">
        <w:trPr>
          <w:trHeight w:val="341"/>
        </w:trPr>
        <w:tc>
          <w:tcPr>
            <w:tcW w:w="2400" w:type="dxa"/>
            <w:shd w:val="clear" w:color="auto" w:fill="auto"/>
            <w:hideMark/>
          </w:tcPr>
          <w:p w14:paraId="2D9E6433"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2024 (transition period)</w:t>
            </w:r>
          </w:p>
        </w:tc>
        <w:tc>
          <w:tcPr>
            <w:tcW w:w="1418" w:type="dxa"/>
            <w:shd w:val="clear" w:color="auto" w:fill="auto"/>
            <w:vAlign w:val="center"/>
            <w:hideMark/>
          </w:tcPr>
          <w:p w14:paraId="3076B55F"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0</w:t>
            </w:r>
          </w:p>
        </w:tc>
        <w:tc>
          <w:tcPr>
            <w:tcW w:w="1701" w:type="dxa"/>
            <w:shd w:val="clear" w:color="auto" w:fill="auto"/>
            <w:vAlign w:val="center"/>
            <w:hideMark/>
          </w:tcPr>
          <w:p w14:paraId="5518C3DE"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$0 </w:t>
            </w:r>
          </w:p>
        </w:tc>
        <w:tc>
          <w:tcPr>
            <w:tcW w:w="1559" w:type="dxa"/>
            <w:shd w:val="clear" w:color="auto" w:fill="auto"/>
            <w:vAlign w:val="center"/>
            <w:hideMark/>
          </w:tcPr>
          <w:p w14:paraId="321F0AFE"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$0 </w:t>
            </w:r>
          </w:p>
        </w:tc>
        <w:tc>
          <w:tcPr>
            <w:tcW w:w="1711" w:type="dxa"/>
            <w:shd w:val="clear" w:color="auto" w:fill="auto"/>
            <w:vAlign w:val="center"/>
            <w:hideMark/>
          </w:tcPr>
          <w:p w14:paraId="6BF588F7"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$0 </w:t>
            </w:r>
          </w:p>
        </w:tc>
      </w:tr>
      <w:tr w:rsidR="00767472" w:rsidRPr="00863D9F" w14:paraId="5E3F4003" w14:textId="77777777" w:rsidTr="00255653">
        <w:trPr>
          <w:trHeight w:val="300"/>
        </w:trPr>
        <w:tc>
          <w:tcPr>
            <w:tcW w:w="2400" w:type="dxa"/>
            <w:shd w:val="clear" w:color="auto" w:fill="auto"/>
            <w:hideMark/>
          </w:tcPr>
          <w:p w14:paraId="6526993C"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2025</w:t>
            </w:r>
          </w:p>
        </w:tc>
        <w:tc>
          <w:tcPr>
            <w:tcW w:w="1418" w:type="dxa"/>
            <w:shd w:val="clear" w:color="auto" w:fill="auto"/>
            <w:vAlign w:val="center"/>
            <w:hideMark/>
          </w:tcPr>
          <w:p w14:paraId="14D177A7"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2</w:t>
            </w:r>
          </w:p>
        </w:tc>
        <w:tc>
          <w:tcPr>
            <w:tcW w:w="1701" w:type="dxa"/>
            <w:shd w:val="clear" w:color="auto" w:fill="auto"/>
            <w:vAlign w:val="center"/>
            <w:hideMark/>
          </w:tcPr>
          <w:p w14:paraId="42E807E0"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$10,600,000 </w:t>
            </w:r>
          </w:p>
        </w:tc>
        <w:tc>
          <w:tcPr>
            <w:tcW w:w="1559" w:type="dxa"/>
            <w:shd w:val="clear" w:color="auto" w:fill="auto"/>
            <w:vAlign w:val="center"/>
            <w:hideMark/>
          </w:tcPr>
          <w:p w14:paraId="5A82FDC8"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$9,613,150 </w:t>
            </w:r>
          </w:p>
        </w:tc>
        <w:tc>
          <w:tcPr>
            <w:tcW w:w="1711" w:type="dxa"/>
            <w:shd w:val="clear" w:color="auto" w:fill="auto"/>
            <w:vAlign w:val="center"/>
            <w:hideMark/>
          </w:tcPr>
          <w:p w14:paraId="6E4EC097"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$9,613,150 </w:t>
            </w:r>
          </w:p>
        </w:tc>
      </w:tr>
      <w:tr w:rsidR="00767472" w:rsidRPr="00863D9F" w14:paraId="49B83468" w14:textId="77777777" w:rsidTr="00255653">
        <w:trPr>
          <w:trHeight w:val="300"/>
        </w:trPr>
        <w:tc>
          <w:tcPr>
            <w:tcW w:w="2400" w:type="dxa"/>
            <w:shd w:val="clear" w:color="auto" w:fill="auto"/>
            <w:hideMark/>
          </w:tcPr>
          <w:p w14:paraId="3B87A74E"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2026</w:t>
            </w:r>
          </w:p>
        </w:tc>
        <w:tc>
          <w:tcPr>
            <w:tcW w:w="1418" w:type="dxa"/>
            <w:shd w:val="clear" w:color="auto" w:fill="auto"/>
            <w:vAlign w:val="center"/>
            <w:hideMark/>
          </w:tcPr>
          <w:p w14:paraId="5E2A2A9C"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2.25</w:t>
            </w:r>
          </w:p>
        </w:tc>
        <w:tc>
          <w:tcPr>
            <w:tcW w:w="1701" w:type="dxa"/>
            <w:shd w:val="clear" w:color="auto" w:fill="auto"/>
            <w:vAlign w:val="center"/>
            <w:hideMark/>
          </w:tcPr>
          <w:p w14:paraId="12B18342"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$11,925,000 </w:t>
            </w:r>
          </w:p>
        </w:tc>
        <w:tc>
          <w:tcPr>
            <w:tcW w:w="1559" w:type="dxa"/>
            <w:shd w:val="clear" w:color="auto" w:fill="auto"/>
            <w:vAlign w:val="center"/>
            <w:hideMark/>
          </w:tcPr>
          <w:p w14:paraId="3F05339F"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$10,938,150 </w:t>
            </w:r>
          </w:p>
        </w:tc>
        <w:tc>
          <w:tcPr>
            <w:tcW w:w="1711" w:type="dxa"/>
            <w:shd w:val="clear" w:color="auto" w:fill="auto"/>
            <w:vAlign w:val="center"/>
            <w:hideMark/>
          </w:tcPr>
          <w:p w14:paraId="459A40E4"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$20,551,300 </w:t>
            </w:r>
          </w:p>
        </w:tc>
      </w:tr>
      <w:tr w:rsidR="00767472" w:rsidRPr="00863D9F" w14:paraId="32DCCB6E" w14:textId="77777777" w:rsidTr="00255653">
        <w:trPr>
          <w:trHeight w:val="300"/>
        </w:trPr>
        <w:tc>
          <w:tcPr>
            <w:tcW w:w="2400" w:type="dxa"/>
            <w:shd w:val="clear" w:color="auto" w:fill="auto"/>
            <w:hideMark/>
          </w:tcPr>
          <w:p w14:paraId="3ABF61DB"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2027</w:t>
            </w:r>
          </w:p>
        </w:tc>
        <w:tc>
          <w:tcPr>
            <w:tcW w:w="1418" w:type="dxa"/>
            <w:shd w:val="clear" w:color="auto" w:fill="auto"/>
            <w:vAlign w:val="center"/>
            <w:hideMark/>
          </w:tcPr>
          <w:p w14:paraId="5B19F3DC"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2.5</w:t>
            </w:r>
          </w:p>
        </w:tc>
        <w:tc>
          <w:tcPr>
            <w:tcW w:w="1701" w:type="dxa"/>
            <w:shd w:val="clear" w:color="auto" w:fill="auto"/>
            <w:vAlign w:val="center"/>
            <w:hideMark/>
          </w:tcPr>
          <w:p w14:paraId="0DAD2EF1"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$13,250,000 </w:t>
            </w:r>
          </w:p>
        </w:tc>
        <w:tc>
          <w:tcPr>
            <w:tcW w:w="1559" w:type="dxa"/>
            <w:shd w:val="clear" w:color="auto" w:fill="auto"/>
            <w:vAlign w:val="center"/>
            <w:hideMark/>
          </w:tcPr>
          <w:p w14:paraId="47EE9C3B"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$12,263,150 </w:t>
            </w:r>
          </w:p>
        </w:tc>
        <w:tc>
          <w:tcPr>
            <w:tcW w:w="1711" w:type="dxa"/>
            <w:shd w:val="clear" w:color="auto" w:fill="auto"/>
            <w:vAlign w:val="center"/>
            <w:hideMark/>
          </w:tcPr>
          <w:p w14:paraId="27EC649E"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$32,814,450 </w:t>
            </w:r>
          </w:p>
        </w:tc>
      </w:tr>
      <w:tr w:rsidR="00767472" w:rsidRPr="00863D9F" w14:paraId="261CA09D" w14:textId="77777777" w:rsidTr="00255653">
        <w:trPr>
          <w:trHeight w:val="300"/>
        </w:trPr>
        <w:tc>
          <w:tcPr>
            <w:tcW w:w="2400" w:type="dxa"/>
            <w:shd w:val="clear" w:color="auto" w:fill="auto"/>
            <w:hideMark/>
          </w:tcPr>
          <w:p w14:paraId="5B75001E"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2028</w:t>
            </w:r>
          </w:p>
        </w:tc>
        <w:tc>
          <w:tcPr>
            <w:tcW w:w="1418" w:type="dxa"/>
            <w:shd w:val="clear" w:color="auto" w:fill="auto"/>
            <w:vAlign w:val="center"/>
            <w:hideMark/>
          </w:tcPr>
          <w:p w14:paraId="329271D7"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2.75</w:t>
            </w:r>
          </w:p>
        </w:tc>
        <w:tc>
          <w:tcPr>
            <w:tcW w:w="1701" w:type="dxa"/>
            <w:shd w:val="clear" w:color="auto" w:fill="auto"/>
            <w:vAlign w:val="center"/>
            <w:hideMark/>
          </w:tcPr>
          <w:p w14:paraId="37261102"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$14,575,000 </w:t>
            </w:r>
          </w:p>
        </w:tc>
        <w:tc>
          <w:tcPr>
            <w:tcW w:w="1559" w:type="dxa"/>
            <w:shd w:val="clear" w:color="auto" w:fill="auto"/>
            <w:vAlign w:val="center"/>
            <w:hideMark/>
          </w:tcPr>
          <w:p w14:paraId="4A6753A4"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$11,736,400 </w:t>
            </w:r>
          </w:p>
        </w:tc>
        <w:tc>
          <w:tcPr>
            <w:tcW w:w="1711" w:type="dxa"/>
            <w:shd w:val="clear" w:color="auto" w:fill="auto"/>
            <w:vAlign w:val="center"/>
            <w:hideMark/>
          </w:tcPr>
          <w:p w14:paraId="79009337"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$44,550,850 </w:t>
            </w:r>
          </w:p>
        </w:tc>
      </w:tr>
      <w:tr w:rsidR="00767472" w:rsidRPr="00863D9F" w14:paraId="2D1B163A" w14:textId="77777777" w:rsidTr="00255653">
        <w:trPr>
          <w:trHeight w:val="300"/>
        </w:trPr>
        <w:tc>
          <w:tcPr>
            <w:tcW w:w="2400" w:type="dxa"/>
            <w:shd w:val="clear" w:color="auto" w:fill="auto"/>
            <w:hideMark/>
          </w:tcPr>
          <w:p w14:paraId="334A75C9"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2029</w:t>
            </w:r>
          </w:p>
        </w:tc>
        <w:tc>
          <w:tcPr>
            <w:tcW w:w="1418" w:type="dxa"/>
            <w:shd w:val="clear" w:color="auto" w:fill="auto"/>
            <w:vAlign w:val="center"/>
            <w:hideMark/>
          </w:tcPr>
          <w:p w14:paraId="4A957630"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3</w:t>
            </w:r>
          </w:p>
        </w:tc>
        <w:tc>
          <w:tcPr>
            <w:tcW w:w="1701" w:type="dxa"/>
            <w:shd w:val="clear" w:color="auto" w:fill="auto"/>
            <w:vAlign w:val="center"/>
            <w:hideMark/>
          </w:tcPr>
          <w:p w14:paraId="62E3E4EE"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$15,900,000 </w:t>
            </w:r>
          </w:p>
        </w:tc>
        <w:tc>
          <w:tcPr>
            <w:tcW w:w="1559" w:type="dxa"/>
            <w:shd w:val="clear" w:color="auto" w:fill="auto"/>
            <w:vAlign w:val="center"/>
            <w:hideMark/>
          </w:tcPr>
          <w:p w14:paraId="5BD261F7"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$13,061,400 </w:t>
            </w:r>
          </w:p>
        </w:tc>
        <w:tc>
          <w:tcPr>
            <w:tcW w:w="1711" w:type="dxa"/>
            <w:shd w:val="clear" w:color="auto" w:fill="auto"/>
            <w:vAlign w:val="center"/>
            <w:hideMark/>
          </w:tcPr>
          <w:p w14:paraId="310522F6"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$57,612,250 </w:t>
            </w:r>
          </w:p>
        </w:tc>
      </w:tr>
      <w:tr w:rsidR="00767472" w:rsidRPr="00863D9F" w14:paraId="32DB0D34" w14:textId="77777777" w:rsidTr="00255653">
        <w:trPr>
          <w:trHeight w:val="300"/>
        </w:trPr>
        <w:tc>
          <w:tcPr>
            <w:tcW w:w="2400" w:type="dxa"/>
            <w:shd w:val="clear" w:color="auto" w:fill="auto"/>
            <w:noWrap/>
            <w:hideMark/>
          </w:tcPr>
          <w:p w14:paraId="03308744"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2030</w:t>
            </w:r>
          </w:p>
        </w:tc>
        <w:tc>
          <w:tcPr>
            <w:tcW w:w="1418" w:type="dxa"/>
            <w:shd w:val="clear" w:color="auto" w:fill="auto"/>
            <w:vAlign w:val="center"/>
            <w:hideMark/>
          </w:tcPr>
          <w:p w14:paraId="77C1E729"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3</w:t>
            </w:r>
          </w:p>
        </w:tc>
        <w:tc>
          <w:tcPr>
            <w:tcW w:w="1701" w:type="dxa"/>
            <w:shd w:val="clear" w:color="auto" w:fill="auto"/>
            <w:vAlign w:val="center"/>
            <w:hideMark/>
          </w:tcPr>
          <w:p w14:paraId="64CDF739"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$15,900,000 </w:t>
            </w:r>
          </w:p>
        </w:tc>
        <w:tc>
          <w:tcPr>
            <w:tcW w:w="1559" w:type="dxa"/>
            <w:shd w:val="clear" w:color="auto" w:fill="auto"/>
            <w:vAlign w:val="center"/>
            <w:hideMark/>
          </w:tcPr>
          <w:p w14:paraId="4C9222B1"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$13,061,400 </w:t>
            </w:r>
          </w:p>
        </w:tc>
        <w:tc>
          <w:tcPr>
            <w:tcW w:w="1711" w:type="dxa"/>
            <w:shd w:val="clear" w:color="auto" w:fill="auto"/>
            <w:vAlign w:val="center"/>
            <w:hideMark/>
          </w:tcPr>
          <w:p w14:paraId="1D49CA1A"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$70,673,650 </w:t>
            </w:r>
          </w:p>
        </w:tc>
      </w:tr>
      <w:tr w:rsidR="00767472" w:rsidRPr="00863D9F" w14:paraId="4B7B4EDA" w14:textId="77777777" w:rsidTr="00255653">
        <w:trPr>
          <w:trHeight w:val="300"/>
        </w:trPr>
        <w:tc>
          <w:tcPr>
            <w:tcW w:w="2400" w:type="dxa"/>
            <w:shd w:val="clear" w:color="auto" w:fill="auto"/>
            <w:noWrap/>
            <w:hideMark/>
          </w:tcPr>
          <w:p w14:paraId="189661DA"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2031</w:t>
            </w:r>
          </w:p>
        </w:tc>
        <w:tc>
          <w:tcPr>
            <w:tcW w:w="1418" w:type="dxa"/>
            <w:shd w:val="clear" w:color="auto" w:fill="auto"/>
            <w:vAlign w:val="center"/>
            <w:hideMark/>
          </w:tcPr>
          <w:p w14:paraId="5C34B97E"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3</w:t>
            </w:r>
          </w:p>
        </w:tc>
        <w:tc>
          <w:tcPr>
            <w:tcW w:w="1701" w:type="dxa"/>
            <w:shd w:val="clear" w:color="auto" w:fill="auto"/>
            <w:vAlign w:val="center"/>
            <w:hideMark/>
          </w:tcPr>
          <w:p w14:paraId="6DBCF3AF"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$15,900,000 </w:t>
            </w:r>
          </w:p>
        </w:tc>
        <w:tc>
          <w:tcPr>
            <w:tcW w:w="1559" w:type="dxa"/>
            <w:shd w:val="clear" w:color="auto" w:fill="auto"/>
            <w:vAlign w:val="center"/>
            <w:hideMark/>
          </w:tcPr>
          <w:p w14:paraId="04DD6369"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$13,061,400 </w:t>
            </w:r>
          </w:p>
        </w:tc>
        <w:tc>
          <w:tcPr>
            <w:tcW w:w="1711" w:type="dxa"/>
            <w:shd w:val="clear" w:color="auto" w:fill="auto"/>
            <w:vAlign w:val="center"/>
            <w:hideMark/>
          </w:tcPr>
          <w:p w14:paraId="3C3B56BC"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$83,735,050 </w:t>
            </w:r>
          </w:p>
        </w:tc>
      </w:tr>
      <w:tr w:rsidR="00767472" w:rsidRPr="00863D9F" w14:paraId="3CFF75C0" w14:textId="77777777" w:rsidTr="00255653">
        <w:trPr>
          <w:trHeight w:val="300"/>
        </w:trPr>
        <w:tc>
          <w:tcPr>
            <w:tcW w:w="2400" w:type="dxa"/>
            <w:shd w:val="clear" w:color="auto" w:fill="auto"/>
            <w:noWrap/>
            <w:hideMark/>
          </w:tcPr>
          <w:p w14:paraId="548CD1E4"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2032</w:t>
            </w:r>
          </w:p>
        </w:tc>
        <w:tc>
          <w:tcPr>
            <w:tcW w:w="1418" w:type="dxa"/>
            <w:shd w:val="clear" w:color="auto" w:fill="auto"/>
            <w:vAlign w:val="center"/>
            <w:hideMark/>
          </w:tcPr>
          <w:p w14:paraId="395D09B8"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3</w:t>
            </w:r>
          </w:p>
        </w:tc>
        <w:tc>
          <w:tcPr>
            <w:tcW w:w="1701" w:type="dxa"/>
            <w:shd w:val="clear" w:color="auto" w:fill="auto"/>
            <w:vAlign w:val="center"/>
            <w:hideMark/>
          </w:tcPr>
          <w:p w14:paraId="414AB548"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$15,900,000 </w:t>
            </w:r>
          </w:p>
        </w:tc>
        <w:tc>
          <w:tcPr>
            <w:tcW w:w="1559" w:type="dxa"/>
            <w:shd w:val="clear" w:color="auto" w:fill="auto"/>
            <w:vAlign w:val="center"/>
            <w:hideMark/>
          </w:tcPr>
          <w:p w14:paraId="6A195209"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$13,061,400 </w:t>
            </w:r>
          </w:p>
        </w:tc>
        <w:tc>
          <w:tcPr>
            <w:tcW w:w="1711" w:type="dxa"/>
            <w:shd w:val="clear" w:color="auto" w:fill="auto"/>
            <w:vAlign w:val="center"/>
            <w:hideMark/>
          </w:tcPr>
          <w:p w14:paraId="686D1D07"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$96,796,450 </w:t>
            </w:r>
          </w:p>
        </w:tc>
      </w:tr>
      <w:tr w:rsidR="00767472" w:rsidRPr="00863D9F" w14:paraId="6D58BFD5" w14:textId="77777777" w:rsidTr="00255653">
        <w:trPr>
          <w:trHeight w:val="300"/>
        </w:trPr>
        <w:tc>
          <w:tcPr>
            <w:tcW w:w="2400" w:type="dxa"/>
            <w:shd w:val="clear" w:color="auto" w:fill="auto"/>
            <w:noWrap/>
            <w:hideMark/>
          </w:tcPr>
          <w:p w14:paraId="2F552948"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2033</w:t>
            </w:r>
          </w:p>
        </w:tc>
        <w:tc>
          <w:tcPr>
            <w:tcW w:w="1418" w:type="dxa"/>
            <w:shd w:val="clear" w:color="auto" w:fill="auto"/>
            <w:vAlign w:val="center"/>
            <w:hideMark/>
          </w:tcPr>
          <w:p w14:paraId="711D8386"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3</w:t>
            </w:r>
          </w:p>
        </w:tc>
        <w:tc>
          <w:tcPr>
            <w:tcW w:w="1701" w:type="dxa"/>
            <w:shd w:val="clear" w:color="auto" w:fill="auto"/>
            <w:vAlign w:val="center"/>
            <w:hideMark/>
          </w:tcPr>
          <w:p w14:paraId="144B99C1"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$15,900,000 </w:t>
            </w:r>
          </w:p>
        </w:tc>
        <w:tc>
          <w:tcPr>
            <w:tcW w:w="1559" w:type="dxa"/>
            <w:shd w:val="clear" w:color="auto" w:fill="auto"/>
            <w:vAlign w:val="center"/>
            <w:hideMark/>
          </w:tcPr>
          <w:p w14:paraId="33562E25"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$13,061,400 </w:t>
            </w:r>
          </w:p>
        </w:tc>
        <w:tc>
          <w:tcPr>
            <w:tcW w:w="1711" w:type="dxa"/>
            <w:shd w:val="clear" w:color="auto" w:fill="auto"/>
            <w:vAlign w:val="center"/>
            <w:hideMark/>
          </w:tcPr>
          <w:p w14:paraId="0C3521A7"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$109,857,850 </w:t>
            </w:r>
          </w:p>
        </w:tc>
      </w:tr>
      <w:tr w:rsidR="00767472" w:rsidRPr="00863D9F" w14:paraId="7B8498F0" w14:textId="77777777" w:rsidTr="00255653">
        <w:trPr>
          <w:trHeight w:val="300"/>
        </w:trPr>
        <w:tc>
          <w:tcPr>
            <w:tcW w:w="2400" w:type="dxa"/>
            <w:shd w:val="clear" w:color="auto" w:fill="auto"/>
            <w:noWrap/>
            <w:hideMark/>
          </w:tcPr>
          <w:p w14:paraId="00C4491E"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2034</w:t>
            </w:r>
          </w:p>
        </w:tc>
        <w:tc>
          <w:tcPr>
            <w:tcW w:w="1418" w:type="dxa"/>
            <w:shd w:val="clear" w:color="auto" w:fill="auto"/>
            <w:vAlign w:val="center"/>
            <w:hideMark/>
          </w:tcPr>
          <w:p w14:paraId="0535A565"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3</w:t>
            </w:r>
          </w:p>
        </w:tc>
        <w:tc>
          <w:tcPr>
            <w:tcW w:w="1701" w:type="dxa"/>
            <w:shd w:val="clear" w:color="auto" w:fill="auto"/>
            <w:vAlign w:val="center"/>
            <w:hideMark/>
          </w:tcPr>
          <w:p w14:paraId="7616CE95"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$15,900,000 </w:t>
            </w:r>
          </w:p>
        </w:tc>
        <w:tc>
          <w:tcPr>
            <w:tcW w:w="1559" w:type="dxa"/>
            <w:shd w:val="clear" w:color="auto" w:fill="auto"/>
            <w:vAlign w:val="center"/>
            <w:hideMark/>
          </w:tcPr>
          <w:p w14:paraId="64002CFC"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$13,061,400 </w:t>
            </w:r>
          </w:p>
        </w:tc>
        <w:tc>
          <w:tcPr>
            <w:tcW w:w="1711" w:type="dxa"/>
            <w:shd w:val="clear" w:color="auto" w:fill="auto"/>
            <w:vAlign w:val="center"/>
            <w:hideMark/>
          </w:tcPr>
          <w:p w14:paraId="75CAAE10"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$122,919,250 </w:t>
            </w:r>
          </w:p>
        </w:tc>
      </w:tr>
    </w:tbl>
    <w:p w14:paraId="28EC3C94" w14:textId="409850B6" w:rsidR="00767472" w:rsidRPr="00AF6307" w:rsidRDefault="00767472" w:rsidP="00D21B3B">
      <w:pPr>
        <w:pStyle w:val="Numbered11"/>
        <w:rPr>
          <w:rFonts w:ascii="Roboto" w:hAnsi="Roboto"/>
          <w:sz w:val="32"/>
          <w:szCs w:val="32"/>
        </w:rPr>
      </w:pPr>
      <w:bookmarkStart w:id="80" w:name="_Toc139452474"/>
      <w:bookmarkStart w:id="81" w:name="_Toc140065195"/>
      <w:r w:rsidRPr="00AF6307">
        <w:rPr>
          <w:rFonts w:ascii="Roboto" w:hAnsi="Roboto"/>
          <w:sz w:val="32"/>
          <w:szCs w:val="32"/>
        </w:rPr>
        <w:t>Option 4– Mandatory safety standard and mandatory information standard and revoke current mandatory standards for household and folding cots</w:t>
      </w:r>
      <w:bookmarkEnd w:id="80"/>
      <w:bookmarkEnd w:id="81"/>
      <w:r w:rsidRPr="00AF6307">
        <w:rPr>
          <w:rFonts w:ascii="Roboto" w:hAnsi="Roboto"/>
          <w:sz w:val="32"/>
          <w:szCs w:val="32"/>
        </w:rPr>
        <w:t xml:space="preserve"> </w:t>
      </w:r>
    </w:p>
    <w:p w14:paraId="09DCCA51" w14:textId="77777777" w:rsidR="00767472" w:rsidRPr="00AF6307" w:rsidRDefault="00767472" w:rsidP="00D21B3B">
      <w:pPr>
        <w:pStyle w:val="Numbered111"/>
        <w:rPr>
          <w:sz w:val="28"/>
          <w:szCs w:val="28"/>
        </w:rPr>
      </w:pPr>
      <w:bookmarkStart w:id="82" w:name="_Toc139452475"/>
      <w:bookmarkStart w:id="83" w:name="_Toc140065196"/>
      <w:r w:rsidRPr="00AF6307">
        <w:rPr>
          <w:sz w:val="28"/>
          <w:szCs w:val="28"/>
        </w:rPr>
        <w:t>Costs</w:t>
      </w:r>
      <w:bookmarkEnd w:id="82"/>
      <w:bookmarkEnd w:id="83"/>
    </w:p>
    <w:p w14:paraId="764A4304" w14:textId="77777777" w:rsidR="00767472" w:rsidRPr="00863D9F" w:rsidRDefault="00767472" w:rsidP="00767472">
      <w:pPr>
        <w:spacing w:after="240"/>
      </w:pPr>
      <w:r w:rsidRPr="00863D9F">
        <w:t xml:space="preserve">In addition to an education campaign and the above estimated cost for a mandatory information standard, a mandatory safety standard would require Infant Sleep Products to meet design requirements meaning industry would face costs relating to testing, redesign and ongoing internal administration cost verifying compliance. Table 10 shows the total estimated cost based on information provided by industry. Due to the limited and confidential information provided by industry, a further breakdown of costs cannot be provided. </w:t>
      </w:r>
    </w:p>
    <w:p w14:paraId="19F9D622" w14:textId="77777777" w:rsidR="00767472" w:rsidRPr="00863D9F" w:rsidRDefault="00767472" w:rsidP="00F94148">
      <w:pPr>
        <w:pStyle w:val="Tabletitle"/>
      </w:pPr>
      <w:r w:rsidRPr="00863D9F">
        <w:t>Table 10: Estimated costs of a mandatory safety standard per year</w:t>
      </w:r>
    </w:p>
    <w:tbl>
      <w:tblPr>
        <w:tblStyle w:val="TableGrid"/>
        <w:tblW w:w="0" w:type="auto"/>
        <w:tblLook w:val="0400" w:firstRow="0" w:lastRow="0" w:firstColumn="0" w:lastColumn="0" w:noHBand="0" w:noVBand="1"/>
      </w:tblPr>
      <w:tblGrid>
        <w:gridCol w:w="4395"/>
        <w:gridCol w:w="4631"/>
      </w:tblGrid>
      <w:tr w:rsidR="00767472" w:rsidRPr="00863D9F" w14:paraId="3549B0FE" w14:textId="77777777" w:rsidTr="005E380D">
        <w:tc>
          <w:tcPr>
            <w:tcW w:w="4395" w:type="dxa"/>
          </w:tcPr>
          <w:p w14:paraId="20989C90" w14:textId="77777777" w:rsidR="00767472" w:rsidRPr="00863D9F" w:rsidRDefault="00767472" w:rsidP="005E380D">
            <w:pPr>
              <w:pStyle w:val="Tabletext"/>
            </w:pPr>
            <w:r w:rsidRPr="00863D9F">
              <w:t xml:space="preserve">Cost of product testing </w:t>
            </w:r>
          </w:p>
        </w:tc>
        <w:tc>
          <w:tcPr>
            <w:tcW w:w="4631" w:type="dxa"/>
          </w:tcPr>
          <w:p w14:paraId="19BAFB5C" w14:textId="77777777" w:rsidR="00767472" w:rsidRPr="00863D9F" w:rsidRDefault="00767472" w:rsidP="005E380D">
            <w:pPr>
              <w:pStyle w:val="Tabletext"/>
            </w:pPr>
            <w:r w:rsidRPr="00863D9F">
              <w:t>$1,600 - $8,000 per product line</w:t>
            </w:r>
          </w:p>
        </w:tc>
      </w:tr>
      <w:tr w:rsidR="00767472" w:rsidRPr="00863D9F" w14:paraId="45C094E1" w14:textId="77777777" w:rsidTr="005E380D">
        <w:tc>
          <w:tcPr>
            <w:tcW w:w="4395" w:type="dxa"/>
          </w:tcPr>
          <w:p w14:paraId="6717DF6E" w14:textId="77777777" w:rsidR="00767472" w:rsidRPr="00863D9F" w:rsidRDefault="00767472" w:rsidP="005E380D">
            <w:pPr>
              <w:pStyle w:val="Tabletext"/>
            </w:pPr>
            <w:r w:rsidRPr="00863D9F">
              <w:t xml:space="preserve">Cost of product redesign </w:t>
            </w:r>
          </w:p>
        </w:tc>
        <w:tc>
          <w:tcPr>
            <w:tcW w:w="4631" w:type="dxa"/>
          </w:tcPr>
          <w:p w14:paraId="19E37307" w14:textId="77777777" w:rsidR="00767472" w:rsidRPr="00863D9F" w:rsidRDefault="00767472" w:rsidP="005E380D">
            <w:pPr>
              <w:pStyle w:val="Tabletext"/>
            </w:pPr>
            <w:r w:rsidRPr="00863D9F">
              <w:t>$3,500 - $350,000 per product line</w:t>
            </w:r>
          </w:p>
        </w:tc>
      </w:tr>
      <w:tr w:rsidR="00767472" w:rsidRPr="00863D9F" w14:paraId="03B0BC37" w14:textId="77777777" w:rsidTr="005E380D">
        <w:tc>
          <w:tcPr>
            <w:tcW w:w="4395" w:type="dxa"/>
          </w:tcPr>
          <w:p w14:paraId="081C6491" w14:textId="77777777" w:rsidR="00767472" w:rsidRPr="00863D9F" w:rsidRDefault="00767472" w:rsidP="005E380D">
            <w:pPr>
              <w:pStyle w:val="Tabletext"/>
            </w:pPr>
            <w:r w:rsidRPr="00863D9F">
              <w:t xml:space="preserve">Cost of internal administration  </w:t>
            </w:r>
          </w:p>
        </w:tc>
        <w:tc>
          <w:tcPr>
            <w:tcW w:w="4631" w:type="dxa"/>
          </w:tcPr>
          <w:p w14:paraId="444AC693" w14:textId="77777777" w:rsidR="00767472" w:rsidRPr="00863D9F" w:rsidRDefault="00767472" w:rsidP="005E380D">
            <w:pPr>
              <w:pStyle w:val="Tabletext"/>
            </w:pPr>
            <w:r w:rsidRPr="00863D9F">
              <w:t xml:space="preserve">$473,200 - $728,000 per year for all suppliers </w:t>
            </w:r>
          </w:p>
        </w:tc>
      </w:tr>
      <w:tr w:rsidR="00767472" w:rsidRPr="00863D9F" w14:paraId="7CEC244E" w14:textId="77777777" w:rsidTr="005E380D">
        <w:tc>
          <w:tcPr>
            <w:tcW w:w="4395" w:type="dxa"/>
            <w:shd w:val="clear" w:color="auto" w:fill="CEF8F7" w:themeFill="accent2" w:themeFillTint="33"/>
          </w:tcPr>
          <w:p w14:paraId="2E31300C" w14:textId="77777777" w:rsidR="00767472" w:rsidRPr="00863D9F" w:rsidRDefault="00767472" w:rsidP="005E380D">
            <w:pPr>
              <w:pStyle w:val="Tabletext"/>
            </w:pPr>
            <w:r w:rsidRPr="00863D9F">
              <w:t>Total estimated costs</w:t>
            </w:r>
          </w:p>
        </w:tc>
        <w:tc>
          <w:tcPr>
            <w:tcW w:w="4631" w:type="dxa"/>
            <w:shd w:val="clear" w:color="auto" w:fill="CEF8F7" w:themeFill="accent2" w:themeFillTint="33"/>
          </w:tcPr>
          <w:p w14:paraId="300CFA54" w14:textId="77777777" w:rsidR="00767472" w:rsidRPr="00863D9F" w:rsidRDefault="00767472" w:rsidP="005E380D">
            <w:pPr>
              <w:pStyle w:val="Tabletext"/>
            </w:pPr>
            <w:r w:rsidRPr="00863D9F">
              <w:t>$1,193,200 - $161,828,000 per year</w:t>
            </w:r>
          </w:p>
        </w:tc>
      </w:tr>
    </w:tbl>
    <w:p w14:paraId="0A39C298" w14:textId="77777777" w:rsidR="00767472" w:rsidRPr="00863D9F" w:rsidRDefault="00767472" w:rsidP="00767472">
      <w:r w:rsidRPr="00863D9F">
        <w:t>The ACCC considers redesign of products would occur during the transition period prior to the commencement of the mandatory safety standard. However, to account for potential delays, the calculations include the cost of redesign for the first 2 years of regulation following the transition period. The ACCC projects the total cost to be between the cost ranges estimated by industry. Therefore, the total estimated cost for the mandatory safety standard would be $82,298,100 per year for the first 2 years and $2,760,600 per year from year 3 onwards.</w:t>
      </w:r>
      <w:r w:rsidRPr="00863D9F">
        <w:rPr>
          <w:rStyle w:val="FootnoteReference"/>
        </w:rPr>
        <w:footnoteReference w:id="30"/>
      </w:r>
      <w:r w:rsidRPr="00863D9F">
        <w:t xml:space="preserve"> The calculations are shown in </w:t>
      </w:r>
      <w:r w:rsidRPr="00863D9F">
        <w:rPr>
          <w:b/>
          <w:bCs/>
        </w:rPr>
        <w:t>Appendix 2</w:t>
      </w:r>
      <w:r w:rsidRPr="00863D9F">
        <w:t xml:space="preserve">. </w:t>
      </w:r>
    </w:p>
    <w:p w14:paraId="64EAF73D" w14:textId="77777777" w:rsidR="00767472" w:rsidRPr="00863D9F" w:rsidRDefault="00767472" w:rsidP="00767472">
      <w:r w:rsidRPr="00863D9F">
        <w:t xml:space="preserve">It is unclear how much, if any, of the projected cost of a mandatory safety standard would be passed onto consumers via price increases to products. However, the ACCC considers the mandatory safety standard would have the most benefit and impact on reducing infant fatalities associated with Infant Sleep Products because it addresses the risks associated with Infant Sleep Products at a design level, reducing the likelihood of misuse by consumers. </w:t>
      </w:r>
    </w:p>
    <w:p w14:paraId="251BDDF1" w14:textId="77777777" w:rsidR="00767472" w:rsidRPr="00863D9F" w:rsidRDefault="00767472" w:rsidP="00767472">
      <w:r w:rsidRPr="00863D9F">
        <w:t>The ACCC anticipates a reduction of 4 fatalities in the first year following the transition period. Based on the 4-year life span of Infant Sleep Products and large second-hand market, the ACCC estimates the rate of fatalities will reduce by a quarter each year after the first year to match the rate of non-regulated products exiting the second-hand market at the end of their lifespan. Table 11 demonstrates the 5-year projection of fatalities, total costs of regulation, plus total costs to society for continued fatalities and the overall accumulated cost.</w:t>
      </w:r>
      <w:r w:rsidRPr="00863D9F">
        <w:rPr>
          <w:rStyle w:val="FootnoteReference"/>
        </w:rPr>
        <w:footnoteReference w:id="31"/>
      </w:r>
      <w:r w:rsidRPr="00863D9F">
        <w:t xml:space="preserve"> The last row (shaded grey) compares the final net cost and the accumulative cost over 5 years to the costs of Option 1, taking no action (maintaining the status quo). A visual comparison of a mandatory safety standard compared to no action is illustrated in Figure 13 and 14. </w:t>
      </w:r>
    </w:p>
    <w:p w14:paraId="391E26EA" w14:textId="77777777" w:rsidR="00767472" w:rsidRPr="00863D9F" w:rsidRDefault="00767472" w:rsidP="00F94148">
      <w:pPr>
        <w:pStyle w:val="Tabletitle"/>
        <w:rPr>
          <w:highlight w:val="yellow"/>
        </w:rPr>
      </w:pPr>
      <w:r w:rsidRPr="00863D9F">
        <w:t xml:space="preserve">Table 11: 5-year projection of total costs for a mandatory safety standard on industry and society </w:t>
      </w:r>
    </w:p>
    <w:tbl>
      <w:tblPr>
        <w:tblStyle w:val="ACCCTable1"/>
        <w:tblW w:w="0" w:type="auto"/>
        <w:tblBorders>
          <w:top w:val="single" w:sz="8" w:space="0" w:color="D5D6D2" w:themeColor="background2"/>
          <w:left w:val="single" w:sz="8" w:space="0" w:color="D5D6D2" w:themeColor="background2"/>
          <w:bottom w:val="single" w:sz="8" w:space="0" w:color="D5D6D2" w:themeColor="background2"/>
          <w:right w:val="single" w:sz="8" w:space="0" w:color="D5D6D2" w:themeColor="background2"/>
          <w:insideH w:val="single" w:sz="8" w:space="0" w:color="D5D6D2" w:themeColor="background2"/>
          <w:insideV w:val="single" w:sz="8" w:space="0" w:color="D5D6D2" w:themeColor="background2"/>
        </w:tblBorders>
        <w:tblLook w:val="04A0" w:firstRow="1" w:lastRow="0" w:firstColumn="1" w:lastColumn="0" w:noHBand="0" w:noVBand="1"/>
      </w:tblPr>
      <w:tblGrid>
        <w:gridCol w:w="2292"/>
        <w:gridCol w:w="1128"/>
        <w:gridCol w:w="1112"/>
        <w:gridCol w:w="1460"/>
        <w:gridCol w:w="1496"/>
        <w:gridCol w:w="1518"/>
      </w:tblGrid>
      <w:tr w:rsidR="00767472" w:rsidRPr="00863D9F" w14:paraId="52BF11CB" w14:textId="77777777" w:rsidTr="004E0FE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92"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4C7B9F8" w14:textId="77777777" w:rsidR="00767472" w:rsidRPr="00863D9F" w:rsidRDefault="00767472" w:rsidP="005E380D">
            <w:pPr>
              <w:rPr>
                <w:rFonts w:cs="Arial"/>
                <w:bCs/>
              </w:rPr>
            </w:pPr>
            <w:r w:rsidRPr="00863D9F">
              <w:rPr>
                <w:rFonts w:cs="Arial"/>
                <w:bCs/>
              </w:rPr>
              <w:t>Year</w:t>
            </w:r>
          </w:p>
        </w:tc>
        <w:tc>
          <w:tcPr>
            <w:tcW w:w="1128"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D364C91"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rFonts w:cs="Arial"/>
                <w:bCs/>
              </w:rPr>
            </w:pPr>
            <w:r w:rsidRPr="00863D9F">
              <w:rPr>
                <w:rFonts w:cs="Arial"/>
                <w:bCs/>
              </w:rPr>
              <w:t xml:space="preserve">Fatality reduction </w:t>
            </w:r>
          </w:p>
        </w:tc>
        <w:tc>
          <w:tcPr>
            <w:tcW w:w="1112"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724189C"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rFonts w:cs="Arial"/>
                <w:bCs/>
              </w:rPr>
            </w:pPr>
            <w:r w:rsidRPr="00863D9F">
              <w:rPr>
                <w:rFonts w:cs="Arial"/>
                <w:bCs/>
              </w:rPr>
              <w:t xml:space="preserve">Fatalities per year </w:t>
            </w:r>
          </w:p>
        </w:tc>
        <w:tc>
          <w:tcPr>
            <w:tcW w:w="146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3ED112E1"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rFonts w:cs="Arial"/>
                <w:bCs/>
              </w:rPr>
            </w:pPr>
            <w:r w:rsidRPr="00863D9F">
              <w:rPr>
                <w:rFonts w:cs="Arial"/>
                <w:bCs/>
              </w:rPr>
              <w:t xml:space="preserve">Cost of fatalities </w:t>
            </w:r>
          </w:p>
        </w:tc>
        <w:tc>
          <w:tcPr>
            <w:tcW w:w="1496"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5CE2577"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rFonts w:cs="Arial"/>
                <w:bCs/>
              </w:rPr>
            </w:pPr>
            <w:r w:rsidRPr="00863D9F">
              <w:rPr>
                <w:rFonts w:cs="Arial"/>
                <w:bCs/>
              </w:rPr>
              <w:t>Final net cost</w:t>
            </w:r>
          </w:p>
        </w:tc>
        <w:tc>
          <w:tcPr>
            <w:tcW w:w="1518"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0803D5F" w14:textId="77777777" w:rsidR="00767472" w:rsidRPr="00863D9F" w:rsidRDefault="00767472" w:rsidP="005E380D">
            <w:pPr>
              <w:cnfStyle w:val="100000000000" w:firstRow="1" w:lastRow="0" w:firstColumn="0" w:lastColumn="0" w:oddVBand="0" w:evenVBand="0" w:oddHBand="0" w:evenHBand="0" w:firstRowFirstColumn="0" w:firstRowLastColumn="0" w:lastRowFirstColumn="0" w:lastRowLastColumn="0"/>
              <w:rPr>
                <w:rFonts w:cs="Arial"/>
                <w:bCs/>
              </w:rPr>
            </w:pPr>
            <w:r w:rsidRPr="00863D9F">
              <w:rPr>
                <w:rFonts w:cs="Arial"/>
                <w:bCs/>
              </w:rPr>
              <w:t>Accumulative costs over 5 years</w:t>
            </w:r>
          </w:p>
        </w:tc>
      </w:tr>
      <w:tr w:rsidR="00767472" w:rsidRPr="00863D9F" w14:paraId="3F10713A" w14:textId="77777777" w:rsidTr="005E380D">
        <w:trPr>
          <w:trHeight w:val="285"/>
        </w:trPr>
        <w:tc>
          <w:tcPr>
            <w:cnfStyle w:val="001000000000" w:firstRow="0" w:lastRow="0" w:firstColumn="1" w:lastColumn="0" w:oddVBand="0" w:evenVBand="0" w:oddHBand="0" w:evenHBand="0" w:firstRowFirstColumn="0" w:firstRowLastColumn="0" w:lastRowFirstColumn="0" w:lastRowLastColumn="0"/>
            <w:tcW w:w="2292" w:type="dxa"/>
            <w:hideMark/>
          </w:tcPr>
          <w:p w14:paraId="071A8001" w14:textId="77777777" w:rsidR="00767472" w:rsidRPr="00863D9F" w:rsidRDefault="00767472" w:rsidP="005E380D">
            <w:pPr>
              <w:spacing w:before="0"/>
              <w:rPr>
                <w:rFonts w:eastAsia="Times New Roman" w:cs="Arial"/>
                <w:b w:val="0"/>
                <w:bCs/>
                <w:color w:val="000000"/>
                <w:lang w:eastAsia="en-AU"/>
              </w:rPr>
            </w:pPr>
            <w:r w:rsidRPr="00863D9F">
              <w:rPr>
                <w:rFonts w:eastAsia="Times New Roman" w:cs="Arial"/>
                <w:b w:val="0"/>
                <w:bCs/>
                <w:color w:val="000000"/>
                <w:lang w:eastAsia="en-AU"/>
              </w:rPr>
              <w:t>2025</w:t>
            </w:r>
          </w:p>
        </w:tc>
        <w:tc>
          <w:tcPr>
            <w:tcW w:w="1128" w:type="dxa"/>
            <w:hideMark/>
          </w:tcPr>
          <w:p w14:paraId="1EAD4A7B"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eastAsia="Times New Roman" w:cs="Arial"/>
                <w:color w:val="000000"/>
                <w:lang w:eastAsia="en-AU"/>
              </w:rPr>
              <w:t>4</w:t>
            </w:r>
          </w:p>
        </w:tc>
        <w:tc>
          <w:tcPr>
            <w:tcW w:w="1112" w:type="dxa"/>
            <w:hideMark/>
          </w:tcPr>
          <w:p w14:paraId="790F1949"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color w:val="000000"/>
                <w:szCs w:val="20"/>
              </w:rPr>
              <w:t>6.43</w:t>
            </w:r>
          </w:p>
        </w:tc>
        <w:tc>
          <w:tcPr>
            <w:tcW w:w="1460" w:type="dxa"/>
            <w:hideMark/>
          </w:tcPr>
          <w:p w14:paraId="534A0618"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color w:val="000000"/>
                <w:szCs w:val="20"/>
              </w:rPr>
              <w:t xml:space="preserve">$34,079,000 </w:t>
            </w:r>
          </w:p>
        </w:tc>
        <w:tc>
          <w:tcPr>
            <w:tcW w:w="1496" w:type="dxa"/>
            <w:hideMark/>
          </w:tcPr>
          <w:p w14:paraId="59D8BB3B"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color w:val="000000"/>
                <w:szCs w:val="20"/>
              </w:rPr>
              <w:t xml:space="preserve">$116,377,100 </w:t>
            </w:r>
          </w:p>
        </w:tc>
        <w:tc>
          <w:tcPr>
            <w:tcW w:w="1518" w:type="dxa"/>
            <w:hideMark/>
          </w:tcPr>
          <w:p w14:paraId="6A93B194"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color w:val="000000"/>
                <w:szCs w:val="20"/>
              </w:rPr>
            </w:pPr>
            <w:r w:rsidRPr="00863D9F">
              <w:rPr>
                <w:color w:val="000000"/>
                <w:szCs w:val="20"/>
              </w:rPr>
              <w:t xml:space="preserve">$116,377,100 </w:t>
            </w:r>
          </w:p>
        </w:tc>
      </w:tr>
      <w:tr w:rsidR="00767472" w:rsidRPr="00863D9F" w14:paraId="38EAB2FD" w14:textId="77777777" w:rsidTr="005E380D">
        <w:trPr>
          <w:trHeight w:val="285"/>
        </w:trPr>
        <w:tc>
          <w:tcPr>
            <w:cnfStyle w:val="001000000000" w:firstRow="0" w:lastRow="0" w:firstColumn="1" w:lastColumn="0" w:oddVBand="0" w:evenVBand="0" w:oddHBand="0" w:evenHBand="0" w:firstRowFirstColumn="0" w:firstRowLastColumn="0" w:lastRowFirstColumn="0" w:lastRowLastColumn="0"/>
            <w:tcW w:w="2292" w:type="dxa"/>
            <w:hideMark/>
          </w:tcPr>
          <w:p w14:paraId="74D49E93" w14:textId="77777777" w:rsidR="00767472" w:rsidRPr="00863D9F" w:rsidRDefault="00767472" w:rsidP="005E380D">
            <w:pPr>
              <w:spacing w:before="0"/>
              <w:rPr>
                <w:rFonts w:eastAsia="Times New Roman" w:cs="Arial"/>
                <w:b w:val="0"/>
                <w:bCs/>
                <w:color w:val="000000"/>
                <w:lang w:eastAsia="en-AU"/>
              </w:rPr>
            </w:pPr>
            <w:r w:rsidRPr="00863D9F">
              <w:rPr>
                <w:rFonts w:eastAsia="Times New Roman" w:cs="Arial"/>
                <w:b w:val="0"/>
                <w:bCs/>
                <w:color w:val="000000"/>
                <w:lang w:eastAsia="en-AU"/>
              </w:rPr>
              <w:t>2026</w:t>
            </w:r>
          </w:p>
        </w:tc>
        <w:tc>
          <w:tcPr>
            <w:tcW w:w="1128" w:type="dxa"/>
            <w:hideMark/>
          </w:tcPr>
          <w:p w14:paraId="1BD46BCF"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eastAsia="Times New Roman" w:cs="Arial"/>
                <w:color w:val="000000"/>
                <w:lang w:eastAsia="en-AU"/>
              </w:rPr>
              <w:t>5</w:t>
            </w:r>
          </w:p>
        </w:tc>
        <w:tc>
          <w:tcPr>
            <w:tcW w:w="1112" w:type="dxa"/>
            <w:hideMark/>
          </w:tcPr>
          <w:p w14:paraId="3F38A829"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color w:val="000000"/>
                <w:szCs w:val="20"/>
              </w:rPr>
              <w:t>5.43</w:t>
            </w:r>
          </w:p>
        </w:tc>
        <w:tc>
          <w:tcPr>
            <w:tcW w:w="1460" w:type="dxa"/>
            <w:hideMark/>
          </w:tcPr>
          <w:p w14:paraId="7B97FD11"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$28,779,000 </w:t>
            </w:r>
          </w:p>
        </w:tc>
        <w:tc>
          <w:tcPr>
            <w:tcW w:w="1496" w:type="dxa"/>
            <w:hideMark/>
          </w:tcPr>
          <w:p w14:paraId="10D45CA8"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$111,077,100 </w:t>
            </w:r>
          </w:p>
        </w:tc>
        <w:tc>
          <w:tcPr>
            <w:tcW w:w="1518" w:type="dxa"/>
            <w:hideMark/>
          </w:tcPr>
          <w:p w14:paraId="3DF346AA"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color w:val="000000"/>
                <w:szCs w:val="20"/>
              </w:rPr>
            </w:pPr>
            <w:r w:rsidRPr="00863D9F">
              <w:rPr>
                <w:color w:val="000000"/>
                <w:szCs w:val="20"/>
              </w:rPr>
              <w:t xml:space="preserve">$227,454,200 </w:t>
            </w:r>
          </w:p>
        </w:tc>
      </w:tr>
      <w:tr w:rsidR="00767472" w:rsidRPr="00863D9F" w14:paraId="177F8DF4" w14:textId="77777777" w:rsidTr="005E380D">
        <w:trPr>
          <w:trHeight w:val="285"/>
        </w:trPr>
        <w:tc>
          <w:tcPr>
            <w:cnfStyle w:val="001000000000" w:firstRow="0" w:lastRow="0" w:firstColumn="1" w:lastColumn="0" w:oddVBand="0" w:evenVBand="0" w:oddHBand="0" w:evenHBand="0" w:firstRowFirstColumn="0" w:firstRowLastColumn="0" w:lastRowFirstColumn="0" w:lastRowLastColumn="0"/>
            <w:tcW w:w="2292" w:type="dxa"/>
            <w:hideMark/>
          </w:tcPr>
          <w:p w14:paraId="1EE1557A" w14:textId="77777777" w:rsidR="00767472" w:rsidRPr="00863D9F" w:rsidRDefault="00767472" w:rsidP="005E380D">
            <w:pPr>
              <w:spacing w:before="0"/>
              <w:rPr>
                <w:rFonts w:eastAsia="Times New Roman" w:cs="Arial"/>
                <w:b w:val="0"/>
                <w:bCs/>
                <w:color w:val="000000"/>
                <w:lang w:eastAsia="en-AU"/>
              </w:rPr>
            </w:pPr>
            <w:r w:rsidRPr="00863D9F">
              <w:rPr>
                <w:rFonts w:eastAsia="Times New Roman" w:cs="Arial"/>
                <w:b w:val="0"/>
                <w:bCs/>
                <w:color w:val="000000"/>
                <w:lang w:eastAsia="en-AU"/>
              </w:rPr>
              <w:t>2027</w:t>
            </w:r>
          </w:p>
        </w:tc>
        <w:tc>
          <w:tcPr>
            <w:tcW w:w="1128" w:type="dxa"/>
            <w:hideMark/>
          </w:tcPr>
          <w:p w14:paraId="4598DA53"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eastAsia="Times New Roman" w:cs="Arial"/>
                <w:color w:val="000000"/>
                <w:lang w:eastAsia="en-AU"/>
              </w:rPr>
              <w:t>6</w:t>
            </w:r>
          </w:p>
        </w:tc>
        <w:tc>
          <w:tcPr>
            <w:tcW w:w="1112" w:type="dxa"/>
            <w:hideMark/>
          </w:tcPr>
          <w:p w14:paraId="13FC740D"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color w:val="000000"/>
                <w:szCs w:val="20"/>
              </w:rPr>
              <w:t>4.43</w:t>
            </w:r>
          </w:p>
        </w:tc>
        <w:tc>
          <w:tcPr>
            <w:tcW w:w="1460" w:type="dxa"/>
            <w:hideMark/>
          </w:tcPr>
          <w:p w14:paraId="56FCDEA7"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$23,479,000 </w:t>
            </w:r>
          </w:p>
        </w:tc>
        <w:tc>
          <w:tcPr>
            <w:tcW w:w="1496" w:type="dxa"/>
            <w:hideMark/>
          </w:tcPr>
          <w:p w14:paraId="3DF694E5"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$26,239,600 </w:t>
            </w:r>
          </w:p>
        </w:tc>
        <w:tc>
          <w:tcPr>
            <w:tcW w:w="1518" w:type="dxa"/>
            <w:hideMark/>
          </w:tcPr>
          <w:p w14:paraId="37BAE212"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color w:val="000000"/>
                <w:szCs w:val="20"/>
              </w:rPr>
            </w:pPr>
            <w:r w:rsidRPr="00863D9F">
              <w:rPr>
                <w:color w:val="000000"/>
                <w:szCs w:val="20"/>
              </w:rPr>
              <w:t xml:space="preserve">$253,693,800 </w:t>
            </w:r>
          </w:p>
        </w:tc>
      </w:tr>
      <w:tr w:rsidR="00767472" w:rsidRPr="00863D9F" w14:paraId="510259A5" w14:textId="77777777" w:rsidTr="005E380D">
        <w:trPr>
          <w:trHeight w:val="285"/>
        </w:trPr>
        <w:tc>
          <w:tcPr>
            <w:cnfStyle w:val="001000000000" w:firstRow="0" w:lastRow="0" w:firstColumn="1" w:lastColumn="0" w:oddVBand="0" w:evenVBand="0" w:oddHBand="0" w:evenHBand="0" w:firstRowFirstColumn="0" w:firstRowLastColumn="0" w:lastRowFirstColumn="0" w:lastRowLastColumn="0"/>
            <w:tcW w:w="2292" w:type="dxa"/>
            <w:hideMark/>
          </w:tcPr>
          <w:p w14:paraId="13759313" w14:textId="77777777" w:rsidR="00767472" w:rsidRPr="00863D9F" w:rsidRDefault="00767472" w:rsidP="005E380D">
            <w:pPr>
              <w:spacing w:before="0"/>
              <w:rPr>
                <w:rFonts w:eastAsia="Times New Roman" w:cs="Arial"/>
                <w:b w:val="0"/>
                <w:bCs/>
                <w:color w:val="000000"/>
                <w:lang w:eastAsia="en-AU"/>
              </w:rPr>
            </w:pPr>
            <w:r w:rsidRPr="00863D9F">
              <w:rPr>
                <w:rFonts w:eastAsia="Times New Roman" w:cs="Arial"/>
                <w:b w:val="0"/>
                <w:bCs/>
                <w:color w:val="000000"/>
                <w:lang w:eastAsia="en-AU"/>
              </w:rPr>
              <w:t>2028</w:t>
            </w:r>
          </w:p>
        </w:tc>
        <w:tc>
          <w:tcPr>
            <w:tcW w:w="1128" w:type="dxa"/>
            <w:hideMark/>
          </w:tcPr>
          <w:p w14:paraId="2097F3AE"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eastAsia="Times New Roman" w:cs="Arial"/>
                <w:color w:val="000000"/>
                <w:lang w:eastAsia="en-AU"/>
              </w:rPr>
              <w:t>7</w:t>
            </w:r>
          </w:p>
        </w:tc>
        <w:tc>
          <w:tcPr>
            <w:tcW w:w="1112" w:type="dxa"/>
            <w:hideMark/>
          </w:tcPr>
          <w:p w14:paraId="006C2166"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color w:val="000000"/>
                <w:szCs w:val="20"/>
              </w:rPr>
              <w:t>3.43</w:t>
            </w:r>
          </w:p>
        </w:tc>
        <w:tc>
          <w:tcPr>
            <w:tcW w:w="1460" w:type="dxa"/>
            <w:hideMark/>
          </w:tcPr>
          <w:p w14:paraId="4F49E899"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$18,179,000 </w:t>
            </w:r>
          </w:p>
        </w:tc>
        <w:tc>
          <w:tcPr>
            <w:tcW w:w="1496" w:type="dxa"/>
            <w:hideMark/>
          </w:tcPr>
          <w:p w14:paraId="616D054E"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$20,939,600 </w:t>
            </w:r>
          </w:p>
        </w:tc>
        <w:tc>
          <w:tcPr>
            <w:tcW w:w="1518" w:type="dxa"/>
            <w:hideMark/>
          </w:tcPr>
          <w:p w14:paraId="2E7170D5"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color w:val="000000"/>
                <w:szCs w:val="20"/>
              </w:rPr>
            </w:pPr>
            <w:r w:rsidRPr="00863D9F">
              <w:rPr>
                <w:color w:val="000000"/>
                <w:szCs w:val="20"/>
              </w:rPr>
              <w:t xml:space="preserve">$274,633,400 </w:t>
            </w:r>
          </w:p>
        </w:tc>
      </w:tr>
      <w:tr w:rsidR="00767472" w:rsidRPr="00863D9F" w14:paraId="6EC77F5F" w14:textId="77777777" w:rsidTr="005E380D">
        <w:trPr>
          <w:trHeight w:val="285"/>
        </w:trPr>
        <w:tc>
          <w:tcPr>
            <w:cnfStyle w:val="001000000000" w:firstRow="0" w:lastRow="0" w:firstColumn="1" w:lastColumn="0" w:oddVBand="0" w:evenVBand="0" w:oddHBand="0" w:evenHBand="0" w:firstRowFirstColumn="0" w:firstRowLastColumn="0" w:lastRowFirstColumn="0" w:lastRowLastColumn="0"/>
            <w:tcW w:w="2292" w:type="dxa"/>
            <w:hideMark/>
          </w:tcPr>
          <w:p w14:paraId="6235E69B" w14:textId="77777777" w:rsidR="00767472" w:rsidRPr="00863D9F" w:rsidRDefault="00767472" w:rsidP="005E380D">
            <w:pPr>
              <w:spacing w:before="0"/>
              <w:rPr>
                <w:rFonts w:eastAsia="Times New Roman" w:cs="Arial"/>
                <w:b w:val="0"/>
                <w:bCs/>
                <w:color w:val="000000"/>
                <w:lang w:eastAsia="en-AU"/>
              </w:rPr>
            </w:pPr>
            <w:r w:rsidRPr="00863D9F">
              <w:rPr>
                <w:rFonts w:eastAsia="Times New Roman" w:cs="Arial"/>
                <w:b w:val="0"/>
                <w:bCs/>
                <w:color w:val="000000"/>
                <w:lang w:eastAsia="en-AU"/>
              </w:rPr>
              <w:t>2029 (and there on)</w:t>
            </w:r>
          </w:p>
        </w:tc>
        <w:tc>
          <w:tcPr>
            <w:tcW w:w="1128" w:type="dxa"/>
            <w:hideMark/>
          </w:tcPr>
          <w:p w14:paraId="48DCB614"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eastAsia="Times New Roman" w:cs="Arial"/>
                <w:color w:val="000000"/>
                <w:lang w:eastAsia="en-AU"/>
              </w:rPr>
              <w:t>8</w:t>
            </w:r>
          </w:p>
        </w:tc>
        <w:tc>
          <w:tcPr>
            <w:tcW w:w="1112" w:type="dxa"/>
            <w:hideMark/>
          </w:tcPr>
          <w:p w14:paraId="5641FB13"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color w:val="000000"/>
                <w:szCs w:val="20"/>
              </w:rPr>
              <w:t>2.43</w:t>
            </w:r>
          </w:p>
        </w:tc>
        <w:tc>
          <w:tcPr>
            <w:tcW w:w="1460" w:type="dxa"/>
            <w:hideMark/>
          </w:tcPr>
          <w:p w14:paraId="3C49F1A0"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$12,879,000 </w:t>
            </w:r>
          </w:p>
        </w:tc>
        <w:tc>
          <w:tcPr>
            <w:tcW w:w="1496" w:type="dxa"/>
            <w:hideMark/>
          </w:tcPr>
          <w:p w14:paraId="7BC76C46"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cs="Arial"/>
                <w:color w:val="000000"/>
                <w:szCs w:val="20"/>
              </w:rPr>
              <w:t xml:space="preserve">$15,639,600 </w:t>
            </w:r>
          </w:p>
        </w:tc>
        <w:tc>
          <w:tcPr>
            <w:tcW w:w="1518" w:type="dxa"/>
            <w:hideMark/>
          </w:tcPr>
          <w:p w14:paraId="2C91C1E0"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b/>
                <w:bCs/>
                <w:color w:val="000000"/>
                <w:szCs w:val="20"/>
              </w:rPr>
            </w:pPr>
            <w:r w:rsidRPr="00863D9F">
              <w:rPr>
                <w:b/>
                <w:bCs/>
                <w:color w:val="000000"/>
                <w:szCs w:val="20"/>
              </w:rPr>
              <w:t xml:space="preserve">$290,273,000 </w:t>
            </w:r>
          </w:p>
        </w:tc>
      </w:tr>
      <w:tr w:rsidR="00767472" w:rsidRPr="00863D9F" w14:paraId="5E8AC590" w14:textId="77777777" w:rsidTr="005E380D">
        <w:trPr>
          <w:trHeight w:val="285"/>
        </w:trPr>
        <w:tc>
          <w:tcPr>
            <w:cnfStyle w:val="001000000000" w:firstRow="0" w:lastRow="0" w:firstColumn="1" w:lastColumn="0" w:oddVBand="0" w:evenVBand="0" w:oddHBand="0" w:evenHBand="0" w:firstRowFirstColumn="0" w:firstRowLastColumn="0" w:lastRowFirstColumn="0" w:lastRowLastColumn="0"/>
            <w:tcW w:w="2292" w:type="dxa"/>
            <w:shd w:val="clear" w:color="auto" w:fill="F2F2F2" w:themeFill="background1" w:themeFillShade="F2"/>
          </w:tcPr>
          <w:p w14:paraId="766E46E9" w14:textId="77777777" w:rsidR="00767472" w:rsidRPr="00863D9F" w:rsidRDefault="00767472" w:rsidP="005E380D">
            <w:pPr>
              <w:spacing w:before="0"/>
              <w:rPr>
                <w:rFonts w:eastAsia="Times New Roman" w:cs="Arial"/>
                <w:bCs/>
                <w:color w:val="000000"/>
                <w:lang w:eastAsia="en-AU"/>
              </w:rPr>
            </w:pPr>
            <w:r w:rsidRPr="00863D9F">
              <w:rPr>
                <w:rFonts w:eastAsia="Times New Roman" w:cs="Arial"/>
                <w:bCs/>
                <w:color w:val="000000"/>
                <w:lang w:eastAsia="en-AU"/>
              </w:rPr>
              <w:t xml:space="preserve">2029 No action </w:t>
            </w:r>
          </w:p>
        </w:tc>
        <w:tc>
          <w:tcPr>
            <w:tcW w:w="1128" w:type="dxa"/>
            <w:shd w:val="clear" w:color="auto" w:fill="F2F2F2" w:themeFill="background1" w:themeFillShade="F2"/>
          </w:tcPr>
          <w:p w14:paraId="7FA34BF5"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eastAsia="Times New Roman" w:cs="Arial"/>
                <w:color w:val="000000"/>
                <w:lang w:eastAsia="en-AU"/>
              </w:rPr>
              <w:t>0</w:t>
            </w:r>
          </w:p>
        </w:tc>
        <w:tc>
          <w:tcPr>
            <w:tcW w:w="1112" w:type="dxa"/>
            <w:shd w:val="clear" w:color="auto" w:fill="F2F2F2" w:themeFill="background1" w:themeFillShade="F2"/>
          </w:tcPr>
          <w:p w14:paraId="36A5E4D3"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t>11.75</w:t>
            </w:r>
          </w:p>
        </w:tc>
        <w:tc>
          <w:tcPr>
            <w:tcW w:w="1460" w:type="dxa"/>
            <w:shd w:val="clear" w:color="auto" w:fill="F2F2F2" w:themeFill="background1" w:themeFillShade="F2"/>
          </w:tcPr>
          <w:p w14:paraId="15483F02"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t xml:space="preserve">$62,252,552 </w:t>
            </w:r>
          </w:p>
        </w:tc>
        <w:tc>
          <w:tcPr>
            <w:tcW w:w="1496" w:type="dxa"/>
            <w:shd w:val="clear" w:color="auto" w:fill="F2F2F2" w:themeFill="background1" w:themeFillShade="F2"/>
          </w:tcPr>
          <w:p w14:paraId="0FA5E6BA"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t>$62,252,552</w:t>
            </w:r>
          </w:p>
        </w:tc>
        <w:tc>
          <w:tcPr>
            <w:tcW w:w="1518" w:type="dxa"/>
            <w:shd w:val="clear" w:color="auto" w:fill="F2F2F2" w:themeFill="background1" w:themeFillShade="F2"/>
          </w:tcPr>
          <w:p w14:paraId="6A912D7B" w14:textId="77777777" w:rsidR="00767472" w:rsidRPr="00863D9F" w:rsidRDefault="00767472" w:rsidP="005E380D">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863D9F">
              <w:rPr>
                <w:rFonts w:eastAsia="Times New Roman" w:cs="Arial"/>
                <w:color w:val="000000"/>
                <w:lang w:eastAsia="en-AU"/>
              </w:rPr>
              <w:t>$301,199,977</w:t>
            </w:r>
          </w:p>
        </w:tc>
      </w:tr>
    </w:tbl>
    <w:p w14:paraId="0CCA0526" w14:textId="77777777" w:rsidR="00767472" w:rsidRPr="00863D9F" w:rsidRDefault="00767472" w:rsidP="00767472">
      <w:r w:rsidRPr="00863D9F">
        <w:t xml:space="preserve">The estimated costs do not account for inflation and assumes the VLS remains at $5,300,000 per fatality. The ACCC also assumes non-compliant products are sold prior to the end of the transition period and therefore have not included the cost of disposing of non-compliant products in the estimated costs. </w:t>
      </w:r>
    </w:p>
    <w:p w14:paraId="3D34427F" w14:textId="77777777" w:rsidR="00767472" w:rsidRPr="00863D9F" w:rsidRDefault="00767472" w:rsidP="00767472">
      <w:pPr>
        <w:pStyle w:val="Bulletpoint"/>
        <w:numPr>
          <w:ilvl w:val="0"/>
          <w:numId w:val="0"/>
        </w:numPr>
      </w:pPr>
      <w:r w:rsidRPr="00863D9F">
        <w:t xml:space="preserve">Additionally, the ongoing internal administration cost verifying compliance was included for both the mandatory information standard and a mandatory safety standard. Whereas Infant Sleep Products would be required to comply with both the mandatory safety standard and mandatory information standard, meaning that by including the internal administration cost twice, it is likely an over estimation of the practical costs. </w:t>
      </w:r>
    </w:p>
    <w:p w14:paraId="18E7C4C0" w14:textId="77777777" w:rsidR="00767472" w:rsidRPr="00AF6307" w:rsidRDefault="00767472" w:rsidP="00D21B3B">
      <w:pPr>
        <w:pStyle w:val="Numbered111"/>
        <w:rPr>
          <w:sz w:val="28"/>
          <w:szCs w:val="28"/>
        </w:rPr>
      </w:pPr>
      <w:bookmarkStart w:id="84" w:name="_Toc139452476"/>
      <w:bookmarkStart w:id="85" w:name="_Toc140065197"/>
      <w:r w:rsidRPr="00AF6307">
        <w:rPr>
          <w:sz w:val="28"/>
          <w:szCs w:val="28"/>
        </w:rPr>
        <w:t>Benefits</w:t>
      </w:r>
      <w:bookmarkEnd w:id="84"/>
      <w:bookmarkEnd w:id="85"/>
    </w:p>
    <w:p w14:paraId="0E73BF96" w14:textId="77777777" w:rsidR="00767472" w:rsidRPr="00863D9F" w:rsidRDefault="00767472" w:rsidP="00767472">
      <w:r w:rsidRPr="00863D9F">
        <w:t xml:space="preserve">When considering the benefits of a mandatory safety standard in relation to the costs to society of continued fatalities, we assume the anticipated number of fatalities in the first year of regulation also reduce by 4. The cost to industry of a mandatory safety standard is $82,298,100 per year for the first 2 years, and $2,760,600 per year from year 3 onwards. This means the net benefit of regulation will be negative until 2029 but becomes a positive cost benefit from 2030 onwards as shown in Table 12. The initial negative benefit of a mandatory safety standard accounts for the cost to industry for the redesign of products to comply with the design requirements. </w:t>
      </w:r>
    </w:p>
    <w:p w14:paraId="09899C10" w14:textId="77777777" w:rsidR="00767472" w:rsidRPr="00863D9F" w:rsidRDefault="00767472" w:rsidP="00F94148">
      <w:pPr>
        <w:pStyle w:val="Tabletitle"/>
      </w:pPr>
      <w:r w:rsidRPr="00863D9F">
        <w:t>Table 12: Net benefit of a mandatory safety standard</w:t>
      </w:r>
    </w:p>
    <w:tbl>
      <w:tblPr>
        <w:tblW w:w="8926"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Look w:val="04A0" w:firstRow="1" w:lastRow="0" w:firstColumn="1" w:lastColumn="0" w:noHBand="0" w:noVBand="1"/>
      </w:tblPr>
      <w:tblGrid>
        <w:gridCol w:w="2405"/>
        <w:gridCol w:w="1134"/>
        <w:gridCol w:w="1559"/>
        <w:gridCol w:w="1701"/>
        <w:gridCol w:w="2127"/>
      </w:tblGrid>
      <w:tr w:rsidR="00767472" w:rsidRPr="00863D9F" w14:paraId="7C2F1799" w14:textId="77777777" w:rsidTr="00255653">
        <w:trPr>
          <w:trHeight w:val="530"/>
        </w:trPr>
        <w:tc>
          <w:tcPr>
            <w:tcW w:w="2405" w:type="dxa"/>
            <w:shd w:val="clear" w:color="auto" w:fill="auto"/>
            <w:hideMark/>
          </w:tcPr>
          <w:p w14:paraId="7F34B89F" w14:textId="77777777" w:rsidR="00767472" w:rsidRPr="00863D9F" w:rsidRDefault="00767472" w:rsidP="005E380D">
            <w:pPr>
              <w:spacing w:before="0"/>
              <w:rPr>
                <w:rFonts w:eastAsia="Times New Roman" w:cs="Arial"/>
                <w:b/>
                <w:bCs/>
                <w:color w:val="000000"/>
                <w:sz w:val="20"/>
                <w:szCs w:val="20"/>
                <w:lang w:eastAsia="en-AU"/>
              </w:rPr>
            </w:pPr>
            <w:r w:rsidRPr="00863D9F">
              <w:rPr>
                <w:rFonts w:eastAsia="Times New Roman" w:cs="Arial"/>
                <w:b/>
                <w:bCs/>
                <w:color w:val="000000"/>
                <w:sz w:val="20"/>
                <w:szCs w:val="20"/>
                <w:lang w:eastAsia="en-AU"/>
              </w:rPr>
              <w:t>Year</w:t>
            </w:r>
          </w:p>
        </w:tc>
        <w:tc>
          <w:tcPr>
            <w:tcW w:w="1134" w:type="dxa"/>
            <w:shd w:val="clear" w:color="auto" w:fill="auto"/>
            <w:hideMark/>
          </w:tcPr>
          <w:p w14:paraId="249BAF6A" w14:textId="77777777" w:rsidR="00767472" w:rsidRPr="00863D9F" w:rsidRDefault="00767472" w:rsidP="005E380D">
            <w:pPr>
              <w:spacing w:before="0"/>
              <w:rPr>
                <w:rFonts w:eastAsia="Times New Roman" w:cs="Arial"/>
                <w:b/>
                <w:bCs/>
                <w:color w:val="000000"/>
                <w:sz w:val="20"/>
                <w:szCs w:val="20"/>
                <w:lang w:eastAsia="en-AU"/>
              </w:rPr>
            </w:pPr>
            <w:r w:rsidRPr="00863D9F">
              <w:rPr>
                <w:rFonts w:eastAsia="Times New Roman" w:cs="Arial"/>
                <w:b/>
                <w:bCs/>
                <w:color w:val="000000"/>
                <w:sz w:val="20"/>
                <w:szCs w:val="20"/>
                <w:lang w:eastAsia="en-AU"/>
              </w:rPr>
              <w:t xml:space="preserve">Fatality reduction </w:t>
            </w:r>
          </w:p>
        </w:tc>
        <w:tc>
          <w:tcPr>
            <w:tcW w:w="1559" w:type="dxa"/>
            <w:shd w:val="clear" w:color="auto" w:fill="auto"/>
            <w:hideMark/>
          </w:tcPr>
          <w:p w14:paraId="03A52E88" w14:textId="77777777" w:rsidR="00767472" w:rsidRPr="00863D9F" w:rsidRDefault="00767472" w:rsidP="005E380D">
            <w:pPr>
              <w:spacing w:before="0"/>
              <w:rPr>
                <w:rFonts w:eastAsia="Times New Roman" w:cs="Arial"/>
                <w:b/>
                <w:bCs/>
                <w:color w:val="000000"/>
                <w:sz w:val="20"/>
                <w:szCs w:val="20"/>
                <w:lang w:eastAsia="en-AU"/>
              </w:rPr>
            </w:pPr>
            <w:r w:rsidRPr="00863D9F">
              <w:rPr>
                <w:rFonts w:eastAsia="Times New Roman" w:cs="Arial"/>
                <w:b/>
                <w:bCs/>
                <w:color w:val="000000"/>
                <w:sz w:val="20"/>
                <w:szCs w:val="20"/>
                <w:lang w:eastAsia="en-AU"/>
              </w:rPr>
              <w:t>Benefit</w:t>
            </w:r>
          </w:p>
        </w:tc>
        <w:tc>
          <w:tcPr>
            <w:tcW w:w="1701" w:type="dxa"/>
            <w:shd w:val="clear" w:color="auto" w:fill="auto"/>
            <w:hideMark/>
          </w:tcPr>
          <w:p w14:paraId="72F6D3A5" w14:textId="77777777" w:rsidR="00767472" w:rsidRPr="00863D9F" w:rsidRDefault="00767472" w:rsidP="005E380D">
            <w:pPr>
              <w:spacing w:before="0"/>
              <w:rPr>
                <w:rFonts w:eastAsia="Times New Roman" w:cs="Arial"/>
                <w:b/>
                <w:bCs/>
                <w:color w:val="000000"/>
                <w:sz w:val="20"/>
                <w:szCs w:val="20"/>
                <w:lang w:eastAsia="en-AU"/>
              </w:rPr>
            </w:pPr>
            <w:r w:rsidRPr="00863D9F">
              <w:rPr>
                <w:rFonts w:eastAsia="Times New Roman" w:cs="Arial"/>
                <w:b/>
                <w:bCs/>
                <w:color w:val="000000"/>
                <w:sz w:val="20"/>
                <w:szCs w:val="20"/>
                <w:lang w:eastAsia="en-AU"/>
              </w:rPr>
              <w:t>Net benefit</w:t>
            </w:r>
          </w:p>
        </w:tc>
        <w:tc>
          <w:tcPr>
            <w:tcW w:w="2127" w:type="dxa"/>
            <w:shd w:val="clear" w:color="auto" w:fill="auto"/>
            <w:hideMark/>
          </w:tcPr>
          <w:p w14:paraId="022262A5" w14:textId="77777777" w:rsidR="00767472" w:rsidRPr="00863D9F" w:rsidRDefault="00767472" w:rsidP="005E380D">
            <w:pPr>
              <w:spacing w:before="0"/>
              <w:rPr>
                <w:rFonts w:eastAsia="Times New Roman" w:cs="Arial"/>
                <w:b/>
                <w:bCs/>
                <w:color w:val="000000"/>
                <w:sz w:val="20"/>
                <w:szCs w:val="20"/>
                <w:lang w:eastAsia="en-AU"/>
              </w:rPr>
            </w:pPr>
            <w:r w:rsidRPr="00863D9F">
              <w:rPr>
                <w:rFonts w:eastAsia="Times New Roman" w:cs="Arial"/>
                <w:b/>
                <w:bCs/>
                <w:color w:val="000000"/>
                <w:sz w:val="20"/>
                <w:szCs w:val="20"/>
                <w:lang w:eastAsia="en-AU"/>
              </w:rPr>
              <w:t>Accumulative net benefit</w:t>
            </w:r>
          </w:p>
        </w:tc>
      </w:tr>
      <w:tr w:rsidR="00767472" w:rsidRPr="00863D9F" w14:paraId="7410D093" w14:textId="77777777" w:rsidTr="00255653">
        <w:trPr>
          <w:trHeight w:val="300"/>
        </w:trPr>
        <w:tc>
          <w:tcPr>
            <w:tcW w:w="2405"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hideMark/>
          </w:tcPr>
          <w:p w14:paraId="35A9499D"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2024 (transition period)</w:t>
            </w:r>
          </w:p>
        </w:tc>
        <w:tc>
          <w:tcPr>
            <w:tcW w:w="1134"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3A79CE59"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0</w:t>
            </w:r>
          </w:p>
        </w:tc>
        <w:tc>
          <w:tcPr>
            <w:tcW w:w="1559"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6DEDFCA7"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$0 </w:t>
            </w:r>
          </w:p>
        </w:tc>
        <w:tc>
          <w:tcPr>
            <w:tcW w:w="1701"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5E028814"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$0 </w:t>
            </w:r>
          </w:p>
        </w:tc>
        <w:tc>
          <w:tcPr>
            <w:tcW w:w="2127"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noWrap/>
            <w:vAlign w:val="center"/>
            <w:hideMark/>
          </w:tcPr>
          <w:p w14:paraId="222B5962"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$0 </w:t>
            </w:r>
          </w:p>
        </w:tc>
      </w:tr>
      <w:tr w:rsidR="00767472" w:rsidRPr="00863D9F" w14:paraId="678B8C39" w14:textId="77777777" w:rsidTr="00255653">
        <w:trPr>
          <w:trHeight w:val="300"/>
        </w:trPr>
        <w:tc>
          <w:tcPr>
            <w:tcW w:w="2405"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hideMark/>
          </w:tcPr>
          <w:p w14:paraId="441E9EA6"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2025</w:t>
            </w:r>
          </w:p>
        </w:tc>
        <w:tc>
          <w:tcPr>
            <w:tcW w:w="1134"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65B91AE6"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4</w:t>
            </w:r>
          </w:p>
        </w:tc>
        <w:tc>
          <w:tcPr>
            <w:tcW w:w="1559"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0949C62B"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$21,200,000 </w:t>
            </w:r>
          </w:p>
        </w:tc>
        <w:tc>
          <w:tcPr>
            <w:tcW w:w="1701"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6E442693" w14:textId="77777777" w:rsidR="00767472" w:rsidRPr="00863D9F" w:rsidRDefault="00767472" w:rsidP="00255653">
            <w:pPr>
              <w:spacing w:before="0"/>
              <w:jc w:val="right"/>
              <w:rPr>
                <w:rFonts w:eastAsia="Times New Roman" w:cs="Arial"/>
                <w:color w:val="FF0000"/>
                <w:sz w:val="20"/>
                <w:szCs w:val="20"/>
                <w:lang w:eastAsia="en-AU"/>
              </w:rPr>
            </w:pPr>
            <w:r w:rsidRPr="00863D9F">
              <w:rPr>
                <w:rFonts w:eastAsia="Times New Roman" w:cs="Arial"/>
                <w:color w:val="FF0000"/>
                <w:sz w:val="20"/>
                <w:szCs w:val="20"/>
                <w:lang w:eastAsia="en-AU"/>
              </w:rPr>
              <w:t>- $61,098,100</w:t>
            </w:r>
          </w:p>
        </w:tc>
        <w:tc>
          <w:tcPr>
            <w:tcW w:w="2127"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noWrap/>
            <w:vAlign w:val="center"/>
            <w:hideMark/>
          </w:tcPr>
          <w:p w14:paraId="4788D621" w14:textId="77777777" w:rsidR="00767472" w:rsidRPr="00863D9F" w:rsidRDefault="00767472" w:rsidP="00255653">
            <w:pPr>
              <w:spacing w:before="0"/>
              <w:jc w:val="right"/>
              <w:rPr>
                <w:rFonts w:eastAsia="Times New Roman" w:cs="Arial"/>
                <w:color w:val="FF0000"/>
                <w:sz w:val="20"/>
                <w:szCs w:val="20"/>
                <w:lang w:eastAsia="en-AU"/>
              </w:rPr>
            </w:pPr>
            <w:r w:rsidRPr="00863D9F">
              <w:rPr>
                <w:rFonts w:eastAsia="Times New Roman" w:cs="Arial"/>
                <w:color w:val="FF0000"/>
                <w:sz w:val="20"/>
                <w:szCs w:val="20"/>
                <w:lang w:eastAsia="en-AU"/>
              </w:rPr>
              <w:t>- $61,098,100</w:t>
            </w:r>
          </w:p>
        </w:tc>
      </w:tr>
      <w:tr w:rsidR="00767472" w:rsidRPr="00863D9F" w14:paraId="19781319" w14:textId="77777777" w:rsidTr="00255653">
        <w:trPr>
          <w:trHeight w:val="300"/>
        </w:trPr>
        <w:tc>
          <w:tcPr>
            <w:tcW w:w="2405"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hideMark/>
          </w:tcPr>
          <w:p w14:paraId="6F8F578C"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2026</w:t>
            </w:r>
          </w:p>
        </w:tc>
        <w:tc>
          <w:tcPr>
            <w:tcW w:w="1134"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691E84D3"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5</w:t>
            </w:r>
          </w:p>
        </w:tc>
        <w:tc>
          <w:tcPr>
            <w:tcW w:w="1559"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52DA934E"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$26,500,000 </w:t>
            </w:r>
          </w:p>
        </w:tc>
        <w:tc>
          <w:tcPr>
            <w:tcW w:w="1701"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2651EC75" w14:textId="77777777" w:rsidR="00767472" w:rsidRPr="00863D9F" w:rsidRDefault="00767472" w:rsidP="00255653">
            <w:pPr>
              <w:spacing w:before="0"/>
              <w:jc w:val="right"/>
              <w:rPr>
                <w:rFonts w:eastAsia="Times New Roman" w:cs="Arial"/>
                <w:color w:val="FF0000"/>
                <w:sz w:val="20"/>
                <w:szCs w:val="20"/>
                <w:lang w:eastAsia="en-AU"/>
              </w:rPr>
            </w:pPr>
            <w:r w:rsidRPr="00863D9F">
              <w:rPr>
                <w:rFonts w:eastAsia="Times New Roman" w:cs="Arial"/>
                <w:color w:val="FF0000"/>
                <w:sz w:val="20"/>
                <w:szCs w:val="20"/>
                <w:lang w:eastAsia="en-AU"/>
              </w:rPr>
              <w:t>- $55,798,100</w:t>
            </w:r>
          </w:p>
        </w:tc>
        <w:tc>
          <w:tcPr>
            <w:tcW w:w="2127"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noWrap/>
            <w:vAlign w:val="center"/>
            <w:hideMark/>
          </w:tcPr>
          <w:p w14:paraId="2FE9052B" w14:textId="77777777" w:rsidR="00767472" w:rsidRPr="00863D9F" w:rsidRDefault="00767472" w:rsidP="00255653">
            <w:pPr>
              <w:spacing w:before="0"/>
              <w:jc w:val="right"/>
              <w:rPr>
                <w:rFonts w:eastAsia="Times New Roman" w:cs="Arial"/>
                <w:color w:val="FF0000"/>
                <w:sz w:val="20"/>
                <w:szCs w:val="20"/>
                <w:lang w:eastAsia="en-AU"/>
              </w:rPr>
            </w:pPr>
            <w:r w:rsidRPr="00863D9F">
              <w:rPr>
                <w:rFonts w:eastAsia="Times New Roman" w:cs="Arial"/>
                <w:color w:val="FF0000"/>
                <w:sz w:val="20"/>
                <w:szCs w:val="20"/>
                <w:lang w:eastAsia="en-AU"/>
              </w:rPr>
              <w:t>- $116,896,200</w:t>
            </w:r>
          </w:p>
        </w:tc>
      </w:tr>
      <w:tr w:rsidR="00767472" w:rsidRPr="00863D9F" w14:paraId="77D9DC75" w14:textId="77777777" w:rsidTr="00255653">
        <w:trPr>
          <w:trHeight w:val="300"/>
        </w:trPr>
        <w:tc>
          <w:tcPr>
            <w:tcW w:w="2405"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hideMark/>
          </w:tcPr>
          <w:p w14:paraId="2E815CB5"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2027</w:t>
            </w:r>
          </w:p>
        </w:tc>
        <w:tc>
          <w:tcPr>
            <w:tcW w:w="1134"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33CE4F31"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6</w:t>
            </w:r>
          </w:p>
        </w:tc>
        <w:tc>
          <w:tcPr>
            <w:tcW w:w="1559"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0CC0D090"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 xml:space="preserve">$31,800,000 </w:t>
            </w:r>
          </w:p>
        </w:tc>
        <w:tc>
          <w:tcPr>
            <w:tcW w:w="1701"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5C0DDBE8"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$29,039,400 </w:t>
            </w:r>
          </w:p>
        </w:tc>
        <w:tc>
          <w:tcPr>
            <w:tcW w:w="2127"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noWrap/>
            <w:vAlign w:val="center"/>
            <w:hideMark/>
          </w:tcPr>
          <w:p w14:paraId="1ABA4AF2" w14:textId="77777777" w:rsidR="00767472" w:rsidRPr="00863D9F" w:rsidRDefault="00767472" w:rsidP="00255653">
            <w:pPr>
              <w:spacing w:before="0"/>
              <w:jc w:val="right"/>
              <w:rPr>
                <w:rFonts w:eastAsia="Times New Roman" w:cs="Arial"/>
                <w:color w:val="FF0000"/>
                <w:sz w:val="20"/>
                <w:szCs w:val="20"/>
                <w:lang w:eastAsia="en-AU"/>
              </w:rPr>
            </w:pPr>
            <w:r w:rsidRPr="00863D9F">
              <w:rPr>
                <w:rFonts w:eastAsia="Times New Roman" w:cs="Arial"/>
                <w:color w:val="FF0000"/>
                <w:sz w:val="20"/>
                <w:szCs w:val="20"/>
                <w:lang w:eastAsia="en-AU"/>
              </w:rPr>
              <w:t>- $87,856,800</w:t>
            </w:r>
          </w:p>
        </w:tc>
      </w:tr>
      <w:tr w:rsidR="00767472" w:rsidRPr="00863D9F" w14:paraId="41EE70EA" w14:textId="77777777" w:rsidTr="00255653">
        <w:trPr>
          <w:trHeight w:val="300"/>
        </w:trPr>
        <w:tc>
          <w:tcPr>
            <w:tcW w:w="2405"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hideMark/>
          </w:tcPr>
          <w:p w14:paraId="7BEB7DB2"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2028</w:t>
            </w:r>
          </w:p>
        </w:tc>
        <w:tc>
          <w:tcPr>
            <w:tcW w:w="1134"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144205FC"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8</w:t>
            </w:r>
          </w:p>
        </w:tc>
        <w:tc>
          <w:tcPr>
            <w:tcW w:w="1559"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43EC52D0"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$42,400,000 </w:t>
            </w:r>
          </w:p>
        </w:tc>
        <w:tc>
          <w:tcPr>
            <w:tcW w:w="1701"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5C31CD3A"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$39,639,400 </w:t>
            </w:r>
          </w:p>
        </w:tc>
        <w:tc>
          <w:tcPr>
            <w:tcW w:w="2127"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noWrap/>
            <w:vAlign w:val="center"/>
          </w:tcPr>
          <w:p w14:paraId="7D9B17D6" w14:textId="77777777" w:rsidR="00767472" w:rsidRPr="00863D9F" w:rsidRDefault="00767472" w:rsidP="00255653">
            <w:pPr>
              <w:spacing w:before="0"/>
              <w:jc w:val="right"/>
              <w:rPr>
                <w:rFonts w:eastAsia="Times New Roman" w:cs="Arial"/>
                <w:color w:val="FF0000"/>
                <w:sz w:val="20"/>
                <w:szCs w:val="20"/>
                <w:lang w:eastAsia="en-AU"/>
              </w:rPr>
            </w:pPr>
            <w:r w:rsidRPr="00863D9F">
              <w:rPr>
                <w:rFonts w:cs="Arial"/>
                <w:color w:val="FF0000"/>
                <w:sz w:val="20"/>
                <w:szCs w:val="20"/>
              </w:rPr>
              <w:t>- $48,217,400</w:t>
            </w:r>
          </w:p>
        </w:tc>
      </w:tr>
      <w:tr w:rsidR="00767472" w:rsidRPr="00863D9F" w14:paraId="36851E5D" w14:textId="77777777" w:rsidTr="00255653">
        <w:trPr>
          <w:trHeight w:val="300"/>
        </w:trPr>
        <w:tc>
          <w:tcPr>
            <w:tcW w:w="2405"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tcPr>
          <w:p w14:paraId="736EAABB"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2029</w:t>
            </w:r>
          </w:p>
        </w:tc>
        <w:tc>
          <w:tcPr>
            <w:tcW w:w="1134"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7798AD15"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8</w:t>
            </w:r>
          </w:p>
        </w:tc>
        <w:tc>
          <w:tcPr>
            <w:tcW w:w="1559"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37350739"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$42,400,000 </w:t>
            </w:r>
          </w:p>
        </w:tc>
        <w:tc>
          <w:tcPr>
            <w:tcW w:w="1701"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0862F4A5"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$39,639,400 </w:t>
            </w:r>
          </w:p>
        </w:tc>
        <w:tc>
          <w:tcPr>
            <w:tcW w:w="2127"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noWrap/>
            <w:vAlign w:val="center"/>
          </w:tcPr>
          <w:p w14:paraId="575016BC" w14:textId="77777777" w:rsidR="00767472" w:rsidRPr="00863D9F" w:rsidRDefault="00767472" w:rsidP="00255653">
            <w:pPr>
              <w:spacing w:before="0"/>
              <w:jc w:val="right"/>
              <w:rPr>
                <w:rFonts w:eastAsia="Times New Roman" w:cs="Arial"/>
                <w:color w:val="FF0000"/>
                <w:sz w:val="20"/>
                <w:szCs w:val="20"/>
                <w:lang w:eastAsia="en-AU"/>
              </w:rPr>
            </w:pPr>
            <w:r w:rsidRPr="00863D9F">
              <w:rPr>
                <w:rFonts w:cs="Arial"/>
                <w:color w:val="FF0000"/>
                <w:sz w:val="20"/>
                <w:szCs w:val="20"/>
              </w:rPr>
              <w:t>- $8,578,000</w:t>
            </w:r>
          </w:p>
        </w:tc>
      </w:tr>
      <w:tr w:rsidR="00767472" w:rsidRPr="00863D9F" w14:paraId="62BA95B9" w14:textId="77777777" w:rsidTr="00255653">
        <w:trPr>
          <w:trHeight w:val="300"/>
        </w:trPr>
        <w:tc>
          <w:tcPr>
            <w:tcW w:w="2405"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hideMark/>
          </w:tcPr>
          <w:p w14:paraId="2BEA9720"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2030</w:t>
            </w:r>
          </w:p>
        </w:tc>
        <w:tc>
          <w:tcPr>
            <w:tcW w:w="1134"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61B46916"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8</w:t>
            </w:r>
          </w:p>
        </w:tc>
        <w:tc>
          <w:tcPr>
            <w:tcW w:w="1559"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61304F40"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$42,400,000 </w:t>
            </w:r>
          </w:p>
        </w:tc>
        <w:tc>
          <w:tcPr>
            <w:tcW w:w="1701"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155D376C"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$39,639,400 </w:t>
            </w:r>
          </w:p>
        </w:tc>
        <w:tc>
          <w:tcPr>
            <w:tcW w:w="2127"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noWrap/>
            <w:vAlign w:val="center"/>
          </w:tcPr>
          <w:p w14:paraId="3423F6AA" w14:textId="77777777" w:rsidR="00767472" w:rsidRPr="00863D9F" w:rsidRDefault="00767472" w:rsidP="00255653">
            <w:pPr>
              <w:spacing w:before="0"/>
              <w:jc w:val="right"/>
              <w:rPr>
                <w:rFonts w:eastAsia="Times New Roman" w:cs="Arial"/>
                <w:color w:val="FF0000"/>
                <w:sz w:val="20"/>
                <w:szCs w:val="20"/>
                <w:lang w:eastAsia="en-AU"/>
              </w:rPr>
            </w:pPr>
            <w:r w:rsidRPr="00863D9F">
              <w:rPr>
                <w:rFonts w:cs="Arial"/>
                <w:color w:val="000000"/>
                <w:sz w:val="20"/>
                <w:szCs w:val="20"/>
              </w:rPr>
              <w:t xml:space="preserve">$31,061,400 </w:t>
            </w:r>
          </w:p>
        </w:tc>
      </w:tr>
      <w:tr w:rsidR="00767472" w:rsidRPr="00863D9F" w14:paraId="56B076BA" w14:textId="77777777" w:rsidTr="00255653">
        <w:trPr>
          <w:trHeight w:val="300"/>
        </w:trPr>
        <w:tc>
          <w:tcPr>
            <w:tcW w:w="2405"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hideMark/>
          </w:tcPr>
          <w:p w14:paraId="2B0EBC5D"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2031</w:t>
            </w:r>
          </w:p>
        </w:tc>
        <w:tc>
          <w:tcPr>
            <w:tcW w:w="1134"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6F5D13AC"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8</w:t>
            </w:r>
          </w:p>
        </w:tc>
        <w:tc>
          <w:tcPr>
            <w:tcW w:w="1559"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60C8B028"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$42,400,000 </w:t>
            </w:r>
          </w:p>
        </w:tc>
        <w:tc>
          <w:tcPr>
            <w:tcW w:w="1701"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0E1AE658"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$39,639,400 </w:t>
            </w:r>
          </w:p>
        </w:tc>
        <w:tc>
          <w:tcPr>
            <w:tcW w:w="2127"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noWrap/>
            <w:vAlign w:val="center"/>
          </w:tcPr>
          <w:p w14:paraId="39038274"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$70,700,800 </w:t>
            </w:r>
          </w:p>
        </w:tc>
      </w:tr>
      <w:tr w:rsidR="00767472" w:rsidRPr="00863D9F" w14:paraId="2120FF4E" w14:textId="77777777" w:rsidTr="00255653">
        <w:trPr>
          <w:trHeight w:val="300"/>
        </w:trPr>
        <w:tc>
          <w:tcPr>
            <w:tcW w:w="2405"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hideMark/>
          </w:tcPr>
          <w:p w14:paraId="4AC7AE90"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2032</w:t>
            </w:r>
          </w:p>
        </w:tc>
        <w:tc>
          <w:tcPr>
            <w:tcW w:w="1134"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6980A0DA"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8</w:t>
            </w:r>
          </w:p>
        </w:tc>
        <w:tc>
          <w:tcPr>
            <w:tcW w:w="1559"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06A7C389"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$42,400,000 </w:t>
            </w:r>
          </w:p>
        </w:tc>
        <w:tc>
          <w:tcPr>
            <w:tcW w:w="1701"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6D05074E"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$39,639,400 </w:t>
            </w:r>
          </w:p>
        </w:tc>
        <w:tc>
          <w:tcPr>
            <w:tcW w:w="2127"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noWrap/>
            <w:vAlign w:val="center"/>
          </w:tcPr>
          <w:p w14:paraId="74F61F70"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$110,340,200 </w:t>
            </w:r>
          </w:p>
        </w:tc>
      </w:tr>
      <w:tr w:rsidR="00767472" w:rsidRPr="00863D9F" w14:paraId="21F29A8C" w14:textId="77777777" w:rsidTr="00255653">
        <w:trPr>
          <w:trHeight w:val="300"/>
        </w:trPr>
        <w:tc>
          <w:tcPr>
            <w:tcW w:w="2405"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hideMark/>
          </w:tcPr>
          <w:p w14:paraId="09EF114E"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2033</w:t>
            </w:r>
          </w:p>
        </w:tc>
        <w:tc>
          <w:tcPr>
            <w:tcW w:w="1134"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33779921"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8</w:t>
            </w:r>
          </w:p>
        </w:tc>
        <w:tc>
          <w:tcPr>
            <w:tcW w:w="1559"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0E3A5EE2"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$42,400,000 </w:t>
            </w:r>
          </w:p>
        </w:tc>
        <w:tc>
          <w:tcPr>
            <w:tcW w:w="1701"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7056BA0C"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$39,639,400 </w:t>
            </w:r>
          </w:p>
        </w:tc>
        <w:tc>
          <w:tcPr>
            <w:tcW w:w="2127"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noWrap/>
            <w:vAlign w:val="center"/>
          </w:tcPr>
          <w:p w14:paraId="4A2C562B"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$149,979,600 </w:t>
            </w:r>
          </w:p>
        </w:tc>
      </w:tr>
      <w:tr w:rsidR="00767472" w:rsidRPr="00863D9F" w14:paraId="2047C831" w14:textId="77777777" w:rsidTr="00255653">
        <w:trPr>
          <w:trHeight w:val="300"/>
        </w:trPr>
        <w:tc>
          <w:tcPr>
            <w:tcW w:w="2405"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hideMark/>
          </w:tcPr>
          <w:p w14:paraId="731FA80D" w14:textId="77777777" w:rsidR="00767472" w:rsidRPr="00863D9F" w:rsidRDefault="00767472" w:rsidP="005E380D">
            <w:pPr>
              <w:spacing w:before="0"/>
              <w:rPr>
                <w:rFonts w:eastAsia="Times New Roman" w:cs="Arial"/>
                <w:color w:val="000000"/>
                <w:sz w:val="20"/>
                <w:szCs w:val="20"/>
                <w:lang w:eastAsia="en-AU"/>
              </w:rPr>
            </w:pPr>
            <w:r w:rsidRPr="00863D9F">
              <w:rPr>
                <w:rFonts w:eastAsia="Times New Roman" w:cs="Arial"/>
                <w:color w:val="000000"/>
                <w:sz w:val="20"/>
                <w:szCs w:val="20"/>
                <w:lang w:eastAsia="en-AU"/>
              </w:rPr>
              <w:t>2034</w:t>
            </w:r>
          </w:p>
        </w:tc>
        <w:tc>
          <w:tcPr>
            <w:tcW w:w="1134"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hideMark/>
          </w:tcPr>
          <w:p w14:paraId="207EE799" w14:textId="77777777" w:rsidR="00767472" w:rsidRPr="00863D9F" w:rsidRDefault="00767472" w:rsidP="00255653">
            <w:pPr>
              <w:spacing w:before="0"/>
              <w:jc w:val="right"/>
              <w:rPr>
                <w:rFonts w:eastAsia="Times New Roman" w:cs="Arial"/>
                <w:color w:val="000000"/>
                <w:sz w:val="20"/>
                <w:szCs w:val="20"/>
                <w:lang w:eastAsia="en-AU"/>
              </w:rPr>
            </w:pPr>
            <w:r w:rsidRPr="00863D9F">
              <w:rPr>
                <w:rFonts w:eastAsia="Times New Roman" w:cs="Arial"/>
                <w:color w:val="000000"/>
                <w:sz w:val="20"/>
                <w:szCs w:val="20"/>
                <w:lang w:eastAsia="en-AU"/>
              </w:rPr>
              <w:t>8</w:t>
            </w:r>
          </w:p>
        </w:tc>
        <w:tc>
          <w:tcPr>
            <w:tcW w:w="1559"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3F878936"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$42,400,000 </w:t>
            </w:r>
          </w:p>
        </w:tc>
        <w:tc>
          <w:tcPr>
            <w:tcW w:w="1701"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vAlign w:val="center"/>
          </w:tcPr>
          <w:p w14:paraId="4DA7B209"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$39,639,400 </w:t>
            </w:r>
          </w:p>
        </w:tc>
        <w:tc>
          <w:tcPr>
            <w:tcW w:w="2127" w:type="dxa"/>
            <w:tcBorders>
              <w:top w:val="single" w:sz="4" w:space="0" w:color="D5D6D2" w:themeColor="background2"/>
              <w:left w:val="single" w:sz="4" w:space="0" w:color="D5D6D2" w:themeColor="background2"/>
              <w:bottom w:val="single" w:sz="4" w:space="0" w:color="D5D6D2" w:themeColor="background2"/>
              <w:right w:val="single" w:sz="4" w:space="0" w:color="D5D6D2" w:themeColor="background2"/>
            </w:tcBorders>
            <w:shd w:val="clear" w:color="auto" w:fill="auto"/>
            <w:noWrap/>
            <w:vAlign w:val="center"/>
          </w:tcPr>
          <w:p w14:paraId="3565DFCF" w14:textId="77777777" w:rsidR="00767472" w:rsidRPr="00863D9F" w:rsidRDefault="00767472" w:rsidP="00255653">
            <w:pPr>
              <w:spacing w:before="0"/>
              <w:jc w:val="right"/>
              <w:rPr>
                <w:rFonts w:eastAsia="Times New Roman" w:cs="Arial"/>
                <w:color w:val="000000"/>
                <w:sz w:val="20"/>
                <w:szCs w:val="20"/>
                <w:lang w:eastAsia="en-AU"/>
              </w:rPr>
            </w:pPr>
            <w:r w:rsidRPr="00863D9F">
              <w:rPr>
                <w:rFonts w:cs="Arial"/>
                <w:color w:val="000000"/>
                <w:sz w:val="20"/>
                <w:szCs w:val="20"/>
              </w:rPr>
              <w:t xml:space="preserve">$189,619,000 </w:t>
            </w:r>
          </w:p>
        </w:tc>
      </w:tr>
    </w:tbl>
    <w:p w14:paraId="7CD7B7EB" w14:textId="77777777" w:rsidR="00767472" w:rsidRPr="00863D9F" w:rsidRDefault="00767472" w:rsidP="00767472">
      <w:pPr>
        <w:pStyle w:val="Bulletpoint"/>
        <w:numPr>
          <w:ilvl w:val="0"/>
          <w:numId w:val="0"/>
        </w:numPr>
      </w:pPr>
      <w:r w:rsidRPr="00863D9F">
        <w:t xml:space="preserve">Table 12 only outlines the net benefit of a mandatory safety standard. Should a mandatory information standard and mandatory safety standard be implemented, the net benefit of both regulations after 10 years would be $312,538,250 by 2034. </w:t>
      </w:r>
    </w:p>
    <w:p w14:paraId="7AB7B471" w14:textId="77777777" w:rsidR="00767472" w:rsidRPr="00863D9F" w:rsidRDefault="00767472" w:rsidP="00767472">
      <w:pPr>
        <w:pStyle w:val="Bulletpoint"/>
        <w:numPr>
          <w:ilvl w:val="0"/>
          <w:numId w:val="0"/>
        </w:numPr>
      </w:pPr>
      <w:r w:rsidRPr="00863D9F">
        <w:t xml:space="preserve">As outlined in the Scope section of this paper, Inclined Sleep Products and Inclined Non-Sleep Products are defined based on their representation (designed, intended, </w:t>
      </w:r>
      <w:proofErr w:type="gramStart"/>
      <w:r w:rsidRPr="00863D9F">
        <w:t>marketed</w:t>
      </w:r>
      <w:proofErr w:type="gramEnd"/>
      <w:r w:rsidRPr="00863D9F">
        <w:t xml:space="preserve"> or contain any representations that it is suitable for sleep). The estimated cost of the mandatory safety standard does not account for suppliers that will update the representations of their Infant Sleep Products, so they are then considered Inclined Non-Sleep Products and are only captured by the mandatory information standard. </w:t>
      </w:r>
    </w:p>
    <w:p w14:paraId="74925FD7" w14:textId="77777777" w:rsidR="00767472" w:rsidRPr="00AF6307" w:rsidRDefault="00767472" w:rsidP="00D21B3B">
      <w:pPr>
        <w:pStyle w:val="Numbered1"/>
        <w:rPr>
          <w:rFonts w:ascii="Roboto" w:hAnsi="Roboto"/>
          <w:sz w:val="44"/>
          <w:szCs w:val="44"/>
        </w:rPr>
      </w:pPr>
      <w:bookmarkStart w:id="86" w:name="_Toc139452477"/>
      <w:bookmarkStart w:id="87" w:name="_Toc140065198"/>
      <w:bookmarkEnd w:id="74"/>
      <w:r w:rsidRPr="00AF6307">
        <w:rPr>
          <w:rFonts w:ascii="Roboto" w:hAnsi="Roboto"/>
          <w:sz w:val="44"/>
          <w:szCs w:val="44"/>
        </w:rPr>
        <w:t>What is the best option?</w:t>
      </w:r>
      <w:bookmarkEnd w:id="86"/>
      <w:bookmarkEnd w:id="87"/>
    </w:p>
    <w:p w14:paraId="2E73A0A2" w14:textId="77777777" w:rsidR="00767472" w:rsidRPr="00AF6307" w:rsidRDefault="00767472" w:rsidP="00D21B3B">
      <w:pPr>
        <w:pStyle w:val="Numbered11"/>
        <w:rPr>
          <w:rFonts w:ascii="Roboto" w:hAnsi="Roboto"/>
          <w:sz w:val="32"/>
          <w:szCs w:val="32"/>
        </w:rPr>
      </w:pPr>
      <w:bookmarkStart w:id="88" w:name="_Toc139452478"/>
      <w:bookmarkStart w:id="89" w:name="_Toc140065199"/>
      <w:r w:rsidRPr="00AF6307">
        <w:rPr>
          <w:rFonts w:ascii="Roboto" w:hAnsi="Roboto"/>
          <w:sz w:val="32"/>
          <w:szCs w:val="32"/>
        </w:rPr>
        <w:t>Recommended option</w:t>
      </w:r>
      <w:bookmarkEnd w:id="88"/>
      <w:bookmarkEnd w:id="89"/>
      <w:r w:rsidRPr="00AF6307">
        <w:rPr>
          <w:rFonts w:ascii="Roboto" w:hAnsi="Roboto"/>
          <w:sz w:val="32"/>
          <w:szCs w:val="32"/>
        </w:rPr>
        <w:t xml:space="preserve"> </w:t>
      </w:r>
    </w:p>
    <w:p w14:paraId="24E6457D" w14:textId="77777777" w:rsidR="00767472" w:rsidRPr="00863D9F" w:rsidRDefault="00767472" w:rsidP="00767472">
      <w:r w:rsidRPr="00863D9F">
        <w:t xml:space="preserve">The ACCC considers that implementing a mandatory safety standard and a mandatory information standard (Option 4) is the best option. This view is informed by stakeholder consultations, the Mannen Report, Expert </w:t>
      </w:r>
      <w:proofErr w:type="gramStart"/>
      <w:r w:rsidRPr="00863D9F">
        <w:t>Reports</w:t>
      </w:r>
      <w:proofErr w:type="gramEnd"/>
      <w:r w:rsidRPr="00863D9F">
        <w:t xml:space="preserve"> and the regulatory cost-benefit analysis. </w:t>
      </w:r>
    </w:p>
    <w:p w14:paraId="31048FB2" w14:textId="77777777" w:rsidR="00767472" w:rsidRPr="00863D9F" w:rsidRDefault="00767472" w:rsidP="00767472">
      <w:r w:rsidRPr="00863D9F">
        <w:t xml:space="preserve">While there is support for updating the mandatory standard for household and folding cots, this option is unlikely to prevent as many fatalities given the majority of Infant Sleep Products will remain unregulated. </w:t>
      </w:r>
    </w:p>
    <w:p w14:paraId="17097DDA" w14:textId="77777777" w:rsidR="00767472" w:rsidRPr="00863D9F" w:rsidRDefault="00767472" w:rsidP="00767472">
      <w:pPr>
        <w:pStyle w:val="NormalWeb"/>
        <w:rPr>
          <w:rFonts w:cs="Arial"/>
          <w:sz w:val="22"/>
          <w:szCs w:val="22"/>
        </w:rPr>
      </w:pPr>
      <w:r w:rsidRPr="00863D9F">
        <w:rPr>
          <w:rFonts w:cs="Arial"/>
          <w:sz w:val="22"/>
          <w:szCs w:val="22"/>
        </w:rPr>
        <w:t>The cost-benefit analysis indicates the cost of intervention outweighs the continued cost of fatalities. The total accumulative net benefit after 10 years is projected to be:</w:t>
      </w:r>
    </w:p>
    <w:p w14:paraId="622DD408" w14:textId="77777777" w:rsidR="00767472" w:rsidRPr="00863D9F" w:rsidRDefault="00767472" w:rsidP="00D21B3B">
      <w:pPr>
        <w:pStyle w:val="ListParagraph"/>
        <w:numPr>
          <w:ilvl w:val="0"/>
          <w:numId w:val="40"/>
        </w:numPr>
      </w:pPr>
      <w:r w:rsidRPr="00863D9F">
        <w:t>A mandatory information standard = $122,919,250.</w:t>
      </w:r>
    </w:p>
    <w:p w14:paraId="132C2DD2" w14:textId="77777777" w:rsidR="00767472" w:rsidRPr="00863D9F" w:rsidRDefault="00767472" w:rsidP="00D21B3B">
      <w:pPr>
        <w:pStyle w:val="ListParagraph"/>
        <w:numPr>
          <w:ilvl w:val="0"/>
          <w:numId w:val="40"/>
        </w:numPr>
      </w:pPr>
      <w:r w:rsidRPr="00863D9F">
        <w:t>A mandatory safety standard = $189,619,000.</w:t>
      </w:r>
    </w:p>
    <w:p w14:paraId="20E68EE2" w14:textId="77777777" w:rsidR="00767472" w:rsidRPr="00863D9F" w:rsidRDefault="00767472" w:rsidP="00767472">
      <w:pPr>
        <w:pStyle w:val="NormalWeb"/>
        <w:rPr>
          <w:rFonts w:cs="Arial"/>
          <w:sz w:val="22"/>
          <w:szCs w:val="22"/>
        </w:rPr>
      </w:pPr>
      <w:r w:rsidRPr="00863D9F">
        <w:rPr>
          <w:rFonts w:cs="Arial"/>
          <w:sz w:val="22"/>
          <w:szCs w:val="22"/>
        </w:rPr>
        <w:t xml:space="preserve">The total net cost and accumulative costs over the 5 years for Option 1, 3 and 4 are shown in Tables 5 - 12. Figure 13 compares the final net cost over 5 years. This figure adds the estimated yearly cost to industry of a mandatory information standard and mandatory safety standard, plus the remaining costs to society of fatalities (based on the VSL). Figure 13 illustrates the initial increase in costs of a mandatory safety standard because of the redesign of the product, but then has the greatest benefit at 5 years and beyond. </w:t>
      </w:r>
    </w:p>
    <w:p w14:paraId="4804336A" w14:textId="77777777" w:rsidR="00767472" w:rsidRPr="00863D9F" w:rsidRDefault="00767472" w:rsidP="00F94148">
      <w:pPr>
        <w:pStyle w:val="Tabletitle"/>
        <w:rPr>
          <w:rFonts w:cs="Arial"/>
          <w:highlight w:val="yellow"/>
        </w:rPr>
      </w:pPr>
      <w:r w:rsidRPr="00863D9F">
        <w:t>Figure 13: 5-year projection of final costs (cost of regulation plus remaining costs to society of fatalities)</w:t>
      </w:r>
    </w:p>
    <w:p w14:paraId="64355601" w14:textId="3C161AE6" w:rsidR="00767472" w:rsidRPr="00863D9F" w:rsidRDefault="00F95BD0" w:rsidP="00767472">
      <w:pPr>
        <w:rPr>
          <w:rFonts w:cs="Arial"/>
          <w:highlight w:val="yellow"/>
        </w:rPr>
      </w:pPr>
      <w:r w:rsidRPr="00863D9F">
        <w:rPr>
          <w:b/>
          <w:bCs/>
          <w:noProof/>
          <w:highlight w:val="yellow"/>
          <w:lang w:eastAsia="en-AU"/>
        </w:rPr>
        <mc:AlternateContent>
          <mc:Choice Requires="wps">
            <w:drawing>
              <wp:anchor distT="45720" distB="45720" distL="114300" distR="114300" simplePos="0" relativeHeight="251662336" behindDoc="0" locked="0" layoutInCell="1" allowOverlap="1" wp14:anchorId="50DDE927" wp14:editId="47049C10">
                <wp:simplePos x="0" y="0"/>
                <wp:positionH relativeFrom="page">
                  <wp:posOffset>5495290</wp:posOffset>
                </wp:positionH>
                <wp:positionV relativeFrom="paragraph">
                  <wp:posOffset>2259965</wp:posOffset>
                </wp:positionV>
                <wp:extent cx="1104900" cy="287079"/>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7079"/>
                        </a:xfrm>
                        <a:prstGeom prst="rect">
                          <a:avLst/>
                        </a:prstGeom>
                        <a:solidFill>
                          <a:srgbClr val="FFFFFF">
                            <a:alpha val="0"/>
                          </a:srgbClr>
                        </a:solidFill>
                        <a:ln w="9525">
                          <a:noFill/>
                          <a:miter lim="800000"/>
                          <a:headEnd/>
                          <a:tailEnd/>
                        </a:ln>
                      </wps:spPr>
                      <wps:txbx>
                        <w:txbxContent>
                          <w:p w14:paraId="7FC4A39F" w14:textId="77777777" w:rsidR="00767472" w:rsidRPr="00DF278D" w:rsidRDefault="00767472" w:rsidP="00767472">
                            <w:pPr>
                              <w:spacing w:before="0"/>
                              <w:rPr>
                                <w:b/>
                                <w:bCs/>
                                <w:color w:val="00B050"/>
                                <w:sz w:val="18"/>
                                <w:szCs w:val="18"/>
                              </w:rPr>
                            </w:pPr>
                            <w:r w:rsidRPr="00DF278D">
                              <w:rPr>
                                <w:b/>
                                <w:bCs/>
                                <w:color w:val="00B050"/>
                                <w:sz w:val="18"/>
                                <w:szCs w:val="18"/>
                              </w:rPr>
                              <w:t>Safety Standard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DE927" id="_x0000_t202" coordsize="21600,21600" o:spt="202" path="m,l,21600r21600,l21600,xe">
                <v:stroke joinstyle="miter"/>
                <v:path gradientshapeok="t" o:connecttype="rect"/>
              </v:shapetype>
              <v:shape id="Text Box 2" o:spid="_x0000_s1026" type="#_x0000_t202" style="position:absolute;margin-left:432.7pt;margin-top:177.95pt;width:87pt;height:22.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" stroked="f">
                <v:fill opacity="0"/>
                <v:textbox>
                  <w:txbxContent>
                    <w:p w14:paraId="7FC4A39F" w14:textId="77777777" w:rsidR="00767472" w:rsidRPr="00DF278D" w:rsidRDefault="00767472" w:rsidP="00767472">
                      <w:pPr>
                        <w:spacing w:before="0"/>
                        <w:rPr>
                          <w:b/>
                          <w:bCs/>
                          <w:color w:val="00B050"/>
                          <w:sz w:val="18"/>
                          <w:szCs w:val="18"/>
                        </w:rPr>
                      </w:pPr>
                      <w:r w:rsidRPr="00DF278D">
                        <w:rPr>
                          <w:b/>
                          <w:bCs/>
                          <w:color w:val="00B050"/>
                          <w:sz w:val="18"/>
                          <w:szCs w:val="18"/>
                        </w:rPr>
                        <w:t>Safety Standard</w:t>
                      </w:r>
                    </w:p>
                  </w:txbxContent>
                </v:textbox>
                <w10:wrap anchorx="page"/>
              </v:shape>
            </w:pict>
          </mc:Fallback>
        </mc:AlternateContent>
      </w:r>
      <w:r w:rsidR="00EA2CA6" w:rsidRPr="00863D9F">
        <w:rPr>
          <w:noProof/>
          <w:lang w:eastAsia="en-AU"/>
        </w:rPr>
        <mc:AlternateContent>
          <mc:Choice Requires="wps">
            <w:drawing>
              <wp:anchor distT="0" distB="0" distL="114300" distR="114300" simplePos="0" relativeHeight="251665408" behindDoc="0" locked="0" layoutInCell="1" allowOverlap="1" wp14:anchorId="65C489F4" wp14:editId="5516B2E4">
                <wp:simplePos x="0" y="0"/>
                <wp:positionH relativeFrom="column">
                  <wp:posOffset>4838700</wp:posOffset>
                </wp:positionH>
                <wp:positionV relativeFrom="paragraph">
                  <wp:posOffset>1192530</wp:posOffset>
                </wp:positionV>
                <wp:extent cx="1133475" cy="33337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3375"/>
                        </a:xfrm>
                        <a:prstGeom prst="rect">
                          <a:avLst/>
                        </a:prstGeom>
                        <a:noFill/>
                        <a:ln w="9525">
                          <a:noFill/>
                          <a:miter lim="800000"/>
                          <a:headEnd/>
                          <a:tailEnd/>
                        </a:ln>
                      </wps:spPr>
                      <wps:txbx>
                        <w:txbxContent>
                          <w:p w14:paraId="09071E69" w14:textId="77777777" w:rsidR="00767472" w:rsidRDefault="00767472" w:rsidP="00767472">
                            <w:pPr>
                              <w:spacing w:before="0"/>
                              <w:rPr>
                                <w:rFonts w:eastAsia="Calibri"/>
                                <w:b/>
                                <w:bCs/>
                                <w:color w:val="FF0000"/>
                                <w:sz w:val="18"/>
                                <w:szCs w:val="18"/>
                              </w:rPr>
                            </w:pPr>
                            <w:r>
                              <w:rPr>
                                <w:rFonts w:eastAsia="Calibri"/>
                                <w:b/>
                                <w:bCs/>
                                <w:color w:val="FF0000"/>
                                <w:sz w:val="18"/>
                                <w:szCs w:val="18"/>
                              </w:rPr>
                              <w:t>No regulation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489F4" id="Text Box 1" o:spid="_x0000_s1027" type="#_x0000_t202" style="position:absolute;margin-left:381pt;margin-top:93.9pt;width:89.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" filled="f" stroked="f">
                <v:textbox>
                  <w:txbxContent>
                    <w:p w14:paraId="09071E69" w14:textId="77777777" w:rsidR="00767472" w:rsidRDefault="00767472" w:rsidP="00767472">
                      <w:pPr>
                        <w:spacing w:before="0"/>
                        <w:rPr>
                          <w:rFonts w:eastAsia="Calibri"/>
                          <w:b/>
                          <w:bCs/>
                          <w:color w:val="FF0000"/>
                          <w:sz w:val="18"/>
                          <w:szCs w:val="18"/>
                        </w:rPr>
                      </w:pPr>
                      <w:r>
                        <w:rPr>
                          <w:rFonts w:eastAsia="Calibri"/>
                          <w:b/>
                          <w:bCs/>
                          <w:color w:val="FF0000"/>
                          <w:sz w:val="18"/>
                          <w:szCs w:val="18"/>
                        </w:rPr>
                        <w:t>No regulation</w:t>
                      </w:r>
                    </w:p>
                  </w:txbxContent>
                </v:textbox>
              </v:shape>
            </w:pict>
          </mc:Fallback>
        </mc:AlternateContent>
      </w:r>
      <w:r w:rsidR="00EA2CA6" w:rsidRPr="00863D9F">
        <w:rPr>
          <w:b/>
          <w:bCs/>
          <w:noProof/>
          <w:highlight w:val="yellow"/>
          <w:lang w:eastAsia="en-AU"/>
        </w:rPr>
        <mc:AlternateContent>
          <mc:Choice Requires="wps">
            <w:drawing>
              <wp:anchor distT="45720" distB="45720" distL="114300" distR="114300" simplePos="0" relativeHeight="251663360" behindDoc="0" locked="0" layoutInCell="1" allowOverlap="1" wp14:anchorId="605F8697" wp14:editId="7692201E">
                <wp:simplePos x="0" y="0"/>
                <wp:positionH relativeFrom="margin">
                  <wp:posOffset>4575884</wp:posOffset>
                </wp:positionH>
                <wp:positionV relativeFrom="paragraph">
                  <wp:posOffset>1753811</wp:posOffset>
                </wp:positionV>
                <wp:extent cx="1400175" cy="21907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19075"/>
                        </a:xfrm>
                        <a:prstGeom prst="rect">
                          <a:avLst/>
                        </a:prstGeom>
                        <a:solidFill>
                          <a:srgbClr val="FFFFFF">
                            <a:alpha val="0"/>
                          </a:srgbClr>
                        </a:solidFill>
                        <a:ln w="9525">
                          <a:noFill/>
                          <a:miter lim="800000"/>
                          <a:headEnd/>
                          <a:tailEnd/>
                        </a:ln>
                      </wps:spPr>
                      <wps:txbx>
                        <w:txbxContent>
                          <w:p w14:paraId="35C606FE" w14:textId="77777777" w:rsidR="00767472" w:rsidRPr="00C07AAE" w:rsidRDefault="00767472" w:rsidP="00767472">
                            <w:pPr>
                              <w:spacing w:before="0"/>
                              <w:rPr>
                                <w:b/>
                                <w:bCs/>
                                <w:color w:val="7030A0"/>
                                <w:sz w:val="18"/>
                                <w:szCs w:val="18"/>
                              </w:rPr>
                            </w:pPr>
                            <w:r w:rsidRPr="00C07AAE">
                              <w:rPr>
                                <w:b/>
                                <w:bCs/>
                                <w:color w:val="7030A0"/>
                                <w:sz w:val="18"/>
                                <w:szCs w:val="18"/>
                              </w:rPr>
                              <w:t>Information Standard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F8697" id="_x0000_s1028" type="#_x0000_t202" style="position:absolute;margin-left:360.3pt;margin-top:138.1pt;width:110.25pt;height:1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" stroked="f">
                <v:fill opacity="0"/>
                <v:textbox>
                  <w:txbxContent>
                    <w:p w14:paraId="35C606FE" w14:textId="77777777" w:rsidR="00767472" w:rsidRPr="00C07AAE" w:rsidRDefault="00767472" w:rsidP="00767472">
                      <w:pPr>
                        <w:spacing w:before="0"/>
                        <w:rPr>
                          <w:b/>
                          <w:bCs/>
                          <w:color w:val="7030A0"/>
                          <w:sz w:val="18"/>
                          <w:szCs w:val="18"/>
                        </w:rPr>
                      </w:pPr>
                      <w:r w:rsidRPr="00C07AAE">
                        <w:rPr>
                          <w:b/>
                          <w:bCs/>
                          <w:color w:val="7030A0"/>
                          <w:sz w:val="18"/>
                          <w:szCs w:val="18"/>
                        </w:rPr>
                        <w:t>Information Standard</w:t>
                      </w:r>
                    </w:p>
                  </w:txbxContent>
                </v:textbox>
                <w10:wrap anchorx="margin"/>
              </v:shape>
            </w:pict>
          </mc:Fallback>
        </mc:AlternateContent>
      </w:r>
      <w:r w:rsidR="00767472" w:rsidRPr="00863D9F">
        <w:rPr>
          <w:noProof/>
          <w:lang w:eastAsia="en-AU"/>
        </w:rPr>
        <w:drawing>
          <wp:inline distT="0" distB="0" distL="0" distR="0" wp14:anchorId="0EFD5167" wp14:editId="08DC596B">
            <wp:extent cx="5784112" cy="3211032"/>
            <wp:effectExtent l="0" t="0" r="7620" b="8890"/>
            <wp:docPr id="196" name="Chart 196">
              <a:extLst xmlns:a="http://schemas.openxmlformats.org/drawingml/2006/main">
                <a:ext uri="{FF2B5EF4-FFF2-40B4-BE49-F238E27FC236}">
                  <a16:creationId xmlns:a16="http://schemas.microsoft.com/office/drawing/2014/main" id="{7567F0F1-FF19-ED80-8124-CCBE20CC83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D313ECD" w14:textId="77777777" w:rsidR="00767472" w:rsidRPr="00863D9F" w:rsidRDefault="00767472" w:rsidP="00767472">
      <w:pPr>
        <w:pStyle w:val="NormalWeb"/>
        <w:spacing w:before="120"/>
        <w:rPr>
          <w:rFonts w:cs="Arial"/>
          <w:sz w:val="22"/>
          <w:szCs w:val="22"/>
        </w:rPr>
      </w:pPr>
      <w:r w:rsidRPr="00863D9F">
        <w:rPr>
          <w:rFonts w:cs="Arial"/>
          <w:sz w:val="22"/>
          <w:szCs w:val="22"/>
        </w:rPr>
        <w:t>While the cost-benefit analysis predicts a mandatory safety standard would have an initial burden in cost to suppliers, it forecasts the greatest net benefit over a 5-year period, as demonstrated in Figure 13 and 14.</w:t>
      </w:r>
    </w:p>
    <w:p w14:paraId="15432188" w14:textId="77777777" w:rsidR="00767472" w:rsidRPr="00863D9F" w:rsidRDefault="00767472" w:rsidP="00767472">
      <w:pPr>
        <w:rPr>
          <w:rFonts w:cs="Arial"/>
        </w:rPr>
      </w:pPr>
      <w:r w:rsidRPr="00863D9F">
        <w:rPr>
          <w:rFonts w:cs="Arial"/>
        </w:rPr>
        <w:t>Figure 14 illustrates the accumulative costs over 5 years for the mandatory safety standard, mandatory information standard and if no regulatory action is taken. The accumulative cost</w:t>
      </w:r>
      <w:r w:rsidRPr="00863D9F">
        <w:t xml:space="preserve"> </w:t>
      </w:r>
      <w:r w:rsidRPr="00863D9F">
        <w:rPr>
          <w:rFonts w:cs="Arial"/>
        </w:rPr>
        <w:t xml:space="preserve">adds the cost of regulation on industry plus the cost of estimated fatalities based on the VSL. Based on the estimated costs outlined in section 5, illustrated in Figure 14, the mandatory information standard has the greatest net benefit after 5 years. Figure 14 also demonstrates the cost of the mandatory safety standard starts to plateau which indicates the mandatory safety standard would have the greatest accumulative cost benefit in future.  </w:t>
      </w:r>
    </w:p>
    <w:p w14:paraId="4B6A16FA" w14:textId="77777777" w:rsidR="00767472" w:rsidRDefault="00767472" w:rsidP="00767472">
      <w:pPr>
        <w:rPr>
          <w:rFonts w:cs="Arial"/>
          <w:b/>
          <w:bCs/>
        </w:rPr>
      </w:pPr>
      <w:r>
        <w:rPr>
          <w:rFonts w:cs="Arial"/>
          <w:b/>
          <w:bCs/>
        </w:rPr>
        <w:br w:type="page"/>
      </w:r>
    </w:p>
    <w:p w14:paraId="400053FB" w14:textId="77777777" w:rsidR="00767472" w:rsidRPr="00863D9F" w:rsidRDefault="00767472" w:rsidP="00F94148">
      <w:pPr>
        <w:pStyle w:val="Tabletitle"/>
        <w:rPr>
          <w:rFonts w:cs="Arial"/>
        </w:rPr>
      </w:pPr>
      <w:r w:rsidRPr="00863D9F">
        <w:rPr>
          <w:rFonts w:cs="Arial"/>
        </w:rPr>
        <w:t>Figure</w:t>
      </w:r>
      <w:r w:rsidRPr="00863D9F">
        <w:t xml:space="preserve"> 14: 10-year projection of accumulative costs </w:t>
      </w:r>
    </w:p>
    <w:p w14:paraId="67A291E2" w14:textId="215828CE" w:rsidR="00767472" w:rsidRPr="00863D9F" w:rsidRDefault="00F95BD0" w:rsidP="00E012A4">
      <w:pPr>
        <w:pStyle w:val="NormalWeb"/>
        <w:spacing w:before="0"/>
        <w:rPr>
          <w:rFonts w:cs="Arial"/>
          <w:sz w:val="22"/>
          <w:szCs w:val="22"/>
        </w:rPr>
      </w:pPr>
      <w:r w:rsidRPr="00863D9F">
        <w:rPr>
          <w:b/>
          <w:bCs/>
          <w:noProof/>
          <w:highlight w:val="yellow"/>
        </w:rPr>
        <mc:AlternateContent>
          <mc:Choice Requires="wps">
            <w:drawing>
              <wp:anchor distT="45720" distB="45720" distL="114300" distR="114300" simplePos="0" relativeHeight="251664384" behindDoc="0" locked="0" layoutInCell="1" allowOverlap="1" wp14:anchorId="77228828" wp14:editId="4F4B2ADE">
                <wp:simplePos x="0" y="0"/>
                <wp:positionH relativeFrom="column">
                  <wp:posOffset>4617720</wp:posOffset>
                </wp:positionH>
                <wp:positionV relativeFrom="paragraph">
                  <wp:posOffset>851535</wp:posOffset>
                </wp:positionV>
                <wp:extent cx="1400175" cy="21907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19075"/>
                        </a:xfrm>
                        <a:prstGeom prst="rect">
                          <a:avLst/>
                        </a:prstGeom>
                        <a:solidFill>
                          <a:srgbClr val="FFFFFF">
                            <a:alpha val="0"/>
                          </a:srgbClr>
                        </a:solidFill>
                        <a:ln w="9525">
                          <a:noFill/>
                          <a:miter lim="800000"/>
                          <a:headEnd/>
                          <a:tailEnd/>
                        </a:ln>
                      </wps:spPr>
                      <wps:txbx>
                        <w:txbxContent>
                          <w:p w14:paraId="66F1A375" w14:textId="77777777" w:rsidR="00767472" w:rsidRPr="00C07AAE" w:rsidRDefault="00767472" w:rsidP="00767472">
                            <w:pPr>
                              <w:spacing w:before="0"/>
                              <w:rPr>
                                <w:b/>
                                <w:bCs/>
                                <w:color w:val="7030A0"/>
                                <w:sz w:val="18"/>
                                <w:szCs w:val="18"/>
                              </w:rPr>
                            </w:pPr>
                            <w:r w:rsidRPr="00C07AAE">
                              <w:rPr>
                                <w:b/>
                                <w:bCs/>
                                <w:color w:val="7030A0"/>
                                <w:sz w:val="18"/>
                                <w:szCs w:val="18"/>
                              </w:rPr>
                              <w:t>Information Standard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28828" id="_x0000_s1029" type="#_x0000_t202" style="position:absolute;margin-left:363.6pt;margin-top:67.05pt;width:110.25pt;height:1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" stroked="f">
                <v:fill opacity="0"/>
                <v:textbox>
                  <w:txbxContent>
                    <w:p w14:paraId="66F1A375" w14:textId="77777777" w:rsidR="00767472" w:rsidRPr="00C07AAE" w:rsidRDefault="00767472" w:rsidP="00767472">
                      <w:pPr>
                        <w:spacing w:before="0"/>
                        <w:rPr>
                          <w:b/>
                          <w:bCs/>
                          <w:color w:val="7030A0"/>
                          <w:sz w:val="18"/>
                          <w:szCs w:val="18"/>
                        </w:rPr>
                      </w:pPr>
                      <w:r w:rsidRPr="00C07AAE">
                        <w:rPr>
                          <w:b/>
                          <w:bCs/>
                          <w:color w:val="7030A0"/>
                          <w:sz w:val="18"/>
                          <w:szCs w:val="18"/>
                        </w:rPr>
                        <w:t>Information Standard</w:t>
                      </w:r>
                    </w:p>
                  </w:txbxContent>
                </v:textbox>
              </v:shape>
            </w:pict>
          </mc:Fallback>
        </mc:AlternateContent>
      </w:r>
      <w:r w:rsidRPr="00863D9F">
        <w:rPr>
          <w:b/>
          <w:bCs/>
          <w:noProof/>
          <w:highlight w:val="yellow"/>
        </w:rPr>
        <mc:AlternateContent>
          <mc:Choice Requires="wps">
            <w:drawing>
              <wp:anchor distT="45720" distB="45720" distL="114300" distR="114300" simplePos="0" relativeHeight="251667456" behindDoc="0" locked="0" layoutInCell="1" allowOverlap="1" wp14:anchorId="5B500869" wp14:editId="413FEFE5">
                <wp:simplePos x="0" y="0"/>
                <wp:positionH relativeFrom="page">
                  <wp:posOffset>6191250</wp:posOffset>
                </wp:positionH>
                <wp:positionV relativeFrom="paragraph">
                  <wp:posOffset>1258570</wp:posOffset>
                </wp:positionV>
                <wp:extent cx="1104900" cy="255181"/>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5181"/>
                        </a:xfrm>
                        <a:prstGeom prst="rect">
                          <a:avLst/>
                        </a:prstGeom>
                        <a:solidFill>
                          <a:srgbClr val="FFFFFF">
                            <a:alpha val="0"/>
                          </a:srgbClr>
                        </a:solidFill>
                        <a:ln w="9525">
                          <a:noFill/>
                          <a:miter lim="800000"/>
                          <a:headEnd/>
                          <a:tailEnd/>
                        </a:ln>
                      </wps:spPr>
                      <wps:txbx>
                        <w:txbxContent>
                          <w:p w14:paraId="71265757" w14:textId="77777777" w:rsidR="00767472" w:rsidRPr="00DF278D" w:rsidRDefault="00767472" w:rsidP="00767472">
                            <w:pPr>
                              <w:spacing w:before="0"/>
                              <w:rPr>
                                <w:b/>
                                <w:bCs/>
                                <w:color w:val="00B050"/>
                                <w:sz w:val="18"/>
                                <w:szCs w:val="18"/>
                              </w:rPr>
                            </w:pPr>
                            <w:r w:rsidRPr="00DF278D">
                              <w:rPr>
                                <w:b/>
                                <w:bCs/>
                                <w:color w:val="00B050"/>
                                <w:sz w:val="18"/>
                                <w:szCs w:val="18"/>
                              </w:rPr>
                              <w:t>Safety Standard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00869" id="_x0000_s1030" type="#_x0000_t202" style="position:absolute;margin-left:487.5pt;margin-top:99.1pt;width:87pt;height:20.1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" stroked="f">
                <v:fill opacity="0"/>
                <v:textbox>
                  <w:txbxContent>
                    <w:p w14:paraId="71265757" w14:textId="77777777" w:rsidR="00767472" w:rsidRPr="00DF278D" w:rsidRDefault="00767472" w:rsidP="00767472">
                      <w:pPr>
                        <w:spacing w:before="0"/>
                        <w:rPr>
                          <w:b/>
                          <w:bCs/>
                          <w:color w:val="00B050"/>
                          <w:sz w:val="18"/>
                          <w:szCs w:val="18"/>
                        </w:rPr>
                      </w:pPr>
                      <w:r w:rsidRPr="00DF278D">
                        <w:rPr>
                          <w:b/>
                          <w:bCs/>
                          <w:color w:val="00B050"/>
                          <w:sz w:val="18"/>
                          <w:szCs w:val="18"/>
                        </w:rPr>
                        <w:t>Safety Standard</w:t>
                      </w:r>
                    </w:p>
                  </w:txbxContent>
                </v:textbox>
                <w10:wrap anchorx="page"/>
              </v:shape>
            </w:pict>
          </mc:Fallback>
        </mc:AlternateContent>
      </w:r>
      <w:r w:rsidRPr="00863D9F">
        <w:rPr>
          <w:noProof/>
        </w:rPr>
        <mc:AlternateContent>
          <mc:Choice Requires="wps">
            <w:drawing>
              <wp:anchor distT="0" distB="0" distL="114300" distR="114300" simplePos="0" relativeHeight="251666432" behindDoc="0" locked="0" layoutInCell="1" allowOverlap="1" wp14:anchorId="43C6865A" wp14:editId="0F630E5E">
                <wp:simplePos x="0" y="0"/>
                <wp:positionH relativeFrom="column">
                  <wp:posOffset>4974590</wp:posOffset>
                </wp:positionH>
                <wp:positionV relativeFrom="paragraph">
                  <wp:posOffset>142875</wp:posOffset>
                </wp:positionV>
                <wp:extent cx="1133475" cy="333375"/>
                <wp:effectExtent l="0" t="0" r="0" b="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3375"/>
                        </a:xfrm>
                        <a:prstGeom prst="rect">
                          <a:avLst/>
                        </a:prstGeom>
                        <a:noFill/>
                        <a:ln w="9525">
                          <a:noFill/>
                          <a:miter lim="800000"/>
                          <a:headEnd/>
                          <a:tailEnd/>
                        </a:ln>
                      </wps:spPr>
                      <wps:txbx>
                        <w:txbxContent>
                          <w:p w14:paraId="5F18AD46" w14:textId="77777777" w:rsidR="00767472" w:rsidRDefault="00767472" w:rsidP="00767472">
                            <w:pPr>
                              <w:spacing w:before="0"/>
                              <w:rPr>
                                <w:rFonts w:eastAsia="Calibri"/>
                                <w:b/>
                                <w:bCs/>
                                <w:color w:val="FF0000"/>
                                <w:sz w:val="18"/>
                                <w:szCs w:val="18"/>
                              </w:rPr>
                            </w:pPr>
                            <w:r>
                              <w:rPr>
                                <w:rFonts w:eastAsia="Calibri"/>
                                <w:b/>
                                <w:bCs/>
                                <w:color w:val="FF0000"/>
                                <w:sz w:val="18"/>
                                <w:szCs w:val="18"/>
                              </w:rPr>
                              <w:t>No regulation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6865A" id="_x0000_s1031" type="#_x0000_t202" style="position:absolute;margin-left:391.7pt;margin-top:11.25pt;width:89.2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" filled="f" stroked="f">
                <v:textbox>
                  <w:txbxContent>
                    <w:p w14:paraId="5F18AD46" w14:textId="77777777" w:rsidR="00767472" w:rsidRDefault="00767472" w:rsidP="00767472">
                      <w:pPr>
                        <w:spacing w:before="0"/>
                        <w:rPr>
                          <w:rFonts w:eastAsia="Calibri"/>
                          <w:b/>
                          <w:bCs/>
                          <w:color w:val="FF0000"/>
                          <w:sz w:val="18"/>
                          <w:szCs w:val="18"/>
                        </w:rPr>
                      </w:pPr>
                      <w:r>
                        <w:rPr>
                          <w:rFonts w:eastAsia="Calibri"/>
                          <w:b/>
                          <w:bCs/>
                          <w:color w:val="FF0000"/>
                          <w:sz w:val="18"/>
                          <w:szCs w:val="18"/>
                        </w:rPr>
                        <w:t>No regulation</w:t>
                      </w:r>
                    </w:p>
                  </w:txbxContent>
                </v:textbox>
              </v:shape>
            </w:pict>
          </mc:Fallback>
        </mc:AlternateContent>
      </w:r>
      <w:r w:rsidR="00767472" w:rsidRPr="00863D9F">
        <w:rPr>
          <w:noProof/>
        </w:rPr>
        <w:drawing>
          <wp:inline distT="0" distB="0" distL="0" distR="0" wp14:anchorId="20D06717" wp14:editId="0C2D314F">
            <wp:extent cx="6410325" cy="3880884"/>
            <wp:effectExtent l="0" t="0" r="0" b="5715"/>
            <wp:docPr id="10" name="Chart 10">
              <a:extLst xmlns:a="http://schemas.openxmlformats.org/drawingml/2006/main">
                <a:ext uri="{FF2B5EF4-FFF2-40B4-BE49-F238E27FC236}">
                  <a16:creationId xmlns:a16="http://schemas.microsoft.com/office/drawing/2014/main" id="{6B8EBC9B-BD91-7922-6746-1F6243624A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2C372CD" w14:textId="77777777" w:rsidR="00767472" w:rsidRPr="00863D9F" w:rsidRDefault="00767472" w:rsidP="00767472">
      <w:pPr>
        <w:pStyle w:val="NormalWeb"/>
        <w:spacing w:before="120"/>
      </w:pPr>
      <w:r w:rsidRPr="00863D9F">
        <w:rPr>
          <w:rFonts w:cs="Arial"/>
          <w:sz w:val="22"/>
          <w:szCs w:val="22"/>
        </w:rPr>
        <w:t xml:space="preserve">While the cost-benefit analysis demonstrates benefits of regulatory intervention, there are limitations to the analysis of the costs. However, these limitations result in an overestimation of the cost. Additionally, the costs of no regulation may also be overestimated noting it is unclear how much impact an education campaign will have on infant fatalities. </w:t>
      </w:r>
    </w:p>
    <w:p w14:paraId="7F180B4B" w14:textId="77777777" w:rsidR="00767472" w:rsidRPr="00863D9F" w:rsidRDefault="00767472" w:rsidP="00767472">
      <w:r w:rsidRPr="00863D9F">
        <w:t xml:space="preserve">We acknowledge some stakeholders do not support the mandatory information standard and mandatory safety standard, however, the ACCC considers this provides the greatest safety and cost benefit. We also note not all impacts of a fatality can be quantified and the loss of a child is one of the most extreme stressors that a person can face. </w:t>
      </w:r>
    </w:p>
    <w:p w14:paraId="587640DE" w14:textId="77777777" w:rsidR="00767472" w:rsidRPr="00AF6307" w:rsidRDefault="00767472" w:rsidP="00D21B3B">
      <w:pPr>
        <w:pStyle w:val="Numbered11"/>
        <w:rPr>
          <w:rFonts w:ascii="Roboto" w:hAnsi="Roboto"/>
          <w:sz w:val="32"/>
          <w:szCs w:val="32"/>
        </w:rPr>
      </w:pPr>
      <w:bookmarkStart w:id="90" w:name="_Toc139452479"/>
      <w:bookmarkStart w:id="91" w:name="_Toc140065200"/>
      <w:r w:rsidRPr="00AF6307">
        <w:rPr>
          <w:rFonts w:ascii="Roboto" w:hAnsi="Roboto"/>
          <w:sz w:val="32"/>
          <w:szCs w:val="32"/>
        </w:rPr>
        <w:t>Impacts of a mandatory information standard</w:t>
      </w:r>
      <w:bookmarkEnd w:id="90"/>
      <w:bookmarkEnd w:id="91"/>
      <w:r w:rsidRPr="00AF6307">
        <w:rPr>
          <w:rFonts w:ascii="Roboto" w:hAnsi="Roboto"/>
          <w:sz w:val="32"/>
          <w:szCs w:val="32"/>
        </w:rPr>
        <w:t xml:space="preserve"> </w:t>
      </w:r>
    </w:p>
    <w:p w14:paraId="4BA371F8" w14:textId="77777777" w:rsidR="00767472" w:rsidRPr="00863D9F" w:rsidRDefault="00767472" w:rsidP="00767472">
      <w:r w:rsidRPr="00863D9F">
        <w:t>A mandatory information standard is expected to influence consumer behaviour. Providing multiple warnings and consistent product safety information at the point of sale (instore and online) will inform consumers of the risks of infants sleeping at an incline and the need for supervision:</w:t>
      </w:r>
    </w:p>
    <w:p w14:paraId="58581175" w14:textId="77777777" w:rsidR="00767472" w:rsidRPr="00863D9F" w:rsidRDefault="00767472" w:rsidP="00D21B3B">
      <w:pPr>
        <w:pStyle w:val="Bulletpoint"/>
        <w:numPr>
          <w:ilvl w:val="0"/>
          <w:numId w:val="32"/>
        </w:numPr>
      </w:pPr>
      <w:r w:rsidRPr="00863D9F">
        <w:t>Infant Sleep Products: Warnings infants should be placed on their back and not to put objects or accessories in an infant’s sleep environment.</w:t>
      </w:r>
    </w:p>
    <w:p w14:paraId="45A29197" w14:textId="77777777" w:rsidR="00767472" w:rsidRPr="00863D9F" w:rsidRDefault="00767472" w:rsidP="00D21B3B">
      <w:pPr>
        <w:pStyle w:val="Bulletpoint"/>
        <w:numPr>
          <w:ilvl w:val="0"/>
          <w:numId w:val="32"/>
        </w:numPr>
      </w:pPr>
      <w:r w:rsidRPr="00863D9F">
        <w:t xml:space="preserve">Inclined Non-Sleep Products: Warnings that infants should be placed on their back, and against using for sleep and unsupervised use.  </w:t>
      </w:r>
    </w:p>
    <w:p w14:paraId="08B830C4" w14:textId="77777777" w:rsidR="00767472" w:rsidRPr="00863D9F" w:rsidRDefault="00767472" w:rsidP="00767472">
      <w:r w:rsidRPr="00863D9F">
        <w:t xml:space="preserve">These warnings act as an immediate, affirmative call to action by stating safety advice at the point of sale and are consistent with medical and public health advice relating to safe sleep practices. By having these warnings prominent and readily available on each product, it increases the likelihood of carers reading and understanding the advice, minimising the barrier of requiring consumers to access the information by research or medical attention.    </w:t>
      </w:r>
    </w:p>
    <w:p w14:paraId="1D3379B1" w14:textId="77777777" w:rsidR="00767472" w:rsidRPr="00863D9F" w:rsidRDefault="00767472" w:rsidP="00767472">
      <w:r w:rsidRPr="00863D9F">
        <w:t xml:space="preserve">The mandatory information standard will also provide benefit during the lifespan of the product through affixed permanent warning labels, as the warning labels will assist in educating second-hand consumers who may not have access to the instructions or original packaging. However, the ACCC acknowledges many second-hand products in this market are generally one-off sales from consumers whose child has outgrown the product and may not be considered in trade or commerce, as such, would not be captured by the ACL. </w:t>
      </w:r>
    </w:p>
    <w:p w14:paraId="5AD02E67" w14:textId="77777777" w:rsidR="00767472" w:rsidRPr="00863D9F" w:rsidRDefault="00767472" w:rsidP="00767472">
      <w:r w:rsidRPr="00863D9F">
        <w:t xml:space="preserve">Stakeholders who responded to the Issues Paper and Consultation Paper were generally of the view that a mandatory information standard would need to complement a mandatory safety standard and/or other form of regulation such as a permanent ban. </w:t>
      </w:r>
    </w:p>
    <w:p w14:paraId="7F90FA9C" w14:textId="77777777" w:rsidR="00767472" w:rsidRPr="00863D9F" w:rsidRDefault="00767472" w:rsidP="00767472">
      <w:r w:rsidRPr="00863D9F">
        <w:t>A mandatory information standard will result in initial costs to industry in implementing new warning labels, packaging changes and instruction manual changes, in addition to ongoing internal administration cost verifying compliance (see section 5.3 above for further information). However, although there will be initial costs to industry, these will be offset by the expected benefits and cost savings of the mandatory safety standard over time as discussed above in this paper.</w:t>
      </w:r>
    </w:p>
    <w:p w14:paraId="77EB20AA" w14:textId="77777777" w:rsidR="00767472" w:rsidRPr="00AF6307" w:rsidRDefault="00767472" w:rsidP="00D21B3B">
      <w:pPr>
        <w:pStyle w:val="Numbered11"/>
        <w:rPr>
          <w:rFonts w:ascii="Roboto" w:hAnsi="Roboto"/>
          <w:sz w:val="32"/>
          <w:szCs w:val="32"/>
        </w:rPr>
      </w:pPr>
      <w:bookmarkStart w:id="92" w:name="_Toc139452480"/>
      <w:bookmarkStart w:id="93" w:name="_Toc140065201"/>
      <w:r w:rsidRPr="00AF6307">
        <w:rPr>
          <w:rFonts w:ascii="Roboto" w:hAnsi="Roboto"/>
          <w:sz w:val="32"/>
          <w:szCs w:val="32"/>
        </w:rPr>
        <w:t>Impacts of a mandatory safety standard</w:t>
      </w:r>
      <w:bookmarkEnd w:id="92"/>
      <w:bookmarkEnd w:id="93"/>
      <w:r w:rsidRPr="00AF6307">
        <w:rPr>
          <w:rFonts w:ascii="Roboto" w:hAnsi="Roboto"/>
          <w:sz w:val="32"/>
          <w:szCs w:val="32"/>
        </w:rPr>
        <w:t xml:space="preserve"> </w:t>
      </w:r>
    </w:p>
    <w:p w14:paraId="12510C7A" w14:textId="77777777" w:rsidR="00767472" w:rsidRPr="00863D9F" w:rsidRDefault="00767472" w:rsidP="00767472">
      <w:r w:rsidRPr="00863D9F">
        <w:t xml:space="preserve">A mandatory safety standard would likely remove the design risks inherent in Infant Sleep Products, including Inclined Sleep Products. All Infant Sleep Products would be subject to the standard, preventing any regulatory gaps, with the ability to capture future emerging products designed for infant sleep. These safety design requirements will also have a flow on effect to other sectors who use Infant Sleep Products such as the childcare and early learning sectors. </w:t>
      </w:r>
    </w:p>
    <w:p w14:paraId="4A585B64" w14:textId="77777777" w:rsidR="00767472" w:rsidRPr="00863D9F" w:rsidRDefault="00767472" w:rsidP="00767472">
      <w:pPr>
        <w:pStyle w:val="Bulletpoint"/>
        <w:numPr>
          <w:ilvl w:val="0"/>
          <w:numId w:val="0"/>
        </w:numPr>
      </w:pPr>
      <w:r w:rsidRPr="00863D9F">
        <w:t>The design requirements are devised to be safe for infant sleep, which is consistent with long-standing public health and medical advice that infants sleep on a firm, flat sleep surface. An educational campaign alone may not be sufficiently effective to create a lasting impact that mitigates against the known risks that are not currently addressed in the Australian product safety framework.</w:t>
      </w:r>
    </w:p>
    <w:p w14:paraId="3AB6F893" w14:textId="77777777" w:rsidR="00767472" w:rsidRPr="00863D9F" w:rsidRDefault="00767472" w:rsidP="00767472">
      <w:pPr>
        <w:rPr>
          <w:rFonts w:cs="Arial"/>
        </w:rPr>
      </w:pPr>
      <w:r w:rsidRPr="00863D9F">
        <w:t>59% of stakeholders who responded to the Consultation Paper were of the view that a mandatory safety standard would help reduce the 7.67 fatalities per year associated with Infant Sleep Products and 2.76 fatalities per year associated with Inclined Sleep Products and Inclined Non-Sleep Products.</w:t>
      </w:r>
      <w:r w:rsidRPr="00863D9F">
        <w:rPr>
          <w:rFonts w:cs="Arial"/>
        </w:rPr>
        <w:t xml:space="preserve"> While the cost-benefit analysis predicts a mandatory safety standard would have an initial burden in cost to suppliers</w:t>
      </w:r>
      <w:r w:rsidRPr="00863D9F">
        <w:t xml:space="preserve"> in redesign testing and ongoing internal administration costs verifying compliance (see section 5.4 above for further information)</w:t>
      </w:r>
      <w:r w:rsidRPr="00863D9F">
        <w:rPr>
          <w:rFonts w:cs="Arial"/>
        </w:rPr>
        <w:t xml:space="preserve">, it forecasts the greatest net benefit over a 5-year period, as demonstrated in Figure 13 and 14.  </w:t>
      </w:r>
    </w:p>
    <w:p w14:paraId="186AF2CD" w14:textId="77777777" w:rsidR="00767472" w:rsidRPr="00AF6307" w:rsidRDefault="00767472" w:rsidP="00D21B3B">
      <w:pPr>
        <w:pStyle w:val="Numbered1"/>
        <w:rPr>
          <w:rFonts w:ascii="Roboto" w:hAnsi="Roboto"/>
          <w:sz w:val="44"/>
          <w:szCs w:val="44"/>
        </w:rPr>
      </w:pPr>
      <w:bookmarkStart w:id="94" w:name="_Toc139452481"/>
      <w:bookmarkStart w:id="95" w:name="_Toc140065202"/>
      <w:r w:rsidRPr="00AF6307">
        <w:rPr>
          <w:rFonts w:ascii="Roboto" w:hAnsi="Roboto"/>
          <w:sz w:val="44"/>
          <w:szCs w:val="44"/>
        </w:rPr>
        <w:t>How will the ACCC implement and evaluate the chosen option?</w:t>
      </w:r>
      <w:bookmarkEnd w:id="94"/>
      <w:bookmarkEnd w:id="95"/>
    </w:p>
    <w:p w14:paraId="59F15C51" w14:textId="77777777" w:rsidR="00767472" w:rsidRPr="00863D9F" w:rsidRDefault="00767472" w:rsidP="00767472">
      <w:pPr>
        <w:spacing w:before="120"/>
      </w:pPr>
      <w:r w:rsidRPr="00863D9F">
        <w:t xml:space="preserve">Under section 104 and 134 of the ACL, the commonwealth minister has the power to make or declare a mandatory safety standard and a mandatory information standard respectively for a consumer product or product-related service. These standards apply nationally. </w:t>
      </w:r>
    </w:p>
    <w:p w14:paraId="1B6F71F6" w14:textId="77777777" w:rsidR="00767472" w:rsidRPr="00863D9F" w:rsidRDefault="00767472" w:rsidP="00767472">
      <w:pPr>
        <w:spacing w:before="120"/>
      </w:pPr>
      <w:r w:rsidRPr="00863D9F">
        <w:t xml:space="preserve">Prior to making or declaring a mandatory information standard, the Commonwealth minister is required to consult with relevant state and territory ministers as per section 34 of the </w:t>
      </w:r>
      <w:r w:rsidRPr="00863D9F">
        <w:rPr>
          <w:i/>
          <w:iCs/>
        </w:rPr>
        <w:t>Intergovernmental Agreement for the Australian Consumer Law.</w:t>
      </w:r>
      <w:r w:rsidRPr="00863D9F">
        <w:t xml:space="preserve"> This process will include a 90-day consultation period, as well as an additional 35-day period in which the states and territories must </w:t>
      </w:r>
      <w:proofErr w:type="gramStart"/>
      <w:r w:rsidRPr="00863D9F">
        <w:t>make a decision</w:t>
      </w:r>
      <w:proofErr w:type="gramEnd"/>
      <w:r w:rsidRPr="00863D9F">
        <w:t>. A mandatory information standard may also be subject to the Trans-Tasman Mutual Recognition agreement between Australian and New Zealand.  This process does not apply to a mandatory safety standard where the Minister can make or declare a mandatory safety standard following a recommendation from the ACCC.</w:t>
      </w:r>
    </w:p>
    <w:p w14:paraId="1D739860" w14:textId="77777777" w:rsidR="00767472" w:rsidRPr="00863D9F" w:rsidRDefault="00767472" w:rsidP="00767472">
      <w:r w:rsidRPr="00863D9F">
        <w:t xml:space="preserve">Following approval from states and territories ministers (for the mandatory information standard) and subsequently the Commonwealth Minister (for the mandatory information standard and mandatory safety standards), the ACCC will lodge the instruments to introduce a mandatory safety standard and a mandatory information standard on the Federal Register of Legislation. </w:t>
      </w:r>
    </w:p>
    <w:p w14:paraId="76A96294" w14:textId="77777777" w:rsidR="00767472" w:rsidRPr="00AF6307" w:rsidRDefault="00767472" w:rsidP="00D21B3B">
      <w:pPr>
        <w:pStyle w:val="Numbered11"/>
        <w:rPr>
          <w:rFonts w:ascii="Roboto" w:hAnsi="Roboto"/>
          <w:sz w:val="32"/>
          <w:szCs w:val="32"/>
        </w:rPr>
      </w:pPr>
      <w:bookmarkStart w:id="96" w:name="_Toc139452482"/>
      <w:bookmarkStart w:id="97" w:name="_Toc140065203"/>
      <w:r w:rsidRPr="00AF6307">
        <w:rPr>
          <w:rFonts w:ascii="Roboto" w:hAnsi="Roboto"/>
          <w:sz w:val="32"/>
          <w:szCs w:val="32"/>
        </w:rPr>
        <w:t>Transition period</w:t>
      </w:r>
      <w:bookmarkEnd w:id="96"/>
      <w:bookmarkEnd w:id="97"/>
      <w:r w:rsidRPr="00AF6307">
        <w:rPr>
          <w:rFonts w:ascii="Roboto" w:hAnsi="Roboto"/>
          <w:sz w:val="32"/>
          <w:szCs w:val="32"/>
        </w:rPr>
        <w:t xml:space="preserve"> </w:t>
      </w:r>
    </w:p>
    <w:p w14:paraId="5B37C173" w14:textId="77777777" w:rsidR="00767472" w:rsidRPr="00863D9F" w:rsidRDefault="00767472" w:rsidP="00767472">
      <w:r w:rsidRPr="00863D9F">
        <w:t xml:space="preserve">The ACCC considers the Infant Sleep Products mandatory standards would have an 18-month transition period, from the date of commencement. The ACCC envisions the current mandatory standards for household and folding cots to be revoked on the date the transition period for the mandatory safety standard concludes. </w:t>
      </w:r>
    </w:p>
    <w:p w14:paraId="05053205" w14:textId="77777777" w:rsidR="00767472" w:rsidRPr="00863D9F" w:rsidRDefault="00767472" w:rsidP="00767472">
      <w:r w:rsidRPr="00863D9F">
        <w:t xml:space="preserve">The transition periods provide reasonable time for industry to sell or dispose of stock that may not comply and source new stock. The transition periods are considered appropriate given the broad range of Infant Sleep Products likely to be affected and were also considered reasonable by most stakeholders. </w:t>
      </w:r>
    </w:p>
    <w:p w14:paraId="335CAA1B" w14:textId="77777777" w:rsidR="00767472" w:rsidRPr="00AF6307" w:rsidRDefault="00767472" w:rsidP="00D21B3B">
      <w:pPr>
        <w:pStyle w:val="Numbered11"/>
        <w:rPr>
          <w:rFonts w:ascii="Roboto" w:hAnsi="Roboto"/>
          <w:sz w:val="32"/>
          <w:szCs w:val="32"/>
        </w:rPr>
      </w:pPr>
      <w:bookmarkStart w:id="98" w:name="_Toc139452483"/>
      <w:bookmarkStart w:id="99" w:name="_Toc140065204"/>
      <w:r w:rsidRPr="00AF6307">
        <w:rPr>
          <w:rFonts w:ascii="Roboto" w:hAnsi="Roboto"/>
          <w:sz w:val="32"/>
          <w:szCs w:val="32"/>
        </w:rPr>
        <w:t>Provision of guidance materials</w:t>
      </w:r>
      <w:bookmarkEnd w:id="98"/>
      <w:bookmarkEnd w:id="99"/>
      <w:r w:rsidRPr="00AF6307">
        <w:rPr>
          <w:rFonts w:ascii="Roboto" w:hAnsi="Roboto"/>
          <w:sz w:val="32"/>
          <w:szCs w:val="32"/>
        </w:rPr>
        <w:t xml:space="preserve"> </w:t>
      </w:r>
    </w:p>
    <w:p w14:paraId="04F6A1CF" w14:textId="77777777" w:rsidR="00767472" w:rsidRPr="00863D9F" w:rsidRDefault="00767472" w:rsidP="00767472">
      <w:pPr>
        <w:spacing w:before="120"/>
      </w:pPr>
      <w:r w:rsidRPr="00863D9F">
        <w:t xml:space="preserve">If a mandatory safety standard and mandatory information standard are introduced, the ACCC will engage with industry to provide guidance materials and further clarity on the application of the requirements and best practice recommendations. This should assist suppliers (especially smaller suppliers) who do not have adequate resources or design capacity to easily comply with the new mandatory standards. </w:t>
      </w:r>
    </w:p>
    <w:p w14:paraId="04AA2711" w14:textId="77777777" w:rsidR="00767472" w:rsidRPr="00AF6307" w:rsidRDefault="00767472" w:rsidP="00D21B3B">
      <w:pPr>
        <w:pStyle w:val="Numbered11"/>
        <w:rPr>
          <w:rFonts w:ascii="Roboto" w:hAnsi="Roboto"/>
          <w:sz w:val="32"/>
          <w:szCs w:val="32"/>
        </w:rPr>
      </w:pPr>
      <w:bookmarkStart w:id="100" w:name="_Toc139452484"/>
      <w:bookmarkStart w:id="101" w:name="_Toc140065205"/>
      <w:r w:rsidRPr="00AF6307">
        <w:rPr>
          <w:rFonts w:ascii="Roboto" w:hAnsi="Roboto"/>
          <w:sz w:val="32"/>
          <w:szCs w:val="32"/>
        </w:rPr>
        <w:t>Review of standards</w:t>
      </w:r>
      <w:bookmarkEnd w:id="100"/>
      <w:bookmarkEnd w:id="101"/>
    </w:p>
    <w:p w14:paraId="0EA978BE" w14:textId="77777777" w:rsidR="00767472" w:rsidRPr="00863D9F" w:rsidRDefault="00767472" w:rsidP="00767472">
      <w:r w:rsidRPr="00863D9F">
        <w:t xml:space="preserve">The ACCC considers a formal review of any new mandatory safety standard and mandatory information standard should be conducted at the end of 5 full years from the date of commencement. Any review would consider levels of compliance with mandatory standards, consumer awareness, changes in product design, and changes in the prevalence of injuries and fatalities caused by Infant Sleep Products: </w:t>
      </w:r>
    </w:p>
    <w:p w14:paraId="1689C208" w14:textId="77777777" w:rsidR="00767472" w:rsidRPr="00863D9F" w:rsidRDefault="00767472" w:rsidP="00D21B3B">
      <w:pPr>
        <w:pStyle w:val="Bulletpoint"/>
        <w:numPr>
          <w:ilvl w:val="0"/>
          <w:numId w:val="32"/>
        </w:numPr>
      </w:pPr>
      <w:r w:rsidRPr="00863D9F">
        <w:t xml:space="preserve">Compliance with mandatory safety standard and mandatory information standard: Safety regulation in Australia is a shared responsibility and is enforced by the ACCC and state and territory consumer protection agencies. The ACCC will monitor industry compliance with the mandatory safety standard and mandatory information standard through complaints to the ACCC, surveillance and industry engagement. The ACCC will take enforcement action where appropriate. Under section 136 of the ACL, pecuniary penalties may apply for the supply of goods that do not comply with a mandatory standard. The ACCC considers that observed levels of industry compliance and limited reports of non-compliance to the ACCC will in part demonstrate effectiveness.  </w:t>
      </w:r>
    </w:p>
    <w:p w14:paraId="3DE55871" w14:textId="77777777" w:rsidR="00767472" w:rsidRPr="00863D9F" w:rsidRDefault="00767472" w:rsidP="00D21B3B">
      <w:pPr>
        <w:pStyle w:val="Bulletpoint"/>
        <w:numPr>
          <w:ilvl w:val="0"/>
          <w:numId w:val="32"/>
        </w:numPr>
      </w:pPr>
      <w:r w:rsidRPr="00863D9F">
        <w:t>Injuries and fatalities: Ultimately, any reduction in injuries or fatalities is an indicator of success. Ideally, a measure of success is no injuries or fatalities, however the ACCC considers a more realistic aim of this intervention is a 70% reduction in fatalities. This information can be extrapolated from coronial data following the implementation of the mandatory safety standard and mandatory information standard.</w:t>
      </w:r>
    </w:p>
    <w:p w14:paraId="227EAEFC" w14:textId="77777777" w:rsidR="00767472" w:rsidRPr="00863D9F" w:rsidRDefault="00767472" w:rsidP="00767472">
      <w:pPr>
        <w:pStyle w:val="Bulletpoint"/>
        <w:numPr>
          <w:ilvl w:val="0"/>
          <w:numId w:val="0"/>
        </w:numPr>
      </w:pPr>
      <w:r w:rsidRPr="00863D9F">
        <w:t>Improved consumer awareness, including through the engagement and reach of the education campaign, will also demonstrate success.</w:t>
      </w:r>
    </w:p>
    <w:p w14:paraId="710BBB68" w14:textId="77777777" w:rsidR="00767472" w:rsidRPr="00863D9F" w:rsidRDefault="00767472" w:rsidP="00767472">
      <w:pPr>
        <w:pStyle w:val="Bulletpoint"/>
        <w:numPr>
          <w:ilvl w:val="0"/>
          <w:numId w:val="0"/>
        </w:numPr>
        <w:rPr>
          <w:rFonts w:eastAsiaTheme="majorEastAsia" w:cstheme="majorBidi"/>
          <w:bCs/>
          <w:color w:val="342D8C" w:themeColor="accent1"/>
          <w:sz w:val="36"/>
          <w:szCs w:val="28"/>
        </w:rPr>
      </w:pPr>
      <w:r w:rsidRPr="00863D9F">
        <w:t xml:space="preserve">The ACCC will also address any issues as they arise and maintain communications with stakeholders. </w:t>
      </w:r>
    </w:p>
    <w:p w14:paraId="6A217805" w14:textId="77777777" w:rsidR="00767472" w:rsidRPr="00AF6307" w:rsidRDefault="00767472" w:rsidP="00767472">
      <w:pPr>
        <w:pStyle w:val="Numbered1"/>
        <w:pageBreakBefore/>
        <w:numPr>
          <w:ilvl w:val="0"/>
          <w:numId w:val="0"/>
        </w:numPr>
        <w:ind w:left="357" w:hanging="357"/>
        <w:rPr>
          <w:rFonts w:ascii="Roboto" w:hAnsi="Roboto"/>
          <w:sz w:val="44"/>
          <w:szCs w:val="44"/>
        </w:rPr>
      </w:pPr>
      <w:bookmarkStart w:id="102" w:name="_Toc110959511"/>
      <w:bookmarkStart w:id="103" w:name="_Toc139452485"/>
      <w:bookmarkStart w:id="104" w:name="_Toc140065206"/>
      <w:r w:rsidRPr="00AF6307">
        <w:rPr>
          <w:rFonts w:ascii="Roboto" w:hAnsi="Roboto"/>
          <w:sz w:val="44"/>
          <w:szCs w:val="44"/>
        </w:rPr>
        <w:t>Appendices</w:t>
      </w:r>
      <w:bookmarkEnd w:id="102"/>
      <w:bookmarkEnd w:id="103"/>
      <w:bookmarkEnd w:id="104"/>
    </w:p>
    <w:p w14:paraId="21063FBF" w14:textId="77777777" w:rsidR="00767472" w:rsidRPr="00AF6307" w:rsidRDefault="00767472" w:rsidP="00767472">
      <w:pPr>
        <w:pStyle w:val="Heading2"/>
        <w:rPr>
          <w:rFonts w:ascii="Roboto" w:hAnsi="Roboto"/>
          <w:sz w:val="32"/>
          <w:szCs w:val="32"/>
        </w:rPr>
      </w:pPr>
      <w:bookmarkStart w:id="105" w:name="_Toc106637704"/>
      <w:bookmarkStart w:id="106" w:name="_Toc106802925"/>
      <w:bookmarkStart w:id="107" w:name="_Toc109039392"/>
      <w:bookmarkStart w:id="108" w:name="_Toc110871660"/>
      <w:bookmarkStart w:id="109" w:name="_Toc110959512"/>
      <w:bookmarkStart w:id="110" w:name="_Toc139452486"/>
      <w:bookmarkStart w:id="111" w:name="_Toc140065207"/>
      <w:r w:rsidRPr="00AF6307">
        <w:rPr>
          <w:rFonts w:ascii="Roboto" w:hAnsi="Roboto"/>
          <w:sz w:val="32"/>
          <w:szCs w:val="32"/>
        </w:rPr>
        <w:t xml:space="preserve">Appendix </w:t>
      </w:r>
      <w:bookmarkEnd w:id="105"/>
      <w:bookmarkEnd w:id="106"/>
      <w:r w:rsidRPr="00AF6307">
        <w:rPr>
          <w:rFonts w:ascii="Roboto" w:hAnsi="Roboto"/>
          <w:sz w:val="32"/>
          <w:szCs w:val="32"/>
        </w:rPr>
        <w:t>1: Calculation methods for infant fatalities</w:t>
      </w:r>
      <w:bookmarkEnd w:id="107"/>
      <w:bookmarkEnd w:id="108"/>
      <w:bookmarkEnd w:id="109"/>
      <w:bookmarkEnd w:id="110"/>
      <w:bookmarkEnd w:id="111"/>
    </w:p>
    <w:p w14:paraId="07C83365" w14:textId="77777777" w:rsidR="00767472" w:rsidRPr="00863D9F" w:rsidRDefault="00767472" w:rsidP="00767472">
      <w:r w:rsidRPr="00863D9F">
        <w:t xml:space="preserve">The ACT, NSW, Qld, SA, Tas, and Vic provided data where a fatality occurred whilst the infant was placed in an Infant Sleep Product which could not be attributed to any other cause of death. The ACCC used this fatality data to estimate the total number of infant fatalities in Australia through the following methods using the population, infant population, and infant fatalities: </w:t>
      </w:r>
    </w:p>
    <w:p w14:paraId="2668553A" w14:textId="77777777" w:rsidR="00767472" w:rsidRPr="00863D9F" w:rsidRDefault="00767472" w:rsidP="00F94148">
      <w:pPr>
        <w:pStyle w:val="Bulletpoint"/>
        <w:numPr>
          <w:ilvl w:val="0"/>
          <w:numId w:val="45"/>
        </w:numPr>
      </w:pPr>
      <w:r w:rsidRPr="00863D9F">
        <w:t xml:space="preserve">The </w:t>
      </w:r>
      <w:r w:rsidRPr="00863D9F">
        <w:rPr>
          <w:b/>
          <w:bCs/>
        </w:rPr>
        <w:t xml:space="preserve">average </w:t>
      </w:r>
      <w:r w:rsidRPr="00863D9F">
        <w:t xml:space="preserve">– uses the average population, infant population, and infant fatalities separately to estimate the figure for unknown jurisdictions based on the data provided then finds the total Australian average. </w:t>
      </w:r>
    </w:p>
    <w:p w14:paraId="0B9A5A01" w14:textId="77777777" w:rsidR="00767472" w:rsidRPr="00863D9F" w:rsidRDefault="00767472" w:rsidP="00F94148">
      <w:pPr>
        <w:pStyle w:val="Bulletpoint"/>
        <w:numPr>
          <w:ilvl w:val="0"/>
          <w:numId w:val="45"/>
        </w:numPr>
      </w:pPr>
      <w:r w:rsidRPr="00863D9F">
        <w:t xml:space="preserve">The </w:t>
      </w:r>
      <w:r w:rsidRPr="00863D9F">
        <w:rPr>
          <w:b/>
          <w:bCs/>
        </w:rPr>
        <w:t>weighted average</w:t>
      </w:r>
      <w:r w:rsidRPr="00863D9F">
        <w:t xml:space="preserve"> – uses similar calculations to the ‘average’ method but weights each jurisdiction based on its population, infant population, and number of infant fatalities. This method is deemed the most accurate as it reflects the differing population, infant population, and number of infant fatalities for each jurisdiction. </w:t>
      </w:r>
    </w:p>
    <w:p w14:paraId="3B7B9A3A" w14:textId="77777777" w:rsidR="00767472" w:rsidRPr="00863D9F" w:rsidRDefault="00767472" w:rsidP="00F94148">
      <w:pPr>
        <w:pStyle w:val="Bulletpoint"/>
        <w:numPr>
          <w:ilvl w:val="0"/>
          <w:numId w:val="45"/>
        </w:numPr>
      </w:pPr>
      <w:r w:rsidRPr="00863D9F">
        <w:t xml:space="preserve">The </w:t>
      </w:r>
      <w:r w:rsidRPr="00863D9F">
        <w:rPr>
          <w:b/>
          <w:bCs/>
        </w:rPr>
        <w:t>most similar</w:t>
      </w:r>
      <w:r w:rsidRPr="00863D9F">
        <w:t xml:space="preserve"> – extracts an estimated figure for unknown jurisdictions based on the data provided by its most similar known state. The ‘most similar’ jurisdiction is partnered dependent on its infant fatality similarities. For example, more infant fatalities occur in warmer climates, therefore, the NT is partnered with Qld. </w:t>
      </w:r>
    </w:p>
    <w:p w14:paraId="0FD86FF3" w14:textId="77777777" w:rsidR="00767472" w:rsidRPr="00863D9F" w:rsidRDefault="00767472" w:rsidP="00767472">
      <w:r w:rsidRPr="00863D9F">
        <w:t xml:space="preserve">The figures published by the Australian Bureau of Statistics were used for population, infant </w:t>
      </w:r>
      <w:proofErr w:type="gramStart"/>
      <w:r w:rsidRPr="00863D9F">
        <w:t>population</w:t>
      </w:r>
      <w:proofErr w:type="gramEnd"/>
      <w:r w:rsidRPr="00863D9F">
        <w:t xml:space="preserve"> and infant fatalities figures for each jurisdiction instead of the collective Australian figure for accuracy.</w:t>
      </w:r>
      <w:r w:rsidRPr="00863D9F">
        <w:rPr>
          <w:vertAlign w:val="superscript"/>
        </w:rPr>
        <w:footnoteReference w:id="32"/>
      </w:r>
      <w:r w:rsidRPr="00863D9F">
        <w:t xml:space="preserve"> </w:t>
      </w:r>
    </w:p>
    <w:p w14:paraId="7D4B7EB0" w14:textId="77777777" w:rsidR="00767472" w:rsidRPr="00863D9F" w:rsidRDefault="00767472" w:rsidP="00767472">
      <w:r w:rsidRPr="00863D9F">
        <w:t xml:space="preserve">Tables 15 and 16 show the estimated national infant fatalities for Infant Sleep Products (excluding Inclined Sleep Products) and Inclined Sleep Products per year calculated from the above methods. The highlighted cell below represents the figure used. </w:t>
      </w:r>
    </w:p>
    <w:p w14:paraId="544815BB" w14:textId="77777777" w:rsidR="00767472" w:rsidRPr="004D0D81" w:rsidRDefault="00767472" w:rsidP="00F94148">
      <w:pPr>
        <w:pStyle w:val="Tabletitle"/>
      </w:pPr>
      <w:bookmarkStart w:id="112" w:name="_Hlk106113257"/>
      <w:r w:rsidRPr="004D0D81">
        <w:t xml:space="preserve">Table 15: </w:t>
      </w:r>
      <w:r w:rsidRPr="00F94148">
        <w:t>Estimated</w:t>
      </w:r>
      <w:r w:rsidRPr="004D0D81">
        <w:t xml:space="preserve"> national infant fatalities for Infant Sleep Products (excl Inclined Sleep Products)</w:t>
      </w:r>
    </w:p>
    <w:tbl>
      <w:tblPr>
        <w:tblW w:w="0" w:type="auto"/>
        <w:tblCellMar>
          <w:left w:w="0" w:type="dxa"/>
          <w:right w:w="0" w:type="dxa"/>
        </w:tblCellMar>
        <w:tblLook w:val="04A0" w:firstRow="1" w:lastRow="0" w:firstColumn="1" w:lastColumn="0" w:noHBand="0" w:noVBand="1"/>
      </w:tblPr>
      <w:tblGrid>
        <w:gridCol w:w="2260"/>
        <w:gridCol w:w="2239"/>
        <w:gridCol w:w="2249"/>
        <w:gridCol w:w="2258"/>
      </w:tblGrid>
      <w:tr w:rsidR="00767472" w:rsidRPr="00863D9F" w14:paraId="5DB34B9A" w14:textId="77777777" w:rsidTr="005E380D">
        <w:tc>
          <w:tcPr>
            <w:tcW w:w="2260"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tcPr>
          <w:p w14:paraId="6C768112" w14:textId="77777777" w:rsidR="00767472" w:rsidRPr="00863D9F" w:rsidRDefault="00767472" w:rsidP="005E380D">
            <w:pPr>
              <w:pStyle w:val="Tabletext"/>
            </w:pPr>
          </w:p>
        </w:tc>
        <w:tc>
          <w:tcPr>
            <w:tcW w:w="2239"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9427D16" w14:textId="77777777" w:rsidR="00767472" w:rsidRPr="00863D9F" w:rsidRDefault="00767472" w:rsidP="005E380D">
            <w:pPr>
              <w:pStyle w:val="Tabletext"/>
            </w:pPr>
            <w:r w:rsidRPr="00863D9F">
              <w:t>Average</w:t>
            </w:r>
          </w:p>
        </w:tc>
        <w:tc>
          <w:tcPr>
            <w:tcW w:w="2249"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26C57E0D" w14:textId="77777777" w:rsidR="00767472" w:rsidRPr="00863D9F" w:rsidRDefault="00767472" w:rsidP="005E380D">
            <w:pPr>
              <w:pStyle w:val="Tabletext"/>
            </w:pPr>
            <w:r w:rsidRPr="00863D9F">
              <w:t>Weighted average</w:t>
            </w:r>
          </w:p>
        </w:tc>
        <w:tc>
          <w:tcPr>
            <w:tcW w:w="2258"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01817006" w14:textId="77777777" w:rsidR="00767472" w:rsidRPr="00863D9F" w:rsidRDefault="00767472" w:rsidP="005E380D">
            <w:pPr>
              <w:pStyle w:val="Tabletext"/>
            </w:pPr>
            <w:r w:rsidRPr="00863D9F">
              <w:t>Most similar</w:t>
            </w:r>
          </w:p>
        </w:tc>
      </w:tr>
      <w:tr w:rsidR="00767472" w:rsidRPr="00863D9F" w14:paraId="519D4020" w14:textId="77777777" w:rsidTr="00255653">
        <w:tc>
          <w:tcPr>
            <w:tcW w:w="226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2684058" w14:textId="77777777" w:rsidR="00767472" w:rsidRPr="00863D9F" w:rsidRDefault="00767472" w:rsidP="005E380D">
            <w:pPr>
              <w:pStyle w:val="Tabletext"/>
            </w:pPr>
            <w:r w:rsidRPr="00863D9F">
              <w:t>Population</w:t>
            </w:r>
          </w:p>
        </w:tc>
        <w:tc>
          <w:tcPr>
            <w:tcW w:w="223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34793667" w14:textId="77777777" w:rsidR="00767472" w:rsidRPr="00863D9F" w:rsidRDefault="00767472" w:rsidP="00255653">
            <w:pPr>
              <w:pStyle w:val="Tabletext"/>
              <w:jc w:val="right"/>
            </w:pPr>
            <w:r w:rsidRPr="00863D9F">
              <w:t>7.32</w:t>
            </w:r>
          </w:p>
        </w:tc>
        <w:tc>
          <w:tcPr>
            <w:tcW w:w="224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2928DD5E" w14:textId="77777777" w:rsidR="00767472" w:rsidRPr="00863D9F" w:rsidRDefault="00767472" w:rsidP="00255653">
            <w:pPr>
              <w:pStyle w:val="Tabletext"/>
              <w:jc w:val="right"/>
            </w:pPr>
            <w:r w:rsidRPr="00863D9F">
              <w:t>7.59</w:t>
            </w:r>
          </w:p>
        </w:tc>
        <w:tc>
          <w:tcPr>
            <w:tcW w:w="2258"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1FC131B9" w14:textId="77777777" w:rsidR="00767472" w:rsidRPr="00863D9F" w:rsidRDefault="00767472" w:rsidP="00255653">
            <w:pPr>
              <w:pStyle w:val="Tabletext"/>
              <w:jc w:val="right"/>
            </w:pPr>
            <w:r w:rsidRPr="00863D9F">
              <w:t>7.08</w:t>
            </w:r>
          </w:p>
        </w:tc>
      </w:tr>
      <w:tr w:rsidR="00767472" w:rsidRPr="00863D9F" w14:paraId="589919B6" w14:textId="77777777" w:rsidTr="00255653">
        <w:tc>
          <w:tcPr>
            <w:tcW w:w="226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8B1F520" w14:textId="77777777" w:rsidR="00767472" w:rsidRPr="00863D9F" w:rsidRDefault="00767472" w:rsidP="005E380D">
            <w:pPr>
              <w:pStyle w:val="Tabletext"/>
            </w:pPr>
            <w:r w:rsidRPr="00863D9F">
              <w:t>Infant population</w:t>
            </w:r>
          </w:p>
        </w:tc>
        <w:tc>
          <w:tcPr>
            <w:tcW w:w="223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7E159CDF" w14:textId="77777777" w:rsidR="00767472" w:rsidRPr="00863D9F" w:rsidRDefault="00767472" w:rsidP="00255653">
            <w:pPr>
              <w:pStyle w:val="Tabletext"/>
              <w:jc w:val="right"/>
            </w:pPr>
            <w:r w:rsidRPr="00863D9F">
              <w:t>7.36</w:t>
            </w:r>
          </w:p>
        </w:tc>
        <w:tc>
          <w:tcPr>
            <w:tcW w:w="2249" w:type="dxa"/>
            <w:tcBorders>
              <w:top w:val="nil"/>
              <w:left w:val="nil"/>
              <w:bottom w:val="single" w:sz="8" w:space="0" w:color="999999"/>
              <w:right w:val="single" w:sz="8" w:space="0" w:color="999999"/>
            </w:tcBorders>
            <w:shd w:val="clear" w:color="auto" w:fill="CEF8F7" w:themeFill="accent2" w:themeFillTint="33"/>
            <w:tcMar>
              <w:top w:w="0" w:type="dxa"/>
              <w:left w:w="108" w:type="dxa"/>
              <w:bottom w:w="0" w:type="dxa"/>
              <w:right w:w="108" w:type="dxa"/>
            </w:tcMar>
            <w:vAlign w:val="center"/>
          </w:tcPr>
          <w:p w14:paraId="1E300575" w14:textId="77777777" w:rsidR="00767472" w:rsidRPr="00863D9F" w:rsidRDefault="00767472" w:rsidP="00255653">
            <w:pPr>
              <w:pStyle w:val="Tabletext"/>
              <w:jc w:val="right"/>
            </w:pPr>
            <w:r w:rsidRPr="00863D9F">
              <w:t>7.67</w:t>
            </w:r>
          </w:p>
        </w:tc>
        <w:tc>
          <w:tcPr>
            <w:tcW w:w="2258"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334E2974" w14:textId="77777777" w:rsidR="00767472" w:rsidRPr="00863D9F" w:rsidRDefault="00767472" w:rsidP="00255653">
            <w:pPr>
              <w:pStyle w:val="Tabletext"/>
              <w:jc w:val="right"/>
            </w:pPr>
            <w:r w:rsidRPr="00863D9F">
              <w:t>7.13</w:t>
            </w:r>
          </w:p>
        </w:tc>
      </w:tr>
      <w:tr w:rsidR="00767472" w:rsidRPr="00863D9F" w14:paraId="0E327774" w14:textId="77777777" w:rsidTr="00255653">
        <w:trPr>
          <w:trHeight w:val="40"/>
        </w:trPr>
        <w:tc>
          <w:tcPr>
            <w:tcW w:w="226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7C3B67" w14:textId="77777777" w:rsidR="00767472" w:rsidRPr="00863D9F" w:rsidRDefault="00767472" w:rsidP="005E380D">
            <w:pPr>
              <w:pStyle w:val="Tabletext"/>
            </w:pPr>
            <w:r w:rsidRPr="00863D9F">
              <w:t xml:space="preserve">Infant fatalities </w:t>
            </w:r>
          </w:p>
        </w:tc>
        <w:tc>
          <w:tcPr>
            <w:tcW w:w="223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2CFFA18E" w14:textId="77777777" w:rsidR="00767472" w:rsidRPr="00863D9F" w:rsidRDefault="00767472" w:rsidP="00255653">
            <w:pPr>
              <w:pStyle w:val="Tabletext"/>
              <w:jc w:val="right"/>
            </w:pPr>
            <w:r w:rsidRPr="00863D9F">
              <w:t>6.80</w:t>
            </w:r>
          </w:p>
        </w:tc>
        <w:tc>
          <w:tcPr>
            <w:tcW w:w="224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65E594D5" w14:textId="77777777" w:rsidR="00767472" w:rsidRPr="00863D9F" w:rsidRDefault="00767472" w:rsidP="00255653">
            <w:pPr>
              <w:pStyle w:val="Tabletext"/>
              <w:jc w:val="right"/>
            </w:pPr>
            <w:r w:rsidRPr="00863D9F">
              <w:t>7.43</w:t>
            </w:r>
          </w:p>
        </w:tc>
        <w:tc>
          <w:tcPr>
            <w:tcW w:w="2258"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338B9DD3" w14:textId="77777777" w:rsidR="00767472" w:rsidRPr="00863D9F" w:rsidRDefault="00767472" w:rsidP="00255653">
            <w:pPr>
              <w:pStyle w:val="Tabletext"/>
              <w:jc w:val="right"/>
            </w:pPr>
            <w:r w:rsidRPr="00863D9F">
              <w:t>7.12</w:t>
            </w:r>
          </w:p>
        </w:tc>
      </w:tr>
    </w:tbl>
    <w:bookmarkEnd w:id="112"/>
    <w:p w14:paraId="411D61C6" w14:textId="77777777" w:rsidR="00767472" w:rsidRPr="004D0D81" w:rsidRDefault="00767472" w:rsidP="00F94148">
      <w:pPr>
        <w:pStyle w:val="Tabletitle"/>
      </w:pPr>
      <w:r w:rsidRPr="004D0D81">
        <w:t xml:space="preserve">Table 16: </w:t>
      </w:r>
      <w:r w:rsidRPr="00F94148">
        <w:t>Estimated</w:t>
      </w:r>
      <w:r w:rsidRPr="004D0D81">
        <w:t xml:space="preserve"> national infant fatalities for Inclined Sleep Products </w:t>
      </w:r>
    </w:p>
    <w:tbl>
      <w:tblPr>
        <w:tblW w:w="0" w:type="auto"/>
        <w:tblCellMar>
          <w:left w:w="0" w:type="dxa"/>
          <w:right w:w="0" w:type="dxa"/>
        </w:tblCellMar>
        <w:tblLook w:val="04A0" w:firstRow="1" w:lastRow="0" w:firstColumn="1" w:lastColumn="0" w:noHBand="0" w:noVBand="1"/>
      </w:tblPr>
      <w:tblGrid>
        <w:gridCol w:w="2260"/>
        <w:gridCol w:w="2239"/>
        <w:gridCol w:w="2249"/>
        <w:gridCol w:w="2258"/>
      </w:tblGrid>
      <w:tr w:rsidR="00767472" w:rsidRPr="00863D9F" w14:paraId="599458B9" w14:textId="77777777" w:rsidTr="005E380D">
        <w:tc>
          <w:tcPr>
            <w:tcW w:w="2260"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tcPr>
          <w:p w14:paraId="1F3CD175" w14:textId="77777777" w:rsidR="00767472" w:rsidRPr="00863D9F" w:rsidRDefault="00767472" w:rsidP="005E380D">
            <w:pPr>
              <w:pStyle w:val="Tabletext"/>
            </w:pPr>
          </w:p>
        </w:tc>
        <w:tc>
          <w:tcPr>
            <w:tcW w:w="2239"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7B3C37E3" w14:textId="77777777" w:rsidR="00767472" w:rsidRPr="00863D9F" w:rsidRDefault="00767472" w:rsidP="005E380D">
            <w:pPr>
              <w:pStyle w:val="Tabletext"/>
            </w:pPr>
            <w:r w:rsidRPr="00863D9F">
              <w:t>Average</w:t>
            </w:r>
          </w:p>
        </w:tc>
        <w:tc>
          <w:tcPr>
            <w:tcW w:w="2249"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5038FD1E" w14:textId="77777777" w:rsidR="00767472" w:rsidRPr="00863D9F" w:rsidRDefault="00767472" w:rsidP="005E380D">
            <w:pPr>
              <w:pStyle w:val="Tabletext"/>
            </w:pPr>
            <w:r w:rsidRPr="00863D9F">
              <w:t>Weighted average</w:t>
            </w:r>
          </w:p>
        </w:tc>
        <w:tc>
          <w:tcPr>
            <w:tcW w:w="2258"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35535944" w14:textId="77777777" w:rsidR="00767472" w:rsidRPr="00863D9F" w:rsidRDefault="00767472" w:rsidP="005E380D">
            <w:pPr>
              <w:pStyle w:val="Tabletext"/>
            </w:pPr>
            <w:r w:rsidRPr="00863D9F">
              <w:t>Most similar</w:t>
            </w:r>
          </w:p>
        </w:tc>
      </w:tr>
      <w:tr w:rsidR="00767472" w:rsidRPr="00863D9F" w14:paraId="4102CB35" w14:textId="77777777" w:rsidTr="00255653">
        <w:tc>
          <w:tcPr>
            <w:tcW w:w="226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B1C94F0" w14:textId="77777777" w:rsidR="00767472" w:rsidRPr="00863D9F" w:rsidRDefault="00767472" w:rsidP="005E380D">
            <w:pPr>
              <w:pStyle w:val="Tabletext"/>
            </w:pPr>
            <w:r w:rsidRPr="00863D9F">
              <w:t>Population</w:t>
            </w:r>
          </w:p>
        </w:tc>
        <w:tc>
          <w:tcPr>
            <w:tcW w:w="223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028A8BF7" w14:textId="77777777" w:rsidR="00767472" w:rsidRPr="00863D9F" w:rsidRDefault="00767472" w:rsidP="00255653">
            <w:pPr>
              <w:pStyle w:val="Tabletext"/>
              <w:jc w:val="right"/>
            </w:pPr>
            <w:r w:rsidRPr="00863D9F">
              <w:t>2.58</w:t>
            </w:r>
          </w:p>
        </w:tc>
        <w:tc>
          <w:tcPr>
            <w:tcW w:w="224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18282EDE" w14:textId="77777777" w:rsidR="00767472" w:rsidRPr="00863D9F" w:rsidRDefault="00767472" w:rsidP="00255653">
            <w:pPr>
              <w:pStyle w:val="Tabletext"/>
              <w:jc w:val="right"/>
            </w:pPr>
            <w:r w:rsidRPr="00863D9F">
              <w:t>2.68</w:t>
            </w:r>
          </w:p>
        </w:tc>
        <w:tc>
          <w:tcPr>
            <w:tcW w:w="2258"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589AAD9A" w14:textId="77777777" w:rsidR="00767472" w:rsidRPr="00863D9F" w:rsidRDefault="00767472" w:rsidP="00255653">
            <w:pPr>
              <w:pStyle w:val="Tabletext"/>
              <w:jc w:val="right"/>
            </w:pPr>
            <w:r w:rsidRPr="00863D9F">
              <w:t>2.53</w:t>
            </w:r>
          </w:p>
        </w:tc>
      </w:tr>
      <w:tr w:rsidR="00767472" w:rsidRPr="00863D9F" w14:paraId="6C190490" w14:textId="77777777" w:rsidTr="00255653">
        <w:tc>
          <w:tcPr>
            <w:tcW w:w="226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33A7710" w14:textId="77777777" w:rsidR="00767472" w:rsidRPr="00863D9F" w:rsidRDefault="00767472" w:rsidP="005E380D">
            <w:pPr>
              <w:pStyle w:val="Tabletext"/>
            </w:pPr>
            <w:r w:rsidRPr="00863D9F">
              <w:t>Infant population</w:t>
            </w:r>
          </w:p>
        </w:tc>
        <w:tc>
          <w:tcPr>
            <w:tcW w:w="223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14F66D3E" w14:textId="77777777" w:rsidR="00767472" w:rsidRPr="00863D9F" w:rsidRDefault="00767472" w:rsidP="00255653">
            <w:pPr>
              <w:pStyle w:val="Tabletext"/>
              <w:jc w:val="right"/>
            </w:pPr>
            <w:r w:rsidRPr="00863D9F">
              <w:t>2.60</w:t>
            </w:r>
          </w:p>
        </w:tc>
        <w:tc>
          <w:tcPr>
            <w:tcW w:w="2249" w:type="dxa"/>
            <w:tcBorders>
              <w:top w:val="nil"/>
              <w:left w:val="nil"/>
              <w:bottom w:val="single" w:sz="8" w:space="0" w:color="999999"/>
              <w:right w:val="single" w:sz="8" w:space="0" w:color="999999"/>
            </w:tcBorders>
            <w:shd w:val="clear" w:color="auto" w:fill="CEF8F7" w:themeFill="accent2" w:themeFillTint="33"/>
            <w:tcMar>
              <w:top w:w="0" w:type="dxa"/>
              <w:left w:w="108" w:type="dxa"/>
              <w:bottom w:w="0" w:type="dxa"/>
              <w:right w:w="108" w:type="dxa"/>
            </w:tcMar>
            <w:vAlign w:val="center"/>
          </w:tcPr>
          <w:p w14:paraId="4CC9A17D" w14:textId="77777777" w:rsidR="00767472" w:rsidRPr="00863D9F" w:rsidRDefault="00767472" w:rsidP="00255653">
            <w:pPr>
              <w:pStyle w:val="Tabletext"/>
              <w:jc w:val="right"/>
            </w:pPr>
            <w:r w:rsidRPr="00863D9F">
              <w:t>2.76</w:t>
            </w:r>
          </w:p>
        </w:tc>
        <w:tc>
          <w:tcPr>
            <w:tcW w:w="2258"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6E451A90" w14:textId="77777777" w:rsidR="00767472" w:rsidRPr="00863D9F" w:rsidRDefault="00767472" w:rsidP="00255653">
            <w:pPr>
              <w:pStyle w:val="Tabletext"/>
              <w:jc w:val="right"/>
            </w:pPr>
            <w:r w:rsidRPr="00863D9F">
              <w:t>2.60</w:t>
            </w:r>
          </w:p>
        </w:tc>
      </w:tr>
      <w:tr w:rsidR="00767472" w:rsidRPr="00863D9F" w14:paraId="72924936" w14:textId="77777777" w:rsidTr="00255653">
        <w:tc>
          <w:tcPr>
            <w:tcW w:w="226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6D10B11" w14:textId="77777777" w:rsidR="00767472" w:rsidRPr="00863D9F" w:rsidRDefault="00767472" w:rsidP="005E380D">
            <w:pPr>
              <w:pStyle w:val="Tabletext"/>
            </w:pPr>
            <w:r w:rsidRPr="00863D9F">
              <w:t xml:space="preserve">Infant fatalities </w:t>
            </w:r>
          </w:p>
        </w:tc>
        <w:tc>
          <w:tcPr>
            <w:tcW w:w="223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6CA23D4D" w14:textId="77777777" w:rsidR="00767472" w:rsidRPr="00863D9F" w:rsidRDefault="00767472" w:rsidP="00255653">
            <w:pPr>
              <w:pStyle w:val="Tabletext"/>
              <w:jc w:val="right"/>
            </w:pPr>
            <w:r w:rsidRPr="00863D9F">
              <w:t>1.32</w:t>
            </w:r>
          </w:p>
        </w:tc>
        <w:tc>
          <w:tcPr>
            <w:tcW w:w="224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2716A0AB" w14:textId="77777777" w:rsidR="00767472" w:rsidRPr="00863D9F" w:rsidRDefault="00767472" w:rsidP="00255653">
            <w:pPr>
              <w:pStyle w:val="Tabletext"/>
              <w:jc w:val="right"/>
            </w:pPr>
            <w:r w:rsidRPr="00863D9F">
              <w:t>2.72</w:t>
            </w:r>
          </w:p>
        </w:tc>
        <w:tc>
          <w:tcPr>
            <w:tcW w:w="2258"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vAlign w:val="center"/>
          </w:tcPr>
          <w:p w14:paraId="2A1E96F7" w14:textId="77777777" w:rsidR="00767472" w:rsidRPr="00863D9F" w:rsidRDefault="00767472" w:rsidP="00255653">
            <w:pPr>
              <w:pStyle w:val="Tabletext"/>
              <w:jc w:val="right"/>
            </w:pPr>
            <w:r w:rsidRPr="00863D9F">
              <w:t>2.71</w:t>
            </w:r>
          </w:p>
        </w:tc>
      </w:tr>
    </w:tbl>
    <w:p w14:paraId="710F8165" w14:textId="77777777" w:rsidR="00767472" w:rsidRPr="00AF6307" w:rsidRDefault="00767472" w:rsidP="00767472">
      <w:pPr>
        <w:pStyle w:val="Heading2"/>
        <w:rPr>
          <w:rFonts w:ascii="Roboto" w:hAnsi="Roboto"/>
          <w:sz w:val="32"/>
          <w:szCs w:val="32"/>
        </w:rPr>
      </w:pPr>
      <w:bookmarkStart w:id="113" w:name="_Toc139452487"/>
      <w:bookmarkStart w:id="114" w:name="_Toc140065208"/>
      <w:bookmarkStart w:id="115" w:name="_Hlk135823835"/>
      <w:r w:rsidRPr="00AF6307">
        <w:rPr>
          <w:rFonts w:ascii="Roboto" w:hAnsi="Roboto"/>
          <w:sz w:val="32"/>
          <w:szCs w:val="32"/>
        </w:rPr>
        <w:t>Appendix 2: Calculation methods for costs of regulation</w:t>
      </w:r>
      <w:bookmarkEnd w:id="113"/>
      <w:bookmarkEnd w:id="114"/>
      <w:r w:rsidRPr="00AF6307">
        <w:rPr>
          <w:rFonts w:ascii="Roboto" w:hAnsi="Roboto"/>
          <w:sz w:val="32"/>
          <w:szCs w:val="32"/>
        </w:rPr>
        <w:t xml:space="preserve">   </w:t>
      </w:r>
    </w:p>
    <w:p w14:paraId="7AE3E55E" w14:textId="77777777" w:rsidR="00767472" w:rsidRPr="00863D9F" w:rsidRDefault="00767472" w:rsidP="00767472">
      <w:pPr>
        <w:rPr>
          <w:i/>
          <w:iCs/>
        </w:rPr>
      </w:pPr>
      <w:r w:rsidRPr="00863D9F">
        <w:rPr>
          <w:i/>
          <w:iCs/>
        </w:rPr>
        <w:t xml:space="preserve">Compliance cost to industry </w:t>
      </w:r>
    </w:p>
    <w:p w14:paraId="13E333B9" w14:textId="77777777" w:rsidR="00767472" w:rsidRPr="00863D9F" w:rsidRDefault="00767472" w:rsidP="00F94148">
      <w:pPr>
        <w:pStyle w:val="Tabletitle"/>
      </w:pPr>
      <w:r w:rsidRPr="00863D9F">
        <w:t xml:space="preserve">Table 17: Mandatory information standard calculations </w:t>
      </w:r>
    </w:p>
    <w:tbl>
      <w:tblPr>
        <w:tblW w:w="9214" w:type="dxa"/>
        <w:tblInd w:w="-5"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Look w:val="04A0" w:firstRow="1" w:lastRow="0" w:firstColumn="1" w:lastColumn="0" w:noHBand="0" w:noVBand="1"/>
      </w:tblPr>
      <w:tblGrid>
        <w:gridCol w:w="2922"/>
        <w:gridCol w:w="274"/>
        <w:gridCol w:w="3294"/>
        <w:gridCol w:w="1307"/>
        <w:gridCol w:w="1417"/>
      </w:tblGrid>
      <w:tr w:rsidR="00767472" w:rsidRPr="00863D9F" w14:paraId="610D850E" w14:textId="77777777" w:rsidTr="005E380D">
        <w:trPr>
          <w:trHeight w:val="360"/>
        </w:trPr>
        <w:tc>
          <w:tcPr>
            <w:tcW w:w="9214" w:type="dxa"/>
            <w:gridSpan w:val="5"/>
            <w:shd w:val="clear" w:color="auto" w:fill="auto"/>
            <w:hideMark/>
          </w:tcPr>
          <w:p w14:paraId="0E43FB54" w14:textId="77777777" w:rsidR="00767472" w:rsidRPr="00863D9F" w:rsidRDefault="00767472" w:rsidP="005E380D">
            <w:pPr>
              <w:spacing w:before="0"/>
              <w:rPr>
                <w:rFonts w:eastAsia="Times New Roman" w:cs="Arial"/>
                <w:b/>
                <w:bCs/>
                <w:color w:val="000000"/>
                <w:sz w:val="28"/>
                <w:szCs w:val="28"/>
                <w:lang w:eastAsia="en-AU"/>
              </w:rPr>
            </w:pPr>
            <w:r w:rsidRPr="00863D9F">
              <w:rPr>
                <w:rFonts w:eastAsia="Times New Roman" w:cs="Arial"/>
                <w:b/>
                <w:bCs/>
                <w:color w:val="000000"/>
                <w:lang w:eastAsia="en-AU"/>
              </w:rPr>
              <w:t>Minimum range</w:t>
            </w:r>
          </w:p>
        </w:tc>
      </w:tr>
      <w:tr w:rsidR="00767472" w:rsidRPr="00863D9F" w14:paraId="61E9BA79" w14:textId="77777777" w:rsidTr="005E380D">
        <w:trPr>
          <w:trHeight w:val="280"/>
        </w:trPr>
        <w:tc>
          <w:tcPr>
            <w:tcW w:w="3196" w:type="dxa"/>
            <w:gridSpan w:val="2"/>
            <w:shd w:val="clear" w:color="auto" w:fill="auto"/>
            <w:hideMark/>
          </w:tcPr>
          <w:p w14:paraId="5EB6451F"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b/>
                <w:bCs/>
                <w:color w:val="000000"/>
                <w:lang w:eastAsia="en-AU"/>
              </w:rPr>
              <w:t>Compliance cost</w:t>
            </w:r>
          </w:p>
        </w:tc>
        <w:tc>
          <w:tcPr>
            <w:tcW w:w="4601" w:type="dxa"/>
            <w:gridSpan w:val="2"/>
            <w:shd w:val="clear" w:color="auto" w:fill="auto"/>
            <w:hideMark/>
          </w:tcPr>
          <w:p w14:paraId="1186AAB4"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b/>
                <w:bCs/>
                <w:color w:val="000000"/>
                <w:lang w:eastAsia="en-AU"/>
              </w:rPr>
              <w:t>Calculation</w:t>
            </w:r>
          </w:p>
        </w:tc>
        <w:tc>
          <w:tcPr>
            <w:tcW w:w="1417" w:type="dxa"/>
            <w:shd w:val="clear" w:color="auto" w:fill="auto"/>
            <w:hideMark/>
          </w:tcPr>
          <w:p w14:paraId="764F7934"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b/>
                <w:bCs/>
                <w:color w:val="000000"/>
                <w:lang w:eastAsia="en-AU"/>
              </w:rPr>
              <w:t>Total cost</w:t>
            </w:r>
          </w:p>
        </w:tc>
      </w:tr>
      <w:tr w:rsidR="00767472" w:rsidRPr="00863D9F" w14:paraId="7A54B19D" w14:textId="77777777" w:rsidTr="00255653">
        <w:trPr>
          <w:trHeight w:val="560"/>
        </w:trPr>
        <w:tc>
          <w:tcPr>
            <w:tcW w:w="3196" w:type="dxa"/>
            <w:gridSpan w:val="2"/>
            <w:shd w:val="clear" w:color="auto" w:fill="auto"/>
            <w:hideMark/>
          </w:tcPr>
          <w:p w14:paraId="5EA39417"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Labelling</w:t>
            </w:r>
          </w:p>
        </w:tc>
        <w:tc>
          <w:tcPr>
            <w:tcW w:w="4601" w:type="dxa"/>
            <w:gridSpan w:val="2"/>
            <w:shd w:val="clear" w:color="auto" w:fill="auto"/>
            <w:hideMark/>
          </w:tcPr>
          <w:p w14:paraId="447511EB"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$0.30 x 515,000</w:t>
            </w:r>
            <w:r w:rsidRPr="00863D9F">
              <w:rPr>
                <w:rFonts w:eastAsia="Times New Roman" w:cs="Arial"/>
                <w:color w:val="000000"/>
                <w:lang w:eastAsia="en-AU"/>
              </w:rPr>
              <w:br/>
              <w:t>(Label cost x products sold per year)</w:t>
            </w:r>
          </w:p>
        </w:tc>
        <w:tc>
          <w:tcPr>
            <w:tcW w:w="1417" w:type="dxa"/>
            <w:shd w:val="clear" w:color="auto" w:fill="auto"/>
            <w:vAlign w:val="center"/>
            <w:hideMark/>
          </w:tcPr>
          <w:p w14:paraId="5A3D3CDC" w14:textId="77777777" w:rsidR="00767472" w:rsidRPr="00863D9F" w:rsidRDefault="00767472" w:rsidP="00255653">
            <w:pPr>
              <w:spacing w:before="0"/>
              <w:jc w:val="right"/>
              <w:rPr>
                <w:rFonts w:eastAsia="Times New Roman" w:cs="Arial"/>
                <w:color w:val="000000"/>
                <w:lang w:eastAsia="en-AU"/>
              </w:rPr>
            </w:pPr>
            <w:r w:rsidRPr="00863D9F">
              <w:rPr>
                <w:rFonts w:eastAsia="Times New Roman" w:cs="Arial"/>
                <w:color w:val="000000"/>
                <w:lang w:eastAsia="en-AU"/>
              </w:rPr>
              <w:t xml:space="preserve">$154,500 </w:t>
            </w:r>
          </w:p>
        </w:tc>
      </w:tr>
      <w:tr w:rsidR="00767472" w:rsidRPr="00863D9F" w14:paraId="743EC903" w14:textId="77777777" w:rsidTr="00255653">
        <w:trPr>
          <w:trHeight w:val="560"/>
        </w:trPr>
        <w:tc>
          <w:tcPr>
            <w:tcW w:w="3196" w:type="dxa"/>
            <w:gridSpan w:val="2"/>
            <w:vMerge w:val="restart"/>
            <w:shd w:val="clear" w:color="auto" w:fill="auto"/>
            <w:hideMark/>
          </w:tcPr>
          <w:p w14:paraId="1E2ED13E" w14:textId="77777777" w:rsidR="00767472" w:rsidRPr="00863D9F" w:rsidRDefault="00767472" w:rsidP="005E380D">
            <w:pPr>
              <w:spacing w:before="0"/>
              <w:rPr>
                <w:rFonts w:eastAsia="Times New Roman" w:cs="Arial"/>
                <w:color w:val="000000"/>
                <w:lang w:eastAsia="en-AU"/>
              </w:rPr>
            </w:pPr>
            <w:r w:rsidRPr="00863D9F">
              <w:t xml:space="preserve">Internal administration </w:t>
            </w:r>
            <w:r w:rsidRPr="00863D9F">
              <w:rPr>
                <w:rFonts w:eastAsia="Times New Roman" w:cs="Arial"/>
                <w:color w:val="000000"/>
                <w:lang w:eastAsia="en-AU"/>
              </w:rPr>
              <w:t>(all supplier per year)</w:t>
            </w:r>
          </w:p>
        </w:tc>
        <w:tc>
          <w:tcPr>
            <w:tcW w:w="4601" w:type="dxa"/>
            <w:gridSpan w:val="2"/>
            <w:shd w:val="clear" w:color="auto" w:fill="auto"/>
            <w:hideMark/>
          </w:tcPr>
          <w:p w14:paraId="051DFF15"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2 hrs @ $65 per hr per/</w:t>
            </w:r>
            <w:proofErr w:type="spellStart"/>
            <w:r w:rsidRPr="00863D9F">
              <w:rPr>
                <w:rFonts w:eastAsia="Times New Roman" w:cs="Arial"/>
                <w:color w:val="000000"/>
                <w:lang w:eastAsia="en-AU"/>
              </w:rPr>
              <w:t>wk</w:t>
            </w:r>
            <w:proofErr w:type="spellEnd"/>
          </w:p>
          <w:p w14:paraId="6ACF8E03"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 $6,760 per year</w:t>
            </w:r>
          </w:p>
        </w:tc>
        <w:tc>
          <w:tcPr>
            <w:tcW w:w="1417" w:type="dxa"/>
            <w:vMerge w:val="restart"/>
            <w:shd w:val="clear" w:color="auto" w:fill="auto"/>
            <w:vAlign w:val="center"/>
            <w:hideMark/>
          </w:tcPr>
          <w:p w14:paraId="3787EA93" w14:textId="77777777" w:rsidR="00767472" w:rsidRPr="00863D9F" w:rsidRDefault="00767472" w:rsidP="00255653">
            <w:pPr>
              <w:spacing w:before="0"/>
              <w:jc w:val="right"/>
              <w:rPr>
                <w:rFonts w:eastAsia="Times New Roman" w:cs="Arial"/>
                <w:color w:val="000000"/>
                <w:lang w:eastAsia="en-AU"/>
              </w:rPr>
            </w:pPr>
            <w:r w:rsidRPr="00863D9F">
              <w:rPr>
                <w:rFonts w:eastAsia="Times New Roman" w:cs="Arial"/>
                <w:color w:val="000000"/>
                <w:lang w:eastAsia="en-AU"/>
              </w:rPr>
              <w:t xml:space="preserve">$473,200 </w:t>
            </w:r>
          </w:p>
        </w:tc>
      </w:tr>
      <w:tr w:rsidR="00767472" w:rsidRPr="00863D9F" w14:paraId="60CA6439" w14:textId="77777777" w:rsidTr="005E380D">
        <w:trPr>
          <w:trHeight w:val="560"/>
        </w:trPr>
        <w:tc>
          <w:tcPr>
            <w:tcW w:w="3196" w:type="dxa"/>
            <w:gridSpan w:val="2"/>
            <w:vMerge/>
            <w:shd w:val="clear" w:color="auto" w:fill="auto"/>
          </w:tcPr>
          <w:p w14:paraId="27B28076" w14:textId="77777777" w:rsidR="00767472" w:rsidRPr="00863D9F" w:rsidRDefault="00767472" w:rsidP="005E380D">
            <w:pPr>
              <w:spacing w:before="0"/>
              <w:rPr>
                <w:rFonts w:eastAsia="Times New Roman" w:cs="Arial"/>
                <w:color w:val="000000"/>
                <w:lang w:eastAsia="en-AU"/>
              </w:rPr>
            </w:pPr>
          </w:p>
        </w:tc>
        <w:tc>
          <w:tcPr>
            <w:tcW w:w="4601" w:type="dxa"/>
            <w:gridSpan w:val="2"/>
            <w:shd w:val="clear" w:color="auto" w:fill="auto"/>
          </w:tcPr>
          <w:p w14:paraId="05F6F8D3"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$6,760 x 70</w:t>
            </w:r>
          </w:p>
          <w:p w14:paraId="6EB474D7"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(Multiple by no. suppliers)</w:t>
            </w:r>
          </w:p>
        </w:tc>
        <w:tc>
          <w:tcPr>
            <w:tcW w:w="1417" w:type="dxa"/>
            <w:vMerge/>
            <w:tcBorders>
              <w:bottom w:val="single" w:sz="4" w:space="0" w:color="D5D6D2" w:themeColor="background2"/>
            </w:tcBorders>
            <w:shd w:val="clear" w:color="auto" w:fill="auto"/>
          </w:tcPr>
          <w:p w14:paraId="1BF3532B" w14:textId="77777777" w:rsidR="00767472" w:rsidRPr="00863D9F" w:rsidRDefault="00767472" w:rsidP="005E380D">
            <w:pPr>
              <w:spacing w:before="0"/>
              <w:rPr>
                <w:rFonts w:eastAsia="Times New Roman" w:cs="Arial"/>
                <w:color w:val="000000"/>
                <w:lang w:eastAsia="en-AU"/>
              </w:rPr>
            </w:pPr>
          </w:p>
        </w:tc>
      </w:tr>
      <w:tr w:rsidR="00767472" w:rsidRPr="00863D9F" w14:paraId="480962ED" w14:textId="77777777" w:rsidTr="00255653">
        <w:trPr>
          <w:trHeight w:val="560"/>
        </w:trPr>
        <w:tc>
          <w:tcPr>
            <w:tcW w:w="6490" w:type="dxa"/>
            <w:gridSpan w:val="3"/>
            <w:tcBorders>
              <w:left w:val="nil"/>
              <w:right w:val="nil"/>
            </w:tcBorders>
            <w:shd w:val="clear" w:color="auto" w:fill="auto"/>
            <w:hideMark/>
          </w:tcPr>
          <w:p w14:paraId="4F73C31C"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 </w:t>
            </w:r>
          </w:p>
        </w:tc>
        <w:tc>
          <w:tcPr>
            <w:tcW w:w="1307" w:type="dxa"/>
            <w:tcBorders>
              <w:left w:val="nil"/>
              <w:right w:val="nil"/>
            </w:tcBorders>
            <w:shd w:val="clear" w:color="auto" w:fill="FCECFE"/>
            <w:hideMark/>
          </w:tcPr>
          <w:p w14:paraId="2710F24C"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color w:val="000000"/>
                <w:lang w:eastAsia="en-AU"/>
              </w:rPr>
              <w:t> </w:t>
            </w:r>
            <w:r w:rsidRPr="00863D9F">
              <w:rPr>
                <w:rFonts w:eastAsia="Times New Roman" w:cs="Arial"/>
                <w:b/>
                <w:bCs/>
                <w:color w:val="000000"/>
                <w:lang w:eastAsia="en-AU"/>
              </w:rPr>
              <w:t>Total</w:t>
            </w:r>
          </w:p>
        </w:tc>
        <w:tc>
          <w:tcPr>
            <w:tcW w:w="1417" w:type="dxa"/>
            <w:tcBorders>
              <w:left w:val="nil"/>
              <w:right w:val="nil"/>
            </w:tcBorders>
            <w:shd w:val="clear" w:color="auto" w:fill="FCECFE"/>
            <w:hideMark/>
          </w:tcPr>
          <w:p w14:paraId="502C2161" w14:textId="77777777" w:rsidR="00767472" w:rsidRPr="00863D9F" w:rsidRDefault="00767472" w:rsidP="00255653">
            <w:pPr>
              <w:spacing w:before="0"/>
              <w:jc w:val="right"/>
              <w:rPr>
                <w:rFonts w:eastAsia="Times New Roman" w:cs="Arial"/>
                <w:b/>
                <w:bCs/>
                <w:color w:val="000000"/>
                <w:lang w:eastAsia="en-AU"/>
              </w:rPr>
            </w:pPr>
            <w:r w:rsidRPr="00863D9F">
              <w:rPr>
                <w:rFonts w:eastAsia="Times New Roman" w:cs="Arial"/>
                <w:b/>
                <w:bCs/>
                <w:color w:val="000000"/>
                <w:lang w:eastAsia="en-AU"/>
              </w:rPr>
              <w:t xml:space="preserve">$627,700 </w:t>
            </w:r>
          </w:p>
        </w:tc>
      </w:tr>
      <w:tr w:rsidR="00767472" w:rsidRPr="00863D9F" w14:paraId="427F786C" w14:textId="77777777" w:rsidTr="005E380D">
        <w:trPr>
          <w:trHeight w:val="360"/>
        </w:trPr>
        <w:tc>
          <w:tcPr>
            <w:tcW w:w="9214" w:type="dxa"/>
            <w:gridSpan w:val="5"/>
            <w:shd w:val="clear" w:color="auto" w:fill="auto"/>
            <w:hideMark/>
          </w:tcPr>
          <w:p w14:paraId="2B24EC06" w14:textId="77777777" w:rsidR="00767472" w:rsidRPr="00863D9F" w:rsidRDefault="00767472" w:rsidP="005E380D">
            <w:pPr>
              <w:spacing w:before="0"/>
              <w:rPr>
                <w:rFonts w:eastAsia="Times New Roman" w:cs="Arial"/>
                <w:b/>
                <w:bCs/>
                <w:color w:val="000000"/>
                <w:sz w:val="28"/>
                <w:szCs w:val="28"/>
                <w:lang w:eastAsia="en-AU"/>
              </w:rPr>
            </w:pPr>
            <w:r w:rsidRPr="00863D9F">
              <w:rPr>
                <w:rFonts w:eastAsia="Times New Roman" w:cs="Arial"/>
                <w:b/>
                <w:bCs/>
                <w:color w:val="000000"/>
                <w:lang w:eastAsia="en-AU"/>
              </w:rPr>
              <w:t xml:space="preserve">Maximum range </w:t>
            </w:r>
          </w:p>
        </w:tc>
      </w:tr>
      <w:tr w:rsidR="00767472" w:rsidRPr="00863D9F" w14:paraId="72463011" w14:textId="77777777" w:rsidTr="005E380D">
        <w:trPr>
          <w:trHeight w:val="280"/>
        </w:trPr>
        <w:tc>
          <w:tcPr>
            <w:tcW w:w="2922" w:type="dxa"/>
            <w:shd w:val="clear" w:color="auto" w:fill="auto"/>
            <w:hideMark/>
          </w:tcPr>
          <w:p w14:paraId="2F3BA3B2"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b/>
                <w:bCs/>
                <w:color w:val="000000"/>
                <w:lang w:eastAsia="en-AU"/>
              </w:rPr>
              <w:t>Compliance cost</w:t>
            </w:r>
          </w:p>
        </w:tc>
        <w:tc>
          <w:tcPr>
            <w:tcW w:w="4875" w:type="dxa"/>
            <w:gridSpan w:val="3"/>
            <w:shd w:val="clear" w:color="auto" w:fill="auto"/>
            <w:hideMark/>
          </w:tcPr>
          <w:p w14:paraId="1E03C30D"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b/>
                <w:bCs/>
                <w:color w:val="000000"/>
                <w:lang w:eastAsia="en-AU"/>
              </w:rPr>
              <w:t>Calculation</w:t>
            </w:r>
          </w:p>
        </w:tc>
        <w:tc>
          <w:tcPr>
            <w:tcW w:w="1417" w:type="dxa"/>
            <w:shd w:val="clear" w:color="auto" w:fill="auto"/>
            <w:hideMark/>
          </w:tcPr>
          <w:p w14:paraId="115E85F8"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b/>
                <w:bCs/>
                <w:color w:val="000000"/>
                <w:lang w:eastAsia="en-AU"/>
              </w:rPr>
              <w:t>Total cost</w:t>
            </w:r>
          </w:p>
        </w:tc>
      </w:tr>
      <w:tr w:rsidR="00767472" w:rsidRPr="00863D9F" w14:paraId="54BAB90E" w14:textId="77777777" w:rsidTr="00255653">
        <w:trPr>
          <w:trHeight w:val="560"/>
        </w:trPr>
        <w:tc>
          <w:tcPr>
            <w:tcW w:w="2922" w:type="dxa"/>
            <w:shd w:val="clear" w:color="auto" w:fill="auto"/>
            <w:hideMark/>
          </w:tcPr>
          <w:p w14:paraId="09AEE621"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Labelling</w:t>
            </w:r>
          </w:p>
        </w:tc>
        <w:tc>
          <w:tcPr>
            <w:tcW w:w="4875" w:type="dxa"/>
            <w:gridSpan w:val="3"/>
            <w:shd w:val="clear" w:color="auto" w:fill="auto"/>
            <w:hideMark/>
          </w:tcPr>
          <w:p w14:paraId="15BF2D79"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$1.2 x 515,000</w:t>
            </w:r>
            <w:r w:rsidRPr="00863D9F">
              <w:rPr>
                <w:rFonts w:eastAsia="Times New Roman" w:cs="Arial"/>
                <w:color w:val="000000"/>
                <w:lang w:eastAsia="en-AU"/>
              </w:rPr>
              <w:br/>
              <w:t>(Label cost x products sold per year)</w:t>
            </w:r>
          </w:p>
        </w:tc>
        <w:tc>
          <w:tcPr>
            <w:tcW w:w="1417" w:type="dxa"/>
            <w:shd w:val="clear" w:color="auto" w:fill="auto"/>
            <w:vAlign w:val="center"/>
            <w:hideMark/>
          </w:tcPr>
          <w:p w14:paraId="6240383F" w14:textId="77777777" w:rsidR="00767472" w:rsidRPr="00863D9F" w:rsidRDefault="00767472" w:rsidP="00255653">
            <w:pPr>
              <w:spacing w:before="0"/>
              <w:jc w:val="right"/>
              <w:rPr>
                <w:rFonts w:eastAsia="Times New Roman" w:cs="Arial"/>
                <w:color w:val="000000"/>
                <w:lang w:eastAsia="en-AU"/>
              </w:rPr>
            </w:pPr>
            <w:r w:rsidRPr="00863D9F">
              <w:rPr>
                <w:rFonts w:eastAsia="Times New Roman" w:cs="Arial"/>
                <w:color w:val="000000"/>
                <w:lang w:eastAsia="en-AU"/>
              </w:rPr>
              <w:t xml:space="preserve">$618,000 </w:t>
            </w:r>
          </w:p>
        </w:tc>
      </w:tr>
      <w:tr w:rsidR="00767472" w:rsidRPr="00863D9F" w14:paraId="791B1564" w14:textId="77777777" w:rsidTr="00255653">
        <w:trPr>
          <w:trHeight w:val="560"/>
        </w:trPr>
        <w:tc>
          <w:tcPr>
            <w:tcW w:w="2922" w:type="dxa"/>
            <w:vMerge w:val="restart"/>
            <w:shd w:val="clear" w:color="auto" w:fill="auto"/>
            <w:hideMark/>
          </w:tcPr>
          <w:p w14:paraId="1A5A24B5" w14:textId="77777777" w:rsidR="00767472" w:rsidRPr="00863D9F" w:rsidRDefault="00767472" w:rsidP="005E380D">
            <w:pPr>
              <w:spacing w:before="0"/>
              <w:rPr>
                <w:rFonts w:eastAsia="Times New Roman" w:cs="Arial"/>
                <w:color w:val="000000"/>
                <w:lang w:eastAsia="en-AU"/>
              </w:rPr>
            </w:pPr>
            <w:r w:rsidRPr="00863D9F">
              <w:t xml:space="preserve">Internal administration </w:t>
            </w:r>
            <w:r w:rsidRPr="00863D9F">
              <w:rPr>
                <w:rFonts w:eastAsia="Times New Roman" w:cs="Arial"/>
                <w:color w:val="000000"/>
                <w:lang w:eastAsia="en-AU"/>
              </w:rPr>
              <w:t>(all supplier per year)</w:t>
            </w:r>
          </w:p>
        </w:tc>
        <w:tc>
          <w:tcPr>
            <w:tcW w:w="4875" w:type="dxa"/>
            <w:gridSpan w:val="3"/>
            <w:shd w:val="clear" w:color="auto" w:fill="auto"/>
            <w:hideMark/>
          </w:tcPr>
          <w:p w14:paraId="0F3EE655"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2 hrs @ $70 per hr per/</w:t>
            </w:r>
            <w:proofErr w:type="spellStart"/>
            <w:r w:rsidRPr="00863D9F">
              <w:rPr>
                <w:rFonts w:eastAsia="Times New Roman" w:cs="Arial"/>
                <w:color w:val="000000"/>
                <w:lang w:eastAsia="en-AU"/>
              </w:rPr>
              <w:t>wk</w:t>
            </w:r>
            <w:proofErr w:type="spellEnd"/>
          </w:p>
          <w:p w14:paraId="7B1715A7"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 $7,280 per year</w:t>
            </w:r>
          </w:p>
        </w:tc>
        <w:tc>
          <w:tcPr>
            <w:tcW w:w="1417" w:type="dxa"/>
            <w:vMerge w:val="restart"/>
            <w:shd w:val="clear" w:color="auto" w:fill="auto"/>
            <w:vAlign w:val="center"/>
            <w:hideMark/>
          </w:tcPr>
          <w:p w14:paraId="3FA6B283" w14:textId="77777777" w:rsidR="00767472" w:rsidRPr="00863D9F" w:rsidRDefault="00767472" w:rsidP="00255653">
            <w:pPr>
              <w:spacing w:before="0"/>
              <w:jc w:val="right"/>
              <w:rPr>
                <w:rFonts w:eastAsia="Times New Roman" w:cs="Arial"/>
                <w:color w:val="000000"/>
                <w:lang w:eastAsia="en-AU"/>
              </w:rPr>
            </w:pPr>
            <w:r w:rsidRPr="00863D9F">
              <w:rPr>
                <w:rFonts w:eastAsia="Times New Roman" w:cs="Arial"/>
                <w:color w:val="000000"/>
                <w:lang w:eastAsia="en-AU"/>
              </w:rPr>
              <w:t xml:space="preserve">$728,000 </w:t>
            </w:r>
          </w:p>
        </w:tc>
      </w:tr>
      <w:tr w:rsidR="00767472" w:rsidRPr="00863D9F" w14:paraId="444275DD" w14:textId="77777777" w:rsidTr="005E380D">
        <w:trPr>
          <w:trHeight w:val="560"/>
        </w:trPr>
        <w:tc>
          <w:tcPr>
            <w:tcW w:w="2922" w:type="dxa"/>
            <w:vMerge/>
            <w:shd w:val="clear" w:color="auto" w:fill="auto"/>
          </w:tcPr>
          <w:p w14:paraId="1F109A50" w14:textId="77777777" w:rsidR="00767472" w:rsidRPr="00863D9F" w:rsidRDefault="00767472" w:rsidP="005E380D">
            <w:pPr>
              <w:spacing w:before="0"/>
              <w:rPr>
                <w:rFonts w:eastAsia="Times New Roman" w:cs="Arial"/>
                <w:color w:val="000000"/>
                <w:lang w:eastAsia="en-AU"/>
              </w:rPr>
            </w:pPr>
          </w:p>
        </w:tc>
        <w:tc>
          <w:tcPr>
            <w:tcW w:w="4875" w:type="dxa"/>
            <w:gridSpan w:val="3"/>
            <w:shd w:val="clear" w:color="auto" w:fill="auto"/>
          </w:tcPr>
          <w:p w14:paraId="5AFCA1A3"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$7,280 x 100</w:t>
            </w:r>
          </w:p>
          <w:p w14:paraId="28D1DB5C"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(Multiple by no. suppliers)</w:t>
            </w:r>
          </w:p>
        </w:tc>
        <w:tc>
          <w:tcPr>
            <w:tcW w:w="1417" w:type="dxa"/>
            <w:vMerge/>
            <w:tcBorders>
              <w:bottom w:val="single" w:sz="4" w:space="0" w:color="D5D6D2" w:themeColor="background2"/>
            </w:tcBorders>
            <w:shd w:val="clear" w:color="auto" w:fill="auto"/>
          </w:tcPr>
          <w:p w14:paraId="15D9168A" w14:textId="77777777" w:rsidR="00767472" w:rsidRPr="00863D9F" w:rsidRDefault="00767472" w:rsidP="005E380D">
            <w:pPr>
              <w:spacing w:before="0"/>
              <w:rPr>
                <w:rFonts w:eastAsia="Times New Roman" w:cs="Arial"/>
                <w:color w:val="000000"/>
                <w:lang w:eastAsia="en-AU"/>
              </w:rPr>
            </w:pPr>
          </w:p>
        </w:tc>
      </w:tr>
      <w:tr w:rsidR="00767472" w:rsidRPr="00863D9F" w14:paraId="2115FDA7" w14:textId="77777777" w:rsidTr="00255653">
        <w:trPr>
          <w:trHeight w:val="560"/>
        </w:trPr>
        <w:tc>
          <w:tcPr>
            <w:tcW w:w="6490" w:type="dxa"/>
            <w:gridSpan w:val="3"/>
            <w:tcBorders>
              <w:left w:val="nil"/>
              <w:right w:val="nil"/>
            </w:tcBorders>
            <w:shd w:val="clear" w:color="auto" w:fill="auto"/>
            <w:hideMark/>
          </w:tcPr>
          <w:p w14:paraId="44B06EEF"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 </w:t>
            </w:r>
          </w:p>
        </w:tc>
        <w:tc>
          <w:tcPr>
            <w:tcW w:w="1307" w:type="dxa"/>
            <w:tcBorders>
              <w:left w:val="nil"/>
              <w:right w:val="nil"/>
            </w:tcBorders>
            <w:shd w:val="clear" w:color="auto" w:fill="FCECFE"/>
            <w:hideMark/>
          </w:tcPr>
          <w:p w14:paraId="3F9CA3E3"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color w:val="000000"/>
                <w:lang w:eastAsia="en-AU"/>
              </w:rPr>
              <w:t> </w:t>
            </w:r>
            <w:r w:rsidRPr="00863D9F">
              <w:rPr>
                <w:rFonts w:eastAsia="Times New Roman" w:cs="Arial"/>
                <w:b/>
                <w:bCs/>
                <w:color w:val="000000"/>
                <w:lang w:eastAsia="en-AU"/>
              </w:rPr>
              <w:t xml:space="preserve">Total </w:t>
            </w:r>
          </w:p>
        </w:tc>
        <w:tc>
          <w:tcPr>
            <w:tcW w:w="1417" w:type="dxa"/>
            <w:tcBorders>
              <w:left w:val="nil"/>
              <w:right w:val="nil"/>
            </w:tcBorders>
            <w:shd w:val="clear" w:color="auto" w:fill="FCECFE"/>
            <w:hideMark/>
          </w:tcPr>
          <w:p w14:paraId="774805DE" w14:textId="77777777" w:rsidR="00767472" w:rsidRPr="00863D9F" w:rsidRDefault="00767472" w:rsidP="00255653">
            <w:pPr>
              <w:spacing w:before="0"/>
              <w:jc w:val="right"/>
              <w:rPr>
                <w:rFonts w:eastAsia="Times New Roman" w:cs="Arial"/>
                <w:b/>
                <w:bCs/>
                <w:color w:val="000000"/>
                <w:lang w:eastAsia="en-AU"/>
              </w:rPr>
            </w:pPr>
            <w:r w:rsidRPr="00863D9F">
              <w:rPr>
                <w:rFonts w:eastAsia="Times New Roman" w:cs="Arial"/>
                <w:b/>
                <w:bCs/>
                <w:color w:val="000000"/>
                <w:lang w:eastAsia="en-AU"/>
              </w:rPr>
              <w:t xml:space="preserve">$1,346,000 </w:t>
            </w:r>
          </w:p>
        </w:tc>
      </w:tr>
    </w:tbl>
    <w:p w14:paraId="0B1C0C5B" w14:textId="77777777" w:rsidR="00767472" w:rsidRPr="00863D9F" w:rsidRDefault="00767472" w:rsidP="00F94148">
      <w:pPr>
        <w:pStyle w:val="Tabletitle"/>
      </w:pPr>
      <w:r w:rsidRPr="00863D9F">
        <w:t>Table 18: Mandatory safety standard calculation</w:t>
      </w:r>
    </w:p>
    <w:tbl>
      <w:tblPr>
        <w:tblW w:w="9209"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Look w:val="04A0" w:firstRow="1" w:lastRow="0" w:firstColumn="1" w:lastColumn="0" w:noHBand="0" w:noVBand="1"/>
      </w:tblPr>
      <w:tblGrid>
        <w:gridCol w:w="3259"/>
        <w:gridCol w:w="989"/>
        <w:gridCol w:w="3123"/>
        <w:gridCol w:w="137"/>
        <w:gridCol w:w="1701"/>
      </w:tblGrid>
      <w:tr w:rsidR="00767472" w:rsidRPr="00863D9F" w14:paraId="41771F7D" w14:textId="77777777" w:rsidTr="005E380D">
        <w:trPr>
          <w:trHeight w:val="360"/>
        </w:trPr>
        <w:tc>
          <w:tcPr>
            <w:tcW w:w="9209" w:type="dxa"/>
            <w:gridSpan w:val="5"/>
            <w:shd w:val="clear" w:color="auto" w:fill="auto"/>
            <w:hideMark/>
          </w:tcPr>
          <w:p w14:paraId="4E12C75D" w14:textId="77777777" w:rsidR="00767472" w:rsidRPr="00863D9F" w:rsidRDefault="00767472" w:rsidP="005E380D">
            <w:pPr>
              <w:spacing w:before="0"/>
              <w:rPr>
                <w:rFonts w:eastAsia="Times New Roman" w:cs="Arial"/>
                <w:b/>
                <w:bCs/>
                <w:color w:val="000000"/>
                <w:sz w:val="28"/>
                <w:szCs w:val="28"/>
                <w:lang w:eastAsia="en-AU"/>
              </w:rPr>
            </w:pPr>
            <w:r w:rsidRPr="00863D9F">
              <w:rPr>
                <w:rFonts w:eastAsia="Times New Roman" w:cs="Arial"/>
                <w:b/>
                <w:bCs/>
                <w:color w:val="000000"/>
                <w:lang w:eastAsia="en-AU"/>
              </w:rPr>
              <w:t>Minimum range</w:t>
            </w:r>
          </w:p>
        </w:tc>
      </w:tr>
      <w:tr w:rsidR="00767472" w:rsidRPr="00863D9F" w14:paraId="20F281D4" w14:textId="77777777" w:rsidTr="005E380D">
        <w:trPr>
          <w:trHeight w:val="280"/>
        </w:trPr>
        <w:tc>
          <w:tcPr>
            <w:tcW w:w="3259" w:type="dxa"/>
            <w:shd w:val="clear" w:color="auto" w:fill="auto"/>
            <w:hideMark/>
          </w:tcPr>
          <w:p w14:paraId="11FFDD0C"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b/>
                <w:bCs/>
                <w:color w:val="000000"/>
                <w:lang w:eastAsia="en-AU"/>
              </w:rPr>
              <w:t>Compliance cost</w:t>
            </w:r>
          </w:p>
        </w:tc>
        <w:tc>
          <w:tcPr>
            <w:tcW w:w="4249" w:type="dxa"/>
            <w:gridSpan w:val="3"/>
            <w:shd w:val="clear" w:color="auto" w:fill="auto"/>
            <w:hideMark/>
          </w:tcPr>
          <w:p w14:paraId="1FCFD8A6"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b/>
                <w:bCs/>
                <w:color w:val="000000"/>
                <w:lang w:eastAsia="en-AU"/>
              </w:rPr>
              <w:t>Calculation</w:t>
            </w:r>
          </w:p>
        </w:tc>
        <w:tc>
          <w:tcPr>
            <w:tcW w:w="1701" w:type="dxa"/>
            <w:shd w:val="clear" w:color="auto" w:fill="auto"/>
            <w:hideMark/>
          </w:tcPr>
          <w:p w14:paraId="03B71021"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b/>
                <w:bCs/>
                <w:color w:val="000000"/>
                <w:lang w:eastAsia="en-AU"/>
              </w:rPr>
              <w:t>Total cost</w:t>
            </w:r>
          </w:p>
        </w:tc>
      </w:tr>
      <w:tr w:rsidR="00767472" w:rsidRPr="00863D9F" w14:paraId="6B93E5BB" w14:textId="77777777" w:rsidTr="00255653">
        <w:trPr>
          <w:trHeight w:val="560"/>
        </w:trPr>
        <w:tc>
          <w:tcPr>
            <w:tcW w:w="3259" w:type="dxa"/>
            <w:shd w:val="clear" w:color="auto" w:fill="auto"/>
            <w:hideMark/>
          </w:tcPr>
          <w:p w14:paraId="126B7291"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Testing (per product line)</w:t>
            </w:r>
          </w:p>
        </w:tc>
        <w:tc>
          <w:tcPr>
            <w:tcW w:w="4249" w:type="dxa"/>
            <w:gridSpan w:val="3"/>
            <w:shd w:val="clear" w:color="auto" w:fill="auto"/>
            <w:hideMark/>
          </w:tcPr>
          <w:p w14:paraId="3F16E244"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 xml:space="preserve">$1,600 x 450 </w:t>
            </w:r>
            <w:r w:rsidRPr="00863D9F">
              <w:rPr>
                <w:rFonts w:eastAsia="Times New Roman" w:cs="Arial"/>
                <w:color w:val="000000"/>
                <w:lang w:eastAsia="en-AU"/>
              </w:rPr>
              <w:br/>
              <w:t>(Testing x no product lines)</w:t>
            </w:r>
          </w:p>
        </w:tc>
        <w:tc>
          <w:tcPr>
            <w:tcW w:w="1701" w:type="dxa"/>
            <w:shd w:val="clear" w:color="auto" w:fill="auto"/>
            <w:vAlign w:val="center"/>
            <w:hideMark/>
          </w:tcPr>
          <w:p w14:paraId="6BF33061" w14:textId="77777777" w:rsidR="00767472" w:rsidRPr="00863D9F" w:rsidRDefault="00767472" w:rsidP="00255653">
            <w:pPr>
              <w:spacing w:before="0"/>
              <w:jc w:val="right"/>
              <w:rPr>
                <w:rFonts w:eastAsia="Times New Roman" w:cs="Arial"/>
                <w:color w:val="000000"/>
                <w:lang w:eastAsia="en-AU"/>
              </w:rPr>
            </w:pPr>
            <w:r w:rsidRPr="00863D9F">
              <w:rPr>
                <w:rFonts w:eastAsia="Times New Roman" w:cs="Arial"/>
                <w:color w:val="000000"/>
                <w:lang w:eastAsia="en-AU"/>
              </w:rPr>
              <w:t xml:space="preserve">$720,000 </w:t>
            </w:r>
          </w:p>
        </w:tc>
      </w:tr>
      <w:tr w:rsidR="00767472" w:rsidRPr="00863D9F" w14:paraId="1B2892CD" w14:textId="77777777" w:rsidTr="00255653">
        <w:trPr>
          <w:trHeight w:val="560"/>
        </w:trPr>
        <w:tc>
          <w:tcPr>
            <w:tcW w:w="3259" w:type="dxa"/>
            <w:shd w:val="clear" w:color="auto" w:fill="auto"/>
            <w:hideMark/>
          </w:tcPr>
          <w:p w14:paraId="23E137BD"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Redesign (per product line)</w:t>
            </w:r>
          </w:p>
        </w:tc>
        <w:tc>
          <w:tcPr>
            <w:tcW w:w="4249" w:type="dxa"/>
            <w:gridSpan w:val="3"/>
            <w:shd w:val="clear" w:color="auto" w:fill="auto"/>
            <w:hideMark/>
          </w:tcPr>
          <w:p w14:paraId="12240A6E"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$3,500 x 450</w:t>
            </w:r>
            <w:r w:rsidRPr="00863D9F">
              <w:rPr>
                <w:rFonts w:eastAsia="Times New Roman" w:cs="Arial"/>
                <w:color w:val="000000"/>
                <w:lang w:eastAsia="en-AU"/>
              </w:rPr>
              <w:br/>
              <w:t>(Redesign x no product lines)</w:t>
            </w:r>
          </w:p>
        </w:tc>
        <w:tc>
          <w:tcPr>
            <w:tcW w:w="1701" w:type="dxa"/>
            <w:shd w:val="clear" w:color="auto" w:fill="auto"/>
            <w:vAlign w:val="center"/>
            <w:hideMark/>
          </w:tcPr>
          <w:p w14:paraId="0BB0DD5B" w14:textId="77777777" w:rsidR="00767472" w:rsidRPr="00863D9F" w:rsidRDefault="00767472" w:rsidP="00255653">
            <w:pPr>
              <w:spacing w:before="0"/>
              <w:jc w:val="right"/>
              <w:rPr>
                <w:rFonts w:eastAsia="Times New Roman" w:cs="Arial"/>
                <w:color w:val="000000"/>
                <w:lang w:eastAsia="en-AU"/>
              </w:rPr>
            </w:pPr>
            <w:r w:rsidRPr="00863D9F">
              <w:rPr>
                <w:rFonts w:eastAsia="Times New Roman" w:cs="Arial"/>
                <w:color w:val="000000"/>
                <w:lang w:eastAsia="en-AU"/>
              </w:rPr>
              <w:t xml:space="preserve">$1,575,000 </w:t>
            </w:r>
          </w:p>
        </w:tc>
      </w:tr>
      <w:tr w:rsidR="00767472" w:rsidRPr="00863D9F" w14:paraId="699C3EA1" w14:textId="77777777" w:rsidTr="00255653">
        <w:trPr>
          <w:trHeight w:val="560"/>
        </w:trPr>
        <w:tc>
          <w:tcPr>
            <w:tcW w:w="3259" w:type="dxa"/>
            <w:vMerge w:val="restart"/>
            <w:shd w:val="clear" w:color="auto" w:fill="auto"/>
            <w:hideMark/>
          </w:tcPr>
          <w:p w14:paraId="7E94726C" w14:textId="77777777" w:rsidR="00767472" w:rsidRPr="00863D9F" w:rsidRDefault="00767472" w:rsidP="005E380D">
            <w:pPr>
              <w:spacing w:before="0"/>
              <w:rPr>
                <w:rFonts w:eastAsia="Times New Roman" w:cs="Arial"/>
                <w:color w:val="000000"/>
                <w:lang w:eastAsia="en-AU"/>
              </w:rPr>
            </w:pPr>
            <w:r w:rsidRPr="00863D9F">
              <w:t xml:space="preserve">Internal administration </w:t>
            </w:r>
            <w:r w:rsidRPr="00863D9F">
              <w:rPr>
                <w:rFonts w:eastAsia="Times New Roman" w:cs="Arial"/>
                <w:color w:val="000000"/>
                <w:lang w:eastAsia="en-AU"/>
              </w:rPr>
              <w:t>(all supplier per year)</w:t>
            </w:r>
          </w:p>
        </w:tc>
        <w:tc>
          <w:tcPr>
            <w:tcW w:w="4249" w:type="dxa"/>
            <w:gridSpan w:val="3"/>
            <w:shd w:val="clear" w:color="auto" w:fill="auto"/>
            <w:hideMark/>
          </w:tcPr>
          <w:p w14:paraId="1FF6A308"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2 hrs @ $65 per hr per/</w:t>
            </w:r>
            <w:proofErr w:type="spellStart"/>
            <w:r w:rsidRPr="00863D9F">
              <w:rPr>
                <w:rFonts w:eastAsia="Times New Roman" w:cs="Arial"/>
                <w:color w:val="000000"/>
                <w:lang w:eastAsia="en-AU"/>
              </w:rPr>
              <w:t>wk</w:t>
            </w:r>
            <w:proofErr w:type="spellEnd"/>
          </w:p>
          <w:p w14:paraId="53D91EE1"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 $6,760 per year</w:t>
            </w:r>
          </w:p>
        </w:tc>
        <w:tc>
          <w:tcPr>
            <w:tcW w:w="1701" w:type="dxa"/>
            <w:vMerge w:val="restart"/>
            <w:shd w:val="clear" w:color="auto" w:fill="auto"/>
            <w:vAlign w:val="center"/>
            <w:hideMark/>
          </w:tcPr>
          <w:p w14:paraId="4B8287B0" w14:textId="77777777" w:rsidR="00767472" w:rsidRPr="00863D9F" w:rsidRDefault="00767472" w:rsidP="00255653">
            <w:pPr>
              <w:spacing w:before="0"/>
              <w:jc w:val="right"/>
              <w:rPr>
                <w:rFonts w:eastAsia="Times New Roman" w:cs="Arial"/>
                <w:color w:val="000000"/>
                <w:lang w:eastAsia="en-AU"/>
              </w:rPr>
            </w:pPr>
            <w:r w:rsidRPr="00863D9F">
              <w:rPr>
                <w:rFonts w:eastAsia="Times New Roman" w:cs="Arial"/>
                <w:color w:val="000000"/>
                <w:lang w:eastAsia="en-AU"/>
              </w:rPr>
              <w:t xml:space="preserve">$473,200 </w:t>
            </w:r>
          </w:p>
        </w:tc>
      </w:tr>
      <w:tr w:rsidR="00767472" w:rsidRPr="00863D9F" w14:paraId="7B0A6284" w14:textId="77777777" w:rsidTr="005E380D">
        <w:trPr>
          <w:trHeight w:val="560"/>
        </w:trPr>
        <w:tc>
          <w:tcPr>
            <w:tcW w:w="3259" w:type="dxa"/>
            <w:vMerge/>
            <w:shd w:val="clear" w:color="auto" w:fill="auto"/>
          </w:tcPr>
          <w:p w14:paraId="2A1BA292" w14:textId="77777777" w:rsidR="00767472" w:rsidRPr="00863D9F" w:rsidRDefault="00767472" w:rsidP="005E380D">
            <w:pPr>
              <w:spacing w:before="0"/>
              <w:rPr>
                <w:rFonts w:eastAsia="Times New Roman" w:cs="Arial"/>
                <w:color w:val="000000"/>
                <w:lang w:eastAsia="en-AU"/>
              </w:rPr>
            </w:pPr>
          </w:p>
        </w:tc>
        <w:tc>
          <w:tcPr>
            <w:tcW w:w="4249" w:type="dxa"/>
            <w:gridSpan w:val="3"/>
            <w:shd w:val="clear" w:color="auto" w:fill="auto"/>
          </w:tcPr>
          <w:p w14:paraId="01388D17"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$6,760 x 70</w:t>
            </w:r>
          </w:p>
          <w:p w14:paraId="71895ADB"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(Multiple by no. suppliers)</w:t>
            </w:r>
          </w:p>
        </w:tc>
        <w:tc>
          <w:tcPr>
            <w:tcW w:w="1701" w:type="dxa"/>
            <w:vMerge/>
            <w:tcBorders>
              <w:bottom w:val="single" w:sz="4" w:space="0" w:color="D5D6D2" w:themeColor="background2"/>
            </w:tcBorders>
            <w:shd w:val="clear" w:color="auto" w:fill="auto"/>
          </w:tcPr>
          <w:p w14:paraId="3D6F89E8" w14:textId="77777777" w:rsidR="00767472" w:rsidRPr="00863D9F" w:rsidRDefault="00767472" w:rsidP="005E380D">
            <w:pPr>
              <w:spacing w:before="0"/>
              <w:rPr>
                <w:rFonts w:eastAsia="Times New Roman" w:cs="Arial"/>
                <w:color w:val="000000"/>
                <w:lang w:eastAsia="en-AU"/>
              </w:rPr>
            </w:pPr>
          </w:p>
        </w:tc>
      </w:tr>
      <w:tr w:rsidR="00767472" w:rsidRPr="00863D9F" w14:paraId="4496CCD6" w14:textId="77777777" w:rsidTr="00255653">
        <w:trPr>
          <w:trHeight w:val="280"/>
        </w:trPr>
        <w:tc>
          <w:tcPr>
            <w:tcW w:w="4248" w:type="dxa"/>
            <w:gridSpan w:val="2"/>
            <w:tcBorders>
              <w:left w:val="nil"/>
              <w:right w:val="nil"/>
            </w:tcBorders>
            <w:shd w:val="clear" w:color="auto" w:fill="auto"/>
            <w:hideMark/>
          </w:tcPr>
          <w:p w14:paraId="58726EF8"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 </w:t>
            </w:r>
          </w:p>
        </w:tc>
        <w:tc>
          <w:tcPr>
            <w:tcW w:w="3260" w:type="dxa"/>
            <w:gridSpan w:val="2"/>
            <w:tcBorders>
              <w:left w:val="nil"/>
              <w:right w:val="nil"/>
            </w:tcBorders>
            <w:shd w:val="clear" w:color="auto" w:fill="C4FDFC"/>
            <w:hideMark/>
          </w:tcPr>
          <w:p w14:paraId="3917F43D"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b/>
                <w:bCs/>
                <w:color w:val="000000"/>
                <w:lang w:eastAsia="en-AU"/>
              </w:rPr>
              <w:t xml:space="preserve">Total cost for first 2 years </w:t>
            </w:r>
          </w:p>
        </w:tc>
        <w:tc>
          <w:tcPr>
            <w:tcW w:w="1701" w:type="dxa"/>
            <w:tcBorders>
              <w:left w:val="nil"/>
              <w:right w:val="nil"/>
            </w:tcBorders>
            <w:shd w:val="clear" w:color="auto" w:fill="C4FDFC"/>
            <w:hideMark/>
          </w:tcPr>
          <w:p w14:paraId="6701A153" w14:textId="77777777" w:rsidR="00767472" w:rsidRPr="00863D9F" w:rsidRDefault="00767472" w:rsidP="00255653">
            <w:pPr>
              <w:spacing w:before="0"/>
              <w:jc w:val="right"/>
              <w:rPr>
                <w:rFonts w:eastAsia="Times New Roman" w:cs="Arial"/>
                <w:b/>
                <w:bCs/>
                <w:color w:val="000000"/>
                <w:lang w:eastAsia="en-AU"/>
              </w:rPr>
            </w:pPr>
            <w:r w:rsidRPr="00863D9F">
              <w:rPr>
                <w:rFonts w:eastAsia="Times New Roman" w:cs="Arial"/>
                <w:b/>
                <w:bCs/>
                <w:color w:val="000000"/>
                <w:lang w:eastAsia="en-AU"/>
              </w:rPr>
              <w:t xml:space="preserve">$2,768,200 </w:t>
            </w:r>
          </w:p>
        </w:tc>
      </w:tr>
      <w:tr w:rsidR="00767472" w:rsidRPr="00863D9F" w14:paraId="7D3E94D8" w14:textId="77777777" w:rsidTr="00255653">
        <w:trPr>
          <w:trHeight w:val="620"/>
        </w:trPr>
        <w:tc>
          <w:tcPr>
            <w:tcW w:w="3259" w:type="dxa"/>
            <w:shd w:val="clear" w:color="auto" w:fill="auto"/>
            <w:hideMark/>
          </w:tcPr>
          <w:p w14:paraId="683D05DB"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Testing (per product line)</w:t>
            </w:r>
          </w:p>
        </w:tc>
        <w:tc>
          <w:tcPr>
            <w:tcW w:w="4249" w:type="dxa"/>
            <w:gridSpan w:val="3"/>
            <w:shd w:val="clear" w:color="auto" w:fill="auto"/>
            <w:hideMark/>
          </w:tcPr>
          <w:p w14:paraId="081693C7"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$1,600 x 450</w:t>
            </w:r>
            <w:r w:rsidRPr="00863D9F">
              <w:rPr>
                <w:rFonts w:eastAsia="Times New Roman" w:cs="Arial"/>
                <w:color w:val="000000"/>
                <w:lang w:eastAsia="en-AU"/>
              </w:rPr>
              <w:br/>
              <w:t>(Testing x no product lines)</w:t>
            </w:r>
          </w:p>
        </w:tc>
        <w:tc>
          <w:tcPr>
            <w:tcW w:w="1701" w:type="dxa"/>
            <w:shd w:val="clear" w:color="auto" w:fill="auto"/>
            <w:vAlign w:val="center"/>
            <w:hideMark/>
          </w:tcPr>
          <w:p w14:paraId="652FFE60" w14:textId="77777777" w:rsidR="00767472" w:rsidRPr="00863D9F" w:rsidRDefault="00767472" w:rsidP="00255653">
            <w:pPr>
              <w:spacing w:before="0"/>
              <w:jc w:val="right"/>
              <w:rPr>
                <w:rFonts w:eastAsia="Times New Roman" w:cs="Arial"/>
                <w:color w:val="000000"/>
                <w:lang w:eastAsia="en-AU"/>
              </w:rPr>
            </w:pPr>
            <w:r w:rsidRPr="00863D9F">
              <w:rPr>
                <w:rFonts w:eastAsia="Times New Roman" w:cs="Arial"/>
                <w:color w:val="000000"/>
                <w:lang w:eastAsia="en-AU"/>
              </w:rPr>
              <w:t xml:space="preserve">$720,000 </w:t>
            </w:r>
          </w:p>
        </w:tc>
      </w:tr>
      <w:tr w:rsidR="00767472" w:rsidRPr="00863D9F" w14:paraId="78469BC7" w14:textId="77777777" w:rsidTr="00255653">
        <w:trPr>
          <w:trHeight w:val="620"/>
        </w:trPr>
        <w:tc>
          <w:tcPr>
            <w:tcW w:w="3259" w:type="dxa"/>
            <w:vMerge w:val="restart"/>
            <w:shd w:val="clear" w:color="auto" w:fill="auto"/>
            <w:hideMark/>
          </w:tcPr>
          <w:p w14:paraId="64E118DB" w14:textId="77777777" w:rsidR="00767472" w:rsidRPr="00863D9F" w:rsidRDefault="00767472" w:rsidP="005E380D">
            <w:pPr>
              <w:spacing w:before="0"/>
              <w:rPr>
                <w:rFonts w:eastAsia="Times New Roman" w:cs="Arial"/>
                <w:color w:val="000000"/>
                <w:lang w:eastAsia="en-AU"/>
              </w:rPr>
            </w:pPr>
            <w:r w:rsidRPr="00863D9F">
              <w:t xml:space="preserve">Internal administration </w:t>
            </w:r>
            <w:r w:rsidRPr="00863D9F">
              <w:rPr>
                <w:rFonts w:eastAsia="Times New Roman" w:cs="Arial"/>
                <w:color w:val="000000"/>
                <w:lang w:eastAsia="en-AU"/>
              </w:rPr>
              <w:t>(all supplier per year)</w:t>
            </w:r>
          </w:p>
        </w:tc>
        <w:tc>
          <w:tcPr>
            <w:tcW w:w="4249" w:type="dxa"/>
            <w:gridSpan w:val="3"/>
            <w:shd w:val="clear" w:color="auto" w:fill="auto"/>
            <w:hideMark/>
          </w:tcPr>
          <w:p w14:paraId="2A836319"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2 hrs @ $65 per hr per/</w:t>
            </w:r>
            <w:proofErr w:type="spellStart"/>
            <w:r w:rsidRPr="00863D9F">
              <w:rPr>
                <w:rFonts w:eastAsia="Times New Roman" w:cs="Arial"/>
                <w:color w:val="000000"/>
                <w:lang w:eastAsia="en-AU"/>
              </w:rPr>
              <w:t>wk</w:t>
            </w:r>
            <w:proofErr w:type="spellEnd"/>
          </w:p>
          <w:p w14:paraId="0D7D923F"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 $6,760 per year</w:t>
            </w:r>
          </w:p>
        </w:tc>
        <w:tc>
          <w:tcPr>
            <w:tcW w:w="1701" w:type="dxa"/>
            <w:vMerge w:val="restart"/>
            <w:shd w:val="clear" w:color="auto" w:fill="auto"/>
            <w:vAlign w:val="center"/>
            <w:hideMark/>
          </w:tcPr>
          <w:p w14:paraId="25603E66" w14:textId="77777777" w:rsidR="00767472" w:rsidRPr="00863D9F" w:rsidRDefault="00767472" w:rsidP="00255653">
            <w:pPr>
              <w:spacing w:before="0"/>
              <w:jc w:val="right"/>
              <w:rPr>
                <w:rFonts w:eastAsia="Times New Roman" w:cs="Arial"/>
                <w:color w:val="000000"/>
                <w:lang w:eastAsia="en-AU"/>
              </w:rPr>
            </w:pPr>
            <w:r w:rsidRPr="00863D9F">
              <w:rPr>
                <w:rFonts w:eastAsia="Times New Roman" w:cs="Arial"/>
                <w:color w:val="000000"/>
                <w:lang w:eastAsia="en-AU"/>
              </w:rPr>
              <w:t xml:space="preserve">$473,200 </w:t>
            </w:r>
          </w:p>
        </w:tc>
      </w:tr>
      <w:tr w:rsidR="00767472" w:rsidRPr="00863D9F" w14:paraId="10D91096" w14:textId="77777777" w:rsidTr="005E380D">
        <w:trPr>
          <w:trHeight w:val="620"/>
        </w:trPr>
        <w:tc>
          <w:tcPr>
            <w:tcW w:w="3259" w:type="dxa"/>
            <w:vMerge/>
            <w:shd w:val="clear" w:color="auto" w:fill="auto"/>
          </w:tcPr>
          <w:p w14:paraId="47D3217F" w14:textId="77777777" w:rsidR="00767472" w:rsidRPr="00863D9F" w:rsidRDefault="00767472" w:rsidP="005E380D">
            <w:pPr>
              <w:spacing w:before="0"/>
              <w:rPr>
                <w:rFonts w:eastAsia="Times New Roman" w:cs="Arial"/>
                <w:color w:val="000000"/>
                <w:lang w:eastAsia="en-AU"/>
              </w:rPr>
            </w:pPr>
          </w:p>
        </w:tc>
        <w:tc>
          <w:tcPr>
            <w:tcW w:w="4249" w:type="dxa"/>
            <w:gridSpan w:val="3"/>
            <w:shd w:val="clear" w:color="auto" w:fill="auto"/>
          </w:tcPr>
          <w:p w14:paraId="09B8D6E3"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$6,760 x 70</w:t>
            </w:r>
          </w:p>
          <w:p w14:paraId="13187C76"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(Multiple by no. suppliers)</w:t>
            </w:r>
          </w:p>
        </w:tc>
        <w:tc>
          <w:tcPr>
            <w:tcW w:w="1701" w:type="dxa"/>
            <w:vMerge/>
            <w:tcBorders>
              <w:bottom w:val="single" w:sz="4" w:space="0" w:color="D5D6D2" w:themeColor="background2"/>
            </w:tcBorders>
            <w:shd w:val="clear" w:color="auto" w:fill="auto"/>
          </w:tcPr>
          <w:p w14:paraId="2D6B84F9" w14:textId="77777777" w:rsidR="00767472" w:rsidRPr="00863D9F" w:rsidRDefault="00767472" w:rsidP="005E380D">
            <w:pPr>
              <w:spacing w:before="0"/>
              <w:rPr>
                <w:rFonts w:eastAsia="Times New Roman" w:cs="Arial"/>
                <w:color w:val="000000"/>
                <w:lang w:eastAsia="en-AU"/>
              </w:rPr>
            </w:pPr>
          </w:p>
        </w:tc>
      </w:tr>
      <w:tr w:rsidR="00767472" w:rsidRPr="00863D9F" w14:paraId="0F5269F7" w14:textId="77777777" w:rsidTr="00255653">
        <w:trPr>
          <w:trHeight w:val="600"/>
        </w:trPr>
        <w:tc>
          <w:tcPr>
            <w:tcW w:w="4248" w:type="dxa"/>
            <w:gridSpan w:val="2"/>
            <w:tcBorders>
              <w:left w:val="nil"/>
              <w:right w:val="nil"/>
            </w:tcBorders>
            <w:shd w:val="clear" w:color="auto" w:fill="auto"/>
            <w:hideMark/>
          </w:tcPr>
          <w:p w14:paraId="725E12F2"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 </w:t>
            </w:r>
          </w:p>
        </w:tc>
        <w:tc>
          <w:tcPr>
            <w:tcW w:w="3260" w:type="dxa"/>
            <w:gridSpan w:val="2"/>
            <w:tcBorders>
              <w:left w:val="nil"/>
              <w:right w:val="nil"/>
            </w:tcBorders>
            <w:shd w:val="clear" w:color="auto" w:fill="C4FDFC"/>
            <w:hideMark/>
          </w:tcPr>
          <w:p w14:paraId="1E09C08F"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b/>
                <w:bCs/>
                <w:color w:val="000000"/>
                <w:lang w:eastAsia="en-AU"/>
              </w:rPr>
              <w:t>Total for years 3 &amp; onwards</w:t>
            </w:r>
          </w:p>
        </w:tc>
        <w:tc>
          <w:tcPr>
            <w:tcW w:w="1701" w:type="dxa"/>
            <w:tcBorders>
              <w:left w:val="nil"/>
              <w:right w:val="nil"/>
            </w:tcBorders>
            <w:shd w:val="clear" w:color="auto" w:fill="C4FDFC"/>
            <w:hideMark/>
          </w:tcPr>
          <w:p w14:paraId="772CDE20" w14:textId="77777777" w:rsidR="00767472" w:rsidRPr="00863D9F" w:rsidRDefault="00767472" w:rsidP="00255653">
            <w:pPr>
              <w:spacing w:before="0"/>
              <w:jc w:val="right"/>
              <w:rPr>
                <w:rFonts w:eastAsia="Times New Roman" w:cs="Arial"/>
                <w:b/>
                <w:bCs/>
                <w:color w:val="000000"/>
                <w:lang w:eastAsia="en-AU"/>
              </w:rPr>
            </w:pPr>
            <w:r w:rsidRPr="00863D9F">
              <w:rPr>
                <w:rFonts w:eastAsia="Times New Roman" w:cs="Arial"/>
                <w:b/>
                <w:bCs/>
                <w:color w:val="000000"/>
                <w:lang w:eastAsia="en-AU"/>
              </w:rPr>
              <w:t xml:space="preserve">$1,193,200 </w:t>
            </w:r>
          </w:p>
        </w:tc>
      </w:tr>
      <w:tr w:rsidR="00767472" w:rsidRPr="00863D9F" w14:paraId="11E9C18D" w14:textId="77777777" w:rsidTr="005E380D">
        <w:trPr>
          <w:trHeight w:val="360"/>
        </w:trPr>
        <w:tc>
          <w:tcPr>
            <w:tcW w:w="9209" w:type="dxa"/>
            <w:gridSpan w:val="5"/>
            <w:shd w:val="clear" w:color="auto" w:fill="auto"/>
            <w:hideMark/>
          </w:tcPr>
          <w:p w14:paraId="67B7D16A" w14:textId="77777777" w:rsidR="00767472" w:rsidRPr="00863D9F" w:rsidRDefault="00767472" w:rsidP="005E380D">
            <w:pPr>
              <w:spacing w:before="0"/>
              <w:rPr>
                <w:rFonts w:eastAsia="Times New Roman" w:cs="Arial"/>
                <w:b/>
                <w:bCs/>
                <w:color w:val="000000"/>
                <w:sz w:val="28"/>
                <w:szCs w:val="28"/>
                <w:lang w:eastAsia="en-AU"/>
              </w:rPr>
            </w:pPr>
            <w:r w:rsidRPr="00863D9F">
              <w:rPr>
                <w:rFonts w:eastAsia="Times New Roman" w:cs="Arial"/>
                <w:b/>
                <w:bCs/>
                <w:color w:val="000000"/>
                <w:lang w:eastAsia="en-AU"/>
              </w:rPr>
              <w:t>Maximum range</w:t>
            </w:r>
          </w:p>
        </w:tc>
      </w:tr>
      <w:tr w:rsidR="00767472" w:rsidRPr="00863D9F" w14:paraId="4FCA1B8B" w14:textId="77777777" w:rsidTr="005E380D">
        <w:trPr>
          <w:trHeight w:val="280"/>
        </w:trPr>
        <w:tc>
          <w:tcPr>
            <w:tcW w:w="3259" w:type="dxa"/>
            <w:shd w:val="clear" w:color="auto" w:fill="auto"/>
            <w:hideMark/>
          </w:tcPr>
          <w:p w14:paraId="4FB3033B"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b/>
                <w:bCs/>
                <w:color w:val="000000"/>
                <w:lang w:eastAsia="en-AU"/>
              </w:rPr>
              <w:t>Compliance cost</w:t>
            </w:r>
          </w:p>
        </w:tc>
        <w:tc>
          <w:tcPr>
            <w:tcW w:w="4112" w:type="dxa"/>
            <w:gridSpan w:val="2"/>
            <w:shd w:val="clear" w:color="auto" w:fill="auto"/>
            <w:hideMark/>
          </w:tcPr>
          <w:p w14:paraId="218FD370"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b/>
                <w:bCs/>
                <w:color w:val="000000"/>
                <w:lang w:eastAsia="en-AU"/>
              </w:rPr>
              <w:t>Calculation</w:t>
            </w:r>
          </w:p>
        </w:tc>
        <w:tc>
          <w:tcPr>
            <w:tcW w:w="1838" w:type="dxa"/>
            <w:gridSpan w:val="2"/>
            <w:shd w:val="clear" w:color="auto" w:fill="auto"/>
            <w:hideMark/>
          </w:tcPr>
          <w:p w14:paraId="25AF43D5" w14:textId="77777777" w:rsidR="00767472" w:rsidRPr="00863D9F" w:rsidRDefault="00767472" w:rsidP="005E380D">
            <w:pPr>
              <w:spacing w:before="0"/>
              <w:rPr>
                <w:rFonts w:eastAsia="Times New Roman" w:cs="Arial"/>
                <w:b/>
                <w:bCs/>
                <w:color w:val="000000"/>
                <w:lang w:eastAsia="en-AU"/>
              </w:rPr>
            </w:pPr>
            <w:r w:rsidRPr="00863D9F">
              <w:rPr>
                <w:rFonts w:eastAsia="Times New Roman" w:cs="Arial"/>
                <w:b/>
                <w:bCs/>
                <w:color w:val="000000"/>
                <w:lang w:eastAsia="en-AU"/>
              </w:rPr>
              <w:t>Total cost</w:t>
            </w:r>
          </w:p>
        </w:tc>
      </w:tr>
      <w:tr w:rsidR="00767472" w:rsidRPr="00863D9F" w14:paraId="3D084E2C" w14:textId="77777777" w:rsidTr="00255653">
        <w:trPr>
          <w:trHeight w:val="560"/>
        </w:trPr>
        <w:tc>
          <w:tcPr>
            <w:tcW w:w="3259" w:type="dxa"/>
            <w:shd w:val="clear" w:color="auto" w:fill="auto"/>
            <w:hideMark/>
          </w:tcPr>
          <w:p w14:paraId="178F832F"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Testing (per product line)</w:t>
            </w:r>
          </w:p>
        </w:tc>
        <w:tc>
          <w:tcPr>
            <w:tcW w:w="4112" w:type="dxa"/>
            <w:gridSpan w:val="2"/>
            <w:shd w:val="clear" w:color="auto" w:fill="auto"/>
            <w:hideMark/>
          </w:tcPr>
          <w:p w14:paraId="77A853D3"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$8000 x 450</w:t>
            </w:r>
            <w:r w:rsidRPr="00863D9F">
              <w:rPr>
                <w:rFonts w:eastAsia="Times New Roman" w:cs="Arial"/>
                <w:color w:val="000000"/>
                <w:lang w:eastAsia="en-AU"/>
              </w:rPr>
              <w:br/>
              <w:t>(Testing x no product lines)</w:t>
            </w:r>
          </w:p>
        </w:tc>
        <w:tc>
          <w:tcPr>
            <w:tcW w:w="1838" w:type="dxa"/>
            <w:gridSpan w:val="2"/>
            <w:shd w:val="clear" w:color="auto" w:fill="auto"/>
            <w:vAlign w:val="center"/>
            <w:hideMark/>
          </w:tcPr>
          <w:p w14:paraId="0FA4B6DF" w14:textId="77777777" w:rsidR="00767472" w:rsidRPr="00863D9F" w:rsidRDefault="00767472" w:rsidP="00255653">
            <w:pPr>
              <w:spacing w:before="0"/>
              <w:jc w:val="right"/>
              <w:rPr>
                <w:rFonts w:eastAsia="Times New Roman" w:cs="Arial"/>
                <w:color w:val="000000"/>
                <w:lang w:eastAsia="en-AU"/>
              </w:rPr>
            </w:pPr>
            <w:r w:rsidRPr="00863D9F">
              <w:rPr>
                <w:rFonts w:eastAsia="Times New Roman" w:cs="Arial"/>
                <w:color w:val="000000"/>
                <w:lang w:eastAsia="en-AU"/>
              </w:rPr>
              <w:t xml:space="preserve">$3,600,000 </w:t>
            </w:r>
          </w:p>
        </w:tc>
      </w:tr>
      <w:tr w:rsidR="00767472" w:rsidRPr="00863D9F" w14:paraId="66CA9DD5" w14:textId="77777777" w:rsidTr="00255653">
        <w:trPr>
          <w:trHeight w:val="560"/>
        </w:trPr>
        <w:tc>
          <w:tcPr>
            <w:tcW w:w="3259" w:type="dxa"/>
            <w:shd w:val="clear" w:color="auto" w:fill="auto"/>
            <w:hideMark/>
          </w:tcPr>
          <w:p w14:paraId="02ABBA91"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Redesign (per product line)</w:t>
            </w:r>
          </w:p>
        </w:tc>
        <w:tc>
          <w:tcPr>
            <w:tcW w:w="4112" w:type="dxa"/>
            <w:gridSpan w:val="2"/>
            <w:shd w:val="clear" w:color="auto" w:fill="auto"/>
            <w:hideMark/>
          </w:tcPr>
          <w:p w14:paraId="1120F238"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$350,000 x 450</w:t>
            </w:r>
            <w:r w:rsidRPr="00863D9F">
              <w:rPr>
                <w:rFonts w:eastAsia="Times New Roman" w:cs="Arial"/>
                <w:color w:val="000000"/>
                <w:lang w:eastAsia="en-AU"/>
              </w:rPr>
              <w:br/>
              <w:t>(Redesign x no product lines)</w:t>
            </w:r>
          </w:p>
        </w:tc>
        <w:tc>
          <w:tcPr>
            <w:tcW w:w="1838" w:type="dxa"/>
            <w:gridSpan w:val="2"/>
            <w:shd w:val="clear" w:color="auto" w:fill="auto"/>
            <w:vAlign w:val="center"/>
            <w:hideMark/>
          </w:tcPr>
          <w:p w14:paraId="37F901E6" w14:textId="77777777" w:rsidR="00767472" w:rsidRPr="00863D9F" w:rsidRDefault="00767472" w:rsidP="00255653">
            <w:pPr>
              <w:spacing w:before="0"/>
              <w:jc w:val="right"/>
              <w:rPr>
                <w:rFonts w:eastAsia="Times New Roman" w:cs="Arial"/>
                <w:color w:val="000000"/>
                <w:lang w:eastAsia="en-AU"/>
              </w:rPr>
            </w:pPr>
            <w:r w:rsidRPr="00863D9F">
              <w:rPr>
                <w:rFonts w:eastAsia="Times New Roman" w:cs="Arial"/>
                <w:color w:val="000000"/>
                <w:lang w:eastAsia="en-AU"/>
              </w:rPr>
              <w:t xml:space="preserve">$157,500,000 </w:t>
            </w:r>
          </w:p>
        </w:tc>
      </w:tr>
      <w:tr w:rsidR="00767472" w:rsidRPr="00863D9F" w14:paraId="0C6FD230" w14:textId="77777777" w:rsidTr="00255653">
        <w:trPr>
          <w:trHeight w:val="560"/>
        </w:trPr>
        <w:tc>
          <w:tcPr>
            <w:tcW w:w="3259" w:type="dxa"/>
            <w:vMerge w:val="restart"/>
            <w:shd w:val="clear" w:color="auto" w:fill="auto"/>
            <w:hideMark/>
          </w:tcPr>
          <w:p w14:paraId="0615E6F3" w14:textId="77777777" w:rsidR="00767472" w:rsidRPr="00863D9F" w:rsidRDefault="00767472" w:rsidP="005E380D">
            <w:pPr>
              <w:spacing w:before="0"/>
              <w:rPr>
                <w:rFonts w:eastAsia="Times New Roman" w:cs="Arial"/>
                <w:color w:val="000000"/>
                <w:lang w:eastAsia="en-AU"/>
              </w:rPr>
            </w:pPr>
            <w:r w:rsidRPr="00863D9F">
              <w:t xml:space="preserve">Internal administration </w:t>
            </w:r>
            <w:r w:rsidRPr="00863D9F">
              <w:rPr>
                <w:rFonts w:eastAsia="Times New Roman" w:cs="Arial"/>
                <w:color w:val="000000"/>
                <w:lang w:eastAsia="en-AU"/>
              </w:rPr>
              <w:t>(all supplier per year)</w:t>
            </w:r>
          </w:p>
        </w:tc>
        <w:tc>
          <w:tcPr>
            <w:tcW w:w="4112" w:type="dxa"/>
            <w:gridSpan w:val="2"/>
            <w:shd w:val="clear" w:color="auto" w:fill="auto"/>
            <w:hideMark/>
          </w:tcPr>
          <w:p w14:paraId="1149A157"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2 hrs @ $70 per hr per/</w:t>
            </w:r>
            <w:proofErr w:type="spellStart"/>
            <w:r w:rsidRPr="00863D9F">
              <w:rPr>
                <w:rFonts w:eastAsia="Times New Roman" w:cs="Arial"/>
                <w:color w:val="000000"/>
                <w:lang w:eastAsia="en-AU"/>
              </w:rPr>
              <w:t>wk</w:t>
            </w:r>
            <w:proofErr w:type="spellEnd"/>
          </w:p>
          <w:p w14:paraId="50BF4EC3"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 $7,280 per year</w:t>
            </w:r>
          </w:p>
        </w:tc>
        <w:tc>
          <w:tcPr>
            <w:tcW w:w="1838" w:type="dxa"/>
            <w:gridSpan w:val="2"/>
            <w:vMerge w:val="restart"/>
            <w:shd w:val="clear" w:color="auto" w:fill="auto"/>
            <w:vAlign w:val="center"/>
            <w:hideMark/>
          </w:tcPr>
          <w:p w14:paraId="563D659B" w14:textId="77777777" w:rsidR="00767472" w:rsidRPr="00863D9F" w:rsidRDefault="00767472" w:rsidP="00255653">
            <w:pPr>
              <w:spacing w:before="0"/>
              <w:jc w:val="right"/>
              <w:rPr>
                <w:rFonts w:eastAsia="Times New Roman" w:cs="Arial"/>
                <w:color w:val="000000"/>
                <w:lang w:eastAsia="en-AU"/>
              </w:rPr>
            </w:pPr>
            <w:r w:rsidRPr="00863D9F">
              <w:rPr>
                <w:rFonts w:eastAsia="Times New Roman" w:cs="Arial"/>
                <w:color w:val="000000"/>
                <w:lang w:eastAsia="en-AU"/>
              </w:rPr>
              <w:t xml:space="preserve">$728,000 </w:t>
            </w:r>
          </w:p>
        </w:tc>
      </w:tr>
      <w:tr w:rsidR="00767472" w:rsidRPr="00863D9F" w14:paraId="50F2DAE8" w14:textId="77777777" w:rsidTr="005E380D">
        <w:trPr>
          <w:trHeight w:val="560"/>
        </w:trPr>
        <w:tc>
          <w:tcPr>
            <w:tcW w:w="3259" w:type="dxa"/>
            <w:vMerge/>
            <w:shd w:val="clear" w:color="auto" w:fill="auto"/>
          </w:tcPr>
          <w:p w14:paraId="38DF3DF9" w14:textId="77777777" w:rsidR="00767472" w:rsidRPr="00863D9F" w:rsidRDefault="00767472" w:rsidP="005E380D">
            <w:pPr>
              <w:spacing w:before="0"/>
              <w:rPr>
                <w:rFonts w:eastAsia="Times New Roman" w:cs="Arial"/>
                <w:color w:val="000000"/>
                <w:lang w:eastAsia="en-AU"/>
              </w:rPr>
            </w:pPr>
          </w:p>
        </w:tc>
        <w:tc>
          <w:tcPr>
            <w:tcW w:w="4112" w:type="dxa"/>
            <w:gridSpan w:val="2"/>
            <w:shd w:val="clear" w:color="auto" w:fill="auto"/>
          </w:tcPr>
          <w:p w14:paraId="67595EAF"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$7,280 x 100</w:t>
            </w:r>
          </w:p>
          <w:p w14:paraId="6A92489F"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(Multiple by no. suppliers)</w:t>
            </w:r>
          </w:p>
        </w:tc>
        <w:tc>
          <w:tcPr>
            <w:tcW w:w="1838" w:type="dxa"/>
            <w:gridSpan w:val="2"/>
            <w:vMerge/>
            <w:tcBorders>
              <w:bottom w:val="single" w:sz="4" w:space="0" w:color="D5D6D2" w:themeColor="background2"/>
            </w:tcBorders>
            <w:shd w:val="clear" w:color="auto" w:fill="auto"/>
          </w:tcPr>
          <w:p w14:paraId="08F8EEEE" w14:textId="77777777" w:rsidR="00767472" w:rsidRPr="00863D9F" w:rsidRDefault="00767472" w:rsidP="005E380D">
            <w:pPr>
              <w:spacing w:before="0"/>
              <w:rPr>
                <w:rFonts w:eastAsia="Times New Roman" w:cs="Arial"/>
                <w:color w:val="000000"/>
                <w:lang w:eastAsia="en-AU"/>
              </w:rPr>
            </w:pPr>
          </w:p>
        </w:tc>
      </w:tr>
      <w:tr w:rsidR="00767472" w:rsidRPr="00863D9F" w14:paraId="484722F4" w14:textId="77777777" w:rsidTr="00255653">
        <w:trPr>
          <w:trHeight w:val="280"/>
        </w:trPr>
        <w:tc>
          <w:tcPr>
            <w:tcW w:w="4248" w:type="dxa"/>
            <w:gridSpan w:val="2"/>
            <w:tcBorders>
              <w:left w:val="nil"/>
              <w:right w:val="nil"/>
            </w:tcBorders>
            <w:shd w:val="clear" w:color="auto" w:fill="auto"/>
            <w:hideMark/>
          </w:tcPr>
          <w:p w14:paraId="0FC4C3D6"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 </w:t>
            </w:r>
          </w:p>
        </w:tc>
        <w:tc>
          <w:tcPr>
            <w:tcW w:w="3123" w:type="dxa"/>
            <w:tcBorders>
              <w:left w:val="nil"/>
              <w:right w:val="nil"/>
            </w:tcBorders>
            <w:shd w:val="clear" w:color="auto" w:fill="C4FDFC"/>
            <w:hideMark/>
          </w:tcPr>
          <w:p w14:paraId="0A999C26"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 xml:space="preserve">Total cost for first 2 years </w:t>
            </w:r>
          </w:p>
        </w:tc>
        <w:tc>
          <w:tcPr>
            <w:tcW w:w="1838" w:type="dxa"/>
            <w:gridSpan w:val="2"/>
            <w:tcBorders>
              <w:left w:val="nil"/>
              <w:right w:val="nil"/>
            </w:tcBorders>
            <w:shd w:val="clear" w:color="000000" w:fill="CCFFFF"/>
            <w:hideMark/>
          </w:tcPr>
          <w:p w14:paraId="42080225" w14:textId="77777777" w:rsidR="00767472" w:rsidRPr="00863D9F" w:rsidRDefault="00767472" w:rsidP="00255653">
            <w:pPr>
              <w:spacing w:before="0"/>
              <w:jc w:val="right"/>
              <w:rPr>
                <w:rFonts w:eastAsia="Times New Roman" w:cs="Arial"/>
                <w:b/>
                <w:bCs/>
                <w:color w:val="000000"/>
                <w:lang w:eastAsia="en-AU"/>
              </w:rPr>
            </w:pPr>
            <w:r w:rsidRPr="00863D9F">
              <w:rPr>
                <w:rFonts w:eastAsia="Times New Roman" w:cs="Arial"/>
                <w:b/>
                <w:bCs/>
                <w:color w:val="000000"/>
                <w:lang w:eastAsia="en-AU"/>
              </w:rPr>
              <w:t xml:space="preserve">$161,828,000 </w:t>
            </w:r>
          </w:p>
        </w:tc>
      </w:tr>
      <w:tr w:rsidR="00767472" w:rsidRPr="00863D9F" w14:paraId="51C9C960" w14:textId="77777777" w:rsidTr="00255653">
        <w:trPr>
          <w:trHeight w:val="620"/>
        </w:trPr>
        <w:tc>
          <w:tcPr>
            <w:tcW w:w="3259" w:type="dxa"/>
            <w:shd w:val="clear" w:color="auto" w:fill="auto"/>
            <w:hideMark/>
          </w:tcPr>
          <w:p w14:paraId="6C14B87D"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Testing (per product line)</w:t>
            </w:r>
          </w:p>
        </w:tc>
        <w:tc>
          <w:tcPr>
            <w:tcW w:w="4112" w:type="dxa"/>
            <w:gridSpan w:val="2"/>
            <w:shd w:val="clear" w:color="auto" w:fill="auto"/>
            <w:hideMark/>
          </w:tcPr>
          <w:p w14:paraId="71F6890B"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$8000 x 450</w:t>
            </w:r>
            <w:r w:rsidRPr="00863D9F">
              <w:rPr>
                <w:rFonts w:eastAsia="Times New Roman" w:cs="Arial"/>
                <w:color w:val="000000"/>
                <w:lang w:eastAsia="en-AU"/>
              </w:rPr>
              <w:br/>
              <w:t>(Testing x no product lines)</w:t>
            </w:r>
          </w:p>
        </w:tc>
        <w:tc>
          <w:tcPr>
            <w:tcW w:w="1838" w:type="dxa"/>
            <w:gridSpan w:val="2"/>
            <w:shd w:val="clear" w:color="auto" w:fill="auto"/>
            <w:vAlign w:val="center"/>
            <w:hideMark/>
          </w:tcPr>
          <w:p w14:paraId="19F47218" w14:textId="77777777" w:rsidR="00767472" w:rsidRPr="00863D9F" w:rsidRDefault="00767472" w:rsidP="00255653">
            <w:pPr>
              <w:spacing w:before="0"/>
              <w:jc w:val="right"/>
              <w:rPr>
                <w:rFonts w:eastAsia="Times New Roman" w:cs="Arial"/>
                <w:color w:val="000000"/>
                <w:lang w:eastAsia="en-AU"/>
              </w:rPr>
            </w:pPr>
            <w:r w:rsidRPr="00863D9F">
              <w:rPr>
                <w:rFonts w:eastAsia="Times New Roman" w:cs="Arial"/>
                <w:color w:val="000000"/>
                <w:lang w:eastAsia="en-AU"/>
              </w:rPr>
              <w:t xml:space="preserve">$3,600,000 </w:t>
            </w:r>
          </w:p>
        </w:tc>
      </w:tr>
      <w:tr w:rsidR="00767472" w:rsidRPr="00863D9F" w14:paraId="25254158" w14:textId="77777777" w:rsidTr="00255653">
        <w:trPr>
          <w:trHeight w:val="620"/>
        </w:trPr>
        <w:tc>
          <w:tcPr>
            <w:tcW w:w="3259" w:type="dxa"/>
            <w:vMerge w:val="restart"/>
            <w:shd w:val="clear" w:color="auto" w:fill="auto"/>
            <w:hideMark/>
          </w:tcPr>
          <w:p w14:paraId="453F4CBA" w14:textId="77777777" w:rsidR="00767472" w:rsidRPr="00863D9F" w:rsidRDefault="00767472" w:rsidP="005E380D">
            <w:pPr>
              <w:spacing w:before="0"/>
              <w:rPr>
                <w:rFonts w:eastAsia="Times New Roman" w:cs="Arial"/>
                <w:color w:val="000000"/>
                <w:lang w:eastAsia="en-AU"/>
              </w:rPr>
            </w:pPr>
            <w:r w:rsidRPr="00863D9F">
              <w:t xml:space="preserve">Internal administration </w:t>
            </w:r>
            <w:r w:rsidRPr="00863D9F">
              <w:rPr>
                <w:rFonts w:eastAsia="Times New Roman" w:cs="Arial"/>
                <w:color w:val="000000"/>
                <w:lang w:eastAsia="en-AU"/>
              </w:rPr>
              <w:t>(all supplier per year)</w:t>
            </w:r>
          </w:p>
        </w:tc>
        <w:tc>
          <w:tcPr>
            <w:tcW w:w="4112" w:type="dxa"/>
            <w:gridSpan w:val="2"/>
            <w:shd w:val="clear" w:color="auto" w:fill="auto"/>
            <w:hideMark/>
          </w:tcPr>
          <w:p w14:paraId="286F6825"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2 hrs @ $70 per hr per/</w:t>
            </w:r>
            <w:proofErr w:type="spellStart"/>
            <w:r w:rsidRPr="00863D9F">
              <w:rPr>
                <w:rFonts w:eastAsia="Times New Roman" w:cs="Arial"/>
                <w:color w:val="000000"/>
                <w:lang w:eastAsia="en-AU"/>
              </w:rPr>
              <w:t>wk</w:t>
            </w:r>
            <w:proofErr w:type="spellEnd"/>
          </w:p>
          <w:p w14:paraId="54FB0E7C"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 $7,280 per year</w:t>
            </w:r>
          </w:p>
        </w:tc>
        <w:tc>
          <w:tcPr>
            <w:tcW w:w="1838" w:type="dxa"/>
            <w:gridSpan w:val="2"/>
            <w:vMerge w:val="restart"/>
            <w:shd w:val="clear" w:color="auto" w:fill="auto"/>
            <w:vAlign w:val="center"/>
            <w:hideMark/>
          </w:tcPr>
          <w:p w14:paraId="3E6789FB" w14:textId="77777777" w:rsidR="00767472" w:rsidRPr="00863D9F" w:rsidRDefault="00767472" w:rsidP="00255653">
            <w:pPr>
              <w:spacing w:before="0"/>
              <w:jc w:val="right"/>
              <w:rPr>
                <w:rFonts w:eastAsia="Times New Roman" w:cs="Arial"/>
                <w:color w:val="000000"/>
                <w:lang w:eastAsia="en-AU"/>
              </w:rPr>
            </w:pPr>
            <w:r w:rsidRPr="00863D9F">
              <w:rPr>
                <w:rFonts w:eastAsia="Times New Roman" w:cs="Arial"/>
                <w:color w:val="000000"/>
                <w:lang w:eastAsia="en-AU"/>
              </w:rPr>
              <w:t xml:space="preserve">$728,000 </w:t>
            </w:r>
          </w:p>
        </w:tc>
      </w:tr>
      <w:tr w:rsidR="00767472" w:rsidRPr="00863D9F" w14:paraId="7F5C5CC9" w14:textId="77777777" w:rsidTr="005E380D">
        <w:trPr>
          <w:trHeight w:val="620"/>
        </w:trPr>
        <w:tc>
          <w:tcPr>
            <w:tcW w:w="3259" w:type="dxa"/>
            <w:vMerge/>
            <w:shd w:val="clear" w:color="auto" w:fill="auto"/>
          </w:tcPr>
          <w:p w14:paraId="21489AAC" w14:textId="77777777" w:rsidR="00767472" w:rsidRPr="00863D9F" w:rsidRDefault="00767472" w:rsidP="005E380D">
            <w:pPr>
              <w:spacing w:before="0"/>
              <w:rPr>
                <w:rFonts w:eastAsia="Times New Roman" w:cs="Arial"/>
                <w:color w:val="000000"/>
                <w:lang w:eastAsia="en-AU"/>
              </w:rPr>
            </w:pPr>
          </w:p>
        </w:tc>
        <w:tc>
          <w:tcPr>
            <w:tcW w:w="4112" w:type="dxa"/>
            <w:gridSpan w:val="2"/>
            <w:shd w:val="clear" w:color="auto" w:fill="auto"/>
          </w:tcPr>
          <w:p w14:paraId="796279D2"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$7,280 x 100</w:t>
            </w:r>
          </w:p>
          <w:p w14:paraId="51E8561D"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(Multiple by no. suppliers)</w:t>
            </w:r>
          </w:p>
        </w:tc>
        <w:tc>
          <w:tcPr>
            <w:tcW w:w="1838" w:type="dxa"/>
            <w:gridSpan w:val="2"/>
            <w:vMerge/>
            <w:tcBorders>
              <w:bottom w:val="single" w:sz="4" w:space="0" w:color="D5D6D2" w:themeColor="background2"/>
            </w:tcBorders>
            <w:shd w:val="clear" w:color="auto" w:fill="auto"/>
          </w:tcPr>
          <w:p w14:paraId="593C74DE" w14:textId="77777777" w:rsidR="00767472" w:rsidRPr="00863D9F" w:rsidRDefault="00767472" w:rsidP="005E380D">
            <w:pPr>
              <w:spacing w:before="0"/>
              <w:rPr>
                <w:rFonts w:eastAsia="Times New Roman" w:cs="Arial"/>
                <w:color w:val="000000"/>
                <w:lang w:eastAsia="en-AU"/>
              </w:rPr>
            </w:pPr>
          </w:p>
        </w:tc>
      </w:tr>
      <w:tr w:rsidR="00767472" w:rsidRPr="00863D9F" w14:paraId="04549629" w14:textId="77777777" w:rsidTr="00255653">
        <w:trPr>
          <w:trHeight w:val="600"/>
        </w:trPr>
        <w:tc>
          <w:tcPr>
            <w:tcW w:w="4248" w:type="dxa"/>
            <w:gridSpan w:val="2"/>
            <w:tcBorders>
              <w:left w:val="nil"/>
              <w:right w:val="nil"/>
            </w:tcBorders>
            <w:shd w:val="clear" w:color="auto" w:fill="auto"/>
            <w:hideMark/>
          </w:tcPr>
          <w:p w14:paraId="156079B1"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 </w:t>
            </w:r>
          </w:p>
        </w:tc>
        <w:tc>
          <w:tcPr>
            <w:tcW w:w="3123" w:type="dxa"/>
            <w:tcBorders>
              <w:left w:val="nil"/>
              <w:right w:val="nil"/>
            </w:tcBorders>
            <w:shd w:val="clear" w:color="auto" w:fill="C4FDFC"/>
            <w:hideMark/>
          </w:tcPr>
          <w:p w14:paraId="312939B8" w14:textId="77777777" w:rsidR="00767472" w:rsidRPr="00863D9F" w:rsidRDefault="00767472" w:rsidP="005E380D">
            <w:pPr>
              <w:spacing w:before="0"/>
              <w:rPr>
                <w:rFonts w:eastAsia="Times New Roman" w:cs="Arial"/>
                <w:color w:val="000000"/>
                <w:lang w:eastAsia="en-AU"/>
              </w:rPr>
            </w:pPr>
            <w:r w:rsidRPr="00863D9F">
              <w:rPr>
                <w:rFonts w:eastAsia="Times New Roman" w:cs="Arial"/>
                <w:color w:val="000000"/>
                <w:lang w:eastAsia="en-AU"/>
              </w:rPr>
              <w:t>Total cost years 3 &amp; onwards</w:t>
            </w:r>
          </w:p>
        </w:tc>
        <w:tc>
          <w:tcPr>
            <w:tcW w:w="1838" w:type="dxa"/>
            <w:gridSpan w:val="2"/>
            <w:tcBorders>
              <w:left w:val="nil"/>
              <w:right w:val="nil"/>
            </w:tcBorders>
            <w:shd w:val="clear" w:color="000000" w:fill="CCFFFF"/>
            <w:hideMark/>
          </w:tcPr>
          <w:p w14:paraId="15980716" w14:textId="77777777" w:rsidR="00767472" w:rsidRPr="00863D9F" w:rsidRDefault="00767472" w:rsidP="00255653">
            <w:pPr>
              <w:spacing w:before="0"/>
              <w:jc w:val="right"/>
              <w:rPr>
                <w:rFonts w:eastAsia="Times New Roman" w:cs="Arial"/>
                <w:b/>
                <w:bCs/>
                <w:color w:val="000000"/>
                <w:lang w:eastAsia="en-AU"/>
              </w:rPr>
            </w:pPr>
            <w:r w:rsidRPr="00863D9F">
              <w:rPr>
                <w:rFonts w:eastAsia="Times New Roman" w:cs="Arial"/>
                <w:b/>
                <w:bCs/>
                <w:color w:val="000000"/>
                <w:lang w:eastAsia="en-AU"/>
              </w:rPr>
              <w:t xml:space="preserve">$4,328,000 </w:t>
            </w:r>
          </w:p>
        </w:tc>
      </w:tr>
      <w:bookmarkEnd w:id="115"/>
    </w:tbl>
    <w:p w14:paraId="3C115B17" w14:textId="77777777" w:rsidR="00767472" w:rsidRPr="00863D9F" w:rsidRDefault="00767472" w:rsidP="00767472"/>
    <w:p w14:paraId="00E0640A" w14:textId="77777777" w:rsidR="00767472" w:rsidRPr="00863D9F" w:rsidRDefault="00767472" w:rsidP="00767472">
      <w:pPr>
        <w:rPr>
          <w:i/>
          <w:iCs/>
        </w:rPr>
      </w:pPr>
      <w:r w:rsidRPr="00863D9F">
        <w:rPr>
          <w:i/>
          <w:iCs/>
        </w:rPr>
        <w:t xml:space="preserve">5-year projection of total costs for on industry and society </w:t>
      </w:r>
    </w:p>
    <w:p w14:paraId="3B6A8F93" w14:textId="77777777" w:rsidR="00767472" w:rsidRPr="00863D9F" w:rsidRDefault="00767472" w:rsidP="00767472">
      <w:proofErr w:type="gramStart"/>
      <w:r w:rsidRPr="00863D9F">
        <w:t>Table 8,</w:t>
      </w:r>
      <w:proofErr w:type="gramEnd"/>
      <w:r w:rsidRPr="00863D9F">
        <w:t xml:space="preserve"> demonstrates the 5-year projection of fatalities, total costs of regulation for a mandatory information standard, plus total costs to society for continued fatalities and the overall accumulated cost. These figures were calculated using:</w:t>
      </w:r>
    </w:p>
    <w:p w14:paraId="0212E03C" w14:textId="77777777" w:rsidR="00767472" w:rsidRPr="00863D9F" w:rsidRDefault="00767472" w:rsidP="00D21B3B">
      <w:pPr>
        <w:pStyle w:val="ListParagraph"/>
        <w:numPr>
          <w:ilvl w:val="0"/>
          <w:numId w:val="42"/>
        </w:numPr>
        <w:rPr>
          <w:b/>
          <w:bCs/>
        </w:rPr>
      </w:pPr>
      <w:r w:rsidRPr="00863D9F">
        <w:rPr>
          <w:rFonts w:eastAsia="Times New Roman" w:cs="Calibri"/>
          <w:color w:val="000000"/>
          <w:lang w:eastAsia="en-AU"/>
        </w:rPr>
        <w:t>VSL = $5,300,000.</w:t>
      </w:r>
    </w:p>
    <w:p w14:paraId="293116F8" w14:textId="77777777" w:rsidR="00767472" w:rsidRPr="00863D9F" w:rsidRDefault="00767472" w:rsidP="00D21B3B">
      <w:pPr>
        <w:pStyle w:val="ListParagraph"/>
        <w:numPr>
          <w:ilvl w:val="0"/>
          <w:numId w:val="42"/>
        </w:numPr>
        <w:rPr>
          <w:b/>
          <w:bCs/>
        </w:rPr>
      </w:pPr>
      <w:r w:rsidRPr="00863D9F">
        <w:rPr>
          <w:rFonts w:eastAsia="Times New Roman" w:cs="Calibri"/>
          <w:color w:val="000000"/>
          <w:lang w:eastAsia="en-AU"/>
        </w:rPr>
        <w:t>No regulation = $55,279,000 per year.</w:t>
      </w:r>
    </w:p>
    <w:p w14:paraId="5B4AF246" w14:textId="77777777" w:rsidR="00767472" w:rsidRPr="00863D9F" w:rsidRDefault="00767472" w:rsidP="00D21B3B">
      <w:pPr>
        <w:pStyle w:val="ListParagraph"/>
        <w:numPr>
          <w:ilvl w:val="0"/>
          <w:numId w:val="42"/>
        </w:numPr>
        <w:rPr>
          <w:b/>
          <w:bCs/>
        </w:rPr>
      </w:pPr>
      <w:r w:rsidRPr="00863D9F">
        <w:rPr>
          <w:rFonts w:eastAsia="Times New Roman" w:cs="Calibri"/>
          <w:color w:val="000000"/>
          <w:lang w:eastAsia="en-AU"/>
        </w:rPr>
        <w:t>Mandatory information standard = $986,850 per year.</w:t>
      </w:r>
    </w:p>
    <w:p w14:paraId="653D5187" w14:textId="77777777" w:rsidR="00767472" w:rsidRPr="00863D9F" w:rsidRDefault="00767472" w:rsidP="00D21B3B">
      <w:pPr>
        <w:pStyle w:val="ListParagraph"/>
        <w:numPr>
          <w:ilvl w:val="0"/>
          <w:numId w:val="42"/>
        </w:numPr>
        <w:rPr>
          <w:b/>
          <w:bCs/>
        </w:rPr>
      </w:pPr>
      <w:r w:rsidRPr="00863D9F">
        <w:rPr>
          <w:rFonts w:eastAsia="Times New Roman" w:cs="Calibri"/>
          <w:color w:val="000000"/>
          <w:lang w:eastAsia="en-AU"/>
        </w:rPr>
        <w:t xml:space="preserve">Mandatory safety standard first 2 years = </w:t>
      </w:r>
      <w:r w:rsidRPr="00863D9F">
        <w:t>$82,298,100 per year.</w:t>
      </w:r>
    </w:p>
    <w:p w14:paraId="7C6D89AC" w14:textId="77777777" w:rsidR="00767472" w:rsidRPr="00863D9F" w:rsidRDefault="00767472" w:rsidP="00D21B3B">
      <w:pPr>
        <w:pStyle w:val="ListParagraph"/>
        <w:numPr>
          <w:ilvl w:val="0"/>
          <w:numId w:val="42"/>
        </w:numPr>
        <w:rPr>
          <w:b/>
          <w:bCs/>
        </w:rPr>
      </w:pPr>
      <w:r w:rsidRPr="00863D9F">
        <w:rPr>
          <w:rFonts w:eastAsia="Times New Roman" w:cs="Calibri"/>
          <w:color w:val="000000"/>
          <w:lang w:eastAsia="en-AU"/>
        </w:rPr>
        <w:t xml:space="preserve">Mandatory safety standard year 3 and onwards = </w:t>
      </w:r>
      <w:r w:rsidRPr="00863D9F">
        <w:t>$2,760,600 per year.</w:t>
      </w:r>
    </w:p>
    <w:p w14:paraId="11477F54" w14:textId="77777777" w:rsidR="00767472" w:rsidRPr="00863D9F" w:rsidRDefault="00767472" w:rsidP="00D21B3B">
      <w:pPr>
        <w:pStyle w:val="ListParagraph"/>
        <w:numPr>
          <w:ilvl w:val="0"/>
          <w:numId w:val="42"/>
        </w:numPr>
        <w:spacing w:after="240"/>
        <w:rPr>
          <w:rFonts w:eastAsia="Times New Roman" w:cs="Calibri"/>
          <w:color w:val="000000"/>
          <w:lang w:eastAsia="en-AU"/>
        </w:rPr>
      </w:pPr>
      <w:r w:rsidRPr="00863D9F">
        <w:rPr>
          <w:rFonts w:eastAsia="Times New Roman" w:cs="Calibri"/>
          <w:b/>
          <w:bCs/>
          <w:color w:val="000000"/>
          <w:lang w:eastAsia="en-AU"/>
        </w:rPr>
        <w:t>Cost of fatalities</w:t>
      </w:r>
      <w:r w:rsidRPr="00863D9F">
        <w:rPr>
          <w:rFonts w:eastAsia="Times New Roman" w:cs="Calibri"/>
          <w:color w:val="000000"/>
          <w:lang w:eastAsia="en-AU"/>
        </w:rPr>
        <w:t xml:space="preserve"> = number of fatalities predicted multiplied by the VSL. For example, for 2025, 8.43 fatalities, multiplied by $5,300,000 = </w:t>
      </w:r>
      <w:r w:rsidRPr="00863D9F">
        <w:rPr>
          <w:rFonts w:eastAsia="Times New Roman" w:cs="Arial"/>
          <w:color w:val="000000"/>
          <w:lang w:eastAsia="en-AU"/>
        </w:rPr>
        <w:t>$44,679,000</w:t>
      </w:r>
      <w:r w:rsidRPr="00863D9F">
        <w:rPr>
          <w:rFonts w:eastAsia="Times New Roman" w:cs="Calibri"/>
          <w:color w:val="000000"/>
          <w:lang w:eastAsia="en-AU"/>
        </w:rPr>
        <w:t>).</w:t>
      </w:r>
    </w:p>
    <w:p w14:paraId="7EEC6618" w14:textId="77777777" w:rsidR="00767472" w:rsidRPr="00863D9F" w:rsidRDefault="00767472" w:rsidP="00D21B3B">
      <w:pPr>
        <w:pStyle w:val="ListParagraph"/>
        <w:numPr>
          <w:ilvl w:val="0"/>
          <w:numId w:val="42"/>
        </w:numPr>
        <w:spacing w:before="0"/>
        <w:rPr>
          <w:rFonts w:eastAsia="Times New Roman" w:cs="Calibri"/>
          <w:color w:val="000000"/>
          <w:lang w:eastAsia="en-AU"/>
        </w:rPr>
      </w:pPr>
      <w:r w:rsidRPr="00863D9F">
        <w:rPr>
          <w:rFonts w:eastAsia="Times New Roman" w:cs="Calibri"/>
          <w:b/>
          <w:bCs/>
          <w:color w:val="000000"/>
          <w:lang w:eastAsia="en-AU"/>
        </w:rPr>
        <w:t>Final net cost</w:t>
      </w:r>
      <w:r w:rsidRPr="00863D9F">
        <w:rPr>
          <w:rFonts w:eastAsia="Times New Roman" w:cs="Calibri"/>
          <w:color w:val="000000"/>
          <w:lang w:eastAsia="en-AU"/>
        </w:rPr>
        <w:t xml:space="preserve"> = cost of fatalities plus cost of mandatory information standard. For example, for 2025, </w:t>
      </w:r>
      <w:r w:rsidRPr="00863D9F">
        <w:rPr>
          <w:rFonts w:eastAsia="Times New Roman" w:cs="Arial"/>
          <w:color w:val="000000"/>
          <w:lang w:eastAsia="en-AU"/>
        </w:rPr>
        <w:t>$44,679,000 (calculated above)</w:t>
      </w:r>
      <w:r w:rsidRPr="00863D9F">
        <w:rPr>
          <w:rFonts w:eastAsia="Times New Roman" w:cs="Calibri"/>
          <w:color w:val="000000"/>
          <w:lang w:eastAsia="en-AU"/>
        </w:rPr>
        <w:t xml:space="preserve"> plus $986,850 = </w:t>
      </w:r>
      <w:r w:rsidRPr="00863D9F">
        <w:rPr>
          <w:rFonts w:eastAsia="Times New Roman" w:cs="Arial"/>
          <w:color w:val="000000"/>
          <w:lang w:eastAsia="en-AU"/>
        </w:rPr>
        <w:t>$45,665,850</w:t>
      </w:r>
      <w:r w:rsidRPr="00863D9F">
        <w:rPr>
          <w:rFonts w:eastAsia="Times New Roman" w:cs="Calibri"/>
          <w:color w:val="000000"/>
          <w:lang w:eastAsia="en-AU"/>
        </w:rPr>
        <w:t>.</w:t>
      </w:r>
    </w:p>
    <w:p w14:paraId="4E15A9D8" w14:textId="77777777" w:rsidR="00767472" w:rsidRPr="00863D9F" w:rsidRDefault="00767472" w:rsidP="00D21B3B">
      <w:pPr>
        <w:pStyle w:val="ListParagraph"/>
        <w:numPr>
          <w:ilvl w:val="0"/>
          <w:numId w:val="42"/>
        </w:numPr>
        <w:rPr>
          <w:b/>
          <w:bCs/>
        </w:rPr>
      </w:pPr>
      <w:r w:rsidRPr="00863D9F">
        <w:rPr>
          <w:rFonts w:eastAsia="Times New Roman" w:cs="Calibri"/>
          <w:b/>
          <w:bCs/>
          <w:color w:val="000000"/>
          <w:lang w:eastAsia="en-AU"/>
        </w:rPr>
        <w:t>Accumulative cost</w:t>
      </w:r>
      <w:r w:rsidRPr="00863D9F">
        <w:rPr>
          <w:rFonts w:eastAsia="Times New Roman" w:cs="Calibri"/>
          <w:color w:val="000000"/>
          <w:lang w:eastAsia="en-AU"/>
        </w:rPr>
        <w:t xml:space="preserve"> = adds the final cost of each year to demonstrate the accumulative cost to industry and society over 5 years. For example, for 2026, the final net cost of 2025, $45,6650,850, plus the final net cost of 2026, </w:t>
      </w:r>
      <w:r w:rsidRPr="00863D9F">
        <w:rPr>
          <w:rFonts w:eastAsia="Times New Roman" w:cs="Arial"/>
          <w:color w:val="000000"/>
          <w:lang w:eastAsia="en-AU"/>
        </w:rPr>
        <w:t>$44,340,850 = $90,006,700.</w:t>
      </w:r>
    </w:p>
    <w:p w14:paraId="30219883" w14:textId="77777777" w:rsidR="00767472" w:rsidRPr="00863D9F" w:rsidRDefault="00767472" w:rsidP="00767472">
      <w:pPr>
        <w:rPr>
          <w:b/>
          <w:bCs/>
        </w:rPr>
      </w:pPr>
      <w:r w:rsidRPr="00863D9F">
        <w:t>This was the same method used to calculate</w:t>
      </w:r>
      <w:r w:rsidRPr="00863D9F">
        <w:rPr>
          <w:b/>
          <w:bCs/>
        </w:rPr>
        <w:t xml:space="preserve"> </w:t>
      </w:r>
      <w:r w:rsidRPr="00863D9F">
        <w:t>the</w:t>
      </w:r>
      <w:r w:rsidRPr="00863D9F">
        <w:rPr>
          <w:b/>
          <w:bCs/>
        </w:rPr>
        <w:t xml:space="preserve"> </w:t>
      </w:r>
      <w:r w:rsidRPr="00863D9F">
        <w:t xml:space="preserve">5-year projection for the mandatory safety standard outlined in Table 11. </w:t>
      </w:r>
    </w:p>
    <w:p w14:paraId="12C3F92B" w14:textId="77777777" w:rsidR="00767472" w:rsidRPr="00863D9F" w:rsidRDefault="00767472" w:rsidP="009E0B67">
      <w:pPr>
        <w:keepNext/>
        <w:keepLines/>
        <w:rPr>
          <w:i/>
          <w:iCs/>
        </w:rPr>
      </w:pPr>
      <w:r w:rsidRPr="00863D9F">
        <w:rPr>
          <w:i/>
          <w:iCs/>
        </w:rPr>
        <w:t xml:space="preserve">Benefits of regulation </w:t>
      </w:r>
    </w:p>
    <w:p w14:paraId="033AAD95" w14:textId="77777777" w:rsidR="00767472" w:rsidRPr="00863D9F" w:rsidRDefault="00767472" w:rsidP="00767472">
      <w:r w:rsidRPr="00863D9F">
        <w:t>The benefits of a mandatory information standard and a mandatory safety standard are the costs of the anticipated number of fatalities saved by the proposed regulation. The net benefit is then calculated by subtracting the cost of regulation by the cost of anticipated number of fatalities saved by the proposed regulation.</w:t>
      </w:r>
    </w:p>
    <w:p w14:paraId="7D21E120" w14:textId="77777777" w:rsidR="00767472" w:rsidRPr="00863D9F" w:rsidRDefault="00767472" w:rsidP="00767472">
      <w:r w:rsidRPr="00863D9F">
        <w:t>The figures in Table 9 and 12 were calculated using:</w:t>
      </w:r>
    </w:p>
    <w:p w14:paraId="17C68B15" w14:textId="77777777" w:rsidR="00767472" w:rsidRPr="00863D9F" w:rsidRDefault="00767472" w:rsidP="00D21B3B">
      <w:pPr>
        <w:pStyle w:val="ListParagraph"/>
        <w:numPr>
          <w:ilvl w:val="0"/>
          <w:numId w:val="42"/>
        </w:numPr>
        <w:rPr>
          <w:b/>
          <w:bCs/>
        </w:rPr>
      </w:pPr>
      <w:r w:rsidRPr="00863D9F">
        <w:rPr>
          <w:rFonts w:eastAsia="Times New Roman" w:cs="Calibri"/>
          <w:color w:val="000000"/>
          <w:lang w:eastAsia="en-AU"/>
        </w:rPr>
        <w:t>VSL = $5,300,000.</w:t>
      </w:r>
    </w:p>
    <w:p w14:paraId="36D251D0" w14:textId="77777777" w:rsidR="00767472" w:rsidRPr="00863D9F" w:rsidRDefault="00767472" w:rsidP="00D21B3B">
      <w:pPr>
        <w:pStyle w:val="ListParagraph"/>
        <w:numPr>
          <w:ilvl w:val="0"/>
          <w:numId w:val="42"/>
        </w:numPr>
        <w:rPr>
          <w:b/>
          <w:bCs/>
        </w:rPr>
      </w:pPr>
      <w:r w:rsidRPr="00863D9F">
        <w:rPr>
          <w:rFonts w:eastAsia="Times New Roman" w:cs="Calibri"/>
          <w:color w:val="000000"/>
          <w:lang w:eastAsia="en-AU"/>
        </w:rPr>
        <w:t>No regulation = $55,279,000 per year.</w:t>
      </w:r>
    </w:p>
    <w:p w14:paraId="3D996058" w14:textId="77777777" w:rsidR="00767472" w:rsidRPr="00863D9F" w:rsidRDefault="00767472" w:rsidP="00D21B3B">
      <w:pPr>
        <w:pStyle w:val="ListParagraph"/>
        <w:numPr>
          <w:ilvl w:val="0"/>
          <w:numId w:val="42"/>
        </w:numPr>
        <w:rPr>
          <w:b/>
          <w:bCs/>
        </w:rPr>
      </w:pPr>
      <w:r w:rsidRPr="00863D9F">
        <w:rPr>
          <w:rFonts w:eastAsia="Times New Roman" w:cs="Calibri"/>
          <w:color w:val="000000"/>
          <w:lang w:eastAsia="en-AU"/>
        </w:rPr>
        <w:t>Mandatory information standard = $986,850 per year.</w:t>
      </w:r>
    </w:p>
    <w:p w14:paraId="4011EA42" w14:textId="77777777" w:rsidR="00767472" w:rsidRPr="00863D9F" w:rsidRDefault="00767472" w:rsidP="00D21B3B">
      <w:pPr>
        <w:pStyle w:val="ListParagraph"/>
        <w:numPr>
          <w:ilvl w:val="0"/>
          <w:numId w:val="42"/>
        </w:numPr>
        <w:rPr>
          <w:b/>
          <w:bCs/>
        </w:rPr>
      </w:pPr>
      <w:r w:rsidRPr="00863D9F">
        <w:rPr>
          <w:rFonts w:eastAsia="Times New Roman" w:cs="Calibri"/>
          <w:color w:val="000000"/>
          <w:lang w:eastAsia="en-AU"/>
        </w:rPr>
        <w:t xml:space="preserve">Mandatory safety standard first 2 years = </w:t>
      </w:r>
      <w:r w:rsidRPr="00863D9F">
        <w:t>$82,298,100 per year.</w:t>
      </w:r>
    </w:p>
    <w:p w14:paraId="0A54BB19" w14:textId="77777777" w:rsidR="00767472" w:rsidRPr="00863D9F" w:rsidRDefault="00767472" w:rsidP="00D21B3B">
      <w:pPr>
        <w:pStyle w:val="ListParagraph"/>
        <w:numPr>
          <w:ilvl w:val="0"/>
          <w:numId w:val="42"/>
        </w:numPr>
        <w:rPr>
          <w:b/>
          <w:bCs/>
        </w:rPr>
      </w:pPr>
      <w:r w:rsidRPr="00863D9F">
        <w:rPr>
          <w:rFonts w:eastAsia="Times New Roman" w:cs="Calibri"/>
          <w:color w:val="000000"/>
          <w:lang w:eastAsia="en-AU"/>
        </w:rPr>
        <w:t xml:space="preserve">Mandatory safety standard year 3 and onwards = </w:t>
      </w:r>
      <w:r w:rsidRPr="00863D9F">
        <w:t>$2,760,600 per year.</w:t>
      </w:r>
    </w:p>
    <w:p w14:paraId="6F9A6EBE" w14:textId="77777777" w:rsidR="00767472" w:rsidRPr="00863D9F" w:rsidRDefault="00767472" w:rsidP="00D21B3B">
      <w:pPr>
        <w:pStyle w:val="ListParagraph"/>
        <w:numPr>
          <w:ilvl w:val="0"/>
          <w:numId w:val="42"/>
        </w:numPr>
        <w:rPr>
          <w:b/>
          <w:bCs/>
        </w:rPr>
      </w:pPr>
      <w:r w:rsidRPr="00863D9F">
        <w:rPr>
          <w:b/>
          <w:bCs/>
        </w:rPr>
        <w:t>Benefit</w:t>
      </w:r>
      <w:r w:rsidRPr="00863D9F">
        <w:t xml:space="preserve"> = the cost of the anticipated number of fatalities saved by the proposed regulation. For example, the mandatory information standard is predicted the save 2 lives in 2025 which would have a benefit of $10,600,000 (2 x $5,300,000). </w:t>
      </w:r>
    </w:p>
    <w:p w14:paraId="129765DD" w14:textId="77777777" w:rsidR="00767472" w:rsidRPr="00863D9F" w:rsidRDefault="00767472" w:rsidP="00D21B3B">
      <w:pPr>
        <w:pStyle w:val="ListParagraph"/>
        <w:numPr>
          <w:ilvl w:val="0"/>
          <w:numId w:val="42"/>
        </w:numPr>
        <w:rPr>
          <w:b/>
          <w:bCs/>
        </w:rPr>
      </w:pPr>
      <w:r w:rsidRPr="00863D9F">
        <w:rPr>
          <w:b/>
          <w:bCs/>
        </w:rPr>
        <w:t>Net benefit</w:t>
      </w:r>
      <w:r w:rsidRPr="00863D9F">
        <w:t xml:space="preserve"> = the anticipated number of lives saved subtract the estimated cost of regulation. For example, the mandatory information standard in 2025, $10,600,000 - </w:t>
      </w:r>
      <w:r w:rsidRPr="00863D9F">
        <w:rPr>
          <w:rFonts w:eastAsia="Times New Roman" w:cs="Calibri"/>
          <w:color w:val="000000"/>
          <w:lang w:eastAsia="en-AU"/>
        </w:rPr>
        <w:t xml:space="preserve">$986,850 = $9,613,150. </w:t>
      </w:r>
    </w:p>
    <w:p w14:paraId="552B860F" w14:textId="77777777" w:rsidR="00767472" w:rsidRPr="00863D9F" w:rsidRDefault="00767472" w:rsidP="00767472"/>
    <w:p w14:paraId="01C2BED3" w14:textId="77777777" w:rsidR="00767472" w:rsidRPr="00863D9F" w:rsidRDefault="00767472" w:rsidP="00767472">
      <w:r w:rsidRPr="00863D9F">
        <w:br w:type="page"/>
      </w:r>
    </w:p>
    <w:p w14:paraId="271F622C" w14:textId="77777777" w:rsidR="00767472" w:rsidRPr="00AF6307" w:rsidRDefault="00767472" w:rsidP="00767472">
      <w:pPr>
        <w:pStyle w:val="Heading2"/>
        <w:rPr>
          <w:rFonts w:ascii="Roboto" w:hAnsi="Roboto"/>
          <w:sz w:val="32"/>
          <w:szCs w:val="32"/>
        </w:rPr>
      </w:pPr>
      <w:bookmarkStart w:id="116" w:name="_Toc139452488"/>
      <w:bookmarkStart w:id="117" w:name="_Toc140065209"/>
      <w:r w:rsidRPr="00AF6307">
        <w:rPr>
          <w:rFonts w:ascii="Roboto" w:hAnsi="Roboto"/>
          <w:sz w:val="32"/>
          <w:szCs w:val="32"/>
        </w:rPr>
        <w:t>Appendix 3: Summary of key decision</w:t>
      </w:r>
      <w:bookmarkEnd w:id="116"/>
      <w:r w:rsidRPr="00AF6307">
        <w:rPr>
          <w:rFonts w:ascii="Roboto" w:hAnsi="Roboto"/>
          <w:sz w:val="32"/>
          <w:szCs w:val="32"/>
        </w:rPr>
        <w:t>s</w:t>
      </w:r>
      <w:bookmarkEnd w:id="117"/>
      <w:r w:rsidRPr="00AF6307">
        <w:rPr>
          <w:rFonts w:ascii="Roboto" w:hAnsi="Roboto"/>
          <w:sz w:val="32"/>
          <w:szCs w:val="32"/>
        </w:rPr>
        <w:t xml:space="preserve"> </w:t>
      </w:r>
    </w:p>
    <w:p w14:paraId="7A05EA54" w14:textId="77777777" w:rsidR="00767472" w:rsidRPr="00863D9F" w:rsidRDefault="00767472" w:rsidP="00767472">
      <w:r w:rsidRPr="00863D9F">
        <w:rPr>
          <w:noProof/>
        </w:rPr>
        <w:drawing>
          <wp:inline distT="0" distB="0" distL="0" distR="0" wp14:anchorId="505074BD" wp14:editId="399B48B5">
            <wp:extent cx="5731510" cy="7310755"/>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731510" cy="7310755"/>
                    </a:xfrm>
                    <a:prstGeom prst="rect">
                      <a:avLst/>
                    </a:prstGeom>
                  </pic:spPr>
                </pic:pic>
              </a:graphicData>
            </a:graphic>
          </wp:inline>
        </w:drawing>
      </w:r>
    </w:p>
    <w:sectPr w:rsidR="00767472" w:rsidRPr="00863D9F" w:rsidSect="00455ED1">
      <w:footerReference w:type="default" r:id="rId50"/>
      <w:pgSz w:w="11906" w:h="16838"/>
      <w:pgMar w:top="1276"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E641" w14:textId="77777777" w:rsidR="00947FDB" w:rsidRDefault="00947FDB" w:rsidP="004B4412">
      <w:pPr>
        <w:spacing w:before="0"/>
      </w:pPr>
      <w:r>
        <w:separator/>
      </w:r>
    </w:p>
  </w:endnote>
  <w:endnote w:type="continuationSeparator" w:id="0">
    <w:p w14:paraId="1389D5BE" w14:textId="77777777" w:rsidR="00947FDB" w:rsidRDefault="00947FD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Bitter">
    <w:panose1 w:val="00000000000000000000"/>
    <w:charset w:val="00"/>
    <w:family w:val="auto"/>
    <w:pitch w:val="variable"/>
    <w:sig w:usb0="A00002FF" w:usb1="400020F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0B70" w14:textId="77777777" w:rsidR="00F95BD0" w:rsidRDefault="00F95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599885"/>
      <w:docPartObj>
        <w:docPartGallery w:val="Page Numbers (Bottom of Page)"/>
        <w:docPartUnique/>
      </w:docPartObj>
    </w:sdtPr>
    <w:sdtEndPr>
      <w:rPr>
        <w:noProof/>
      </w:rPr>
    </w:sdtEndPr>
    <w:sdtContent>
      <w:p w14:paraId="69B959B9" w14:textId="77777777" w:rsidR="00767472" w:rsidRDefault="00000000" w:rsidP="00D43C37">
        <w:pPr>
          <w:pStyle w:val="Footer"/>
          <w:ind w:left="5007" w:firstLine="4513"/>
        </w:pPr>
      </w:p>
    </w:sdtContent>
  </w:sdt>
  <w:p w14:paraId="06B3ED25" w14:textId="77777777" w:rsidR="00767472" w:rsidRDefault="00767472" w:rsidP="00AF441D">
    <w:pPr>
      <w:pStyle w:val="Footer"/>
      <w:tabs>
        <w:tab w:val="clear" w:pos="4513"/>
        <w:tab w:val="left" w:pos="34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369741"/>
      <w:docPartObj>
        <w:docPartGallery w:val="Page Numbers (Bottom of Page)"/>
        <w:docPartUnique/>
      </w:docPartObj>
    </w:sdtPr>
    <w:sdtEndPr>
      <w:rPr>
        <w:noProof/>
      </w:rPr>
    </w:sdtEndPr>
    <w:sdtContent>
      <w:p w14:paraId="6B99621B" w14:textId="4DCE0E78" w:rsidR="00767472" w:rsidRDefault="007674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45DC1" w14:textId="77777777" w:rsidR="00767472" w:rsidRDefault="007674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48461"/>
      <w:docPartObj>
        <w:docPartGallery w:val="Page Numbers (Bottom of Page)"/>
        <w:docPartUnique/>
      </w:docPartObj>
    </w:sdtPr>
    <w:sdtEndPr>
      <w:rPr>
        <w:noProof/>
      </w:rPr>
    </w:sdtEndPr>
    <w:sdtContent>
      <w:p w14:paraId="7BA81083" w14:textId="1C0D594C" w:rsidR="00767472" w:rsidRDefault="007674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1B219" w14:textId="77777777" w:rsidR="00DF5AC7" w:rsidRDefault="00DF5A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9A10" w14:textId="77777777" w:rsidR="00947FDB" w:rsidRDefault="00947FDB" w:rsidP="004B4412">
      <w:pPr>
        <w:spacing w:before="0"/>
      </w:pPr>
      <w:r>
        <w:separator/>
      </w:r>
    </w:p>
  </w:footnote>
  <w:footnote w:type="continuationSeparator" w:id="0">
    <w:p w14:paraId="58F58018" w14:textId="77777777" w:rsidR="00947FDB" w:rsidRDefault="00947FDB" w:rsidP="004B4412">
      <w:pPr>
        <w:spacing w:before="0"/>
      </w:pPr>
      <w:r>
        <w:continuationSeparator/>
      </w:r>
    </w:p>
  </w:footnote>
  <w:footnote w:id="1">
    <w:p w14:paraId="15411DA0" w14:textId="77777777" w:rsidR="00767472" w:rsidRPr="008A64C2" w:rsidRDefault="00767472" w:rsidP="00767472">
      <w:pPr>
        <w:pStyle w:val="FootnoteText"/>
        <w:rPr>
          <w:color w:val="000000"/>
          <w:sz w:val="15"/>
          <w:szCs w:val="15"/>
        </w:rPr>
      </w:pPr>
      <w:r w:rsidRPr="00BB0A9C">
        <w:rPr>
          <w:rStyle w:val="FootnoteReference"/>
          <w:rFonts w:cs="Arial"/>
          <w:szCs w:val="16"/>
        </w:rPr>
        <w:footnoteRef/>
      </w:r>
      <w:r w:rsidRPr="00BB0A9C">
        <w:t xml:space="preserve"> </w:t>
      </w:r>
      <w:r>
        <w:tab/>
      </w:r>
      <w:r w:rsidRPr="008A64C2">
        <w:rPr>
          <w:color w:val="000000"/>
        </w:rPr>
        <w:t xml:space="preserve">Red Nose, </w:t>
      </w:r>
      <w:hyperlink r:id="rId1" w:history="1">
        <w:r w:rsidRPr="00BB0A9C">
          <w:rPr>
            <w:rStyle w:val="Hyperlink"/>
            <w:rFonts w:cs="Arial"/>
            <w:i/>
            <w:iCs/>
            <w:sz w:val="16"/>
            <w:szCs w:val="16"/>
          </w:rPr>
          <w:t>What does Sudden Unexpected Death in Infancy (SUDI) mean?</w:t>
        </w:r>
      </w:hyperlink>
      <w:r>
        <w:rPr>
          <w:color w:val="000000"/>
        </w:rPr>
        <w:t>,</w:t>
      </w:r>
      <w:r w:rsidRPr="00BB0A9C">
        <w:rPr>
          <w:color w:val="000000"/>
        </w:rPr>
        <w:t xml:space="preserve"> </w:t>
      </w:r>
      <w:r w:rsidRPr="008A64C2">
        <w:rPr>
          <w:color w:val="000000"/>
        </w:rPr>
        <w:t>Red Nose website,</w:t>
      </w:r>
      <w:r>
        <w:rPr>
          <w:color w:val="000000"/>
        </w:rPr>
        <w:t xml:space="preserve"> 4 October</w:t>
      </w:r>
      <w:r w:rsidRPr="008A64C2">
        <w:rPr>
          <w:color w:val="000000"/>
        </w:rPr>
        <w:t xml:space="preserve"> 2016</w:t>
      </w:r>
      <w:r>
        <w:rPr>
          <w:color w:val="000000"/>
        </w:rPr>
        <w:t>,</w:t>
      </w:r>
      <w:r w:rsidRPr="008A64C2">
        <w:rPr>
          <w:color w:val="000000"/>
        </w:rPr>
        <w:t xml:space="preserve"> </w:t>
      </w:r>
      <w:r>
        <w:rPr>
          <w:color w:val="000000"/>
        </w:rPr>
        <w:t>a</w:t>
      </w:r>
      <w:r w:rsidRPr="008A64C2">
        <w:rPr>
          <w:color w:val="000000"/>
        </w:rPr>
        <w:t>ccessed 9 July 2021.</w:t>
      </w:r>
    </w:p>
  </w:footnote>
  <w:footnote w:id="2">
    <w:p w14:paraId="7E1A3CBE" w14:textId="66AA56DA" w:rsidR="00767472" w:rsidRPr="00110BBA" w:rsidRDefault="00767472" w:rsidP="00767472">
      <w:pPr>
        <w:pStyle w:val="FootnoteText"/>
      </w:pPr>
      <w:r>
        <w:rPr>
          <w:rStyle w:val="FootnoteReference"/>
        </w:rPr>
        <w:footnoteRef/>
      </w:r>
      <w:r>
        <w:t xml:space="preserve"> </w:t>
      </w:r>
      <w:r>
        <w:tab/>
        <w:t xml:space="preserve">Red Nose, </w:t>
      </w:r>
      <w:r>
        <w:rPr>
          <w:i/>
          <w:iCs/>
        </w:rPr>
        <w:t xml:space="preserve">What does Sudden Unexpected Death in Infancy (SUDI) </w:t>
      </w:r>
      <w:r>
        <w:rPr>
          <w:i/>
          <w:iCs/>
        </w:rPr>
        <w:t>mean?</w:t>
      </w:r>
      <w:r w:rsidR="001A1320">
        <w:rPr>
          <w:i/>
          <w:iCs/>
        </w:rPr>
        <w:t>.</w:t>
      </w:r>
    </w:p>
  </w:footnote>
  <w:footnote w:id="3">
    <w:p w14:paraId="4F993903" w14:textId="77777777" w:rsidR="00767472" w:rsidRDefault="00767472" w:rsidP="00767472">
      <w:pPr>
        <w:pStyle w:val="FootnoteText"/>
      </w:pPr>
      <w:r>
        <w:rPr>
          <w:rStyle w:val="FootnoteReference"/>
        </w:rPr>
        <w:footnoteRef/>
      </w:r>
      <w:r>
        <w:t xml:space="preserve"> </w:t>
      </w:r>
      <w:r>
        <w:tab/>
        <w:t xml:space="preserve">Red Nose, </w:t>
      </w:r>
      <w:hyperlink r:id="rId2" w:history="1">
        <w:r w:rsidRPr="00F43258">
          <w:rPr>
            <w:rStyle w:val="Hyperlink"/>
            <w:i/>
            <w:iCs/>
            <w:sz w:val="16"/>
          </w:rPr>
          <w:t>Why back to sleep is the safest position for your baby</w:t>
        </w:r>
      </w:hyperlink>
      <w:r>
        <w:t>, Red Nose website, 27 February 2018, accessed 10 June 2021.</w:t>
      </w:r>
    </w:p>
  </w:footnote>
  <w:footnote w:id="4">
    <w:p w14:paraId="442D08D3" w14:textId="67E5C275" w:rsidR="00767472" w:rsidRDefault="00767472" w:rsidP="00767472">
      <w:pPr>
        <w:pStyle w:val="FootnoteText"/>
      </w:pPr>
      <w:r w:rsidRPr="0023774C">
        <w:rPr>
          <w:rStyle w:val="FootnoteReference"/>
        </w:rPr>
        <w:footnoteRef/>
      </w:r>
      <w:r w:rsidRPr="0023774C">
        <w:t xml:space="preserve">      SM Beal, L Moore, M Collett, B Mon</w:t>
      </w:r>
      <w:r w:rsidR="00A7753F">
        <w:t>t</w:t>
      </w:r>
      <w:r w:rsidRPr="0023774C">
        <w:t>gomery, C Sprod and A Beal, ‘The danger of freely rocking cradles’, Journal of Paediatrics Child Health, 1995, 31: 38-40</w:t>
      </w:r>
      <w:r w:rsidR="00505A8C">
        <w:t>.</w:t>
      </w:r>
      <w:r w:rsidRPr="0023774C">
        <w:t xml:space="preserve"> </w:t>
      </w:r>
      <w:hyperlink r:id="rId3" w:history="1">
        <w:r w:rsidR="00505A8C" w:rsidRPr="001F4DE7">
          <w:rPr>
            <w:rStyle w:val="Hyperlink"/>
            <w:sz w:val="16"/>
          </w:rPr>
          <w:t>https://doi.org/10.1111/j.1440-1754.1995.tb02910.x</w:t>
        </w:r>
      </w:hyperlink>
    </w:p>
  </w:footnote>
  <w:footnote w:id="5">
    <w:p w14:paraId="0EB84D3D" w14:textId="77777777" w:rsidR="00767472" w:rsidRDefault="00767472" w:rsidP="00767472">
      <w:pPr>
        <w:pStyle w:val="FootnoteText"/>
      </w:pPr>
      <w:r>
        <w:rPr>
          <w:rStyle w:val="FootnoteReference"/>
        </w:rPr>
        <w:footnoteRef/>
      </w:r>
      <w:r>
        <w:t xml:space="preserve"> </w:t>
      </w:r>
      <w:r>
        <w:tab/>
        <w:t xml:space="preserve">US-CPSC, </w:t>
      </w:r>
      <w:hyperlink r:id="rId4" w:history="1">
        <w:r w:rsidRPr="00F43258">
          <w:rPr>
            <w:rStyle w:val="Hyperlink"/>
            <w:i/>
            <w:iCs/>
            <w:sz w:val="16"/>
          </w:rPr>
          <w:t>CPSC Cautions Consumers Not to Use Inclined Infant Sleep Products</w:t>
        </w:r>
      </w:hyperlink>
      <w:r>
        <w:t xml:space="preserve"> [media release], US-CPSC, 31 October 2019, accessed 10 June 2021.</w:t>
      </w:r>
    </w:p>
  </w:footnote>
  <w:footnote w:id="6">
    <w:p w14:paraId="4F77D4AE" w14:textId="77777777" w:rsidR="00767472" w:rsidRDefault="00767472" w:rsidP="00767472">
      <w:pPr>
        <w:pStyle w:val="FootnoteText"/>
      </w:pPr>
      <w:r>
        <w:rPr>
          <w:rStyle w:val="FootnoteReference"/>
        </w:rPr>
        <w:footnoteRef/>
      </w:r>
      <w:r>
        <w:t xml:space="preserve"> </w:t>
      </w:r>
      <w:r>
        <w:tab/>
        <w:t xml:space="preserve">Australian Bureau of Statistics (ABS), </w:t>
      </w:r>
      <w:hyperlink r:id="rId5" w:history="1">
        <w:r w:rsidRPr="001C42D6">
          <w:rPr>
            <w:rStyle w:val="Hyperlink"/>
            <w:i/>
            <w:iCs/>
            <w:sz w:val="16"/>
          </w:rPr>
          <w:t>Population</w:t>
        </w:r>
        <w:r w:rsidRPr="0048357E">
          <w:rPr>
            <w:rStyle w:val="Hyperlink"/>
            <w:sz w:val="16"/>
          </w:rPr>
          <w:t xml:space="preserve"> </w:t>
        </w:r>
        <w:r w:rsidRPr="0048357E">
          <w:rPr>
            <w:rStyle w:val="Hyperlink"/>
            <w:i/>
            <w:iCs/>
            <w:sz w:val="16"/>
          </w:rPr>
          <w:t>data explorer</w:t>
        </w:r>
      </w:hyperlink>
      <w:r>
        <w:rPr>
          <w:i/>
          <w:iCs/>
        </w:rPr>
        <w:t xml:space="preserve">, </w:t>
      </w:r>
      <w:r w:rsidRPr="001C42D6">
        <w:t>ABS website</w:t>
      </w:r>
      <w:r>
        <w:rPr>
          <w:i/>
          <w:iCs/>
        </w:rPr>
        <w:t xml:space="preserve">, </w:t>
      </w:r>
      <w:r>
        <w:t xml:space="preserve">accessed 2 June 2022; ABS, </w:t>
      </w:r>
      <w:hyperlink r:id="rId6" w:history="1">
        <w:r>
          <w:rPr>
            <w:rStyle w:val="Hyperlink"/>
            <w:i/>
            <w:iCs/>
            <w:sz w:val="16"/>
          </w:rPr>
          <w:t>Infant p</w:t>
        </w:r>
        <w:r w:rsidRPr="00982099">
          <w:rPr>
            <w:rStyle w:val="Hyperlink"/>
            <w:i/>
            <w:iCs/>
            <w:sz w:val="16"/>
          </w:rPr>
          <w:t>opulation</w:t>
        </w:r>
        <w:r w:rsidRPr="0048357E">
          <w:rPr>
            <w:rStyle w:val="Hyperlink"/>
            <w:sz w:val="16"/>
          </w:rPr>
          <w:t xml:space="preserve"> </w:t>
        </w:r>
        <w:r w:rsidRPr="0048357E">
          <w:rPr>
            <w:rStyle w:val="Hyperlink"/>
            <w:i/>
            <w:iCs/>
            <w:sz w:val="16"/>
          </w:rPr>
          <w:t>data explorer</w:t>
        </w:r>
      </w:hyperlink>
      <w:r>
        <w:rPr>
          <w:i/>
          <w:iCs/>
        </w:rPr>
        <w:t xml:space="preserve">, </w:t>
      </w:r>
      <w:r w:rsidRPr="00982099">
        <w:t>ABS website</w:t>
      </w:r>
      <w:r>
        <w:rPr>
          <w:i/>
          <w:iCs/>
        </w:rPr>
        <w:t xml:space="preserve">, </w:t>
      </w:r>
      <w:r>
        <w:t xml:space="preserve">accessed 2 June 2022; ABS, </w:t>
      </w:r>
      <w:hyperlink r:id="rId7" w:history="1">
        <w:r>
          <w:rPr>
            <w:rStyle w:val="Hyperlink"/>
            <w:i/>
            <w:iCs/>
            <w:sz w:val="16"/>
          </w:rPr>
          <w:t xml:space="preserve">Infant fatalities </w:t>
        </w:r>
        <w:r w:rsidRPr="0048357E">
          <w:rPr>
            <w:rStyle w:val="Hyperlink"/>
            <w:i/>
            <w:iCs/>
            <w:sz w:val="16"/>
          </w:rPr>
          <w:t>data explorer</w:t>
        </w:r>
      </w:hyperlink>
      <w:r>
        <w:rPr>
          <w:i/>
          <w:iCs/>
        </w:rPr>
        <w:t xml:space="preserve">, </w:t>
      </w:r>
      <w:r w:rsidRPr="00982099">
        <w:t>ABS website</w:t>
      </w:r>
      <w:r>
        <w:rPr>
          <w:i/>
          <w:iCs/>
        </w:rPr>
        <w:t xml:space="preserve">, </w:t>
      </w:r>
      <w:r w:rsidRPr="00B446DE">
        <w:t>accessed</w:t>
      </w:r>
      <w:r>
        <w:t xml:space="preserve"> 2 June 2022. </w:t>
      </w:r>
    </w:p>
  </w:footnote>
  <w:footnote w:id="7">
    <w:p w14:paraId="432707E7" w14:textId="7461F810" w:rsidR="00767472" w:rsidRDefault="00767472" w:rsidP="00767472">
      <w:pPr>
        <w:pStyle w:val="FootnoteText"/>
      </w:pPr>
      <w:r>
        <w:rPr>
          <w:rStyle w:val="FootnoteReference"/>
        </w:rPr>
        <w:footnoteRef/>
      </w:r>
      <w:r>
        <w:t xml:space="preserve"> </w:t>
      </w:r>
      <w:r>
        <w:tab/>
        <w:t>A</w:t>
      </w:r>
      <w:r w:rsidR="00181353">
        <w:t>BS</w:t>
      </w:r>
      <w:r>
        <w:t xml:space="preserve">, </w:t>
      </w:r>
      <w:hyperlink r:id="rId8" w:history="1">
        <w:r w:rsidRPr="00C47FAE">
          <w:rPr>
            <w:rStyle w:val="Hyperlink"/>
            <w:i/>
            <w:iCs/>
            <w:sz w:val="16"/>
          </w:rPr>
          <w:t>Data explorer</w:t>
        </w:r>
      </w:hyperlink>
      <w:r>
        <w:t>, ABS website, accessed 8 August 2022.</w:t>
      </w:r>
    </w:p>
  </w:footnote>
  <w:footnote w:id="8">
    <w:p w14:paraId="4B6709F3" w14:textId="77777777" w:rsidR="00767472" w:rsidRDefault="00767472" w:rsidP="00767472">
      <w:pPr>
        <w:pStyle w:val="FootnoteText"/>
      </w:pPr>
      <w:r>
        <w:rPr>
          <w:rStyle w:val="FootnoteReference"/>
        </w:rPr>
        <w:footnoteRef/>
      </w:r>
      <w:r>
        <w:t xml:space="preserve"> </w:t>
      </w:r>
      <w:r>
        <w:tab/>
        <w:t xml:space="preserve">This data includes fatalities where other factors were present such as respiratory infections or other diseases, which could not have been a sole cause </w:t>
      </w:r>
      <w:r w:rsidRPr="00371668">
        <w:t>death</w:t>
      </w:r>
      <w:r>
        <w:t xml:space="preserve">.  </w:t>
      </w:r>
    </w:p>
  </w:footnote>
  <w:footnote w:id="9">
    <w:p w14:paraId="4AF591BC" w14:textId="77777777" w:rsidR="00767472" w:rsidRDefault="00767472" w:rsidP="00767472">
      <w:pPr>
        <w:pStyle w:val="FootnoteText"/>
      </w:pPr>
      <w:r>
        <w:rPr>
          <w:rStyle w:val="FootnoteReference"/>
        </w:rPr>
        <w:footnoteRef/>
      </w:r>
      <w:r>
        <w:t xml:space="preserve"> </w:t>
      </w:r>
      <w:r>
        <w:tab/>
        <w:t>European Standards, ‘</w:t>
      </w:r>
      <w:r w:rsidRPr="008E537E">
        <w:t>Children’s furniture - Mattress for cots and cribs – Safety requirements and test methods (EN 16890:2017)’, 2017</w:t>
      </w:r>
      <w:r>
        <w:t>.</w:t>
      </w:r>
    </w:p>
  </w:footnote>
  <w:footnote w:id="10">
    <w:p w14:paraId="49E4A6B3" w14:textId="77777777" w:rsidR="00767472" w:rsidRDefault="00767472" w:rsidP="00767472">
      <w:pPr>
        <w:pStyle w:val="FootnoteText"/>
      </w:pPr>
      <w:r>
        <w:rPr>
          <w:rStyle w:val="FootnoteReference"/>
        </w:rPr>
        <w:footnoteRef/>
      </w:r>
      <w:r>
        <w:t xml:space="preserve"> </w:t>
      </w:r>
      <w:r>
        <w:tab/>
      </w:r>
      <w:r w:rsidRPr="008E537E">
        <w:t>European Standards, ‘Children’s furniture – Cribs – Safety requirements and test methods (EN1130:2019)’, 2019.</w:t>
      </w:r>
    </w:p>
  </w:footnote>
  <w:footnote w:id="11">
    <w:p w14:paraId="63DBECDA" w14:textId="77777777" w:rsidR="00767472" w:rsidRPr="00840BE8" w:rsidRDefault="00767472" w:rsidP="00767472">
      <w:pPr>
        <w:pStyle w:val="FootnoteText"/>
        <w:rPr>
          <w:rFonts w:cs="Arial"/>
          <w:color w:val="000000"/>
          <w:szCs w:val="16"/>
        </w:rPr>
      </w:pPr>
      <w:r w:rsidRPr="00A430AF">
        <w:rPr>
          <w:rStyle w:val="FootnoteReference"/>
          <w:rFonts w:cs="Arial"/>
          <w:szCs w:val="16"/>
          <w:vertAlign w:val="subscript"/>
        </w:rPr>
        <w:footnoteRef/>
      </w:r>
      <w:r w:rsidRPr="00A430AF">
        <w:rPr>
          <w:rFonts w:cs="Arial"/>
          <w:vertAlign w:val="subscript"/>
        </w:rPr>
        <w:t xml:space="preserve"> </w:t>
      </w:r>
      <w:r>
        <w:rPr>
          <w:rFonts w:cs="Arial"/>
          <w:vertAlign w:val="subscript"/>
        </w:rPr>
        <w:tab/>
      </w:r>
      <w:r w:rsidRPr="00C86A4A">
        <w:rPr>
          <w:rFonts w:cs="Arial"/>
          <w:i/>
          <w:iCs/>
          <w:color w:val="000000"/>
          <w:szCs w:val="16"/>
        </w:rPr>
        <w:t>Canada Consumer Product Safety Act</w:t>
      </w:r>
      <w:r>
        <w:rPr>
          <w:rFonts w:cs="Arial"/>
          <w:color w:val="000000"/>
          <w:szCs w:val="16"/>
        </w:rPr>
        <w:t xml:space="preserve">, </w:t>
      </w:r>
      <w:r w:rsidRPr="00FE1ACE">
        <w:rPr>
          <w:rFonts w:cs="Arial"/>
          <w:color w:val="000000"/>
          <w:szCs w:val="16"/>
        </w:rPr>
        <w:t>Cribs, Cradles and Bassinets Regulations (SOR/2016-152)</w:t>
      </w:r>
      <w:r w:rsidRPr="00CF65DA">
        <w:rPr>
          <w:rFonts w:cs="Arial"/>
          <w:color w:val="000000"/>
          <w:szCs w:val="16"/>
        </w:rPr>
        <w:t>; Beal</w:t>
      </w:r>
      <w:r>
        <w:rPr>
          <w:rFonts w:cs="Arial"/>
          <w:color w:val="000000"/>
          <w:szCs w:val="16"/>
        </w:rPr>
        <w:t xml:space="preserve"> et al.,</w:t>
      </w:r>
      <w:r w:rsidRPr="00CF65DA">
        <w:rPr>
          <w:rFonts w:cs="Arial"/>
          <w:color w:val="000000"/>
          <w:szCs w:val="16"/>
        </w:rPr>
        <w:t xml:space="preserve"> ‘The danger of free</w:t>
      </w:r>
      <w:r>
        <w:rPr>
          <w:rFonts w:cs="Arial"/>
          <w:color w:val="000000"/>
          <w:szCs w:val="16"/>
        </w:rPr>
        <w:t xml:space="preserve">ly </w:t>
      </w:r>
      <w:r w:rsidRPr="00CF65DA">
        <w:rPr>
          <w:rFonts w:cs="Arial"/>
          <w:color w:val="000000"/>
          <w:szCs w:val="16"/>
        </w:rPr>
        <w:t xml:space="preserve">rocking </w:t>
      </w:r>
      <w:r w:rsidRPr="00CF65DA">
        <w:rPr>
          <w:rFonts w:cs="Arial"/>
          <w:color w:val="000000"/>
          <w:szCs w:val="16"/>
        </w:rPr>
        <w:t>cradles’</w:t>
      </w:r>
      <w:r>
        <w:rPr>
          <w:rFonts w:cs="Arial"/>
          <w:color w:val="000000"/>
          <w:szCs w:val="16"/>
        </w:rPr>
        <w:t>.</w:t>
      </w:r>
    </w:p>
  </w:footnote>
  <w:footnote w:id="12">
    <w:p w14:paraId="071A6082" w14:textId="77777777" w:rsidR="00767472" w:rsidRDefault="00767472" w:rsidP="00767472">
      <w:pPr>
        <w:pStyle w:val="FootnoteText"/>
      </w:pPr>
      <w:r>
        <w:rPr>
          <w:rStyle w:val="FootnoteReference"/>
        </w:rPr>
        <w:footnoteRef/>
      </w:r>
      <w:r>
        <w:t xml:space="preserve"> </w:t>
      </w:r>
      <w:r>
        <w:tab/>
      </w:r>
      <w:r w:rsidRPr="00DA7640">
        <w:t>Unsafe Goods (Inclined Infant Sleep Products) Indefinite Prohibition Notice 2022</w:t>
      </w:r>
      <w:r>
        <w:t xml:space="preserve"> (New Zealand).</w:t>
      </w:r>
    </w:p>
  </w:footnote>
  <w:footnote w:id="13">
    <w:p w14:paraId="19F511A1" w14:textId="77777777" w:rsidR="00767472" w:rsidRPr="001D14E9" w:rsidRDefault="00767472" w:rsidP="00767472">
      <w:pPr>
        <w:pStyle w:val="FootnoteText"/>
        <w:rPr>
          <w:rFonts w:cs="Arial"/>
          <w:color w:val="000000"/>
          <w:sz w:val="15"/>
          <w:szCs w:val="15"/>
        </w:rPr>
      </w:pPr>
      <w:r w:rsidRPr="001D14E9">
        <w:rPr>
          <w:rStyle w:val="FootnoteReference"/>
          <w:rFonts w:cs="Arial"/>
          <w:szCs w:val="16"/>
        </w:rPr>
        <w:footnoteRef/>
      </w:r>
      <w:r w:rsidRPr="001D14E9">
        <w:rPr>
          <w:rFonts w:cs="Arial"/>
          <w:szCs w:val="16"/>
        </w:rPr>
        <w:t xml:space="preserve"> </w:t>
      </w:r>
      <w:r>
        <w:rPr>
          <w:rFonts w:cs="Arial"/>
          <w:szCs w:val="16"/>
        </w:rPr>
        <w:tab/>
      </w:r>
      <w:r w:rsidRPr="00097817">
        <w:rPr>
          <w:rFonts w:cs="Arial"/>
          <w:color w:val="000000"/>
          <w:szCs w:val="16"/>
        </w:rPr>
        <w:t xml:space="preserve">SA Government, </w:t>
      </w:r>
      <w:hyperlink r:id="rId9" w:history="1">
        <w:r w:rsidRPr="00097817">
          <w:rPr>
            <w:rStyle w:val="Hyperlink"/>
            <w:rFonts w:cs="Arial"/>
            <w:i/>
            <w:iCs/>
            <w:sz w:val="16"/>
            <w:szCs w:val="16"/>
          </w:rPr>
          <w:t>Safe infant sleeping standards</w:t>
        </w:r>
      </w:hyperlink>
      <w:r w:rsidRPr="00097817">
        <w:rPr>
          <w:rFonts w:cs="Arial"/>
          <w:color w:val="000000"/>
          <w:szCs w:val="16"/>
        </w:rPr>
        <w:t>, SA Health website, 2 April 2022, accessed 2 February 2022;  V</w:t>
      </w:r>
      <w:r>
        <w:rPr>
          <w:rFonts w:cs="Arial"/>
          <w:color w:val="000000"/>
          <w:szCs w:val="16"/>
        </w:rPr>
        <w:t>ic</w:t>
      </w:r>
      <w:r w:rsidRPr="00097817">
        <w:rPr>
          <w:rFonts w:cs="Arial"/>
          <w:color w:val="000000"/>
          <w:szCs w:val="16"/>
        </w:rPr>
        <w:t xml:space="preserve"> Government, </w:t>
      </w:r>
      <w:hyperlink r:id="rId10" w:history="1">
        <w:r w:rsidRPr="00097817">
          <w:rPr>
            <w:rStyle w:val="Hyperlink"/>
            <w:rFonts w:cs="Arial"/>
            <w:i/>
            <w:iCs/>
            <w:sz w:val="16"/>
            <w:szCs w:val="16"/>
          </w:rPr>
          <w:t>Safe sleeping of infants</w:t>
        </w:r>
      </w:hyperlink>
      <w:r w:rsidRPr="00097817">
        <w:rPr>
          <w:rFonts w:cs="Arial"/>
          <w:color w:val="000000"/>
          <w:szCs w:val="16"/>
        </w:rPr>
        <w:t>, V</w:t>
      </w:r>
      <w:r>
        <w:rPr>
          <w:rFonts w:cs="Arial"/>
          <w:color w:val="000000"/>
          <w:szCs w:val="16"/>
        </w:rPr>
        <w:t>ic</w:t>
      </w:r>
      <w:r w:rsidRPr="00097817">
        <w:rPr>
          <w:rFonts w:cs="Arial"/>
          <w:color w:val="000000"/>
          <w:szCs w:val="16"/>
        </w:rPr>
        <w:t xml:space="preserve"> Department of Health website, 19 February 2020, accessed 2 February 2022; WA Government, </w:t>
      </w:r>
      <w:hyperlink r:id="rId11" w:history="1">
        <w:r w:rsidRPr="00097817">
          <w:rPr>
            <w:rStyle w:val="Hyperlink"/>
            <w:rFonts w:cs="Arial"/>
            <w:i/>
            <w:iCs/>
            <w:sz w:val="16"/>
            <w:szCs w:val="16"/>
          </w:rPr>
          <w:t>Safe infant sleeping policy</w:t>
        </w:r>
      </w:hyperlink>
      <w:r w:rsidRPr="00097817">
        <w:rPr>
          <w:rFonts w:cs="Arial"/>
          <w:color w:val="0000FF"/>
          <w:szCs w:val="16"/>
        </w:rPr>
        <w:t xml:space="preserve">, </w:t>
      </w:r>
      <w:r w:rsidRPr="00814E7D">
        <w:rPr>
          <w:rFonts w:cs="Arial"/>
          <w:szCs w:val="16"/>
        </w:rPr>
        <w:t>WA Department of Health website, 18 April 2019, accessed 2 February 2022;</w:t>
      </w:r>
      <w:r w:rsidRPr="00097817">
        <w:rPr>
          <w:rFonts w:cs="Arial"/>
          <w:color w:val="0000FF"/>
          <w:szCs w:val="16"/>
        </w:rPr>
        <w:t xml:space="preserve"> </w:t>
      </w:r>
      <w:r w:rsidRPr="00097817">
        <w:rPr>
          <w:rFonts w:cs="Arial"/>
          <w:color w:val="000000"/>
          <w:szCs w:val="16"/>
        </w:rPr>
        <w:t>Q</w:t>
      </w:r>
      <w:r>
        <w:rPr>
          <w:rFonts w:cs="Arial"/>
          <w:color w:val="000000"/>
          <w:szCs w:val="16"/>
        </w:rPr>
        <w:t>ld</w:t>
      </w:r>
      <w:r w:rsidRPr="00097817">
        <w:rPr>
          <w:rFonts w:cs="Arial"/>
          <w:color w:val="000000"/>
          <w:szCs w:val="16"/>
        </w:rPr>
        <w:t xml:space="preserve"> Government, </w:t>
      </w:r>
      <w:hyperlink r:id="rId12" w:history="1">
        <w:r w:rsidRPr="00097817">
          <w:rPr>
            <w:rStyle w:val="Hyperlink"/>
            <w:rFonts w:cs="Arial"/>
            <w:i/>
            <w:iCs/>
            <w:sz w:val="16"/>
            <w:szCs w:val="16"/>
          </w:rPr>
          <w:t>Safe infant sleeping, co-sleeping and bedsharing – guideline (document number QH-GDL-362:2013</w:t>
        </w:r>
      </w:hyperlink>
      <w:r w:rsidRPr="00097817">
        <w:rPr>
          <w:rFonts w:cs="Arial"/>
          <w:i/>
          <w:iCs/>
          <w:color w:val="0000FF"/>
          <w:szCs w:val="16"/>
        </w:rPr>
        <w:t>)</w:t>
      </w:r>
      <w:r w:rsidRPr="00097817">
        <w:rPr>
          <w:rFonts w:cs="Arial"/>
          <w:color w:val="000000"/>
          <w:szCs w:val="16"/>
        </w:rPr>
        <w:t>, Q</w:t>
      </w:r>
      <w:r>
        <w:rPr>
          <w:rFonts w:cs="Arial"/>
          <w:color w:val="000000"/>
          <w:szCs w:val="16"/>
        </w:rPr>
        <w:t>ld</w:t>
      </w:r>
      <w:r w:rsidRPr="00097817">
        <w:rPr>
          <w:rFonts w:cs="Arial"/>
          <w:color w:val="000000"/>
          <w:szCs w:val="16"/>
        </w:rPr>
        <w:t xml:space="preserve"> Department of Health website, 1 July 2013, accessed 2 February 2022; ACT Government,  </w:t>
      </w:r>
      <w:hyperlink r:id="rId13" w:anchor=":~:text=Sleeping%20neonate%2Finfant%20with%20head,to%20twelve%20months%20of%20life" w:history="1">
        <w:r w:rsidRPr="00097817">
          <w:rPr>
            <w:rStyle w:val="Hyperlink"/>
            <w:rFonts w:cs="Arial"/>
            <w:i/>
            <w:iCs/>
            <w:sz w:val="16"/>
            <w:szCs w:val="16"/>
          </w:rPr>
          <w:t>Safe Sleeping Guidelines – Neonates and Infants (CHHS17/197)</w:t>
        </w:r>
        <w:r w:rsidRPr="00097817">
          <w:rPr>
            <w:rStyle w:val="Hyperlink"/>
            <w:rFonts w:cs="Arial"/>
            <w:sz w:val="16"/>
            <w:szCs w:val="16"/>
          </w:rPr>
          <w:t>,</w:t>
        </w:r>
      </w:hyperlink>
      <w:r w:rsidRPr="00097817">
        <w:rPr>
          <w:rFonts w:cs="Arial"/>
          <w:color w:val="000000"/>
          <w:szCs w:val="16"/>
        </w:rPr>
        <w:t xml:space="preserve"> ACT Health website, 10 August 2017, accessed 2 February 2022.</w:t>
      </w:r>
    </w:p>
  </w:footnote>
  <w:footnote w:id="14">
    <w:p w14:paraId="69B1FC04" w14:textId="77777777" w:rsidR="00767472" w:rsidRPr="00CF65DA" w:rsidRDefault="00767472" w:rsidP="00767472">
      <w:pPr>
        <w:pStyle w:val="FootnoteText"/>
        <w:rPr>
          <w:rFonts w:cs="Arial"/>
          <w:b/>
          <w:bCs/>
        </w:rPr>
      </w:pPr>
      <w:r w:rsidRPr="001D14E9">
        <w:rPr>
          <w:rStyle w:val="FootnoteReference"/>
          <w:rFonts w:cs="Arial"/>
        </w:rPr>
        <w:footnoteRef/>
      </w:r>
      <w:r w:rsidRPr="001D14E9">
        <w:rPr>
          <w:rFonts w:cs="Arial"/>
        </w:rPr>
        <w:t xml:space="preserve"> </w:t>
      </w:r>
      <w:r>
        <w:rPr>
          <w:rFonts w:cs="Arial"/>
        </w:rPr>
        <w:tab/>
      </w:r>
      <w:r w:rsidRPr="00097817">
        <w:rPr>
          <w:rFonts w:cs="Arial"/>
        </w:rPr>
        <w:t xml:space="preserve">SIDS and Kids SA, </w:t>
      </w:r>
      <w:hyperlink r:id="rId14" w:history="1">
        <w:r w:rsidRPr="00097817">
          <w:rPr>
            <w:rStyle w:val="Hyperlink"/>
            <w:rFonts w:cs="Arial"/>
            <w:i/>
            <w:iCs/>
            <w:sz w:val="16"/>
          </w:rPr>
          <w:t>About SIDS and Kids SA</w:t>
        </w:r>
      </w:hyperlink>
      <w:r w:rsidRPr="00097817">
        <w:rPr>
          <w:rFonts w:cs="Arial"/>
        </w:rPr>
        <w:t>, SIDS and Kids SA website, n.d., accessed 2 February 2022.</w:t>
      </w:r>
    </w:p>
  </w:footnote>
  <w:footnote w:id="15">
    <w:p w14:paraId="6C1E1DEF" w14:textId="77777777" w:rsidR="00767472" w:rsidRPr="00A11534" w:rsidRDefault="00767472" w:rsidP="00767472">
      <w:pPr>
        <w:pStyle w:val="FootnoteText"/>
        <w:rPr>
          <w:rFonts w:cs="Arial"/>
        </w:rPr>
      </w:pPr>
      <w:r w:rsidRPr="008A64C2">
        <w:rPr>
          <w:rStyle w:val="FootnoteReference"/>
          <w:rFonts w:cs="Arial"/>
        </w:rPr>
        <w:footnoteRef/>
      </w:r>
      <w:r w:rsidRPr="008A64C2">
        <w:rPr>
          <w:rFonts w:cs="Arial"/>
        </w:rPr>
        <w:t xml:space="preserve"> </w:t>
      </w:r>
      <w:r>
        <w:rPr>
          <w:rFonts w:cs="Arial"/>
        </w:rPr>
        <w:tab/>
      </w:r>
      <w:r w:rsidRPr="00A11534">
        <w:rPr>
          <w:rFonts w:cs="Arial"/>
        </w:rPr>
        <w:t xml:space="preserve">Red Nose, </w:t>
      </w:r>
      <w:hyperlink r:id="rId15" w:history="1">
        <w:r w:rsidRPr="008C2DC5">
          <w:rPr>
            <w:rStyle w:val="Hyperlink"/>
            <w:i/>
            <w:iCs/>
            <w:sz w:val="16"/>
          </w:rPr>
          <w:t>Why should you sleep your baby on their back?,</w:t>
        </w:r>
      </w:hyperlink>
      <w:r w:rsidRPr="00A11534">
        <w:rPr>
          <w:rFonts w:cs="Arial"/>
        </w:rPr>
        <w:t xml:space="preserve"> Red Nose website,</w:t>
      </w:r>
      <w:r>
        <w:rPr>
          <w:rFonts w:cs="Arial"/>
        </w:rPr>
        <w:t xml:space="preserve"> 22 February 2022</w:t>
      </w:r>
      <w:r w:rsidRPr="00A11534">
        <w:rPr>
          <w:rFonts w:cs="Arial"/>
        </w:rPr>
        <w:t xml:space="preserve">, </w:t>
      </w:r>
      <w:r>
        <w:rPr>
          <w:rFonts w:cs="Arial"/>
        </w:rPr>
        <w:t xml:space="preserve">initially </w:t>
      </w:r>
      <w:r w:rsidRPr="00A11534">
        <w:rPr>
          <w:rFonts w:cs="Arial"/>
        </w:rPr>
        <w:t>accessed 2 February 2022.</w:t>
      </w:r>
    </w:p>
  </w:footnote>
  <w:footnote w:id="16">
    <w:p w14:paraId="5A6F5D06" w14:textId="77777777" w:rsidR="00767472" w:rsidRPr="00A11534" w:rsidRDefault="00767472" w:rsidP="00767472">
      <w:pPr>
        <w:pStyle w:val="FootnoteText"/>
        <w:rPr>
          <w:rFonts w:cs="Arial"/>
        </w:rPr>
      </w:pPr>
      <w:r w:rsidRPr="00A11534">
        <w:rPr>
          <w:rStyle w:val="FootnoteReference"/>
          <w:rFonts w:cs="Arial"/>
        </w:rPr>
        <w:footnoteRef/>
      </w:r>
      <w:r w:rsidRPr="00A11534">
        <w:rPr>
          <w:rFonts w:cs="Arial"/>
        </w:rPr>
        <w:t xml:space="preserve"> </w:t>
      </w:r>
      <w:r>
        <w:rPr>
          <w:rFonts w:cs="Arial"/>
        </w:rPr>
        <w:tab/>
      </w:r>
      <w:r w:rsidRPr="00A11534">
        <w:rPr>
          <w:rFonts w:cs="Arial"/>
        </w:rPr>
        <w:t>In the United Kingdom, the Lullaby Trust provides similar advice on the best sleeping position for infants</w:t>
      </w:r>
      <w:r>
        <w:rPr>
          <w:rFonts w:cs="Arial"/>
        </w:rPr>
        <w:t xml:space="preserve">; The </w:t>
      </w:r>
      <w:r w:rsidRPr="00A11534">
        <w:rPr>
          <w:rFonts w:cs="Arial"/>
        </w:rPr>
        <w:t>Lullaby Trust</w:t>
      </w:r>
      <w:r>
        <w:rPr>
          <w:rFonts w:cs="Arial"/>
        </w:rPr>
        <w:t xml:space="preserve">, </w:t>
      </w:r>
      <w:r w:rsidRPr="00A11534">
        <w:rPr>
          <w:rFonts w:cs="Arial"/>
        </w:rPr>
        <w:t xml:space="preserve"> </w:t>
      </w:r>
      <w:hyperlink r:id="rId16" w:history="1">
        <w:r w:rsidRPr="008C2DC5">
          <w:rPr>
            <w:rStyle w:val="Hyperlink"/>
            <w:i/>
            <w:iCs/>
            <w:sz w:val="16"/>
          </w:rPr>
          <w:t>The best sleeping position for your baby</w:t>
        </w:r>
      </w:hyperlink>
      <w:r>
        <w:rPr>
          <w:rFonts w:cs="Arial"/>
        </w:rPr>
        <w:t>, The Lullaby Trust website, n.d., accessed 2 February 2022.</w:t>
      </w:r>
    </w:p>
  </w:footnote>
  <w:footnote w:id="17">
    <w:p w14:paraId="7D508B1D" w14:textId="77777777" w:rsidR="00767472" w:rsidRDefault="00767472" w:rsidP="00767472">
      <w:pPr>
        <w:pStyle w:val="FootnoteText"/>
      </w:pPr>
      <w:r>
        <w:rPr>
          <w:rStyle w:val="FootnoteReference"/>
        </w:rPr>
        <w:footnoteRef/>
      </w:r>
      <w:r>
        <w:t xml:space="preserve"> </w:t>
      </w:r>
      <w:r>
        <w:tab/>
        <w:t xml:space="preserve">ACCC Product Safety, </w:t>
      </w:r>
      <w:hyperlink r:id="rId17" w:history="1">
        <w:r w:rsidRPr="0013307C">
          <w:rPr>
            <w:rStyle w:val="Hyperlink"/>
            <w:i/>
            <w:iCs/>
            <w:sz w:val="16"/>
          </w:rPr>
          <w:t>Your First Steps website</w:t>
        </w:r>
      </w:hyperlink>
      <w:r>
        <w:t xml:space="preserve">, 14 February 2022. </w:t>
      </w:r>
    </w:p>
  </w:footnote>
  <w:footnote w:id="18">
    <w:p w14:paraId="15F5D2DF" w14:textId="77777777" w:rsidR="00767472" w:rsidRDefault="00767472" w:rsidP="00767472">
      <w:pPr>
        <w:pStyle w:val="FootnoteText"/>
      </w:pPr>
      <w:r>
        <w:rPr>
          <w:rStyle w:val="FootnoteReference"/>
        </w:rPr>
        <w:footnoteRef/>
      </w:r>
      <w:r>
        <w:t xml:space="preserve"> </w:t>
      </w:r>
      <w:r>
        <w:tab/>
        <w:t xml:space="preserve">Section 104 of the ACL enables the Commonwealth Minister to make a mandatory safety standard imposing certain requirements that ‘are reasonably necessary to prevent or reduce risk of injury to any person’. A mandatory safety standard may include requirements for the composition, contents, method of manufacture, design, construction, contents, finish, </w:t>
      </w:r>
      <w:r>
        <w:t>performance or packaging of consumer goods.</w:t>
      </w:r>
    </w:p>
  </w:footnote>
  <w:footnote w:id="19">
    <w:p w14:paraId="12A767E4" w14:textId="77777777" w:rsidR="00767472" w:rsidRDefault="00767472" w:rsidP="00767472">
      <w:pPr>
        <w:pStyle w:val="FootnoteText"/>
      </w:pPr>
      <w:r>
        <w:rPr>
          <w:rStyle w:val="FootnoteReference"/>
        </w:rPr>
        <w:footnoteRef/>
      </w:r>
      <w:r>
        <w:t xml:space="preserve"> </w:t>
      </w:r>
      <w:r>
        <w:tab/>
      </w:r>
      <w:r w:rsidRPr="0079298C">
        <w:t>Section 134 of the ACL gives the Commonwealth Minister the power to make mandatory information standards to ensure that consumers are provided with important information about a product to assist them in making a purchasing decision. Information standards may specify required information to be supplied and may set out the required form of such information to be supplied. In some instances, an information standard may be used in addition to a safety standard.</w:t>
      </w:r>
    </w:p>
  </w:footnote>
  <w:footnote w:id="20">
    <w:p w14:paraId="3B49561E" w14:textId="77777777" w:rsidR="00767472" w:rsidRDefault="00767472" w:rsidP="00767472">
      <w:pPr>
        <w:pStyle w:val="FootnoteText"/>
      </w:pPr>
      <w:r>
        <w:rPr>
          <w:rStyle w:val="FootnoteReference"/>
        </w:rPr>
        <w:footnoteRef/>
      </w:r>
      <w:r>
        <w:t xml:space="preserve"> </w:t>
      </w:r>
      <w:r>
        <w:tab/>
        <w:t>Section 109 of the ACL gives the Commonwealth Minister the power to impose an interim ban on consumer goods of a particular kind if it appears that consumer goods of that kind will or may cause injury to a person or a reasonably foreseeable use or misuse of the product will or may cause injury</w:t>
      </w:r>
      <w:r w:rsidRPr="00EE066B">
        <w:t>.</w:t>
      </w:r>
      <w:r>
        <w:t xml:space="preserve"> Section 114 of the ACL gives the Commonwealth Minister the power to impose a permanent ban by written notice published on the internet if it appears that consumer goods of that kind will or may cause injury to a person or a reasonably foreseeable use or misuse of the product will or may cause injury.</w:t>
      </w:r>
    </w:p>
  </w:footnote>
  <w:footnote w:id="21">
    <w:p w14:paraId="077990E6" w14:textId="44899ED9" w:rsidR="00767472" w:rsidRPr="00003BB6" w:rsidRDefault="00767472" w:rsidP="00767472">
      <w:pPr>
        <w:pStyle w:val="FootnoteText"/>
      </w:pPr>
      <w:r w:rsidRPr="00003BB6">
        <w:rPr>
          <w:rStyle w:val="FootnoteReference"/>
        </w:rPr>
        <w:footnoteRef/>
      </w:r>
      <w:r w:rsidRPr="00003BB6">
        <w:t xml:space="preserve"> </w:t>
      </w:r>
      <w:r>
        <w:tab/>
      </w:r>
      <w:r w:rsidRPr="003E3CF7">
        <w:rPr>
          <w:bCs/>
        </w:rPr>
        <w:t xml:space="preserve">ASTM International, </w:t>
      </w:r>
      <w:r>
        <w:rPr>
          <w:bCs/>
        </w:rPr>
        <w:t>‘</w:t>
      </w:r>
      <w:r w:rsidR="00E031A7" w:rsidRPr="00B43520">
        <w:t>Standard Consumer Safety Specification for Infant Bouncer Seats (ASTM F2167-19</w:t>
      </w:r>
      <w:r w:rsidRPr="00B43520">
        <w:rPr>
          <w:rStyle w:val="Hyperlink"/>
          <w:bCs/>
          <w:i/>
          <w:iCs/>
          <w:color w:val="auto"/>
          <w:sz w:val="16"/>
          <w:u w:val="none"/>
        </w:rPr>
        <w:t>)’</w:t>
      </w:r>
      <w:r w:rsidRPr="003E3CF7">
        <w:rPr>
          <w:bCs/>
        </w:rPr>
        <w:t>,</w:t>
      </w:r>
      <w:r>
        <w:rPr>
          <w:bCs/>
        </w:rPr>
        <w:t xml:space="preserve"> 2022</w:t>
      </w:r>
      <w:r w:rsidRPr="00F43258">
        <w:rPr>
          <w:bCs/>
        </w:rPr>
        <w:t>.</w:t>
      </w:r>
      <w:r>
        <w:rPr>
          <w:bCs/>
        </w:rPr>
        <w:t xml:space="preserve"> </w:t>
      </w:r>
    </w:p>
  </w:footnote>
  <w:footnote w:id="22">
    <w:p w14:paraId="5DB86C6B" w14:textId="77777777" w:rsidR="00767472" w:rsidRDefault="00767472" w:rsidP="00767472">
      <w:pPr>
        <w:pStyle w:val="FootnoteText"/>
      </w:pPr>
      <w:r w:rsidRPr="00003BB6">
        <w:rPr>
          <w:rStyle w:val="FootnoteReference"/>
        </w:rPr>
        <w:footnoteRef/>
      </w:r>
      <w:r w:rsidRPr="00003BB6">
        <w:t xml:space="preserve"> </w:t>
      </w:r>
      <w:r>
        <w:tab/>
      </w:r>
      <w:r w:rsidRPr="00003BB6">
        <w:rPr>
          <w:bCs/>
        </w:rPr>
        <w:t xml:space="preserve">NSAI Standards, </w:t>
      </w:r>
      <w:r>
        <w:rPr>
          <w:bCs/>
        </w:rPr>
        <w:t>‘</w:t>
      </w:r>
      <w:r w:rsidRPr="00F90AAF">
        <w:rPr>
          <w:bCs/>
          <w:i/>
          <w:iCs/>
        </w:rPr>
        <w:t>Child use and care articles – Reclined cradles (IS EN 12790:2009</w:t>
      </w:r>
      <w:r>
        <w:rPr>
          <w:bCs/>
        </w:rPr>
        <w:t>)’</w:t>
      </w:r>
      <w:r w:rsidRPr="00003BB6">
        <w:rPr>
          <w:bCs/>
        </w:rPr>
        <w:t>, 2009.</w:t>
      </w:r>
    </w:p>
  </w:footnote>
  <w:footnote w:id="23">
    <w:p w14:paraId="07242CCD" w14:textId="6BD35CA9" w:rsidR="00767472" w:rsidRDefault="00767472" w:rsidP="00767472">
      <w:pPr>
        <w:pStyle w:val="FootnoteText"/>
      </w:pPr>
      <w:r w:rsidRPr="00C13DA9">
        <w:rPr>
          <w:rStyle w:val="FootnoteReference"/>
        </w:rPr>
        <w:footnoteRef/>
      </w:r>
      <w:r w:rsidRPr="00C13DA9">
        <w:t xml:space="preserve"> </w:t>
      </w:r>
      <w:r>
        <w:tab/>
      </w:r>
      <w:r w:rsidRPr="00F43258">
        <w:t>Australian Government,</w:t>
      </w:r>
      <w:r>
        <w:t xml:space="preserve"> </w:t>
      </w:r>
      <w:hyperlink r:id="rId18" w:history="1">
        <w:r w:rsidR="00E031A7">
          <w:rPr>
            <w:rStyle w:val="Hyperlink"/>
            <w:i/>
            <w:iCs/>
            <w:sz w:val="16"/>
          </w:rPr>
          <w:t>Best Practice Regulation Guidance Note 'Value of statistical life'</w:t>
        </w:r>
      </w:hyperlink>
      <w:r w:rsidRPr="003E3CF7">
        <w:t xml:space="preserve">, </w:t>
      </w:r>
      <w:r w:rsidRPr="00984DB9">
        <w:t>The Office of Impact Analysis</w:t>
      </w:r>
      <w:r w:rsidRPr="00F43258">
        <w:t xml:space="preserve"> website,</w:t>
      </w:r>
      <w:r w:rsidRPr="00F43258" w:rsidDel="00B84C33">
        <w:t xml:space="preserve"> </w:t>
      </w:r>
      <w:r>
        <w:t>August</w:t>
      </w:r>
      <w:r w:rsidRPr="00F43258">
        <w:t xml:space="preserve"> 202</w:t>
      </w:r>
      <w:r>
        <w:t>2</w:t>
      </w:r>
      <w:r w:rsidRPr="00F43258">
        <w:t xml:space="preserve">, accessed </w:t>
      </w:r>
      <w:r>
        <w:t>13 April 2023</w:t>
      </w:r>
      <w:r w:rsidRPr="00F43258">
        <w:t xml:space="preserve">. </w:t>
      </w:r>
    </w:p>
  </w:footnote>
  <w:footnote w:id="24">
    <w:p w14:paraId="11D7657B" w14:textId="08ED6C39" w:rsidR="00767472" w:rsidRDefault="00767472" w:rsidP="00767472">
      <w:pPr>
        <w:pStyle w:val="FootnoteText"/>
      </w:pPr>
      <w:r>
        <w:rPr>
          <w:rStyle w:val="FootnoteReference"/>
        </w:rPr>
        <w:footnoteRef/>
      </w:r>
      <w:r>
        <w:t xml:space="preserve"> </w:t>
      </w:r>
      <w:r>
        <w:tab/>
        <w:t>A</w:t>
      </w:r>
      <w:r w:rsidR="000F62D1">
        <w:t>BS</w:t>
      </w:r>
      <w:r>
        <w:t xml:space="preserve">, </w:t>
      </w:r>
      <w:hyperlink r:id="rId19" w:history="1">
        <w:r w:rsidRPr="00C47FAE">
          <w:rPr>
            <w:rStyle w:val="Hyperlink"/>
            <w:i/>
            <w:iCs/>
            <w:sz w:val="16"/>
          </w:rPr>
          <w:t>Data explorer</w:t>
        </w:r>
      </w:hyperlink>
      <w:r>
        <w:t>, ABS website, accessed 19 April 2023.</w:t>
      </w:r>
    </w:p>
  </w:footnote>
  <w:footnote w:id="25">
    <w:p w14:paraId="0F5CCB38" w14:textId="77777777" w:rsidR="00767472" w:rsidRPr="00A11534" w:rsidRDefault="00767472" w:rsidP="00767472">
      <w:pPr>
        <w:pStyle w:val="FootnoteText"/>
        <w:rPr>
          <w:highlight w:val="green"/>
        </w:rPr>
      </w:pPr>
      <w:r w:rsidRPr="00A11534">
        <w:rPr>
          <w:rStyle w:val="FootnoteReference"/>
        </w:rPr>
        <w:footnoteRef/>
      </w:r>
      <w:r w:rsidRPr="00A11534">
        <w:t xml:space="preserve"> </w:t>
      </w:r>
      <w:r>
        <w:tab/>
      </w:r>
      <w:r w:rsidRPr="00097817">
        <w:t xml:space="preserve">JR Duncan, RW Byard and editors, </w:t>
      </w:r>
      <w:r w:rsidRPr="00097817">
        <w:rPr>
          <w:i/>
          <w:iCs/>
        </w:rPr>
        <w:t xml:space="preserve">SIDS </w:t>
      </w:r>
      <w:r>
        <w:rPr>
          <w:i/>
          <w:iCs/>
        </w:rPr>
        <w:t>S</w:t>
      </w:r>
      <w:r w:rsidRPr="00097817">
        <w:rPr>
          <w:i/>
          <w:iCs/>
        </w:rPr>
        <w:t>udden Infant and Early Childhood Death: The past, the present and the future</w:t>
      </w:r>
      <w:r w:rsidRPr="00097817">
        <w:t>, University of Adelaide Press, Adelaide, 2018.</w:t>
      </w:r>
    </w:p>
  </w:footnote>
  <w:footnote w:id="26">
    <w:p w14:paraId="75ECEB46" w14:textId="77777777" w:rsidR="00767472" w:rsidRPr="00003BB6" w:rsidRDefault="00767472" w:rsidP="00767472">
      <w:pPr>
        <w:pStyle w:val="FootnoteText"/>
        <w:rPr>
          <w:rFonts w:cs="Arial"/>
        </w:rPr>
      </w:pPr>
      <w:r w:rsidRPr="00003BB6">
        <w:rPr>
          <w:rStyle w:val="FootnoteReference"/>
          <w:rFonts w:cs="Arial"/>
        </w:rPr>
        <w:footnoteRef/>
      </w:r>
      <w:r w:rsidRPr="00003BB6">
        <w:rPr>
          <w:rFonts w:cs="Arial"/>
        </w:rPr>
        <w:t xml:space="preserve"> </w:t>
      </w:r>
      <w:r>
        <w:rPr>
          <w:rFonts w:cs="Arial"/>
        </w:rPr>
        <w:tab/>
      </w:r>
      <w:r w:rsidRPr="003E3CF7">
        <w:rPr>
          <w:rFonts w:cs="Arial"/>
        </w:rPr>
        <w:t xml:space="preserve">Australian Toy Association, </w:t>
      </w:r>
      <w:hyperlink r:id="rId20" w:history="1">
        <w:r w:rsidRPr="00F43258">
          <w:rPr>
            <w:rStyle w:val="Hyperlink"/>
            <w:rFonts w:cs="Arial"/>
            <w:i/>
            <w:iCs/>
            <w:sz w:val="16"/>
          </w:rPr>
          <w:t>Australian Toy Association Submission (</w:t>
        </w:r>
        <w:r w:rsidRPr="003E3CF7">
          <w:rPr>
            <w:rStyle w:val="Hyperlink"/>
            <w:rFonts w:cs="Arial"/>
            <w:i/>
            <w:iCs/>
            <w:sz w:val="16"/>
          </w:rPr>
          <w:t xml:space="preserve">response </w:t>
        </w:r>
        <w:r w:rsidRPr="00F43258">
          <w:rPr>
            <w:rStyle w:val="Hyperlink"/>
            <w:rFonts w:cs="Arial"/>
            <w:i/>
            <w:iCs/>
            <w:sz w:val="16"/>
          </w:rPr>
          <w:t>to ACCC Infant Inclined Products Issues Paper)</w:t>
        </w:r>
      </w:hyperlink>
      <w:r w:rsidRPr="003E3CF7">
        <w:rPr>
          <w:rFonts w:cs="Arial"/>
        </w:rPr>
        <w:t xml:space="preserve">, </w:t>
      </w:r>
      <w:r w:rsidRPr="00F43258">
        <w:rPr>
          <w:rFonts w:cs="Arial"/>
        </w:rPr>
        <w:t xml:space="preserve"> ACCC consultation hub website, n.d., accessed 17 February 2021, p </w:t>
      </w:r>
      <w:r w:rsidRPr="003E3CF7">
        <w:rPr>
          <w:rFonts w:cs="Arial"/>
        </w:rPr>
        <w:t>1.</w:t>
      </w:r>
      <w:r w:rsidRPr="00003BB6">
        <w:rPr>
          <w:rFonts w:cs="Arial"/>
        </w:rPr>
        <w:t xml:space="preserve"> </w:t>
      </w:r>
    </w:p>
  </w:footnote>
  <w:footnote w:id="27">
    <w:p w14:paraId="1D0AC4A8" w14:textId="14862438" w:rsidR="00767472" w:rsidRDefault="00767472" w:rsidP="00767472">
      <w:pPr>
        <w:pStyle w:val="FootnoteText"/>
      </w:pPr>
      <w:r>
        <w:rPr>
          <w:rStyle w:val="FootnoteReference"/>
        </w:rPr>
        <w:footnoteRef/>
      </w:r>
      <w:r>
        <w:t xml:space="preserve"> </w:t>
      </w:r>
      <w:r>
        <w:tab/>
        <w:t>A</w:t>
      </w:r>
      <w:r w:rsidR="000F62D1">
        <w:t>BS</w:t>
      </w:r>
      <w:r>
        <w:t xml:space="preserve">, </w:t>
      </w:r>
      <w:hyperlink r:id="rId21" w:history="1">
        <w:r w:rsidRPr="0070419B">
          <w:rPr>
            <w:rStyle w:val="Hyperlink"/>
            <w:i/>
            <w:iCs/>
            <w:sz w:val="16"/>
          </w:rPr>
          <w:t>Data explorer Population Projections Australia</w:t>
        </w:r>
      </w:hyperlink>
      <w:r>
        <w:t>, ABS website, accessed 19 April 2023.</w:t>
      </w:r>
    </w:p>
  </w:footnote>
  <w:footnote w:id="28">
    <w:p w14:paraId="41272DFC" w14:textId="77777777" w:rsidR="00767472" w:rsidRDefault="00767472" w:rsidP="00767472">
      <w:pPr>
        <w:pStyle w:val="FootnoteText"/>
      </w:pPr>
      <w:r>
        <w:rPr>
          <w:rStyle w:val="FootnoteReference"/>
        </w:rPr>
        <w:footnoteRef/>
      </w:r>
      <w:r>
        <w:t xml:space="preserve"> </w:t>
      </w:r>
      <w:r>
        <w:tab/>
      </w:r>
      <w:r w:rsidRPr="00B31FB7">
        <w:t>The estimated cost is calculated based on an assumed number of products sold and various product lines sold per year.</w:t>
      </w:r>
      <w:r>
        <w:t xml:space="preserve"> </w:t>
      </w:r>
    </w:p>
  </w:footnote>
  <w:footnote w:id="29">
    <w:p w14:paraId="171BE4EE" w14:textId="77777777" w:rsidR="00767472" w:rsidRDefault="00767472" w:rsidP="00767472">
      <w:pPr>
        <w:pStyle w:val="FootnoteText"/>
      </w:pPr>
      <w:r>
        <w:rPr>
          <w:rStyle w:val="FootnoteReference"/>
        </w:rPr>
        <w:footnoteRef/>
      </w:r>
      <w:r>
        <w:t xml:space="preserve"> </w:t>
      </w:r>
      <w:r>
        <w:tab/>
        <w:t xml:space="preserve">The ‘Final Net Cost’ adds the estimated yearly cost of a mandatory information standard and the remaining costs of fatalities (based on the VSL). The ‘Accumulative cost over 5 years’ adds the cost of regulation plus the cost of estimated fatalities based on the VSL.  </w:t>
      </w:r>
    </w:p>
  </w:footnote>
  <w:footnote w:id="30">
    <w:p w14:paraId="242A43C6" w14:textId="77777777" w:rsidR="00767472" w:rsidRDefault="00767472" w:rsidP="00767472">
      <w:pPr>
        <w:pStyle w:val="FootnoteText"/>
      </w:pPr>
      <w:r>
        <w:rPr>
          <w:rStyle w:val="FootnoteReference"/>
        </w:rPr>
        <w:footnoteRef/>
      </w:r>
      <w:r>
        <w:t xml:space="preserve"> </w:t>
      </w:r>
      <w:r>
        <w:tab/>
      </w:r>
      <w:r w:rsidRPr="00B31FB7">
        <w:t>The estimated cost is calculated based on an assumed number of products sold and various product lines sold per year.</w:t>
      </w:r>
      <w:r>
        <w:t xml:space="preserve"> </w:t>
      </w:r>
    </w:p>
  </w:footnote>
  <w:footnote w:id="31">
    <w:p w14:paraId="0476B715" w14:textId="77777777" w:rsidR="00767472" w:rsidRDefault="00767472" w:rsidP="00767472">
      <w:pPr>
        <w:pStyle w:val="FootnoteText"/>
      </w:pPr>
      <w:r w:rsidRPr="00B31FB7">
        <w:rPr>
          <w:rStyle w:val="FootnoteReference"/>
        </w:rPr>
        <w:footnoteRef/>
      </w:r>
      <w:r w:rsidRPr="00B31FB7">
        <w:t xml:space="preserve"> </w:t>
      </w:r>
      <w:r w:rsidRPr="00B31FB7">
        <w:tab/>
        <w:t xml:space="preserve">The ‘Final </w:t>
      </w:r>
      <w:r>
        <w:t xml:space="preserve">Net </w:t>
      </w:r>
      <w:r w:rsidRPr="00B31FB7">
        <w:t>Cost’ adds the estimated yearly cost of a mandatory information standard and the remaining costs of fatalities (based on the VSL).</w:t>
      </w:r>
      <w:r>
        <w:t xml:space="preserve">  </w:t>
      </w:r>
    </w:p>
  </w:footnote>
  <w:footnote w:id="32">
    <w:p w14:paraId="595A644A" w14:textId="77777777" w:rsidR="00767472" w:rsidRDefault="00767472" w:rsidP="00767472">
      <w:pPr>
        <w:pStyle w:val="FootnoteText"/>
      </w:pPr>
      <w:r>
        <w:rPr>
          <w:rStyle w:val="FootnoteReference"/>
        </w:rPr>
        <w:footnoteRef/>
      </w:r>
      <w:r>
        <w:t xml:space="preserve"> ABS, </w:t>
      </w:r>
      <w:hyperlink r:id="rId22" w:history="1">
        <w:r w:rsidRPr="001C42D6">
          <w:rPr>
            <w:rStyle w:val="Hyperlink"/>
            <w:i/>
            <w:iCs/>
            <w:sz w:val="16"/>
          </w:rPr>
          <w:t>Population</w:t>
        </w:r>
        <w:r w:rsidRPr="0048357E">
          <w:rPr>
            <w:rStyle w:val="Hyperlink"/>
            <w:sz w:val="16"/>
          </w:rPr>
          <w:t xml:space="preserve"> </w:t>
        </w:r>
        <w:r w:rsidRPr="0048357E">
          <w:rPr>
            <w:rStyle w:val="Hyperlink"/>
            <w:i/>
            <w:iCs/>
            <w:sz w:val="16"/>
          </w:rPr>
          <w:t>data explorer</w:t>
        </w:r>
      </w:hyperlink>
      <w:r>
        <w:rPr>
          <w:i/>
          <w:iCs/>
        </w:rPr>
        <w:t xml:space="preserve">, </w:t>
      </w:r>
      <w:r w:rsidRPr="001C42D6">
        <w:t>ABS website</w:t>
      </w:r>
      <w:r>
        <w:rPr>
          <w:i/>
          <w:iCs/>
        </w:rPr>
        <w:t xml:space="preserve">, </w:t>
      </w:r>
      <w:r>
        <w:t xml:space="preserve">accessed 2 June 2022; ABS, </w:t>
      </w:r>
      <w:hyperlink r:id="rId23" w:history="1">
        <w:r>
          <w:rPr>
            <w:rStyle w:val="Hyperlink"/>
            <w:i/>
            <w:iCs/>
            <w:sz w:val="16"/>
          </w:rPr>
          <w:t>Infant p</w:t>
        </w:r>
        <w:r w:rsidRPr="00982099">
          <w:rPr>
            <w:rStyle w:val="Hyperlink"/>
            <w:i/>
            <w:iCs/>
            <w:sz w:val="16"/>
          </w:rPr>
          <w:t>opulation</w:t>
        </w:r>
        <w:r w:rsidRPr="0048357E">
          <w:rPr>
            <w:rStyle w:val="Hyperlink"/>
            <w:sz w:val="16"/>
          </w:rPr>
          <w:t xml:space="preserve"> </w:t>
        </w:r>
        <w:r w:rsidRPr="0048357E">
          <w:rPr>
            <w:rStyle w:val="Hyperlink"/>
            <w:i/>
            <w:iCs/>
            <w:sz w:val="16"/>
          </w:rPr>
          <w:t>data explorer</w:t>
        </w:r>
      </w:hyperlink>
      <w:r>
        <w:rPr>
          <w:i/>
          <w:iCs/>
        </w:rPr>
        <w:t xml:space="preserve">, </w:t>
      </w:r>
      <w:r w:rsidRPr="00982099">
        <w:t>ABS website</w:t>
      </w:r>
      <w:r>
        <w:rPr>
          <w:i/>
          <w:iCs/>
        </w:rPr>
        <w:t xml:space="preserve">, </w:t>
      </w:r>
      <w:r>
        <w:t xml:space="preserve">accessed 2 June 2022; ABS, </w:t>
      </w:r>
      <w:hyperlink r:id="rId24" w:history="1">
        <w:r>
          <w:rPr>
            <w:rStyle w:val="Hyperlink"/>
            <w:i/>
            <w:iCs/>
            <w:sz w:val="16"/>
          </w:rPr>
          <w:t xml:space="preserve">Infant fatalities </w:t>
        </w:r>
        <w:r w:rsidRPr="0048357E">
          <w:rPr>
            <w:rStyle w:val="Hyperlink"/>
            <w:i/>
            <w:iCs/>
            <w:sz w:val="16"/>
          </w:rPr>
          <w:t>data explorer</w:t>
        </w:r>
      </w:hyperlink>
      <w:r>
        <w:rPr>
          <w:i/>
          <w:iCs/>
        </w:rPr>
        <w:t xml:space="preserve">, </w:t>
      </w:r>
      <w:r w:rsidRPr="00982099">
        <w:t>ABS website</w:t>
      </w:r>
      <w:r>
        <w:rPr>
          <w:i/>
          <w:iCs/>
        </w:rPr>
        <w:t xml:space="preserve">, </w:t>
      </w:r>
      <w:r w:rsidRPr="00B446DE">
        <w:t>accessed</w:t>
      </w:r>
      <w:r>
        <w:t xml:space="preserve"> 2 June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DD76" w14:textId="77777777" w:rsidR="00767472" w:rsidRDefault="00767472">
    <w:pPr>
      <w:pStyle w:val="Header"/>
    </w:pPr>
    <w:r>
      <w:rPr>
        <w:noProof/>
      </w:rPr>
      <mc:AlternateContent>
        <mc:Choice Requires="wps">
          <w:drawing>
            <wp:anchor distT="0" distB="0" distL="0" distR="0" simplePos="0" relativeHeight="251659264" behindDoc="0" locked="0" layoutInCell="1" allowOverlap="1" wp14:anchorId="4D77D929" wp14:editId="09D2DE3A">
              <wp:simplePos x="635" y="635"/>
              <wp:positionH relativeFrom="column">
                <wp:align>center</wp:align>
              </wp:positionH>
              <wp:positionV relativeFrom="paragraph">
                <wp:posOffset>635</wp:posOffset>
              </wp:positionV>
              <wp:extent cx="443865" cy="443865"/>
              <wp:effectExtent l="0" t="0" r="635" b="1079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6458B" w14:textId="77777777" w:rsidR="00767472" w:rsidRPr="00CB580E" w:rsidRDefault="00767472">
                          <w:pPr>
                            <w:rPr>
                              <w:rFonts w:ascii="Calibri" w:eastAsia="Calibri" w:hAnsi="Calibri" w:cs="Calibri"/>
                              <w:noProof/>
                              <w:color w:val="FF0000"/>
                              <w:sz w:val="24"/>
                              <w:szCs w:val="24"/>
                            </w:rPr>
                          </w:pPr>
                          <w:r w:rsidRPr="00CB580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77D929" id="_x0000_t202" coordsize="21600,21600" o:spt="202" path="m,l,21600r21600,l21600,xe">
              <v:stroke joinstyle="miter"/>
              <v:path gradientshapeok="t" o:connecttype="rect"/>
            </v:shapetype>
            <v:shape id="Text Box 6" o:spid="_x0000_s1032"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BC6458B" w14:textId="77777777" w:rsidR="00767472" w:rsidRPr="00CB580E" w:rsidRDefault="00767472">
                    <w:pPr>
                      <w:rPr>
                        <w:rFonts w:ascii="Calibri" w:eastAsia="Calibri" w:hAnsi="Calibri" w:cs="Calibri"/>
                        <w:noProof/>
                        <w:color w:val="FF0000"/>
                        <w:sz w:val="24"/>
                        <w:szCs w:val="24"/>
                      </w:rPr>
                    </w:pPr>
                    <w:r w:rsidRPr="00CB580E">
                      <w:rPr>
                        <w:rFonts w:ascii="Calibri" w:eastAsia="Calibri" w:hAnsi="Calibri" w:cs="Calibri"/>
                        <w:noProof/>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5D38" w14:textId="77777777" w:rsidR="00F95BD0" w:rsidRDefault="00F95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9FA2" w14:textId="77777777" w:rsidR="00F95BD0" w:rsidRDefault="00F95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1E791C"/>
    <w:lvl w:ilvl="0">
      <w:start w:val="1"/>
      <w:numFmt w:val="bullet"/>
      <w:pStyle w:val="ListBullet3"/>
      <w:lvlText w:val="o"/>
      <w:lvlJc w:val="left"/>
      <w:pPr>
        <w:ind w:left="1040" w:hanging="360"/>
      </w:pPr>
      <w:rPr>
        <w:rFonts w:ascii="Courier New" w:hAnsi="Courier New" w:cs="Courier New" w:hint="default"/>
      </w:rPr>
    </w:lvl>
  </w:abstractNum>
  <w:abstractNum w:abstractNumId="7" w15:restartNumberingAfterBreak="0">
    <w:nsid w:val="FFFFFF83"/>
    <w:multiLevelType w:val="singleLevel"/>
    <w:tmpl w:val="7C96F1D6"/>
    <w:lvl w:ilvl="0">
      <w:start w:val="1"/>
      <w:numFmt w:val="bullet"/>
      <w:pStyle w:val="ListBullet2"/>
      <w:lvlText w:val=""/>
      <w:lvlJc w:val="left"/>
      <w:pPr>
        <w:ind w:left="700"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A2A292D"/>
    <w:multiLevelType w:val="hybridMultilevel"/>
    <w:tmpl w:val="DBE6AF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EA52B3"/>
    <w:multiLevelType w:val="hybridMultilevel"/>
    <w:tmpl w:val="E2AA1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B6B43DD"/>
    <w:multiLevelType w:val="multilevel"/>
    <w:tmpl w:val="3C18B90E"/>
    <w:styleLink w:val="Copyrightbullet"/>
    <w:lvl w:ilvl="0">
      <w:start w:val="1"/>
      <w:numFmt w:val="bullet"/>
      <w:lvlText w:val=""/>
      <w:lvlJc w:val="left"/>
      <w:pPr>
        <w:ind w:left="360" w:hanging="360"/>
      </w:pPr>
      <w:rPr>
        <w:rFonts w:ascii="Symbol" w:hAnsi="Symbol"/>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15:restartNumberingAfterBreak="0">
    <w:nsid w:val="15E057FD"/>
    <w:multiLevelType w:val="hybridMultilevel"/>
    <w:tmpl w:val="D9EA62B4"/>
    <w:lvl w:ilvl="0" w:tplc="2F3208A2">
      <w:start w:val="5"/>
      <w:numFmt w:val="bullet"/>
      <w:lvlText w:val=""/>
      <w:lvlJc w:val="left"/>
      <w:pPr>
        <w:ind w:left="360" w:hanging="360"/>
      </w:pPr>
      <w:rPr>
        <w:rFonts w:ascii="Symbol" w:eastAsiaTheme="minorHAns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1A0E52A0"/>
    <w:multiLevelType w:val="hybridMultilevel"/>
    <w:tmpl w:val="C7E63F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CF519CE"/>
    <w:multiLevelType w:val="multilevel"/>
    <w:tmpl w:val="65B8C7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15:restartNumberingAfterBreak="0">
    <w:nsid w:val="36DA7796"/>
    <w:multiLevelType w:val="multilevel"/>
    <w:tmpl w:val="9550AF3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23347D"/>
    <w:multiLevelType w:val="hybridMultilevel"/>
    <w:tmpl w:val="7B4E0586"/>
    <w:lvl w:ilvl="0" w:tplc="CF1ABB36">
      <w:start w:val="1"/>
      <w:numFmt w:val="bullet"/>
      <w:pStyle w:val="ListBullet"/>
      <w:lvlText w:val=""/>
      <w:lvlJc w:val="left"/>
      <w:pPr>
        <w:ind w:left="36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7B747B"/>
    <w:multiLevelType w:val="hybridMultilevel"/>
    <w:tmpl w:val="BBC4E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15:restartNumberingAfterBreak="0">
    <w:nsid w:val="43D6338F"/>
    <w:multiLevelType w:val="hybridMultilevel"/>
    <w:tmpl w:val="59907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D579A2"/>
    <w:multiLevelType w:val="hybridMultilevel"/>
    <w:tmpl w:val="2A185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15:restartNumberingAfterBreak="0">
    <w:nsid w:val="5D2F19E5"/>
    <w:multiLevelType w:val="hybridMultilevel"/>
    <w:tmpl w:val="3C18B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6DC52CE"/>
    <w:multiLevelType w:val="multilevel"/>
    <w:tmpl w:val="735E5F5C"/>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726588A"/>
    <w:multiLevelType w:val="hybridMultilevel"/>
    <w:tmpl w:val="A5E6F114"/>
    <w:lvl w:ilvl="0" w:tplc="6E784FEC">
      <w:start w:val="1"/>
      <w:numFmt w:val="bullet"/>
      <w:pStyle w:val="Bulletpoint2"/>
      <w:lvlText w:val=""/>
      <w:lvlJc w:val="left"/>
      <w:pPr>
        <w:ind w:left="700" w:hanging="360"/>
      </w:pPr>
      <w:rPr>
        <w:rFonts w:ascii="Symbol" w:hAnsi="Symbol"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2" w15:restartNumberingAfterBreak="0">
    <w:nsid w:val="68E615B6"/>
    <w:multiLevelType w:val="hybridMultilevel"/>
    <w:tmpl w:val="8B54B9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FE6AB9"/>
    <w:multiLevelType w:val="hybridMultilevel"/>
    <w:tmpl w:val="1714C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E0084A"/>
    <w:multiLevelType w:val="hybridMultilevel"/>
    <w:tmpl w:val="50D0D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6" w15:restartNumberingAfterBreak="0">
    <w:nsid w:val="72672B93"/>
    <w:multiLevelType w:val="hybridMultilevel"/>
    <w:tmpl w:val="A54AA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8"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9"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40" w15:restartNumberingAfterBreak="0">
    <w:nsid w:val="7A7D6557"/>
    <w:multiLevelType w:val="multilevel"/>
    <w:tmpl w:val="49A4796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2" w15:restartNumberingAfterBreak="0">
    <w:nsid w:val="7B096673"/>
    <w:multiLevelType w:val="hybridMultilevel"/>
    <w:tmpl w:val="12E09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2819EC"/>
    <w:multiLevelType w:val="multilevel"/>
    <w:tmpl w:val="0EDEA8A2"/>
    <w:lvl w:ilvl="0">
      <w:start w:val="1"/>
      <w:numFmt w:val="bullet"/>
      <w:pStyle w:val="Bulletpoin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76182701">
    <w:abstractNumId w:val="5"/>
  </w:num>
  <w:num w:numId="2" w16cid:durableId="1968193714">
    <w:abstractNumId w:val="4"/>
  </w:num>
  <w:num w:numId="3" w16cid:durableId="298386959">
    <w:abstractNumId w:val="1"/>
  </w:num>
  <w:num w:numId="4" w16cid:durableId="1378621628">
    <w:abstractNumId w:val="0"/>
  </w:num>
  <w:num w:numId="5" w16cid:durableId="1440373531">
    <w:abstractNumId w:val="39"/>
  </w:num>
  <w:num w:numId="6" w16cid:durableId="2132086822">
    <w:abstractNumId w:val="23"/>
  </w:num>
  <w:num w:numId="7" w16cid:durableId="1245065924">
    <w:abstractNumId w:val="38"/>
  </w:num>
  <w:num w:numId="8" w16cid:durableId="1775789081">
    <w:abstractNumId w:val="15"/>
  </w:num>
  <w:num w:numId="9" w16cid:durableId="714039113">
    <w:abstractNumId w:val="21"/>
  </w:num>
  <w:num w:numId="10" w16cid:durableId="1066412820">
    <w:abstractNumId w:val="43"/>
  </w:num>
  <w:num w:numId="11" w16cid:durableId="745037327">
    <w:abstractNumId w:val="7"/>
  </w:num>
  <w:num w:numId="12" w16cid:durableId="648633575">
    <w:abstractNumId w:val="31"/>
  </w:num>
  <w:num w:numId="13" w16cid:durableId="967662849">
    <w:abstractNumId w:val="30"/>
  </w:num>
  <w:num w:numId="14" w16cid:durableId="1465344281">
    <w:abstractNumId w:val="27"/>
  </w:num>
  <w:num w:numId="15" w16cid:durableId="1717314759">
    <w:abstractNumId w:val="29"/>
  </w:num>
  <w:num w:numId="16" w16cid:durableId="473137015">
    <w:abstractNumId w:val="19"/>
  </w:num>
  <w:num w:numId="17" w16cid:durableId="492182045">
    <w:abstractNumId w:val="18"/>
  </w:num>
  <w:num w:numId="18" w16cid:durableId="1037972639">
    <w:abstractNumId w:val="6"/>
  </w:num>
  <w:num w:numId="19" w16cid:durableId="250822355">
    <w:abstractNumId w:val="12"/>
  </w:num>
  <w:num w:numId="20" w16cid:durableId="1982152979">
    <w:abstractNumId w:val="26"/>
  </w:num>
  <w:num w:numId="21" w16cid:durableId="501119775">
    <w:abstractNumId w:val="41"/>
  </w:num>
  <w:num w:numId="22" w16cid:durableId="132648705">
    <w:abstractNumId w:val="2"/>
  </w:num>
  <w:num w:numId="23" w16cid:durableId="1141574876">
    <w:abstractNumId w:val="35"/>
  </w:num>
  <w:num w:numId="24" w16cid:durableId="260450581">
    <w:abstractNumId w:val="8"/>
  </w:num>
  <w:num w:numId="25" w16cid:durableId="1141190578">
    <w:abstractNumId w:val="3"/>
  </w:num>
  <w:num w:numId="26" w16cid:durableId="1378091188">
    <w:abstractNumId w:val="13"/>
  </w:num>
  <w:num w:numId="27" w16cid:durableId="913658563">
    <w:abstractNumId w:val="17"/>
  </w:num>
  <w:num w:numId="28" w16cid:durableId="1423840030">
    <w:abstractNumId w:val="28"/>
  </w:num>
  <w:num w:numId="29" w16cid:durableId="1823036132">
    <w:abstractNumId w:val="11"/>
  </w:num>
  <w:num w:numId="30" w16cid:durableId="1361931693">
    <w:abstractNumId w:val="37"/>
  </w:num>
  <w:num w:numId="31" w16cid:durableId="1173955901">
    <w:abstractNumId w:val="20"/>
  </w:num>
  <w:num w:numId="32" w16cid:durableId="1187717786">
    <w:abstractNumId w:val="10"/>
  </w:num>
  <w:num w:numId="33" w16cid:durableId="371467392">
    <w:abstractNumId w:val="36"/>
  </w:num>
  <w:num w:numId="34" w16cid:durableId="1915234641">
    <w:abstractNumId w:val="25"/>
  </w:num>
  <w:num w:numId="35" w16cid:durableId="1023049347">
    <w:abstractNumId w:val="33"/>
  </w:num>
  <w:num w:numId="36" w16cid:durableId="1232807692">
    <w:abstractNumId w:val="34"/>
  </w:num>
  <w:num w:numId="37" w16cid:durableId="530415343">
    <w:abstractNumId w:val="22"/>
  </w:num>
  <w:num w:numId="38" w16cid:durableId="1776749382">
    <w:abstractNumId w:val="24"/>
  </w:num>
  <w:num w:numId="39" w16cid:durableId="554390690">
    <w:abstractNumId w:val="14"/>
  </w:num>
  <w:num w:numId="40" w16cid:durableId="517889157">
    <w:abstractNumId w:val="32"/>
  </w:num>
  <w:num w:numId="41" w16cid:durableId="590968330">
    <w:abstractNumId w:val="9"/>
  </w:num>
  <w:num w:numId="42" w16cid:durableId="916522742">
    <w:abstractNumId w:val="42"/>
  </w:num>
  <w:num w:numId="43" w16cid:durableId="876965311">
    <w:abstractNumId w:val="16"/>
  </w:num>
  <w:num w:numId="44" w16cid:durableId="16039501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6152489">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spinCount="100000" w:hashValue="TTFonK2zMAvabO7JanNeEfh2PJtGscmh54/rhiQytN8=" w:saltValue="Cj9txT4Z7QF0wgoOCaWDFQ==" w:algorithmName="SHA-256"/>
  <w:defaultTabStop w:val="34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T:\Strat_Comms\Pubs_Design\Templates\ACCC\In Progress\ACCC\ACCC Report Template_04.dotm"/>
  </w:docVars>
  <w:rsids>
    <w:rsidRoot w:val="003937FA"/>
    <w:rsid w:val="0000544B"/>
    <w:rsid w:val="00005623"/>
    <w:rsid w:val="000134EC"/>
    <w:rsid w:val="000158A1"/>
    <w:rsid w:val="0002115F"/>
    <w:rsid w:val="00021202"/>
    <w:rsid w:val="000219D5"/>
    <w:rsid w:val="000225C4"/>
    <w:rsid w:val="00030C78"/>
    <w:rsid w:val="0003100C"/>
    <w:rsid w:val="0003578C"/>
    <w:rsid w:val="0003748B"/>
    <w:rsid w:val="000410DE"/>
    <w:rsid w:val="000549D5"/>
    <w:rsid w:val="00057DAF"/>
    <w:rsid w:val="00063247"/>
    <w:rsid w:val="00070C0C"/>
    <w:rsid w:val="00070F9F"/>
    <w:rsid w:val="0007137B"/>
    <w:rsid w:val="00075F8B"/>
    <w:rsid w:val="00081536"/>
    <w:rsid w:val="00085663"/>
    <w:rsid w:val="00085EBF"/>
    <w:rsid w:val="000933F6"/>
    <w:rsid w:val="00095BD7"/>
    <w:rsid w:val="000A4206"/>
    <w:rsid w:val="000B2626"/>
    <w:rsid w:val="000B28F6"/>
    <w:rsid w:val="000B60A1"/>
    <w:rsid w:val="000D122C"/>
    <w:rsid w:val="000D259C"/>
    <w:rsid w:val="000D6E58"/>
    <w:rsid w:val="000D722C"/>
    <w:rsid w:val="000E1819"/>
    <w:rsid w:val="000E2501"/>
    <w:rsid w:val="000E3A2E"/>
    <w:rsid w:val="000E6C72"/>
    <w:rsid w:val="000F2368"/>
    <w:rsid w:val="000F62D1"/>
    <w:rsid w:val="00105ECA"/>
    <w:rsid w:val="00106704"/>
    <w:rsid w:val="00110AEA"/>
    <w:rsid w:val="00116EB2"/>
    <w:rsid w:val="00124609"/>
    <w:rsid w:val="00127FCF"/>
    <w:rsid w:val="00132BA7"/>
    <w:rsid w:val="00133D45"/>
    <w:rsid w:val="0014426C"/>
    <w:rsid w:val="001526D9"/>
    <w:rsid w:val="001573E4"/>
    <w:rsid w:val="00160756"/>
    <w:rsid w:val="00162580"/>
    <w:rsid w:val="0017232E"/>
    <w:rsid w:val="00174102"/>
    <w:rsid w:val="00180157"/>
    <w:rsid w:val="00181223"/>
    <w:rsid w:val="00181353"/>
    <w:rsid w:val="00183372"/>
    <w:rsid w:val="00186F77"/>
    <w:rsid w:val="00190383"/>
    <w:rsid w:val="001926A4"/>
    <w:rsid w:val="001929F8"/>
    <w:rsid w:val="00193685"/>
    <w:rsid w:val="001948CA"/>
    <w:rsid w:val="001A1320"/>
    <w:rsid w:val="001B45A0"/>
    <w:rsid w:val="001C18EE"/>
    <w:rsid w:val="001D055E"/>
    <w:rsid w:val="001D0E06"/>
    <w:rsid w:val="001E1790"/>
    <w:rsid w:val="001E2654"/>
    <w:rsid w:val="001F37FB"/>
    <w:rsid w:val="001F3D58"/>
    <w:rsid w:val="001F436D"/>
    <w:rsid w:val="001F492E"/>
    <w:rsid w:val="001F6DA3"/>
    <w:rsid w:val="002026CD"/>
    <w:rsid w:val="00211C74"/>
    <w:rsid w:val="00212737"/>
    <w:rsid w:val="00214BE4"/>
    <w:rsid w:val="00224DB9"/>
    <w:rsid w:val="002269DB"/>
    <w:rsid w:val="002427B6"/>
    <w:rsid w:val="00251745"/>
    <w:rsid w:val="00251A4F"/>
    <w:rsid w:val="002524EB"/>
    <w:rsid w:val="00255653"/>
    <w:rsid w:val="00256778"/>
    <w:rsid w:val="00263AC0"/>
    <w:rsid w:val="00264472"/>
    <w:rsid w:val="00266D14"/>
    <w:rsid w:val="0026772D"/>
    <w:rsid w:val="00271DE8"/>
    <w:rsid w:val="002721A5"/>
    <w:rsid w:val="0028103B"/>
    <w:rsid w:val="00286874"/>
    <w:rsid w:val="00296B65"/>
    <w:rsid w:val="002A07DB"/>
    <w:rsid w:val="002A203C"/>
    <w:rsid w:val="002A7DEF"/>
    <w:rsid w:val="002B5284"/>
    <w:rsid w:val="002C7D40"/>
    <w:rsid w:val="002F294A"/>
    <w:rsid w:val="002F34A3"/>
    <w:rsid w:val="002F7986"/>
    <w:rsid w:val="00303C4A"/>
    <w:rsid w:val="003062CC"/>
    <w:rsid w:val="00307F6D"/>
    <w:rsid w:val="00310564"/>
    <w:rsid w:val="003129FF"/>
    <w:rsid w:val="00312A58"/>
    <w:rsid w:val="003177A2"/>
    <w:rsid w:val="003221EB"/>
    <w:rsid w:val="003271B5"/>
    <w:rsid w:val="00331264"/>
    <w:rsid w:val="00334C8D"/>
    <w:rsid w:val="00340655"/>
    <w:rsid w:val="003459E6"/>
    <w:rsid w:val="003518B3"/>
    <w:rsid w:val="00355E94"/>
    <w:rsid w:val="003645C7"/>
    <w:rsid w:val="00367E3B"/>
    <w:rsid w:val="003709E7"/>
    <w:rsid w:val="00372E11"/>
    <w:rsid w:val="00374C60"/>
    <w:rsid w:val="003846F1"/>
    <w:rsid w:val="0039291E"/>
    <w:rsid w:val="003937FA"/>
    <w:rsid w:val="003966EF"/>
    <w:rsid w:val="003A0496"/>
    <w:rsid w:val="003A0A5F"/>
    <w:rsid w:val="003A2139"/>
    <w:rsid w:val="003A671F"/>
    <w:rsid w:val="003A673F"/>
    <w:rsid w:val="003B5A70"/>
    <w:rsid w:val="003D5061"/>
    <w:rsid w:val="003D5947"/>
    <w:rsid w:val="003E5E42"/>
    <w:rsid w:val="003F0FBF"/>
    <w:rsid w:val="003F76BC"/>
    <w:rsid w:val="00401913"/>
    <w:rsid w:val="00410E90"/>
    <w:rsid w:val="004111BA"/>
    <w:rsid w:val="0044224D"/>
    <w:rsid w:val="00443F72"/>
    <w:rsid w:val="00455ED1"/>
    <w:rsid w:val="00462352"/>
    <w:rsid w:val="00465E33"/>
    <w:rsid w:val="0047298B"/>
    <w:rsid w:val="00475209"/>
    <w:rsid w:val="00475DDE"/>
    <w:rsid w:val="0047684B"/>
    <w:rsid w:val="00480B4B"/>
    <w:rsid w:val="00482318"/>
    <w:rsid w:val="00485DC4"/>
    <w:rsid w:val="004909AA"/>
    <w:rsid w:val="00492598"/>
    <w:rsid w:val="004A732F"/>
    <w:rsid w:val="004B2624"/>
    <w:rsid w:val="004B4412"/>
    <w:rsid w:val="004C348C"/>
    <w:rsid w:val="004C7F0F"/>
    <w:rsid w:val="004D0D81"/>
    <w:rsid w:val="004D55BA"/>
    <w:rsid w:val="004D6C55"/>
    <w:rsid w:val="004D7F94"/>
    <w:rsid w:val="004E0FE3"/>
    <w:rsid w:val="004F2EB5"/>
    <w:rsid w:val="00503002"/>
    <w:rsid w:val="005038DB"/>
    <w:rsid w:val="00505A8C"/>
    <w:rsid w:val="005067C7"/>
    <w:rsid w:val="0051489F"/>
    <w:rsid w:val="00530128"/>
    <w:rsid w:val="00532467"/>
    <w:rsid w:val="00533782"/>
    <w:rsid w:val="00547CCF"/>
    <w:rsid w:val="00550F68"/>
    <w:rsid w:val="005522A3"/>
    <w:rsid w:val="00553DC8"/>
    <w:rsid w:val="00555CA4"/>
    <w:rsid w:val="00561A58"/>
    <w:rsid w:val="00563787"/>
    <w:rsid w:val="00564A4D"/>
    <w:rsid w:val="0056619F"/>
    <w:rsid w:val="00566E50"/>
    <w:rsid w:val="00567FFB"/>
    <w:rsid w:val="005702A7"/>
    <w:rsid w:val="00571B35"/>
    <w:rsid w:val="00571C9F"/>
    <w:rsid w:val="005770B9"/>
    <w:rsid w:val="00577A09"/>
    <w:rsid w:val="00584D8F"/>
    <w:rsid w:val="0059289A"/>
    <w:rsid w:val="00596D42"/>
    <w:rsid w:val="005A404D"/>
    <w:rsid w:val="005B08C7"/>
    <w:rsid w:val="005B1E3C"/>
    <w:rsid w:val="005B6355"/>
    <w:rsid w:val="005C26CC"/>
    <w:rsid w:val="005D1401"/>
    <w:rsid w:val="005D5515"/>
    <w:rsid w:val="005D5DB5"/>
    <w:rsid w:val="005E5B61"/>
    <w:rsid w:val="005E5C5B"/>
    <w:rsid w:val="005E6C0E"/>
    <w:rsid w:val="00602158"/>
    <w:rsid w:val="006146F4"/>
    <w:rsid w:val="00614F15"/>
    <w:rsid w:val="00615C6B"/>
    <w:rsid w:val="00616614"/>
    <w:rsid w:val="006213B8"/>
    <w:rsid w:val="0062158E"/>
    <w:rsid w:val="00624E38"/>
    <w:rsid w:val="00630535"/>
    <w:rsid w:val="00632D6D"/>
    <w:rsid w:val="00632E83"/>
    <w:rsid w:val="00635FEF"/>
    <w:rsid w:val="00642C3E"/>
    <w:rsid w:val="00650503"/>
    <w:rsid w:val="00650E27"/>
    <w:rsid w:val="006546EA"/>
    <w:rsid w:val="00663DAD"/>
    <w:rsid w:val="00664554"/>
    <w:rsid w:val="0066478D"/>
    <w:rsid w:val="00671AE7"/>
    <w:rsid w:val="00676679"/>
    <w:rsid w:val="00685508"/>
    <w:rsid w:val="0068645C"/>
    <w:rsid w:val="00687F39"/>
    <w:rsid w:val="00692337"/>
    <w:rsid w:val="00696334"/>
    <w:rsid w:val="006A4185"/>
    <w:rsid w:val="006A5493"/>
    <w:rsid w:val="006B1A2C"/>
    <w:rsid w:val="006B1EA5"/>
    <w:rsid w:val="006B1F08"/>
    <w:rsid w:val="006B4CF9"/>
    <w:rsid w:val="006B7AC8"/>
    <w:rsid w:val="006B7E97"/>
    <w:rsid w:val="006C0B8C"/>
    <w:rsid w:val="006C232C"/>
    <w:rsid w:val="006D550F"/>
    <w:rsid w:val="006D77F3"/>
    <w:rsid w:val="006E01A3"/>
    <w:rsid w:val="006E0AEC"/>
    <w:rsid w:val="006E5E8A"/>
    <w:rsid w:val="006F15C9"/>
    <w:rsid w:val="006F2BAE"/>
    <w:rsid w:val="00701CAB"/>
    <w:rsid w:val="0070419B"/>
    <w:rsid w:val="0070527F"/>
    <w:rsid w:val="00707563"/>
    <w:rsid w:val="007101A5"/>
    <w:rsid w:val="007128ED"/>
    <w:rsid w:val="0072348C"/>
    <w:rsid w:val="00724A37"/>
    <w:rsid w:val="007303C3"/>
    <w:rsid w:val="00731972"/>
    <w:rsid w:val="00743223"/>
    <w:rsid w:val="00746E01"/>
    <w:rsid w:val="007538B2"/>
    <w:rsid w:val="00760270"/>
    <w:rsid w:val="00761BD9"/>
    <w:rsid w:val="00763E5D"/>
    <w:rsid w:val="00767472"/>
    <w:rsid w:val="00767740"/>
    <w:rsid w:val="00777EE6"/>
    <w:rsid w:val="00782EEA"/>
    <w:rsid w:val="007840E8"/>
    <w:rsid w:val="0078738D"/>
    <w:rsid w:val="00792606"/>
    <w:rsid w:val="007A36C2"/>
    <w:rsid w:val="007A7E17"/>
    <w:rsid w:val="007B1E94"/>
    <w:rsid w:val="007B2C72"/>
    <w:rsid w:val="007C1C53"/>
    <w:rsid w:val="007C5708"/>
    <w:rsid w:val="007C6994"/>
    <w:rsid w:val="007D3FAE"/>
    <w:rsid w:val="007E24C9"/>
    <w:rsid w:val="007E26A9"/>
    <w:rsid w:val="007E40F4"/>
    <w:rsid w:val="007E4904"/>
    <w:rsid w:val="007E4C7F"/>
    <w:rsid w:val="007E4CB5"/>
    <w:rsid w:val="007F066B"/>
    <w:rsid w:val="007F3C76"/>
    <w:rsid w:val="008033C4"/>
    <w:rsid w:val="00806C88"/>
    <w:rsid w:val="008074A6"/>
    <w:rsid w:val="0081034E"/>
    <w:rsid w:val="00810AB9"/>
    <w:rsid w:val="008236B0"/>
    <w:rsid w:val="008304BF"/>
    <w:rsid w:val="008344F6"/>
    <w:rsid w:val="0083510F"/>
    <w:rsid w:val="008361A1"/>
    <w:rsid w:val="00836395"/>
    <w:rsid w:val="00851209"/>
    <w:rsid w:val="00852905"/>
    <w:rsid w:val="0086712E"/>
    <w:rsid w:val="0087307A"/>
    <w:rsid w:val="0088007E"/>
    <w:rsid w:val="0088134D"/>
    <w:rsid w:val="00882D60"/>
    <w:rsid w:val="008837AC"/>
    <w:rsid w:val="008861DF"/>
    <w:rsid w:val="008908F0"/>
    <w:rsid w:val="008945B4"/>
    <w:rsid w:val="008A41D7"/>
    <w:rsid w:val="008A587D"/>
    <w:rsid w:val="008B6617"/>
    <w:rsid w:val="008B6F19"/>
    <w:rsid w:val="008C0A39"/>
    <w:rsid w:val="008C100D"/>
    <w:rsid w:val="008C5486"/>
    <w:rsid w:val="008D165A"/>
    <w:rsid w:val="008E7031"/>
    <w:rsid w:val="00900AC2"/>
    <w:rsid w:val="009047C9"/>
    <w:rsid w:val="00917127"/>
    <w:rsid w:val="00917166"/>
    <w:rsid w:val="00917F8D"/>
    <w:rsid w:val="00922C95"/>
    <w:rsid w:val="009233EE"/>
    <w:rsid w:val="0093301E"/>
    <w:rsid w:val="00947FDB"/>
    <w:rsid w:val="009546B1"/>
    <w:rsid w:val="009661DE"/>
    <w:rsid w:val="00970694"/>
    <w:rsid w:val="00984CFC"/>
    <w:rsid w:val="009856B7"/>
    <w:rsid w:val="0098602B"/>
    <w:rsid w:val="00991B3B"/>
    <w:rsid w:val="009962BA"/>
    <w:rsid w:val="009A0540"/>
    <w:rsid w:val="009A13A3"/>
    <w:rsid w:val="009A4F19"/>
    <w:rsid w:val="009B0C64"/>
    <w:rsid w:val="009B74B0"/>
    <w:rsid w:val="009C02B1"/>
    <w:rsid w:val="009D14ED"/>
    <w:rsid w:val="009D4414"/>
    <w:rsid w:val="009D6B46"/>
    <w:rsid w:val="009E0B67"/>
    <w:rsid w:val="009F1673"/>
    <w:rsid w:val="009F2BE5"/>
    <w:rsid w:val="009F4940"/>
    <w:rsid w:val="009F4A3B"/>
    <w:rsid w:val="009F75EB"/>
    <w:rsid w:val="009F7BE4"/>
    <w:rsid w:val="00A1665B"/>
    <w:rsid w:val="00A16A80"/>
    <w:rsid w:val="00A3638B"/>
    <w:rsid w:val="00A4478A"/>
    <w:rsid w:val="00A44852"/>
    <w:rsid w:val="00A44EBF"/>
    <w:rsid w:val="00A4732A"/>
    <w:rsid w:val="00A51D5E"/>
    <w:rsid w:val="00A57D04"/>
    <w:rsid w:val="00A60A26"/>
    <w:rsid w:val="00A61598"/>
    <w:rsid w:val="00A6281A"/>
    <w:rsid w:val="00A63F0F"/>
    <w:rsid w:val="00A7027E"/>
    <w:rsid w:val="00A76F5C"/>
    <w:rsid w:val="00A7753F"/>
    <w:rsid w:val="00A81A4C"/>
    <w:rsid w:val="00A82967"/>
    <w:rsid w:val="00A82C39"/>
    <w:rsid w:val="00A84F46"/>
    <w:rsid w:val="00A871F4"/>
    <w:rsid w:val="00A90A07"/>
    <w:rsid w:val="00A90D79"/>
    <w:rsid w:val="00AA13DB"/>
    <w:rsid w:val="00AB7DE5"/>
    <w:rsid w:val="00AC0201"/>
    <w:rsid w:val="00AC0A16"/>
    <w:rsid w:val="00AC1B2C"/>
    <w:rsid w:val="00AC3264"/>
    <w:rsid w:val="00AC63ED"/>
    <w:rsid w:val="00AC6F01"/>
    <w:rsid w:val="00AD33DC"/>
    <w:rsid w:val="00AE0FE2"/>
    <w:rsid w:val="00AE1BF1"/>
    <w:rsid w:val="00AE5DED"/>
    <w:rsid w:val="00AF0DD2"/>
    <w:rsid w:val="00AF1692"/>
    <w:rsid w:val="00AF1AC2"/>
    <w:rsid w:val="00AF6307"/>
    <w:rsid w:val="00B05B30"/>
    <w:rsid w:val="00B10314"/>
    <w:rsid w:val="00B13048"/>
    <w:rsid w:val="00B15998"/>
    <w:rsid w:val="00B1716D"/>
    <w:rsid w:val="00B17A1D"/>
    <w:rsid w:val="00B207A0"/>
    <w:rsid w:val="00B25D38"/>
    <w:rsid w:val="00B30A07"/>
    <w:rsid w:val="00B31F29"/>
    <w:rsid w:val="00B344AC"/>
    <w:rsid w:val="00B40D5B"/>
    <w:rsid w:val="00B41B7F"/>
    <w:rsid w:val="00B43520"/>
    <w:rsid w:val="00B56E03"/>
    <w:rsid w:val="00B60F5D"/>
    <w:rsid w:val="00B66263"/>
    <w:rsid w:val="00B67A45"/>
    <w:rsid w:val="00B67E91"/>
    <w:rsid w:val="00B8080B"/>
    <w:rsid w:val="00B87C39"/>
    <w:rsid w:val="00B957E1"/>
    <w:rsid w:val="00B95C9F"/>
    <w:rsid w:val="00BA4665"/>
    <w:rsid w:val="00BB2FB2"/>
    <w:rsid w:val="00BB3304"/>
    <w:rsid w:val="00BC2B14"/>
    <w:rsid w:val="00BD3446"/>
    <w:rsid w:val="00BE1F1B"/>
    <w:rsid w:val="00BE47B5"/>
    <w:rsid w:val="00BE4C99"/>
    <w:rsid w:val="00C011F3"/>
    <w:rsid w:val="00C058AB"/>
    <w:rsid w:val="00C06739"/>
    <w:rsid w:val="00C16707"/>
    <w:rsid w:val="00C17E33"/>
    <w:rsid w:val="00C2067A"/>
    <w:rsid w:val="00C2315A"/>
    <w:rsid w:val="00C34032"/>
    <w:rsid w:val="00C41521"/>
    <w:rsid w:val="00C46F1C"/>
    <w:rsid w:val="00C538A9"/>
    <w:rsid w:val="00C53B5A"/>
    <w:rsid w:val="00C54F5A"/>
    <w:rsid w:val="00C552FA"/>
    <w:rsid w:val="00C62C31"/>
    <w:rsid w:val="00C755AD"/>
    <w:rsid w:val="00C814AA"/>
    <w:rsid w:val="00C86679"/>
    <w:rsid w:val="00C94BD6"/>
    <w:rsid w:val="00C97A3D"/>
    <w:rsid w:val="00CA493E"/>
    <w:rsid w:val="00CA4DA3"/>
    <w:rsid w:val="00CB45C5"/>
    <w:rsid w:val="00CB666B"/>
    <w:rsid w:val="00CB72BA"/>
    <w:rsid w:val="00CC6EB2"/>
    <w:rsid w:val="00CD1F42"/>
    <w:rsid w:val="00CD276A"/>
    <w:rsid w:val="00CF3D80"/>
    <w:rsid w:val="00CF799E"/>
    <w:rsid w:val="00D01CF0"/>
    <w:rsid w:val="00D0442A"/>
    <w:rsid w:val="00D07C92"/>
    <w:rsid w:val="00D203E1"/>
    <w:rsid w:val="00D21B3B"/>
    <w:rsid w:val="00D426F7"/>
    <w:rsid w:val="00D46519"/>
    <w:rsid w:val="00D544B8"/>
    <w:rsid w:val="00D6044B"/>
    <w:rsid w:val="00D60A27"/>
    <w:rsid w:val="00D60F9B"/>
    <w:rsid w:val="00D61388"/>
    <w:rsid w:val="00D61A54"/>
    <w:rsid w:val="00D63846"/>
    <w:rsid w:val="00D64AF7"/>
    <w:rsid w:val="00D64DEA"/>
    <w:rsid w:val="00D6652D"/>
    <w:rsid w:val="00D706D9"/>
    <w:rsid w:val="00D73D5F"/>
    <w:rsid w:val="00D80866"/>
    <w:rsid w:val="00D80893"/>
    <w:rsid w:val="00D8155B"/>
    <w:rsid w:val="00D81627"/>
    <w:rsid w:val="00D83618"/>
    <w:rsid w:val="00D9237C"/>
    <w:rsid w:val="00D92CF1"/>
    <w:rsid w:val="00D92D38"/>
    <w:rsid w:val="00D9479B"/>
    <w:rsid w:val="00D950F5"/>
    <w:rsid w:val="00DA0BE5"/>
    <w:rsid w:val="00DB0F93"/>
    <w:rsid w:val="00DB5491"/>
    <w:rsid w:val="00DB6836"/>
    <w:rsid w:val="00DC542F"/>
    <w:rsid w:val="00DC7981"/>
    <w:rsid w:val="00DE4EFA"/>
    <w:rsid w:val="00DE5520"/>
    <w:rsid w:val="00DF5AC7"/>
    <w:rsid w:val="00DF73AD"/>
    <w:rsid w:val="00E012A4"/>
    <w:rsid w:val="00E02C97"/>
    <w:rsid w:val="00E031A7"/>
    <w:rsid w:val="00E039A0"/>
    <w:rsid w:val="00E04380"/>
    <w:rsid w:val="00E04818"/>
    <w:rsid w:val="00E04A0A"/>
    <w:rsid w:val="00E04A85"/>
    <w:rsid w:val="00E06442"/>
    <w:rsid w:val="00E11E4C"/>
    <w:rsid w:val="00E160A4"/>
    <w:rsid w:val="00E2028F"/>
    <w:rsid w:val="00E20A21"/>
    <w:rsid w:val="00E23993"/>
    <w:rsid w:val="00E25B8C"/>
    <w:rsid w:val="00E27635"/>
    <w:rsid w:val="00E30371"/>
    <w:rsid w:val="00E368CB"/>
    <w:rsid w:val="00E370FD"/>
    <w:rsid w:val="00E46125"/>
    <w:rsid w:val="00E4674F"/>
    <w:rsid w:val="00E5196D"/>
    <w:rsid w:val="00E618AC"/>
    <w:rsid w:val="00E623B8"/>
    <w:rsid w:val="00E63639"/>
    <w:rsid w:val="00E63D4A"/>
    <w:rsid w:val="00E65C85"/>
    <w:rsid w:val="00E66199"/>
    <w:rsid w:val="00E742CF"/>
    <w:rsid w:val="00E755EC"/>
    <w:rsid w:val="00E7624D"/>
    <w:rsid w:val="00E87A15"/>
    <w:rsid w:val="00EA2CA6"/>
    <w:rsid w:val="00EA3D42"/>
    <w:rsid w:val="00EA5F4A"/>
    <w:rsid w:val="00EA6B1B"/>
    <w:rsid w:val="00EC2824"/>
    <w:rsid w:val="00ED68B9"/>
    <w:rsid w:val="00EE28F3"/>
    <w:rsid w:val="00EF0EA8"/>
    <w:rsid w:val="00EF5110"/>
    <w:rsid w:val="00F035D1"/>
    <w:rsid w:val="00F15882"/>
    <w:rsid w:val="00F20BD3"/>
    <w:rsid w:val="00F235BA"/>
    <w:rsid w:val="00F25E21"/>
    <w:rsid w:val="00F325ED"/>
    <w:rsid w:val="00F32FA7"/>
    <w:rsid w:val="00F35043"/>
    <w:rsid w:val="00F373A5"/>
    <w:rsid w:val="00F4150D"/>
    <w:rsid w:val="00F426D2"/>
    <w:rsid w:val="00F47559"/>
    <w:rsid w:val="00F502A3"/>
    <w:rsid w:val="00F5312C"/>
    <w:rsid w:val="00F5403D"/>
    <w:rsid w:val="00F55C1E"/>
    <w:rsid w:val="00F60BE4"/>
    <w:rsid w:val="00F61B84"/>
    <w:rsid w:val="00F62762"/>
    <w:rsid w:val="00F64C7B"/>
    <w:rsid w:val="00F676DD"/>
    <w:rsid w:val="00F71729"/>
    <w:rsid w:val="00F72B7A"/>
    <w:rsid w:val="00F75A26"/>
    <w:rsid w:val="00F81D20"/>
    <w:rsid w:val="00F83E0F"/>
    <w:rsid w:val="00F83FAD"/>
    <w:rsid w:val="00F91DC6"/>
    <w:rsid w:val="00F94148"/>
    <w:rsid w:val="00F952A0"/>
    <w:rsid w:val="00F95BD0"/>
    <w:rsid w:val="00FA3C7F"/>
    <w:rsid w:val="00FA6CA4"/>
    <w:rsid w:val="00FB52D7"/>
    <w:rsid w:val="00FB74E2"/>
    <w:rsid w:val="00FC3208"/>
    <w:rsid w:val="00FC3A7D"/>
    <w:rsid w:val="00FD5614"/>
    <w:rsid w:val="00FD5EB0"/>
    <w:rsid w:val="00FE0BE1"/>
    <w:rsid w:val="00FE17B5"/>
    <w:rsid w:val="00FE1DE9"/>
    <w:rsid w:val="00FE227B"/>
    <w:rsid w:val="00FE39C2"/>
    <w:rsid w:val="00FE64AE"/>
    <w:rsid w:val="00FE6947"/>
    <w:rsid w:val="00FF420C"/>
    <w:rsid w:val="00FF7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B6FCF"/>
  <w15:docId w15:val="{3ADA7BA6-FA0D-4089-AC86-3A5B14C8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501"/>
    <w:rPr>
      <w:rFonts w:ascii="Roboto" w:hAnsi="Roboto"/>
    </w:rPr>
  </w:style>
  <w:style w:type="paragraph" w:styleId="Heading1">
    <w:name w:val="heading 1"/>
    <w:basedOn w:val="Normal"/>
    <w:next w:val="Normal"/>
    <w:link w:val="Heading1Char"/>
    <w:qFormat/>
    <w:rsid w:val="00FE227B"/>
    <w:pPr>
      <w:keepNext/>
      <w:spacing w:before="360"/>
      <w:outlineLvl w:val="0"/>
    </w:pPr>
    <w:rPr>
      <w:rFonts w:ascii="Bitter" w:eastAsiaTheme="majorEastAsia" w:hAnsi="Bitter" w:cstheme="majorBidi"/>
      <w:bCs/>
      <w:color w:val="342D8C" w:themeColor="accent1"/>
      <w:sz w:val="60"/>
      <w:szCs w:val="28"/>
    </w:rPr>
  </w:style>
  <w:style w:type="paragraph" w:styleId="Heading2">
    <w:name w:val="heading 2"/>
    <w:next w:val="Normal"/>
    <w:link w:val="Heading2Char"/>
    <w:qFormat/>
    <w:rsid w:val="00FE227B"/>
    <w:pPr>
      <w:keepNext/>
      <w:spacing w:before="360" w:line="240" w:lineRule="atLeast"/>
      <w:outlineLvl w:val="1"/>
    </w:pPr>
    <w:rPr>
      <w:rFonts w:ascii="Bitter" w:eastAsiaTheme="majorEastAsia" w:hAnsi="Bitter" w:cstheme="majorBidi"/>
      <w:bCs/>
      <w:color w:val="342D8C" w:themeColor="accent1"/>
      <w:sz w:val="38"/>
      <w:szCs w:val="26"/>
    </w:rPr>
  </w:style>
  <w:style w:type="paragraph" w:styleId="Heading3">
    <w:name w:val="heading 3"/>
    <w:basedOn w:val="Normal"/>
    <w:next w:val="Normal"/>
    <w:link w:val="Heading3Char"/>
    <w:qFormat/>
    <w:rsid w:val="00FE227B"/>
    <w:pPr>
      <w:keepNext/>
      <w:spacing w:before="340"/>
      <w:outlineLvl w:val="2"/>
    </w:pPr>
    <w:rPr>
      <w:rFonts w:eastAsiaTheme="majorEastAsia" w:cstheme="majorBidi"/>
      <w:b/>
      <w:bCs/>
      <w:sz w:val="30"/>
    </w:rPr>
  </w:style>
  <w:style w:type="paragraph" w:styleId="Heading4">
    <w:name w:val="heading 4"/>
    <w:basedOn w:val="Normal"/>
    <w:next w:val="Normal"/>
    <w:link w:val="Heading4Char"/>
    <w:qFormat/>
    <w:rsid w:val="00FE227B"/>
    <w:pPr>
      <w:spacing w:before="280"/>
      <w:outlineLvl w:val="3"/>
    </w:pPr>
    <w:rPr>
      <w:rFonts w:eastAsiaTheme="majorEastAsia" w:cstheme="majorBidi"/>
      <w:bCs/>
      <w:iCs/>
      <w:color w:val="000000" w:themeColor="text1"/>
      <w:sz w:val="28"/>
    </w:rPr>
  </w:style>
  <w:style w:type="paragraph" w:styleId="Heading5">
    <w:name w:val="heading 5"/>
    <w:next w:val="Normal"/>
    <w:link w:val="Heading5Char"/>
    <w:uiPriority w:val="2"/>
    <w:qFormat/>
    <w:rsid w:val="00FE227B"/>
    <w:pPr>
      <w:spacing w:line="240" w:lineRule="atLeast"/>
      <w:outlineLvl w:val="4"/>
    </w:pPr>
    <w:rPr>
      <w:rFonts w:ascii="Roboto" w:eastAsiaTheme="majorEastAsia" w:hAnsi="Roboto" w:cstheme="majorBidi"/>
      <w:sz w:val="24"/>
    </w:rPr>
  </w:style>
  <w:style w:type="paragraph" w:styleId="Heading6">
    <w:name w:val="heading 6"/>
    <w:basedOn w:val="Normal"/>
    <w:next w:val="Normal"/>
    <w:link w:val="Heading6Char"/>
    <w:uiPriority w:val="2"/>
    <w:qFormat/>
    <w:rsid w:val="00FE227B"/>
    <w:pPr>
      <w:spacing w:before="240"/>
      <w:outlineLvl w:val="5"/>
    </w:pPr>
    <w:rPr>
      <w:rFonts w:eastAsiaTheme="majorEastAsia" w:cstheme="majorBidi"/>
      <w:i/>
      <w:iCs/>
    </w:rPr>
  </w:style>
  <w:style w:type="paragraph" w:styleId="Heading7">
    <w:name w:val="heading 7"/>
    <w:basedOn w:val="Normal"/>
    <w:next w:val="Normal"/>
    <w:link w:val="Heading7Char"/>
    <w:uiPriority w:val="2"/>
    <w:qFormat/>
    <w:rsid w:val="00FE227B"/>
    <w:pPr>
      <w:spacing w:before="240"/>
      <w:outlineLvl w:val="6"/>
    </w:pPr>
    <w:rPr>
      <w:rFonts w:eastAsiaTheme="majorEastAsia" w:cstheme="majorBidi"/>
      <w:iCs/>
      <w:color w:val="595959" w:themeColor="text1" w:themeTint="A6"/>
    </w:rPr>
  </w:style>
  <w:style w:type="paragraph" w:styleId="Heading8">
    <w:name w:val="heading 8"/>
    <w:basedOn w:val="Normal"/>
    <w:next w:val="Normal"/>
    <w:link w:val="Heading8Char"/>
    <w:uiPriority w:val="2"/>
    <w:qFormat/>
    <w:rsid w:val="00FE227B"/>
    <w:pPr>
      <w:spacing w:before="240"/>
      <w:outlineLvl w:val="7"/>
    </w:pPr>
    <w:rPr>
      <w:rFonts w:eastAsiaTheme="majorEastAsia" w:cstheme="majorBidi"/>
      <w:color w:val="726BCF" w:themeColor="accent1" w:themeTint="99"/>
      <w:szCs w:val="20"/>
    </w:rPr>
  </w:style>
  <w:style w:type="paragraph" w:styleId="Heading9">
    <w:name w:val="heading 9"/>
    <w:aliases w:val="Numbered Table"/>
    <w:basedOn w:val="Normal"/>
    <w:next w:val="Normal"/>
    <w:link w:val="Heading9Char"/>
    <w:uiPriority w:val="2"/>
    <w:qFormat/>
    <w:rsid w:val="00FE227B"/>
    <w:pPr>
      <w:numPr>
        <w:numId w:val="13"/>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27B"/>
    <w:rPr>
      <w:rFonts w:ascii="Bitter" w:eastAsiaTheme="majorEastAsia" w:hAnsi="Bitter" w:cstheme="majorBidi"/>
      <w:bCs/>
      <w:color w:val="342D8C" w:themeColor="accent1"/>
      <w:sz w:val="60"/>
      <w:szCs w:val="28"/>
    </w:rPr>
  </w:style>
  <w:style w:type="character" w:customStyle="1" w:styleId="Heading2Char">
    <w:name w:val="Heading 2 Char"/>
    <w:basedOn w:val="DefaultParagraphFont"/>
    <w:link w:val="Heading2"/>
    <w:rsid w:val="00FE227B"/>
    <w:rPr>
      <w:rFonts w:ascii="Bitter" w:eastAsiaTheme="majorEastAsia" w:hAnsi="Bitter" w:cstheme="majorBidi"/>
      <w:bCs/>
      <w:color w:val="342D8C" w:themeColor="accent1"/>
      <w:sz w:val="38"/>
      <w:szCs w:val="26"/>
    </w:rPr>
  </w:style>
  <w:style w:type="character" w:customStyle="1" w:styleId="Heading3Char">
    <w:name w:val="Heading 3 Char"/>
    <w:basedOn w:val="DefaultParagraphFont"/>
    <w:link w:val="Heading3"/>
    <w:rsid w:val="00FE227B"/>
    <w:rPr>
      <w:rFonts w:ascii="Roboto" w:eastAsiaTheme="majorEastAsia" w:hAnsi="Roboto" w:cstheme="majorBidi"/>
      <w:b/>
      <w:bCs/>
      <w:sz w:val="30"/>
    </w:rPr>
  </w:style>
  <w:style w:type="character" w:customStyle="1" w:styleId="Heading4Char">
    <w:name w:val="Heading 4 Char"/>
    <w:basedOn w:val="DefaultParagraphFont"/>
    <w:link w:val="Heading4"/>
    <w:rsid w:val="00FE227B"/>
    <w:rPr>
      <w:rFonts w:ascii="Roboto" w:eastAsiaTheme="majorEastAsia" w:hAnsi="Roboto" w:cstheme="majorBidi"/>
      <w:bCs/>
      <w:iCs/>
      <w:color w:val="000000" w:themeColor="text1"/>
      <w:sz w:val="28"/>
    </w:rPr>
  </w:style>
  <w:style w:type="character" w:customStyle="1" w:styleId="Heading5Char">
    <w:name w:val="Heading 5 Char"/>
    <w:basedOn w:val="DefaultParagraphFont"/>
    <w:link w:val="Heading5"/>
    <w:uiPriority w:val="2"/>
    <w:rsid w:val="00FE227B"/>
    <w:rPr>
      <w:rFonts w:ascii="Roboto" w:eastAsiaTheme="majorEastAsia" w:hAnsi="Roboto" w:cstheme="majorBidi"/>
      <w:sz w:val="24"/>
    </w:rPr>
  </w:style>
  <w:style w:type="character" w:customStyle="1" w:styleId="Heading6Char">
    <w:name w:val="Heading 6 Char"/>
    <w:basedOn w:val="DefaultParagraphFont"/>
    <w:link w:val="Heading6"/>
    <w:uiPriority w:val="2"/>
    <w:rsid w:val="00FE227B"/>
    <w:rPr>
      <w:rFonts w:ascii="Roboto" w:eastAsiaTheme="majorEastAsia" w:hAnsi="Roboto" w:cstheme="majorBidi"/>
      <w:i/>
      <w:iCs/>
    </w:rPr>
  </w:style>
  <w:style w:type="paragraph" w:customStyle="1" w:styleId="Chaptertitle">
    <w:name w:val="Chapter title"/>
    <w:basedOn w:val="Normal"/>
    <w:link w:val="ChaptertitleChar"/>
    <w:rsid w:val="00FE227B"/>
    <w:pPr>
      <w:spacing w:before="520" w:after="120"/>
    </w:pPr>
    <w:rPr>
      <w:rFonts w:ascii="Bitter" w:hAnsi="Bitter"/>
      <w:color w:val="342D8C" w:themeColor="accent1"/>
      <w:sz w:val="52"/>
      <w:szCs w:val="52"/>
    </w:rPr>
  </w:style>
  <w:style w:type="character" w:customStyle="1" w:styleId="ChaptertitleChar">
    <w:name w:val="Chapter title Char"/>
    <w:basedOn w:val="DefaultParagraphFont"/>
    <w:link w:val="Chaptertitle"/>
    <w:rsid w:val="00FE227B"/>
    <w:rPr>
      <w:rFonts w:ascii="Bitter" w:hAnsi="Bitter"/>
      <w:color w:val="342D8C" w:themeColor="accent1"/>
      <w:sz w:val="52"/>
      <w:szCs w:val="52"/>
    </w:rPr>
  </w:style>
  <w:style w:type="paragraph" w:customStyle="1" w:styleId="Tabletext">
    <w:name w:val="Table text"/>
    <w:basedOn w:val="Normal"/>
    <w:link w:val="TabletextChar"/>
    <w:uiPriority w:val="1"/>
    <w:qFormat/>
    <w:rsid w:val="00FE227B"/>
    <w:pPr>
      <w:spacing w:before="120" w:after="60"/>
    </w:pPr>
    <w:rPr>
      <w:sz w:val="20"/>
    </w:rPr>
  </w:style>
  <w:style w:type="paragraph" w:customStyle="1" w:styleId="Copyrighttext">
    <w:name w:val="Copyright text"/>
    <w:basedOn w:val="Normal"/>
    <w:link w:val="CopyrighttextChar"/>
    <w:uiPriority w:val="2"/>
    <w:qFormat/>
    <w:rsid w:val="00FE227B"/>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FE227B"/>
    <w:rPr>
      <w:rFonts w:ascii="Roboto" w:hAnsi="Roboto"/>
      <w:sz w:val="16"/>
      <w:szCs w:val="16"/>
    </w:rPr>
  </w:style>
  <w:style w:type="paragraph" w:styleId="TOC8">
    <w:name w:val="toc 8"/>
    <w:basedOn w:val="Normal"/>
    <w:next w:val="Normal"/>
    <w:uiPriority w:val="39"/>
    <w:rsid w:val="00FE227B"/>
    <w:pPr>
      <w:tabs>
        <w:tab w:val="right" w:leader="dot" w:pos="9016"/>
      </w:tabs>
      <w:spacing w:after="100"/>
      <w:ind w:left="2977"/>
    </w:pPr>
    <w:rPr>
      <w:noProof/>
    </w:rPr>
  </w:style>
  <w:style w:type="paragraph" w:styleId="TOC9">
    <w:name w:val="toc 9"/>
    <w:basedOn w:val="Normal"/>
    <w:next w:val="Normal"/>
    <w:uiPriority w:val="39"/>
    <w:rsid w:val="00FE227B"/>
    <w:pPr>
      <w:tabs>
        <w:tab w:val="right" w:leader="dot" w:pos="9016"/>
      </w:tabs>
      <w:spacing w:after="100"/>
      <w:ind w:left="3402"/>
    </w:pPr>
    <w:rPr>
      <w:noProof/>
    </w:rPr>
  </w:style>
  <w:style w:type="paragraph" w:customStyle="1" w:styleId="Numbered1">
    <w:name w:val="Numbered 1"/>
    <w:basedOn w:val="Heading1"/>
    <w:next w:val="Normal"/>
    <w:link w:val="Numbered1Char"/>
    <w:qFormat/>
    <w:rsid w:val="00FE227B"/>
    <w:pPr>
      <w:numPr>
        <w:numId w:val="27"/>
      </w:numPr>
      <w:tabs>
        <w:tab w:val="left" w:pos="680"/>
      </w:tabs>
    </w:pPr>
  </w:style>
  <w:style w:type="paragraph" w:customStyle="1" w:styleId="Numbered11">
    <w:name w:val="Numbered 1.1"/>
    <w:basedOn w:val="Heading2"/>
    <w:next w:val="Normal"/>
    <w:qFormat/>
    <w:rsid w:val="002427B6"/>
    <w:pPr>
      <w:numPr>
        <w:ilvl w:val="1"/>
        <w:numId w:val="27"/>
      </w:numPr>
      <w:tabs>
        <w:tab w:val="left" w:pos="1021"/>
      </w:tabs>
      <w:ind w:left="680" w:hanging="680"/>
    </w:pPr>
    <w:rPr>
      <w:rFonts w:cs="Arial"/>
    </w:rPr>
  </w:style>
  <w:style w:type="paragraph" w:customStyle="1" w:styleId="Numbered111">
    <w:name w:val="Numbered 1.1.1"/>
    <w:basedOn w:val="Heading3"/>
    <w:next w:val="Normal"/>
    <w:qFormat/>
    <w:rsid w:val="002427B6"/>
    <w:pPr>
      <w:numPr>
        <w:ilvl w:val="2"/>
        <w:numId w:val="27"/>
      </w:numPr>
      <w:tabs>
        <w:tab w:val="left" w:pos="1361"/>
      </w:tabs>
      <w:ind w:left="1021" w:hanging="1021"/>
      <w:contextualSpacing/>
    </w:pPr>
  </w:style>
  <w:style w:type="paragraph" w:customStyle="1" w:styleId="Numbered1111">
    <w:name w:val="Numbered 1.1.1.1"/>
    <w:basedOn w:val="Heading4"/>
    <w:next w:val="Normal"/>
    <w:rsid w:val="002427B6"/>
    <w:pPr>
      <w:numPr>
        <w:ilvl w:val="3"/>
        <w:numId w:val="27"/>
      </w:numPr>
      <w:tabs>
        <w:tab w:val="left" w:pos="1361"/>
      </w:tabs>
      <w:ind w:left="1021" w:hanging="1021"/>
    </w:pPr>
  </w:style>
  <w:style w:type="paragraph" w:customStyle="1" w:styleId="Numbered11111">
    <w:name w:val="Numbered 1.1.1.1.1"/>
    <w:basedOn w:val="Heading5"/>
    <w:next w:val="Normal"/>
    <w:uiPriority w:val="2"/>
    <w:rsid w:val="002427B6"/>
    <w:pPr>
      <w:numPr>
        <w:ilvl w:val="4"/>
        <w:numId w:val="27"/>
      </w:numPr>
      <w:tabs>
        <w:tab w:val="left" w:pos="1701"/>
      </w:tabs>
      <w:ind w:left="1361" w:hanging="1361"/>
    </w:pPr>
  </w:style>
  <w:style w:type="paragraph" w:customStyle="1" w:styleId="Numbered111111">
    <w:name w:val="Numbered 1.1.1.1.1.1"/>
    <w:basedOn w:val="Heading6"/>
    <w:next w:val="Normal"/>
    <w:uiPriority w:val="2"/>
    <w:rsid w:val="002427B6"/>
    <w:pPr>
      <w:numPr>
        <w:ilvl w:val="5"/>
        <w:numId w:val="27"/>
      </w:numPr>
      <w:tabs>
        <w:tab w:val="left" w:pos="1701"/>
      </w:tabs>
      <w:ind w:left="1361" w:hanging="1361"/>
    </w:pPr>
  </w:style>
  <w:style w:type="paragraph" w:styleId="Header">
    <w:name w:val="header"/>
    <w:basedOn w:val="Normal"/>
    <w:link w:val="HeaderChar"/>
    <w:uiPriority w:val="99"/>
    <w:unhideWhenUsed/>
    <w:qFormat/>
    <w:rsid w:val="00FE227B"/>
    <w:pPr>
      <w:tabs>
        <w:tab w:val="center" w:pos="4513"/>
        <w:tab w:val="right" w:pos="9026"/>
      </w:tabs>
      <w:spacing w:after="120"/>
    </w:pPr>
    <w:rPr>
      <w:sz w:val="18"/>
    </w:rPr>
  </w:style>
  <w:style w:type="character" w:customStyle="1" w:styleId="HeaderChar">
    <w:name w:val="Header Char"/>
    <w:basedOn w:val="DefaultParagraphFont"/>
    <w:link w:val="Header"/>
    <w:uiPriority w:val="99"/>
    <w:rsid w:val="00FE227B"/>
    <w:rPr>
      <w:rFonts w:ascii="Roboto" w:hAnsi="Roboto"/>
      <w:sz w:val="18"/>
    </w:rPr>
  </w:style>
  <w:style w:type="paragraph" w:styleId="NoSpacing">
    <w:name w:val="No Spacing"/>
    <w:uiPriority w:val="1"/>
    <w:qFormat/>
    <w:rsid w:val="00FE227B"/>
    <w:pPr>
      <w:spacing w:before="0"/>
    </w:pPr>
    <w:rPr>
      <w:rFonts w:ascii="Roboto" w:hAnsi="Roboto"/>
    </w:rPr>
  </w:style>
  <w:style w:type="paragraph" w:customStyle="1" w:styleId="Tabletitle">
    <w:name w:val="Table title"/>
    <w:basedOn w:val="Normal"/>
    <w:link w:val="TabletitleChar"/>
    <w:qFormat/>
    <w:rsid w:val="00FE227B"/>
    <w:pPr>
      <w:spacing w:before="240" w:after="120"/>
    </w:pPr>
    <w:rPr>
      <w:b/>
      <w:szCs w:val="20"/>
    </w:rPr>
  </w:style>
  <w:style w:type="character" w:customStyle="1" w:styleId="TabletitleChar">
    <w:name w:val="Table title Char"/>
    <w:basedOn w:val="DefaultParagraphFont"/>
    <w:link w:val="Tabletitle"/>
    <w:rsid w:val="00FE227B"/>
    <w:rPr>
      <w:rFonts w:ascii="Roboto" w:hAnsi="Roboto"/>
      <w:b/>
      <w:szCs w:val="20"/>
    </w:rPr>
  </w:style>
  <w:style w:type="paragraph" w:customStyle="1" w:styleId="Charttitle">
    <w:name w:val="Chart title"/>
    <w:basedOn w:val="Tabletitle"/>
    <w:rsid w:val="00FE227B"/>
  </w:style>
  <w:style w:type="paragraph" w:styleId="EndnoteText">
    <w:name w:val="endnote text"/>
    <w:basedOn w:val="Normal"/>
    <w:link w:val="EndnoteTextChar"/>
    <w:uiPriority w:val="99"/>
    <w:rsid w:val="00FE227B"/>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FE227B"/>
    <w:pPr>
      <w:spacing w:after="120"/>
      <w:contextualSpacing/>
    </w:pPr>
    <w:rPr>
      <w:rFonts w:ascii="Bitter" w:hAnsi="Bitter"/>
      <w:b/>
      <w:color w:val="342D8C" w:themeColor="accent1"/>
      <w:sz w:val="24"/>
      <w:szCs w:val="24"/>
    </w:rPr>
  </w:style>
  <w:style w:type="character" w:customStyle="1" w:styleId="PullquoteheadingChar">
    <w:name w:val="Pull quote heading Char"/>
    <w:basedOn w:val="DefaultParagraphFont"/>
    <w:link w:val="Pullquoteheading"/>
    <w:uiPriority w:val="1"/>
    <w:rsid w:val="00FE227B"/>
    <w:rPr>
      <w:rFonts w:ascii="Bitter" w:hAnsi="Bitter"/>
      <w:b/>
      <w:color w:val="342D8C" w:themeColor="accent1"/>
      <w:sz w:val="24"/>
      <w:szCs w:val="24"/>
    </w:rPr>
  </w:style>
  <w:style w:type="paragraph" w:customStyle="1" w:styleId="Pullquotetext">
    <w:name w:val="Pull quote text"/>
    <w:link w:val="PullquotetextChar"/>
    <w:uiPriority w:val="1"/>
    <w:rsid w:val="00FE227B"/>
    <w:pPr>
      <w:spacing w:before="120"/>
    </w:pPr>
    <w:rPr>
      <w:rFonts w:ascii="Bitter" w:hAnsi="Bitter"/>
      <w:color w:val="342D8C" w:themeColor="accent1"/>
      <w:sz w:val="24"/>
      <w:szCs w:val="24"/>
    </w:rPr>
  </w:style>
  <w:style w:type="character" w:customStyle="1" w:styleId="PullquotetextChar">
    <w:name w:val="Pull quote text Char"/>
    <w:basedOn w:val="PullquoteheadingChar"/>
    <w:link w:val="Pullquotetext"/>
    <w:uiPriority w:val="1"/>
    <w:rsid w:val="00FE227B"/>
    <w:rPr>
      <w:rFonts w:ascii="Bitter" w:hAnsi="Bitter"/>
      <w:b w:val="0"/>
      <w:color w:val="342D8C" w:themeColor="accent1"/>
      <w:sz w:val="24"/>
      <w:szCs w:val="24"/>
    </w:rPr>
  </w:style>
  <w:style w:type="paragraph" w:customStyle="1" w:styleId="Note">
    <w:name w:val="Note"/>
    <w:basedOn w:val="Normal"/>
    <w:link w:val="NoteChar"/>
    <w:rsid w:val="00FE227B"/>
    <w:pPr>
      <w:spacing w:after="120"/>
    </w:pPr>
    <w:rPr>
      <w:i/>
      <w:sz w:val="16"/>
      <w:szCs w:val="16"/>
    </w:rPr>
  </w:style>
  <w:style w:type="character" w:customStyle="1" w:styleId="NoteChar">
    <w:name w:val="Note Char"/>
    <w:basedOn w:val="DefaultParagraphFont"/>
    <w:link w:val="Note"/>
    <w:rsid w:val="00FE227B"/>
    <w:rPr>
      <w:rFonts w:ascii="Roboto" w:hAnsi="Roboto"/>
      <w:i/>
      <w:sz w:val="16"/>
      <w:szCs w:val="16"/>
    </w:rPr>
  </w:style>
  <w:style w:type="paragraph" w:customStyle="1" w:styleId="Source">
    <w:name w:val="Source"/>
    <w:basedOn w:val="Normal"/>
    <w:link w:val="SourceChar"/>
    <w:rsid w:val="00FE227B"/>
    <w:pPr>
      <w:spacing w:after="60"/>
    </w:pPr>
    <w:rPr>
      <w:sz w:val="16"/>
      <w:szCs w:val="16"/>
    </w:rPr>
  </w:style>
  <w:style w:type="character" w:customStyle="1" w:styleId="SourceChar">
    <w:name w:val="Source Char"/>
    <w:basedOn w:val="DefaultParagraphFont"/>
    <w:link w:val="Source"/>
    <w:rsid w:val="00FE227B"/>
    <w:rPr>
      <w:rFonts w:ascii="Roboto" w:hAnsi="Roboto"/>
      <w:sz w:val="16"/>
      <w:szCs w:val="16"/>
    </w:rPr>
  </w:style>
  <w:style w:type="paragraph" w:customStyle="1" w:styleId="Footnotes">
    <w:name w:val="Footnotes"/>
    <w:basedOn w:val="FootnoteText"/>
    <w:link w:val="FootnotesChar"/>
    <w:uiPriority w:val="4"/>
    <w:semiHidden/>
    <w:qFormat/>
    <w:rsid w:val="00FE227B"/>
    <w:pPr>
      <w:keepLines/>
    </w:pPr>
  </w:style>
  <w:style w:type="character" w:customStyle="1" w:styleId="FootnotesChar">
    <w:name w:val="Footnotes Char"/>
    <w:basedOn w:val="DefaultParagraphFont"/>
    <w:link w:val="Footnotes"/>
    <w:uiPriority w:val="4"/>
    <w:semiHidden/>
    <w:rsid w:val="00FE227B"/>
    <w:rPr>
      <w:rFonts w:ascii="Roboto" w:hAnsi="Roboto"/>
      <w:sz w:val="16"/>
      <w:szCs w:val="20"/>
    </w:rPr>
  </w:style>
  <w:style w:type="paragraph" w:styleId="Quote">
    <w:name w:val="Quote"/>
    <w:basedOn w:val="Normal"/>
    <w:next w:val="Normal"/>
    <w:link w:val="QuoteChar"/>
    <w:uiPriority w:val="29"/>
    <w:rsid w:val="00FE227B"/>
    <w:pPr>
      <w:ind w:left="737"/>
    </w:pPr>
    <w:rPr>
      <w:iCs/>
      <w:color w:val="000000" w:themeColor="text1"/>
    </w:rPr>
  </w:style>
  <w:style w:type="character" w:customStyle="1" w:styleId="QuoteChar">
    <w:name w:val="Quote Char"/>
    <w:basedOn w:val="DefaultParagraphFont"/>
    <w:link w:val="Quote"/>
    <w:uiPriority w:val="29"/>
    <w:rsid w:val="00FE227B"/>
    <w:rPr>
      <w:rFonts w:ascii="Roboto" w:hAnsi="Roboto"/>
      <w:iCs/>
      <w:color w:val="000000" w:themeColor="text1"/>
    </w:rPr>
  </w:style>
  <w:style w:type="paragraph" w:customStyle="1" w:styleId="Bulletpoint">
    <w:name w:val="Bullet point"/>
    <w:basedOn w:val="ListBullet"/>
    <w:qFormat/>
    <w:rsid w:val="00FE227B"/>
    <w:pPr>
      <w:numPr>
        <w:numId w:val="10"/>
      </w:numPr>
    </w:pPr>
    <w:rPr>
      <w:rFonts w:cs="Times New Roman"/>
    </w:rPr>
  </w:style>
  <w:style w:type="paragraph" w:styleId="ListBullet">
    <w:name w:val="List Bullet"/>
    <w:basedOn w:val="Normal"/>
    <w:uiPriority w:val="99"/>
    <w:rsid w:val="00FE227B"/>
    <w:pPr>
      <w:numPr>
        <w:numId w:val="9"/>
      </w:numPr>
      <w:tabs>
        <w:tab w:val="left" w:pos="340"/>
      </w:tabs>
      <w:spacing w:before="120"/>
    </w:pPr>
  </w:style>
  <w:style w:type="paragraph" w:customStyle="1" w:styleId="Bulletpoint2">
    <w:name w:val="Bullet point 2"/>
    <w:basedOn w:val="ListBullet2"/>
    <w:uiPriority w:val="1"/>
    <w:qFormat/>
    <w:rsid w:val="00FE227B"/>
    <w:pPr>
      <w:numPr>
        <w:numId w:val="12"/>
      </w:numPr>
      <w:tabs>
        <w:tab w:val="left" w:pos="680"/>
      </w:tabs>
    </w:pPr>
  </w:style>
  <w:style w:type="paragraph" w:styleId="ListNumber">
    <w:name w:val="List Number"/>
    <w:basedOn w:val="Normal"/>
    <w:uiPriority w:val="99"/>
    <w:rsid w:val="00FE227B"/>
    <w:pPr>
      <w:numPr>
        <w:numId w:val="24"/>
      </w:numPr>
      <w:spacing w:before="120"/>
    </w:pPr>
    <w:rPr>
      <w:color w:val="000000" w:themeColor="text1" w:themeShade="BF"/>
    </w:rPr>
  </w:style>
  <w:style w:type="paragraph" w:styleId="ListBullet2">
    <w:name w:val="List Bullet 2"/>
    <w:basedOn w:val="Normal"/>
    <w:uiPriority w:val="99"/>
    <w:rsid w:val="00FE227B"/>
    <w:pPr>
      <w:numPr>
        <w:numId w:val="11"/>
      </w:numPr>
      <w:spacing w:before="120"/>
    </w:pPr>
  </w:style>
  <w:style w:type="paragraph" w:styleId="TOCHeading">
    <w:name w:val="TOC Heading"/>
    <w:basedOn w:val="Normal"/>
    <w:next w:val="Normal"/>
    <w:uiPriority w:val="39"/>
    <w:qFormat/>
    <w:rsid w:val="00C97A3D"/>
    <w:pPr>
      <w:spacing w:before="480" w:after="120" w:line="276" w:lineRule="auto"/>
    </w:pPr>
    <w:rPr>
      <w:rFonts w:ascii="Bitter" w:eastAsiaTheme="majorEastAsia" w:hAnsi="Bitter" w:cstheme="majorBidi"/>
      <w:bCs/>
      <w:color w:val="342D8C" w:themeColor="accent1"/>
      <w:sz w:val="60"/>
      <w:szCs w:val="28"/>
      <w:lang w:val="en-US" w:eastAsia="ja-JP"/>
    </w:rPr>
  </w:style>
  <w:style w:type="paragraph" w:styleId="ListNumber2">
    <w:name w:val="List Number 2"/>
    <w:next w:val="Normal"/>
    <w:uiPriority w:val="99"/>
    <w:rsid w:val="00FE227B"/>
    <w:pPr>
      <w:numPr>
        <w:numId w:val="25"/>
      </w:numPr>
      <w:tabs>
        <w:tab w:val="left" w:pos="680"/>
      </w:tabs>
      <w:spacing w:before="120"/>
    </w:pPr>
    <w:rPr>
      <w:rFonts w:ascii="Roboto" w:hAnsi="Roboto"/>
    </w:rPr>
  </w:style>
  <w:style w:type="character" w:styleId="Hyperlink">
    <w:name w:val="Hyperlink"/>
    <w:basedOn w:val="DefaultParagraphFont"/>
    <w:uiPriority w:val="99"/>
    <w:qFormat/>
    <w:rsid w:val="00FE227B"/>
    <w:rPr>
      <w:rFonts w:ascii="Roboto" w:hAnsi="Roboto"/>
      <w:color w:val="0000FF"/>
      <w:sz w:val="22"/>
      <w:u w:val="single"/>
    </w:rPr>
  </w:style>
  <w:style w:type="paragraph" w:styleId="BalloonText">
    <w:name w:val="Balloon Text"/>
    <w:basedOn w:val="Normal"/>
    <w:link w:val="BalloonTextChar"/>
    <w:uiPriority w:val="99"/>
    <w:semiHidden/>
    <w:unhideWhenUsed/>
    <w:rsid w:val="00FE227B"/>
    <w:pPr>
      <w:spacing w:before="0"/>
    </w:pPr>
    <w:rPr>
      <w:rFonts w:cs="Tahoma"/>
      <w:sz w:val="16"/>
      <w:szCs w:val="16"/>
    </w:rPr>
  </w:style>
  <w:style w:type="character" w:customStyle="1" w:styleId="BalloonTextChar">
    <w:name w:val="Balloon Text Char"/>
    <w:basedOn w:val="DefaultParagraphFont"/>
    <w:link w:val="BalloonText"/>
    <w:uiPriority w:val="99"/>
    <w:semiHidden/>
    <w:rsid w:val="00FE227B"/>
    <w:rPr>
      <w:rFonts w:ascii="Roboto" w:hAnsi="Roboto" w:cs="Tahoma"/>
      <w:sz w:val="16"/>
      <w:szCs w:val="16"/>
    </w:rPr>
  </w:style>
  <w:style w:type="paragraph" w:styleId="Footer">
    <w:name w:val="footer"/>
    <w:basedOn w:val="Normal"/>
    <w:link w:val="FooterChar"/>
    <w:uiPriority w:val="99"/>
    <w:unhideWhenUsed/>
    <w:qFormat/>
    <w:rsid w:val="00FE227B"/>
    <w:pPr>
      <w:tabs>
        <w:tab w:val="center" w:pos="4513"/>
        <w:tab w:val="right" w:pos="9026"/>
      </w:tabs>
      <w:spacing w:after="120"/>
    </w:pPr>
    <w:rPr>
      <w:sz w:val="18"/>
    </w:rPr>
  </w:style>
  <w:style w:type="character" w:customStyle="1" w:styleId="FooterChar">
    <w:name w:val="Footer Char"/>
    <w:basedOn w:val="DefaultParagraphFont"/>
    <w:link w:val="Footer"/>
    <w:uiPriority w:val="99"/>
    <w:rsid w:val="00FE227B"/>
    <w:rPr>
      <w:rFonts w:ascii="Roboto" w:hAnsi="Roboto"/>
      <w:sz w:val="18"/>
    </w:rPr>
  </w:style>
  <w:style w:type="paragraph" w:styleId="ListParagraph">
    <w:name w:val="List Paragraph"/>
    <w:aliases w:val="Bullet Point,L,List Bullet Cab,List Paragraph - bullets,List Paragraph1,List Paragraph11,NFP GP Bulleted List,Recommendation,Use Case List Paragraph,Content descriptions,CV text,F5 List Paragraph,Dot point list,List Paragraph2,FooterText"/>
    <w:basedOn w:val="Normal"/>
    <w:link w:val="ListParagraphChar"/>
    <w:uiPriority w:val="34"/>
    <w:qFormat/>
    <w:rsid w:val="00FE227B"/>
    <w:pPr>
      <w:numPr>
        <w:numId w:val="19"/>
      </w:numPr>
      <w:tabs>
        <w:tab w:val="left" w:pos="340"/>
      </w:tabs>
      <w:spacing w:before="120"/>
    </w:pPr>
  </w:style>
  <w:style w:type="character" w:customStyle="1" w:styleId="Heading7Char">
    <w:name w:val="Heading 7 Char"/>
    <w:basedOn w:val="DefaultParagraphFont"/>
    <w:link w:val="Heading7"/>
    <w:uiPriority w:val="2"/>
    <w:rsid w:val="00FE227B"/>
    <w:rPr>
      <w:rFonts w:ascii="Roboto" w:eastAsiaTheme="majorEastAsia" w:hAnsi="Roboto" w:cstheme="majorBidi"/>
      <w:iCs/>
      <w:color w:val="595959" w:themeColor="text1" w:themeTint="A6"/>
    </w:rPr>
  </w:style>
  <w:style w:type="character" w:customStyle="1" w:styleId="Heading8Char">
    <w:name w:val="Heading 8 Char"/>
    <w:basedOn w:val="DefaultParagraphFont"/>
    <w:link w:val="Heading8"/>
    <w:uiPriority w:val="2"/>
    <w:rsid w:val="00FE227B"/>
    <w:rPr>
      <w:rFonts w:ascii="Roboto" w:eastAsiaTheme="majorEastAsia" w:hAnsi="Roboto" w:cstheme="majorBidi"/>
      <w:color w:val="726BCF" w:themeColor="accent1" w:themeTint="99"/>
      <w:szCs w:val="20"/>
    </w:rPr>
  </w:style>
  <w:style w:type="character" w:customStyle="1" w:styleId="Heading9Char">
    <w:name w:val="Heading 9 Char"/>
    <w:aliases w:val="Numbered Table Char"/>
    <w:basedOn w:val="DefaultParagraphFont"/>
    <w:link w:val="Heading9"/>
    <w:uiPriority w:val="2"/>
    <w:rsid w:val="00FE227B"/>
    <w:rPr>
      <w:rFonts w:ascii="Roboto" w:eastAsiaTheme="majorEastAsia" w:hAnsi="Roboto" w:cstheme="majorBidi"/>
      <w:b/>
      <w:iCs/>
      <w:color w:val="000000" w:themeColor="text1"/>
      <w:sz w:val="24"/>
      <w:szCs w:val="20"/>
    </w:rPr>
  </w:style>
  <w:style w:type="paragraph" w:customStyle="1" w:styleId="Numbered1111111">
    <w:name w:val="Numbered 1.1.1.1.1.1.1"/>
    <w:basedOn w:val="Heading7"/>
    <w:next w:val="Normal"/>
    <w:uiPriority w:val="2"/>
    <w:rsid w:val="002427B6"/>
    <w:pPr>
      <w:numPr>
        <w:ilvl w:val="6"/>
        <w:numId w:val="27"/>
      </w:numPr>
      <w:tabs>
        <w:tab w:val="left" w:pos="2041"/>
      </w:tabs>
      <w:ind w:left="1701" w:hanging="1701"/>
    </w:pPr>
  </w:style>
  <w:style w:type="paragraph" w:customStyle="1" w:styleId="Numbered11111111">
    <w:name w:val="Numbered 1.1.1.1.1.1.1.1"/>
    <w:basedOn w:val="Heading8"/>
    <w:next w:val="Normal"/>
    <w:uiPriority w:val="2"/>
    <w:rsid w:val="002427B6"/>
    <w:pPr>
      <w:numPr>
        <w:ilvl w:val="7"/>
        <w:numId w:val="27"/>
      </w:numPr>
      <w:tabs>
        <w:tab w:val="left" w:pos="2041"/>
      </w:tabs>
      <w:ind w:left="1701" w:hanging="1701"/>
    </w:pPr>
  </w:style>
  <w:style w:type="table" w:styleId="TableGrid">
    <w:name w:val="Table Grid"/>
    <w:aliases w:val="ACCC Table"/>
    <w:basedOn w:val="TableNormal"/>
    <w:uiPriority w:val="59"/>
    <w:rsid w:val="00FE227B"/>
    <w:pPr>
      <w:spacing w:before="60" w:after="60"/>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FE227B"/>
    <w:pPr>
      <w:spacing w:before="120" w:after="120"/>
    </w:pPr>
    <w:rPr>
      <w:rFonts w:ascii="Roboto" w:hAnsi="Roboto"/>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FE227B"/>
    <w:pPr>
      <w:spacing w:before="0"/>
    </w:pPr>
    <w:rPr>
      <w:rFonts w:ascii="Roboto" w:hAnsi="Roboto"/>
      <w:color w:val="262168" w:themeColor="accent1" w:themeShade="BF"/>
    </w:rPr>
    <w:tblPr>
      <w:tblStyleRowBandSize w:val="1"/>
      <w:tblStyleColBandSize w:val="1"/>
      <w:tblBorders>
        <w:top w:val="single" w:sz="8" w:space="0" w:color="342D8C" w:themeColor="accent1"/>
        <w:bottom w:val="single" w:sz="8" w:space="0" w:color="342D8C" w:themeColor="accent1"/>
      </w:tblBorders>
    </w:tblPr>
    <w:tblStylePr w:type="firstRow">
      <w:pPr>
        <w:spacing w:before="0" w:after="0" w:line="240" w:lineRule="auto"/>
      </w:pPr>
      <w:rPr>
        <w:b/>
        <w:bCs/>
      </w:rPr>
      <w:tblPr/>
      <w:tcPr>
        <w:tcBorders>
          <w:top w:val="single" w:sz="8" w:space="0" w:color="342D8C" w:themeColor="accent1"/>
          <w:left w:val="nil"/>
          <w:bottom w:val="single" w:sz="8" w:space="0" w:color="342D8C" w:themeColor="accent1"/>
          <w:right w:val="nil"/>
          <w:insideH w:val="nil"/>
          <w:insideV w:val="nil"/>
        </w:tcBorders>
      </w:tcPr>
    </w:tblStylePr>
    <w:tblStylePr w:type="lastRow">
      <w:pPr>
        <w:spacing w:before="0" w:after="0" w:line="240" w:lineRule="auto"/>
      </w:pPr>
      <w:rPr>
        <w:b/>
        <w:bCs/>
      </w:rPr>
      <w:tblPr/>
      <w:tcPr>
        <w:tcBorders>
          <w:top w:val="single" w:sz="8" w:space="0" w:color="342D8C" w:themeColor="accent1"/>
          <w:left w:val="nil"/>
          <w:bottom w:val="single" w:sz="8" w:space="0" w:color="342D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2EB" w:themeFill="accent1" w:themeFillTint="3F"/>
      </w:tcPr>
    </w:tblStylePr>
    <w:tblStylePr w:type="band1Horz">
      <w:tblPr/>
      <w:tcPr>
        <w:tcBorders>
          <w:left w:val="nil"/>
          <w:right w:val="nil"/>
          <w:insideH w:val="nil"/>
          <w:insideV w:val="nil"/>
        </w:tcBorders>
        <w:shd w:val="clear" w:color="auto" w:fill="C5C2EB" w:themeFill="accent1" w:themeFillTint="3F"/>
      </w:tcPr>
    </w:tblStylePr>
  </w:style>
  <w:style w:type="table" w:styleId="LightShading-Accent2">
    <w:name w:val="Light Shading Accent 2"/>
    <w:basedOn w:val="TableNormal"/>
    <w:uiPriority w:val="60"/>
    <w:rsid w:val="00FE227B"/>
    <w:pPr>
      <w:spacing w:before="0"/>
    </w:pPr>
    <w:rPr>
      <w:rFonts w:ascii="Roboto" w:hAnsi="Roboto"/>
      <w:color w:val="000000"/>
      <w14:textFill>
        <w14:solidFill>
          <w14:srgbClr w14:val="000000">
            <w14:lumMod w14:val="75000"/>
            <w14:lumOff w14:val="0"/>
          </w14:srgbClr>
        </w14:solidFill>
      </w14:textFill>
    </w:rPr>
    <w:tblPr>
      <w:tbl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blBorders>
    </w:tblPr>
    <w:tcPr>
      <w:vAlign w:val="center"/>
    </w:tcPr>
    <w:tblStylePr w:type="firstRow">
      <w:pPr>
        <w:spacing w:before="0" w:after="0" w:line="240" w:lineRule="auto"/>
      </w:pPr>
      <w:rPr>
        <w:b w:val="0"/>
        <w:bCs/>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l2br w:val="nil"/>
          <w:tr2bl w:val="nil"/>
        </w:tcBorders>
      </w:tcPr>
    </w:tblStylePr>
    <w:tblStylePr w:type="lastRow">
      <w:pPr>
        <w:spacing w:before="0" w:after="0" w:line="240" w:lineRule="auto"/>
      </w:pPr>
      <w:rPr>
        <w:b w:val="0"/>
        <w:bCs/>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FE227B"/>
    <w:pPr>
      <w:spacing w:before="0"/>
    </w:pPr>
    <w:rPr>
      <w:rFonts w:ascii="Roboto" w:hAnsi="Roboto"/>
      <w:color w:val="296422" w:themeColor="accent3" w:themeShade="BF"/>
    </w:rPr>
    <w:tblPr>
      <w:tblStyleRowBandSize w:val="1"/>
      <w:tblStyleColBandSize w:val="1"/>
      <w:tblBorders>
        <w:top w:val="single" w:sz="8" w:space="0" w:color="38862E" w:themeColor="accent3"/>
        <w:bottom w:val="single" w:sz="8" w:space="0" w:color="38862E" w:themeColor="accent3"/>
      </w:tblBorders>
    </w:tblPr>
    <w:tblStylePr w:type="firstRow">
      <w:pPr>
        <w:spacing w:before="0" w:after="0" w:line="240" w:lineRule="auto"/>
      </w:pPr>
      <w:rPr>
        <w:b/>
        <w:bCs/>
      </w:rPr>
      <w:tblPr/>
      <w:tcPr>
        <w:tcBorders>
          <w:top w:val="single" w:sz="8" w:space="0" w:color="38862E" w:themeColor="accent3"/>
          <w:left w:val="nil"/>
          <w:bottom w:val="single" w:sz="8" w:space="0" w:color="38862E" w:themeColor="accent3"/>
          <w:right w:val="nil"/>
          <w:insideH w:val="nil"/>
          <w:insideV w:val="nil"/>
        </w:tcBorders>
      </w:tcPr>
    </w:tblStylePr>
    <w:tblStylePr w:type="lastRow">
      <w:pPr>
        <w:spacing w:before="0" w:after="0" w:line="240" w:lineRule="auto"/>
      </w:pPr>
      <w:rPr>
        <w:b/>
        <w:bCs/>
      </w:rPr>
      <w:tblPr/>
      <w:tcPr>
        <w:tcBorders>
          <w:top w:val="single" w:sz="8" w:space="0" w:color="38862E" w:themeColor="accent3"/>
          <w:left w:val="nil"/>
          <w:bottom w:val="single" w:sz="8" w:space="0" w:color="3886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C2" w:themeFill="accent3" w:themeFillTint="3F"/>
      </w:tcPr>
    </w:tblStylePr>
    <w:tblStylePr w:type="band1Horz">
      <w:tblPr/>
      <w:tcPr>
        <w:tcBorders>
          <w:left w:val="nil"/>
          <w:right w:val="nil"/>
          <w:insideH w:val="nil"/>
          <w:insideV w:val="nil"/>
        </w:tcBorders>
        <w:shd w:val="clear" w:color="auto" w:fill="C6EAC2" w:themeFill="accent3" w:themeFillTint="3F"/>
      </w:tcPr>
    </w:tblStylePr>
  </w:style>
  <w:style w:type="table" w:styleId="LightGrid-Accent6">
    <w:name w:val="Light Grid Accent 6"/>
    <w:basedOn w:val="TableNormal"/>
    <w:uiPriority w:val="62"/>
    <w:rsid w:val="00FE227B"/>
    <w:pPr>
      <w:spacing w:before="0"/>
    </w:pPr>
    <w:rPr>
      <w:rFonts w:ascii="Roboto" w:hAnsi="Roboto"/>
    </w:rPr>
    <w:tblPr>
      <w:tblStyleRowBandSize w:val="1"/>
      <w:tblStyleColBandSize w:val="1"/>
      <w:tblBorders>
        <w:top w:val="single" w:sz="8" w:space="0" w:color="008098" w:themeColor="accent6"/>
        <w:left w:val="single" w:sz="8" w:space="0" w:color="008098" w:themeColor="accent6"/>
        <w:bottom w:val="single" w:sz="8" w:space="0" w:color="008098" w:themeColor="accent6"/>
        <w:right w:val="single" w:sz="8" w:space="0" w:color="008098" w:themeColor="accent6"/>
        <w:insideH w:val="single" w:sz="8" w:space="0" w:color="008098" w:themeColor="accent6"/>
        <w:insideV w:val="single" w:sz="8" w:space="0" w:color="00809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098" w:themeColor="accent6"/>
          <w:left w:val="single" w:sz="8" w:space="0" w:color="008098" w:themeColor="accent6"/>
          <w:bottom w:val="single" w:sz="18" w:space="0" w:color="008098" w:themeColor="accent6"/>
          <w:right w:val="single" w:sz="8" w:space="0" w:color="008098" w:themeColor="accent6"/>
          <w:insideH w:val="nil"/>
          <w:insideV w:val="single" w:sz="8" w:space="0" w:color="00809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098" w:themeColor="accent6"/>
          <w:left w:val="single" w:sz="8" w:space="0" w:color="008098" w:themeColor="accent6"/>
          <w:bottom w:val="single" w:sz="8" w:space="0" w:color="008098" w:themeColor="accent6"/>
          <w:right w:val="single" w:sz="8" w:space="0" w:color="008098" w:themeColor="accent6"/>
          <w:insideH w:val="nil"/>
          <w:insideV w:val="single" w:sz="8" w:space="0" w:color="00809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tblStylePr w:type="band1Vert">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shd w:val="clear" w:color="auto" w:fill="A6F0FF" w:themeFill="accent6" w:themeFillTint="3F"/>
      </w:tcPr>
    </w:tblStylePr>
    <w:tblStylePr w:type="band1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insideV w:val="single" w:sz="8" w:space="0" w:color="008098" w:themeColor="accent6"/>
        </w:tcBorders>
        <w:shd w:val="clear" w:color="auto" w:fill="A6F0FF" w:themeFill="accent6" w:themeFillTint="3F"/>
      </w:tcPr>
    </w:tblStylePr>
    <w:tblStylePr w:type="band2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insideV w:val="single" w:sz="8" w:space="0" w:color="008098" w:themeColor="accent6"/>
        </w:tcBorders>
      </w:tcPr>
    </w:tblStylePr>
  </w:style>
  <w:style w:type="table" w:styleId="MediumShading1">
    <w:name w:val="Medium Shading 1"/>
    <w:basedOn w:val="TableNormal"/>
    <w:uiPriority w:val="63"/>
    <w:rsid w:val="00FE227B"/>
    <w:pPr>
      <w:spacing w:before="0"/>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227B"/>
    <w:pPr>
      <w:spacing w:before="0"/>
    </w:pPr>
    <w:rPr>
      <w:rFonts w:ascii="Roboto" w:hAnsi="Roboto"/>
    </w:rPr>
    <w:tblPr>
      <w:tblStyleRowBandSize w:val="1"/>
      <w:tblStyleColBandSize w:val="1"/>
      <w:tbl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single" w:sz="8" w:space="0" w:color="4F46C3" w:themeColor="accent1" w:themeTint="BF"/>
      </w:tblBorders>
    </w:tblPr>
    <w:tblStylePr w:type="firstRow">
      <w:pPr>
        <w:spacing w:before="0" w:after="0" w:line="240" w:lineRule="auto"/>
      </w:pPr>
      <w:rPr>
        <w:b/>
        <w:bCs/>
        <w:color w:val="FFFFFF" w:themeColor="background1"/>
      </w:rPr>
      <w:tblPr/>
      <w:tcPr>
        <w:tc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nil"/>
          <w:insideV w:val="nil"/>
        </w:tcBorders>
        <w:shd w:val="clear" w:color="auto" w:fill="342D8C" w:themeFill="accent1"/>
      </w:tcPr>
    </w:tblStylePr>
    <w:tblStylePr w:type="lastRow">
      <w:pPr>
        <w:spacing w:before="0" w:after="0" w:line="240" w:lineRule="auto"/>
      </w:pPr>
      <w:rPr>
        <w:b/>
        <w:bCs/>
      </w:rPr>
      <w:tblPr/>
      <w:tcPr>
        <w:tcBorders>
          <w:top w:val="double" w:sz="6"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2EB" w:themeFill="accent1" w:themeFillTint="3F"/>
      </w:tcPr>
    </w:tblStylePr>
    <w:tblStylePr w:type="band1Horz">
      <w:tblPr/>
      <w:tcPr>
        <w:tcBorders>
          <w:insideH w:val="nil"/>
          <w:insideV w:val="nil"/>
        </w:tcBorders>
        <w:shd w:val="clear" w:color="auto" w:fill="C5C2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227B"/>
    <w:pPr>
      <w:spacing w:before="0"/>
    </w:pPr>
    <w:rPr>
      <w:rFonts w:ascii="Roboto" w:hAnsi="Roboto"/>
    </w:r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227B"/>
    <w:pPr>
      <w:spacing w:before="0"/>
    </w:pPr>
    <w:rPr>
      <w:rFonts w:ascii="Roboto" w:hAnsi="Roboto"/>
    </w:rPr>
    <w:tblPr>
      <w:tblStyleRowBandSize w:val="1"/>
      <w:tblStyleColBandSize w:val="1"/>
      <w:tbl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single" w:sz="8" w:space="0" w:color="54BF46" w:themeColor="accent3" w:themeTint="BF"/>
      </w:tblBorders>
    </w:tblPr>
    <w:tblStylePr w:type="firstRow">
      <w:pPr>
        <w:spacing w:before="0" w:after="0" w:line="240" w:lineRule="auto"/>
      </w:pPr>
      <w:rPr>
        <w:b/>
        <w:bCs/>
        <w:color w:val="FFFFFF" w:themeColor="background1"/>
      </w:rPr>
      <w:tblPr/>
      <w:tcPr>
        <w:tc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nil"/>
          <w:insideV w:val="nil"/>
        </w:tcBorders>
        <w:shd w:val="clear" w:color="auto" w:fill="38862E" w:themeFill="accent3"/>
      </w:tcPr>
    </w:tblStylePr>
    <w:tblStylePr w:type="lastRow">
      <w:pPr>
        <w:spacing w:before="0" w:after="0" w:line="240" w:lineRule="auto"/>
      </w:pPr>
      <w:rPr>
        <w:b/>
        <w:bCs/>
      </w:rPr>
      <w:tblPr/>
      <w:tcPr>
        <w:tcBorders>
          <w:top w:val="double" w:sz="6"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EAC2" w:themeFill="accent3" w:themeFillTint="3F"/>
      </w:tcPr>
    </w:tblStylePr>
    <w:tblStylePr w:type="band1Horz">
      <w:tblPr/>
      <w:tcPr>
        <w:tcBorders>
          <w:insideH w:val="nil"/>
          <w:insideV w:val="nil"/>
        </w:tcBorders>
        <w:shd w:val="clear" w:color="auto" w:fill="C6EAC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227B"/>
    <w:pPr>
      <w:spacing w:before="0"/>
    </w:pPr>
    <w:rPr>
      <w:rFonts w:ascii="Roboto" w:hAnsi="Roboto"/>
    </w:rPr>
    <w:tblPr>
      <w:tblStyleRowBandSize w:val="1"/>
      <w:tblStyleColBandSize w:val="1"/>
      <w:tbl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single" w:sz="8" w:space="0" w:color="F4C733" w:themeColor="accent4" w:themeTint="BF"/>
      </w:tblBorders>
    </w:tblPr>
    <w:tblStylePr w:type="firstRow">
      <w:pPr>
        <w:spacing w:before="0" w:after="0" w:line="240" w:lineRule="auto"/>
      </w:pPr>
      <w:rPr>
        <w:b/>
        <w:bCs/>
        <w:color w:val="FFFFFF" w:themeColor="background1"/>
      </w:rPr>
      <w:tblPr/>
      <w:tcPr>
        <w:tc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nil"/>
          <w:insideV w:val="nil"/>
        </w:tcBorders>
        <w:shd w:val="clear" w:color="auto" w:fill="D5A70B" w:themeFill="accent4"/>
      </w:tcPr>
    </w:tblStylePr>
    <w:tblStylePr w:type="lastRow">
      <w:pPr>
        <w:spacing w:before="0" w:after="0" w:line="240" w:lineRule="auto"/>
      </w:pPr>
      <w:rPr>
        <w:b/>
        <w:bCs/>
      </w:rPr>
      <w:tblPr/>
      <w:tcPr>
        <w:tcBorders>
          <w:top w:val="double" w:sz="6"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BB" w:themeFill="accent4" w:themeFillTint="3F"/>
      </w:tcPr>
    </w:tblStylePr>
    <w:tblStylePr w:type="band1Horz">
      <w:tblPr/>
      <w:tcPr>
        <w:tcBorders>
          <w:insideH w:val="nil"/>
          <w:insideV w:val="nil"/>
        </w:tcBorders>
        <w:shd w:val="clear" w:color="auto" w:fill="FBECB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227B"/>
    <w:pPr>
      <w:spacing w:before="0"/>
    </w:pPr>
    <w:rPr>
      <w:rFonts w:ascii="Roboto" w:hAnsi="Roboto"/>
    </w:rPr>
    <w:tblPr>
      <w:tblStyleRowBandSize w:val="1"/>
      <w:tblStyleColBandSize w:val="1"/>
      <w:tbl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single" w:sz="8" w:space="0" w:color="ED8595" w:themeColor="accent5" w:themeTint="BF"/>
      </w:tblBorders>
    </w:tblPr>
    <w:tblStylePr w:type="firstRow">
      <w:pPr>
        <w:spacing w:before="0" w:after="0" w:line="240" w:lineRule="auto"/>
      </w:pPr>
      <w:rPr>
        <w:b/>
        <w:bCs/>
        <w:color w:val="FFFFFF" w:themeColor="background1"/>
      </w:rPr>
      <w:tblPr/>
      <w:tcPr>
        <w:tc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nil"/>
          <w:insideV w:val="nil"/>
        </w:tcBorders>
        <w:shd w:val="clear" w:color="auto" w:fill="E85D72" w:themeFill="accent5"/>
      </w:tcPr>
    </w:tblStylePr>
    <w:tblStylePr w:type="lastRow">
      <w:pPr>
        <w:spacing w:before="0" w:after="0" w:line="240" w:lineRule="auto"/>
      </w:pPr>
      <w:rPr>
        <w:b/>
        <w:bCs/>
      </w:rPr>
      <w:tblPr/>
      <w:tcPr>
        <w:tcBorders>
          <w:top w:val="double" w:sz="6"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6DB" w:themeFill="accent5" w:themeFillTint="3F"/>
      </w:tcPr>
    </w:tblStylePr>
    <w:tblStylePr w:type="band1Horz">
      <w:tblPr/>
      <w:tcPr>
        <w:tcBorders>
          <w:insideH w:val="nil"/>
          <w:insideV w:val="nil"/>
        </w:tcBorders>
        <w:shd w:val="clear" w:color="auto" w:fill="F9D6DB"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FE227B"/>
    <w:pPr>
      <w:spacing w:before="0"/>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FE227B"/>
    <w:pPr>
      <w:spacing w:before="0"/>
    </w:pPr>
    <w:rPr>
      <w:rFonts w:ascii="Roboto" w:hAnsi="Roboto"/>
      <w:color w:val="D51E39" w:themeColor="accent5" w:themeShade="BF"/>
    </w:rPr>
    <w:tblPr>
      <w:tblStyleRowBandSize w:val="1"/>
      <w:tblStyleColBandSize w:val="1"/>
      <w:tblBorders>
        <w:top w:val="single" w:sz="8" w:space="0" w:color="E85D72" w:themeColor="accent5"/>
        <w:bottom w:val="single" w:sz="8" w:space="0" w:color="E85D72" w:themeColor="accent5"/>
      </w:tblBorders>
    </w:tblPr>
    <w:tblStylePr w:type="firstRow">
      <w:pPr>
        <w:spacing w:before="0" w:after="0" w:line="240" w:lineRule="auto"/>
      </w:pPr>
      <w:rPr>
        <w:b/>
        <w:bCs/>
      </w:rPr>
      <w:tblPr/>
      <w:tcPr>
        <w:tcBorders>
          <w:top w:val="single" w:sz="8" w:space="0" w:color="E85D72" w:themeColor="accent5"/>
          <w:left w:val="nil"/>
          <w:bottom w:val="single" w:sz="8" w:space="0" w:color="E85D72" w:themeColor="accent5"/>
          <w:right w:val="nil"/>
          <w:insideH w:val="nil"/>
          <w:insideV w:val="nil"/>
        </w:tcBorders>
      </w:tcPr>
    </w:tblStylePr>
    <w:tblStylePr w:type="lastRow">
      <w:pPr>
        <w:spacing w:before="0" w:after="0" w:line="240" w:lineRule="auto"/>
      </w:pPr>
      <w:rPr>
        <w:b/>
        <w:bCs/>
      </w:rPr>
      <w:tblPr/>
      <w:tcPr>
        <w:tcBorders>
          <w:top w:val="single" w:sz="8" w:space="0" w:color="E85D72" w:themeColor="accent5"/>
          <w:left w:val="nil"/>
          <w:bottom w:val="single" w:sz="8" w:space="0" w:color="E85D7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DB" w:themeFill="accent5" w:themeFillTint="3F"/>
      </w:tcPr>
    </w:tblStylePr>
    <w:tblStylePr w:type="band1Horz">
      <w:tblPr/>
      <w:tcPr>
        <w:tcBorders>
          <w:left w:val="nil"/>
          <w:right w:val="nil"/>
          <w:insideH w:val="nil"/>
          <w:insideV w:val="nil"/>
        </w:tcBorders>
        <w:shd w:val="clear" w:color="auto" w:fill="F9D6DB" w:themeFill="accent5" w:themeFillTint="3F"/>
      </w:tcPr>
    </w:tblStylePr>
  </w:style>
  <w:style w:type="table" w:styleId="LightGrid-Accent3">
    <w:name w:val="Light Grid Accent 3"/>
    <w:basedOn w:val="TableNormal"/>
    <w:uiPriority w:val="62"/>
    <w:rsid w:val="00FE227B"/>
    <w:pPr>
      <w:spacing w:before="0"/>
    </w:pPr>
    <w:rPr>
      <w:rFonts w:ascii="Roboto" w:hAnsi="Roboto"/>
    </w:rPr>
    <w:tblPr>
      <w:tblStyleRowBandSize w:val="1"/>
      <w:tblStyleColBandSize w:val="1"/>
      <w:tblBorders>
        <w:top w:val="single" w:sz="8" w:space="0" w:color="38862E" w:themeColor="accent3"/>
        <w:left w:val="single" w:sz="8" w:space="0" w:color="38862E" w:themeColor="accent3"/>
        <w:bottom w:val="single" w:sz="8" w:space="0" w:color="38862E" w:themeColor="accent3"/>
        <w:right w:val="single" w:sz="8" w:space="0" w:color="38862E" w:themeColor="accent3"/>
        <w:insideH w:val="single" w:sz="8" w:space="0" w:color="38862E" w:themeColor="accent3"/>
        <w:insideV w:val="single" w:sz="8" w:space="0" w:color="38862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862E" w:themeColor="accent3"/>
          <w:left w:val="single" w:sz="8" w:space="0" w:color="38862E" w:themeColor="accent3"/>
          <w:bottom w:val="single" w:sz="18" w:space="0" w:color="38862E" w:themeColor="accent3"/>
          <w:right w:val="single" w:sz="8" w:space="0" w:color="38862E" w:themeColor="accent3"/>
          <w:insideH w:val="nil"/>
          <w:insideV w:val="single" w:sz="8" w:space="0" w:color="38862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862E" w:themeColor="accent3"/>
          <w:left w:val="single" w:sz="8" w:space="0" w:color="38862E" w:themeColor="accent3"/>
          <w:bottom w:val="single" w:sz="8" w:space="0" w:color="38862E" w:themeColor="accent3"/>
          <w:right w:val="single" w:sz="8" w:space="0" w:color="38862E" w:themeColor="accent3"/>
          <w:insideH w:val="nil"/>
          <w:insideV w:val="single" w:sz="8" w:space="0" w:color="38862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tblStylePr w:type="band1Vert">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shd w:val="clear" w:color="auto" w:fill="C6EAC2" w:themeFill="accent3" w:themeFillTint="3F"/>
      </w:tcPr>
    </w:tblStylePr>
    <w:tblStylePr w:type="band1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insideV w:val="single" w:sz="8" w:space="0" w:color="38862E" w:themeColor="accent3"/>
        </w:tcBorders>
        <w:shd w:val="clear" w:color="auto" w:fill="C6EAC2" w:themeFill="accent3" w:themeFillTint="3F"/>
      </w:tcPr>
    </w:tblStylePr>
    <w:tblStylePr w:type="band2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insideV w:val="single" w:sz="8" w:space="0" w:color="38862E" w:themeColor="accent3"/>
        </w:tcBorders>
      </w:tcPr>
    </w:tblStylePr>
  </w:style>
  <w:style w:type="paragraph" w:styleId="Bibliography">
    <w:name w:val="Bibliography"/>
    <w:basedOn w:val="Normal"/>
    <w:next w:val="Normal"/>
    <w:uiPriority w:val="37"/>
    <w:semiHidden/>
    <w:rsid w:val="00FE227B"/>
  </w:style>
  <w:style w:type="paragraph" w:styleId="BodyText3">
    <w:name w:val="Body Text 3"/>
    <w:basedOn w:val="Normal"/>
    <w:link w:val="BodyText3Char"/>
    <w:uiPriority w:val="99"/>
    <w:semiHidden/>
    <w:unhideWhenUsed/>
    <w:rsid w:val="00FE227B"/>
    <w:pPr>
      <w:spacing w:after="120"/>
    </w:pPr>
    <w:rPr>
      <w:szCs w:val="16"/>
    </w:rPr>
  </w:style>
  <w:style w:type="character" w:customStyle="1" w:styleId="BodyText3Char">
    <w:name w:val="Body Text 3 Char"/>
    <w:basedOn w:val="DefaultParagraphFont"/>
    <w:link w:val="BodyText3"/>
    <w:uiPriority w:val="99"/>
    <w:semiHidden/>
    <w:rsid w:val="00FE227B"/>
    <w:rPr>
      <w:rFonts w:ascii="Roboto" w:hAnsi="Roboto"/>
      <w:szCs w:val="16"/>
    </w:rPr>
  </w:style>
  <w:style w:type="paragraph" w:styleId="TOC1">
    <w:name w:val="toc 1"/>
    <w:basedOn w:val="Normal"/>
    <w:next w:val="Normal"/>
    <w:autoRedefine/>
    <w:uiPriority w:val="39"/>
    <w:qFormat/>
    <w:rsid w:val="004E0FE3"/>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FE227B"/>
    <w:pPr>
      <w:tabs>
        <w:tab w:val="left" w:pos="880"/>
        <w:tab w:val="right" w:leader="dot" w:pos="9016"/>
      </w:tabs>
      <w:spacing w:after="100"/>
      <w:ind w:left="425"/>
    </w:pPr>
    <w:rPr>
      <w:noProof/>
    </w:rPr>
  </w:style>
  <w:style w:type="paragraph" w:styleId="TOC3">
    <w:name w:val="toc 3"/>
    <w:basedOn w:val="Normal"/>
    <w:next w:val="Normal"/>
    <w:uiPriority w:val="39"/>
    <w:qFormat/>
    <w:rsid w:val="00FE227B"/>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FE227B"/>
    <w:pPr>
      <w:spacing w:before="720" w:after="120"/>
      <w:contextualSpacing/>
      <w:outlineLvl w:val="0"/>
    </w:pPr>
    <w:rPr>
      <w:rFonts w:ascii="Bitter" w:eastAsiaTheme="majorEastAsia" w:hAnsi="Bitter" w:cstheme="majorBidi"/>
      <w:color w:val="342D8C" w:themeColor="accent1"/>
      <w:spacing w:val="5"/>
      <w:kern w:val="28"/>
      <w:sz w:val="80"/>
      <w:szCs w:val="52"/>
    </w:rPr>
  </w:style>
  <w:style w:type="character" w:customStyle="1" w:styleId="TitleChar">
    <w:name w:val="Title Char"/>
    <w:basedOn w:val="DefaultParagraphFont"/>
    <w:link w:val="Title"/>
    <w:uiPriority w:val="10"/>
    <w:rsid w:val="00FE227B"/>
    <w:rPr>
      <w:rFonts w:ascii="Bitter" w:eastAsiaTheme="majorEastAsia" w:hAnsi="Bitter" w:cstheme="majorBidi"/>
      <w:color w:val="342D8C" w:themeColor="accent1"/>
      <w:spacing w:val="5"/>
      <w:kern w:val="28"/>
      <w:sz w:val="80"/>
      <w:szCs w:val="52"/>
    </w:rPr>
  </w:style>
  <w:style w:type="paragraph" w:customStyle="1" w:styleId="CoverDate">
    <w:name w:val="Cover Date"/>
    <w:rsid w:val="00FE227B"/>
    <w:rPr>
      <w:rFonts w:ascii="Roboto" w:hAnsi="Roboto"/>
      <w:color w:val="000000" w:themeColor="text1"/>
      <w:sz w:val="24"/>
      <w:szCs w:val="24"/>
    </w:rPr>
  </w:style>
  <w:style w:type="character" w:styleId="BookTitle">
    <w:name w:val="Book Title"/>
    <w:uiPriority w:val="33"/>
    <w:rsid w:val="00FE227B"/>
    <w:rPr>
      <w:rFonts w:ascii="Roboto" w:hAnsi="Roboto"/>
      <w:bCs/>
      <w:i/>
      <w:caps w:val="0"/>
      <w:smallCaps w:val="0"/>
      <w:spacing w:val="0"/>
      <w:sz w:val="22"/>
    </w:rPr>
  </w:style>
  <w:style w:type="table" w:styleId="LightList-Accent1">
    <w:name w:val="Light List Accent 1"/>
    <w:basedOn w:val="TableNormal"/>
    <w:uiPriority w:val="61"/>
    <w:rsid w:val="00FE227B"/>
    <w:pPr>
      <w:spacing w:before="0"/>
    </w:pPr>
    <w:rPr>
      <w:rFonts w:ascii="Roboto" w:hAnsi="Roboto"/>
    </w:rPr>
    <w:tblPr>
      <w:tblStyleRowBandSize w:val="1"/>
      <w:tblStyleColBandSize w:val="1"/>
      <w:tblBorders>
        <w:top w:val="single" w:sz="8" w:space="0" w:color="342D8C" w:themeColor="accent1"/>
        <w:left w:val="single" w:sz="8" w:space="0" w:color="342D8C" w:themeColor="accent1"/>
        <w:bottom w:val="single" w:sz="8" w:space="0" w:color="342D8C" w:themeColor="accent1"/>
        <w:right w:val="single" w:sz="8" w:space="0" w:color="342D8C" w:themeColor="accent1"/>
      </w:tblBorders>
    </w:tblPr>
    <w:tblStylePr w:type="firstRow">
      <w:pPr>
        <w:spacing w:before="0" w:after="0" w:line="240" w:lineRule="auto"/>
      </w:pPr>
      <w:rPr>
        <w:b/>
        <w:bCs/>
        <w:color w:val="FFFFFF" w:themeColor="background1"/>
      </w:rPr>
      <w:tblPr/>
      <w:tcPr>
        <w:shd w:val="clear" w:color="auto" w:fill="342D8C" w:themeFill="accent1"/>
      </w:tcPr>
    </w:tblStylePr>
    <w:tblStylePr w:type="lastRow">
      <w:pPr>
        <w:spacing w:before="0" w:after="0" w:line="240" w:lineRule="auto"/>
      </w:pPr>
      <w:rPr>
        <w:b/>
        <w:bCs/>
      </w:rPr>
      <w:tblPr/>
      <w:tcPr>
        <w:tcBorders>
          <w:top w:val="double" w:sz="6" w:space="0" w:color="342D8C" w:themeColor="accent1"/>
          <w:left w:val="single" w:sz="8" w:space="0" w:color="342D8C" w:themeColor="accent1"/>
          <w:bottom w:val="single" w:sz="8" w:space="0" w:color="342D8C" w:themeColor="accent1"/>
          <w:right w:val="single" w:sz="8" w:space="0" w:color="342D8C" w:themeColor="accent1"/>
        </w:tcBorders>
      </w:tcPr>
    </w:tblStylePr>
    <w:tblStylePr w:type="firstCol">
      <w:rPr>
        <w:b/>
        <w:bCs/>
      </w:rPr>
    </w:tblStylePr>
    <w:tblStylePr w:type="lastCol">
      <w:rPr>
        <w:b/>
        <w:bCs/>
      </w:rPr>
    </w:tblStylePr>
    <w:tblStylePr w:type="band1Vert">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tblStylePr w:type="band1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style>
  <w:style w:type="table" w:styleId="LightList-Accent3">
    <w:name w:val="Light List Accent 3"/>
    <w:basedOn w:val="TableNormal"/>
    <w:uiPriority w:val="61"/>
    <w:rsid w:val="00FE227B"/>
    <w:pPr>
      <w:spacing w:before="0"/>
    </w:pPr>
    <w:rPr>
      <w:rFonts w:ascii="Roboto" w:hAnsi="Roboto"/>
    </w:rPr>
    <w:tblPr>
      <w:tblStyleRowBandSize w:val="1"/>
      <w:tblStyleColBandSize w:val="1"/>
      <w:tblBorders>
        <w:top w:val="single" w:sz="8" w:space="0" w:color="38862E" w:themeColor="accent3"/>
        <w:left w:val="single" w:sz="8" w:space="0" w:color="38862E" w:themeColor="accent3"/>
        <w:bottom w:val="single" w:sz="8" w:space="0" w:color="38862E" w:themeColor="accent3"/>
        <w:right w:val="single" w:sz="8" w:space="0" w:color="38862E" w:themeColor="accent3"/>
      </w:tblBorders>
    </w:tblPr>
    <w:tblStylePr w:type="firstRow">
      <w:pPr>
        <w:spacing w:before="0" w:after="0" w:line="240" w:lineRule="auto"/>
      </w:pPr>
      <w:rPr>
        <w:b/>
        <w:bCs/>
        <w:color w:val="FFFFFF" w:themeColor="background1"/>
      </w:rPr>
      <w:tblPr/>
      <w:tcPr>
        <w:shd w:val="clear" w:color="auto" w:fill="38862E" w:themeFill="accent3"/>
      </w:tcPr>
    </w:tblStylePr>
    <w:tblStylePr w:type="lastRow">
      <w:pPr>
        <w:spacing w:before="0" w:after="0" w:line="240" w:lineRule="auto"/>
      </w:pPr>
      <w:rPr>
        <w:b/>
        <w:bCs/>
      </w:rPr>
      <w:tblPr/>
      <w:tcPr>
        <w:tcBorders>
          <w:top w:val="double" w:sz="6" w:space="0" w:color="38862E" w:themeColor="accent3"/>
          <w:left w:val="single" w:sz="8" w:space="0" w:color="38862E" w:themeColor="accent3"/>
          <w:bottom w:val="single" w:sz="8" w:space="0" w:color="38862E" w:themeColor="accent3"/>
          <w:right w:val="single" w:sz="8" w:space="0" w:color="38862E" w:themeColor="accent3"/>
        </w:tcBorders>
      </w:tcPr>
    </w:tblStylePr>
    <w:tblStylePr w:type="firstCol">
      <w:rPr>
        <w:b/>
        <w:bCs/>
      </w:rPr>
    </w:tblStylePr>
    <w:tblStylePr w:type="lastCol">
      <w:rPr>
        <w:b/>
        <w:bCs/>
      </w:rPr>
    </w:tblStylePr>
    <w:tblStylePr w:type="band1Vert">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tblStylePr w:type="band1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style>
  <w:style w:type="table" w:styleId="LightList-Accent5">
    <w:name w:val="Light List Accent 5"/>
    <w:basedOn w:val="TableNormal"/>
    <w:uiPriority w:val="61"/>
    <w:rsid w:val="00FE227B"/>
    <w:pPr>
      <w:spacing w:before="0"/>
    </w:pPr>
    <w:rPr>
      <w:rFonts w:ascii="Roboto" w:hAnsi="Roboto"/>
    </w:rPr>
    <w:tblPr>
      <w:tblStyleRowBandSize w:val="1"/>
      <w:tblStyleColBandSize w:val="1"/>
      <w:tblBorders>
        <w:top w:val="single" w:sz="8" w:space="0" w:color="E85D72" w:themeColor="accent5"/>
        <w:left w:val="single" w:sz="8" w:space="0" w:color="E85D72" w:themeColor="accent5"/>
        <w:bottom w:val="single" w:sz="8" w:space="0" w:color="E85D72" w:themeColor="accent5"/>
        <w:right w:val="single" w:sz="8" w:space="0" w:color="E85D72" w:themeColor="accent5"/>
      </w:tblBorders>
    </w:tblPr>
    <w:tblStylePr w:type="firstRow">
      <w:pPr>
        <w:spacing w:before="0" w:after="0" w:line="240" w:lineRule="auto"/>
      </w:pPr>
      <w:rPr>
        <w:b/>
        <w:bCs/>
        <w:color w:val="auto"/>
      </w:rPr>
      <w:tblPr/>
      <w:tcPr>
        <w:shd w:val="clear" w:color="auto" w:fill="E85D72" w:themeFill="accent5"/>
      </w:tcPr>
    </w:tblStylePr>
    <w:tblStylePr w:type="lastRow">
      <w:pPr>
        <w:spacing w:before="0" w:after="0" w:line="240" w:lineRule="auto"/>
      </w:pPr>
      <w:rPr>
        <w:b/>
        <w:bCs/>
      </w:rPr>
      <w:tblPr/>
      <w:tcPr>
        <w:tcBorders>
          <w:top w:val="double" w:sz="6" w:space="0" w:color="E85D72" w:themeColor="accent5"/>
          <w:left w:val="single" w:sz="8" w:space="0" w:color="E85D72" w:themeColor="accent5"/>
          <w:bottom w:val="single" w:sz="8" w:space="0" w:color="E85D72" w:themeColor="accent5"/>
          <w:right w:val="single" w:sz="8" w:space="0" w:color="E85D72" w:themeColor="accent5"/>
        </w:tcBorders>
      </w:tcPr>
    </w:tblStylePr>
    <w:tblStylePr w:type="firstCol">
      <w:rPr>
        <w:b/>
        <w:bCs/>
      </w:rPr>
    </w:tblStylePr>
    <w:tblStylePr w:type="lastCol">
      <w:rPr>
        <w:b/>
        <w:bCs/>
      </w:rPr>
    </w:tblStylePr>
    <w:tblStylePr w:type="band1Vert">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tblStylePr w:type="band1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style>
  <w:style w:type="character" w:styleId="Emphasis">
    <w:name w:val="Emphasis"/>
    <w:basedOn w:val="DefaultParagraphFont"/>
    <w:uiPriority w:val="20"/>
    <w:qFormat/>
    <w:rsid w:val="00FE227B"/>
    <w:rPr>
      <w:i/>
      <w:iCs/>
    </w:rPr>
  </w:style>
  <w:style w:type="paragraph" w:styleId="NormalIndent">
    <w:name w:val="Normal Indent"/>
    <w:basedOn w:val="Normal"/>
    <w:uiPriority w:val="1"/>
    <w:rsid w:val="00FE227B"/>
    <w:pPr>
      <w:ind w:left="720"/>
    </w:pPr>
  </w:style>
  <w:style w:type="paragraph" w:styleId="FootnoteText">
    <w:name w:val="footnote text"/>
    <w:basedOn w:val="Normal"/>
    <w:link w:val="FootnoteTextChar"/>
    <w:uiPriority w:val="2"/>
    <w:rsid w:val="00FE227B"/>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FE227B"/>
    <w:rPr>
      <w:rFonts w:ascii="Roboto" w:hAnsi="Roboto"/>
      <w:sz w:val="16"/>
      <w:szCs w:val="20"/>
    </w:rPr>
  </w:style>
  <w:style w:type="character" w:styleId="FootnoteReference">
    <w:name w:val="footnote reference"/>
    <w:basedOn w:val="DefaultParagraphFont"/>
    <w:uiPriority w:val="99"/>
    <w:semiHidden/>
    <w:unhideWhenUsed/>
    <w:rsid w:val="00FE227B"/>
    <w:rPr>
      <w:vertAlign w:val="superscript"/>
    </w:rPr>
  </w:style>
  <w:style w:type="character" w:styleId="Strong">
    <w:name w:val="Strong"/>
    <w:basedOn w:val="DefaultParagraphFont"/>
    <w:uiPriority w:val="22"/>
    <w:qFormat/>
    <w:rsid w:val="00FE227B"/>
    <w:rPr>
      <w:b/>
      <w:bCs/>
    </w:rPr>
  </w:style>
  <w:style w:type="paragraph" w:styleId="Subtitle">
    <w:name w:val="Subtitle"/>
    <w:next w:val="Normal"/>
    <w:link w:val="SubtitleChar"/>
    <w:uiPriority w:val="11"/>
    <w:qFormat/>
    <w:rsid w:val="00FE227B"/>
    <w:pPr>
      <w:spacing w:before="360" w:after="120"/>
    </w:pPr>
    <w:rPr>
      <w:rFonts w:ascii="Roboto" w:hAnsi="Roboto"/>
      <w:b/>
      <w:color w:val="000000" w:themeColor="text1"/>
      <w:sz w:val="36"/>
      <w:szCs w:val="52"/>
    </w:rPr>
  </w:style>
  <w:style w:type="character" w:customStyle="1" w:styleId="SubtitleChar">
    <w:name w:val="Subtitle Char"/>
    <w:basedOn w:val="DefaultParagraphFont"/>
    <w:link w:val="Subtitle"/>
    <w:uiPriority w:val="11"/>
    <w:rsid w:val="00FE227B"/>
    <w:rPr>
      <w:rFonts w:ascii="Roboto" w:hAnsi="Roboto"/>
      <w:b/>
      <w:color w:val="000000" w:themeColor="text1"/>
      <w:sz w:val="36"/>
      <w:szCs w:val="52"/>
    </w:rPr>
  </w:style>
  <w:style w:type="table" w:styleId="LightShading-Accent4">
    <w:name w:val="Light Shading Accent 4"/>
    <w:basedOn w:val="TableNormal"/>
    <w:uiPriority w:val="60"/>
    <w:rsid w:val="00FE227B"/>
    <w:pPr>
      <w:spacing w:before="0"/>
    </w:pPr>
    <w:rPr>
      <w:rFonts w:ascii="Roboto" w:hAnsi="Roboto"/>
      <w:color w:val="9F7C08" w:themeColor="accent4" w:themeShade="BF"/>
    </w:rPr>
    <w:tblPr>
      <w:tblStyleRowBandSize w:val="1"/>
      <w:tblStyleColBandSize w:val="1"/>
      <w:tblBorders>
        <w:top w:val="single" w:sz="8" w:space="0" w:color="D5A70B" w:themeColor="accent4"/>
        <w:bottom w:val="single" w:sz="8" w:space="0" w:color="D5A70B" w:themeColor="accent4"/>
      </w:tblBorders>
    </w:tblPr>
    <w:tblStylePr w:type="firstRow">
      <w:pPr>
        <w:spacing w:before="0" w:after="0" w:line="240" w:lineRule="auto"/>
      </w:pPr>
      <w:rPr>
        <w:b/>
        <w:bCs/>
      </w:rPr>
      <w:tblPr/>
      <w:tcPr>
        <w:tcBorders>
          <w:top w:val="single" w:sz="8" w:space="0" w:color="D5A70B" w:themeColor="accent4"/>
          <w:left w:val="nil"/>
          <w:bottom w:val="single" w:sz="8" w:space="0" w:color="D5A70B" w:themeColor="accent4"/>
          <w:right w:val="nil"/>
          <w:insideH w:val="nil"/>
          <w:insideV w:val="nil"/>
        </w:tcBorders>
      </w:tcPr>
    </w:tblStylePr>
    <w:tblStylePr w:type="lastRow">
      <w:pPr>
        <w:spacing w:before="0" w:after="0" w:line="240" w:lineRule="auto"/>
      </w:pPr>
      <w:rPr>
        <w:b/>
        <w:bCs/>
      </w:rPr>
      <w:tblPr/>
      <w:tcPr>
        <w:tcBorders>
          <w:top w:val="single" w:sz="8" w:space="0" w:color="D5A70B" w:themeColor="accent4"/>
          <w:left w:val="nil"/>
          <w:bottom w:val="single" w:sz="8" w:space="0" w:color="D5A7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BB" w:themeFill="accent4" w:themeFillTint="3F"/>
      </w:tcPr>
    </w:tblStylePr>
    <w:tblStylePr w:type="band1Horz">
      <w:tblPr/>
      <w:tcPr>
        <w:tcBorders>
          <w:left w:val="nil"/>
          <w:right w:val="nil"/>
          <w:insideH w:val="nil"/>
          <w:insideV w:val="nil"/>
        </w:tcBorders>
        <w:shd w:val="clear" w:color="auto" w:fill="FBECBB" w:themeFill="accent4" w:themeFillTint="3F"/>
      </w:tcPr>
    </w:tblStylePr>
  </w:style>
  <w:style w:type="table" w:styleId="LightShading-Accent6">
    <w:name w:val="Light Shading Accent 6"/>
    <w:basedOn w:val="TableNormal"/>
    <w:uiPriority w:val="60"/>
    <w:rsid w:val="00FE227B"/>
    <w:pPr>
      <w:spacing w:before="0"/>
    </w:pPr>
    <w:rPr>
      <w:rFonts w:ascii="Roboto" w:hAnsi="Roboto"/>
      <w:color w:val="005F71" w:themeColor="accent6" w:themeShade="BF"/>
    </w:rPr>
    <w:tblPr>
      <w:tblStyleRowBandSize w:val="1"/>
      <w:tblStyleColBandSize w:val="1"/>
      <w:tblBorders>
        <w:top w:val="single" w:sz="8" w:space="0" w:color="008098" w:themeColor="accent6"/>
        <w:bottom w:val="single" w:sz="8" w:space="0" w:color="008098" w:themeColor="accent6"/>
      </w:tblBorders>
    </w:tblPr>
    <w:tblStylePr w:type="firstRow">
      <w:pPr>
        <w:spacing w:before="0" w:after="0" w:line="240" w:lineRule="auto"/>
      </w:pPr>
      <w:rPr>
        <w:b/>
        <w:bCs/>
      </w:rPr>
      <w:tblPr/>
      <w:tcPr>
        <w:tcBorders>
          <w:top w:val="single" w:sz="8" w:space="0" w:color="008098" w:themeColor="accent6"/>
          <w:left w:val="nil"/>
          <w:bottom w:val="single" w:sz="8" w:space="0" w:color="008098" w:themeColor="accent6"/>
          <w:right w:val="nil"/>
          <w:insideH w:val="nil"/>
          <w:insideV w:val="nil"/>
        </w:tcBorders>
      </w:tcPr>
    </w:tblStylePr>
    <w:tblStylePr w:type="lastRow">
      <w:pPr>
        <w:spacing w:before="0" w:after="0" w:line="240" w:lineRule="auto"/>
      </w:pPr>
      <w:rPr>
        <w:b/>
        <w:bCs/>
      </w:rPr>
      <w:tblPr/>
      <w:tcPr>
        <w:tcBorders>
          <w:top w:val="single" w:sz="8" w:space="0" w:color="008098" w:themeColor="accent6"/>
          <w:left w:val="nil"/>
          <w:bottom w:val="single" w:sz="8" w:space="0" w:color="00809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0FF" w:themeFill="accent6" w:themeFillTint="3F"/>
      </w:tcPr>
    </w:tblStylePr>
    <w:tblStylePr w:type="band1Horz">
      <w:tblPr/>
      <w:tcPr>
        <w:tcBorders>
          <w:left w:val="nil"/>
          <w:right w:val="nil"/>
          <w:insideH w:val="nil"/>
          <w:insideV w:val="nil"/>
        </w:tcBorders>
        <w:shd w:val="clear" w:color="auto" w:fill="A6F0FF" w:themeFill="accent6" w:themeFillTint="3F"/>
      </w:tcPr>
    </w:tblStylePr>
  </w:style>
  <w:style w:type="paragraph" w:styleId="TOC4">
    <w:name w:val="toc 4"/>
    <w:basedOn w:val="Normal"/>
    <w:next w:val="Normal"/>
    <w:uiPriority w:val="39"/>
    <w:rsid w:val="00FE227B"/>
    <w:pPr>
      <w:tabs>
        <w:tab w:val="right" w:leader="dot" w:pos="9016"/>
      </w:tabs>
      <w:spacing w:after="100"/>
      <w:ind w:left="1276"/>
    </w:pPr>
    <w:rPr>
      <w:noProof/>
    </w:rPr>
  </w:style>
  <w:style w:type="paragraph" w:styleId="TOC5">
    <w:name w:val="toc 5"/>
    <w:basedOn w:val="Normal"/>
    <w:next w:val="Normal"/>
    <w:uiPriority w:val="39"/>
    <w:rsid w:val="00FE227B"/>
    <w:pPr>
      <w:tabs>
        <w:tab w:val="right" w:leader="dot" w:pos="9016"/>
      </w:tabs>
      <w:spacing w:after="100"/>
      <w:ind w:left="1701"/>
    </w:pPr>
    <w:rPr>
      <w:noProof/>
    </w:rPr>
  </w:style>
  <w:style w:type="paragraph" w:styleId="TOC6">
    <w:name w:val="toc 6"/>
    <w:basedOn w:val="Normal"/>
    <w:next w:val="Normal"/>
    <w:uiPriority w:val="39"/>
    <w:rsid w:val="00FE227B"/>
    <w:pPr>
      <w:tabs>
        <w:tab w:val="right" w:leader="dot" w:pos="9016"/>
      </w:tabs>
      <w:spacing w:after="100"/>
      <w:ind w:left="2127"/>
    </w:pPr>
    <w:rPr>
      <w:noProof/>
    </w:rPr>
  </w:style>
  <w:style w:type="paragraph" w:styleId="TOC7">
    <w:name w:val="toc 7"/>
    <w:basedOn w:val="Normal"/>
    <w:next w:val="Normal"/>
    <w:uiPriority w:val="39"/>
    <w:rsid w:val="00FE227B"/>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FE227B"/>
    <w:pPr>
      <w:spacing w:before="120" w:after="120"/>
    </w:pPr>
    <w:rPr>
      <w:rFonts w:ascii="Roboto" w:hAnsi="Roboto"/>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FE227B"/>
    <w:pPr>
      <w:spacing w:before="0"/>
    </w:pPr>
    <w:rPr>
      <w:rFonts w:ascii="Roboto" w:hAnsi="Roboto"/>
    </w:r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FE227B"/>
    <w:pPr>
      <w:spacing w:before="0"/>
    </w:pPr>
    <w:rPr>
      <w:rFonts w:ascii="Roboto" w:hAnsi="Roboto"/>
    </w:rPr>
    <w:tblPr>
      <w:tblStyleRowBandSize w:val="1"/>
      <w:tblStyleColBandSize w:val="1"/>
      <w:tblBorders>
        <w:top w:val="single" w:sz="8" w:space="0" w:color="D5A70B" w:themeColor="accent4"/>
        <w:left w:val="single" w:sz="8" w:space="0" w:color="D5A70B" w:themeColor="accent4"/>
        <w:bottom w:val="single" w:sz="8" w:space="0" w:color="D5A70B" w:themeColor="accent4"/>
        <w:right w:val="single" w:sz="8" w:space="0" w:color="D5A70B" w:themeColor="accent4"/>
      </w:tblBorders>
    </w:tblPr>
    <w:tblStylePr w:type="firstRow">
      <w:pPr>
        <w:spacing w:before="0" w:after="0" w:line="240" w:lineRule="auto"/>
      </w:pPr>
      <w:rPr>
        <w:b/>
        <w:bCs/>
        <w:color w:val="FFFFFF" w:themeColor="background1"/>
      </w:rPr>
      <w:tblPr/>
      <w:tcPr>
        <w:shd w:val="clear" w:color="auto" w:fill="D5A70B" w:themeFill="accent4"/>
      </w:tcPr>
    </w:tblStylePr>
    <w:tblStylePr w:type="lastRow">
      <w:pPr>
        <w:spacing w:before="0" w:after="0" w:line="240" w:lineRule="auto"/>
      </w:pPr>
      <w:rPr>
        <w:b/>
        <w:bCs/>
      </w:rPr>
      <w:tblPr/>
      <w:tcPr>
        <w:tcBorders>
          <w:top w:val="double" w:sz="6" w:space="0" w:color="D5A70B" w:themeColor="accent4"/>
          <w:left w:val="single" w:sz="8" w:space="0" w:color="D5A70B" w:themeColor="accent4"/>
          <w:bottom w:val="single" w:sz="8" w:space="0" w:color="D5A70B" w:themeColor="accent4"/>
          <w:right w:val="single" w:sz="8" w:space="0" w:color="D5A70B" w:themeColor="accent4"/>
        </w:tcBorders>
      </w:tcPr>
    </w:tblStylePr>
    <w:tblStylePr w:type="firstCol">
      <w:rPr>
        <w:b/>
        <w:bCs/>
      </w:rPr>
    </w:tblStylePr>
    <w:tblStylePr w:type="lastCol">
      <w:rPr>
        <w:b/>
        <w:bCs/>
      </w:rPr>
    </w:tblStylePr>
    <w:tblStylePr w:type="band1Vert">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tblStylePr w:type="band1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style>
  <w:style w:type="table" w:styleId="LightList-Accent6">
    <w:name w:val="Light List Accent 6"/>
    <w:basedOn w:val="TableNormal"/>
    <w:uiPriority w:val="61"/>
    <w:rsid w:val="00FE227B"/>
    <w:pPr>
      <w:spacing w:before="0"/>
    </w:pPr>
    <w:rPr>
      <w:rFonts w:ascii="Roboto" w:hAnsi="Roboto"/>
    </w:rPr>
    <w:tblPr>
      <w:tblStyleRowBandSize w:val="1"/>
      <w:tblStyleColBandSize w:val="1"/>
      <w:tblBorders>
        <w:top w:val="single" w:sz="8" w:space="0" w:color="008098" w:themeColor="accent6"/>
        <w:left w:val="single" w:sz="8" w:space="0" w:color="008098" w:themeColor="accent6"/>
        <w:bottom w:val="single" w:sz="8" w:space="0" w:color="008098" w:themeColor="accent6"/>
        <w:right w:val="single" w:sz="8" w:space="0" w:color="008098" w:themeColor="accent6"/>
      </w:tblBorders>
    </w:tblPr>
    <w:tblStylePr w:type="firstRow">
      <w:pPr>
        <w:spacing w:before="0" w:after="0" w:line="240" w:lineRule="auto"/>
      </w:pPr>
      <w:rPr>
        <w:b/>
        <w:bCs/>
        <w:color w:val="FFFFFF" w:themeColor="background1"/>
      </w:rPr>
      <w:tblPr/>
      <w:tcPr>
        <w:shd w:val="clear" w:color="auto" w:fill="008098" w:themeFill="accent6"/>
      </w:tcPr>
    </w:tblStylePr>
    <w:tblStylePr w:type="lastRow">
      <w:pPr>
        <w:spacing w:before="0" w:after="0" w:line="240" w:lineRule="auto"/>
      </w:pPr>
      <w:rPr>
        <w:b/>
        <w:bCs/>
      </w:rPr>
      <w:tblPr/>
      <w:tcPr>
        <w:tcBorders>
          <w:top w:val="double" w:sz="6" w:space="0" w:color="008098" w:themeColor="accent6"/>
          <w:left w:val="single" w:sz="8" w:space="0" w:color="008098" w:themeColor="accent6"/>
          <w:bottom w:val="single" w:sz="8" w:space="0" w:color="008098" w:themeColor="accent6"/>
          <w:right w:val="single" w:sz="8" w:space="0" w:color="008098" w:themeColor="accent6"/>
        </w:tcBorders>
      </w:tcPr>
    </w:tblStylePr>
    <w:tblStylePr w:type="firstCol">
      <w:rPr>
        <w:b/>
        <w:bCs/>
      </w:rPr>
    </w:tblStylePr>
    <w:tblStylePr w:type="lastCol">
      <w:rPr>
        <w:b/>
        <w:bCs/>
      </w:rPr>
    </w:tblStylePr>
    <w:tblStylePr w:type="band1Vert">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tblStylePr w:type="band1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style>
  <w:style w:type="table" w:styleId="LightGrid">
    <w:name w:val="Light Grid"/>
    <w:basedOn w:val="TableNormal"/>
    <w:uiPriority w:val="62"/>
    <w:rsid w:val="00FE227B"/>
    <w:pPr>
      <w:spacing w:before="0"/>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E227B"/>
    <w:pPr>
      <w:spacing w:before="0"/>
    </w:pPr>
    <w:rPr>
      <w:rFonts w:ascii="Roboto" w:hAnsi="Roboto"/>
    </w:rPr>
    <w:tblPr>
      <w:tblStyleRowBandSize w:val="1"/>
      <w:tblStyleColBandSize w:val="1"/>
      <w:tblBorders>
        <w:top w:val="single" w:sz="8" w:space="0" w:color="342D8C" w:themeColor="accent1"/>
        <w:left w:val="single" w:sz="8" w:space="0" w:color="342D8C" w:themeColor="accent1"/>
        <w:bottom w:val="single" w:sz="8" w:space="0" w:color="342D8C" w:themeColor="accent1"/>
        <w:right w:val="single" w:sz="8" w:space="0" w:color="342D8C" w:themeColor="accent1"/>
        <w:insideH w:val="single" w:sz="8" w:space="0" w:color="342D8C" w:themeColor="accent1"/>
        <w:insideV w:val="single" w:sz="8" w:space="0" w:color="342D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2D8C" w:themeColor="accent1"/>
          <w:left w:val="single" w:sz="8" w:space="0" w:color="342D8C" w:themeColor="accent1"/>
          <w:bottom w:val="single" w:sz="18" w:space="0" w:color="342D8C" w:themeColor="accent1"/>
          <w:right w:val="single" w:sz="8" w:space="0" w:color="342D8C" w:themeColor="accent1"/>
          <w:insideH w:val="nil"/>
          <w:insideV w:val="single" w:sz="8" w:space="0" w:color="342D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2D8C" w:themeColor="accent1"/>
          <w:left w:val="single" w:sz="8" w:space="0" w:color="342D8C" w:themeColor="accent1"/>
          <w:bottom w:val="single" w:sz="8" w:space="0" w:color="342D8C" w:themeColor="accent1"/>
          <w:right w:val="single" w:sz="8" w:space="0" w:color="342D8C" w:themeColor="accent1"/>
          <w:insideH w:val="nil"/>
          <w:insideV w:val="single" w:sz="8" w:space="0" w:color="342D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tblStylePr w:type="band1Vert">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shd w:val="clear" w:color="auto" w:fill="C5C2EB" w:themeFill="accent1" w:themeFillTint="3F"/>
      </w:tcPr>
    </w:tblStylePr>
    <w:tblStylePr w:type="band1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insideV w:val="single" w:sz="8" w:space="0" w:color="342D8C" w:themeColor="accent1"/>
        </w:tcBorders>
        <w:shd w:val="clear" w:color="auto" w:fill="C5C2EB" w:themeFill="accent1" w:themeFillTint="3F"/>
      </w:tcPr>
    </w:tblStylePr>
    <w:tblStylePr w:type="band2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insideV w:val="single" w:sz="8" w:space="0" w:color="342D8C" w:themeColor="accent1"/>
        </w:tcBorders>
      </w:tcPr>
    </w:tblStylePr>
  </w:style>
  <w:style w:type="table" w:styleId="LightGrid-Accent2">
    <w:name w:val="Light Grid Accent 2"/>
    <w:basedOn w:val="TableNormal"/>
    <w:uiPriority w:val="62"/>
    <w:rsid w:val="00FE227B"/>
    <w:pPr>
      <w:spacing w:before="0"/>
    </w:pPr>
    <w:rPr>
      <w:rFonts w:ascii="Roboto" w:hAnsi="Roboto"/>
    </w:r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FE227B"/>
    <w:pPr>
      <w:spacing w:before="0"/>
    </w:pPr>
    <w:rPr>
      <w:rFonts w:ascii="Roboto" w:hAnsi="Roboto"/>
    </w:rPr>
    <w:tblPr>
      <w:tblStyleRowBandSize w:val="1"/>
      <w:tblStyleColBandSize w:val="1"/>
      <w:tblBorders>
        <w:top w:val="single" w:sz="8" w:space="0" w:color="D5A70B" w:themeColor="accent4"/>
        <w:left w:val="single" w:sz="8" w:space="0" w:color="D5A70B" w:themeColor="accent4"/>
        <w:bottom w:val="single" w:sz="8" w:space="0" w:color="D5A70B" w:themeColor="accent4"/>
        <w:right w:val="single" w:sz="8" w:space="0" w:color="D5A70B" w:themeColor="accent4"/>
        <w:insideH w:val="single" w:sz="8" w:space="0" w:color="D5A70B" w:themeColor="accent4"/>
        <w:insideV w:val="single" w:sz="8" w:space="0" w:color="D5A70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A70B" w:themeColor="accent4"/>
          <w:left w:val="single" w:sz="8" w:space="0" w:color="D5A70B" w:themeColor="accent4"/>
          <w:bottom w:val="single" w:sz="18" w:space="0" w:color="D5A70B" w:themeColor="accent4"/>
          <w:right w:val="single" w:sz="8" w:space="0" w:color="D5A70B" w:themeColor="accent4"/>
          <w:insideH w:val="nil"/>
          <w:insideV w:val="single" w:sz="8" w:space="0" w:color="D5A70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A70B" w:themeColor="accent4"/>
          <w:left w:val="single" w:sz="8" w:space="0" w:color="D5A70B" w:themeColor="accent4"/>
          <w:bottom w:val="single" w:sz="8" w:space="0" w:color="D5A70B" w:themeColor="accent4"/>
          <w:right w:val="single" w:sz="8" w:space="0" w:color="D5A70B" w:themeColor="accent4"/>
          <w:insideH w:val="nil"/>
          <w:insideV w:val="single" w:sz="8" w:space="0" w:color="D5A70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tblStylePr w:type="band1Vert">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shd w:val="clear" w:color="auto" w:fill="FBECBB" w:themeFill="accent4" w:themeFillTint="3F"/>
      </w:tcPr>
    </w:tblStylePr>
    <w:tblStylePr w:type="band1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insideV w:val="single" w:sz="8" w:space="0" w:color="D5A70B" w:themeColor="accent4"/>
        </w:tcBorders>
        <w:shd w:val="clear" w:color="auto" w:fill="FBECBB" w:themeFill="accent4" w:themeFillTint="3F"/>
      </w:tcPr>
    </w:tblStylePr>
    <w:tblStylePr w:type="band2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insideV w:val="single" w:sz="8" w:space="0" w:color="D5A70B" w:themeColor="accent4"/>
        </w:tcBorders>
      </w:tcPr>
    </w:tblStylePr>
  </w:style>
  <w:style w:type="table" w:styleId="LightGrid-Accent5">
    <w:name w:val="Light Grid Accent 5"/>
    <w:basedOn w:val="TableNormal"/>
    <w:uiPriority w:val="62"/>
    <w:rsid w:val="00FE227B"/>
    <w:pPr>
      <w:spacing w:before="0"/>
    </w:pPr>
    <w:rPr>
      <w:rFonts w:ascii="Roboto" w:hAnsi="Roboto"/>
    </w:rPr>
    <w:tblPr>
      <w:tblStyleRowBandSize w:val="1"/>
      <w:tblStyleColBandSize w:val="1"/>
      <w:tblBorders>
        <w:top w:val="single" w:sz="8" w:space="0" w:color="E85D72" w:themeColor="accent5"/>
        <w:left w:val="single" w:sz="8" w:space="0" w:color="E85D72" w:themeColor="accent5"/>
        <w:bottom w:val="single" w:sz="8" w:space="0" w:color="E85D72" w:themeColor="accent5"/>
        <w:right w:val="single" w:sz="8" w:space="0" w:color="E85D72" w:themeColor="accent5"/>
        <w:insideH w:val="single" w:sz="8" w:space="0" w:color="E85D72" w:themeColor="accent5"/>
        <w:insideV w:val="single" w:sz="8" w:space="0" w:color="E85D7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5D72" w:themeColor="accent5"/>
          <w:left w:val="single" w:sz="8" w:space="0" w:color="E85D72" w:themeColor="accent5"/>
          <w:bottom w:val="single" w:sz="18" w:space="0" w:color="E85D72" w:themeColor="accent5"/>
          <w:right w:val="single" w:sz="8" w:space="0" w:color="E85D72" w:themeColor="accent5"/>
          <w:insideH w:val="nil"/>
          <w:insideV w:val="single" w:sz="8" w:space="0" w:color="E85D7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5D72" w:themeColor="accent5"/>
          <w:left w:val="single" w:sz="8" w:space="0" w:color="E85D72" w:themeColor="accent5"/>
          <w:bottom w:val="single" w:sz="8" w:space="0" w:color="E85D72" w:themeColor="accent5"/>
          <w:right w:val="single" w:sz="8" w:space="0" w:color="E85D72" w:themeColor="accent5"/>
          <w:insideH w:val="nil"/>
          <w:insideV w:val="single" w:sz="8" w:space="0" w:color="E85D7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tblStylePr w:type="band1Vert">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shd w:val="clear" w:color="auto" w:fill="F9D6DB" w:themeFill="accent5" w:themeFillTint="3F"/>
      </w:tcPr>
    </w:tblStylePr>
    <w:tblStylePr w:type="band1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insideV w:val="single" w:sz="8" w:space="0" w:color="E85D72" w:themeColor="accent5"/>
        </w:tcBorders>
        <w:shd w:val="clear" w:color="auto" w:fill="F9D6DB" w:themeFill="accent5" w:themeFillTint="3F"/>
      </w:tcPr>
    </w:tblStylePr>
    <w:tblStylePr w:type="band2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insideV w:val="single" w:sz="8" w:space="0" w:color="E85D72" w:themeColor="accent5"/>
        </w:tcBorders>
      </w:tcPr>
    </w:tblStylePr>
  </w:style>
  <w:style w:type="paragraph" w:customStyle="1" w:styleId="HeaderRight">
    <w:name w:val="Header Right"/>
    <w:basedOn w:val="Header"/>
    <w:uiPriority w:val="35"/>
    <w:qFormat/>
    <w:rsid w:val="00FE227B"/>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2427B6"/>
    <w:pPr>
      <w:numPr>
        <w:ilvl w:val="8"/>
        <w:numId w:val="27"/>
      </w:numPr>
      <w:tabs>
        <w:tab w:val="left" w:pos="2381"/>
      </w:tabs>
      <w:ind w:left="1701" w:hanging="1701"/>
    </w:pPr>
    <w:rPr>
      <w:b w:val="0"/>
      <w:color w:val="5B6AC7" w:themeColor="text2" w:themeTint="80"/>
      <w:sz w:val="22"/>
    </w:rPr>
  </w:style>
  <w:style w:type="paragraph" w:styleId="Caption">
    <w:name w:val="caption"/>
    <w:basedOn w:val="Normal"/>
    <w:next w:val="Normal"/>
    <w:uiPriority w:val="35"/>
    <w:unhideWhenUsed/>
    <w:qFormat/>
    <w:rsid w:val="00FE227B"/>
    <w:pPr>
      <w:spacing w:before="240" w:after="120"/>
    </w:pPr>
    <w:rPr>
      <w:b/>
      <w:bCs/>
      <w:szCs w:val="18"/>
    </w:rPr>
  </w:style>
  <w:style w:type="paragraph" w:styleId="List">
    <w:name w:val="List"/>
    <w:basedOn w:val="Normal"/>
    <w:uiPriority w:val="99"/>
    <w:rsid w:val="00FE227B"/>
    <w:pPr>
      <w:tabs>
        <w:tab w:val="left" w:pos="340"/>
      </w:tabs>
      <w:spacing w:before="120"/>
      <w:ind w:left="340" w:hanging="340"/>
    </w:pPr>
  </w:style>
  <w:style w:type="paragraph" w:styleId="List2">
    <w:name w:val="List 2"/>
    <w:basedOn w:val="Normal"/>
    <w:uiPriority w:val="99"/>
    <w:rsid w:val="00FE227B"/>
    <w:pPr>
      <w:tabs>
        <w:tab w:val="left" w:pos="680"/>
      </w:tabs>
      <w:spacing w:before="120"/>
      <w:ind w:left="680" w:hanging="340"/>
    </w:pPr>
  </w:style>
  <w:style w:type="paragraph" w:styleId="List3">
    <w:name w:val="List 3"/>
    <w:basedOn w:val="Normal"/>
    <w:uiPriority w:val="99"/>
    <w:rsid w:val="00FE227B"/>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FE227B"/>
    <w:pPr>
      <w:numPr>
        <w:numId w:val="18"/>
      </w:numPr>
      <w:spacing w:before="120"/>
    </w:pPr>
  </w:style>
  <w:style w:type="paragraph" w:styleId="ListBullet4">
    <w:name w:val="List Bullet 4"/>
    <w:basedOn w:val="Normal"/>
    <w:uiPriority w:val="99"/>
    <w:rsid w:val="00547CCF"/>
    <w:pPr>
      <w:numPr>
        <w:numId w:val="1"/>
      </w:numPr>
      <w:tabs>
        <w:tab w:val="clear" w:pos="1209"/>
        <w:tab w:val="num" w:pos="1361"/>
      </w:tabs>
      <w:spacing w:before="120"/>
      <w:ind w:left="1361" w:hanging="340"/>
    </w:pPr>
  </w:style>
  <w:style w:type="paragraph" w:styleId="ListBullet5">
    <w:name w:val="List Bullet 5"/>
    <w:basedOn w:val="Normal"/>
    <w:uiPriority w:val="99"/>
    <w:rsid w:val="00547CCF"/>
    <w:pPr>
      <w:numPr>
        <w:numId w:val="2"/>
      </w:numPr>
      <w:tabs>
        <w:tab w:val="clear" w:pos="1492"/>
        <w:tab w:val="num" w:pos="1701"/>
      </w:tabs>
      <w:spacing w:before="120"/>
      <w:ind w:left="1701" w:hanging="340"/>
    </w:pPr>
  </w:style>
  <w:style w:type="paragraph" w:styleId="ListContinue">
    <w:name w:val="List Continue"/>
    <w:basedOn w:val="Normal"/>
    <w:uiPriority w:val="99"/>
    <w:rsid w:val="00FE227B"/>
    <w:pPr>
      <w:tabs>
        <w:tab w:val="left" w:pos="340"/>
      </w:tabs>
      <w:spacing w:before="120"/>
      <w:ind w:left="340"/>
    </w:pPr>
  </w:style>
  <w:style w:type="paragraph" w:styleId="ListContinue2">
    <w:name w:val="List Continue 2"/>
    <w:basedOn w:val="Normal"/>
    <w:uiPriority w:val="99"/>
    <w:rsid w:val="00FE227B"/>
    <w:pPr>
      <w:tabs>
        <w:tab w:val="left" w:pos="680"/>
      </w:tabs>
      <w:spacing w:before="120"/>
      <w:ind w:left="680"/>
    </w:pPr>
  </w:style>
  <w:style w:type="paragraph" w:styleId="ListContinue3">
    <w:name w:val="List Continue 3"/>
    <w:basedOn w:val="Normal"/>
    <w:uiPriority w:val="99"/>
    <w:rsid w:val="00FE227B"/>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FE227B"/>
    <w:pPr>
      <w:numPr>
        <w:numId w:val="22"/>
      </w:numPr>
      <w:tabs>
        <w:tab w:val="left" w:pos="1021"/>
      </w:tabs>
      <w:spacing w:before="120"/>
    </w:pPr>
  </w:style>
  <w:style w:type="paragraph" w:styleId="ListNumber4">
    <w:name w:val="List Number 4"/>
    <w:basedOn w:val="Normal"/>
    <w:uiPriority w:val="99"/>
    <w:rsid w:val="00BE4C99"/>
    <w:pPr>
      <w:numPr>
        <w:numId w:val="3"/>
      </w:numPr>
      <w:tabs>
        <w:tab w:val="left" w:pos="1701"/>
      </w:tabs>
      <w:spacing w:before="120"/>
    </w:pPr>
  </w:style>
  <w:style w:type="paragraph" w:styleId="ListNumber5">
    <w:name w:val="List Number 5"/>
    <w:basedOn w:val="Normal"/>
    <w:uiPriority w:val="99"/>
    <w:rsid w:val="00BE4C99"/>
    <w:pPr>
      <w:numPr>
        <w:numId w:val="4"/>
      </w:numPr>
      <w:spacing w:before="120"/>
    </w:pPr>
  </w:style>
  <w:style w:type="table" w:customStyle="1" w:styleId="ACCCTable1">
    <w:name w:val="ACCC Table1"/>
    <w:basedOn w:val="TableNormal"/>
    <w:next w:val="TableGrid"/>
    <w:uiPriority w:val="59"/>
    <w:rsid w:val="00FE227B"/>
    <w:pPr>
      <w:spacing w:before="60" w:after="60"/>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8" w:space="0" w:color="auto"/>
          <w:left w:val="nil"/>
          <w:bottom w:val="single" w:sz="8" w:space="0" w:color="auto"/>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FE227B"/>
    <w:pPr>
      <w:jc w:val="right"/>
    </w:pPr>
    <w:rPr>
      <w:rFonts w:eastAsia="Times New Roman" w:cs="Times New Roman"/>
      <w:szCs w:val="20"/>
    </w:rPr>
  </w:style>
  <w:style w:type="paragraph" w:customStyle="1" w:styleId="Tabletext-centred">
    <w:name w:val="Table text - centred"/>
    <w:basedOn w:val="Tabletext-right"/>
    <w:link w:val="Tabletext-centredChar"/>
    <w:rsid w:val="00FE227B"/>
    <w:pPr>
      <w:jc w:val="center"/>
    </w:pPr>
  </w:style>
  <w:style w:type="character" w:customStyle="1" w:styleId="Tabletext-rightChar">
    <w:name w:val="Table text - right Char"/>
    <w:basedOn w:val="TabletextChar"/>
    <w:link w:val="Tabletext-right"/>
    <w:rsid w:val="00FE227B"/>
    <w:rPr>
      <w:rFonts w:ascii="Roboto" w:eastAsia="Times New Roman" w:hAnsi="Roboto" w:cs="Times New Roman"/>
      <w:sz w:val="20"/>
      <w:szCs w:val="20"/>
    </w:rPr>
  </w:style>
  <w:style w:type="character" w:customStyle="1" w:styleId="TabletextChar">
    <w:name w:val="Table text Char"/>
    <w:basedOn w:val="DefaultParagraphFont"/>
    <w:link w:val="Tabletext"/>
    <w:uiPriority w:val="1"/>
    <w:rsid w:val="00FE227B"/>
    <w:rPr>
      <w:rFonts w:ascii="Roboto" w:hAnsi="Roboto"/>
      <w:sz w:val="20"/>
    </w:rPr>
  </w:style>
  <w:style w:type="character" w:customStyle="1" w:styleId="Tabletext-centredChar">
    <w:name w:val="Table text - centred Char"/>
    <w:basedOn w:val="Tabletext-rightChar"/>
    <w:link w:val="Tabletext-centred"/>
    <w:rsid w:val="00FE227B"/>
    <w:rPr>
      <w:rFonts w:ascii="Roboto" w:eastAsia="Times New Roman" w:hAnsi="Roboto" w:cs="Times New Roman"/>
      <w:sz w:val="20"/>
      <w:szCs w:val="20"/>
    </w:rPr>
  </w:style>
  <w:style w:type="character" w:customStyle="1" w:styleId="EndnoteTextChar">
    <w:name w:val="Endnote Text Char"/>
    <w:basedOn w:val="DefaultParagraphFont"/>
    <w:link w:val="EndnoteText"/>
    <w:uiPriority w:val="99"/>
    <w:rsid w:val="00FE227B"/>
    <w:rPr>
      <w:rFonts w:ascii="Roboto" w:hAnsi="Roboto"/>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FE227B"/>
    <w:pPr>
      <w:spacing w:before="0"/>
    </w:pPr>
    <w:rPr>
      <w:rFonts w:ascii="Roboto" w:hAnsi="Roboto"/>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FE227B"/>
    <w:rPr>
      <w:rFonts w:ascii="Roboto" w:hAnsi="Roboto"/>
      <w:sz w:val="16"/>
      <w:vertAlign w:val="superscript"/>
    </w:rPr>
  </w:style>
  <w:style w:type="paragraph" w:customStyle="1" w:styleId="Numberedparagraph11">
    <w:name w:val="Numbered paragraph 1.1"/>
    <w:basedOn w:val="Numbered11"/>
    <w:qFormat/>
    <w:rsid w:val="00FE227B"/>
    <w:pPr>
      <w:outlineLvl w:val="9"/>
    </w:pPr>
    <w:rPr>
      <w:rFonts w:ascii="Roboto" w:hAnsi="Roboto"/>
      <w:bCs w:val="0"/>
      <w:color w:val="auto"/>
      <w:sz w:val="22"/>
    </w:rPr>
  </w:style>
  <w:style w:type="character" w:customStyle="1" w:styleId="Numbered1Char">
    <w:name w:val="Numbered 1 Char"/>
    <w:basedOn w:val="Heading1Char"/>
    <w:link w:val="Numbered1"/>
    <w:rsid w:val="00FE227B"/>
    <w:rPr>
      <w:rFonts w:ascii="Bitter" w:eastAsiaTheme="majorEastAsia" w:hAnsi="Bitter" w:cstheme="majorBidi"/>
      <w:bCs/>
      <w:color w:val="342D8C" w:themeColor="accent1"/>
      <w:sz w:val="60"/>
      <w:szCs w:val="28"/>
    </w:rPr>
  </w:style>
  <w:style w:type="paragraph" w:customStyle="1" w:styleId="Numberedparagraph">
    <w:name w:val="Numbered paragraph"/>
    <w:basedOn w:val="Normal"/>
    <w:rsid w:val="00FE227B"/>
    <w:pPr>
      <w:numPr>
        <w:numId w:val="26"/>
      </w:numPr>
    </w:pPr>
    <w:rPr>
      <w:rFonts w:eastAsia="Times New Roman" w:cs="Times New Roman"/>
      <w:color w:val="000000" w:themeColor="text1" w:themeShade="BF"/>
      <w:szCs w:val="20"/>
    </w:rPr>
  </w:style>
  <w:style w:type="paragraph" w:customStyle="1" w:styleId="Listalphabet2">
    <w:name w:val="List alphabet 2"/>
    <w:rsid w:val="00FE227B"/>
    <w:pPr>
      <w:numPr>
        <w:numId w:val="16"/>
      </w:numPr>
      <w:tabs>
        <w:tab w:val="left" w:pos="680"/>
      </w:tabs>
      <w:spacing w:before="120"/>
    </w:pPr>
    <w:rPr>
      <w:rFonts w:ascii="Roboto" w:hAnsi="Roboto"/>
    </w:rPr>
  </w:style>
  <w:style w:type="paragraph" w:customStyle="1" w:styleId="Listalphabet3">
    <w:name w:val="List alphabet 3"/>
    <w:rsid w:val="00FE227B"/>
    <w:pPr>
      <w:numPr>
        <w:numId w:val="17"/>
      </w:numPr>
      <w:tabs>
        <w:tab w:val="left" w:pos="1021"/>
      </w:tabs>
      <w:spacing w:before="120"/>
    </w:pPr>
    <w:rPr>
      <w:rFonts w:ascii="Roboto" w:hAnsi="Roboto"/>
    </w:rPr>
  </w:style>
  <w:style w:type="paragraph" w:customStyle="1" w:styleId="Listalphabet4">
    <w:name w:val="List alphabet 4"/>
    <w:rsid w:val="00FE227B"/>
    <w:pPr>
      <w:numPr>
        <w:numId w:val="6"/>
      </w:numPr>
      <w:tabs>
        <w:tab w:val="left" w:pos="1361"/>
      </w:tabs>
      <w:spacing w:before="120"/>
    </w:pPr>
    <w:rPr>
      <w:rFonts w:ascii="Roboto" w:hAnsi="Roboto"/>
    </w:rPr>
  </w:style>
  <w:style w:type="paragraph" w:customStyle="1" w:styleId="Listalphabet5">
    <w:name w:val="List alphabet 5"/>
    <w:rsid w:val="00FE227B"/>
    <w:pPr>
      <w:numPr>
        <w:numId w:val="7"/>
      </w:numPr>
      <w:tabs>
        <w:tab w:val="left" w:pos="1701"/>
      </w:tabs>
      <w:spacing w:before="120"/>
    </w:pPr>
    <w:rPr>
      <w:rFonts w:ascii="Roboto" w:hAnsi="Roboto"/>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FE227B"/>
    <w:pPr>
      <w:numPr>
        <w:numId w:val="15"/>
      </w:numPr>
      <w:tabs>
        <w:tab w:val="left" w:pos="340"/>
      </w:tabs>
      <w:spacing w:before="120"/>
    </w:pPr>
    <w:rPr>
      <w:rFonts w:ascii="Roboto" w:hAnsi="Roboto"/>
    </w:rPr>
  </w:style>
  <w:style w:type="paragraph" w:styleId="NoteHeading">
    <w:name w:val="Note Heading"/>
    <w:basedOn w:val="Normal"/>
    <w:next w:val="Normal"/>
    <w:link w:val="NoteHeadingChar"/>
    <w:uiPriority w:val="99"/>
    <w:semiHidden/>
    <w:unhideWhenUsed/>
    <w:rsid w:val="00FE227B"/>
    <w:pPr>
      <w:spacing w:before="0"/>
    </w:pPr>
  </w:style>
  <w:style w:type="character" w:customStyle="1" w:styleId="NoteHeadingChar">
    <w:name w:val="Note Heading Char"/>
    <w:basedOn w:val="DefaultParagraphFont"/>
    <w:link w:val="NoteHeading"/>
    <w:uiPriority w:val="99"/>
    <w:semiHidden/>
    <w:rsid w:val="00FE227B"/>
    <w:rPr>
      <w:rFonts w:ascii="Roboto" w:hAnsi="Roboto"/>
    </w:rPr>
  </w:style>
  <w:style w:type="character" w:styleId="SubtleReference">
    <w:name w:val="Subtle Reference"/>
    <w:basedOn w:val="DefaultParagraphFont"/>
    <w:uiPriority w:val="31"/>
    <w:unhideWhenUsed/>
    <w:rsid w:val="00FE227B"/>
    <w:rPr>
      <w:smallCaps/>
      <w:color w:val="auto"/>
      <w:u w:val="single"/>
    </w:rPr>
  </w:style>
  <w:style w:type="paragraph" w:customStyle="1" w:styleId="ListLegal">
    <w:name w:val="List Legal"/>
    <w:basedOn w:val="ListParagraph"/>
    <w:rsid w:val="00FE227B"/>
    <w:pPr>
      <w:numPr>
        <w:numId w:val="20"/>
      </w:numPr>
      <w:tabs>
        <w:tab w:val="left" w:pos="680"/>
      </w:tabs>
    </w:pPr>
  </w:style>
  <w:style w:type="paragraph" w:customStyle="1" w:styleId="ListLegal2">
    <w:name w:val="List Legal 2"/>
    <w:basedOn w:val="ListLegal"/>
    <w:rsid w:val="00FE227B"/>
    <w:pPr>
      <w:numPr>
        <w:numId w:val="21"/>
      </w:numPr>
      <w:tabs>
        <w:tab w:val="clear" w:pos="680"/>
        <w:tab w:val="left" w:pos="1021"/>
      </w:tabs>
    </w:pPr>
  </w:style>
  <w:style w:type="paragraph" w:customStyle="1" w:styleId="ListLegal3">
    <w:name w:val="List Legal 3"/>
    <w:basedOn w:val="ListNumber3"/>
    <w:rsid w:val="00FE227B"/>
    <w:pPr>
      <w:numPr>
        <w:numId w:val="23"/>
      </w:numPr>
      <w:tabs>
        <w:tab w:val="clear" w:pos="1021"/>
        <w:tab w:val="left" w:pos="1361"/>
      </w:tabs>
    </w:pPr>
  </w:style>
  <w:style w:type="paragraph" w:customStyle="1" w:styleId="ListLegal4">
    <w:name w:val="List Legal 4"/>
    <w:basedOn w:val="ListLegal3"/>
    <w:rsid w:val="00CF799E"/>
    <w:pPr>
      <w:numPr>
        <w:numId w:val="5"/>
      </w:numPr>
      <w:tabs>
        <w:tab w:val="clear" w:pos="1361"/>
        <w:tab w:val="left" w:pos="1701"/>
      </w:tabs>
    </w:pPr>
  </w:style>
  <w:style w:type="paragraph" w:customStyle="1" w:styleId="ListLegal5">
    <w:name w:val="List Legal 5"/>
    <w:basedOn w:val="ListLegal4"/>
    <w:rsid w:val="000F2368"/>
    <w:pPr>
      <w:numPr>
        <w:numId w:val="8"/>
      </w:numPr>
      <w:tabs>
        <w:tab w:val="clear" w:pos="1701"/>
        <w:tab w:val="left" w:pos="2041"/>
      </w:tabs>
    </w:pPr>
  </w:style>
  <w:style w:type="paragraph" w:customStyle="1" w:styleId="LegalNumbering">
    <w:name w:val="Legal Numbering"/>
    <w:basedOn w:val="Normal"/>
    <w:qFormat/>
    <w:rsid w:val="00FE227B"/>
    <w:pPr>
      <w:numPr>
        <w:numId w:val="14"/>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FE227B"/>
    <w:pPr>
      <w:spacing w:before="120" w:after="120"/>
    </w:pPr>
    <w:rPr>
      <w:rFonts w:ascii="Roboto" w:hAnsi="Roboto"/>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E227B"/>
    <w:rPr>
      <w:sz w:val="16"/>
      <w:szCs w:val="16"/>
    </w:rPr>
  </w:style>
  <w:style w:type="paragraph" w:styleId="CommentText">
    <w:name w:val="annotation text"/>
    <w:basedOn w:val="Normal"/>
    <w:link w:val="CommentTextChar"/>
    <w:uiPriority w:val="99"/>
    <w:unhideWhenUsed/>
    <w:rsid w:val="00FE227B"/>
    <w:rPr>
      <w:sz w:val="20"/>
      <w:szCs w:val="20"/>
    </w:rPr>
  </w:style>
  <w:style w:type="character" w:customStyle="1" w:styleId="CommentTextChar">
    <w:name w:val="Comment Text Char"/>
    <w:basedOn w:val="DefaultParagraphFont"/>
    <w:link w:val="CommentText"/>
    <w:uiPriority w:val="99"/>
    <w:rsid w:val="00FE227B"/>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FE227B"/>
    <w:rPr>
      <w:b/>
      <w:bCs/>
    </w:rPr>
  </w:style>
  <w:style w:type="character" w:customStyle="1" w:styleId="CommentSubjectChar">
    <w:name w:val="Comment Subject Char"/>
    <w:basedOn w:val="CommentTextChar"/>
    <w:link w:val="CommentSubject"/>
    <w:uiPriority w:val="99"/>
    <w:semiHidden/>
    <w:rsid w:val="00FE227B"/>
    <w:rPr>
      <w:rFonts w:ascii="Roboto" w:hAnsi="Roboto"/>
      <w:b/>
      <w:bCs/>
      <w:sz w:val="20"/>
      <w:szCs w:val="20"/>
    </w:rPr>
  </w:style>
  <w:style w:type="table" w:styleId="GridTable1Light-Accent3">
    <w:name w:val="Grid Table 1 Light Accent 3"/>
    <w:basedOn w:val="TableNormal"/>
    <w:uiPriority w:val="46"/>
    <w:rsid w:val="00FE227B"/>
    <w:rPr>
      <w:rFonts w:ascii="Roboto" w:hAnsi="Roboto"/>
    </w:rPr>
    <w:tblPr>
      <w:tblStyleRowBandSize w:val="1"/>
      <w:tblStyleColBandSize w:val="1"/>
      <w:tblBorders>
        <w:top w:val="single" w:sz="4" w:space="0" w:color="A3DD9C" w:themeColor="accent3" w:themeTint="66"/>
        <w:left w:val="single" w:sz="4" w:space="0" w:color="A3DD9C" w:themeColor="accent3" w:themeTint="66"/>
        <w:bottom w:val="single" w:sz="4" w:space="0" w:color="A3DD9C" w:themeColor="accent3" w:themeTint="66"/>
        <w:right w:val="single" w:sz="4" w:space="0" w:color="A3DD9C" w:themeColor="accent3" w:themeTint="66"/>
        <w:insideH w:val="single" w:sz="4" w:space="0" w:color="A3DD9C" w:themeColor="accent3" w:themeTint="66"/>
        <w:insideV w:val="single" w:sz="4" w:space="0" w:color="A3DD9C" w:themeColor="accent3" w:themeTint="66"/>
      </w:tblBorders>
    </w:tblPr>
    <w:tblStylePr w:type="firstRow">
      <w:rPr>
        <w:b/>
        <w:bCs/>
      </w:rPr>
      <w:tblPr/>
      <w:tcPr>
        <w:tcBorders>
          <w:bottom w:val="single" w:sz="12" w:space="0" w:color="76CC6B" w:themeColor="accent3" w:themeTint="99"/>
        </w:tcBorders>
      </w:tcPr>
    </w:tblStylePr>
    <w:tblStylePr w:type="lastRow">
      <w:rPr>
        <w:b/>
        <w:bCs/>
      </w:rPr>
      <w:tblPr/>
      <w:tcPr>
        <w:tcBorders>
          <w:top w:val="double" w:sz="2" w:space="0" w:color="76CC6B"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FE227B"/>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FE227B"/>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14426C"/>
    <w:pPr>
      <w:spacing w:before="0"/>
    </w:pPr>
    <w:rPr>
      <w:rFonts w:ascii="Arial" w:hAnsi="Arial"/>
    </w:rPr>
  </w:style>
  <w:style w:type="character" w:styleId="UnresolvedMention">
    <w:name w:val="Unresolved Mention"/>
    <w:basedOn w:val="DefaultParagraphFont"/>
    <w:uiPriority w:val="99"/>
    <w:semiHidden/>
    <w:unhideWhenUsed/>
    <w:rsid w:val="00C46F1C"/>
    <w:rPr>
      <w:color w:val="605E5C"/>
      <w:shd w:val="clear" w:color="auto" w:fill="E1DFDD"/>
    </w:rPr>
  </w:style>
  <w:style w:type="character" w:styleId="FollowedHyperlink">
    <w:name w:val="FollowedHyperlink"/>
    <w:basedOn w:val="DefaultParagraphFont"/>
    <w:uiPriority w:val="99"/>
    <w:semiHidden/>
    <w:unhideWhenUsed/>
    <w:rsid w:val="00FE227B"/>
    <w:rPr>
      <w:color w:val="800080" w:themeColor="followedHyperlink"/>
      <w:u w:val="single"/>
    </w:rPr>
  </w:style>
  <w:style w:type="table" w:customStyle="1" w:styleId="ACCCGreybox">
    <w:name w:val="ACCC Grey box"/>
    <w:basedOn w:val="TableNormal"/>
    <w:uiPriority w:val="99"/>
    <w:rsid w:val="00FE227B"/>
    <w:pPr>
      <w:spacing w:before="120" w:after="120"/>
    </w:pPr>
    <w:rPr>
      <w:rFonts w:ascii="Roboto" w:hAnsi="Roboto"/>
    </w:rPr>
    <w:tblPr/>
    <w:tcPr>
      <w:shd w:val="clear" w:color="auto" w:fill="D5D6D2" w:themeFill="background2"/>
    </w:tcPr>
  </w:style>
  <w:style w:type="paragraph" w:styleId="BlockText">
    <w:name w:val="Block Text"/>
    <w:basedOn w:val="Normal"/>
    <w:uiPriority w:val="99"/>
    <w:semiHidden/>
    <w:unhideWhenUsed/>
    <w:rsid w:val="00FE227B"/>
    <w:pPr>
      <w:pBdr>
        <w:top w:val="single" w:sz="2" w:space="10" w:color="342D8C" w:themeColor="accent1"/>
        <w:left w:val="single" w:sz="2" w:space="10" w:color="342D8C" w:themeColor="accent1"/>
        <w:bottom w:val="single" w:sz="2" w:space="10" w:color="342D8C" w:themeColor="accent1"/>
        <w:right w:val="single" w:sz="2" w:space="10" w:color="342D8C" w:themeColor="accent1"/>
      </w:pBdr>
      <w:ind w:left="1152" w:right="1152"/>
    </w:pPr>
    <w:rPr>
      <w:rFonts w:eastAsiaTheme="minorEastAsia"/>
      <w:iCs/>
      <w:color w:val="342D8C" w:themeColor="accent1"/>
    </w:rPr>
  </w:style>
  <w:style w:type="table" w:styleId="ColorfulGrid">
    <w:name w:val="Colorful Grid"/>
    <w:basedOn w:val="TableNormal"/>
    <w:uiPriority w:val="73"/>
    <w:semiHidden/>
    <w:unhideWhenUsed/>
    <w:rsid w:val="00FE227B"/>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227B"/>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0CDEF" w:themeFill="accent1" w:themeFillTint="33"/>
    </w:tcPr>
    <w:tblStylePr w:type="firstRow">
      <w:rPr>
        <w:b/>
        <w:bCs/>
      </w:rPr>
      <w:tblPr/>
      <w:tcPr>
        <w:shd w:val="clear" w:color="auto" w:fill="A19CDF" w:themeFill="accent1" w:themeFillTint="66"/>
      </w:tcPr>
    </w:tblStylePr>
    <w:tblStylePr w:type="lastRow">
      <w:rPr>
        <w:b/>
        <w:bCs/>
        <w:color w:val="000000" w:themeColor="text1"/>
      </w:rPr>
      <w:tblPr/>
      <w:tcPr>
        <w:shd w:val="clear" w:color="auto" w:fill="A19CDF" w:themeFill="accent1" w:themeFillTint="66"/>
      </w:tcPr>
    </w:tblStylePr>
    <w:tblStylePr w:type="firstCol">
      <w:rPr>
        <w:color w:val="FFFFFF" w:themeColor="background1"/>
      </w:rPr>
      <w:tblPr/>
      <w:tcPr>
        <w:shd w:val="clear" w:color="auto" w:fill="262168" w:themeFill="accent1" w:themeFillShade="BF"/>
      </w:tcPr>
    </w:tblStylePr>
    <w:tblStylePr w:type="lastCol">
      <w:rPr>
        <w:color w:val="FFFFFF" w:themeColor="background1"/>
      </w:rPr>
      <w:tblPr/>
      <w:tcPr>
        <w:shd w:val="clear" w:color="auto" w:fill="262168" w:themeFill="accent1" w:themeFillShade="BF"/>
      </w:tcPr>
    </w:tblStylePr>
    <w:tblStylePr w:type="band1Vert">
      <w:tblPr/>
      <w:tcPr>
        <w:shd w:val="clear" w:color="auto" w:fill="8A84D7" w:themeFill="accent1" w:themeFillTint="7F"/>
      </w:tcPr>
    </w:tblStylePr>
    <w:tblStylePr w:type="band1Horz">
      <w:tblPr/>
      <w:tcPr>
        <w:shd w:val="clear" w:color="auto" w:fill="8A84D7" w:themeFill="accent1" w:themeFillTint="7F"/>
      </w:tcPr>
    </w:tblStylePr>
  </w:style>
  <w:style w:type="table" w:styleId="ColorfulGrid-Accent2">
    <w:name w:val="Colorful Grid Accent 2"/>
    <w:basedOn w:val="TableNormal"/>
    <w:uiPriority w:val="73"/>
    <w:semiHidden/>
    <w:unhideWhenUsed/>
    <w:rsid w:val="00FE227B"/>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EF8F7" w:themeFill="accent2" w:themeFillTint="33"/>
    </w:tcPr>
    <w:tblStylePr w:type="firstRow">
      <w:rPr>
        <w:b/>
        <w:bCs/>
      </w:rPr>
      <w:tblPr/>
      <w:tcPr>
        <w:shd w:val="clear" w:color="auto" w:fill="9EF2EF" w:themeFill="accent2" w:themeFillTint="66"/>
      </w:tcPr>
    </w:tblStylePr>
    <w:tblStylePr w:type="lastRow">
      <w:rPr>
        <w:b/>
        <w:bCs/>
        <w:color w:val="000000" w:themeColor="text1"/>
      </w:rPr>
      <w:tblPr/>
      <w:tcPr>
        <w:shd w:val="clear" w:color="auto" w:fill="9EF2EF" w:themeFill="accent2" w:themeFillTint="66"/>
      </w:tcPr>
    </w:tblStylePr>
    <w:tblStylePr w:type="firstCol">
      <w:rPr>
        <w:color w:val="FFFFFF" w:themeColor="background1"/>
      </w:rPr>
      <w:tblPr/>
      <w:tcPr>
        <w:shd w:val="clear" w:color="auto" w:fill="159B96" w:themeFill="accent2" w:themeFillShade="BF"/>
      </w:tcPr>
    </w:tblStylePr>
    <w:tblStylePr w:type="lastCol">
      <w:rPr>
        <w:color w:val="FFFFFF" w:themeColor="background1"/>
      </w:rPr>
      <w:tblPr/>
      <w:tcPr>
        <w:shd w:val="clear" w:color="auto" w:fill="159B96" w:themeFill="accent2" w:themeFillShade="BF"/>
      </w:tcPr>
    </w:tblStylePr>
    <w:tblStylePr w:type="band1Vert">
      <w:tblPr/>
      <w:tcPr>
        <w:shd w:val="clear" w:color="auto" w:fill="86EEEA" w:themeFill="accent2" w:themeFillTint="7F"/>
      </w:tcPr>
    </w:tblStylePr>
    <w:tblStylePr w:type="band1Horz">
      <w:tblPr/>
      <w:tcPr>
        <w:shd w:val="clear" w:color="auto" w:fill="86EEEA" w:themeFill="accent2" w:themeFillTint="7F"/>
      </w:tcPr>
    </w:tblStylePr>
  </w:style>
  <w:style w:type="table" w:styleId="ColorfulGrid-Accent3">
    <w:name w:val="Colorful Grid Accent 3"/>
    <w:basedOn w:val="TableNormal"/>
    <w:uiPriority w:val="73"/>
    <w:semiHidden/>
    <w:unhideWhenUsed/>
    <w:rsid w:val="00FE227B"/>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1EECD" w:themeFill="accent3" w:themeFillTint="33"/>
    </w:tcPr>
    <w:tblStylePr w:type="firstRow">
      <w:rPr>
        <w:b/>
        <w:bCs/>
      </w:rPr>
      <w:tblPr/>
      <w:tcPr>
        <w:shd w:val="clear" w:color="auto" w:fill="A3DD9C" w:themeFill="accent3" w:themeFillTint="66"/>
      </w:tcPr>
    </w:tblStylePr>
    <w:tblStylePr w:type="lastRow">
      <w:rPr>
        <w:b/>
        <w:bCs/>
        <w:color w:val="000000" w:themeColor="text1"/>
      </w:rPr>
      <w:tblPr/>
      <w:tcPr>
        <w:shd w:val="clear" w:color="auto" w:fill="A3DD9C" w:themeFill="accent3" w:themeFillTint="66"/>
      </w:tcPr>
    </w:tblStylePr>
    <w:tblStylePr w:type="firstCol">
      <w:rPr>
        <w:color w:val="FFFFFF" w:themeColor="background1"/>
      </w:rPr>
      <w:tblPr/>
      <w:tcPr>
        <w:shd w:val="clear" w:color="auto" w:fill="296422" w:themeFill="accent3" w:themeFillShade="BF"/>
      </w:tcPr>
    </w:tblStylePr>
    <w:tblStylePr w:type="lastCol">
      <w:rPr>
        <w:color w:val="FFFFFF" w:themeColor="background1"/>
      </w:rPr>
      <w:tblPr/>
      <w:tcPr>
        <w:shd w:val="clear" w:color="auto" w:fill="296422" w:themeFill="accent3" w:themeFillShade="BF"/>
      </w:tcPr>
    </w:tblStylePr>
    <w:tblStylePr w:type="band1Vert">
      <w:tblPr/>
      <w:tcPr>
        <w:shd w:val="clear" w:color="auto" w:fill="8DD584" w:themeFill="accent3" w:themeFillTint="7F"/>
      </w:tcPr>
    </w:tblStylePr>
    <w:tblStylePr w:type="band1Horz">
      <w:tblPr/>
      <w:tcPr>
        <w:shd w:val="clear" w:color="auto" w:fill="8DD584" w:themeFill="accent3" w:themeFillTint="7F"/>
      </w:tcPr>
    </w:tblStylePr>
  </w:style>
  <w:style w:type="table" w:styleId="ColorfulGrid-Accent4">
    <w:name w:val="Colorful Grid Accent 4"/>
    <w:basedOn w:val="TableNormal"/>
    <w:uiPriority w:val="73"/>
    <w:semiHidden/>
    <w:unhideWhenUsed/>
    <w:rsid w:val="00FE227B"/>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CF0C8" w:themeFill="accent4" w:themeFillTint="33"/>
    </w:tcPr>
    <w:tblStylePr w:type="firstRow">
      <w:rPr>
        <w:b/>
        <w:bCs/>
      </w:rPr>
      <w:tblPr/>
      <w:tcPr>
        <w:shd w:val="clear" w:color="auto" w:fill="F9E191" w:themeFill="accent4" w:themeFillTint="66"/>
      </w:tcPr>
    </w:tblStylePr>
    <w:tblStylePr w:type="lastRow">
      <w:rPr>
        <w:b/>
        <w:bCs/>
        <w:color w:val="000000" w:themeColor="text1"/>
      </w:rPr>
      <w:tblPr/>
      <w:tcPr>
        <w:shd w:val="clear" w:color="auto" w:fill="F9E191" w:themeFill="accent4" w:themeFillTint="66"/>
      </w:tcPr>
    </w:tblStylePr>
    <w:tblStylePr w:type="firstCol">
      <w:rPr>
        <w:color w:val="FFFFFF" w:themeColor="background1"/>
      </w:rPr>
      <w:tblPr/>
      <w:tcPr>
        <w:shd w:val="clear" w:color="auto" w:fill="9F7C08" w:themeFill="accent4" w:themeFillShade="BF"/>
      </w:tcPr>
    </w:tblStylePr>
    <w:tblStylePr w:type="lastCol">
      <w:rPr>
        <w:color w:val="FFFFFF" w:themeColor="background1"/>
      </w:rPr>
      <w:tblPr/>
      <w:tcPr>
        <w:shd w:val="clear" w:color="auto" w:fill="9F7C08" w:themeFill="accent4" w:themeFillShade="BF"/>
      </w:tcPr>
    </w:tblStylePr>
    <w:tblStylePr w:type="band1Vert">
      <w:tblPr/>
      <w:tcPr>
        <w:shd w:val="clear" w:color="auto" w:fill="F8DA77" w:themeFill="accent4" w:themeFillTint="7F"/>
      </w:tcPr>
    </w:tblStylePr>
    <w:tblStylePr w:type="band1Horz">
      <w:tblPr/>
      <w:tcPr>
        <w:shd w:val="clear" w:color="auto" w:fill="F8DA77" w:themeFill="accent4" w:themeFillTint="7F"/>
      </w:tcPr>
    </w:tblStylePr>
  </w:style>
  <w:style w:type="table" w:styleId="ColorfulGrid-Accent5">
    <w:name w:val="Colorful Grid Accent 5"/>
    <w:basedOn w:val="TableNormal"/>
    <w:uiPriority w:val="73"/>
    <w:semiHidden/>
    <w:unhideWhenUsed/>
    <w:rsid w:val="00FE227B"/>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ADEE2" w:themeFill="accent5" w:themeFillTint="33"/>
    </w:tcPr>
    <w:tblStylePr w:type="firstRow">
      <w:rPr>
        <w:b/>
        <w:bCs/>
      </w:rPr>
      <w:tblPr/>
      <w:tcPr>
        <w:shd w:val="clear" w:color="auto" w:fill="F5BEC6" w:themeFill="accent5" w:themeFillTint="66"/>
      </w:tcPr>
    </w:tblStylePr>
    <w:tblStylePr w:type="lastRow">
      <w:rPr>
        <w:b/>
        <w:bCs/>
        <w:color w:val="000000" w:themeColor="text1"/>
      </w:rPr>
      <w:tblPr/>
      <w:tcPr>
        <w:shd w:val="clear" w:color="auto" w:fill="F5BEC6" w:themeFill="accent5" w:themeFillTint="66"/>
      </w:tcPr>
    </w:tblStylePr>
    <w:tblStylePr w:type="firstCol">
      <w:rPr>
        <w:color w:val="FFFFFF" w:themeColor="background1"/>
      </w:rPr>
      <w:tblPr/>
      <w:tcPr>
        <w:shd w:val="clear" w:color="auto" w:fill="D51E39" w:themeFill="accent5" w:themeFillShade="BF"/>
      </w:tcPr>
    </w:tblStylePr>
    <w:tblStylePr w:type="lastCol">
      <w:rPr>
        <w:color w:val="FFFFFF" w:themeColor="background1"/>
      </w:rPr>
      <w:tblPr/>
      <w:tcPr>
        <w:shd w:val="clear" w:color="auto" w:fill="D51E39" w:themeFill="accent5" w:themeFillShade="BF"/>
      </w:tcPr>
    </w:tblStylePr>
    <w:tblStylePr w:type="band1Vert">
      <w:tblPr/>
      <w:tcPr>
        <w:shd w:val="clear" w:color="auto" w:fill="F3AEB8" w:themeFill="accent5" w:themeFillTint="7F"/>
      </w:tcPr>
    </w:tblStylePr>
    <w:tblStylePr w:type="band1Horz">
      <w:tblPr/>
      <w:tcPr>
        <w:shd w:val="clear" w:color="auto" w:fill="F3AEB8" w:themeFill="accent5" w:themeFillTint="7F"/>
      </w:tcPr>
    </w:tblStylePr>
  </w:style>
  <w:style w:type="table" w:styleId="ColorfulGrid-Accent6">
    <w:name w:val="Colorful Grid Accent 6"/>
    <w:basedOn w:val="TableNormal"/>
    <w:uiPriority w:val="73"/>
    <w:semiHidden/>
    <w:unhideWhenUsed/>
    <w:rsid w:val="00FE227B"/>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B7F3FF" w:themeFill="accent6" w:themeFillTint="33"/>
    </w:tcPr>
    <w:tblStylePr w:type="firstRow">
      <w:rPr>
        <w:b/>
        <w:bCs/>
      </w:rPr>
      <w:tblPr/>
      <w:tcPr>
        <w:shd w:val="clear" w:color="auto" w:fill="6FE7FF" w:themeFill="accent6" w:themeFillTint="66"/>
      </w:tcPr>
    </w:tblStylePr>
    <w:tblStylePr w:type="lastRow">
      <w:rPr>
        <w:b/>
        <w:bCs/>
        <w:color w:val="000000" w:themeColor="text1"/>
      </w:rPr>
      <w:tblPr/>
      <w:tcPr>
        <w:shd w:val="clear" w:color="auto" w:fill="6FE7FF" w:themeFill="accent6" w:themeFillTint="66"/>
      </w:tcPr>
    </w:tblStylePr>
    <w:tblStylePr w:type="firstCol">
      <w:rPr>
        <w:color w:val="FFFFFF" w:themeColor="background1"/>
      </w:rPr>
      <w:tblPr/>
      <w:tcPr>
        <w:shd w:val="clear" w:color="auto" w:fill="005F71" w:themeFill="accent6" w:themeFillShade="BF"/>
      </w:tcPr>
    </w:tblStylePr>
    <w:tblStylePr w:type="lastCol">
      <w:rPr>
        <w:color w:val="FFFFFF" w:themeColor="background1"/>
      </w:rPr>
      <w:tblPr/>
      <w:tcPr>
        <w:shd w:val="clear" w:color="auto" w:fill="005F71" w:themeFill="accent6" w:themeFillShade="BF"/>
      </w:tcPr>
    </w:tblStylePr>
    <w:tblStylePr w:type="band1Vert">
      <w:tblPr/>
      <w:tcPr>
        <w:shd w:val="clear" w:color="auto" w:fill="4CE2FF" w:themeFill="accent6" w:themeFillTint="7F"/>
      </w:tcPr>
    </w:tblStylePr>
    <w:tblStylePr w:type="band1Horz">
      <w:tblPr/>
      <w:tcPr>
        <w:shd w:val="clear" w:color="auto" w:fill="4CE2FF" w:themeFill="accent6" w:themeFillTint="7F"/>
      </w:tcPr>
    </w:tblStylePr>
  </w:style>
  <w:style w:type="table" w:styleId="ColorfulList">
    <w:name w:val="Colorful List"/>
    <w:basedOn w:val="TableNormal"/>
    <w:uiPriority w:val="72"/>
    <w:semiHidden/>
    <w:unhideWhenUsed/>
    <w:rsid w:val="00FE227B"/>
    <w:pPr>
      <w:spacing w:before="0"/>
    </w:pPr>
    <w:rPr>
      <w:rFonts w:ascii="Roboto" w:hAnsi="Roboto"/>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227B"/>
    <w:pPr>
      <w:spacing w:before="0"/>
    </w:pPr>
    <w:rPr>
      <w:rFonts w:ascii="Roboto" w:hAnsi="Roboto"/>
      <w:color w:val="000000" w:themeColor="text1"/>
    </w:rPr>
    <w:tblPr>
      <w:tblStyleRowBandSize w:val="1"/>
      <w:tblStyleColBandSize w:val="1"/>
    </w:tblPr>
    <w:tcPr>
      <w:shd w:val="clear" w:color="auto" w:fill="E7E6F7" w:themeFill="accent1"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2EB" w:themeFill="accent1" w:themeFillTint="3F"/>
      </w:tcPr>
    </w:tblStylePr>
    <w:tblStylePr w:type="band1Horz">
      <w:tblPr/>
      <w:tcPr>
        <w:shd w:val="clear" w:color="auto" w:fill="D0CDEF" w:themeFill="accent1" w:themeFillTint="33"/>
      </w:tcPr>
    </w:tblStylePr>
  </w:style>
  <w:style w:type="table" w:styleId="ColorfulList-Accent2">
    <w:name w:val="Colorful List Accent 2"/>
    <w:basedOn w:val="TableNormal"/>
    <w:uiPriority w:val="72"/>
    <w:semiHidden/>
    <w:unhideWhenUsed/>
    <w:rsid w:val="00FE227B"/>
    <w:pPr>
      <w:spacing w:before="0"/>
    </w:pPr>
    <w:rPr>
      <w:rFonts w:ascii="Roboto" w:hAnsi="Roboto"/>
      <w:color w:val="000000" w:themeColor="text1"/>
    </w:rPr>
    <w:tblPr>
      <w:tblStyleRowBandSize w:val="1"/>
      <w:tblStyleColBandSize w:val="1"/>
    </w:tblPr>
    <w:tcPr>
      <w:shd w:val="clear" w:color="auto" w:fill="E7FBFB" w:themeFill="accent2"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7F5" w:themeFill="accent2" w:themeFillTint="3F"/>
      </w:tcPr>
    </w:tblStylePr>
    <w:tblStylePr w:type="band1Horz">
      <w:tblPr/>
      <w:tcPr>
        <w:shd w:val="clear" w:color="auto" w:fill="CEF8F7" w:themeFill="accent2" w:themeFillTint="33"/>
      </w:tcPr>
    </w:tblStylePr>
  </w:style>
  <w:style w:type="table" w:styleId="ColorfulList-Accent3">
    <w:name w:val="Colorful List Accent 3"/>
    <w:basedOn w:val="TableNormal"/>
    <w:uiPriority w:val="72"/>
    <w:semiHidden/>
    <w:unhideWhenUsed/>
    <w:rsid w:val="00FE227B"/>
    <w:pPr>
      <w:spacing w:before="0"/>
    </w:pPr>
    <w:rPr>
      <w:rFonts w:ascii="Roboto" w:hAnsi="Roboto"/>
      <w:color w:val="000000" w:themeColor="text1"/>
    </w:rPr>
    <w:tblPr>
      <w:tblStyleRowBandSize w:val="1"/>
      <w:tblStyleColBandSize w:val="1"/>
    </w:tblPr>
    <w:tcPr>
      <w:shd w:val="clear" w:color="auto" w:fill="E8F6E6" w:themeFill="accent3" w:themeFillTint="19"/>
    </w:tcPr>
    <w:tblStylePr w:type="firstRow">
      <w:rPr>
        <w:b/>
        <w:bCs/>
        <w:color w:val="FFFFFF" w:themeColor="background1"/>
      </w:rPr>
      <w:tblPr/>
      <w:tcPr>
        <w:tcBorders>
          <w:bottom w:val="single" w:sz="12" w:space="0" w:color="FFFFFF" w:themeColor="background1"/>
        </w:tcBorders>
        <w:shd w:val="clear" w:color="auto" w:fill="AA8408" w:themeFill="accent4" w:themeFillShade="CC"/>
      </w:tcPr>
    </w:tblStylePr>
    <w:tblStylePr w:type="lastRow">
      <w:rPr>
        <w:b/>
        <w:bCs/>
        <w:color w:val="AA84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C2" w:themeFill="accent3" w:themeFillTint="3F"/>
      </w:tcPr>
    </w:tblStylePr>
    <w:tblStylePr w:type="band1Horz">
      <w:tblPr/>
      <w:tcPr>
        <w:shd w:val="clear" w:color="auto" w:fill="D1EECD" w:themeFill="accent3" w:themeFillTint="33"/>
      </w:tcPr>
    </w:tblStylePr>
  </w:style>
  <w:style w:type="table" w:styleId="ColorfulList-Accent4">
    <w:name w:val="Colorful List Accent 4"/>
    <w:basedOn w:val="TableNormal"/>
    <w:uiPriority w:val="72"/>
    <w:semiHidden/>
    <w:unhideWhenUsed/>
    <w:rsid w:val="00FE227B"/>
    <w:pPr>
      <w:spacing w:before="0"/>
    </w:pPr>
    <w:rPr>
      <w:rFonts w:ascii="Roboto" w:hAnsi="Roboto"/>
      <w:color w:val="000000" w:themeColor="text1"/>
    </w:rPr>
    <w:tblPr>
      <w:tblStyleRowBandSize w:val="1"/>
      <w:tblStyleColBandSize w:val="1"/>
    </w:tblPr>
    <w:tcPr>
      <w:shd w:val="clear" w:color="auto" w:fill="FDF7E4" w:themeFill="accent4" w:themeFillTint="19"/>
    </w:tcPr>
    <w:tblStylePr w:type="firstRow">
      <w:rPr>
        <w:b/>
        <w:bCs/>
        <w:color w:val="FFFFFF" w:themeColor="background1"/>
      </w:rPr>
      <w:tblPr/>
      <w:tcPr>
        <w:tcBorders>
          <w:bottom w:val="single" w:sz="12" w:space="0" w:color="FFFFFF" w:themeColor="background1"/>
        </w:tcBorders>
        <w:shd w:val="clear" w:color="auto" w:fill="2C6B24" w:themeFill="accent3" w:themeFillShade="CC"/>
      </w:tcPr>
    </w:tblStylePr>
    <w:tblStylePr w:type="lastRow">
      <w:rPr>
        <w:b/>
        <w:bCs/>
        <w:color w:val="2C6B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BB" w:themeFill="accent4" w:themeFillTint="3F"/>
      </w:tcPr>
    </w:tblStylePr>
    <w:tblStylePr w:type="band1Horz">
      <w:tblPr/>
      <w:tcPr>
        <w:shd w:val="clear" w:color="auto" w:fill="FCF0C8" w:themeFill="accent4" w:themeFillTint="33"/>
      </w:tcPr>
    </w:tblStylePr>
  </w:style>
  <w:style w:type="table" w:styleId="ColorfulList-Accent5">
    <w:name w:val="Colorful List Accent 5"/>
    <w:basedOn w:val="TableNormal"/>
    <w:uiPriority w:val="72"/>
    <w:semiHidden/>
    <w:unhideWhenUsed/>
    <w:rsid w:val="00FE227B"/>
    <w:pPr>
      <w:spacing w:before="0"/>
    </w:pPr>
    <w:rPr>
      <w:rFonts w:ascii="Roboto" w:hAnsi="Roboto"/>
      <w:color w:val="000000" w:themeColor="text1"/>
    </w:rPr>
    <w:tblPr>
      <w:tblStyleRowBandSize w:val="1"/>
      <w:tblStyleColBandSize w:val="1"/>
    </w:tblPr>
    <w:tcPr>
      <w:shd w:val="clear" w:color="auto" w:fill="FCEEF0" w:themeFill="accent5" w:themeFillTint="19"/>
    </w:tcPr>
    <w:tblStylePr w:type="firstRow">
      <w:rPr>
        <w:b/>
        <w:bCs/>
        <w:color w:val="FFFFFF" w:themeColor="background1"/>
      </w:rPr>
      <w:tblPr/>
      <w:tcPr>
        <w:tcBorders>
          <w:bottom w:val="single" w:sz="12" w:space="0" w:color="FFFFFF" w:themeColor="background1"/>
        </w:tcBorders>
        <w:shd w:val="clear" w:color="auto" w:fill="006579" w:themeFill="accent6" w:themeFillShade="CC"/>
      </w:tcPr>
    </w:tblStylePr>
    <w:tblStylePr w:type="lastRow">
      <w:rPr>
        <w:b/>
        <w:bCs/>
        <w:color w:val="00657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6DB" w:themeFill="accent5" w:themeFillTint="3F"/>
      </w:tcPr>
    </w:tblStylePr>
    <w:tblStylePr w:type="band1Horz">
      <w:tblPr/>
      <w:tcPr>
        <w:shd w:val="clear" w:color="auto" w:fill="FADEE2" w:themeFill="accent5" w:themeFillTint="33"/>
      </w:tcPr>
    </w:tblStylePr>
  </w:style>
  <w:style w:type="table" w:styleId="ColorfulList-Accent6">
    <w:name w:val="Colorful List Accent 6"/>
    <w:basedOn w:val="TableNormal"/>
    <w:uiPriority w:val="72"/>
    <w:semiHidden/>
    <w:unhideWhenUsed/>
    <w:rsid w:val="00FE227B"/>
    <w:pPr>
      <w:spacing w:before="0"/>
    </w:pPr>
    <w:rPr>
      <w:rFonts w:ascii="Roboto" w:hAnsi="Roboto"/>
      <w:color w:val="000000" w:themeColor="text1"/>
    </w:rPr>
    <w:tblPr>
      <w:tblStyleRowBandSize w:val="1"/>
      <w:tblStyleColBandSize w:val="1"/>
    </w:tblPr>
    <w:tcPr>
      <w:shd w:val="clear" w:color="auto" w:fill="DBF9FF" w:themeFill="accent6" w:themeFillTint="19"/>
    </w:tcPr>
    <w:tblStylePr w:type="firstRow">
      <w:rPr>
        <w:b/>
        <w:bCs/>
        <w:color w:val="FFFFFF" w:themeColor="background1"/>
      </w:rPr>
      <w:tblPr/>
      <w:tcPr>
        <w:tcBorders>
          <w:bottom w:val="single" w:sz="12" w:space="0" w:color="FFFFFF" w:themeColor="background1"/>
        </w:tcBorders>
        <w:shd w:val="clear" w:color="auto" w:fill="E02440" w:themeFill="accent5" w:themeFillShade="CC"/>
      </w:tcPr>
    </w:tblStylePr>
    <w:tblStylePr w:type="lastRow">
      <w:rPr>
        <w:b/>
        <w:bCs/>
        <w:color w:val="E0244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0FF" w:themeFill="accent6" w:themeFillTint="3F"/>
      </w:tcPr>
    </w:tblStylePr>
    <w:tblStylePr w:type="band1Horz">
      <w:tblPr/>
      <w:tcPr>
        <w:shd w:val="clear" w:color="auto" w:fill="B7F3FF" w:themeFill="accent6" w:themeFillTint="33"/>
      </w:tcPr>
    </w:tblStylePr>
  </w:style>
  <w:style w:type="table" w:styleId="ColorfulShading">
    <w:name w:val="Colorful Shading"/>
    <w:basedOn w:val="TableNormal"/>
    <w:uiPriority w:val="71"/>
    <w:semiHidden/>
    <w:unhideWhenUsed/>
    <w:rsid w:val="00FE227B"/>
    <w:pPr>
      <w:spacing w:before="0"/>
    </w:pPr>
    <w:rPr>
      <w:rFonts w:ascii="Roboto" w:hAnsi="Roboto"/>
      <w:color w:val="000000" w:themeColor="text1"/>
    </w:rPr>
    <w:tblPr>
      <w:tblStyleRowBandSize w:val="1"/>
      <w:tblStyleColBandSize w:val="1"/>
      <w:tblBorders>
        <w:top w:val="single" w:sz="24" w:space="0" w:color="1CCFC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227B"/>
    <w:pPr>
      <w:spacing w:before="0"/>
    </w:pPr>
    <w:rPr>
      <w:rFonts w:ascii="Roboto" w:hAnsi="Roboto"/>
      <w:color w:val="000000" w:themeColor="text1"/>
    </w:rPr>
    <w:tblPr>
      <w:tblStyleRowBandSize w:val="1"/>
      <w:tblStyleColBandSize w:val="1"/>
      <w:tblBorders>
        <w:top w:val="single" w:sz="24" w:space="0" w:color="1CCFC9" w:themeColor="accent2"/>
        <w:left w:val="single" w:sz="4" w:space="0" w:color="342D8C" w:themeColor="accent1"/>
        <w:bottom w:val="single" w:sz="4" w:space="0" w:color="342D8C" w:themeColor="accent1"/>
        <w:right w:val="single" w:sz="4" w:space="0" w:color="342D8C" w:themeColor="accent1"/>
        <w:insideH w:val="single" w:sz="4" w:space="0" w:color="FFFFFF" w:themeColor="background1"/>
        <w:insideV w:val="single" w:sz="4" w:space="0" w:color="FFFFFF" w:themeColor="background1"/>
      </w:tblBorders>
    </w:tblPr>
    <w:tcPr>
      <w:shd w:val="clear" w:color="auto" w:fill="E7E6F7" w:themeFill="accent1"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1B53" w:themeFill="accent1" w:themeFillShade="99"/>
      </w:tcPr>
    </w:tblStylePr>
    <w:tblStylePr w:type="firstCol">
      <w:rPr>
        <w:color w:val="FFFFFF" w:themeColor="background1"/>
      </w:rPr>
      <w:tblPr/>
      <w:tcPr>
        <w:tcBorders>
          <w:top w:val="nil"/>
          <w:left w:val="nil"/>
          <w:bottom w:val="nil"/>
          <w:right w:val="nil"/>
          <w:insideH w:val="single" w:sz="4" w:space="0" w:color="1F1B53" w:themeColor="accent1" w:themeShade="99"/>
          <w:insideV w:val="nil"/>
        </w:tcBorders>
        <w:shd w:val="clear" w:color="auto" w:fill="1F1B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1B53" w:themeFill="accent1" w:themeFillShade="99"/>
      </w:tcPr>
    </w:tblStylePr>
    <w:tblStylePr w:type="band1Vert">
      <w:tblPr/>
      <w:tcPr>
        <w:shd w:val="clear" w:color="auto" w:fill="A19CDF" w:themeFill="accent1" w:themeFillTint="66"/>
      </w:tcPr>
    </w:tblStylePr>
    <w:tblStylePr w:type="band1Horz">
      <w:tblPr/>
      <w:tcPr>
        <w:shd w:val="clear" w:color="auto" w:fill="8A84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227B"/>
    <w:pPr>
      <w:spacing w:before="0"/>
    </w:pPr>
    <w:rPr>
      <w:rFonts w:ascii="Roboto" w:hAnsi="Roboto"/>
      <w:color w:val="000000" w:themeColor="text1"/>
    </w:rPr>
    <w:tblPr>
      <w:tblStyleRowBandSize w:val="1"/>
      <w:tblStyleColBandSize w:val="1"/>
      <w:tblBorders>
        <w:top w:val="single" w:sz="24" w:space="0" w:color="1CCFC9" w:themeColor="accent2"/>
        <w:left w:val="single" w:sz="4" w:space="0" w:color="1CCFC9" w:themeColor="accent2"/>
        <w:bottom w:val="single" w:sz="4" w:space="0" w:color="1CCFC9" w:themeColor="accent2"/>
        <w:right w:val="single" w:sz="4" w:space="0" w:color="1CCFC9" w:themeColor="accent2"/>
        <w:insideH w:val="single" w:sz="4" w:space="0" w:color="FFFFFF" w:themeColor="background1"/>
        <w:insideV w:val="single" w:sz="4" w:space="0" w:color="FFFFFF" w:themeColor="background1"/>
      </w:tblBorders>
    </w:tblPr>
    <w:tcPr>
      <w:shd w:val="clear" w:color="auto" w:fill="E7FBFB" w:themeFill="accent2"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7C78" w:themeFill="accent2" w:themeFillShade="99"/>
      </w:tcPr>
    </w:tblStylePr>
    <w:tblStylePr w:type="firstCol">
      <w:rPr>
        <w:color w:val="FFFFFF" w:themeColor="background1"/>
      </w:rPr>
      <w:tblPr/>
      <w:tcPr>
        <w:tcBorders>
          <w:top w:val="nil"/>
          <w:left w:val="nil"/>
          <w:bottom w:val="nil"/>
          <w:right w:val="nil"/>
          <w:insideH w:val="single" w:sz="4" w:space="0" w:color="107C78" w:themeColor="accent2" w:themeShade="99"/>
          <w:insideV w:val="nil"/>
        </w:tcBorders>
        <w:shd w:val="clear" w:color="auto" w:fill="107C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7C78" w:themeFill="accent2" w:themeFillShade="99"/>
      </w:tcPr>
    </w:tblStylePr>
    <w:tblStylePr w:type="band1Vert">
      <w:tblPr/>
      <w:tcPr>
        <w:shd w:val="clear" w:color="auto" w:fill="9EF2EF" w:themeFill="accent2" w:themeFillTint="66"/>
      </w:tcPr>
    </w:tblStylePr>
    <w:tblStylePr w:type="band1Horz">
      <w:tblPr/>
      <w:tcPr>
        <w:shd w:val="clear" w:color="auto" w:fill="86EEE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227B"/>
    <w:pPr>
      <w:spacing w:before="0"/>
    </w:pPr>
    <w:rPr>
      <w:rFonts w:ascii="Roboto" w:hAnsi="Roboto"/>
      <w:color w:val="000000" w:themeColor="text1"/>
    </w:rPr>
    <w:tblPr>
      <w:tblStyleRowBandSize w:val="1"/>
      <w:tblStyleColBandSize w:val="1"/>
      <w:tblBorders>
        <w:top w:val="single" w:sz="24" w:space="0" w:color="D5A70B" w:themeColor="accent4"/>
        <w:left w:val="single" w:sz="4" w:space="0" w:color="38862E" w:themeColor="accent3"/>
        <w:bottom w:val="single" w:sz="4" w:space="0" w:color="38862E" w:themeColor="accent3"/>
        <w:right w:val="single" w:sz="4" w:space="0" w:color="38862E" w:themeColor="accent3"/>
        <w:insideH w:val="single" w:sz="4" w:space="0" w:color="FFFFFF" w:themeColor="background1"/>
        <w:insideV w:val="single" w:sz="4" w:space="0" w:color="FFFFFF" w:themeColor="background1"/>
      </w:tblBorders>
    </w:tblPr>
    <w:tcPr>
      <w:shd w:val="clear" w:color="auto" w:fill="E8F6E6" w:themeFill="accent3" w:themeFillTint="19"/>
    </w:tcPr>
    <w:tblStylePr w:type="firstRow">
      <w:rPr>
        <w:b/>
        <w:bCs/>
      </w:rPr>
      <w:tblPr/>
      <w:tcPr>
        <w:tcBorders>
          <w:top w:val="nil"/>
          <w:left w:val="nil"/>
          <w:bottom w:val="single" w:sz="24" w:space="0" w:color="D5A70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501B" w:themeFill="accent3" w:themeFillShade="99"/>
      </w:tcPr>
    </w:tblStylePr>
    <w:tblStylePr w:type="firstCol">
      <w:rPr>
        <w:color w:val="FFFFFF" w:themeColor="background1"/>
      </w:rPr>
      <w:tblPr/>
      <w:tcPr>
        <w:tcBorders>
          <w:top w:val="nil"/>
          <w:left w:val="nil"/>
          <w:bottom w:val="nil"/>
          <w:right w:val="nil"/>
          <w:insideH w:val="single" w:sz="4" w:space="0" w:color="21501B" w:themeColor="accent3" w:themeShade="99"/>
          <w:insideV w:val="nil"/>
        </w:tcBorders>
        <w:shd w:val="clear" w:color="auto" w:fill="2150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1501B" w:themeFill="accent3" w:themeFillShade="99"/>
      </w:tcPr>
    </w:tblStylePr>
    <w:tblStylePr w:type="band1Vert">
      <w:tblPr/>
      <w:tcPr>
        <w:shd w:val="clear" w:color="auto" w:fill="A3DD9C" w:themeFill="accent3" w:themeFillTint="66"/>
      </w:tcPr>
    </w:tblStylePr>
    <w:tblStylePr w:type="band1Horz">
      <w:tblPr/>
      <w:tcPr>
        <w:shd w:val="clear" w:color="auto" w:fill="8DD584" w:themeFill="accent3" w:themeFillTint="7F"/>
      </w:tcPr>
    </w:tblStylePr>
  </w:style>
  <w:style w:type="table" w:styleId="ColorfulShading-Accent4">
    <w:name w:val="Colorful Shading Accent 4"/>
    <w:basedOn w:val="TableNormal"/>
    <w:uiPriority w:val="71"/>
    <w:semiHidden/>
    <w:unhideWhenUsed/>
    <w:rsid w:val="00FE227B"/>
    <w:pPr>
      <w:spacing w:before="0"/>
    </w:pPr>
    <w:rPr>
      <w:rFonts w:ascii="Roboto" w:hAnsi="Roboto"/>
      <w:color w:val="000000" w:themeColor="text1"/>
    </w:rPr>
    <w:tblPr>
      <w:tblStyleRowBandSize w:val="1"/>
      <w:tblStyleColBandSize w:val="1"/>
      <w:tblBorders>
        <w:top w:val="single" w:sz="24" w:space="0" w:color="38862E" w:themeColor="accent3"/>
        <w:left w:val="single" w:sz="4" w:space="0" w:color="D5A70B" w:themeColor="accent4"/>
        <w:bottom w:val="single" w:sz="4" w:space="0" w:color="D5A70B" w:themeColor="accent4"/>
        <w:right w:val="single" w:sz="4" w:space="0" w:color="D5A70B" w:themeColor="accent4"/>
        <w:insideH w:val="single" w:sz="4" w:space="0" w:color="FFFFFF" w:themeColor="background1"/>
        <w:insideV w:val="single" w:sz="4" w:space="0" w:color="FFFFFF" w:themeColor="background1"/>
      </w:tblBorders>
    </w:tblPr>
    <w:tcPr>
      <w:shd w:val="clear" w:color="auto" w:fill="FDF7E4" w:themeFill="accent4" w:themeFillTint="19"/>
    </w:tcPr>
    <w:tblStylePr w:type="firstRow">
      <w:rPr>
        <w:b/>
        <w:bCs/>
      </w:rPr>
      <w:tblPr/>
      <w:tcPr>
        <w:tcBorders>
          <w:top w:val="nil"/>
          <w:left w:val="nil"/>
          <w:bottom w:val="single" w:sz="24" w:space="0" w:color="38862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6306" w:themeFill="accent4" w:themeFillShade="99"/>
      </w:tcPr>
    </w:tblStylePr>
    <w:tblStylePr w:type="firstCol">
      <w:rPr>
        <w:color w:val="FFFFFF" w:themeColor="background1"/>
      </w:rPr>
      <w:tblPr/>
      <w:tcPr>
        <w:tcBorders>
          <w:top w:val="nil"/>
          <w:left w:val="nil"/>
          <w:bottom w:val="nil"/>
          <w:right w:val="nil"/>
          <w:insideH w:val="single" w:sz="4" w:space="0" w:color="7F6306" w:themeColor="accent4" w:themeShade="99"/>
          <w:insideV w:val="nil"/>
        </w:tcBorders>
        <w:shd w:val="clear" w:color="auto" w:fill="7F630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F6306" w:themeFill="accent4" w:themeFillShade="99"/>
      </w:tcPr>
    </w:tblStylePr>
    <w:tblStylePr w:type="band1Vert">
      <w:tblPr/>
      <w:tcPr>
        <w:shd w:val="clear" w:color="auto" w:fill="F9E191" w:themeFill="accent4" w:themeFillTint="66"/>
      </w:tcPr>
    </w:tblStylePr>
    <w:tblStylePr w:type="band1Horz">
      <w:tblPr/>
      <w:tcPr>
        <w:shd w:val="clear" w:color="auto" w:fill="F8DA7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227B"/>
    <w:pPr>
      <w:spacing w:before="0"/>
    </w:pPr>
    <w:rPr>
      <w:rFonts w:ascii="Roboto" w:hAnsi="Roboto"/>
      <w:color w:val="000000" w:themeColor="text1"/>
    </w:rPr>
    <w:tblPr>
      <w:tblStyleRowBandSize w:val="1"/>
      <w:tblStyleColBandSize w:val="1"/>
      <w:tblBorders>
        <w:top w:val="single" w:sz="24" w:space="0" w:color="008098" w:themeColor="accent6"/>
        <w:left w:val="single" w:sz="4" w:space="0" w:color="E85D72" w:themeColor="accent5"/>
        <w:bottom w:val="single" w:sz="4" w:space="0" w:color="E85D72" w:themeColor="accent5"/>
        <w:right w:val="single" w:sz="4" w:space="0" w:color="E85D72" w:themeColor="accent5"/>
        <w:insideH w:val="single" w:sz="4" w:space="0" w:color="FFFFFF" w:themeColor="background1"/>
        <w:insideV w:val="single" w:sz="4" w:space="0" w:color="FFFFFF" w:themeColor="background1"/>
      </w:tblBorders>
    </w:tblPr>
    <w:tcPr>
      <w:shd w:val="clear" w:color="auto" w:fill="FCEEF0" w:themeFill="accent5" w:themeFillTint="19"/>
    </w:tcPr>
    <w:tblStylePr w:type="firstRow">
      <w:rPr>
        <w:b/>
        <w:bCs/>
      </w:rPr>
      <w:tblPr/>
      <w:tcPr>
        <w:tcBorders>
          <w:top w:val="nil"/>
          <w:left w:val="nil"/>
          <w:bottom w:val="single" w:sz="24" w:space="0" w:color="00809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182E" w:themeFill="accent5" w:themeFillShade="99"/>
      </w:tcPr>
    </w:tblStylePr>
    <w:tblStylePr w:type="firstCol">
      <w:rPr>
        <w:color w:val="FFFFFF" w:themeColor="background1"/>
      </w:rPr>
      <w:tblPr/>
      <w:tcPr>
        <w:tcBorders>
          <w:top w:val="nil"/>
          <w:left w:val="nil"/>
          <w:bottom w:val="nil"/>
          <w:right w:val="nil"/>
          <w:insideH w:val="single" w:sz="4" w:space="0" w:color="AA182E" w:themeColor="accent5" w:themeShade="99"/>
          <w:insideV w:val="nil"/>
        </w:tcBorders>
        <w:shd w:val="clear" w:color="auto" w:fill="AA18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182E" w:themeFill="accent5" w:themeFillShade="99"/>
      </w:tcPr>
    </w:tblStylePr>
    <w:tblStylePr w:type="band1Vert">
      <w:tblPr/>
      <w:tcPr>
        <w:shd w:val="clear" w:color="auto" w:fill="F5BEC6" w:themeFill="accent5" w:themeFillTint="66"/>
      </w:tcPr>
    </w:tblStylePr>
    <w:tblStylePr w:type="band1Horz">
      <w:tblPr/>
      <w:tcPr>
        <w:shd w:val="clear" w:color="auto" w:fill="F3AEB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227B"/>
    <w:pPr>
      <w:spacing w:before="0"/>
    </w:pPr>
    <w:rPr>
      <w:rFonts w:ascii="Roboto" w:hAnsi="Roboto"/>
      <w:color w:val="000000" w:themeColor="text1"/>
    </w:rPr>
    <w:tblPr>
      <w:tblStyleRowBandSize w:val="1"/>
      <w:tblStyleColBandSize w:val="1"/>
      <w:tblBorders>
        <w:top w:val="single" w:sz="24" w:space="0" w:color="E85D72" w:themeColor="accent5"/>
        <w:left w:val="single" w:sz="4" w:space="0" w:color="008098" w:themeColor="accent6"/>
        <w:bottom w:val="single" w:sz="4" w:space="0" w:color="008098" w:themeColor="accent6"/>
        <w:right w:val="single" w:sz="4" w:space="0" w:color="008098" w:themeColor="accent6"/>
        <w:insideH w:val="single" w:sz="4" w:space="0" w:color="FFFFFF" w:themeColor="background1"/>
        <w:insideV w:val="single" w:sz="4" w:space="0" w:color="FFFFFF" w:themeColor="background1"/>
      </w:tblBorders>
    </w:tblPr>
    <w:tcPr>
      <w:shd w:val="clear" w:color="auto" w:fill="DBF9FF" w:themeFill="accent6" w:themeFillTint="19"/>
    </w:tcPr>
    <w:tblStylePr w:type="firstRow">
      <w:rPr>
        <w:b/>
        <w:bCs/>
      </w:rPr>
      <w:tblPr/>
      <w:tcPr>
        <w:tcBorders>
          <w:top w:val="nil"/>
          <w:left w:val="nil"/>
          <w:bottom w:val="single" w:sz="24" w:space="0" w:color="E85D7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B" w:themeFill="accent6" w:themeFillShade="99"/>
      </w:tcPr>
    </w:tblStylePr>
    <w:tblStylePr w:type="firstCol">
      <w:rPr>
        <w:color w:val="FFFFFF" w:themeColor="background1"/>
      </w:rPr>
      <w:tblPr/>
      <w:tcPr>
        <w:tcBorders>
          <w:top w:val="nil"/>
          <w:left w:val="nil"/>
          <w:bottom w:val="nil"/>
          <w:right w:val="nil"/>
          <w:insideH w:val="single" w:sz="4" w:space="0" w:color="004C5B" w:themeColor="accent6" w:themeShade="99"/>
          <w:insideV w:val="nil"/>
        </w:tcBorders>
        <w:shd w:val="clear" w:color="auto" w:fill="004C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B" w:themeFill="accent6" w:themeFillShade="99"/>
      </w:tcPr>
    </w:tblStylePr>
    <w:tblStylePr w:type="band1Vert">
      <w:tblPr/>
      <w:tcPr>
        <w:shd w:val="clear" w:color="auto" w:fill="6FE7FF" w:themeFill="accent6" w:themeFillTint="66"/>
      </w:tcPr>
    </w:tblStylePr>
    <w:tblStylePr w:type="band1Horz">
      <w:tblPr/>
      <w:tcPr>
        <w:shd w:val="clear" w:color="auto" w:fill="4CE2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E227B"/>
    <w:pPr>
      <w:spacing w:before="0"/>
    </w:pPr>
    <w:rPr>
      <w:rFonts w:ascii="Roboto" w:hAnsi="Roboto"/>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227B"/>
    <w:pPr>
      <w:spacing w:before="0"/>
    </w:pPr>
    <w:rPr>
      <w:rFonts w:ascii="Roboto" w:hAnsi="Roboto"/>
      <w:color w:val="FFFFFF" w:themeColor="background1"/>
    </w:rPr>
    <w:tblPr>
      <w:tblStyleRowBandSize w:val="1"/>
      <w:tblStyleColBandSize w:val="1"/>
    </w:tblPr>
    <w:tcPr>
      <w:shd w:val="clear" w:color="auto" w:fill="342D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6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62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62168" w:themeFill="accent1" w:themeFillShade="BF"/>
      </w:tcPr>
    </w:tblStylePr>
    <w:tblStylePr w:type="band1Vert">
      <w:tblPr/>
      <w:tcPr>
        <w:tcBorders>
          <w:top w:val="nil"/>
          <w:left w:val="nil"/>
          <w:bottom w:val="nil"/>
          <w:right w:val="nil"/>
          <w:insideH w:val="nil"/>
          <w:insideV w:val="nil"/>
        </w:tcBorders>
        <w:shd w:val="clear" w:color="auto" w:fill="262168" w:themeFill="accent1" w:themeFillShade="BF"/>
      </w:tcPr>
    </w:tblStylePr>
    <w:tblStylePr w:type="band1Horz">
      <w:tblPr/>
      <w:tcPr>
        <w:tcBorders>
          <w:top w:val="nil"/>
          <w:left w:val="nil"/>
          <w:bottom w:val="nil"/>
          <w:right w:val="nil"/>
          <w:insideH w:val="nil"/>
          <w:insideV w:val="nil"/>
        </w:tcBorders>
        <w:shd w:val="clear" w:color="auto" w:fill="262168" w:themeFill="accent1" w:themeFillShade="BF"/>
      </w:tcPr>
    </w:tblStylePr>
  </w:style>
  <w:style w:type="table" w:styleId="DarkList-Accent2">
    <w:name w:val="Dark List Accent 2"/>
    <w:basedOn w:val="TableNormal"/>
    <w:uiPriority w:val="70"/>
    <w:semiHidden/>
    <w:unhideWhenUsed/>
    <w:rsid w:val="00FE227B"/>
    <w:pPr>
      <w:spacing w:before="0"/>
    </w:pPr>
    <w:rPr>
      <w:rFonts w:ascii="Roboto" w:hAnsi="Roboto"/>
      <w:color w:val="FFFFFF" w:themeColor="background1"/>
    </w:rPr>
    <w:tblPr>
      <w:tblStyleRowBandSize w:val="1"/>
      <w:tblStyleColBandSize w:val="1"/>
    </w:tblPr>
    <w:tcPr>
      <w:shd w:val="clear" w:color="auto" w:fill="1CCFC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67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59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59B96" w:themeFill="accent2" w:themeFillShade="BF"/>
      </w:tcPr>
    </w:tblStylePr>
    <w:tblStylePr w:type="band1Vert">
      <w:tblPr/>
      <w:tcPr>
        <w:tcBorders>
          <w:top w:val="nil"/>
          <w:left w:val="nil"/>
          <w:bottom w:val="nil"/>
          <w:right w:val="nil"/>
          <w:insideH w:val="nil"/>
          <w:insideV w:val="nil"/>
        </w:tcBorders>
        <w:shd w:val="clear" w:color="auto" w:fill="159B96" w:themeFill="accent2" w:themeFillShade="BF"/>
      </w:tcPr>
    </w:tblStylePr>
    <w:tblStylePr w:type="band1Horz">
      <w:tblPr/>
      <w:tcPr>
        <w:tcBorders>
          <w:top w:val="nil"/>
          <w:left w:val="nil"/>
          <w:bottom w:val="nil"/>
          <w:right w:val="nil"/>
          <w:insideH w:val="nil"/>
          <w:insideV w:val="nil"/>
        </w:tcBorders>
        <w:shd w:val="clear" w:color="auto" w:fill="159B96" w:themeFill="accent2" w:themeFillShade="BF"/>
      </w:tcPr>
    </w:tblStylePr>
  </w:style>
  <w:style w:type="table" w:styleId="DarkList-Accent3">
    <w:name w:val="Dark List Accent 3"/>
    <w:basedOn w:val="TableNormal"/>
    <w:uiPriority w:val="70"/>
    <w:semiHidden/>
    <w:unhideWhenUsed/>
    <w:rsid w:val="00FE227B"/>
    <w:pPr>
      <w:spacing w:before="0"/>
    </w:pPr>
    <w:rPr>
      <w:rFonts w:ascii="Roboto" w:hAnsi="Roboto"/>
      <w:color w:val="FFFFFF" w:themeColor="background1"/>
    </w:rPr>
    <w:tblPr>
      <w:tblStyleRowBandSize w:val="1"/>
      <w:tblStyleColBandSize w:val="1"/>
    </w:tblPr>
    <w:tcPr>
      <w:shd w:val="clear" w:color="auto" w:fill="38862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42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964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96422" w:themeFill="accent3" w:themeFillShade="BF"/>
      </w:tcPr>
    </w:tblStylePr>
    <w:tblStylePr w:type="band1Vert">
      <w:tblPr/>
      <w:tcPr>
        <w:tcBorders>
          <w:top w:val="nil"/>
          <w:left w:val="nil"/>
          <w:bottom w:val="nil"/>
          <w:right w:val="nil"/>
          <w:insideH w:val="nil"/>
          <w:insideV w:val="nil"/>
        </w:tcBorders>
        <w:shd w:val="clear" w:color="auto" w:fill="296422" w:themeFill="accent3" w:themeFillShade="BF"/>
      </w:tcPr>
    </w:tblStylePr>
    <w:tblStylePr w:type="band1Horz">
      <w:tblPr/>
      <w:tcPr>
        <w:tcBorders>
          <w:top w:val="nil"/>
          <w:left w:val="nil"/>
          <w:bottom w:val="nil"/>
          <w:right w:val="nil"/>
          <w:insideH w:val="nil"/>
          <w:insideV w:val="nil"/>
        </w:tcBorders>
        <w:shd w:val="clear" w:color="auto" w:fill="296422" w:themeFill="accent3" w:themeFillShade="BF"/>
      </w:tcPr>
    </w:tblStylePr>
  </w:style>
  <w:style w:type="table" w:styleId="DarkList-Accent4">
    <w:name w:val="Dark List Accent 4"/>
    <w:basedOn w:val="TableNormal"/>
    <w:uiPriority w:val="70"/>
    <w:semiHidden/>
    <w:unhideWhenUsed/>
    <w:rsid w:val="00FE227B"/>
    <w:pPr>
      <w:spacing w:before="0"/>
    </w:pPr>
    <w:rPr>
      <w:rFonts w:ascii="Roboto" w:hAnsi="Roboto"/>
      <w:color w:val="FFFFFF" w:themeColor="background1"/>
    </w:rPr>
    <w:tblPr>
      <w:tblStyleRowBandSize w:val="1"/>
      <w:tblStyleColBandSize w:val="1"/>
    </w:tblPr>
    <w:tcPr>
      <w:shd w:val="clear" w:color="auto" w:fill="D5A70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52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F7C0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F7C08" w:themeFill="accent4" w:themeFillShade="BF"/>
      </w:tcPr>
    </w:tblStylePr>
    <w:tblStylePr w:type="band1Vert">
      <w:tblPr/>
      <w:tcPr>
        <w:tcBorders>
          <w:top w:val="nil"/>
          <w:left w:val="nil"/>
          <w:bottom w:val="nil"/>
          <w:right w:val="nil"/>
          <w:insideH w:val="nil"/>
          <w:insideV w:val="nil"/>
        </w:tcBorders>
        <w:shd w:val="clear" w:color="auto" w:fill="9F7C08" w:themeFill="accent4" w:themeFillShade="BF"/>
      </w:tcPr>
    </w:tblStylePr>
    <w:tblStylePr w:type="band1Horz">
      <w:tblPr/>
      <w:tcPr>
        <w:tcBorders>
          <w:top w:val="nil"/>
          <w:left w:val="nil"/>
          <w:bottom w:val="nil"/>
          <w:right w:val="nil"/>
          <w:insideH w:val="nil"/>
          <w:insideV w:val="nil"/>
        </w:tcBorders>
        <w:shd w:val="clear" w:color="auto" w:fill="9F7C08" w:themeFill="accent4" w:themeFillShade="BF"/>
      </w:tcPr>
    </w:tblStylePr>
  </w:style>
  <w:style w:type="table" w:styleId="DarkList-Accent5">
    <w:name w:val="Dark List Accent 5"/>
    <w:basedOn w:val="TableNormal"/>
    <w:uiPriority w:val="70"/>
    <w:semiHidden/>
    <w:unhideWhenUsed/>
    <w:rsid w:val="00FE227B"/>
    <w:pPr>
      <w:spacing w:before="0"/>
    </w:pPr>
    <w:rPr>
      <w:rFonts w:ascii="Roboto" w:hAnsi="Roboto"/>
      <w:color w:val="FFFFFF" w:themeColor="background1"/>
    </w:rPr>
    <w:tblPr>
      <w:tblStyleRowBandSize w:val="1"/>
      <w:tblStyleColBandSize w:val="1"/>
    </w:tblPr>
    <w:tcPr>
      <w:shd w:val="clear" w:color="auto" w:fill="E85D7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14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51E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51E39" w:themeFill="accent5" w:themeFillShade="BF"/>
      </w:tcPr>
    </w:tblStylePr>
    <w:tblStylePr w:type="band1Vert">
      <w:tblPr/>
      <w:tcPr>
        <w:tcBorders>
          <w:top w:val="nil"/>
          <w:left w:val="nil"/>
          <w:bottom w:val="nil"/>
          <w:right w:val="nil"/>
          <w:insideH w:val="nil"/>
          <w:insideV w:val="nil"/>
        </w:tcBorders>
        <w:shd w:val="clear" w:color="auto" w:fill="D51E39" w:themeFill="accent5" w:themeFillShade="BF"/>
      </w:tcPr>
    </w:tblStylePr>
    <w:tblStylePr w:type="band1Horz">
      <w:tblPr/>
      <w:tcPr>
        <w:tcBorders>
          <w:top w:val="nil"/>
          <w:left w:val="nil"/>
          <w:bottom w:val="nil"/>
          <w:right w:val="nil"/>
          <w:insideH w:val="nil"/>
          <w:insideV w:val="nil"/>
        </w:tcBorders>
        <w:shd w:val="clear" w:color="auto" w:fill="D51E39" w:themeFill="accent5" w:themeFillShade="BF"/>
      </w:tcPr>
    </w:tblStylePr>
  </w:style>
  <w:style w:type="table" w:styleId="DarkList-Accent6">
    <w:name w:val="Dark List Accent 6"/>
    <w:basedOn w:val="TableNormal"/>
    <w:uiPriority w:val="70"/>
    <w:semiHidden/>
    <w:unhideWhenUsed/>
    <w:rsid w:val="00FE227B"/>
    <w:pPr>
      <w:spacing w:before="0"/>
    </w:pPr>
    <w:rPr>
      <w:rFonts w:ascii="Roboto" w:hAnsi="Roboto"/>
      <w:color w:val="FFFFFF" w:themeColor="background1"/>
    </w:rPr>
    <w:tblPr>
      <w:tblStyleRowBandSize w:val="1"/>
      <w:tblStyleColBandSize w:val="1"/>
    </w:tblPr>
    <w:tcPr>
      <w:shd w:val="clear" w:color="auto" w:fill="00809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F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F71" w:themeFill="accent6" w:themeFillShade="BF"/>
      </w:tcPr>
    </w:tblStylePr>
    <w:tblStylePr w:type="band1Vert">
      <w:tblPr/>
      <w:tcPr>
        <w:tcBorders>
          <w:top w:val="nil"/>
          <w:left w:val="nil"/>
          <w:bottom w:val="nil"/>
          <w:right w:val="nil"/>
          <w:insideH w:val="nil"/>
          <w:insideV w:val="nil"/>
        </w:tcBorders>
        <w:shd w:val="clear" w:color="auto" w:fill="005F71" w:themeFill="accent6" w:themeFillShade="BF"/>
      </w:tcPr>
    </w:tblStylePr>
    <w:tblStylePr w:type="band1Horz">
      <w:tblPr/>
      <w:tcPr>
        <w:tcBorders>
          <w:top w:val="nil"/>
          <w:left w:val="nil"/>
          <w:bottom w:val="nil"/>
          <w:right w:val="nil"/>
          <w:insideH w:val="nil"/>
          <w:insideV w:val="nil"/>
        </w:tcBorders>
        <w:shd w:val="clear" w:color="auto" w:fill="005F71" w:themeFill="accent6" w:themeFillShade="BF"/>
      </w:tcPr>
    </w:tblStylePr>
  </w:style>
  <w:style w:type="table" w:styleId="GridTable1Light">
    <w:name w:val="Grid Table 1 Light"/>
    <w:basedOn w:val="TableNormal"/>
    <w:uiPriority w:val="46"/>
    <w:rsid w:val="00FE227B"/>
    <w:rPr>
      <w:rFonts w:ascii="Roboto" w:hAnsi="Robot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227B"/>
    <w:rPr>
      <w:rFonts w:ascii="Roboto" w:hAnsi="Roboto"/>
    </w:rPr>
    <w:tblPr>
      <w:tblStyleRowBandSize w:val="1"/>
      <w:tblStyleColBandSize w:val="1"/>
      <w:tblBorders>
        <w:top w:val="single" w:sz="4" w:space="0" w:color="A19CDF" w:themeColor="accent1" w:themeTint="66"/>
        <w:left w:val="single" w:sz="4" w:space="0" w:color="A19CDF" w:themeColor="accent1" w:themeTint="66"/>
        <w:bottom w:val="single" w:sz="4" w:space="0" w:color="A19CDF" w:themeColor="accent1" w:themeTint="66"/>
        <w:right w:val="single" w:sz="4" w:space="0" w:color="A19CDF" w:themeColor="accent1" w:themeTint="66"/>
        <w:insideH w:val="single" w:sz="4" w:space="0" w:color="A19CDF" w:themeColor="accent1" w:themeTint="66"/>
        <w:insideV w:val="single" w:sz="4" w:space="0" w:color="A19CDF" w:themeColor="accent1" w:themeTint="66"/>
      </w:tblBorders>
    </w:tblPr>
    <w:tblStylePr w:type="firstRow">
      <w:rPr>
        <w:b/>
        <w:bCs/>
      </w:rPr>
      <w:tblPr/>
      <w:tcPr>
        <w:tcBorders>
          <w:bottom w:val="single" w:sz="12" w:space="0" w:color="726BCF" w:themeColor="accent1" w:themeTint="99"/>
        </w:tcBorders>
      </w:tcPr>
    </w:tblStylePr>
    <w:tblStylePr w:type="lastRow">
      <w:rPr>
        <w:b/>
        <w:bCs/>
      </w:rPr>
      <w:tblPr/>
      <w:tcPr>
        <w:tcBorders>
          <w:top w:val="double" w:sz="2" w:space="0" w:color="726B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227B"/>
    <w:rPr>
      <w:rFonts w:ascii="Roboto" w:hAnsi="Roboto"/>
    </w:rPr>
    <w:tblPr>
      <w:tblStyleRowBandSize w:val="1"/>
      <w:tblStyleColBandSize w:val="1"/>
      <w:tblBorders>
        <w:top w:val="single" w:sz="4" w:space="0" w:color="9EF2EF" w:themeColor="accent2" w:themeTint="66"/>
        <w:left w:val="single" w:sz="4" w:space="0" w:color="9EF2EF" w:themeColor="accent2" w:themeTint="66"/>
        <w:bottom w:val="single" w:sz="4" w:space="0" w:color="9EF2EF" w:themeColor="accent2" w:themeTint="66"/>
        <w:right w:val="single" w:sz="4" w:space="0" w:color="9EF2EF" w:themeColor="accent2" w:themeTint="66"/>
        <w:insideH w:val="single" w:sz="4" w:space="0" w:color="9EF2EF" w:themeColor="accent2" w:themeTint="66"/>
        <w:insideV w:val="single" w:sz="4" w:space="0" w:color="9EF2EF" w:themeColor="accent2" w:themeTint="66"/>
      </w:tblBorders>
    </w:tblPr>
    <w:tblStylePr w:type="firstRow">
      <w:rPr>
        <w:b/>
        <w:bCs/>
      </w:rPr>
      <w:tblPr/>
      <w:tcPr>
        <w:tcBorders>
          <w:bottom w:val="single" w:sz="12" w:space="0" w:color="6DEBE6" w:themeColor="accent2" w:themeTint="99"/>
        </w:tcBorders>
      </w:tcPr>
    </w:tblStylePr>
    <w:tblStylePr w:type="lastRow">
      <w:rPr>
        <w:b/>
        <w:bCs/>
      </w:rPr>
      <w:tblPr/>
      <w:tcPr>
        <w:tcBorders>
          <w:top w:val="double" w:sz="2" w:space="0" w:color="6DEBE6"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227B"/>
    <w:rPr>
      <w:rFonts w:ascii="Roboto" w:hAnsi="Roboto"/>
    </w:rPr>
    <w:tblPr>
      <w:tblStyleRowBandSize w:val="1"/>
      <w:tblStyleColBandSize w:val="1"/>
      <w:tblBorders>
        <w:top w:val="single" w:sz="4" w:space="0" w:color="F9E191" w:themeColor="accent4" w:themeTint="66"/>
        <w:left w:val="single" w:sz="4" w:space="0" w:color="F9E191" w:themeColor="accent4" w:themeTint="66"/>
        <w:bottom w:val="single" w:sz="4" w:space="0" w:color="F9E191" w:themeColor="accent4" w:themeTint="66"/>
        <w:right w:val="single" w:sz="4" w:space="0" w:color="F9E191" w:themeColor="accent4" w:themeTint="66"/>
        <w:insideH w:val="single" w:sz="4" w:space="0" w:color="F9E191" w:themeColor="accent4" w:themeTint="66"/>
        <w:insideV w:val="single" w:sz="4" w:space="0" w:color="F9E191" w:themeColor="accent4" w:themeTint="66"/>
      </w:tblBorders>
    </w:tblPr>
    <w:tblStylePr w:type="firstRow">
      <w:rPr>
        <w:b/>
        <w:bCs/>
      </w:rPr>
      <w:tblPr/>
      <w:tcPr>
        <w:tcBorders>
          <w:bottom w:val="single" w:sz="12" w:space="0" w:color="F6D25B" w:themeColor="accent4" w:themeTint="99"/>
        </w:tcBorders>
      </w:tcPr>
    </w:tblStylePr>
    <w:tblStylePr w:type="lastRow">
      <w:rPr>
        <w:b/>
        <w:bCs/>
      </w:rPr>
      <w:tblPr/>
      <w:tcPr>
        <w:tcBorders>
          <w:top w:val="double" w:sz="2" w:space="0" w:color="F6D25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227B"/>
    <w:rPr>
      <w:rFonts w:ascii="Roboto" w:hAnsi="Roboto"/>
    </w:rPr>
    <w:tblPr>
      <w:tblStyleRowBandSize w:val="1"/>
      <w:tblStyleColBandSize w:val="1"/>
      <w:tblBorders>
        <w:top w:val="single" w:sz="4" w:space="0" w:color="F5BEC6" w:themeColor="accent5" w:themeTint="66"/>
        <w:left w:val="single" w:sz="4" w:space="0" w:color="F5BEC6" w:themeColor="accent5" w:themeTint="66"/>
        <w:bottom w:val="single" w:sz="4" w:space="0" w:color="F5BEC6" w:themeColor="accent5" w:themeTint="66"/>
        <w:right w:val="single" w:sz="4" w:space="0" w:color="F5BEC6" w:themeColor="accent5" w:themeTint="66"/>
        <w:insideH w:val="single" w:sz="4" w:space="0" w:color="F5BEC6" w:themeColor="accent5" w:themeTint="66"/>
        <w:insideV w:val="single" w:sz="4" w:space="0" w:color="F5BEC6" w:themeColor="accent5" w:themeTint="66"/>
      </w:tblBorders>
    </w:tblPr>
    <w:tblStylePr w:type="firstRow">
      <w:rPr>
        <w:b/>
        <w:bCs/>
      </w:rPr>
      <w:tblPr/>
      <w:tcPr>
        <w:tcBorders>
          <w:bottom w:val="single" w:sz="12" w:space="0" w:color="F19DAA" w:themeColor="accent5" w:themeTint="99"/>
        </w:tcBorders>
      </w:tcPr>
    </w:tblStylePr>
    <w:tblStylePr w:type="lastRow">
      <w:rPr>
        <w:b/>
        <w:bCs/>
      </w:rPr>
      <w:tblPr/>
      <w:tcPr>
        <w:tcBorders>
          <w:top w:val="double" w:sz="2" w:space="0" w:color="F19D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227B"/>
    <w:rPr>
      <w:rFonts w:ascii="Roboto" w:hAnsi="Roboto"/>
    </w:rPr>
    <w:tblPr>
      <w:tblStyleRowBandSize w:val="1"/>
      <w:tblStyleColBandSize w:val="1"/>
      <w:tblBorders>
        <w:top w:val="single" w:sz="4" w:space="0" w:color="6FE7FF" w:themeColor="accent6" w:themeTint="66"/>
        <w:left w:val="single" w:sz="4" w:space="0" w:color="6FE7FF" w:themeColor="accent6" w:themeTint="66"/>
        <w:bottom w:val="single" w:sz="4" w:space="0" w:color="6FE7FF" w:themeColor="accent6" w:themeTint="66"/>
        <w:right w:val="single" w:sz="4" w:space="0" w:color="6FE7FF" w:themeColor="accent6" w:themeTint="66"/>
        <w:insideH w:val="single" w:sz="4" w:space="0" w:color="6FE7FF" w:themeColor="accent6" w:themeTint="66"/>
        <w:insideV w:val="single" w:sz="4" w:space="0" w:color="6FE7FF" w:themeColor="accent6" w:themeTint="66"/>
      </w:tblBorders>
    </w:tblPr>
    <w:tblStylePr w:type="firstRow">
      <w:rPr>
        <w:b/>
        <w:bCs/>
      </w:rPr>
      <w:tblPr/>
      <w:tcPr>
        <w:tcBorders>
          <w:bottom w:val="single" w:sz="12" w:space="0" w:color="28DCFF" w:themeColor="accent6" w:themeTint="99"/>
        </w:tcBorders>
      </w:tcPr>
    </w:tblStylePr>
    <w:tblStylePr w:type="lastRow">
      <w:rPr>
        <w:b/>
        <w:bCs/>
      </w:rPr>
      <w:tblPr/>
      <w:tcPr>
        <w:tcBorders>
          <w:top w:val="double" w:sz="2" w:space="0" w:color="28DC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227B"/>
    <w:rPr>
      <w:rFonts w:ascii="Roboto" w:hAnsi="Robot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227B"/>
    <w:rPr>
      <w:rFonts w:ascii="Roboto" w:hAnsi="Roboto"/>
    </w:rPr>
    <w:tblPr>
      <w:tblStyleRowBandSize w:val="1"/>
      <w:tblStyleColBandSize w:val="1"/>
      <w:tblBorders>
        <w:top w:val="single" w:sz="2" w:space="0" w:color="726BCF" w:themeColor="accent1" w:themeTint="99"/>
        <w:bottom w:val="single" w:sz="2" w:space="0" w:color="726BCF" w:themeColor="accent1" w:themeTint="99"/>
        <w:insideH w:val="single" w:sz="2" w:space="0" w:color="726BCF" w:themeColor="accent1" w:themeTint="99"/>
        <w:insideV w:val="single" w:sz="2" w:space="0" w:color="726BCF" w:themeColor="accent1" w:themeTint="99"/>
      </w:tblBorders>
    </w:tblPr>
    <w:tblStylePr w:type="firstRow">
      <w:rPr>
        <w:b/>
        <w:bCs/>
      </w:rPr>
      <w:tblPr/>
      <w:tcPr>
        <w:tcBorders>
          <w:top w:val="nil"/>
          <w:bottom w:val="single" w:sz="12" w:space="0" w:color="726BCF" w:themeColor="accent1" w:themeTint="99"/>
          <w:insideH w:val="nil"/>
          <w:insideV w:val="nil"/>
        </w:tcBorders>
        <w:shd w:val="clear" w:color="auto" w:fill="FFFFFF" w:themeFill="background1"/>
      </w:tcPr>
    </w:tblStylePr>
    <w:tblStylePr w:type="lastRow">
      <w:rPr>
        <w:b/>
        <w:bCs/>
      </w:rPr>
      <w:tblPr/>
      <w:tcPr>
        <w:tcBorders>
          <w:top w:val="double" w:sz="2" w:space="0" w:color="726B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2-Accent2">
    <w:name w:val="Grid Table 2 Accent 2"/>
    <w:basedOn w:val="TableNormal"/>
    <w:uiPriority w:val="47"/>
    <w:rsid w:val="00FE227B"/>
    <w:rPr>
      <w:rFonts w:ascii="Roboto" w:hAnsi="Roboto"/>
    </w:rPr>
    <w:tblPr>
      <w:tblStyleRowBandSize w:val="1"/>
      <w:tblStyleColBandSize w:val="1"/>
      <w:tblBorders>
        <w:top w:val="single" w:sz="2" w:space="0" w:color="6DEBE6" w:themeColor="accent2" w:themeTint="99"/>
        <w:bottom w:val="single" w:sz="2" w:space="0" w:color="6DEBE6" w:themeColor="accent2" w:themeTint="99"/>
        <w:insideH w:val="single" w:sz="2" w:space="0" w:color="6DEBE6" w:themeColor="accent2" w:themeTint="99"/>
        <w:insideV w:val="single" w:sz="2" w:space="0" w:color="6DEBE6" w:themeColor="accent2" w:themeTint="99"/>
      </w:tblBorders>
    </w:tblPr>
    <w:tblStylePr w:type="firstRow">
      <w:rPr>
        <w:b/>
        <w:bCs/>
      </w:rPr>
      <w:tblPr/>
      <w:tcPr>
        <w:tcBorders>
          <w:top w:val="nil"/>
          <w:bottom w:val="single" w:sz="12" w:space="0" w:color="6DEBE6" w:themeColor="accent2" w:themeTint="99"/>
          <w:insideH w:val="nil"/>
          <w:insideV w:val="nil"/>
        </w:tcBorders>
        <w:shd w:val="clear" w:color="auto" w:fill="FFFFFF" w:themeFill="background1"/>
      </w:tcPr>
    </w:tblStylePr>
    <w:tblStylePr w:type="lastRow">
      <w:rPr>
        <w:b/>
        <w:bCs/>
      </w:rPr>
      <w:tblPr/>
      <w:tcPr>
        <w:tcBorders>
          <w:top w:val="double" w:sz="2" w:space="0" w:color="6DEBE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2-Accent3">
    <w:name w:val="Grid Table 2 Accent 3"/>
    <w:basedOn w:val="TableNormal"/>
    <w:uiPriority w:val="47"/>
    <w:rsid w:val="00FE227B"/>
    <w:rPr>
      <w:rFonts w:ascii="Roboto" w:hAnsi="Roboto"/>
    </w:rPr>
    <w:tblPr>
      <w:tblStyleRowBandSize w:val="1"/>
      <w:tblStyleColBandSize w:val="1"/>
      <w:tblBorders>
        <w:top w:val="single" w:sz="2" w:space="0" w:color="76CC6B" w:themeColor="accent3" w:themeTint="99"/>
        <w:bottom w:val="single" w:sz="2" w:space="0" w:color="76CC6B" w:themeColor="accent3" w:themeTint="99"/>
        <w:insideH w:val="single" w:sz="2" w:space="0" w:color="76CC6B" w:themeColor="accent3" w:themeTint="99"/>
        <w:insideV w:val="single" w:sz="2" w:space="0" w:color="76CC6B" w:themeColor="accent3" w:themeTint="99"/>
      </w:tblBorders>
    </w:tblPr>
    <w:tblStylePr w:type="firstRow">
      <w:rPr>
        <w:b/>
        <w:bCs/>
      </w:rPr>
      <w:tblPr/>
      <w:tcPr>
        <w:tcBorders>
          <w:top w:val="nil"/>
          <w:bottom w:val="single" w:sz="12" w:space="0" w:color="76CC6B" w:themeColor="accent3" w:themeTint="99"/>
          <w:insideH w:val="nil"/>
          <w:insideV w:val="nil"/>
        </w:tcBorders>
        <w:shd w:val="clear" w:color="auto" w:fill="FFFFFF" w:themeFill="background1"/>
      </w:tcPr>
    </w:tblStylePr>
    <w:tblStylePr w:type="lastRow">
      <w:rPr>
        <w:b/>
        <w:bCs/>
      </w:rPr>
      <w:tblPr/>
      <w:tcPr>
        <w:tcBorders>
          <w:top w:val="double" w:sz="2" w:space="0" w:color="76CC6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2-Accent4">
    <w:name w:val="Grid Table 2 Accent 4"/>
    <w:basedOn w:val="TableNormal"/>
    <w:uiPriority w:val="47"/>
    <w:rsid w:val="00FE227B"/>
    <w:rPr>
      <w:rFonts w:ascii="Roboto" w:hAnsi="Roboto"/>
    </w:rPr>
    <w:tblPr>
      <w:tblStyleRowBandSize w:val="1"/>
      <w:tblStyleColBandSize w:val="1"/>
      <w:tblBorders>
        <w:top w:val="single" w:sz="2" w:space="0" w:color="F6D25B" w:themeColor="accent4" w:themeTint="99"/>
        <w:bottom w:val="single" w:sz="2" w:space="0" w:color="F6D25B" w:themeColor="accent4" w:themeTint="99"/>
        <w:insideH w:val="single" w:sz="2" w:space="0" w:color="F6D25B" w:themeColor="accent4" w:themeTint="99"/>
        <w:insideV w:val="single" w:sz="2" w:space="0" w:color="F6D25B" w:themeColor="accent4" w:themeTint="99"/>
      </w:tblBorders>
    </w:tblPr>
    <w:tblStylePr w:type="firstRow">
      <w:rPr>
        <w:b/>
        <w:bCs/>
      </w:rPr>
      <w:tblPr/>
      <w:tcPr>
        <w:tcBorders>
          <w:top w:val="nil"/>
          <w:bottom w:val="single" w:sz="12" w:space="0" w:color="F6D25B" w:themeColor="accent4" w:themeTint="99"/>
          <w:insideH w:val="nil"/>
          <w:insideV w:val="nil"/>
        </w:tcBorders>
        <w:shd w:val="clear" w:color="auto" w:fill="FFFFFF" w:themeFill="background1"/>
      </w:tcPr>
    </w:tblStylePr>
    <w:tblStylePr w:type="lastRow">
      <w:rPr>
        <w:b/>
        <w:bCs/>
      </w:rPr>
      <w:tblPr/>
      <w:tcPr>
        <w:tcBorders>
          <w:top w:val="double" w:sz="2" w:space="0" w:color="F6D25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2-Accent5">
    <w:name w:val="Grid Table 2 Accent 5"/>
    <w:basedOn w:val="TableNormal"/>
    <w:uiPriority w:val="47"/>
    <w:rsid w:val="00FE227B"/>
    <w:rPr>
      <w:rFonts w:ascii="Roboto" w:hAnsi="Roboto"/>
    </w:rPr>
    <w:tblPr>
      <w:tblStyleRowBandSize w:val="1"/>
      <w:tblStyleColBandSize w:val="1"/>
      <w:tblBorders>
        <w:top w:val="single" w:sz="2" w:space="0" w:color="F19DAA" w:themeColor="accent5" w:themeTint="99"/>
        <w:bottom w:val="single" w:sz="2" w:space="0" w:color="F19DAA" w:themeColor="accent5" w:themeTint="99"/>
        <w:insideH w:val="single" w:sz="2" w:space="0" w:color="F19DAA" w:themeColor="accent5" w:themeTint="99"/>
        <w:insideV w:val="single" w:sz="2" w:space="0" w:color="F19DAA" w:themeColor="accent5" w:themeTint="99"/>
      </w:tblBorders>
    </w:tblPr>
    <w:tblStylePr w:type="firstRow">
      <w:rPr>
        <w:b/>
        <w:bCs/>
      </w:rPr>
      <w:tblPr/>
      <w:tcPr>
        <w:tcBorders>
          <w:top w:val="nil"/>
          <w:bottom w:val="single" w:sz="12" w:space="0" w:color="F19DAA" w:themeColor="accent5" w:themeTint="99"/>
          <w:insideH w:val="nil"/>
          <w:insideV w:val="nil"/>
        </w:tcBorders>
        <w:shd w:val="clear" w:color="auto" w:fill="FFFFFF" w:themeFill="background1"/>
      </w:tcPr>
    </w:tblStylePr>
    <w:tblStylePr w:type="lastRow">
      <w:rPr>
        <w:b/>
        <w:bCs/>
      </w:rPr>
      <w:tblPr/>
      <w:tcPr>
        <w:tcBorders>
          <w:top w:val="double" w:sz="2" w:space="0" w:color="F19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2-Accent6">
    <w:name w:val="Grid Table 2 Accent 6"/>
    <w:basedOn w:val="TableNormal"/>
    <w:uiPriority w:val="47"/>
    <w:rsid w:val="00FE227B"/>
    <w:rPr>
      <w:rFonts w:ascii="Roboto" w:hAnsi="Roboto"/>
    </w:rPr>
    <w:tblPr>
      <w:tblStyleRowBandSize w:val="1"/>
      <w:tblStyleColBandSize w:val="1"/>
      <w:tblBorders>
        <w:top w:val="single" w:sz="2" w:space="0" w:color="28DCFF" w:themeColor="accent6" w:themeTint="99"/>
        <w:bottom w:val="single" w:sz="2" w:space="0" w:color="28DCFF" w:themeColor="accent6" w:themeTint="99"/>
        <w:insideH w:val="single" w:sz="2" w:space="0" w:color="28DCFF" w:themeColor="accent6" w:themeTint="99"/>
        <w:insideV w:val="single" w:sz="2" w:space="0" w:color="28DCFF" w:themeColor="accent6" w:themeTint="99"/>
      </w:tblBorders>
    </w:tblPr>
    <w:tblStylePr w:type="firstRow">
      <w:rPr>
        <w:b/>
        <w:bCs/>
      </w:rPr>
      <w:tblPr/>
      <w:tcPr>
        <w:tcBorders>
          <w:top w:val="nil"/>
          <w:bottom w:val="single" w:sz="12" w:space="0" w:color="28DCFF" w:themeColor="accent6" w:themeTint="99"/>
          <w:insideH w:val="nil"/>
          <w:insideV w:val="nil"/>
        </w:tcBorders>
        <w:shd w:val="clear" w:color="auto" w:fill="FFFFFF" w:themeFill="background1"/>
      </w:tcPr>
    </w:tblStylePr>
    <w:tblStylePr w:type="lastRow">
      <w:rPr>
        <w:b/>
        <w:bCs/>
      </w:rPr>
      <w:tblPr/>
      <w:tcPr>
        <w:tcBorders>
          <w:top w:val="double" w:sz="2" w:space="0" w:color="28DC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3">
    <w:name w:val="Grid Table 3"/>
    <w:basedOn w:val="TableNormal"/>
    <w:uiPriority w:val="48"/>
    <w:rsid w:val="00FE227B"/>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227B"/>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bottom w:val="single" w:sz="4" w:space="0" w:color="726BCF" w:themeColor="accent1" w:themeTint="99"/>
        </w:tcBorders>
      </w:tcPr>
    </w:tblStylePr>
    <w:tblStylePr w:type="nwCell">
      <w:tblPr/>
      <w:tcPr>
        <w:tcBorders>
          <w:bottom w:val="single" w:sz="4" w:space="0" w:color="726BCF" w:themeColor="accent1" w:themeTint="99"/>
        </w:tcBorders>
      </w:tcPr>
    </w:tblStylePr>
    <w:tblStylePr w:type="seCell">
      <w:tblPr/>
      <w:tcPr>
        <w:tcBorders>
          <w:top w:val="single" w:sz="4" w:space="0" w:color="726BCF" w:themeColor="accent1" w:themeTint="99"/>
        </w:tcBorders>
      </w:tcPr>
    </w:tblStylePr>
    <w:tblStylePr w:type="swCell">
      <w:tblPr/>
      <w:tcPr>
        <w:tcBorders>
          <w:top w:val="single" w:sz="4" w:space="0" w:color="726BCF" w:themeColor="accent1" w:themeTint="99"/>
        </w:tcBorders>
      </w:tcPr>
    </w:tblStylePr>
  </w:style>
  <w:style w:type="table" w:styleId="GridTable3-Accent2">
    <w:name w:val="Grid Table 3 Accent 2"/>
    <w:basedOn w:val="TableNormal"/>
    <w:uiPriority w:val="48"/>
    <w:rsid w:val="00FE227B"/>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bottom w:val="single" w:sz="4" w:space="0" w:color="6DEBE6" w:themeColor="accent2" w:themeTint="99"/>
        </w:tcBorders>
      </w:tcPr>
    </w:tblStylePr>
    <w:tblStylePr w:type="nwCell">
      <w:tblPr/>
      <w:tcPr>
        <w:tcBorders>
          <w:bottom w:val="single" w:sz="4" w:space="0" w:color="6DEBE6" w:themeColor="accent2" w:themeTint="99"/>
        </w:tcBorders>
      </w:tcPr>
    </w:tblStylePr>
    <w:tblStylePr w:type="seCell">
      <w:tblPr/>
      <w:tcPr>
        <w:tcBorders>
          <w:top w:val="single" w:sz="4" w:space="0" w:color="6DEBE6" w:themeColor="accent2" w:themeTint="99"/>
        </w:tcBorders>
      </w:tcPr>
    </w:tblStylePr>
    <w:tblStylePr w:type="swCell">
      <w:tblPr/>
      <w:tcPr>
        <w:tcBorders>
          <w:top w:val="single" w:sz="4" w:space="0" w:color="6DEBE6" w:themeColor="accent2" w:themeTint="99"/>
        </w:tcBorders>
      </w:tcPr>
    </w:tblStylePr>
  </w:style>
  <w:style w:type="table" w:styleId="GridTable3-Accent3">
    <w:name w:val="Grid Table 3 Accent 3"/>
    <w:basedOn w:val="TableNormal"/>
    <w:uiPriority w:val="48"/>
    <w:rsid w:val="00FE227B"/>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bottom w:val="single" w:sz="4" w:space="0" w:color="76CC6B" w:themeColor="accent3" w:themeTint="99"/>
        </w:tcBorders>
      </w:tcPr>
    </w:tblStylePr>
    <w:tblStylePr w:type="nwCell">
      <w:tblPr/>
      <w:tcPr>
        <w:tcBorders>
          <w:bottom w:val="single" w:sz="4" w:space="0" w:color="76CC6B" w:themeColor="accent3" w:themeTint="99"/>
        </w:tcBorders>
      </w:tcPr>
    </w:tblStylePr>
    <w:tblStylePr w:type="seCell">
      <w:tblPr/>
      <w:tcPr>
        <w:tcBorders>
          <w:top w:val="single" w:sz="4" w:space="0" w:color="76CC6B" w:themeColor="accent3" w:themeTint="99"/>
        </w:tcBorders>
      </w:tcPr>
    </w:tblStylePr>
    <w:tblStylePr w:type="swCell">
      <w:tblPr/>
      <w:tcPr>
        <w:tcBorders>
          <w:top w:val="single" w:sz="4" w:space="0" w:color="76CC6B" w:themeColor="accent3" w:themeTint="99"/>
        </w:tcBorders>
      </w:tcPr>
    </w:tblStylePr>
  </w:style>
  <w:style w:type="table" w:styleId="GridTable3-Accent4">
    <w:name w:val="Grid Table 3 Accent 4"/>
    <w:basedOn w:val="TableNormal"/>
    <w:uiPriority w:val="48"/>
    <w:rsid w:val="00FE227B"/>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bottom w:val="single" w:sz="4" w:space="0" w:color="F6D25B" w:themeColor="accent4" w:themeTint="99"/>
        </w:tcBorders>
      </w:tcPr>
    </w:tblStylePr>
    <w:tblStylePr w:type="nwCell">
      <w:tblPr/>
      <w:tcPr>
        <w:tcBorders>
          <w:bottom w:val="single" w:sz="4" w:space="0" w:color="F6D25B" w:themeColor="accent4" w:themeTint="99"/>
        </w:tcBorders>
      </w:tcPr>
    </w:tblStylePr>
    <w:tblStylePr w:type="seCell">
      <w:tblPr/>
      <w:tcPr>
        <w:tcBorders>
          <w:top w:val="single" w:sz="4" w:space="0" w:color="F6D25B" w:themeColor="accent4" w:themeTint="99"/>
        </w:tcBorders>
      </w:tcPr>
    </w:tblStylePr>
    <w:tblStylePr w:type="swCell">
      <w:tblPr/>
      <w:tcPr>
        <w:tcBorders>
          <w:top w:val="single" w:sz="4" w:space="0" w:color="F6D25B" w:themeColor="accent4" w:themeTint="99"/>
        </w:tcBorders>
      </w:tcPr>
    </w:tblStylePr>
  </w:style>
  <w:style w:type="table" w:styleId="GridTable3-Accent5">
    <w:name w:val="Grid Table 3 Accent 5"/>
    <w:basedOn w:val="TableNormal"/>
    <w:uiPriority w:val="48"/>
    <w:rsid w:val="00FE227B"/>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bottom w:val="single" w:sz="4" w:space="0" w:color="F19DAA" w:themeColor="accent5" w:themeTint="99"/>
        </w:tcBorders>
      </w:tcPr>
    </w:tblStylePr>
    <w:tblStylePr w:type="nwCell">
      <w:tblPr/>
      <w:tcPr>
        <w:tcBorders>
          <w:bottom w:val="single" w:sz="4" w:space="0" w:color="F19DAA" w:themeColor="accent5" w:themeTint="99"/>
        </w:tcBorders>
      </w:tcPr>
    </w:tblStylePr>
    <w:tblStylePr w:type="seCell">
      <w:tblPr/>
      <w:tcPr>
        <w:tcBorders>
          <w:top w:val="single" w:sz="4" w:space="0" w:color="F19DAA" w:themeColor="accent5" w:themeTint="99"/>
        </w:tcBorders>
      </w:tcPr>
    </w:tblStylePr>
    <w:tblStylePr w:type="swCell">
      <w:tblPr/>
      <w:tcPr>
        <w:tcBorders>
          <w:top w:val="single" w:sz="4" w:space="0" w:color="F19DAA" w:themeColor="accent5" w:themeTint="99"/>
        </w:tcBorders>
      </w:tcPr>
    </w:tblStylePr>
  </w:style>
  <w:style w:type="table" w:styleId="GridTable3-Accent6">
    <w:name w:val="Grid Table 3 Accent 6"/>
    <w:basedOn w:val="TableNormal"/>
    <w:uiPriority w:val="48"/>
    <w:rsid w:val="00FE227B"/>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bottom w:val="single" w:sz="4" w:space="0" w:color="28DCFF" w:themeColor="accent6" w:themeTint="99"/>
        </w:tcBorders>
      </w:tcPr>
    </w:tblStylePr>
    <w:tblStylePr w:type="nwCell">
      <w:tblPr/>
      <w:tcPr>
        <w:tcBorders>
          <w:bottom w:val="single" w:sz="4" w:space="0" w:color="28DCFF" w:themeColor="accent6" w:themeTint="99"/>
        </w:tcBorders>
      </w:tcPr>
    </w:tblStylePr>
    <w:tblStylePr w:type="seCell">
      <w:tblPr/>
      <w:tcPr>
        <w:tcBorders>
          <w:top w:val="single" w:sz="4" w:space="0" w:color="28DCFF" w:themeColor="accent6" w:themeTint="99"/>
        </w:tcBorders>
      </w:tcPr>
    </w:tblStylePr>
    <w:tblStylePr w:type="swCell">
      <w:tblPr/>
      <w:tcPr>
        <w:tcBorders>
          <w:top w:val="single" w:sz="4" w:space="0" w:color="28DCFF" w:themeColor="accent6" w:themeTint="99"/>
        </w:tcBorders>
      </w:tcPr>
    </w:tblStylePr>
  </w:style>
  <w:style w:type="table" w:styleId="GridTable4-Accent1">
    <w:name w:val="Grid Table 4 Accent 1"/>
    <w:basedOn w:val="TableNormal"/>
    <w:uiPriority w:val="49"/>
    <w:rsid w:val="00FE227B"/>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color w:val="FFFFFF" w:themeColor="background1"/>
      </w:rPr>
      <w:tblPr/>
      <w:tcPr>
        <w:tcBorders>
          <w:top w:val="single" w:sz="4" w:space="0" w:color="342D8C" w:themeColor="accent1"/>
          <w:left w:val="single" w:sz="4" w:space="0" w:color="342D8C" w:themeColor="accent1"/>
          <w:bottom w:val="single" w:sz="4" w:space="0" w:color="342D8C" w:themeColor="accent1"/>
          <w:right w:val="single" w:sz="4" w:space="0" w:color="342D8C" w:themeColor="accent1"/>
          <w:insideH w:val="nil"/>
          <w:insideV w:val="nil"/>
        </w:tcBorders>
        <w:shd w:val="clear" w:color="auto" w:fill="342D8C" w:themeFill="accent1"/>
      </w:tcPr>
    </w:tblStylePr>
    <w:tblStylePr w:type="lastRow">
      <w:rPr>
        <w:b/>
        <w:bCs/>
      </w:rPr>
      <w:tblPr/>
      <w:tcPr>
        <w:tcBorders>
          <w:top w:val="double" w:sz="4" w:space="0" w:color="342D8C" w:themeColor="accent1"/>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4-Accent2">
    <w:name w:val="Grid Table 4 Accent 2"/>
    <w:basedOn w:val="TableNormal"/>
    <w:uiPriority w:val="49"/>
    <w:rsid w:val="00FE227B"/>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color w:val="FFFFFF" w:themeColor="background1"/>
      </w:rPr>
      <w:tblPr/>
      <w:tcPr>
        <w:tcBorders>
          <w:top w:val="single" w:sz="4" w:space="0" w:color="1CCFC9" w:themeColor="accent2"/>
          <w:left w:val="single" w:sz="4" w:space="0" w:color="1CCFC9" w:themeColor="accent2"/>
          <w:bottom w:val="single" w:sz="4" w:space="0" w:color="1CCFC9" w:themeColor="accent2"/>
          <w:right w:val="single" w:sz="4" w:space="0" w:color="1CCFC9" w:themeColor="accent2"/>
          <w:insideH w:val="nil"/>
          <w:insideV w:val="nil"/>
        </w:tcBorders>
        <w:shd w:val="clear" w:color="auto" w:fill="1CCFC9" w:themeFill="accent2"/>
      </w:tcPr>
    </w:tblStylePr>
    <w:tblStylePr w:type="lastRow">
      <w:rPr>
        <w:b/>
        <w:bCs/>
      </w:rPr>
      <w:tblPr/>
      <w:tcPr>
        <w:tcBorders>
          <w:top w:val="double" w:sz="4" w:space="0" w:color="1CCFC9" w:themeColor="accent2"/>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4-Accent3">
    <w:name w:val="Grid Table 4 Accent 3"/>
    <w:basedOn w:val="TableNormal"/>
    <w:uiPriority w:val="49"/>
    <w:rsid w:val="00FE227B"/>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color w:val="FFFFFF" w:themeColor="background1"/>
      </w:rPr>
      <w:tblPr/>
      <w:tcPr>
        <w:tcBorders>
          <w:top w:val="single" w:sz="4" w:space="0" w:color="38862E" w:themeColor="accent3"/>
          <w:left w:val="single" w:sz="4" w:space="0" w:color="38862E" w:themeColor="accent3"/>
          <w:bottom w:val="single" w:sz="4" w:space="0" w:color="38862E" w:themeColor="accent3"/>
          <w:right w:val="single" w:sz="4" w:space="0" w:color="38862E" w:themeColor="accent3"/>
          <w:insideH w:val="nil"/>
          <w:insideV w:val="nil"/>
        </w:tcBorders>
        <w:shd w:val="clear" w:color="auto" w:fill="38862E" w:themeFill="accent3"/>
      </w:tcPr>
    </w:tblStylePr>
    <w:tblStylePr w:type="lastRow">
      <w:rPr>
        <w:b/>
        <w:bCs/>
      </w:rPr>
      <w:tblPr/>
      <w:tcPr>
        <w:tcBorders>
          <w:top w:val="double" w:sz="4" w:space="0" w:color="38862E" w:themeColor="accent3"/>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4-Accent4">
    <w:name w:val="Grid Table 4 Accent 4"/>
    <w:basedOn w:val="TableNormal"/>
    <w:uiPriority w:val="49"/>
    <w:rsid w:val="00FE227B"/>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color w:val="FFFFFF" w:themeColor="background1"/>
      </w:rPr>
      <w:tblPr/>
      <w:tcPr>
        <w:tcBorders>
          <w:top w:val="single" w:sz="4" w:space="0" w:color="D5A70B" w:themeColor="accent4"/>
          <w:left w:val="single" w:sz="4" w:space="0" w:color="D5A70B" w:themeColor="accent4"/>
          <w:bottom w:val="single" w:sz="4" w:space="0" w:color="D5A70B" w:themeColor="accent4"/>
          <w:right w:val="single" w:sz="4" w:space="0" w:color="D5A70B" w:themeColor="accent4"/>
          <w:insideH w:val="nil"/>
          <w:insideV w:val="nil"/>
        </w:tcBorders>
        <w:shd w:val="clear" w:color="auto" w:fill="D5A70B" w:themeFill="accent4"/>
      </w:tcPr>
    </w:tblStylePr>
    <w:tblStylePr w:type="lastRow">
      <w:rPr>
        <w:b/>
        <w:bCs/>
      </w:rPr>
      <w:tblPr/>
      <w:tcPr>
        <w:tcBorders>
          <w:top w:val="double" w:sz="4" w:space="0" w:color="D5A70B" w:themeColor="accent4"/>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4-Accent5">
    <w:name w:val="Grid Table 4 Accent 5"/>
    <w:basedOn w:val="TableNormal"/>
    <w:uiPriority w:val="49"/>
    <w:rsid w:val="00FE227B"/>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color w:val="FFFFFF" w:themeColor="background1"/>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nil"/>
          <w:insideV w:val="nil"/>
        </w:tcBorders>
        <w:shd w:val="clear" w:color="auto" w:fill="E85D72" w:themeFill="accent5"/>
      </w:tcPr>
    </w:tblStylePr>
    <w:tblStylePr w:type="lastRow">
      <w:rPr>
        <w:b/>
        <w:bCs/>
      </w:rPr>
      <w:tblPr/>
      <w:tcPr>
        <w:tcBorders>
          <w:top w:val="double" w:sz="4" w:space="0" w:color="E85D72" w:themeColor="accent5"/>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4-Accent6">
    <w:name w:val="Grid Table 4 Accent 6"/>
    <w:basedOn w:val="TableNormal"/>
    <w:uiPriority w:val="49"/>
    <w:rsid w:val="00FE227B"/>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color w:val="FFFFFF" w:themeColor="background1"/>
      </w:rPr>
      <w:tblPr/>
      <w:tcPr>
        <w:tcBorders>
          <w:top w:val="single" w:sz="4" w:space="0" w:color="008098" w:themeColor="accent6"/>
          <w:left w:val="single" w:sz="4" w:space="0" w:color="008098" w:themeColor="accent6"/>
          <w:bottom w:val="single" w:sz="4" w:space="0" w:color="008098" w:themeColor="accent6"/>
          <w:right w:val="single" w:sz="4" w:space="0" w:color="008098" w:themeColor="accent6"/>
          <w:insideH w:val="nil"/>
          <w:insideV w:val="nil"/>
        </w:tcBorders>
        <w:shd w:val="clear" w:color="auto" w:fill="008098" w:themeFill="accent6"/>
      </w:tcPr>
    </w:tblStylePr>
    <w:tblStylePr w:type="lastRow">
      <w:rPr>
        <w:b/>
        <w:bCs/>
      </w:rPr>
      <w:tblPr/>
      <w:tcPr>
        <w:tcBorders>
          <w:top w:val="double" w:sz="4" w:space="0" w:color="008098" w:themeColor="accent6"/>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5Dark">
    <w:name w:val="Grid Table 5 Dark"/>
    <w:basedOn w:val="TableNormal"/>
    <w:uiPriority w:val="50"/>
    <w:rsid w:val="00FE227B"/>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227B"/>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D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2D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2D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2D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2D8C" w:themeFill="accent1"/>
      </w:tcPr>
    </w:tblStylePr>
    <w:tblStylePr w:type="band1Vert">
      <w:tblPr/>
      <w:tcPr>
        <w:shd w:val="clear" w:color="auto" w:fill="A19CDF" w:themeFill="accent1" w:themeFillTint="66"/>
      </w:tcPr>
    </w:tblStylePr>
    <w:tblStylePr w:type="band1Horz">
      <w:tblPr/>
      <w:tcPr>
        <w:shd w:val="clear" w:color="auto" w:fill="A19CDF" w:themeFill="accent1" w:themeFillTint="66"/>
      </w:tcPr>
    </w:tblStylePr>
  </w:style>
  <w:style w:type="table" w:styleId="GridTable5Dark-Accent2">
    <w:name w:val="Grid Table 5 Dark Accent 2"/>
    <w:basedOn w:val="TableNormal"/>
    <w:uiPriority w:val="50"/>
    <w:rsid w:val="00FE227B"/>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FC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FC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FC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FC9" w:themeFill="accent2"/>
      </w:tcPr>
    </w:tblStylePr>
    <w:tblStylePr w:type="band1Vert">
      <w:tblPr/>
      <w:tcPr>
        <w:shd w:val="clear" w:color="auto" w:fill="9EF2EF" w:themeFill="accent2" w:themeFillTint="66"/>
      </w:tcPr>
    </w:tblStylePr>
    <w:tblStylePr w:type="band1Horz">
      <w:tblPr/>
      <w:tcPr>
        <w:shd w:val="clear" w:color="auto" w:fill="9EF2EF" w:themeFill="accent2" w:themeFillTint="66"/>
      </w:tcPr>
    </w:tblStylePr>
  </w:style>
  <w:style w:type="table" w:styleId="GridTable5Dark-Accent3">
    <w:name w:val="Grid Table 5 Dark Accent 3"/>
    <w:basedOn w:val="TableNormal"/>
    <w:uiPriority w:val="50"/>
    <w:rsid w:val="00FE227B"/>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862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862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862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862E" w:themeFill="accent3"/>
      </w:tcPr>
    </w:tblStylePr>
    <w:tblStylePr w:type="band1Vert">
      <w:tblPr/>
      <w:tcPr>
        <w:shd w:val="clear" w:color="auto" w:fill="A3DD9C" w:themeFill="accent3" w:themeFillTint="66"/>
      </w:tcPr>
    </w:tblStylePr>
    <w:tblStylePr w:type="band1Horz">
      <w:tblPr/>
      <w:tcPr>
        <w:shd w:val="clear" w:color="auto" w:fill="A3DD9C" w:themeFill="accent3" w:themeFillTint="66"/>
      </w:tcPr>
    </w:tblStylePr>
  </w:style>
  <w:style w:type="table" w:styleId="GridTable5Dark-Accent4">
    <w:name w:val="Grid Table 5 Dark Accent 4"/>
    <w:basedOn w:val="TableNormal"/>
    <w:uiPriority w:val="50"/>
    <w:rsid w:val="00FE227B"/>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C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A70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A70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A70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A70B" w:themeFill="accent4"/>
      </w:tcPr>
    </w:tblStylePr>
    <w:tblStylePr w:type="band1Vert">
      <w:tblPr/>
      <w:tcPr>
        <w:shd w:val="clear" w:color="auto" w:fill="F9E191" w:themeFill="accent4" w:themeFillTint="66"/>
      </w:tcPr>
    </w:tblStylePr>
    <w:tblStylePr w:type="band1Horz">
      <w:tblPr/>
      <w:tcPr>
        <w:shd w:val="clear" w:color="auto" w:fill="F9E191" w:themeFill="accent4" w:themeFillTint="66"/>
      </w:tcPr>
    </w:tblStylePr>
  </w:style>
  <w:style w:type="table" w:styleId="GridTable5Dark-Accent5">
    <w:name w:val="Grid Table 5 Dark Accent 5"/>
    <w:basedOn w:val="TableNormal"/>
    <w:uiPriority w:val="50"/>
    <w:rsid w:val="00FE227B"/>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E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5D7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5D7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5D7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5D72" w:themeFill="accent5"/>
      </w:tcPr>
    </w:tblStylePr>
    <w:tblStylePr w:type="band1Vert">
      <w:tblPr/>
      <w:tcPr>
        <w:shd w:val="clear" w:color="auto" w:fill="F5BEC6" w:themeFill="accent5" w:themeFillTint="66"/>
      </w:tcPr>
    </w:tblStylePr>
    <w:tblStylePr w:type="band1Horz">
      <w:tblPr/>
      <w:tcPr>
        <w:shd w:val="clear" w:color="auto" w:fill="F5BEC6" w:themeFill="accent5" w:themeFillTint="66"/>
      </w:tcPr>
    </w:tblStylePr>
  </w:style>
  <w:style w:type="table" w:styleId="GridTable5Dark-Accent6">
    <w:name w:val="Grid Table 5 Dark Accent 6"/>
    <w:basedOn w:val="TableNormal"/>
    <w:uiPriority w:val="50"/>
    <w:rsid w:val="00FE227B"/>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3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0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0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0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098" w:themeFill="accent6"/>
      </w:tcPr>
    </w:tblStylePr>
    <w:tblStylePr w:type="band1Vert">
      <w:tblPr/>
      <w:tcPr>
        <w:shd w:val="clear" w:color="auto" w:fill="6FE7FF" w:themeFill="accent6" w:themeFillTint="66"/>
      </w:tcPr>
    </w:tblStylePr>
    <w:tblStylePr w:type="band1Horz">
      <w:tblPr/>
      <w:tcPr>
        <w:shd w:val="clear" w:color="auto" w:fill="6FE7FF" w:themeFill="accent6" w:themeFillTint="66"/>
      </w:tcPr>
    </w:tblStylePr>
  </w:style>
  <w:style w:type="table" w:styleId="GridTable6Colorful-Accent1">
    <w:name w:val="Grid Table 6 Colorful Accent 1"/>
    <w:basedOn w:val="TableNormal"/>
    <w:uiPriority w:val="51"/>
    <w:rsid w:val="00FE227B"/>
    <w:rPr>
      <w:rFonts w:ascii="Roboto" w:hAnsi="Roboto"/>
      <w:color w:val="262168" w:themeColor="accent1" w:themeShade="BF"/>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bottom w:val="single" w:sz="12" w:space="0" w:color="726BCF" w:themeColor="accent1" w:themeTint="99"/>
        </w:tcBorders>
      </w:tcPr>
    </w:tblStylePr>
    <w:tblStylePr w:type="lastRow">
      <w:rPr>
        <w:b/>
        <w:bCs/>
      </w:rPr>
      <w:tblPr/>
      <w:tcPr>
        <w:tcBorders>
          <w:top w:val="doub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6Colorful-Accent2">
    <w:name w:val="Grid Table 6 Colorful Accent 2"/>
    <w:basedOn w:val="TableNormal"/>
    <w:uiPriority w:val="51"/>
    <w:rsid w:val="00FE227B"/>
    <w:rPr>
      <w:rFonts w:ascii="Roboto" w:hAnsi="Roboto"/>
      <w:color w:val="159B96" w:themeColor="accent2" w:themeShade="BF"/>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bottom w:val="single" w:sz="12" w:space="0" w:color="6DEBE6" w:themeColor="accent2" w:themeTint="99"/>
        </w:tcBorders>
      </w:tcPr>
    </w:tblStylePr>
    <w:tblStylePr w:type="lastRow">
      <w:rPr>
        <w:b/>
        <w:bCs/>
      </w:rPr>
      <w:tblPr/>
      <w:tcPr>
        <w:tcBorders>
          <w:top w:val="doub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6Colorful-Accent3">
    <w:name w:val="Grid Table 6 Colorful Accent 3"/>
    <w:basedOn w:val="TableNormal"/>
    <w:uiPriority w:val="51"/>
    <w:rsid w:val="00FE227B"/>
    <w:rPr>
      <w:rFonts w:ascii="Roboto" w:hAnsi="Roboto"/>
      <w:color w:val="296422" w:themeColor="accent3" w:themeShade="BF"/>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bottom w:val="single" w:sz="12" w:space="0" w:color="76CC6B" w:themeColor="accent3" w:themeTint="99"/>
        </w:tcBorders>
      </w:tcPr>
    </w:tblStylePr>
    <w:tblStylePr w:type="lastRow">
      <w:rPr>
        <w:b/>
        <w:bCs/>
      </w:rPr>
      <w:tblPr/>
      <w:tcPr>
        <w:tcBorders>
          <w:top w:val="doub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6Colorful-Accent4">
    <w:name w:val="Grid Table 6 Colorful Accent 4"/>
    <w:basedOn w:val="TableNormal"/>
    <w:uiPriority w:val="51"/>
    <w:rsid w:val="00FE227B"/>
    <w:rPr>
      <w:rFonts w:ascii="Roboto" w:hAnsi="Roboto"/>
      <w:color w:val="9F7C08" w:themeColor="accent4" w:themeShade="BF"/>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bottom w:val="single" w:sz="12" w:space="0" w:color="F6D25B" w:themeColor="accent4" w:themeTint="99"/>
        </w:tcBorders>
      </w:tcPr>
    </w:tblStylePr>
    <w:tblStylePr w:type="lastRow">
      <w:rPr>
        <w:b/>
        <w:bCs/>
      </w:rPr>
      <w:tblPr/>
      <w:tcPr>
        <w:tcBorders>
          <w:top w:val="doub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6Colorful-Accent5">
    <w:name w:val="Grid Table 6 Colorful Accent 5"/>
    <w:basedOn w:val="TableNormal"/>
    <w:uiPriority w:val="51"/>
    <w:rsid w:val="00FE227B"/>
    <w:rPr>
      <w:rFonts w:ascii="Roboto" w:hAnsi="Roboto"/>
      <w:color w:val="D51E39" w:themeColor="accent5" w:themeShade="BF"/>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bottom w:val="single" w:sz="12" w:space="0" w:color="F19DAA" w:themeColor="accent5" w:themeTint="99"/>
        </w:tcBorders>
      </w:tcPr>
    </w:tblStylePr>
    <w:tblStylePr w:type="lastRow">
      <w:rPr>
        <w:b/>
        <w:bCs/>
      </w:rPr>
      <w:tblPr/>
      <w:tcPr>
        <w:tcBorders>
          <w:top w:val="doub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6Colorful-Accent6">
    <w:name w:val="Grid Table 6 Colorful Accent 6"/>
    <w:basedOn w:val="TableNormal"/>
    <w:uiPriority w:val="51"/>
    <w:rsid w:val="00FE227B"/>
    <w:rPr>
      <w:rFonts w:ascii="Roboto" w:hAnsi="Roboto"/>
      <w:color w:val="005F71" w:themeColor="accent6" w:themeShade="BF"/>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bottom w:val="single" w:sz="12" w:space="0" w:color="28DCFF" w:themeColor="accent6" w:themeTint="99"/>
        </w:tcBorders>
      </w:tcPr>
    </w:tblStylePr>
    <w:tblStylePr w:type="lastRow">
      <w:rPr>
        <w:b/>
        <w:bCs/>
      </w:rPr>
      <w:tblPr/>
      <w:tcPr>
        <w:tcBorders>
          <w:top w:val="doub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7Colorful">
    <w:name w:val="Grid Table 7 Colorful"/>
    <w:basedOn w:val="TableNormal"/>
    <w:uiPriority w:val="52"/>
    <w:rsid w:val="00FE227B"/>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227B"/>
    <w:rPr>
      <w:rFonts w:ascii="Roboto" w:hAnsi="Roboto"/>
      <w:color w:val="262168" w:themeColor="accent1" w:themeShade="BF"/>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bottom w:val="single" w:sz="4" w:space="0" w:color="726BCF" w:themeColor="accent1" w:themeTint="99"/>
        </w:tcBorders>
      </w:tcPr>
    </w:tblStylePr>
    <w:tblStylePr w:type="nwCell">
      <w:tblPr/>
      <w:tcPr>
        <w:tcBorders>
          <w:bottom w:val="single" w:sz="4" w:space="0" w:color="726BCF" w:themeColor="accent1" w:themeTint="99"/>
        </w:tcBorders>
      </w:tcPr>
    </w:tblStylePr>
    <w:tblStylePr w:type="seCell">
      <w:tblPr/>
      <w:tcPr>
        <w:tcBorders>
          <w:top w:val="single" w:sz="4" w:space="0" w:color="726BCF" w:themeColor="accent1" w:themeTint="99"/>
        </w:tcBorders>
      </w:tcPr>
    </w:tblStylePr>
    <w:tblStylePr w:type="swCell">
      <w:tblPr/>
      <w:tcPr>
        <w:tcBorders>
          <w:top w:val="single" w:sz="4" w:space="0" w:color="726BCF" w:themeColor="accent1" w:themeTint="99"/>
        </w:tcBorders>
      </w:tcPr>
    </w:tblStylePr>
  </w:style>
  <w:style w:type="table" w:styleId="GridTable7Colorful-Accent2">
    <w:name w:val="Grid Table 7 Colorful Accent 2"/>
    <w:basedOn w:val="TableNormal"/>
    <w:uiPriority w:val="52"/>
    <w:rsid w:val="00FE227B"/>
    <w:rPr>
      <w:rFonts w:ascii="Roboto" w:hAnsi="Roboto"/>
      <w:color w:val="159B96" w:themeColor="accent2" w:themeShade="BF"/>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bottom w:val="single" w:sz="4" w:space="0" w:color="6DEBE6" w:themeColor="accent2" w:themeTint="99"/>
        </w:tcBorders>
      </w:tcPr>
    </w:tblStylePr>
    <w:tblStylePr w:type="nwCell">
      <w:tblPr/>
      <w:tcPr>
        <w:tcBorders>
          <w:bottom w:val="single" w:sz="4" w:space="0" w:color="6DEBE6" w:themeColor="accent2" w:themeTint="99"/>
        </w:tcBorders>
      </w:tcPr>
    </w:tblStylePr>
    <w:tblStylePr w:type="seCell">
      <w:tblPr/>
      <w:tcPr>
        <w:tcBorders>
          <w:top w:val="single" w:sz="4" w:space="0" w:color="6DEBE6" w:themeColor="accent2" w:themeTint="99"/>
        </w:tcBorders>
      </w:tcPr>
    </w:tblStylePr>
    <w:tblStylePr w:type="swCell">
      <w:tblPr/>
      <w:tcPr>
        <w:tcBorders>
          <w:top w:val="single" w:sz="4" w:space="0" w:color="6DEBE6" w:themeColor="accent2" w:themeTint="99"/>
        </w:tcBorders>
      </w:tcPr>
    </w:tblStylePr>
  </w:style>
  <w:style w:type="table" w:styleId="GridTable7Colorful-Accent3">
    <w:name w:val="Grid Table 7 Colorful Accent 3"/>
    <w:basedOn w:val="TableNormal"/>
    <w:uiPriority w:val="52"/>
    <w:rsid w:val="00FE227B"/>
    <w:rPr>
      <w:rFonts w:ascii="Roboto" w:hAnsi="Roboto"/>
      <w:color w:val="296422" w:themeColor="accent3" w:themeShade="BF"/>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bottom w:val="single" w:sz="4" w:space="0" w:color="76CC6B" w:themeColor="accent3" w:themeTint="99"/>
        </w:tcBorders>
      </w:tcPr>
    </w:tblStylePr>
    <w:tblStylePr w:type="nwCell">
      <w:tblPr/>
      <w:tcPr>
        <w:tcBorders>
          <w:bottom w:val="single" w:sz="4" w:space="0" w:color="76CC6B" w:themeColor="accent3" w:themeTint="99"/>
        </w:tcBorders>
      </w:tcPr>
    </w:tblStylePr>
    <w:tblStylePr w:type="seCell">
      <w:tblPr/>
      <w:tcPr>
        <w:tcBorders>
          <w:top w:val="single" w:sz="4" w:space="0" w:color="76CC6B" w:themeColor="accent3" w:themeTint="99"/>
        </w:tcBorders>
      </w:tcPr>
    </w:tblStylePr>
    <w:tblStylePr w:type="swCell">
      <w:tblPr/>
      <w:tcPr>
        <w:tcBorders>
          <w:top w:val="single" w:sz="4" w:space="0" w:color="76CC6B" w:themeColor="accent3" w:themeTint="99"/>
        </w:tcBorders>
      </w:tcPr>
    </w:tblStylePr>
  </w:style>
  <w:style w:type="table" w:styleId="GridTable7Colorful-Accent4">
    <w:name w:val="Grid Table 7 Colorful Accent 4"/>
    <w:basedOn w:val="TableNormal"/>
    <w:uiPriority w:val="52"/>
    <w:rsid w:val="00FE227B"/>
    <w:rPr>
      <w:rFonts w:ascii="Roboto" w:hAnsi="Roboto"/>
      <w:color w:val="9F7C08" w:themeColor="accent4" w:themeShade="BF"/>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bottom w:val="single" w:sz="4" w:space="0" w:color="F6D25B" w:themeColor="accent4" w:themeTint="99"/>
        </w:tcBorders>
      </w:tcPr>
    </w:tblStylePr>
    <w:tblStylePr w:type="nwCell">
      <w:tblPr/>
      <w:tcPr>
        <w:tcBorders>
          <w:bottom w:val="single" w:sz="4" w:space="0" w:color="F6D25B" w:themeColor="accent4" w:themeTint="99"/>
        </w:tcBorders>
      </w:tcPr>
    </w:tblStylePr>
    <w:tblStylePr w:type="seCell">
      <w:tblPr/>
      <w:tcPr>
        <w:tcBorders>
          <w:top w:val="single" w:sz="4" w:space="0" w:color="F6D25B" w:themeColor="accent4" w:themeTint="99"/>
        </w:tcBorders>
      </w:tcPr>
    </w:tblStylePr>
    <w:tblStylePr w:type="swCell">
      <w:tblPr/>
      <w:tcPr>
        <w:tcBorders>
          <w:top w:val="single" w:sz="4" w:space="0" w:color="F6D25B" w:themeColor="accent4" w:themeTint="99"/>
        </w:tcBorders>
      </w:tcPr>
    </w:tblStylePr>
  </w:style>
  <w:style w:type="table" w:styleId="GridTable7Colorful-Accent5">
    <w:name w:val="Grid Table 7 Colorful Accent 5"/>
    <w:basedOn w:val="TableNormal"/>
    <w:uiPriority w:val="52"/>
    <w:rsid w:val="00FE227B"/>
    <w:rPr>
      <w:rFonts w:ascii="Roboto" w:hAnsi="Roboto"/>
      <w:color w:val="D51E39" w:themeColor="accent5" w:themeShade="BF"/>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bottom w:val="single" w:sz="4" w:space="0" w:color="F19DAA" w:themeColor="accent5" w:themeTint="99"/>
        </w:tcBorders>
      </w:tcPr>
    </w:tblStylePr>
    <w:tblStylePr w:type="nwCell">
      <w:tblPr/>
      <w:tcPr>
        <w:tcBorders>
          <w:bottom w:val="single" w:sz="4" w:space="0" w:color="F19DAA" w:themeColor="accent5" w:themeTint="99"/>
        </w:tcBorders>
      </w:tcPr>
    </w:tblStylePr>
    <w:tblStylePr w:type="seCell">
      <w:tblPr/>
      <w:tcPr>
        <w:tcBorders>
          <w:top w:val="single" w:sz="4" w:space="0" w:color="F19DAA" w:themeColor="accent5" w:themeTint="99"/>
        </w:tcBorders>
      </w:tcPr>
    </w:tblStylePr>
    <w:tblStylePr w:type="swCell">
      <w:tblPr/>
      <w:tcPr>
        <w:tcBorders>
          <w:top w:val="single" w:sz="4" w:space="0" w:color="F19DAA" w:themeColor="accent5" w:themeTint="99"/>
        </w:tcBorders>
      </w:tcPr>
    </w:tblStylePr>
  </w:style>
  <w:style w:type="table" w:styleId="GridTable7Colorful-Accent6">
    <w:name w:val="Grid Table 7 Colorful Accent 6"/>
    <w:basedOn w:val="TableNormal"/>
    <w:uiPriority w:val="52"/>
    <w:rsid w:val="00FE227B"/>
    <w:rPr>
      <w:rFonts w:ascii="Roboto" w:hAnsi="Roboto"/>
      <w:color w:val="005F71" w:themeColor="accent6" w:themeShade="BF"/>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bottom w:val="single" w:sz="4" w:space="0" w:color="28DCFF" w:themeColor="accent6" w:themeTint="99"/>
        </w:tcBorders>
      </w:tcPr>
    </w:tblStylePr>
    <w:tblStylePr w:type="nwCell">
      <w:tblPr/>
      <w:tcPr>
        <w:tcBorders>
          <w:bottom w:val="single" w:sz="4" w:space="0" w:color="28DCFF" w:themeColor="accent6" w:themeTint="99"/>
        </w:tcBorders>
      </w:tcPr>
    </w:tblStylePr>
    <w:tblStylePr w:type="seCell">
      <w:tblPr/>
      <w:tcPr>
        <w:tcBorders>
          <w:top w:val="single" w:sz="4" w:space="0" w:color="28DCFF" w:themeColor="accent6" w:themeTint="99"/>
        </w:tcBorders>
      </w:tcPr>
    </w:tblStylePr>
    <w:tblStylePr w:type="swCell">
      <w:tblPr/>
      <w:tcPr>
        <w:tcBorders>
          <w:top w:val="single" w:sz="4" w:space="0" w:color="28DCFF" w:themeColor="accent6" w:themeTint="99"/>
        </w:tcBorders>
      </w:tcPr>
    </w:tblStylePr>
  </w:style>
  <w:style w:type="table" w:styleId="ListTable1Light">
    <w:name w:val="List Table 1 Light"/>
    <w:basedOn w:val="TableNormal"/>
    <w:uiPriority w:val="46"/>
    <w:rsid w:val="00FE227B"/>
    <w:rPr>
      <w:rFonts w:ascii="Roboto" w:hAnsi="Robot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227B"/>
    <w:rPr>
      <w:rFonts w:ascii="Roboto" w:hAnsi="Roboto"/>
    </w:rPr>
    <w:tblPr>
      <w:tblStyleRowBandSize w:val="1"/>
      <w:tblStyleColBandSize w:val="1"/>
    </w:tblPr>
    <w:tblStylePr w:type="firstRow">
      <w:rPr>
        <w:b/>
        <w:bCs/>
      </w:rPr>
      <w:tblPr/>
      <w:tcPr>
        <w:tcBorders>
          <w:bottom w:val="single" w:sz="4" w:space="0" w:color="726BCF" w:themeColor="accent1" w:themeTint="99"/>
        </w:tcBorders>
      </w:tcPr>
    </w:tblStylePr>
    <w:tblStylePr w:type="lastRow">
      <w:rPr>
        <w:b/>
        <w:bCs/>
      </w:rPr>
      <w:tblPr/>
      <w:tcPr>
        <w:tcBorders>
          <w:top w:val="sing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1Light-Accent2">
    <w:name w:val="List Table 1 Light Accent 2"/>
    <w:basedOn w:val="TableNormal"/>
    <w:uiPriority w:val="46"/>
    <w:rsid w:val="00FE227B"/>
    <w:rPr>
      <w:rFonts w:ascii="Roboto" w:hAnsi="Roboto"/>
    </w:rPr>
    <w:tblPr>
      <w:tblStyleRowBandSize w:val="1"/>
      <w:tblStyleColBandSize w:val="1"/>
    </w:tblPr>
    <w:tblStylePr w:type="firstRow">
      <w:rPr>
        <w:b/>
        <w:bCs/>
      </w:rPr>
      <w:tblPr/>
      <w:tcPr>
        <w:tcBorders>
          <w:bottom w:val="single" w:sz="4" w:space="0" w:color="6DEBE6" w:themeColor="accent2" w:themeTint="99"/>
        </w:tcBorders>
      </w:tcPr>
    </w:tblStylePr>
    <w:tblStylePr w:type="lastRow">
      <w:rPr>
        <w:b/>
        <w:bCs/>
      </w:rPr>
      <w:tblPr/>
      <w:tcPr>
        <w:tcBorders>
          <w:top w:val="sing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1Light-Accent3">
    <w:name w:val="List Table 1 Light Accent 3"/>
    <w:basedOn w:val="TableNormal"/>
    <w:uiPriority w:val="46"/>
    <w:rsid w:val="00FE227B"/>
    <w:rPr>
      <w:rFonts w:ascii="Roboto" w:hAnsi="Roboto"/>
    </w:rPr>
    <w:tblPr>
      <w:tblStyleRowBandSize w:val="1"/>
      <w:tblStyleColBandSize w:val="1"/>
    </w:tblPr>
    <w:tblStylePr w:type="firstRow">
      <w:rPr>
        <w:b/>
        <w:bCs/>
      </w:rPr>
      <w:tblPr/>
      <w:tcPr>
        <w:tcBorders>
          <w:bottom w:val="single" w:sz="4" w:space="0" w:color="76CC6B" w:themeColor="accent3" w:themeTint="99"/>
        </w:tcBorders>
      </w:tcPr>
    </w:tblStylePr>
    <w:tblStylePr w:type="lastRow">
      <w:rPr>
        <w:b/>
        <w:bCs/>
      </w:rPr>
      <w:tblPr/>
      <w:tcPr>
        <w:tcBorders>
          <w:top w:val="sing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1Light-Accent4">
    <w:name w:val="List Table 1 Light Accent 4"/>
    <w:basedOn w:val="TableNormal"/>
    <w:uiPriority w:val="46"/>
    <w:rsid w:val="00FE227B"/>
    <w:rPr>
      <w:rFonts w:ascii="Roboto" w:hAnsi="Roboto"/>
    </w:rPr>
    <w:tblPr>
      <w:tblStyleRowBandSize w:val="1"/>
      <w:tblStyleColBandSize w:val="1"/>
    </w:tblPr>
    <w:tblStylePr w:type="firstRow">
      <w:rPr>
        <w:b/>
        <w:bCs/>
      </w:rPr>
      <w:tblPr/>
      <w:tcPr>
        <w:tcBorders>
          <w:bottom w:val="single" w:sz="4" w:space="0" w:color="F6D25B" w:themeColor="accent4" w:themeTint="99"/>
        </w:tcBorders>
      </w:tcPr>
    </w:tblStylePr>
    <w:tblStylePr w:type="lastRow">
      <w:rPr>
        <w:b/>
        <w:bCs/>
      </w:rPr>
      <w:tblPr/>
      <w:tcPr>
        <w:tcBorders>
          <w:top w:val="sing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1Light-Accent5">
    <w:name w:val="List Table 1 Light Accent 5"/>
    <w:basedOn w:val="TableNormal"/>
    <w:uiPriority w:val="46"/>
    <w:rsid w:val="00FE227B"/>
    <w:rPr>
      <w:rFonts w:ascii="Roboto" w:hAnsi="Roboto"/>
    </w:rPr>
    <w:tblPr>
      <w:tblStyleRowBandSize w:val="1"/>
      <w:tblStyleColBandSize w:val="1"/>
    </w:tblPr>
    <w:tblStylePr w:type="firstRow">
      <w:rPr>
        <w:b/>
        <w:bCs/>
      </w:rPr>
      <w:tblPr/>
      <w:tcPr>
        <w:tcBorders>
          <w:bottom w:val="single" w:sz="4" w:space="0" w:color="F19DAA" w:themeColor="accent5" w:themeTint="99"/>
        </w:tcBorders>
      </w:tcPr>
    </w:tblStylePr>
    <w:tblStylePr w:type="lastRow">
      <w:rPr>
        <w:b/>
        <w:bCs/>
      </w:rPr>
      <w:tblPr/>
      <w:tcPr>
        <w:tcBorders>
          <w:top w:val="sing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1Light-Accent6">
    <w:name w:val="List Table 1 Light Accent 6"/>
    <w:basedOn w:val="TableNormal"/>
    <w:uiPriority w:val="46"/>
    <w:rsid w:val="00FE227B"/>
    <w:rPr>
      <w:rFonts w:ascii="Roboto" w:hAnsi="Roboto"/>
    </w:rPr>
    <w:tblPr>
      <w:tblStyleRowBandSize w:val="1"/>
      <w:tblStyleColBandSize w:val="1"/>
    </w:tblPr>
    <w:tblStylePr w:type="firstRow">
      <w:rPr>
        <w:b/>
        <w:bCs/>
      </w:rPr>
      <w:tblPr/>
      <w:tcPr>
        <w:tcBorders>
          <w:bottom w:val="single" w:sz="4" w:space="0" w:color="28DCFF" w:themeColor="accent6" w:themeTint="99"/>
        </w:tcBorders>
      </w:tcPr>
    </w:tblStylePr>
    <w:tblStylePr w:type="lastRow">
      <w:rPr>
        <w:b/>
        <w:bCs/>
      </w:rPr>
      <w:tblPr/>
      <w:tcPr>
        <w:tcBorders>
          <w:top w:val="sing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2">
    <w:name w:val="List Table 2"/>
    <w:basedOn w:val="TableNormal"/>
    <w:uiPriority w:val="47"/>
    <w:rsid w:val="00FE227B"/>
    <w:rPr>
      <w:rFonts w:ascii="Roboto" w:hAnsi="Robot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227B"/>
    <w:rPr>
      <w:rFonts w:ascii="Roboto" w:hAnsi="Roboto"/>
    </w:rPr>
    <w:tblPr>
      <w:tblStyleRowBandSize w:val="1"/>
      <w:tblStyleColBandSize w:val="1"/>
      <w:tblBorders>
        <w:top w:val="single" w:sz="4" w:space="0" w:color="726BCF" w:themeColor="accent1" w:themeTint="99"/>
        <w:bottom w:val="single" w:sz="4" w:space="0" w:color="726BCF" w:themeColor="accent1" w:themeTint="99"/>
        <w:insideH w:val="single" w:sz="4" w:space="0" w:color="726B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2-Accent2">
    <w:name w:val="List Table 2 Accent 2"/>
    <w:basedOn w:val="TableNormal"/>
    <w:uiPriority w:val="47"/>
    <w:rsid w:val="00FE227B"/>
    <w:rPr>
      <w:rFonts w:ascii="Roboto" w:hAnsi="Roboto"/>
    </w:rPr>
    <w:tblPr>
      <w:tblStyleRowBandSize w:val="1"/>
      <w:tblStyleColBandSize w:val="1"/>
      <w:tblBorders>
        <w:top w:val="single" w:sz="4" w:space="0" w:color="6DEBE6" w:themeColor="accent2" w:themeTint="99"/>
        <w:bottom w:val="single" w:sz="4" w:space="0" w:color="6DEBE6" w:themeColor="accent2" w:themeTint="99"/>
        <w:insideH w:val="single" w:sz="4" w:space="0" w:color="6DEBE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2-Accent3">
    <w:name w:val="List Table 2 Accent 3"/>
    <w:basedOn w:val="TableNormal"/>
    <w:uiPriority w:val="47"/>
    <w:rsid w:val="00FE227B"/>
    <w:rPr>
      <w:rFonts w:ascii="Roboto" w:hAnsi="Roboto"/>
    </w:rPr>
    <w:tblPr>
      <w:tblStyleRowBandSize w:val="1"/>
      <w:tblStyleColBandSize w:val="1"/>
      <w:tblBorders>
        <w:top w:val="single" w:sz="4" w:space="0" w:color="76CC6B" w:themeColor="accent3" w:themeTint="99"/>
        <w:bottom w:val="single" w:sz="4" w:space="0" w:color="76CC6B" w:themeColor="accent3" w:themeTint="99"/>
        <w:insideH w:val="single" w:sz="4" w:space="0" w:color="76CC6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2-Accent4">
    <w:name w:val="List Table 2 Accent 4"/>
    <w:basedOn w:val="TableNormal"/>
    <w:uiPriority w:val="47"/>
    <w:rsid w:val="00FE227B"/>
    <w:rPr>
      <w:rFonts w:ascii="Roboto" w:hAnsi="Roboto"/>
    </w:rPr>
    <w:tblPr>
      <w:tblStyleRowBandSize w:val="1"/>
      <w:tblStyleColBandSize w:val="1"/>
      <w:tblBorders>
        <w:top w:val="single" w:sz="4" w:space="0" w:color="F6D25B" w:themeColor="accent4" w:themeTint="99"/>
        <w:bottom w:val="single" w:sz="4" w:space="0" w:color="F6D25B" w:themeColor="accent4" w:themeTint="99"/>
        <w:insideH w:val="single" w:sz="4" w:space="0" w:color="F6D25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2-Accent5">
    <w:name w:val="List Table 2 Accent 5"/>
    <w:basedOn w:val="TableNormal"/>
    <w:uiPriority w:val="47"/>
    <w:rsid w:val="00FE227B"/>
    <w:rPr>
      <w:rFonts w:ascii="Roboto" w:hAnsi="Roboto"/>
    </w:rPr>
    <w:tblPr>
      <w:tblStyleRowBandSize w:val="1"/>
      <w:tblStyleColBandSize w:val="1"/>
      <w:tblBorders>
        <w:top w:val="single" w:sz="4" w:space="0" w:color="F19DAA" w:themeColor="accent5" w:themeTint="99"/>
        <w:bottom w:val="single" w:sz="4" w:space="0" w:color="F19DAA" w:themeColor="accent5" w:themeTint="99"/>
        <w:insideH w:val="single" w:sz="4" w:space="0" w:color="F19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2-Accent6">
    <w:name w:val="List Table 2 Accent 6"/>
    <w:basedOn w:val="TableNormal"/>
    <w:uiPriority w:val="47"/>
    <w:rsid w:val="00FE227B"/>
    <w:rPr>
      <w:rFonts w:ascii="Roboto" w:hAnsi="Roboto"/>
    </w:rPr>
    <w:tblPr>
      <w:tblStyleRowBandSize w:val="1"/>
      <w:tblStyleColBandSize w:val="1"/>
      <w:tblBorders>
        <w:top w:val="single" w:sz="4" w:space="0" w:color="28DCFF" w:themeColor="accent6" w:themeTint="99"/>
        <w:bottom w:val="single" w:sz="4" w:space="0" w:color="28DCFF" w:themeColor="accent6" w:themeTint="99"/>
        <w:insideH w:val="single" w:sz="4" w:space="0" w:color="28DC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3">
    <w:name w:val="List Table 3"/>
    <w:basedOn w:val="TableNormal"/>
    <w:uiPriority w:val="48"/>
    <w:rsid w:val="00FE227B"/>
    <w:rPr>
      <w:rFonts w:ascii="Roboto" w:hAnsi="Robo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227B"/>
    <w:rPr>
      <w:rFonts w:ascii="Roboto" w:hAnsi="Roboto"/>
    </w:rPr>
    <w:tblPr>
      <w:tblStyleRowBandSize w:val="1"/>
      <w:tblStyleColBandSize w:val="1"/>
      <w:tblBorders>
        <w:top w:val="single" w:sz="4" w:space="0" w:color="342D8C" w:themeColor="accent1"/>
        <w:left w:val="single" w:sz="4" w:space="0" w:color="342D8C" w:themeColor="accent1"/>
        <w:bottom w:val="single" w:sz="4" w:space="0" w:color="342D8C" w:themeColor="accent1"/>
        <w:right w:val="single" w:sz="4" w:space="0" w:color="342D8C" w:themeColor="accent1"/>
      </w:tblBorders>
    </w:tblPr>
    <w:tblStylePr w:type="firstRow">
      <w:rPr>
        <w:b/>
        <w:bCs/>
        <w:color w:val="FFFFFF" w:themeColor="background1"/>
      </w:rPr>
      <w:tblPr/>
      <w:tcPr>
        <w:shd w:val="clear" w:color="auto" w:fill="342D8C" w:themeFill="accent1"/>
      </w:tcPr>
    </w:tblStylePr>
    <w:tblStylePr w:type="lastRow">
      <w:rPr>
        <w:b/>
        <w:bCs/>
      </w:rPr>
      <w:tblPr/>
      <w:tcPr>
        <w:tcBorders>
          <w:top w:val="double" w:sz="4" w:space="0" w:color="342D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2D8C" w:themeColor="accent1"/>
          <w:right w:val="single" w:sz="4" w:space="0" w:color="342D8C" w:themeColor="accent1"/>
        </w:tcBorders>
      </w:tcPr>
    </w:tblStylePr>
    <w:tblStylePr w:type="band1Horz">
      <w:tblPr/>
      <w:tcPr>
        <w:tcBorders>
          <w:top w:val="single" w:sz="4" w:space="0" w:color="342D8C" w:themeColor="accent1"/>
          <w:bottom w:val="single" w:sz="4" w:space="0" w:color="342D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2D8C" w:themeColor="accent1"/>
          <w:left w:val="nil"/>
        </w:tcBorders>
      </w:tcPr>
    </w:tblStylePr>
    <w:tblStylePr w:type="swCell">
      <w:tblPr/>
      <w:tcPr>
        <w:tcBorders>
          <w:top w:val="double" w:sz="4" w:space="0" w:color="342D8C" w:themeColor="accent1"/>
          <w:right w:val="nil"/>
        </w:tcBorders>
      </w:tcPr>
    </w:tblStylePr>
  </w:style>
  <w:style w:type="table" w:styleId="ListTable3-Accent2">
    <w:name w:val="List Table 3 Accent 2"/>
    <w:basedOn w:val="TableNormal"/>
    <w:uiPriority w:val="48"/>
    <w:rsid w:val="00FE227B"/>
    <w:rPr>
      <w:rFonts w:ascii="Roboto" w:hAnsi="Roboto"/>
    </w:rPr>
    <w:tblPr>
      <w:tblStyleRowBandSize w:val="1"/>
      <w:tblStyleColBandSize w:val="1"/>
      <w:tblBorders>
        <w:top w:val="single" w:sz="4" w:space="0" w:color="1CCFC9" w:themeColor="accent2"/>
        <w:left w:val="single" w:sz="4" w:space="0" w:color="1CCFC9" w:themeColor="accent2"/>
        <w:bottom w:val="single" w:sz="4" w:space="0" w:color="1CCFC9" w:themeColor="accent2"/>
        <w:right w:val="single" w:sz="4" w:space="0" w:color="1CCFC9" w:themeColor="accent2"/>
      </w:tblBorders>
    </w:tblPr>
    <w:tblStylePr w:type="firstRow">
      <w:rPr>
        <w:b/>
        <w:bCs/>
        <w:color w:val="FFFFFF" w:themeColor="background1"/>
      </w:rPr>
      <w:tblPr/>
      <w:tcPr>
        <w:shd w:val="clear" w:color="auto" w:fill="1CCFC9" w:themeFill="accent2"/>
      </w:tcPr>
    </w:tblStylePr>
    <w:tblStylePr w:type="lastRow">
      <w:rPr>
        <w:b/>
        <w:bCs/>
      </w:rPr>
      <w:tblPr/>
      <w:tcPr>
        <w:tcBorders>
          <w:top w:val="double" w:sz="4" w:space="0" w:color="1CCFC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CFC9" w:themeColor="accent2"/>
          <w:right w:val="single" w:sz="4" w:space="0" w:color="1CCFC9" w:themeColor="accent2"/>
        </w:tcBorders>
      </w:tcPr>
    </w:tblStylePr>
    <w:tblStylePr w:type="band1Horz">
      <w:tblPr/>
      <w:tcPr>
        <w:tcBorders>
          <w:top w:val="single" w:sz="4" w:space="0" w:color="1CCFC9" w:themeColor="accent2"/>
          <w:bottom w:val="single" w:sz="4" w:space="0" w:color="1CCFC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CFC9" w:themeColor="accent2"/>
          <w:left w:val="nil"/>
        </w:tcBorders>
      </w:tcPr>
    </w:tblStylePr>
    <w:tblStylePr w:type="swCell">
      <w:tblPr/>
      <w:tcPr>
        <w:tcBorders>
          <w:top w:val="double" w:sz="4" w:space="0" w:color="1CCFC9" w:themeColor="accent2"/>
          <w:right w:val="nil"/>
        </w:tcBorders>
      </w:tcPr>
    </w:tblStylePr>
  </w:style>
  <w:style w:type="table" w:styleId="ListTable3-Accent3">
    <w:name w:val="List Table 3 Accent 3"/>
    <w:basedOn w:val="TableNormal"/>
    <w:uiPriority w:val="48"/>
    <w:rsid w:val="00FE227B"/>
    <w:rPr>
      <w:rFonts w:ascii="Roboto" w:hAnsi="Roboto"/>
    </w:rPr>
    <w:tblPr>
      <w:tblStyleRowBandSize w:val="1"/>
      <w:tblStyleColBandSize w:val="1"/>
      <w:tblBorders>
        <w:top w:val="single" w:sz="4" w:space="0" w:color="38862E" w:themeColor="accent3"/>
        <w:left w:val="single" w:sz="4" w:space="0" w:color="38862E" w:themeColor="accent3"/>
        <w:bottom w:val="single" w:sz="4" w:space="0" w:color="38862E" w:themeColor="accent3"/>
        <w:right w:val="single" w:sz="4" w:space="0" w:color="38862E" w:themeColor="accent3"/>
      </w:tblBorders>
    </w:tblPr>
    <w:tblStylePr w:type="firstRow">
      <w:rPr>
        <w:b/>
        <w:bCs/>
        <w:color w:val="FFFFFF" w:themeColor="background1"/>
      </w:rPr>
      <w:tblPr/>
      <w:tcPr>
        <w:shd w:val="clear" w:color="auto" w:fill="38862E" w:themeFill="accent3"/>
      </w:tcPr>
    </w:tblStylePr>
    <w:tblStylePr w:type="lastRow">
      <w:rPr>
        <w:b/>
        <w:bCs/>
      </w:rPr>
      <w:tblPr/>
      <w:tcPr>
        <w:tcBorders>
          <w:top w:val="double" w:sz="4" w:space="0" w:color="38862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862E" w:themeColor="accent3"/>
          <w:right w:val="single" w:sz="4" w:space="0" w:color="38862E" w:themeColor="accent3"/>
        </w:tcBorders>
      </w:tcPr>
    </w:tblStylePr>
    <w:tblStylePr w:type="band1Horz">
      <w:tblPr/>
      <w:tcPr>
        <w:tcBorders>
          <w:top w:val="single" w:sz="4" w:space="0" w:color="38862E" w:themeColor="accent3"/>
          <w:bottom w:val="single" w:sz="4" w:space="0" w:color="38862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862E" w:themeColor="accent3"/>
          <w:left w:val="nil"/>
        </w:tcBorders>
      </w:tcPr>
    </w:tblStylePr>
    <w:tblStylePr w:type="swCell">
      <w:tblPr/>
      <w:tcPr>
        <w:tcBorders>
          <w:top w:val="double" w:sz="4" w:space="0" w:color="38862E" w:themeColor="accent3"/>
          <w:right w:val="nil"/>
        </w:tcBorders>
      </w:tcPr>
    </w:tblStylePr>
  </w:style>
  <w:style w:type="table" w:styleId="ListTable3-Accent4">
    <w:name w:val="List Table 3 Accent 4"/>
    <w:basedOn w:val="TableNormal"/>
    <w:uiPriority w:val="48"/>
    <w:rsid w:val="00FE227B"/>
    <w:rPr>
      <w:rFonts w:ascii="Roboto" w:hAnsi="Roboto"/>
    </w:rPr>
    <w:tblPr>
      <w:tblStyleRowBandSize w:val="1"/>
      <w:tblStyleColBandSize w:val="1"/>
      <w:tblBorders>
        <w:top w:val="single" w:sz="4" w:space="0" w:color="D5A70B" w:themeColor="accent4"/>
        <w:left w:val="single" w:sz="4" w:space="0" w:color="D5A70B" w:themeColor="accent4"/>
        <w:bottom w:val="single" w:sz="4" w:space="0" w:color="D5A70B" w:themeColor="accent4"/>
        <w:right w:val="single" w:sz="4" w:space="0" w:color="D5A70B" w:themeColor="accent4"/>
      </w:tblBorders>
    </w:tblPr>
    <w:tblStylePr w:type="firstRow">
      <w:rPr>
        <w:b/>
        <w:bCs/>
        <w:color w:val="FFFFFF" w:themeColor="background1"/>
      </w:rPr>
      <w:tblPr/>
      <w:tcPr>
        <w:shd w:val="clear" w:color="auto" w:fill="D5A70B" w:themeFill="accent4"/>
      </w:tcPr>
    </w:tblStylePr>
    <w:tblStylePr w:type="lastRow">
      <w:rPr>
        <w:b/>
        <w:bCs/>
      </w:rPr>
      <w:tblPr/>
      <w:tcPr>
        <w:tcBorders>
          <w:top w:val="double" w:sz="4" w:space="0" w:color="D5A70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A70B" w:themeColor="accent4"/>
          <w:right w:val="single" w:sz="4" w:space="0" w:color="D5A70B" w:themeColor="accent4"/>
        </w:tcBorders>
      </w:tcPr>
    </w:tblStylePr>
    <w:tblStylePr w:type="band1Horz">
      <w:tblPr/>
      <w:tcPr>
        <w:tcBorders>
          <w:top w:val="single" w:sz="4" w:space="0" w:color="D5A70B" w:themeColor="accent4"/>
          <w:bottom w:val="single" w:sz="4" w:space="0" w:color="D5A70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A70B" w:themeColor="accent4"/>
          <w:left w:val="nil"/>
        </w:tcBorders>
      </w:tcPr>
    </w:tblStylePr>
    <w:tblStylePr w:type="swCell">
      <w:tblPr/>
      <w:tcPr>
        <w:tcBorders>
          <w:top w:val="double" w:sz="4" w:space="0" w:color="D5A70B" w:themeColor="accent4"/>
          <w:right w:val="nil"/>
        </w:tcBorders>
      </w:tcPr>
    </w:tblStylePr>
  </w:style>
  <w:style w:type="table" w:styleId="ListTable3-Accent5">
    <w:name w:val="List Table 3 Accent 5"/>
    <w:basedOn w:val="TableNormal"/>
    <w:uiPriority w:val="48"/>
    <w:rsid w:val="00FE227B"/>
    <w:rPr>
      <w:rFonts w:ascii="Roboto" w:hAnsi="Roboto"/>
    </w:rPr>
    <w:tblPr>
      <w:tblStyleRowBandSize w:val="1"/>
      <w:tblStyleColBandSize w:val="1"/>
      <w:tblBorders>
        <w:top w:val="single" w:sz="4" w:space="0" w:color="E85D72" w:themeColor="accent5"/>
        <w:left w:val="single" w:sz="4" w:space="0" w:color="E85D72" w:themeColor="accent5"/>
        <w:bottom w:val="single" w:sz="4" w:space="0" w:color="E85D72" w:themeColor="accent5"/>
        <w:right w:val="single" w:sz="4" w:space="0" w:color="E85D72" w:themeColor="accent5"/>
      </w:tblBorders>
    </w:tblPr>
    <w:tblStylePr w:type="firstRow">
      <w:rPr>
        <w:b/>
        <w:bCs/>
        <w:color w:val="FFFFFF" w:themeColor="background1"/>
      </w:rPr>
      <w:tblPr/>
      <w:tcPr>
        <w:shd w:val="clear" w:color="auto" w:fill="E85D72" w:themeFill="accent5"/>
      </w:tcPr>
    </w:tblStylePr>
    <w:tblStylePr w:type="lastRow">
      <w:rPr>
        <w:b/>
        <w:bCs/>
      </w:rPr>
      <w:tblPr/>
      <w:tcPr>
        <w:tcBorders>
          <w:top w:val="double" w:sz="4" w:space="0" w:color="E85D7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5D72" w:themeColor="accent5"/>
          <w:right w:val="single" w:sz="4" w:space="0" w:color="E85D72" w:themeColor="accent5"/>
        </w:tcBorders>
      </w:tcPr>
    </w:tblStylePr>
    <w:tblStylePr w:type="band1Horz">
      <w:tblPr/>
      <w:tcPr>
        <w:tcBorders>
          <w:top w:val="single" w:sz="4" w:space="0" w:color="E85D72" w:themeColor="accent5"/>
          <w:bottom w:val="single" w:sz="4" w:space="0" w:color="E85D7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5D72" w:themeColor="accent5"/>
          <w:left w:val="nil"/>
        </w:tcBorders>
      </w:tcPr>
    </w:tblStylePr>
    <w:tblStylePr w:type="swCell">
      <w:tblPr/>
      <w:tcPr>
        <w:tcBorders>
          <w:top w:val="double" w:sz="4" w:space="0" w:color="E85D72" w:themeColor="accent5"/>
          <w:right w:val="nil"/>
        </w:tcBorders>
      </w:tcPr>
    </w:tblStylePr>
  </w:style>
  <w:style w:type="table" w:styleId="ListTable3-Accent6">
    <w:name w:val="List Table 3 Accent 6"/>
    <w:basedOn w:val="TableNormal"/>
    <w:uiPriority w:val="48"/>
    <w:rsid w:val="00FE227B"/>
    <w:rPr>
      <w:rFonts w:ascii="Roboto" w:hAnsi="Roboto"/>
    </w:rPr>
    <w:tblPr>
      <w:tblStyleRowBandSize w:val="1"/>
      <w:tblStyleColBandSize w:val="1"/>
      <w:tblBorders>
        <w:top w:val="single" w:sz="4" w:space="0" w:color="008098" w:themeColor="accent6"/>
        <w:left w:val="single" w:sz="4" w:space="0" w:color="008098" w:themeColor="accent6"/>
        <w:bottom w:val="single" w:sz="4" w:space="0" w:color="008098" w:themeColor="accent6"/>
        <w:right w:val="single" w:sz="4" w:space="0" w:color="008098" w:themeColor="accent6"/>
      </w:tblBorders>
    </w:tblPr>
    <w:tblStylePr w:type="firstRow">
      <w:rPr>
        <w:b/>
        <w:bCs/>
        <w:color w:val="FFFFFF" w:themeColor="background1"/>
      </w:rPr>
      <w:tblPr/>
      <w:tcPr>
        <w:shd w:val="clear" w:color="auto" w:fill="008098" w:themeFill="accent6"/>
      </w:tcPr>
    </w:tblStylePr>
    <w:tblStylePr w:type="lastRow">
      <w:rPr>
        <w:b/>
        <w:bCs/>
      </w:rPr>
      <w:tblPr/>
      <w:tcPr>
        <w:tcBorders>
          <w:top w:val="double" w:sz="4" w:space="0" w:color="00809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98" w:themeColor="accent6"/>
          <w:right w:val="single" w:sz="4" w:space="0" w:color="008098" w:themeColor="accent6"/>
        </w:tcBorders>
      </w:tcPr>
    </w:tblStylePr>
    <w:tblStylePr w:type="band1Horz">
      <w:tblPr/>
      <w:tcPr>
        <w:tcBorders>
          <w:top w:val="single" w:sz="4" w:space="0" w:color="008098" w:themeColor="accent6"/>
          <w:bottom w:val="single" w:sz="4" w:space="0" w:color="00809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98" w:themeColor="accent6"/>
          <w:left w:val="nil"/>
        </w:tcBorders>
      </w:tcPr>
    </w:tblStylePr>
    <w:tblStylePr w:type="swCell">
      <w:tblPr/>
      <w:tcPr>
        <w:tcBorders>
          <w:top w:val="double" w:sz="4" w:space="0" w:color="008098" w:themeColor="accent6"/>
          <w:right w:val="nil"/>
        </w:tcBorders>
      </w:tcPr>
    </w:tblStylePr>
  </w:style>
  <w:style w:type="table" w:styleId="ListTable4">
    <w:name w:val="List Table 4"/>
    <w:basedOn w:val="TableNormal"/>
    <w:uiPriority w:val="49"/>
    <w:rsid w:val="00FE227B"/>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227B"/>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tblBorders>
    </w:tblPr>
    <w:tblStylePr w:type="firstRow">
      <w:rPr>
        <w:b/>
        <w:bCs/>
        <w:color w:val="FFFFFF" w:themeColor="background1"/>
      </w:rPr>
      <w:tblPr/>
      <w:tcPr>
        <w:tcBorders>
          <w:top w:val="single" w:sz="4" w:space="0" w:color="342D8C" w:themeColor="accent1"/>
          <w:left w:val="single" w:sz="4" w:space="0" w:color="342D8C" w:themeColor="accent1"/>
          <w:bottom w:val="single" w:sz="4" w:space="0" w:color="342D8C" w:themeColor="accent1"/>
          <w:right w:val="single" w:sz="4" w:space="0" w:color="342D8C" w:themeColor="accent1"/>
          <w:insideH w:val="nil"/>
        </w:tcBorders>
        <w:shd w:val="clear" w:color="auto" w:fill="342D8C" w:themeFill="accent1"/>
      </w:tcPr>
    </w:tblStylePr>
    <w:tblStylePr w:type="lastRow">
      <w:rPr>
        <w:b/>
        <w:bCs/>
      </w:rPr>
      <w:tblPr/>
      <w:tcPr>
        <w:tcBorders>
          <w:top w:val="doub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4-Accent2">
    <w:name w:val="List Table 4 Accent 2"/>
    <w:basedOn w:val="TableNormal"/>
    <w:uiPriority w:val="49"/>
    <w:rsid w:val="00FE227B"/>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tblBorders>
    </w:tblPr>
    <w:tblStylePr w:type="firstRow">
      <w:rPr>
        <w:b/>
        <w:bCs/>
        <w:color w:val="FFFFFF" w:themeColor="background1"/>
      </w:rPr>
      <w:tblPr/>
      <w:tcPr>
        <w:tcBorders>
          <w:top w:val="single" w:sz="4" w:space="0" w:color="1CCFC9" w:themeColor="accent2"/>
          <w:left w:val="single" w:sz="4" w:space="0" w:color="1CCFC9" w:themeColor="accent2"/>
          <w:bottom w:val="single" w:sz="4" w:space="0" w:color="1CCFC9" w:themeColor="accent2"/>
          <w:right w:val="single" w:sz="4" w:space="0" w:color="1CCFC9" w:themeColor="accent2"/>
          <w:insideH w:val="nil"/>
        </w:tcBorders>
        <w:shd w:val="clear" w:color="auto" w:fill="1CCFC9" w:themeFill="accent2"/>
      </w:tcPr>
    </w:tblStylePr>
    <w:tblStylePr w:type="lastRow">
      <w:rPr>
        <w:b/>
        <w:bCs/>
      </w:rPr>
      <w:tblPr/>
      <w:tcPr>
        <w:tcBorders>
          <w:top w:val="doub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4-Accent3">
    <w:name w:val="List Table 4 Accent 3"/>
    <w:basedOn w:val="TableNormal"/>
    <w:uiPriority w:val="49"/>
    <w:rsid w:val="00FE227B"/>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tblBorders>
    </w:tblPr>
    <w:tblStylePr w:type="firstRow">
      <w:rPr>
        <w:b/>
        <w:bCs/>
        <w:color w:val="FFFFFF" w:themeColor="background1"/>
      </w:rPr>
      <w:tblPr/>
      <w:tcPr>
        <w:tcBorders>
          <w:top w:val="single" w:sz="4" w:space="0" w:color="38862E" w:themeColor="accent3"/>
          <w:left w:val="single" w:sz="4" w:space="0" w:color="38862E" w:themeColor="accent3"/>
          <w:bottom w:val="single" w:sz="4" w:space="0" w:color="38862E" w:themeColor="accent3"/>
          <w:right w:val="single" w:sz="4" w:space="0" w:color="38862E" w:themeColor="accent3"/>
          <w:insideH w:val="nil"/>
        </w:tcBorders>
        <w:shd w:val="clear" w:color="auto" w:fill="38862E" w:themeFill="accent3"/>
      </w:tcPr>
    </w:tblStylePr>
    <w:tblStylePr w:type="lastRow">
      <w:rPr>
        <w:b/>
        <w:bCs/>
      </w:rPr>
      <w:tblPr/>
      <w:tcPr>
        <w:tcBorders>
          <w:top w:val="doub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4-Accent4">
    <w:name w:val="List Table 4 Accent 4"/>
    <w:basedOn w:val="TableNormal"/>
    <w:uiPriority w:val="49"/>
    <w:rsid w:val="00FE227B"/>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tblBorders>
    </w:tblPr>
    <w:tblStylePr w:type="firstRow">
      <w:rPr>
        <w:b/>
        <w:bCs/>
        <w:color w:val="FFFFFF" w:themeColor="background1"/>
      </w:rPr>
      <w:tblPr/>
      <w:tcPr>
        <w:tcBorders>
          <w:top w:val="single" w:sz="4" w:space="0" w:color="D5A70B" w:themeColor="accent4"/>
          <w:left w:val="single" w:sz="4" w:space="0" w:color="D5A70B" w:themeColor="accent4"/>
          <w:bottom w:val="single" w:sz="4" w:space="0" w:color="D5A70B" w:themeColor="accent4"/>
          <w:right w:val="single" w:sz="4" w:space="0" w:color="D5A70B" w:themeColor="accent4"/>
          <w:insideH w:val="nil"/>
        </w:tcBorders>
        <w:shd w:val="clear" w:color="auto" w:fill="D5A70B" w:themeFill="accent4"/>
      </w:tcPr>
    </w:tblStylePr>
    <w:tblStylePr w:type="lastRow">
      <w:rPr>
        <w:b/>
        <w:bCs/>
      </w:rPr>
      <w:tblPr/>
      <w:tcPr>
        <w:tcBorders>
          <w:top w:val="doub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4-Accent5">
    <w:name w:val="List Table 4 Accent 5"/>
    <w:basedOn w:val="TableNormal"/>
    <w:uiPriority w:val="49"/>
    <w:rsid w:val="00FE227B"/>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tblBorders>
    </w:tblPr>
    <w:tblStylePr w:type="firstRow">
      <w:rPr>
        <w:b/>
        <w:bCs/>
        <w:color w:val="FFFFFF" w:themeColor="background1"/>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nil"/>
        </w:tcBorders>
        <w:shd w:val="clear" w:color="auto" w:fill="E85D72" w:themeFill="accent5"/>
      </w:tcPr>
    </w:tblStylePr>
    <w:tblStylePr w:type="lastRow">
      <w:rPr>
        <w:b/>
        <w:bCs/>
      </w:rPr>
      <w:tblPr/>
      <w:tcPr>
        <w:tcBorders>
          <w:top w:val="doub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4-Accent6">
    <w:name w:val="List Table 4 Accent 6"/>
    <w:basedOn w:val="TableNormal"/>
    <w:uiPriority w:val="49"/>
    <w:rsid w:val="00FE227B"/>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tblBorders>
    </w:tblPr>
    <w:tblStylePr w:type="firstRow">
      <w:rPr>
        <w:b/>
        <w:bCs/>
        <w:color w:val="FFFFFF" w:themeColor="background1"/>
      </w:rPr>
      <w:tblPr/>
      <w:tcPr>
        <w:tcBorders>
          <w:top w:val="single" w:sz="4" w:space="0" w:color="008098" w:themeColor="accent6"/>
          <w:left w:val="single" w:sz="4" w:space="0" w:color="008098" w:themeColor="accent6"/>
          <w:bottom w:val="single" w:sz="4" w:space="0" w:color="008098" w:themeColor="accent6"/>
          <w:right w:val="single" w:sz="4" w:space="0" w:color="008098" w:themeColor="accent6"/>
          <w:insideH w:val="nil"/>
        </w:tcBorders>
        <w:shd w:val="clear" w:color="auto" w:fill="008098" w:themeFill="accent6"/>
      </w:tcPr>
    </w:tblStylePr>
    <w:tblStylePr w:type="lastRow">
      <w:rPr>
        <w:b/>
        <w:bCs/>
      </w:rPr>
      <w:tblPr/>
      <w:tcPr>
        <w:tcBorders>
          <w:top w:val="doub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5Dark">
    <w:name w:val="List Table 5 Dark"/>
    <w:basedOn w:val="TableNormal"/>
    <w:uiPriority w:val="50"/>
    <w:rsid w:val="00FE227B"/>
    <w:rPr>
      <w:rFonts w:ascii="Roboto" w:hAnsi="Roboto"/>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227B"/>
    <w:rPr>
      <w:rFonts w:ascii="Roboto" w:hAnsi="Roboto"/>
      <w:color w:val="FFFFFF" w:themeColor="background1"/>
    </w:rPr>
    <w:tblPr>
      <w:tblStyleRowBandSize w:val="1"/>
      <w:tblStyleColBandSize w:val="1"/>
      <w:tblBorders>
        <w:top w:val="single" w:sz="24" w:space="0" w:color="342D8C" w:themeColor="accent1"/>
        <w:left w:val="single" w:sz="24" w:space="0" w:color="342D8C" w:themeColor="accent1"/>
        <w:bottom w:val="single" w:sz="24" w:space="0" w:color="342D8C" w:themeColor="accent1"/>
        <w:right w:val="single" w:sz="24" w:space="0" w:color="342D8C" w:themeColor="accent1"/>
      </w:tblBorders>
    </w:tblPr>
    <w:tcPr>
      <w:shd w:val="clear" w:color="auto" w:fill="342D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227B"/>
    <w:rPr>
      <w:rFonts w:ascii="Roboto" w:hAnsi="Roboto"/>
      <w:color w:val="FFFFFF" w:themeColor="background1"/>
    </w:rPr>
    <w:tblPr>
      <w:tblStyleRowBandSize w:val="1"/>
      <w:tblStyleColBandSize w:val="1"/>
      <w:tblBorders>
        <w:top w:val="single" w:sz="24" w:space="0" w:color="1CCFC9" w:themeColor="accent2"/>
        <w:left w:val="single" w:sz="24" w:space="0" w:color="1CCFC9" w:themeColor="accent2"/>
        <w:bottom w:val="single" w:sz="24" w:space="0" w:color="1CCFC9" w:themeColor="accent2"/>
        <w:right w:val="single" w:sz="24" w:space="0" w:color="1CCFC9" w:themeColor="accent2"/>
      </w:tblBorders>
    </w:tblPr>
    <w:tcPr>
      <w:shd w:val="clear" w:color="auto" w:fill="1CCFC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227B"/>
    <w:rPr>
      <w:rFonts w:ascii="Roboto" w:hAnsi="Roboto"/>
      <w:color w:val="FFFFFF" w:themeColor="background1"/>
    </w:rPr>
    <w:tblPr>
      <w:tblStyleRowBandSize w:val="1"/>
      <w:tblStyleColBandSize w:val="1"/>
      <w:tblBorders>
        <w:top w:val="single" w:sz="24" w:space="0" w:color="38862E" w:themeColor="accent3"/>
        <w:left w:val="single" w:sz="24" w:space="0" w:color="38862E" w:themeColor="accent3"/>
        <w:bottom w:val="single" w:sz="24" w:space="0" w:color="38862E" w:themeColor="accent3"/>
        <w:right w:val="single" w:sz="24" w:space="0" w:color="38862E" w:themeColor="accent3"/>
      </w:tblBorders>
    </w:tblPr>
    <w:tcPr>
      <w:shd w:val="clear" w:color="auto" w:fill="38862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227B"/>
    <w:rPr>
      <w:rFonts w:ascii="Roboto" w:hAnsi="Roboto"/>
      <w:color w:val="FFFFFF" w:themeColor="background1"/>
    </w:rPr>
    <w:tblPr>
      <w:tblStyleRowBandSize w:val="1"/>
      <w:tblStyleColBandSize w:val="1"/>
      <w:tblBorders>
        <w:top w:val="single" w:sz="24" w:space="0" w:color="D5A70B" w:themeColor="accent4"/>
        <w:left w:val="single" w:sz="24" w:space="0" w:color="D5A70B" w:themeColor="accent4"/>
        <w:bottom w:val="single" w:sz="24" w:space="0" w:color="D5A70B" w:themeColor="accent4"/>
        <w:right w:val="single" w:sz="24" w:space="0" w:color="D5A70B" w:themeColor="accent4"/>
      </w:tblBorders>
    </w:tblPr>
    <w:tcPr>
      <w:shd w:val="clear" w:color="auto" w:fill="D5A70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227B"/>
    <w:rPr>
      <w:rFonts w:ascii="Roboto" w:hAnsi="Roboto"/>
      <w:color w:val="FFFFFF" w:themeColor="background1"/>
    </w:rPr>
    <w:tblPr>
      <w:tblStyleRowBandSize w:val="1"/>
      <w:tblStyleColBandSize w:val="1"/>
      <w:tblBorders>
        <w:top w:val="single" w:sz="24" w:space="0" w:color="E85D72" w:themeColor="accent5"/>
        <w:left w:val="single" w:sz="24" w:space="0" w:color="E85D72" w:themeColor="accent5"/>
        <w:bottom w:val="single" w:sz="24" w:space="0" w:color="E85D72" w:themeColor="accent5"/>
        <w:right w:val="single" w:sz="24" w:space="0" w:color="E85D72" w:themeColor="accent5"/>
      </w:tblBorders>
    </w:tblPr>
    <w:tcPr>
      <w:shd w:val="clear" w:color="auto" w:fill="E85D7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227B"/>
    <w:rPr>
      <w:rFonts w:ascii="Roboto" w:hAnsi="Roboto"/>
      <w:color w:val="FFFFFF" w:themeColor="background1"/>
    </w:rPr>
    <w:tblPr>
      <w:tblStyleRowBandSize w:val="1"/>
      <w:tblStyleColBandSize w:val="1"/>
      <w:tblBorders>
        <w:top w:val="single" w:sz="24" w:space="0" w:color="008098" w:themeColor="accent6"/>
        <w:left w:val="single" w:sz="24" w:space="0" w:color="008098" w:themeColor="accent6"/>
        <w:bottom w:val="single" w:sz="24" w:space="0" w:color="008098" w:themeColor="accent6"/>
        <w:right w:val="single" w:sz="24" w:space="0" w:color="008098" w:themeColor="accent6"/>
      </w:tblBorders>
    </w:tblPr>
    <w:tcPr>
      <w:shd w:val="clear" w:color="auto" w:fill="00809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227B"/>
    <w:rPr>
      <w:rFonts w:ascii="Roboto" w:hAnsi="Roboto"/>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227B"/>
    <w:rPr>
      <w:rFonts w:ascii="Roboto" w:hAnsi="Roboto"/>
      <w:color w:val="262168" w:themeColor="accent1" w:themeShade="BF"/>
    </w:rPr>
    <w:tblPr>
      <w:tblStyleRowBandSize w:val="1"/>
      <w:tblStyleColBandSize w:val="1"/>
      <w:tblBorders>
        <w:top w:val="single" w:sz="4" w:space="0" w:color="342D8C" w:themeColor="accent1"/>
        <w:bottom w:val="single" w:sz="4" w:space="0" w:color="342D8C" w:themeColor="accent1"/>
      </w:tblBorders>
    </w:tblPr>
    <w:tblStylePr w:type="firstRow">
      <w:rPr>
        <w:b/>
        <w:bCs/>
      </w:rPr>
      <w:tblPr/>
      <w:tcPr>
        <w:tcBorders>
          <w:bottom w:val="single" w:sz="4" w:space="0" w:color="342D8C" w:themeColor="accent1"/>
        </w:tcBorders>
      </w:tcPr>
    </w:tblStylePr>
    <w:tblStylePr w:type="lastRow">
      <w:rPr>
        <w:b/>
        <w:bCs/>
      </w:rPr>
      <w:tblPr/>
      <w:tcPr>
        <w:tcBorders>
          <w:top w:val="double" w:sz="4" w:space="0" w:color="342D8C" w:themeColor="accent1"/>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6Colorful-Accent2">
    <w:name w:val="List Table 6 Colorful Accent 2"/>
    <w:basedOn w:val="TableNormal"/>
    <w:uiPriority w:val="51"/>
    <w:rsid w:val="00FE227B"/>
    <w:rPr>
      <w:rFonts w:ascii="Roboto" w:hAnsi="Roboto"/>
      <w:color w:val="159B96" w:themeColor="accent2" w:themeShade="BF"/>
    </w:rPr>
    <w:tblPr>
      <w:tblStyleRowBandSize w:val="1"/>
      <w:tblStyleColBandSize w:val="1"/>
      <w:tblBorders>
        <w:top w:val="single" w:sz="4" w:space="0" w:color="1CCFC9" w:themeColor="accent2"/>
        <w:bottom w:val="single" w:sz="4" w:space="0" w:color="1CCFC9" w:themeColor="accent2"/>
      </w:tblBorders>
    </w:tblPr>
    <w:tblStylePr w:type="firstRow">
      <w:rPr>
        <w:b/>
        <w:bCs/>
      </w:rPr>
      <w:tblPr/>
      <w:tcPr>
        <w:tcBorders>
          <w:bottom w:val="single" w:sz="4" w:space="0" w:color="1CCFC9" w:themeColor="accent2"/>
        </w:tcBorders>
      </w:tcPr>
    </w:tblStylePr>
    <w:tblStylePr w:type="lastRow">
      <w:rPr>
        <w:b/>
        <w:bCs/>
      </w:rPr>
      <w:tblPr/>
      <w:tcPr>
        <w:tcBorders>
          <w:top w:val="double" w:sz="4" w:space="0" w:color="1CCFC9" w:themeColor="accent2"/>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6Colorful-Accent3">
    <w:name w:val="List Table 6 Colorful Accent 3"/>
    <w:basedOn w:val="TableNormal"/>
    <w:uiPriority w:val="51"/>
    <w:rsid w:val="00FE227B"/>
    <w:rPr>
      <w:rFonts w:ascii="Roboto" w:hAnsi="Roboto"/>
      <w:color w:val="296422" w:themeColor="accent3" w:themeShade="BF"/>
    </w:rPr>
    <w:tblPr>
      <w:tblStyleRowBandSize w:val="1"/>
      <w:tblStyleColBandSize w:val="1"/>
      <w:tblBorders>
        <w:top w:val="single" w:sz="4" w:space="0" w:color="38862E" w:themeColor="accent3"/>
        <w:bottom w:val="single" w:sz="4" w:space="0" w:color="38862E" w:themeColor="accent3"/>
      </w:tblBorders>
    </w:tblPr>
    <w:tblStylePr w:type="firstRow">
      <w:rPr>
        <w:b/>
        <w:bCs/>
      </w:rPr>
      <w:tblPr/>
      <w:tcPr>
        <w:tcBorders>
          <w:bottom w:val="single" w:sz="4" w:space="0" w:color="38862E" w:themeColor="accent3"/>
        </w:tcBorders>
      </w:tcPr>
    </w:tblStylePr>
    <w:tblStylePr w:type="lastRow">
      <w:rPr>
        <w:b/>
        <w:bCs/>
      </w:rPr>
      <w:tblPr/>
      <w:tcPr>
        <w:tcBorders>
          <w:top w:val="double" w:sz="4" w:space="0" w:color="38862E" w:themeColor="accent3"/>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6Colorful-Accent4">
    <w:name w:val="List Table 6 Colorful Accent 4"/>
    <w:basedOn w:val="TableNormal"/>
    <w:uiPriority w:val="51"/>
    <w:rsid w:val="00FE227B"/>
    <w:rPr>
      <w:rFonts w:ascii="Roboto" w:hAnsi="Roboto"/>
      <w:color w:val="9F7C08" w:themeColor="accent4" w:themeShade="BF"/>
    </w:rPr>
    <w:tblPr>
      <w:tblStyleRowBandSize w:val="1"/>
      <w:tblStyleColBandSize w:val="1"/>
      <w:tblBorders>
        <w:top w:val="single" w:sz="4" w:space="0" w:color="D5A70B" w:themeColor="accent4"/>
        <w:bottom w:val="single" w:sz="4" w:space="0" w:color="D5A70B" w:themeColor="accent4"/>
      </w:tblBorders>
    </w:tblPr>
    <w:tblStylePr w:type="firstRow">
      <w:rPr>
        <w:b/>
        <w:bCs/>
      </w:rPr>
      <w:tblPr/>
      <w:tcPr>
        <w:tcBorders>
          <w:bottom w:val="single" w:sz="4" w:space="0" w:color="D5A70B" w:themeColor="accent4"/>
        </w:tcBorders>
      </w:tcPr>
    </w:tblStylePr>
    <w:tblStylePr w:type="lastRow">
      <w:rPr>
        <w:b/>
        <w:bCs/>
      </w:rPr>
      <w:tblPr/>
      <w:tcPr>
        <w:tcBorders>
          <w:top w:val="double" w:sz="4" w:space="0" w:color="D5A70B" w:themeColor="accent4"/>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6Colorful-Accent5">
    <w:name w:val="List Table 6 Colorful Accent 5"/>
    <w:basedOn w:val="TableNormal"/>
    <w:uiPriority w:val="51"/>
    <w:rsid w:val="00FE227B"/>
    <w:rPr>
      <w:rFonts w:ascii="Roboto" w:hAnsi="Roboto"/>
      <w:color w:val="D51E39" w:themeColor="accent5" w:themeShade="BF"/>
    </w:rPr>
    <w:tblPr>
      <w:tblStyleRowBandSize w:val="1"/>
      <w:tblStyleColBandSize w:val="1"/>
      <w:tblBorders>
        <w:top w:val="single" w:sz="4" w:space="0" w:color="E85D72" w:themeColor="accent5"/>
        <w:bottom w:val="single" w:sz="4" w:space="0" w:color="E85D72" w:themeColor="accent5"/>
      </w:tblBorders>
    </w:tblPr>
    <w:tblStylePr w:type="firstRow">
      <w:rPr>
        <w:b/>
        <w:bCs/>
      </w:rPr>
      <w:tblPr/>
      <w:tcPr>
        <w:tcBorders>
          <w:bottom w:val="single" w:sz="4" w:space="0" w:color="E85D72" w:themeColor="accent5"/>
        </w:tcBorders>
      </w:tcPr>
    </w:tblStylePr>
    <w:tblStylePr w:type="lastRow">
      <w:rPr>
        <w:b/>
        <w:bCs/>
      </w:rPr>
      <w:tblPr/>
      <w:tcPr>
        <w:tcBorders>
          <w:top w:val="double" w:sz="4" w:space="0" w:color="E85D72" w:themeColor="accent5"/>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6Colorful-Accent6">
    <w:name w:val="List Table 6 Colorful Accent 6"/>
    <w:basedOn w:val="TableNormal"/>
    <w:uiPriority w:val="51"/>
    <w:rsid w:val="00FE227B"/>
    <w:rPr>
      <w:rFonts w:ascii="Roboto" w:hAnsi="Roboto"/>
      <w:color w:val="005F71" w:themeColor="accent6" w:themeShade="BF"/>
    </w:rPr>
    <w:tblPr>
      <w:tblStyleRowBandSize w:val="1"/>
      <w:tblStyleColBandSize w:val="1"/>
      <w:tblBorders>
        <w:top w:val="single" w:sz="4" w:space="0" w:color="008098" w:themeColor="accent6"/>
        <w:bottom w:val="single" w:sz="4" w:space="0" w:color="008098" w:themeColor="accent6"/>
      </w:tblBorders>
    </w:tblPr>
    <w:tblStylePr w:type="firstRow">
      <w:rPr>
        <w:b/>
        <w:bCs/>
      </w:rPr>
      <w:tblPr/>
      <w:tcPr>
        <w:tcBorders>
          <w:bottom w:val="single" w:sz="4" w:space="0" w:color="008098" w:themeColor="accent6"/>
        </w:tcBorders>
      </w:tcPr>
    </w:tblStylePr>
    <w:tblStylePr w:type="lastRow">
      <w:rPr>
        <w:b/>
        <w:bCs/>
      </w:rPr>
      <w:tblPr/>
      <w:tcPr>
        <w:tcBorders>
          <w:top w:val="double" w:sz="4" w:space="0" w:color="008098" w:themeColor="accent6"/>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7Colorful">
    <w:name w:val="List Table 7 Colorful"/>
    <w:basedOn w:val="TableNormal"/>
    <w:uiPriority w:val="52"/>
    <w:rsid w:val="00FE227B"/>
    <w:rPr>
      <w:rFonts w:ascii="Roboto" w:hAnsi="Roboto"/>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227B"/>
    <w:rPr>
      <w:rFonts w:ascii="Roboto" w:hAnsi="Roboto"/>
      <w:color w:val="262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2D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2D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2D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2D8C" w:themeColor="accent1"/>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227B"/>
    <w:rPr>
      <w:rFonts w:ascii="Roboto" w:hAnsi="Roboto"/>
      <w:color w:val="159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FC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FC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FC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FC9" w:themeColor="accent2"/>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227B"/>
    <w:rPr>
      <w:rFonts w:ascii="Roboto" w:hAnsi="Roboto"/>
      <w:color w:val="29642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862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862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862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862E" w:themeColor="accent3"/>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227B"/>
    <w:rPr>
      <w:rFonts w:ascii="Roboto" w:hAnsi="Roboto"/>
      <w:color w:val="9F7C0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A70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A70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A70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A70B" w:themeColor="accent4"/>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227B"/>
    <w:rPr>
      <w:rFonts w:ascii="Roboto" w:hAnsi="Roboto"/>
      <w:color w:val="D51E3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5D7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5D7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5D7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5D72" w:themeColor="accent5"/>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227B"/>
    <w:rPr>
      <w:rFonts w:ascii="Roboto" w:hAnsi="Roboto"/>
      <w:color w:val="005F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09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09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09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098" w:themeColor="accent6"/>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E227B"/>
    <w:pPr>
      <w:spacing w:before="0"/>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227B"/>
    <w:pPr>
      <w:spacing w:before="0"/>
    </w:pPr>
    <w:rPr>
      <w:rFonts w:ascii="Roboto" w:hAnsi="Roboto"/>
    </w:rPr>
    <w:tblPr>
      <w:tblStyleRowBandSize w:val="1"/>
      <w:tblStyleColBandSize w:val="1"/>
      <w:tbl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single" w:sz="8" w:space="0" w:color="4F46C3" w:themeColor="accent1" w:themeTint="BF"/>
        <w:insideV w:val="single" w:sz="8" w:space="0" w:color="4F46C3" w:themeColor="accent1" w:themeTint="BF"/>
      </w:tblBorders>
    </w:tblPr>
    <w:tcPr>
      <w:shd w:val="clear" w:color="auto" w:fill="C5C2EB" w:themeFill="accent1" w:themeFillTint="3F"/>
    </w:tcPr>
    <w:tblStylePr w:type="firstRow">
      <w:rPr>
        <w:b/>
        <w:bCs/>
      </w:rPr>
    </w:tblStylePr>
    <w:tblStylePr w:type="lastRow">
      <w:rPr>
        <w:b/>
        <w:bCs/>
      </w:rPr>
      <w:tblPr/>
      <w:tcPr>
        <w:tcBorders>
          <w:top w:val="single" w:sz="18" w:space="0" w:color="4F46C3" w:themeColor="accent1" w:themeTint="BF"/>
        </w:tcBorders>
      </w:tcPr>
    </w:tblStylePr>
    <w:tblStylePr w:type="firstCol">
      <w:rPr>
        <w:b/>
        <w:bCs/>
      </w:rPr>
    </w:tblStylePr>
    <w:tblStylePr w:type="lastCol">
      <w:rPr>
        <w:b/>
        <w:bCs/>
      </w:rPr>
    </w:tblStylePr>
    <w:tblStylePr w:type="band1Vert">
      <w:tblPr/>
      <w:tcPr>
        <w:shd w:val="clear" w:color="auto" w:fill="8A84D7" w:themeFill="accent1" w:themeFillTint="7F"/>
      </w:tcPr>
    </w:tblStylePr>
    <w:tblStylePr w:type="band1Horz">
      <w:tblPr/>
      <w:tcPr>
        <w:shd w:val="clear" w:color="auto" w:fill="8A84D7" w:themeFill="accent1" w:themeFillTint="7F"/>
      </w:tcPr>
    </w:tblStylePr>
  </w:style>
  <w:style w:type="table" w:styleId="MediumGrid1-Accent2">
    <w:name w:val="Medium Grid 1 Accent 2"/>
    <w:basedOn w:val="TableNormal"/>
    <w:uiPriority w:val="67"/>
    <w:semiHidden/>
    <w:unhideWhenUsed/>
    <w:rsid w:val="00FE227B"/>
    <w:pPr>
      <w:spacing w:before="0"/>
    </w:pPr>
    <w:rPr>
      <w:rFonts w:ascii="Roboto" w:hAnsi="Roboto"/>
    </w:r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insideV w:val="single" w:sz="8" w:space="0" w:color="49E6E0" w:themeColor="accent2" w:themeTint="BF"/>
      </w:tblBorders>
    </w:tblPr>
    <w:tcPr>
      <w:shd w:val="clear" w:color="auto" w:fill="C3F7F5" w:themeFill="accent2" w:themeFillTint="3F"/>
    </w:tcPr>
    <w:tblStylePr w:type="firstRow">
      <w:rPr>
        <w:b/>
        <w:bCs/>
      </w:rPr>
    </w:tblStylePr>
    <w:tblStylePr w:type="lastRow">
      <w:rPr>
        <w:b/>
        <w:bCs/>
      </w:rPr>
      <w:tblPr/>
      <w:tcPr>
        <w:tcBorders>
          <w:top w:val="single" w:sz="18" w:space="0" w:color="49E6E0" w:themeColor="accent2" w:themeTint="BF"/>
        </w:tcBorders>
      </w:tcPr>
    </w:tblStylePr>
    <w:tblStylePr w:type="firstCol">
      <w:rPr>
        <w:b/>
        <w:bCs/>
      </w:rPr>
    </w:tblStylePr>
    <w:tblStylePr w:type="lastCol">
      <w:rPr>
        <w:b/>
        <w:bCs/>
      </w:rPr>
    </w:tblStylePr>
    <w:tblStylePr w:type="band1Vert">
      <w:tblPr/>
      <w:tcPr>
        <w:shd w:val="clear" w:color="auto" w:fill="86EEEA" w:themeFill="accent2" w:themeFillTint="7F"/>
      </w:tcPr>
    </w:tblStylePr>
    <w:tblStylePr w:type="band1Horz">
      <w:tblPr/>
      <w:tcPr>
        <w:shd w:val="clear" w:color="auto" w:fill="86EEEA" w:themeFill="accent2" w:themeFillTint="7F"/>
      </w:tcPr>
    </w:tblStylePr>
  </w:style>
  <w:style w:type="table" w:styleId="MediumGrid1-Accent3">
    <w:name w:val="Medium Grid 1 Accent 3"/>
    <w:basedOn w:val="TableNormal"/>
    <w:uiPriority w:val="67"/>
    <w:semiHidden/>
    <w:unhideWhenUsed/>
    <w:rsid w:val="00FE227B"/>
    <w:pPr>
      <w:spacing w:before="0"/>
    </w:pPr>
    <w:rPr>
      <w:rFonts w:ascii="Roboto" w:hAnsi="Roboto"/>
    </w:rPr>
    <w:tblPr>
      <w:tblStyleRowBandSize w:val="1"/>
      <w:tblStyleColBandSize w:val="1"/>
      <w:tbl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single" w:sz="8" w:space="0" w:color="54BF46" w:themeColor="accent3" w:themeTint="BF"/>
        <w:insideV w:val="single" w:sz="8" w:space="0" w:color="54BF46" w:themeColor="accent3" w:themeTint="BF"/>
      </w:tblBorders>
    </w:tblPr>
    <w:tcPr>
      <w:shd w:val="clear" w:color="auto" w:fill="C6EAC2" w:themeFill="accent3" w:themeFillTint="3F"/>
    </w:tcPr>
    <w:tblStylePr w:type="firstRow">
      <w:rPr>
        <w:b/>
        <w:bCs/>
      </w:rPr>
    </w:tblStylePr>
    <w:tblStylePr w:type="lastRow">
      <w:rPr>
        <w:b/>
        <w:bCs/>
      </w:rPr>
      <w:tblPr/>
      <w:tcPr>
        <w:tcBorders>
          <w:top w:val="single" w:sz="18" w:space="0" w:color="54BF46" w:themeColor="accent3" w:themeTint="BF"/>
        </w:tcBorders>
      </w:tcPr>
    </w:tblStylePr>
    <w:tblStylePr w:type="firstCol">
      <w:rPr>
        <w:b/>
        <w:bCs/>
      </w:rPr>
    </w:tblStylePr>
    <w:tblStylePr w:type="lastCol">
      <w:rPr>
        <w:b/>
        <w:bCs/>
      </w:rPr>
    </w:tblStylePr>
    <w:tblStylePr w:type="band1Vert">
      <w:tblPr/>
      <w:tcPr>
        <w:shd w:val="clear" w:color="auto" w:fill="8DD584" w:themeFill="accent3" w:themeFillTint="7F"/>
      </w:tcPr>
    </w:tblStylePr>
    <w:tblStylePr w:type="band1Horz">
      <w:tblPr/>
      <w:tcPr>
        <w:shd w:val="clear" w:color="auto" w:fill="8DD584" w:themeFill="accent3" w:themeFillTint="7F"/>
      </w:tcPr>
    </w:tblStylePr>
  </w:style>
  <w:style w:type="table" w:styleId="MediumGrid1-Accent4">
    <w:name w:val="Medium Grid 1 Accent 4"/>
    <w:basedOn w:val="TableNormal"/>
    <w:uiPriority w:val="67"/>
    <w:semiHidden/>
    <w:unhideWhenUsed/>
    <w:rsid w:val="00FE227B"/>
    <w:pPr>
      <w:spacing w:before="0"/>
    </w:pPr>
    <w:rPr>
      <w:rFonts w:ascii="Roboto" w:hAnsi="Roboto"/>
    </w:rPr>
    <w:tblPr>
      <w:tblStyleRowBandSize w:val="1"/>
      <w:tblStyleColBandSize w:val="1"/>
      <w:tbl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single" w:sz="8" w:space="0" w:color="F4C733" w:themeColor="accent4" w:themeTint="BF"/>
        <w:insideV w:val="single" w:sz="8" w:space="0" w:color="F4C733" w:themeColor="accent4" w:themeTint="BF"/>
      </w:tblBorders>
    </w:tblPr>
    <w:tcPr>
      <w:shd w:val="clear" w:color="auto" w:fill="FBECBB" w:themeFill="accent4" w:themeFillTint="3F"/>
    </w:tcPr>
    <w:tblStylePr w:type="firstRow">
      <w:rPr>
        <w:b/>
        <w:bCs/>
      </w:rPr>
    </w:tblStylePr>
    <w:tblStylePr w:type="lastRow">
      <w:rPr>
        <w:b/>
        <w:bCs/>
      </w:rPr>
      <w:tblPr/>
      <w:tcPr>
        <w:tcBorders>
          <w:top w:val="single" w:sz="18" w:space="0" w:color="F4C733" w:themeColor="accent4" w:themeTint="BF"/>
        </w:tcBorders>
      </w:tcPr>
    </w:tblStylePr>
    <w:tblStylePr w:type="firstCol">
      <w:rPr>
        <w:b/>
        <w:bCs/>
      </w:rPr>
    </w:tblStylePr>
    <w:tblStylePr w:type="lastCol">
      <w:rPr>
        <w:b/>
        <w:bCs/>
      </w:rPr>
    </w:tblStylePr>
    <w:tblStylePr w:type="band1Vert">
      <w:tblPr/>
      <w:tcPr>
        <w:shd w:val="clear" w:color="auto" w:fill="F8DA77" w:themeFill="accent4" w:themeFillTint="7F"/>
      </w:tcPr>
    </w:tblStylePr>
    <w:tblStylePr w:type="band1Horz">
      <w:tblPr/>
      <w:tcPr>
        <w:shd w:val="clear" w:color="auto" w:fill="F8DA77" w:themeFill="accent4" w:themeFillTint="7F"/>
      </w:tcPr>
    </w:tblStylePr>
  </w:style>
  <w:style w:type="table" w:styleId="MediumGrid1-Accent5">
    <w:name w:val="Medium Grid 1 Accent 5"/>
    <w:basedOn w:val="TableNormal"/>
    <w:uiPriority w:val="67"/>
    <w:semiHidden/>
    <w:unhideWhenUsed/>
    <w:rsid w:val="00FE227B"/>
    <w:pPr>
      <w:spacing w:before="0"/>
    </w:pPr>
    <w:rPr>
      <w:rFonts w:ascii="Roboto" w:hAnsi="Roboto"/>
    </w:rPr>
    <w:tblPr>
      <w:tblStyleRowBandSize w:val="1"/>
      <w:tblStyleColBandSize w:val="1"/>
      <w:tbl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single" w:sz="8" w:space="0" w:color="ED8595" w:themeColor="accent5" w:themeTint="BF"/>
        <w:insideV w:val="single" w:sz="8" w:space="0" w:color="ED8595" w:themeColor="accent5" w:themeTint="BF"/>
      </w:tblBorders>
    </w:tblPr>
    <w:tcPr>
      <w:shd w:val="clear" w:color="auto" w:fill="F9D6DB" w:themeFill="accent5" w:themeFillTint="3F"/>
    </w:tcPr>
    <w:tblStylePr w:type="firstRow">
      <w:rPr>
        <w:b/>
        <w:bCs/>
      </w:rPr>
    </w:tblStylePr>
    <w:tblStylePr w:type="lastRow">
      <w:rPr>
        <w:b/>
        <w:bCs/>
      </w:rPr>
      <w:tblPr/>
      <w:tcPr>
        <w:tcBorders>
          <w:top w:val="single" w:sz="18" w:space="0" w:color="ED8595" w:themeColor="accent5" w:themeTint="BF"/>
        </w:tcBorders>
      </w:tcPr>
    </w:tblStylePr>
    <w:tblStylePr w:type="firstCol">
      <w:rPr>
        <w:b/>
        <w:bCs/>
      </w:rPr>
    </w:tblStylePr>
    <w:tblStylePr w:type="lastCol">
      <w:rPr>
        <w:b/>
        <w:bCs/>
      </w:rPr>
    </w:tblStylePr>
    <w:tblStylePr w:type="band1Vert">
      <w:tblPr/>
      <w:tcPr>
        <w:shd w:val="clear" w:color="auto" w:fill="F3AEB8" w:themeFill="accent5" w:themeFillTint="7F"/>
      </w:tcPr>
    </w:tblStylePr>
    <w:tblStylePr w:type="band1Horz">
      <w:tblPr/>
      <w:tcPr>
        <w:shd w:val="clear" w:color="auto" w:fill="F3AEB8" w:themeFill="accent5" w:themeFillTint="7F"/>
      </w:tcPr>
    </w:tblStylePr>
  </w:style>
  <w:style w:type="table" w:styleId="MediumGrid1-Accent6">
    <w:name w:val="Medium Grid 1 Accent 6"/>
    <w:basedOn w:val="TableNormal"/>
    <w:uiPriority w:val="67"/>
    <w:semiHidden/>
    <w:unhideWhenUsed/>
    <w:rsid w:val="00FE227B"/>
    <w:pPr>
      <w:spacing w:before="0"/>
    </w:pPr>
    <w:rPr>
      <w:rFonts w:ascii="Roboto" w:hAnsi="Roboto"/>
    </w:rPr>
    <w:tblPr>
      <w:tblStyleRowBandSize w:val="1"/>
      <w:tblStyleColBandSize w:val="1"/>
      <w:tbl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single" w:sz="8" w:space="0" w:color="00CAF1" w:themeColor="accent6" w:themeTint="BF"/>
        <w:insideV w:val="single" w:sz="8" w:space="0" w:color="00CAF1" w:themeColor="accent6" w:themeTint="BF"/>
      </w:tblBorders>
    </w:tblPr>
    <w:tcPr>
      <w:shd w:val="clear" w:color="auto" w:fill="A6F0FF" w:themeFill="accent6" w:themeFillTint="3F"/>
    </w:tcPr>
    <w:tblStylePr w:type="firstRow">
      <w:rPr>
        <w:b/>
        <w:bCs/>
      </w:rPr>
    </w:tblStylePr>
    <w:tblStylePr w:type="lastRow">
      <w:rPr>
        <w:b/>
        <w:bCs/>
      </w:rPr>
      <w:tblPr/>
      <w:tcPr>
        <w:tcBorders>
          <w:top w:val="single" w:sz="18" w:space="0" w:color="00CAF1" w:themeColor="accent6" w:themeTint="BF"/>
        </w:tcBorders>
      </w:tcPr>
    </w:tblStylePr>
    <w:tblStylePr w:type="firstCol">
      <w:rPr>
        <w:b/>
        <w:bCs/>
      </w:rPr>
    </w:tblStylePr>
    <w:tblStylePr w:type="lastCol">
      <w:rPr>
        <w:b/>
        <w:bCs/>
      </w:rPr>
    </w:tblStylePr>
    <w:tblStylePr w:type="band1Vert">
      <w:tblPr/>
      <w:tcPr>
        <w:shd w:val="clear" w:color="auto" w:fill="4CE2FF" w:themeFill="accent6" w:themeFillTint="7F"/>
      </w:tcPr>
    </w:tblStylePr>
    <w:tblStylePr w:type="band1Horz">
      <w:tblPr/>
      <w:tcPr>
        <w:shd w:val="clear" w:color="auto" w:fill="4CE2FF" w:themeFill="accent6" w:themeFillTint="7F"/>
      </w:tcPr>
    </w:tblStylePr>
  </w:style>
  <w:style w:type="table" w:styleId="MediumGrid2">
    <w:name w:val="Medium Grid 2"/>
    <w:basedOn w:val="TableNormal"/>
    <w:uiPriority w:val="68"/>
    <w:semiHidden/>
    <w:unhideWhenUsed/>
    <w:rsid w:val="00FE227B"/>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227B"/>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227B"/>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2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2D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2D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2D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2D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84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84D7" w:themeFill="accent1" w:themeFillTint="7F"/>
      </w:tcPr>
    </w:tblStylePr>
  </w:style>
  <w:style w:type="table" w:styleId="MediumGrid3-Accent2">
    <w:name w:val="Medium Grid 3 Accent 2"/>
    <w:basedOn w:val="TableNormal"/>
    <w:uiPriority w:val="69"/>
    <w:semiHidden/>
    <w:unhideWhenUsed/>
    <w:rsid w:val="00FE227B"/>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7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CFC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CFC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CFC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CFC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EEE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EEEA" w:themeFill="accent2" w:themeFillTint="7F"/>
      </w:tcPr>
    </w:tblStylePr>
  </w:style>
  <w:style w:type="table" w:styleId="MediumGrid3-Accent3">
    <w:name w:val="Medium Grid 3 Accent 3"/>
    <w:basedOn w:val="TableNormal"/>
    <w:uiPriority w:val="69"/>
    <w:semiHidden/>
    <w:unhideWhenUsed/>
    <w:rsid w:val="00FE227B"/>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C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862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862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862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862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8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84" w:themeFill="accent3" w:themeFillTint="7F"/>
      </w:tcPr>
    </w:tblStylePr>
  </w:style>
  <w:style w:type="table" w:styleId="MediumGrid3-Accent4">
    <w:name w:val="Medium Grid 3 Accent 4"/>
    <w:basedOn w:val="TableNormal"/>
    <w:uiPriority w:val="69"/>
    <w:semiHidden/>
    <w:unhideWhenUsed/>
    <w:rsid w:val="00FE227B"/>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B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A70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A70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A70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A70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7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77" w:themeFill="accent4" w:themeFillTint="7F"/>
      </w:tcPr>
    </w:tblStylePr>
  </w:style>
  <w:style w:type="table" w:styleId="MediumGrid3-Accent5">
    <w:name w:val="Medium Grid 3 Accent 5"/>
    <w:basedOn w:val="TableNormal"/>
    <w:uiPriority w:val="69"/>
    <w:semiHidden/>
    <w:unhideWhenUsed/>
    <w:rsid w:val="00FE227B"/>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6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5D7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5D7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5D7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5D7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EB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EB8" w:themeFill="accent5" w:themeFillTint="7F"/>
      </w:tcPr>
    </w:tblStylePr>
  </w:style>
  <w:style w:type="table" w:styleId="MediumGrid3-Accent6">
    <w:name w:val="Medium Grid 3 Accent 6"/>
    <w:basedOn w:val="TableNormal"/>
    <w:uiPriority w:val="69"/>
    <w:semiHidden/>
    <w:unhideWhenUsed/>
    <w:rsid w:val="00FE227B"/>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0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09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09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09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09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2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2FF" w:themeFill="accent6" w:themeFillTint="7F"/>
      </w:tcPr>
    </w:tblStylePr>
  </w:style>
  <w:style w:type="table" w:styleId="MediumList1">
    <w:name w:val="Medium List 1"/>
    <w:basedOn w:val="TableNormal"/>
    <w:uiPriority w:val="65"/>
    <w:semiHidden/>
    <w:unhideWhenUsed/>
    <w:rsid w:val="00FE227B"/>
    <w:pPr>
      <w:spacing w:before="0"/>
    </w:pPr>
    <w:rPr>
      <w:rFonts w:ascii="Roboto" w:hAnsi="Roboto"/>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318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227B"/>
    <w:pPr>
      <w:spacing w:before="0"/>
    </w:pPr>
    <w:rPr>
      <w:rFonts w:ascii="Roboto" w:hAnsi="Roboto"/>
      <w:color w:val="000000" w:themeColor="text1"/>
    </w:rPr>
    <w:tblPr>
      <w:tblStyleRowBandSize w:val="1"/>
      <w:tblStyleColBandSize w:val="1"/>
      <w:tblBorders>
        <w:top w:val="single" w:sz="8" w:space="0" w:color="342D8C" w:themeColor="accent1"/>
        <w:bottom w:val="single" w:sz="8" w:space="0" w:color="342D8C" w:themeColor="accent1"/>
      </w:tblBorders>
    </w:tblPr>
    <w:tblStylePr w:type="firstRow">
      <w:rPr>
        <w:rFonts w:asciiTheme="majorHAnsi" w:eastAsiaTheme="majorEastAsia" w:hAnsiTheme="majorHAnsi" w:cstheme="majorBidi"/>
      </w:rPr>
      <w:tblPr/>
      <w:tcPr>
        <w:tcBorders>
          <w:top w:val="nil"/>
          <w:bottom w:val="single" w:sz="8" w:space="0" w:color="342D8C" w:themeColor="accent1"/>
        </w:tcBorders>
      </w:tcPr>
    </w:tblStylePr>
    <w:tblStylePr w:type="lastRow">
      <w:rPr>
        <w:b/>
        <w:bCs/>
        <w:color w:val="131838" w:themeColor="text2"/>
      </w:rPr>
      <w:tblPr/>
      <w:tcPr>
        <w:tcBorders>
          <w:top w:val="single" w:sz="8" w:space="0" w:color="342D8C" w:themeColor="accent1"/>
          <w:bottom w:val="single" w:sz="8" w:space="0" w:color="342D8C" w:themeColor="accent1"/>
        </w:tcBorders>
      </w:tcPr>
    </w:tblStylePr>
    <w:tblStylePr w:type="firstCol">
      <w:rPr>
        <w:b/>
        <w:bCs/>
      </w:rPr>
    </w:tblStylePr>
    <w:tblStylePr w:type="lastCol">
      <w:rPr>
        <w:b/>
        <w:bCs/>
      </w:rPr>
      <w:tblPr/>
      <w:tcPr>
        <w:tcBorders>
          <w:top w:val="single" w:sz="8" w:space="0" w:color="342D8C" w:themeColor="accent1"/>
          <w:bottom w:val="single" w:sz="8" w:space="0" w:color="342D8C" w:themeColor="accent1"/>
        </w:tcBorders>
      </w:tcPr>
    </w:tblStylePr>
    <w:tblStylePr w:type="band1Vert">
      <w:tblPr/>
      <w:tcPr>
        <w:shd w:val="clear" w:color="auto" w:fill="C5C2EB" w:themeFill="accent1" w:themeFillTint="3F"/>
      </w:tcPr>
    </w:tblStylePr>
    <w:tblStylePr w:type="band1Horz">
      <w:tblPr/>
      <w:tcPr>
        <w:shd w:val="clear" w:color="auto" w:fill="C5C2EB" w:themeFill="accent1" w:themeFillTint="3F"/>
      </w:tcPr>
    </w:tblStylePr>
  </w:style>
  <w:style w:type="table" w:styleId="MediumList1-Accent2">
    <w:name w:val="Medium List 1 Accent 2"/>
    <w:basedOn w:val="TableNormal"/>
    <w:uiPriority w:val="65"/>
    <w:semiHidden/>
    <w:unhideWhenUsed/>
    <w:rsid w:val="00FE227B"/>
    <w:pPr>
      <w:spacing w:before="0"/>
    </w:pPr>
    <w:rPr>
      <w:rFonts w:ascii="Roboto" w:hAnsi="Roboto"/>
      <w:color w:val="000000" w:themeColor="text1"/>
    </w:rPr>
    <w:tblPr>
      <w:tblStyleRowBandSize w:val="1"/>
      <w:tblStyleColBandSize w:val="1"/>
      <w:tblBorders>
        <w:top w:val="single" w:sz="8" w:space="0" w:color="1CCFC9" w:themeColor="accent2"/>
        <w:bottom w:val="single" w:sz="8" w:space="0" w:color="1CCFC9" w:themeColor="accent2"/>
      </w:tblBorders>
    </w:tblPr>
    <w:tblStylePr w:type="firstRow">
      <w:rPr>
        <w:rFonts w:asciiTheme="majorHAnsi" w:eastAsiaTheme="majorEastAsia" w:hAnsiTheme="majorHAnsi" w:cstheme="majorBidi"/>
      </w:rPr>
      <w:tblPr/>
      <w:tcPr>
        <w:tcBorders>
          <w:top w:val="nil"/>
          <w:bottom w:val="single" w:sz="8" w:space="0" w:color="1CCFC9" w:themeColor="accent2"/>
        </w:tcBorders>
      </w:tcPr>
    </w:tblStylePr>
    <w:tblStylePr w:type="lastRow">
      <w:rPr>
        <w:b/>
        <w:bCs/>
        <w:color w:val="131838" w:themeColor="text2"/>
      </w:rPr>
      <w:tblPr/>
      <w:tcPr>
        <w:tcBorders>
          <w:top w:val="single" w:sz="8" w:space="0" w:color="1CCFC9" w:themeColor="accent2"/>
          <w:bottom w:val="single" w:sz="8" w:space="0" w:color="1CCFC9" w:themeColor="accent2"/>
        </w:tcBorders>
      </w:tcPr>
    </w:tblStylePr>
    <w:tblStylePr w:type="firstCol">
      <w:rPr>
        <w:b/>
        <w:bCs/>
      </w:rPr>
    </w:tblStylePr>
    <w:tblStylePr w:type="lastCol">
      <w:rPr>
        <w:b/>
        <w:bCs/>
      </w:rPr>
      <w:tblPr/>
      <w:tcPr>
        <w:tcBorders>
          <w:top w:val="single" w:sz="8" w:space="0" w:color="1CCFC9" w:themeColor="accent2"/>
          <w:bottom w:val="single" w:sz="8" w:space="0" w:color="1CCFC9" w:themeColor="accent2"/>
        </w:tcBorders>
      </w:tcPr>
    </w:tblStylePr>
    <w:tblStylePr w:type="band1Vert">
      <w:tblPr/>
      <w:tcPr>
        <w:shd w:val="clear" w:color="auto" w:fill="C3F7F5" w:themeFill="accent2" w:themeFillTint="3F"/>
      </w:tcPr>
    </w:tblStylePr>
    <w:tblStylePr w:type="band1Horz">
      <w:tblPr/>
      <w:tcPr>
        <w:shd w:val="clear" w:color="auto" w:fill="C3F7F5" w:themeFill="accent2" w:themeFillTint="3F"/>
      </w:tcPr>
    </w:tblStylePr>
  </w:style>
  <w:style w:type="table" w:styleId="MediumList1-Accent3">
    <w:name w:val="Medium List 1 Accent 3"/>
    <w:basedOn w:val="TableNormal"/>
    <w:uiPriority w:val="65"/>
    <w:semiHidden/>
    <w:unhideWhenUsed/>
    <w:rsid w:val="00FE227B"/>
    <w:pPr>
      <w:spacing w:before="0"/>
    </w:pPr>
    <w:rPr>
      <w:rFonts w:ascii="Roboto" w:hAnsi="Roboto"/>
      <w:color w:val="000000" w:themeColor="text1"/>
    </w:rPr>
    <w:tblPr>
      <w:tblStyleRowBandSize w:val="1"/>
      <w:tblStyleColBandSize w:val="1"/>
      <w:tblBorders>
        <w:top w:val="single" w:sz="8" w:space="0" w:color="38862E" w:themeColor="accent3"/>
        <w:bottom w:val="single" w:sz="8" w:space="0" w:color="38862E" w:themeColor="accent3"/>
      </w:tblBorders>
    </w:tblPr>
    <w:tblStylePr w:type="firstRow">
      <w:rPr>
        <w:rFonts w:asciiTheme="majorHAnsi" w:eastAsiaTheme="majorEastAsia" w:hAnsiTheme="majorHAnsi" w:cstheme="majorBidi"/>
      </w:rPr>
      <w:tblPr/>
      <w:tcPr>
        <w:tcBorders>
          <w:top w:val="nil"/>
          <w:bottom w:val="single" w:sz="8" w:space="0" w:color="38862E" w:themeColor="accent3"/>
        </w:tcBorders>
      </w:tcPr>
    </w:tblStylePr>
    <w:tblStylePr w:type="lastRow">
      <w:rPr>
        <w:b/>
        <w:bCs/>
        <w:color w:val="131838" w:themeColor="text2"/>
      </w:rPr>
      <w:tblPr/>
      <w:tcPr>
        <w:tcBorders>
          <w:top w:val="single" w:sz="8" w:space="0" w:color="38862E" w:themeColor="accent3"/>
          <w:bottom w:val="single" w:sz="8" w:space="0" w:color="38862E" w:themeColor="accent3"/>
        </w:tcBorders>
      </w:tcPr>
    </w:tblStylePr>
    <w:tblStylePr w:type="firstCol">
      <w:rPr>
        <w:b/>
        <w:bCs/>
      </w:rPr>
    </w:tblStylePr>
    <w:tblStylePr w:type="lastCol">
      <w:rPr>
        <w:b/>
        <w:bCs/>
      </w:rPr>
      <w:tblPr/>
      <w:tcPr>
        <w:tcBorders>
          <w:top w:val="single" w:sz="8" w:space="0" w:color="38862E" w:themeColor="accent3"/>
          <w:bottom w:val="single" w:sz="8" w:space="0" w:color="38862E" w:themeColor="accent3"/>
        </w:tcBorders>
      </w:tcPr>
    </w:tblStylePr>
    <w:tblStylePr w:type="band1Vert">
      <w:tblPr/>
      <w:tcPr>
        <w:shd w:val="clear" w:color="auto" w:fill="C6EAC2" w:themeFill="accent3" w:themeFillTint="3F"/>
      </w:tcPr>
    </w:tblStylePr>
    <w:tblStylePr w:type="band1Horz">
      <w:tblPr/>
      <w:tcPr>
        <w:shd w:val="clear" w:color="auto" w:fill="C6EAC2" w:themeFill="accent3" w:themeFillTint="3F"/>
      </w:tcPr>
    </w:tblStylePr>
  </w:style>
  <w:style w:type="table" w:styleId="MediumList1-Accent4">
    <w:name w:val="Medium List 1 Accent 4"/>
    <w:basedOn w:val="TableNormal"/>
    <w:uiPriority w:val="65"/>
    <w:semiHidden/>
    <w:unhideWhenUsed/>
    <w:rsid w:val="00FE227B"/>
    <w:pPr>
      <w:spacing w:before="0"/>
    </w:pPr>
    <w:rPr>
      <w:rFonts w:ascii="Roboto" w:hAnsi="Roboto"/>
      <w:color w:val="000000" w:themeColor="text1"/>
    </w:rPr>
    <w:tblPr>
      <w:tblStyleRowBandSize w:val="1"/>
      <w:tblStyleColBandSize w:val="1"/>
      <w:tblBorders>
        <w:top w:val="single" w:sz="8" w:space="0" w:color="D5A70B" w:themeColor="accent4"/>
        <w:bottom w:val="single" w:sz="8" w:space="0" w:color="D5A70B" w:themeColor="accent4"/>
      </w:tblBorders>
    </w:tblPr>
    <w:tblStylePr w:type="firstRow">
      <w:rPr>
        <w:rFonts w:asciiTheme="majorHAnsi" w:eastAsiaTheme="majorEastAsia" w:hAnsiTheme="majorHAnsi" w:cstheme="majorBidi"/>
      </w:rPr>
      <w:tblPr/>
      <w:tcPr>
        <w:tcBorders>
          <w:top w:val="nil"/>
          <w:bottom w:val="single" w:sz="8" w:space="0" w:color="D5A70B" w:themeColor="accent4"/>
        </w:tcBorders>
      </w:tcPr>
    </w:tblStylePr>
    <w:tblStylePr w:type="lastRow">
      <w:rPr>
        <w:b/>
        <w:bCs/>
        <w:color w:val="131838" w:themeColor="text2"/>
      </w:rPr>
      <w:tblPr/>
      <w:tcPr>
        <w:tcBorders>
          <w:top w:val="single" w:sz="8" w:space="0" w:color="D5A70B" w:themeColor="accent4"/>
          <w:bottom w:val="single" w:sz="8" w:space="0" w:color="D5A70B" w:themeColor="accent4"/>
        </w:tcBorders>
      </w:tcPr>
    </w:tblStylePr>
    <w:tblStylePr w:type="firstCol">
      <w:rPr>
        <w:b/>
        <w:bCs/>
      </w:rPr>
    </w:tblStylePr>
    <w:tblStylePr w:type="lastCol">
      <w:rPr>
        <w:b/>
        <w:bCs/>
      </w:rPr>
      <w:tblPr/>
      <w:tcPr>
        <w:tcBorders>
          <w:top w:val="single" w:sz="8" w:space="0" w:color="D5A70B" w:themeColor="accent4"/>
          <w:bottom w:val="single" w:sz="8" w:space="0" w:color="D5A70B" w:themeColor="accent4"/>
        </w:tcBorders>
      </w:tcPr>
    </w:tblStylePr>
    <w:tblStylePr w:type="band1Vert">
      <w:tblPr/>
      <w:tcPr>
        <w:shd w:val="clear" w:color="auto" w:fill="FBECBB" w:themeFill="accent4" w:themeFillTint="3F"/>
      </w:tcPr>
    </w:tblStylePr>
    <w:tblStylePr w:type="band1Horz">
      <w:tblPr/>
      <w:tcPr>
        <w:shd w:val="clear" w:color="auto" w:fill="FBECBB" w:themeFill="accent4" w:themeFillTint="3F"/>
      </w:tcPr>
    </w:tblStylePr>
  </w:style>
  <w:style w:type="table" w:styleId="MediumList1-Accent5">
    <w:name w:val="Medium List 1 Accent 5"/>
    <w:basedOn w:val="TableNormal"/>
    <w:uiPriority w:val="65"/>
    <w:semiHidden/>
    <w:unhideWhenUsed/>
    <w:rsid w:val="00FE227B"/>
    <w:pPr>
      <w:spacing w:before="0"/>
    </w:pPr>
    <w:rPr>
      <w:rFonts w:ascii="Roboto" w:hAnsi="Roboto"/>
      <w:color w:val="000000" w:themeColor="text1"/>
    </w:rPr>
    <w:tblPr>
      <w:tblStyleRowBandSize w:val="1"/>
      <w:tblStyleColBandSize w:val="1"/>
      <w:tblBorders>
        <w:top w:val="single" w:sz="8" w:space="0" w:color="E85D72" w:themeColor="accent5"/>
        <w:bottom w:val="single" w:sz="8" w:space="0" w:color="E85D72" w:themeColor="accent5"/>
      </w:tblBorders>
    </w:tblPr>
    <w:tblStylePr w:type="firstRow">
      <w:rPr>
        <w:rFonts w:asciiTheme="majorHAnsi" w:eastAsiaTheme="majorEastAsia" w:hAnsiTheme="majorHAnsi" w:cstheme="majorBidi"/>
      </w:rPr>
      <w:tblPr/>
      <w:tcPr>
        <w:tcBorders>
          <w:top w:val="nil"/>
          <w:bottom w:val="single" w:sz="8" w:space="0" w:color="E85D72" w:themeColor="accent5"/>
        </w:tcBorders>
      </w:tcPr>
    </w:tblStylePr>
    <w:tblStylePr w:type="lastRow">
      <w:rPr>
        <w:b/>
        <w:bCs/>
        <w:color w:val="131838" w:themeColor="text2"/>
      </w:rPr>
      <w:tblPr/>
      <w:tcPr>
        <w:tcBorders>
          <w:top w:val="single" w:sz="8" w:space="0" w:color="E85D72" w:themeColor="accent5"/>
          <w:bottom w:val="single" w:sz="8" w:space="0" w:color="E85D72" w:themeColor="accent5"/>
        </w:tcBorders>
      </w:tcPr>
    </w:tblStylePr>
    <w:tblStylePr w:type="firstCol">
      <w:rPr>
        <w:b/>
        <w:bCs/>
      </w:rPr>
    </w:tblStylePr>
    <w:tblStylePr w:type="lastCol">
      <w:rPr>
        <w:b/>
        <w:bCs/>
      </w:rPr>
      <w:tblPr/>
      <w:tcPr>
        <w:tcBorders>
          <w:top w:val="single" w:sz="8" w:space="0" w:color="E85D72" w:themeColor="accent5"/>
          <w:bottom w:val="single" w:sz="8" w:space="0" w:color="E85D72" w:themeColor="accent5"/>
        </w:tcBorders>
      </w:tcPr>
    </w:tblStylePr>
    <w:tblStylePr w:type="band1Vert">
      <w:tblPr/>
      <w:tcPr>
        <w:shd w:val="clear" w:color="auto" w:fill="F9D6DB" w:themeFill="accent5" w:themeFillTint="3F"/>
      </w:tcPr>
    </w:tblStylePr>
    <w:tblStylePr w:type="band1Horz">
      <w:tblPr/>
      <w:tcPr>
        <w:shd w:val="clear" w:color="auto" w:fill="F9D6DB" w:themeFill="accent5" w:themeFillTint="3F"/>
      </w:tcPr>
    </w:tblStylePr>
  </w:style>
  <w:style w:type="table" w:styleId="MediumList1-Accent6">
    <w:name w:val="Medium List 1 Accent 6"/>
    <w:basedOn w:val="TableNormal"/>
    <w:uiPriority w:val="65"/>
    <w:semiHidden/>
    <w:unhideWhenUsed/>
    <w:rsid w:val="00FE227B"/>
    <w:pPr>
      <w:spacing w:before="0"/>
    </w:pPr>
    <w:rPr>
      <w:rFonts w:ascii="Roboto" w:hAnsi="Roboto"/>
      <w:color w:val="000000" w:themeColor="text1"/>
    </w:rPr>
    <w:tblPr>
      <w:tblStyleRowBandSize w:val="1"/>
      <w:tblStyleColBandSize w:val="1"/>
      <w:tblBorders>
        <w:top w:val="single" w:sz="8" w:space="0" w:color="008098" w:themeColor="accent6"/>
        <w:bottom w:val="single" w:sz="8" w:space="0" w:color="008098" w:themeColor="accent6"/>
      </w:tblBorders>
    </w:tblPr>
    <w:tblStylePr w:type="firstRow">
      <w:rPr>
        <w:rFonts w:asciiTheme="majorHAnsi" w:eastAsiaTheme="majorEastAsia" w:hAnsiTheme="majorHAnsi" w:cstheme="majorBidi"/>
      </w:rPr>
      <w:tblPr/>
      <w:tcPr>
        <w:tcBorders>
          <w:top w:val="nil"/>
          <w:bottom w:val="single" w:sz="8" w:space="0" w:color="008098" w:themeColor="accent6"/>
        </w:tcBorders>
      </w:tcPr>
    </w:tblStylePr>
    <w:tblStylePr w:type="lastRow">
      <w:rPr>
        <w:b/>
        <w:bCs/>
        <w:color w:val="131838" w:themeColor="text2"/>
      </w:rPr>
      <w:tblPr/>
      <w:tcPr>
        <w:tcBorders>
          <w:top w:val="single" w:sz="8" w:space="0" w:color="008098" w:themeColor="accent6"/>
          <w:bottom w:val="single" w:sz="8" w:space="0" w:color="008098" w:themeColor="accent6"/>
        </w:tcBorders>
      </w:tcPr>
    </w:tblStylePr>
    <w:tblStylePr w:type="firstCol">
      <w:rPr>
        <w:b/>
        <w:bCs/>
      </w:rPr>
    </w:tblStylePr>
    <w:tblStylePr w:type="lastCol">
      <w:rPr>
        <w:b/>
        <w:bCs/>
      </w:rPr>
      <w:tblPr/>
      <w:tcPr>
        <w:tcBorders>
          <w:top w:val="single" w:sz="8" w:space="0" w:color="008098" w:themeColor="accent6"/>
          <w:bottom w:val="single" w:sz="8" w:space="0" w:color="008098" w:themeColor="accent6"/>
        </w:tcBorders>
      </w:tcPr>
    </w:tblStylePr>
    <w:tblStylePr w:type="band1Vert">
      <w:tblPr/>
      <w:tcPr>
        <w:shd w:val="clear" w:color="auto" w:fill="A6F0FF" w:themeFill="accent6" w:themeFillTint="3F"/>
      </w:tcPr>
    </w:tblStylePr>
    <w:tblStylePr w:type="band1Horz">
      <w:tblPr/>
      <w:tcPr>
        <w:shd w:val="clear" w:color="auto" w:fill="A6F0FF" w:themeFill="accent6" w:themeFillTint="3F"/>
      </w:tcPr>
    </w:tblStylePr>
  </w:style>
  <w:style w:type="table" w:styleId="MediumShading1-Accent6">
    <w:name w:val="Medium Shading 1 Accent 6"/>
    <w:basedOn w:val="TableNormal"/>
    <w:uiPriority w:val="63"/>
    <w:semiHidden/>
    <w:unhideWhenUsed/>
    <w:rsid w:val="00FE227B"/>
    <w:pPr>
      <w:spacing w:before="0"/>
    </w:pPr>
    <w:rPr>
      <w:rFonts w:ascii="Roboto" w:hAnsi="Roboto"/>
    </w:rPr>
    <w:tblPr>
      <w:tblStyleRowBandSize w:val="1"/>
      <w:tblStyleColBandSize w:val="1"/>
      <w:tbl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single" w:sz="8" w:space="0" w:color="00CAF1" w:themeColor="accent6" w:themeTint="BF"/>
      </w:tblBorders>
    </w:tblPr>
    <w:tblStylePr w:type="firstRow">
      <w:pPr>
        <w:spacing w:before="0" w:after="0" w:line="240" w:lineRule="auto"/>
      </w:pPr>
      <w:rPr>
        <w:b/>
        <w:bCs/>
        <w:color w:val="FFFFFF" w:themeColor="background1"/>
      </w:rPr>
      <w:tblPr/>
      <w:tcPr>
        <w:tc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nil"/>
          <w:insideV w:val="nil"/>
        </w:tcBorders>
        <w:shd w:val="clear" w:color="auto" w:fill="008098" w:themeFill="accent6"/>
      </w:tcPr>
    </w:tblStylePr>
    <w:tblStylePr w:type="lastRow">
      <w:pPr>
        <w:spacing w:before="0" w:after="0" w:line="240" w:lineRule="auto"/>
      </w:pPr>
      <w:rPr>
        <w:b/>
        <w:bCs/>
      </w:rPr>
      <w:tblPr/>
      <w:tcPr>
        <w:tcBorders>
          <w:top w:val="double" w:sz="6"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F0FF" w:themeFill="accent6" w:themeFillTint="3F"/>
      </w:tcPr>
    </w:tblStylePr>
    <w:tblStylePr w:type="band1Horz">
      <w:tblPr/>
      <w:tcPr>
        <w:tcBorders>
          <w:insideH w:val="nil"/>
          <w:insideV w:val="nil"/>
        </w:tcBorders>
        <w:shd w:val="clear" w:color="auto" w:fill="A6F0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227B"/>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E227B"/>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2D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2D8C" w:themeFill="accent1"/>
      </w:tcPr>
    </w:tblStylePr>
    <w:tblStylePr w:type="lastCol">
      <w:rPr>
        <w:b/>
        <w:bCs/>
        <w:color w:val="FFFFFF" w:themeColor="background1"/>
      </w:rPr>
      <w:tblPr/>
      <w:tcPr>
        <w:tcBorders>
          <w:left w:val="nil"/>
          <w:right w:val="nil"/>
          <w:insideH w:val="nil"/>
          <w:insideV w:val="nil"/>
        </w:tcBorders>
        <w:shd w:val="clear" w:color="auto" w:fill="342D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E227B"/>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CFC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CFC9" w:themeFill="accent2"/>
      </w:tcPr>
    </w:tblStylePr>
    <w:tblStylePr w:type="lastCol">
      <w:rPr>
        <w:b/>
        <w:bCs/>
        <w:color w:val="FFFFFF" w:themeColor="background1"/>
      </w:rPr>
      <w:tblPr/>
      <w:tcPr>
        <w:tcBorders>
          <w:left w:val="nil"/>
          <w:right w:val="nil"/>
          <w:insideH w:val="nil"/>
          <w:insideV w:val="nil"/>
        </w:tcBorders>
        <w:shd w:val="clear" w:color="auto" w:fill="1CCFC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E227B"/>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862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862E" w:themeFill="accent3"/>
      </w:tcPr>
    </w:tblStylePr>
    <w:tblStylePr w:type="lastCol">
      <w:rPr>
        <w:b/>
        <w:bCs/>
        <w:color w:val="FFFFFF" w:themeColor="background1"/>
      </w:rPr>
      <w:tblPr/>
      <w:tcPr>
        <w:tcBorders>
          <w:left w:val="nil"/>
          <w:right w:val="nil"/>
          <w:insideH w:val="nil"/>
          <w:insideV w:val="nil"/>
        </w:tcBorders>
        <w:shd w:val="clear" w:color="auto" w:fill="38862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E227B"/>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A70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A70B" w:themeFill="accent4"/>
      </w:tcPr>
    </w:tblStylePr>
    <w:tblStylePr w:type="lastCol">
      <w:rPr>
        <w:b/>
        <w:bCs/>
        <w:color w:val="FFFFFF" w:themeColor="background1"/>
      </w:rPr>
      <w:tblPr/>
      <w:tcPr>
        <w:tcBorders>
          <w:left w:val="nil"/>
          <w:right w:val="nil"/>
          <w:insideH w:val="nil"/>
          <w:insideV w:val="nil"/>
        </w:tcBorders>
        <w:shd w:val="clear" w:color="auto" w:fill="D5A70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E227B"/>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5D7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5D72" w:themeFill="accent5"/>
      </w:tcPr>
    </w:tblStylePr>
    <w:tblStylePr w:type="lastCol">
      <w:rPr>
        <w:b/>
        <w:bCs/>
        <w:color w:val="FFFFFF" w:themeColor="background1"/>
      </w:rPr>
      <w:tblPr/>
      <w:tcPr>
        <w:tcBorders>
          <w:left w:val="nil"/>
          <w:right w:val="nil"/>
          <w:insideH w:val="nil"/>
          <w:insideV w:val="nil"/>
        </w:tcBorders>
        <w:shd w:val="clear" w:color="auto" w:fill="E85D7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E227B"/>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09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098" w:themeFill="accent6"/>
      </w:tcPr>
    </w:tblStylePr>
    <w:tblStylePr w:type="lastCol">
      <w:rPr>
        <w:b/>
        <w:bCs/>
        <w:color w:val="FFFFFF" w:themeColor="background1"/>
      </w:rPr>
      <w:tblPr/>
      <w:tcPr>
        <w:tcBorders>
          <w:left w:val="nil"/>
          <w:right w:val="nil"/>
          <w:insideH w:val="nil"/>
          <w:insideV w:val="nil"/>
        </w:tcBorders>
        <w:shd w:val="clear" w:color="auto" w:fill="00809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FE227B"/>
    <w:rPr>
      <w:rFonts w:cs="Times New Roman"/>
      <w:sz w:val="24"/>
      <w:szCs w:val="24"/>
    </w:rPr>
  </w:style>
  <w:style w:type="table" w:styleId="PlainTable1">
    <w:name w:val="Plain Table 1"/>
    <w:basedOn w:val="TableNormal"/>
    <w:uiPriority w:val="41"/>
    <w:rsid w:val="00FE227B"/>
    <w:rPr>
      <w:rFonts w:ascii="Roboto" w:hAnsi="Robot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227B"/>
    <w:rPr>
      <w:rFonts w:ascii="Roboto" w:hAnsi="Robot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227B"/>
    <w:rPr>
      <w:rFonts w:ascii="Roboto" w:hAnsi="Robo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227B"/>
    <w:rPr>
      <w:rFonts w:ascii="Roboto" w:hAnsi="Robo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227B"/>
    <w:rPr>
      <w:rFonts w:ascii="Roboto" w:hAnsi="Robot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FE227B"/>
    <w:rPr>
      <w:rFonts w:ascii="Roboto" w:hAnsi="Robo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227B"/>
    <w:rPr>
      <w:rFonts w:ascii="Roboto" w:hAnsi="Robo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227B"/>
    <w:rPr>
      <w:rFonts w:ascii="Roboto" w:hAnsi="Robo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227B"/>
    <w:rPr>
      <w:rFonts w:ascii="Roboto" w:hAnsi="Robo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227B"/>
    <w:rPr>
      <w:rFonts w:ascii="Roboto" w:hAnsi="Robo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227B"/>
    <w:rPr>
      <w:rFonts w:ascii="Roboto" w:hAnsi="Robot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227B"/>
    <w:rPr>
      <w:rFonts w:ascii="Roboto" w:hAnsi="Robo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227B"/>
    <w:rPr>
      <w:rFonts w:ascii="Roboto" w:hAnsi="Robot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227B"/>
    <w:rPr>
      <w:rFonts w:ascii="Roboto" w:hAnsi="Robo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227B"/>
    <w:rPr>
      <w:rFonts w:ascii="Roboto" w:hAnsi="Robo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qFormat/>
    <w:rsid w:val="00FE227B"/>
    <w:pPr>
      <w:spacing w:before="120" w:after="120"/>
    </w:pPr>
    <w:rPr>
      <w:rFonts w:ascii="Roboto" w:hAnsi="Roboto"/>
      <w:sz w:val="20"/>
    </w:rPr>
  </w:style>
  <w:style w:type="paragraph" w:customStyle="1" w:styleId="TableColoumnHeading-right">
    <w:name w:val="Table Coloumn Heading - right"/>
    <w:basedOn w:val="TableColumnHeading"/>
    <w:link w:val="TableColoumnHeading-rightChar"/>
    <w:rsid w:val="00FE227B"/>
    <w:pPr>
      <w:tabs>
        <w:tab w:val="left" w:pos="680"/>
      </w:tabs>
      <w:jc w:val="right"/>
      <w:outlineLvl w:val="0"/>
    </w:pPr>
    <w:rPr>
      <w:rFonts w:eastAsia="Times New Roman" w:cs="Times New Roman"/>
      <w:szCs w:val="20"/>
    </w:rPr>
  </w:style>
  <w:style w:type="character" w:customStyle="1" w:styleId="TableColoumnHeading-rightChar">
    <w:name w:val="Table Coloumn Heading - right Char"/>
    <w:basedOn w:val="DefaultParagraphFont"/>
    <w:link w:val="TableColoumnHeading-right"/>
    <w:rsid w:val="00FE227B"/>
    <w:rPr>
      <w:rFonts w:ascii="Roboto" w:eastAsia="Times New Roman" w:hAnsi="Roboto" w:cs="Times New Roman"/>
      <w:sz w:val="20"/>
      <w:szCs w:val="20"/>
    </w:rPr>
  </w:style>
  <w:style w:type="paragraph" w:customStyle="1" w:styleId="TableColumnHeading-centred">
    <w:name w:val="Table Column Heading - centred"/>
    <w:basedOn w:val="TableColumnHeading"/>
    <w:rsid w:val="00FE227B"/>
    <w:pPr>
      <w:tabs>
        <w:tab w:val="left" w:pos="680"/>
      </w:tabs>
      <w:jc w:val="center"/>
      <w:outlineLvl w:val="0"/>
    </w:pPr>
    <w:rPr>
      <w:rFonts w:eastAsia="Times New Roman" w:cs="Times New Roman"/>
      <w:szCs w:val="20"/>
    </w:rPr>
  </w:style>
  <w:style w:type="table" w:styleId="TableColumns1">
    <w:name w:val="Table Columns 1"/>
    <w:basedOn w:val="TableNormal"/>
    <w:uiPriority w:val="99"/>
    <w:semiHidden/>
    <w:unhideWhenUsed/>
    <w:rsid w:val="00FE227B"/>
    <w:rPr>
      <w:rFonts w:ascii="Roboto" w:hAnsi="Robot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227B"/>
    <w:rPr>
      <w:rFonts w:ascii="Roboto" w:hAnsi="Robot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227B"/>
    <w:rPr>
      <w:rFonts w:ascii="Roboto" w:hAnsi="Robot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227B"/>
    <w:rPr>
      <w:rFonts w:ascii="Roboto" w:hAnsi="Robo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227B"/>
    <w:rPr>
      <w:rFonts w:ascii="Roboto" w:hAnsi="Robo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227B"/>
    <w:rPr>
      <w:rFonts w:ascii="Roboto" w:hAnsi="Robo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227B"/>
    <w:rPr>
      <w:rFonts w:ascii="Roboto" w:hAnsi="Robo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E227B"/>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227B"/>
    <w:rPr>
      <w:rFonts w:ascii="Roboto" w:hAnsi="Robo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227B"/>
    <w:rPr>
      <w:rFonts w:ascii="Roboto" w:hAnsi="Robo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227B"/>
    <w:rPr>
      <w:rFonts w:ascii="Roboto" w:hAnsi="Robo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227B"/>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227B"/>
    <w:rPr>
      <w:rFonts w:ascii="Roboto" w:hAnsi="Robo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227B"/>
    <w:rPr>
      <w:rFonts w:ascii="Roboto" w:hAnsi="Robot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227B"/>
    <w:rPr>
      <w:rFonts w:ascii="Roboto" w:hAnsi="Robo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E227B"/>
    <w:rPr>
      <w:rFonts w:ascii="Roboto" w:hAnsi="Robo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227B"/>
    <w:rPr>
      <w:rFonts w:ascii="Roboto" w:hAnsi="Robo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227B"/>
    <w:rPr>
      <w:rFonts w:ascii="Roboto" w:hAnsi="Robo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227B"/>
    <w:rPr>
      <w:rFonts w:ascii="Roboto" w:hAnsi="Robo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227B"/>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227B"/>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227B"/>
    <w:rPr>
      <w:rFonts w:ascii="Roboto" w:hAnsi="Robo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227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227B"/>
    <w:rPr>
      <w:rFonts w:ascii="Roboto" w:hAnsi="Robo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FE22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uiPriority w:val="99"/>
    <w:semiHidden/>
    <w:unhideWhenUsed/>
    <w:rsid w:val="00FE227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FE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pyrightbullet">
    <w:name w:val="Copyright bullet"/>
    <w:basedOn w:val="NoList"/>
    <w:rsid w:val="00B66263"/>
    <w:pPr>
      <w:numPr>
        <w:numId w:val="29"/>
      </w:numPr>
    </w:pPr>
  </w:style>
  <w:style w:type="paragraph" w:customStyle="1" w:styleId="Copyrightspace">
    <w:name w:val="Copyright space"/>
    <w:basedOn w:val="Copyrighttext"/>
    <w:rsid w:val="00B66263"/>
    <w:pPr>
      <w:spacing w:before="240"/>
    </w:pPr>
    <w:rPr>
      <w:rFonts w:eastAsia="Times New Roman" w:cs="Times New Roman"/>
      <w:szCs w:val="20"/>
    </w:rPr>
  </w:style>
  <w:style w:type="paragraph" w:customStyle="1" w:styleId="Copyrightfirst">
    <w:name w:val="Copyright first"/>
    <w:basedOn w:val="Copyrighttext"/>
    <w:rsid w:val="00B66263"/>
    <w:pPr>
      <w:spacing w:before="4440"/>
    </w:pPr>
    <w:rPr>
      <w:rFonts w:eastAsia="Times New Roman" w:cs="Times New Roman"/>
      <w:szCs w:val="20"/>
    </w:rPr>
  </w:style>
  <w:style w:type="paragraph" w:customStyle="1" w:styleId="TableHeading">
    <w:name w:val="Table Heading"/>
    <w:basedOn w:val="Tabletext"/>
    <w:link w:val="TableHeadingChar"/>
    <w:qFormat/>
    <w:rsid w:val="00767472"/>
    <w:pPr>
      <w:spacing w:before="60"/>
    </w:pPr>
    <w:rPr>
      <w:rFonts w:ascii="Arial" w:hAnsi="Arial"/>
      <w:b/>
    </w:rPr>
  </w:style>
  <w:style w:type="paragraph" w:customStyle="1" w:styleId="TableHeading-right">
    <w:name w:val="Table Heading - right"/>
    <w:basedOn w:val="TableHeading"/>
    <w:link w:val="TableHeading-rightChar"/>
    <w:rsid w:val="00767472"/>
    <w:pPr>
      <w:jc w:val="right"/>
    </w:pPr>
    <w:rPr>
      <w:rFonts w:eastAsia="Times New Roman" w:cs="Times New Roman"/>
      <w:bCs/>
      <w:szCs w:val="20"/>
    </w:rPr>
  </w:style>
  <w:style w:type="character" w:customStyle="1" w:styleId="TableHeadingChar">
    <w:name w:val="Table Heading Char"/>
    <w:basedOn w:val="TabletextChar"/>
    <w:link w:val="TableHeading"/>
    <w:rsid w:val="00767472"/>
    <w:rPr>
      <w:rFonts w:ascii="Arial" w:hAnsi="Arial"/>
      <w:b/>
      <w:sz w:val="20"/>
    </w:rPr>
  </w:style>
  <w:style w:type="character" w:customStyle="1" w:styleId="TableHeading-rightChar">
    <w:name w:val="Table Heading - right Char"/>
    <w:basedOn w:val="TableHeadingChar"/>
    <w:link w:val="TableHeading-right"/>
    <w:rsid w:val="00767472"/>
    <w:rPr>
      <w:rFonts w:ascii="Arial" w:eastAsia="Times New Roman" w:hAnsi="Arial" w:cs="Times New Roman"/>
      <w:b/>
      <w:bCs/>
      <w:sz w:val="20"/>
      <w:szCs w:val="20"/>
    </w:rPr>
  </w:style>
  <w:style w:type="paragraph" w:customStyle="1" w:styleId="TableHeading-centred">
    <w:name w:val="Table Heading - centred"/>
    <w:basedOn w:val="TableHeading"/>
    <w:rsid w:val="00767472"/>
    <w:pPr>
      <w:jc w:val="center"/>
    </w:pPr>
    <w:rPr>
      <w:rFonts w:eastAsia="Times New Roman" w:cs="Times New Roman"/>
      <w:bCs/>
      <w:szCs w:val="20"/>
    </w:rPr>
  </w:style>
  <w:style w:type="character" w:customStyle="1" w:styleId="UnresolvedMention1">
    <w:name w:val="Unresolved Mention1"/>
    <w:basedOn w:val="DefaultParagraphFont"/>
    <w:uiPriority w:val="99"/>
    <w:semiHidden/>
    <w:unhideWhenUsed/>
    <w:rsid w:val="00767472"/>
    <w:rPr>
      <w:color w:val="605E5C"/>
      <w:shd w:val="clear" w:color="auto" w:fill="E1DFDD"/>
    </w:rPr>
  </w:style>
  <w:style w:type="paragraph" w:customStyle="1" w:styleId="EmphasisPanelBullet">
    <w:name w:val="Emphasis Panel Bullet"/>
    <w:uiPriority w:val="11"/>
    <w:qFormat/>
    <w:rsid w:val="00767472"/>
    <w:pPr>
      <w:keepLines/>
      <w:numPr>
        <w:numId w:val="30"/>
      </w:numPr>
      <w:pBdr>
        <w:top w:val="single" w:sz="4" w:space="8" w:color="D5D6D2" w:themeColor="background2"/>
        <w:left w:val="single" w:sz="4" w:space="8" w:color="D5D6D2" w:themeColor="background2"/>
        <w:bottom w:val="single" w:sz="4" w:space="8" w:color="D5D6D2" w:themeColor="background2"/>
        <w:right w:val="single" w:sz="4" w:space="8" w:color="D5D6D2" w:themeColor="background2"/>
      </w:pBdr>
      <w:shd w:val="clear" w:color="auto" w:fill="D5D6D2" w:themeFill="background2"/>
      <w:spacing w:before="120" w:after="120" w:line="264" w:lineRule="auto"/>
      <w:ind w:right="215"/>
    </w:pPr>
    <w:rPr>
      <w:rFonts w:eastAsia="Times New Roman" w:cstheme="minorHAnsi"/>
      <w:color w:val="262626" w:themeColor="text1" w:themeTint="D9"/>
      <w:sz w:val="20"/>
      <w:lang w:val="en-US"/>
    </w:rPr>
  </w:style>
  <w:style w:type="paragraph" w:customStyle="1" w:styleId="Pa7">
    <w:name w:val="Pa7"/>
    <w:basedOn w:val="Normal"/>
    <w:next w:val="Normal"/>
    <w:uiPriority w:val="99"/>
    <w:rsid w:val="00767472"/>
    <w:pPr>
      <w:autoSpaceDE w:val="0"/>
      <w:autoSpaceDN w:val="0"/>
      <w:adjustRightInd w:val="0"/>
      <w:spacing w:before="0" w:line="191" w:lineRule="atLeast"/>
    </w:pPr>
    <w:rPr>
      <w:rFonts w:ascii="Gotham Light" w:hAnsi="Gotham Light"/>
      <w:sz w:val="24"/>
      <w:szCs w:val="24"/>
    </w:rPr>
  </w:style>
  <w:style w:type="paragraph" w:customStyle="1" w:styleId="Default">
    <w:name w:val="Default"/>
    <w:rsid w:val="00767472"/>
    <w:pPr>
      <w:autoSpaceDE w:val="0"/>
      <w:autoSpaceDN w:val="0"/>
      <w:adjustRightInd w:val="0"/>
      <w:spacing w:before="0"/>
    </w:pPr>
    <w:rPr>
      <w:rFonts w:ascii="Wingdings 3" w:hAnsi="Wingdings 3" w:cs="Wingdings 3"/>
      <w:color w:val="000000"/>
      <w:sz w:val="24"/>
      <w:szCs w:val="24"/>
    </w:rPr>
  </w:style>
  <w:style w:type="paragraph" w:customStyle="1" w:styleId="Pa6">
    <w:name w:val="Pa6"/>
    <w:basedOn w:val="Default"/>
    <w:next w:val="Default"/>
    <w:uiPriority w:val="99"/>
    <w:rsid w:val="00767472"/>
    <w:pPr>
      <w:spacing w:line="191" w:lineRule="atLeast"/>
    </w:pPr>
    <w:rPr>
      <w:rFonts w:cstheme="minorBidi"/>
      <w:color w:val="auto"/>
    </w:rPr>
  </w:style>
  <w:style w:type="character" w:customStyle="1" w:styleId="A9">
    <w:name w:val="A9"/>
    <w:uiPriority w:val="99"/>
    <w:rsid w:val="00767472"/>
    <w:rPr>
      <w:rFonts w:cs="Wingdings 3"/>
      <w:color w:val="000000"/>
      <w:sz w:val="19"/>
      <w:szCs w:val="19"/>
    </w:rPr>
  </w:style>
  <w:style w:type="character" w:customStyle="1" w:styleId="A10">
    <w:name w:val="A10"/>
    <w:uiPriority w:val="99"/>
    <w:rsid w:val="00767472"/>
    <w:rPr>
      <w:rFonts w:ascii="Gotham Light" w:hAnsi="Gotham Light" w:cs="Gotham Light"/>
      <w:color w:val="000000"/>
      <w:sz w:val="11"/>
      <w:szCs w:val="11"/>
    </w:rPr>
  </w:style>
  <w:style w:type="paragraph" w:customStyle="1" w:styleId="Pa14">
    <w:name w:val="Pa14"/>
    <w:basedOn w:val="Default"/>
    <w:next w:val="Default"/>
    <w:uiPriority w:val="99"/>
    <w:rsid w:val="00767472"/>
    <w:pPr>
      <w:spacing w:line="191" w:lineRule="atLeast"/>
    </w:pPr>
    <w:rPr>
      <w:rFonts w:cstheme="minorBidi"/>
      <w:color w:val="auto"/>
    </w:rPr>
  </w:style>
  <w:style w:type="character" w:customStyle="1" w:styleId="A12">
    <w:name w:val="A12"/>
    <w:uiPriority w:val="99"/>
    <w:rsid w:val="00767472"/>
    <w:rPr>
      <w:rFonts w:ascii="Wingdings" w:hAnsi="Wingdings" w:cs="Wingdings"/>
      <w:color w:val="000000"/>
    </w:rPr>
  </w:style>
  <w:style w:type="paragraph" w:customStyle="1" w:styleId="Bulletpoint-KeyPointsandIssues">
    <w:name w:val="Bullet point - Key Points and Issues"/>
    <w:basedOn w:val="ListBullet"/>
    <w:qFormat/>
    <w:rsid w:val="00767472"/>
    <w:pPr>
      <w:numPr>
        <w:numId w:val="0"/>
      </w:numPr>
      <w:spacing w:before="240"/>
      <w:ind w:left="360" w:hanging="360"/>
    </w:pPr>
    <w:rPr>
      <w:rFonts w:ascii="Arial" w:hAnsi="Arial" w:cs="Times New Roman"/>
      <w:sz w:val="28"/>
    </w:rPr>
  </w:style>
  <w:style w:type="character" w:customStyle="1" w:styleId="ListParagraphChar">
    <w:name w:val="List Paragraph Char"/>
    <w:aliases w:val="Bullet Point Char,L Char,List Bullet Cab Char,List Paragraph - bullets Char,List Paragraph1 Char,List Paragraph11 Char,NFP GP Bulleted List Char,Recommendation Char,Use Case List Paragraph Char,Content descriptions Char,CV text Char"/>
    <w:basedOn w:val="DefaultParagraphFont"/>
    <w:link w:val="ListParagraph"/>
    <w:uiPriority w:val="34"/>
    <w:qFormat/>
    <w:locked/>
    <w:rsid w:val="00767472"/>
    <w:rPr>
      <w:rFonts w:ascii="Roboto" w:hAnsi="Roboto"/>
    </w:rPr>
  </w:style>
  <w:style w:type="character" w:customStyle="1" w:styleId="normaltextrun">
    <w:name w:val="normaltextrun"/>
    <w:basedOn w:val="DefaultParagraphFont"/>
    <w:rsid w:val="00767472"/>
  </w:style>
  <w:style w:type="character" w:customStyle="1" w:styleId="UnresolvedMention2">
    <w:name w:val="Unresolved Mention2"/>
    <w:basedOn w:val="DefaultParagraphFont"/>
    <w:uiPriority w:val="99"/>
    <w:semiHidden/>
    <w:unhideWhenUsed/>
    <w:rsid w:val="00767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939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15206287">
      <w:bodyDiv w:val="1"/>
      <w:marLeft w:val="0"/>
      <w:marRight w:val="0"/>
      <w:marTop w:val="0"/>
      <w:marBottom w:val="0"/>
      <w:divBdr>
        <w:top w:val="none" w:sz="0" w:space="0" w:color="auto"/>
        <w:left w:val="none" w:sz="0" w:space="0" w:color="auto"/>
        <w:bottom w:val="none" w:sz="0" w:space="0" w:color="auto"/>
        <w:right w:val="none" w:sz="0" w:space="0" w:color="auto"/>
      </w:divBdr>
    </w:div>
    <w:div w:id="15750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image" Target="media/image5.jpeg"/><Relationship Id="rId39" Type="http://schemas.openxmlformats.org/officeDocument/2006/relationships/hyperlink" Target="https://www.babyproductsafety.gov.a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legislation.gov.au/Details/F2005L03885" TargetMode="External"/><Relationship Id="rId42" Type="http://schemas.openxmlformats.org/officeDocument/2006/relationships/hyperlink" Target="https://consultation.accc.gov.au/accc/infant-inclined-consultation-regulation-impact/supporting_documents/Infant%20Sleep%20Products%20Consultation%20Paper.pdf" TargetMode="External"/><Relationship Id="rId47" Type="http://schemas.openxmlformats.org/officeDocument/2006/relationships/chart" Target="charts/chart1.xml"/><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psc.gov/s3fs-public/Dr-Mannen-Study-FINAL-Report-09-18-2019_Redacted.corrected_0.pdf?g.Jao0IN_zU.TjiX4FeSUM3SPc3Zt_25" TargetMode="External"/><Relationship Id="rId25" Type="http://schemas.openxmlformats.org/officeDocument/2006/relationships/image" Target="media/image4.jpeg"/><Relationship Id="rId33" Type="http://schemas.openxmlformats.org/officeDocument/2006/relationships/hyperlink" Target="https://www.babyproductsafety.gov.au/" TargetMode="External"/><Relationship Id="rId38" Type="http://schemas.openxmlformats.org/officeDocument/2006/relationships/hyperlink" Target="https://www.productsafety.gov.au/about-us/publications/best-practice-guide-for-the-design-of-safe-infant-sleeping-environments" TargetMode="External"/><Relationship Id="rId46"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https://consultation.accc.gov.au/product-safety/infant-inclined-products-issues-paper/" TargetMode="External"/><Relationship Id="rId20" Type="http://schemas.openxmlformats.org/officeDocument/2006/relationships/footer" Target="footer1.xml"/><Relationship Id="rId29" Type="http://schemas.openxmlformats.org/officeDocument/2006/relationships/image" Target="media/image8.jpeg"/><Relationship Id="rId41" Type="http://schemas.openxmlformats.org/officeDocument/2006/relationships/hyperlink" Target="https://consultation.accc.gov.au/product-safety/infant-inclined-products-issues-paper/consultation/published_select_respond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jpeg"/><Relationship Id="rId32" Type="http://schemas.openxmlformats.org/officeDocument/2006/relationships/hyperlink" Target="https://consultation.accc.gov.au/accc/infant-inclined-consultation-regulation-impact/supporting_documents/Infant%20Sleep%20Products%20Consultation%20Paper.pdf" TargetMode="External"/><Relationship Id="rId37" Type="http://schemas.openxmlformats.org/officeDocument/2006/relationships/hyperlink" Target="https://www.iso.org/home.html" TargetMode="External"/><Relationship Id="rId40" Type="http://schemas.openxmlformats.org/officeDocument/2006/relationships/hyperlink" Target="https://consultation.accc.gov.au/product-safety/infant-inclined-products-issues-paper/supporting_documents/Infant%20Inclined%20Products%20Issues%20Paper.pdf" TargetMode="External"/><Relationship Id="rId45"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hyperlink" Target="https://consultation.accc.gov.au/accc/infant-inclined-consultation-regulation-impact/supporting_documents/Infant%20Sleep%20Products%20Consultation%20Paper.pdf" TargetMode="External"/><Relationship Id="rId23" Type="http://schemas.openxmlformats.org/officeDocument/2006/relationships/footer" Target="footer3.xml"/><Relationship Id="rId28" Type="http://schemas.openxmlformats.org/officeDocument/2006/relationships/image" Target="media/image7.jpeg"/><Relationship Id="rId36" Type="http://schemas.openxmlformats.org/officeDocument/2006/relationships/hyperlink" Target="https://www.standards.org.au/about/what-we-do" TargetMode="External"/><Relationship Id="rId49" Type="http://schemas.openxmlformats.org/officeDocument/2006/relationships/image" Target="media/image13.png"/><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consultation.accc.gov.au/product-safety/infant-inclined-products-issues-paper/supporting_documents/Infant%20Inclined%20Products%20Issues%20Paper.pdf" TargetMode="External"/><Relationship Id="rId44" Type="http://schemas.openxmlformats.org/officeDocument/2006/relationships/image" Target="media/image10.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image" Target="media/image6.jpeg"/><Relationship Id="rId30" Type="http://schemas.openxmlformats.org/officeDocument/2006/relationships/image" Target="media/image9.png"/><Relationship Id="rId35" Type="http://schemas.openxmlformats.org/officeDocument/2006/relationships/hyperlink" Target="https://www.legislation.gov.au/Details/F2008L00550" TargetMode="External"/><Relationship Id="rId43" Type="http://schemas.openxmlformats.org/officeDocument/2006/relationships/hyperlink" Target="https://consultation.accc.gov.au/accc/infant-inclined-consultation-regulation-impact/consultation/published_select_respondent" TargetMode="External"/><Relationship Id="rId48" Type="http://schemas.openxmlformats.org/officeDocument/2006/relationships/chart" Target="charts/chart2.xml"/><Relationship Id="rId8" Type="http://schemas.openxmlformats.org/officeDocument/2006/relationships/styles" Target="styl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about/data-services/data-explorer" TargetMode="External"/><Relationship Id="rId13" Type="http://schemas.openxmlformats.org/officeDocument/2006/relationships/hyperlink" Target="https://www.health.act.gov.au/sites/default/files/2019-02/Safe%20Sleeping%20Guidelines%20-%20Neonates%20and%20Infants%20up%20to%2012%20months%20of%20age.doc" TargetMode="External"/><Relationship Id="rId18" Type="http://schemas.openxmlformats.org/officeDocument/2006/relationships/hyperlink" Target="https://obpr.pmc.gov.au/resources/guidance-assessing-impacts/value-statistical-life" TargetMode="External"/><Relationship Id="rId3" Type="http://schemas.openxmlformats.org/officeDocument/2006/relationships/hyperlink" Target="https://doi.org/10.1111/j.1440-1754.1995.tb02910.x" TargetMode="External"/><Relationship Id="rId21" Type="http://schemas.openxmlformats.org/officeDocument/2006/relationships/hyperlink" Target="https://explore.data.abs.gov.au/vis?tm=POP_PROJ_2011&amp;pg=0&amp;hc%5bdataflowId%5d=POP_PROJ_2011&amp;df%5bds%5d=PEOPLE_TOPICS&amp;df%5bid%5d=POP_PROJ_2011&amp;df%5bag%5d=ABS&amp;df%5bvs%5d=1.0.0&amp;pd=2017%2C&amp;dq=0.1%2B2%2B3.TT.1.1.1.A&amp;ly%5brw%5d=TIME_PERIOD&amp;ly%5brs%5d=SEX_ABS" TargetMode="External"/><Relationship Id="rId7" Type="http://schemas.openxmlformats.org/officeDocument/2006/relationships/hyperlink" Target="https://explore.data.abs.gov.au/vis?tm=infant%20deaths&amp;pg=0&amp;df%5bds%5d=ABS_ABS_TOPICS&amp;df%5bid%5d=INFANTDEATHS_REGISTRATIONYEAR&amp;df%5bag%5d=ABS&amp;df%5bvs%5d=1.0.0&amp;hc%5bMeasure%5d=Deaths&amp;pd=2015%2C&amp;dq=4....A&amp;ly%5bcl%5d=TIME_PERIOD" TargetMode="External"/><Relationship Id="rId12" Type="http://schemas.openxmlformats.org/officeDocument/2006/relationships/hyperlink" Target="https://www.health.qld.gov.au/system-governance/policies-standards/guidelines" TargetMode="External"/><Relationship Id="rId17" Type="http://schemas.openxmlformats.org/officeDocument/2006/relationships/hyperlink" Target="https://www.babyproductsafety.gov.au/" TargetMode="External"/><Relationship Id="rId2" Type="http://schemas.openxmlformats.org/officeDocument/2006/relationships/hyperlink" Target="https://rednose.org.au/article/why-back-to-sleep-is-the-safest-position-for-your-baby" TargetMode="External"/><Relationship Id="rId16" Type="http://schemas.openxmlformats.org/officeDocument/2006/relationships/hyperlink" Target="https://www.lullabytrust.org.uk/safer-sleep-advice/sleeping-position/" TargetMode="External"/><Relationship Id="rId20" Type="http://schemas.openxmlformats.org/officeDocument/2006/relationships/hyperlink" Target="https://consultation.accc.gov.au/product-safety/infant-inclined-products-issues-paper/consultation/view_respondent?sort=excerpt&amp;order=ascending&amp;uuId=556696747" TargetMode="External"/><Relationship Id="rId1" Type="http://schemas.openxmlformats.org/officeDocument/2006/relationships/hyperlink" Target="https://rednose.org.au/article/what-does-sudden-unexpected-death-in-infancy-sudi-mean" TargetMode="External"/><Relationship Id="rId6" Type="http://schemas.openxmlformats.org/officeDocument/2006/relationships/hyperlink" Target="https://explore.data.abs.gov.au/vis?tm=quarterly%20population&amp;pg=0&amp;df%5bds%5d=ABS_ABS_TOPICS&amp;df%5bid%5d=ERP_Q&amp;df%5bag%5d=ABS&amp;df%5bvs%5d=1.0.0&amp;hc%5bFrequency%5d=Quarterly&amp;pd=2019-Q2%2C&amp;dq=1.3.0..Q&amp;ly%5bcl%5d=TIME_PERIOD&amp;ly%5brw%5d=REGION" TargetMode="External"/><Relationship Id="rId11" Type="http://schemas.openxmlformats.org/officeDocument/2006/relationships/hyperlink" Target="https://ww2.health.wa.gov.au/About-us/Policy-frameworks/Clinical-Services-Planning-and-Programs/Mandatory-requirements/Newborns-and-Infants/Safe-Infant-Sleeping-policy" TargetMode="External"/><Relationship Id="rId24" Type="http://schemas.openxmlformats.org/officeDocument/2006/relationships/hyperlink" Target="https://explore.data.abs.gov.au/vis?tm=infant%20deaths&amp;pg=0&amp;df%5bds%5d=ABS_ABS_TOPICS&amp;df%5bid%5d=INFANTDEATHS_REGISTRATIONYEAR&amp;df%5bag%5d=ABS&amp;df%5bvs%5d=1.0.0&amp;hc%5bMeasure%5d=Deaths&amp;pd=2015%2C&amp;dq=4....A&amp;ly%5bcl%5d=TIME_PERIOD" TargetMode="External"/><Relationship Id="rId5" Type="http://schemas.openxmlformats.org/officeDocument/2006/relationships/hyperlink" Target="https://www.abs.gov.au/statistics/people/population/national-state-and-territory-population/jun-2021" TargetMode="External"/><Relationship Id="rId15" Type="http://schemas.openxmlformats.org/officeDocument/2006/relationships/hyperlink" Target="https://rednose.org.au/news/why-should-you-sleep-your-baby-on-their-back" TargetMode="External"/><Relationship Id="rId23" Type="http://schemas.openxmlformats.org/officeDocument/2006/relationships/hyperlink" Target="https://explore.data.abs.gov.au/vis?tm=quarterly%20population&amp;pg=0&amp;df%5bds%5d=ABS_ABS_TOPICS&amp;df%5bid%5d=ERP_Q&amp;df%5bag%5d=ABS&amp;df%5bvs%5d=1.0.0&amp;hc%5bFrequency%5d=Quarterly&amp;pd=2019-Q2%2C&amp;dq=1.3.0..Q&amp;ly%5bcl%5d=TIME_PERIOD&amp;ly%5brw%5d=REGION" TargetMode="External"/><Relationship Id="rId10" Type="http://schemas.openxmlformats.org/officeDocument/2006/relationships/hyperlink" Target="https://www.health.vic.gov.au/chief-health-officer/safe-sleeping-of-infants" TargetMode="External"/><Relationship Id="rId19" Type="http://schemas.openxmlformats.org/officeDocument/2006/relationships/hyperlink" Target="https://www.abs.gov.au/statistics/people/population/births-australia/latest-release" TargetMode="External"/><Relationship Id="rId4" Type="http://schemas.openxmlformats.org/officeDocument/2006/relationships/hyperlink" Target="https://www.cpsc.gov/Newsroom/News-Releases/2020/CPSC-Cautions-Consumers-Not-to-Use-Inclined-Infant-Sleep-Products" TargetMode="External"/><Relationship Id="rId9" Type="http://schemas.openxmlformats.org/officeDocument/2006/relationships/hyperlink" Target="https://www.sahealth.sa.gov.au/wps/wcm/connect/public+content/sa+health+internet/clinical+resources/clinical+programs+and+practice+guidelines/womens+and+babies+health/safe+infant+sleeping+standards/safe+infant+sleeping+standards" TargetMode="External"/><Relationship Id="rId14" Type="http://schemas.openxmlformats.org/officeDocument/2006/relationships/hyperlink" Target="https://www.sidssa.org.au/about" TargetMode="External"/><Relationship Id="rId22" Type="http://schemas.openxmlformats.org/officeDocument/2006/relationships/hyperlink" Target="https://www.abs.gov.au/statistics/people/population/national-state-and-territory-population/jun-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CCC\Workgroup\ACCC%20Report%20structure%20and%20guid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scot\AppData\Roaming\iManage\Work\Recent\PS1072188%20-%20%20-%20Infant%20inclined%20products\CPSD%20-%20RAO%20-%20SP%20-%20Infant%20Inclined%20Products%20-%20Cost%20benefit%20analysis%20data%20and%20calculations(15011949.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scot\AppData\Roaming\iManage\Work\Recent\PS1072188%20-%20%20-%20Infant%20inclined%20products\CPSD%20-%20RAO%20-%20SP%20-%20Infant%20Inclined%20Products%20-%20Cost%20benefit%20analysis%20data%20and%20calculations(15011949.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No action</c:v>
          </c:tx>
          <c:spPr>
            <a:ln w="28575" cap="rnd">
              <a:solidFill>
                <a:srgbClr val="FF0000"/>
              </a:solidFill>
              <a:round/>
            </a:ln>
            <a:effectLst/>
          </c:spPr>
          <c:marker>
            <c:symbol val="none"/>
          </c:marker>
          <c:cat>
            <c:strRef>
              <c:f>'Sensitivies '!$A$36:$A$41</c:f>
              <c:strCache>
                <c:ptCount val="6"/>
                <c:pt idx="0">
                  <c:v>2024 (transition period)</c:v>
                </c:pt>
                <c:pt idx="1">
                  <c:v>2025</c:v>
                </c:pt>
                <c:pt idx="2">
                  <c:v>2026</c:v>
                </c:pt>
                <c:pt idx="3">
                  <c:v>2027</c:v>
                </c:pt>
                <c:pt idx="4">
                  <c:v>2028</c:v>
                </c:pt>
                <c:pt idx="5">
                  <c:v>2029</c:v>
                </c:pt>
              </c:strCache>
            </c:strRef>
          </c:cat>
          <c:val>
            <c:numRef>
              <c:f>'Sensitivies '!$E$27:$E$33</c:f>
              <c:numCache>
                <c:formatCode>"$"#,##0_);[Red]\("$"#,##0\)</c:formatCode>
                <c:ptCount val="7"/>
                <c:pt idx="0">
                  <c:v>54325000</c:v>
                </c:pt>
                <c:pt idx="1">
                  <c:v>55277667.180019602</c:v>
                </c:pt>
                <c:pt idx="2">
                  <c:v>56234833.478577524</c:v>
                </c:pt>
                <c:pt idx="3">
                  <c:v>57197682.570291847</c:v>
                </c:pt>
                <c:pt idx="4">
                  <c:v>58165715.894840233</c:v>
                </c:pt>
                <c:pt idx="5">
                  <c:v>59138971.191848658</c:v>
                </c:pt>
                <c:pt idx="6">
                  <c:v>60113557.307247438</c:v>
                </c:pt>
              </c:numCache>
            </c:numRef>
          </c:val>
          <c:smooth val="0"/>
          <c:extLst>
            <c:ext xmlns:c16="http://schemas.microsoft.com/office/drawing/2014/chart" uri="{C3380CC4-5D6E-409C-BE32-E72D297353CC}">
              <c16:uniqueId val="{00000000-B977-4560-A633-084D0B7BB745}"/>
            </c:ext>
          </c:extLst>
        </c:ser>
        <c:ser>
          <c:idx val="1"/>
          <c:order val="1"/>
          <c:tx>
            <c:v>Information Standard</c:v>
          </c:tx>
          <c:spPr>
            <a:ln w="28575" cap="rnd">
              <a:solidFill>
                <a:srgbClr val="7030A0"/>
              </a:solidFill>
              <a:round/>
            </a:ln>
            <a:effectLst/>
          </c:spPr>
          <c:marker>
            <c:symbol val="none"/>
          </c:marker>
          <c:cat>
            <c:strRef>
              <c:f>'Sensitivies '!$A$36:$A$41</c:f>
              <c:strCache>
                <c:ptCount val="6"/>
                <c:pt idx="0">
                  <c:v>2024 (transition period)</c:v>
                </c:pt>
                <c:pt idx="1">
                  <c:v>2025</c:v>
                </c:pt>
                <c:pt idx="2">
                  <c:v>2026</c:v>
                </c:pt>
                <c:pt idx="3">
                  <c:v>2027</c:v>
                </c:pt>
                <c:pt idx="4">
                  <c:v>2028</c:v>
                </c:pt>
                <c:pt idx="5">
                  <c:v>2029</c:v>
                </c:pt>
              </c:strCache>
            </c:strRef>
          </c:cat>
          <c:val>
            <c:numRef>
              <c:f>'Sensitivies '!$E$16:$E$21</c:f>
              <c:numCache>
                <c:formatCode>"$"#,##0_);[Red]\("$"#,##0\)</c:formatCode>
                <c:ptCount val="6"/>
                <c:pt idx="0">
                  <c:v>55756000</c:v>
                </c:pt>
                <c:pt idx="1">
                  <c:v>46142850</c:v>
                </c:pt>
                <c:pt idx="2">
                  <c:v>44817850</c:v>
                </c:pt>
                <c:pt idx="3">
                  <c:v>43492850</c:v>
                </c:pt>
                <c:pt idx="4">
                  <c:v>42167850</c:v>
                </c:pt>
                <c:pt idx="5">
                  <c:v>40842850</c:v>
                </c:pt>
              </c:numCache>
            </c:numRef>
          </c:val>
          <c:smooth val="0"/>
          <c:extLst>
            <c:ext xmlns:c16="http://schemas.microsoft.com/office/drawing/2014/chart" uri="{C3380CC4-5D6E-409C-BE32-E72D297353CC}">
              <c16:uniqueId val="{00000001-B977-4560-A633-084D0B7BB745}"/>
            </c:ext>
          </c:extLst>
        </c:ser>
        <c:ser>
          <c:idx val="2"/>
          <c:order val="2"/>
          <c:tx>
            <c:v>Safety Standard</c:v>
          </c:tx>
          <c:spPr>
            <a:ln w="28575" cap="rnd">
              <a:solidFill>
                <a:srgbClr val="00B050"/>
              </a:solidFill>
              <a:round/>
            </a:ln>
            <a:effectLst/>
          </c:spPr>
          <c:marker>
            <c:symbol val="none"/>
          </c:marker>
          <c:cat>
            <c:strRef>
              <c:f>'Sensitivies '!$A$36:$A$41</c:f>
              <c:strCache>
                <c:ptCount val="6"/>
                <c:pt idx="0">
                  <c:v>2024 (transition period)</c:v>
                </c:pt>
                <c:pt idx="1">
                  <c:v>2025</c:v>
                </c:pt>
                <c:pt idx="2">
                  <c:v>2026</c:v>
                </c:pt>
                <c:pt idx="3">
                  <c:v>2027</c:v>
                </c:pt>
                <c:pt idx="4">
                  <c:v>2028</c:v>
                </c:pt>
                <c:pt idx="5">
                  <c:v>2029</c:v>
                </c:pt>
              </c:strCache>
            </c:strRef>
          </c:cat>
          <c:val>
            <c:numRef>
              <c:f>'Sensitivies '!$M$15:$M$20</c:f>
              <c:numCache>
                <c:formatCode>"$"#,##0_);[Red]\("$"#,##0\)</c:formatCode>
                <c:ptCount val="6"/>
                <c:pt idx="0">
                  <c:v>55756000</c:v>
                </c:pt>
                <c:pt idx="1">
                  <c:v>116854100</c:v>
                </c:pt>
                <c:pt idx="2">
                  <c:v>111554100</c:v>
                </c:pt>
                <c:pt idx="3">
                  <c:v>26716599.999999996</c:v>
                </c:pt>
                <c:pt idx="4">
                  <c:v>21416600</c:v>
                </c:pt>
                <c:pt idx="5">
                  <c:v>16116600</c:v>
                </c:pt>
              </c:numCache>
            </c:numRef>
          </c:val>
          <c:smooth val="0"/>
          <c:extLst>
            <c:ext xmlns:c16="http://schemas.microsoft.com/office/drawing/2014/chart" uri="{C3380CC4-5D6E-409C-BE32-E72D297353CC}">
              <c16:uniqueId val="{00000002-B977-4560-A633-084D0B7BB745}"/>
            </c:ext>
          </c:extLst>
        </c:ser>
        <c:dLbls>
          <c:showLegendKey val="0"/>
          <c:showVal val="0"/>
          <c:showCatName val="0"/>
          <c:showSerName val="0"/>
          <c:showPercent val="0"/>
          <c:showBubbleSize val="0"/>
        </c:dLbls>
        <c:smooth val="0"/>
        <c:axId val="63890616"/>
        <c:axId val="63889304"/>
      </c:lineChart>
      <c:catAx>
        <c:axId val="63890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89304"/>
        <c:crosses val="autoZero"/>
        <c:auto val="1"/>
        <c:lblAlgn val="ctr"/>
        <c:lblOffset val="100"/>
        <c:noMultiLvlLbl val="0"/>
      </c:catAx>
      <c:valAx>
        <c:axId val="63889304"/>
        <c:scaling>
          <c:orientation val="minMax"/>
          <c:max val="120000000"/>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90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Safety Standard</c:v>
          </c:tx>
          <c:spPr>
            <a:ln w="28575" cap="rnd">
              <a:solidFill>
                <a:srgbClr val="00B050"/>
              </a:solidFill>
              <a:round/>
            </a:ln>
            <a:effectLst/>
          </c:spPr>
          <c:marker>
            <c:symbol val="none"/>
          </c:marker>
          <c:cat>
            <c:strRef>
              <c:f>Sheet2!$I$19:$I$29</c:f>
              <c:strCache>
                <c:ptCount val="11"/>
                <c:pt idx="0">
                  <c:v>2024 (transition period)</c:v>
                </c:pt>
                <c:pt idx="1">
                  <c:v>2025</c:v>
                </c:pt>
                <c:pt idx="2">
                  <c:v>2026</c:v>
                </c:pt>
                <c:pt idx="3">
                  <c:v>2027</c:v>
                </c:pt>
                <c:pt idx="4">
                  <c:v>2028</c:v>
                </c:pt>
                <c:pt idx="5">
                  <c:v>2029</c:v>
                </c:pt>
                <c:pt idx="6">
                  <c:v>2030</c:v>
                </c:pt>
                <c:pt idx="7">
                  <c:v>2031</c:v>
                </c:pt>
                <c:pt idx="8">
                  <c:v>2032</c:v>
                </c:pt>
                <c:pt idx="9">
                  <c:v>2033</c:v>
                </c:pt>
                <c:pt idx="10">
                  <c:v>2034</c:v>
                </c:pt>
              </c:strCache>
            </c:strRef>
          </c:cat>
          <c:val>
            <c:numRef>
              <c:f>Sheet2!$N$19:$N$29</c:f>
              <c:numCache>
                <c:formatCode>"$"#,##0_);[Red]\("$"#,##0\)</c:formatCode>
                <c:ptCount val="11"/>
                <c:pt idx="0">
                  <c:v>55760000</c:v>
                </c:pt>
                <c:pt idx="1">
                  <c:v>172614100</c:v>
                </c:pt>
                <c:pt idx="2">
                  <c:v>284168200</c:v>
                </c:pt>
                <c:pt idx="3">
                  <c:v>310884800</c:v>
                </c:pt>
                <c:pt idx="4">
                  <c:v>332301400</c:v>
                </c:pt>
                <c:pt idx="5">
                  <c:v>348418000</c:v>
                </c:pt>
                <c:pt idx="6">
                  <c:v>364534600</c:v>
                </c:pt>
                <c:pt idx="7">
                  <c:v>380651200</c:v>
                </c:pt>
                <c:pt idx="8">
                  <c:v>396767800</c:v>
                </c:pt>
                <c:pt idx="9">
                  <c:v>412884400</c:v>
                </c:pt>
                <c:pt idx="10">
                  <c:v>429001000</c:v>
                </c:pt>
              </c:numCache>
            </c:numRef>
          </c:val>
          <c:smooth val="0"/>
          <c:extLst>
            <c:ext xmlns:c16="http://schemas.microsoft.com/office/drawing/2014/chart" uri="{C3380CC4-5D6E-409C-BE32-E72D297353CC}">
              <c16:uniqueId val="{00000000-E344-41B6-9463-9B0AD122ED1F}"/>
            </c:ext>
          </c:extLst>
        </c:ser>
        <c:ser>
          <c:idx val="1"/>
          <c:order val="1"/>
          <c:tx>
            <c:v>Information Standard</c:v>
          </c:tx>
          <c:spPr>
            <a:ln w="28575" cap="rnd">
              <a:solidFill>
                <a:srgbClr val="7030A0"/>
              </a:solidFill>
              <a:round/>
            </a:ln>
            <a:effectLst/>
          </c:spPr>
          <c:marker>
            <c:symbol val="none"/>
          </c:marker>
          <c:cat>
            <c:strRef>
              <c:f>Sheet2!$I$19:$I$29</c:f>
              <c:strCache>
                <c:ptCount val="11"/>
                <c:pt idx="0">
                  <c:v>2024 (transition period)</c:v>
                </c:pt>
                <c:pt idx="1">
                  <c:v>2025</c:v>
                </c:pt>
                <c:pt idx="2">
                  <c:v>2026</c:v>
                </c:pt>
                <c:pt idx="3">
                  <c:v>2027</c:v>
                </c:pt>
                <c:pt idx="4">
                  <c:v>2028</c:v>
                </c:pt>
                <c:pt idx="5">
                  <c:v>2029</c:v>
                </c:pt>
                <c:pt idx="6">
                  <c:v>2030</c:v>
                </c:pt>
                <c:pt idx="7">
                  <c:v>2031</c:v>
                </c:pt>
                <c:pt idx="8">
                  <c:v>2032</c:v>
                </c:pt>
                <c:pt idx="9">
                  <c:v>2033</c:v>
                </c:pt>
                <c:pt idx="10">
                  <c:v>2034</c:v>
                </c:pt>
              </c:strCache>
            </c:strRef>
          </c:cat>
          <c:val>
            <c:numRef>
              <c:f>Sheet2!$F$19:$F$29</c:f>
              <c:numCache>
                <c:formatCode>"$"#,##0_);[Red]\("$"#,##0\)</c:formatCode>
                <c:ptCount val="11"/>
                <c:pt idx="0">
                  <c:v>55756000</c:v>
                </c:pt>
                <c:pt idx="1">
                  <c:v>101898850</c:v>
                </c:pt>
                <c:pt idx="2">
                  <c:v>146716700</c:v>
                </c:pt>
                <c:pt idx="3">
                  <c:v>190209550</c:v>
                </c:pt>
                <c:pt idx="4">
                  <c:v>232377400</c:v>
                </c:pt>
                <c:pt idx="5">
                  <c:v>273220250</c:v>
                </c:pt>
                <c:pt idx="6">
                  <c:v>314063100</c:v>
                </c:pt>
                <c:pt idx="7">
                  <c:v>354905950</c:v>
                </c:pt>
                <c:pt idx="8">
                  <c:v>395748800</c:v>
                </c:pt>
                <c:pt idx="9">
                  <c:v>436591650</c:v>
                </c:pt>
                <c:pt idx="10">
                  <c:v>477434500</c:v>
                </c:pt>
              </c:numCache>
            </c:numRef>
          </c:val>
          <c:smooth val="0"/>
          <c:extLst>
            <c:ext xmlns:c16="http://schemas.microsoft.com/office/drawing/2014/chart" uri="{C3380CC4-5D6E-409C-BE32-E72D297353CC}">
              <c16:uniqueId val="{00000001-E344-41B6-9463-9B0AD122ED1F}"/>
            </c:ext>
          </c:extLst>
        </c:ser>
        <c:ser>
          <c:idx val="2"/>
          <c:order val="2"/>
          <c:tx>
            <c:v>No regulation</c:v>
          </c:tx>
          <c:spPr>
            <a:ln w="28575" cap="rnd">
              <a:solidFill>
                <a:srgbClr val="FF0000"/>
              </a:solidFill>
              <a:round/>
            </a:ln>
            <a:effectLst/>
          </c:spPr>
          <c:marker>
            <c:symbol val="none"/>
          </c:marker>
          <c:cat>
            <c:strRef>
              <c:f>Sheet2!$I$19:$I$29</c:f>
              <c:strCache>
                <c:ptCount val="11"/>
                <c:pt idx="0">
                  <c:v>2024 (transition period)</c:v>
                </c:pt>
                <c:pt idx="1">
                  <c:v>2025</c:v>
                </c:pt>
                <c:pt idx="2">
                  <c:v>2026</c:v>
                </c:pt>
                <c:pt idx="3">
                  <c:v>2027</c:v>
                </c:pt>
                <c:pt idx="4">
                  <c:v>2028</c:v>
                </c:pt>
                <c:pt idx="5">
                  <c:v>2029</c:v>
                </c:pt>
                <c:pt idx="6">
                  <c:v>2030</c:v>
                </c:pt>
                <c:pt idx="7">
                  <c:v>2031</c:v>
                </c:pt>
                <c:pt idx="8">
                  <c:v>2032</c:v>
                </c:pt>
                <c:pt idx="9">
                  <c:v>2033</c:v>
                </c:pt>
                <c:pt idx="10">
                  <c:v>2034</c:v>
                </c:pt>
              </c:strCache>
            </c:strRef>
          </c:cat>
          <c:val>
            <c:numRef>
              <c:f>Sheet2!$F$4:$F$14</c:f>
              <c:numCache>
                <c:formatCode>"$"#,##0_);[Red]\("$"#,##0\)</c:formatCode>
                <c:ptCount val="11"/>
                <c:pt idx="0">
                  <c:v>109602667.1800196</c:v>
                </c:pt>
                <c:pt idx="1">
                  <c:v>165837500.65859711</c:v>
                </c:pt>
                <c:pt idx="2">
                  <c:v>223035183.22888896</c:v>
                </c:pt>
                <c:pt idx="3">
                  <c:v>281200899.12372917</c:v>
                </c:pt>
                <c:pt idx="4">
                  <c:v>340339870.31557781</c:v>
                </c:pt>
                <c:pt idx="5">
                  <c:v>398054319.59832311</c:v>
                </c:pt>
                <c:pt idx="6">
                  <c:v>455900897.29797298</c:v>
                </c:pt>
                <c:pt idx="7">
                  <c:v>507901342.75361538</c:v>
                </c:pt>
                <c:pt idx="8">
                  <c:v>559995557.27578259</c:v>
                </c:pt>
                <c:pt idx="9">
                  <c:v>612165717.82952452</c:v>
                </c:pt>
                <c:pt idx="10">
                  <c:v>664395461.30752814</c:v>
                </c:pt>
              </c:numCache>
            </c:numRef>
          </c:val>
          <c:smooth val="0"/>
          <c:extLst>
            <c:ext xmlns:c16="http://schemas.microsoft.com/office/drawing/2014/chart" uri="{C3380CC4-5D6E-409C-BE32-E72D297353CC}">
              <c16:uniqueId val="{00000002-E344-41B6-9463-9B0AD122ED1F}"/>
            </c:ext>
          </c:extLst>
        </c:ser>
        <c:dLbls>
          <c:showLegendKey val="0"/>
          <c:showVal val="0"/>
          <c:showCatName val="0"/>
          <c:showSerName val="0"/>
          <c:showPercent val="0"/>
          <c:showBubbleSize val="0"/>
        </c:dLbls>
        <c:smooth val="0"/>
        <c:axId val="1070765632"/>
        <c:axId val="1070768584"/>
      </c:lineChart>
      <c:catAx>
        <c:axId val="107076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0768584"/>
        <c:crosses val="autoZero"/>
        <c:auto val="1"/>
        <c:lblAlgn val="ctr"/>
        <c:lblOffset val="100"/>
        <c:noMultiLvlLbl val="0"/>
      </c:catAx>
      <c:valAx>
        <c:axId val="1070768584"/>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0765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ACCC Theme">
  <a:themeElements>
    <a:clrScheme name="ACCC">
      <a:dk1>
        <a:sysClr val="windowText" lastClr="000000"/>
      </a:dk1>
      <a:lt1>
        <a:sysClr val="window" lastClr="FFFFFF"/>
      </a:lt1>
      <a:dk2>
        <a:srgbClr val="131838"/>
      </a:dk2>
      <a:lt2>
        <a:srgbClr val="D5D6D2"/>
      </a:lt2>
      <a:accent1>
        <a:srgbClr val="342D8C"/>
      </a:accent1>
      <a:accent2>
        <a:srgbClr val="1CCFC9"/>
      </a:accent2>
      <a:accent3>
        <a:srgbClr val="38862E"/>
      </a:accent3>
      <a:accent4>
        <a:srgbClr val="D5A70B"/>
      </a:accent4>
      <a:accent5>
        <a:srgbClr val="E85D72"/>
      </a:accent5>
      <a:accent6>
        <a:srgbClr val="008098"/>
      </a:accent6>
      <a:hlink>
        <a:srgbClr val="0000FF"/>
      </a:hlink>
      <a:folHlink>
        <a:srgbClr val="800080"/>
      </a:folHlink>
    </a:clrScheme>
    <a:fontScheme name="accc">
      <a:majorFont>
        <a:latin typeface="Bitter"/>
        <a:ea typeface=""/>
        <a:cs typeface=""/>
      </a:majorFont>
      <a:minorFont>
        <a:latin typeface="Roboto"/>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 A C C C a n d A E R ! 1 4 8 5 8 5 5 1 . 5 < / d o c u m e n t i d >  
     < s e n d e r i d > L I S T E W < / s e n d e r i d >  
     < s e n d e r e m a i l > L I S A . S T E W A R T @ A C C C . G O V . A U < / s e n d e r e m a i l >  
     < l a s t m o d i f i e d > 2 0 2 4 - 0 6 - 0 6 T 0 8 : 0 9 : 0 0 . 0 0 0 0 0 0 0 + 0 8 : 0 0 < / l a s t m o d i f i e d >  
     < d a t a b a s e > A C C C a n d A E R < / 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3A3F34C6CF7D439C71A25B6DD8BD4B" ma:contentTypeVersion="12" ma:contentTypeDescription="Create a new document." ma:contentTypeScope="" ma:versionID="20ad86117b0ecb42dd6e14e3f2b25974">
  <xsd:schema xmlns:xsd="http://www.w3.org/2001/XMLSchema" xmlns:xs="http://www.w3.org/2001/XMLSchema" xmlns:p="http://schemas.microsoft.com/office/2006/metadata/properties" xmlns:ns2="28046d96-a28f-4bbc-ad90-d0e9bf35e1a8" xmlns:ns3="c246f20c-641d-4da4-82c4-be06dbc04e62" targetNamespace="http://schemas.microsoft.com/office/2006/metadata/properties" ma:root="true" ma:fieldsID="2141e6a11d300789e2a8eed9ec6c6366" ns2:_="" ns3:_="">
    <xsd:import namespace="28046d96-a28f-4bbc-ad90-d0e9bf35e1a8"/>
    <xsd:import namespace="c246f20c-641d-4da4-82c4-be06dbc04e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6d96-a28f-4bbc-ad90-d0e9bf35e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f20c-641d-4da4-82c4-be06dbc04e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DF1EC8-72CE-446D-8870-26D10EE696A6}">
  <ds:schemaRefs>
    <ds:schemaRef ds:uri="http://schemas.microsoft.com/sharepoint/v3/contenttype/forms"/>
  </ds:schemaRefs>
</ds:datastoreItem>
</file>

<file path=customXml/itemProps3.xml><?xml version="1.0" encoding="utf-8"?>
<ds:datastoreItem xmlns:ds="http://schemas.openxmlformats.org/officeDocument/2006/customXml" ds:itemID="{ABB973AE-736E-446E-8B1C-AD50F888EE32}">
  <ds:schemaRefs>
    <ds:schemaRef ds:uri="http://www.imanage.com/work/xmlschema"/>
  </ds:schemaRefs>
</ds:datastoreItem>
</file>

<file path=customXml/itemProps4.xml><?xml version="1.0" encoding="utf-8"?>
<ds:datastoreItem xmlns:ds="http://schemas.openxmlformats.org/officeDocument/2006/customXml" ds:itemID="{79A48DA7-5FAA-4DB8-89C9-FCACC3783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6d96-a28f-4bbc-ad90-d0e9bf35e1a8"/>
    <ds:schemaRef ds:uri="c246f20c-641d-4da4-82c4-be06dbc0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A7D3D1-A6A7-427A-BA79-4F0EA5096ED7}">
  <ds:schemaRefs>
    <ds:schemaRef ds:uri="http://schemas.openxmlformats.org/officeDocument/2006/bibliography"/>
  </ds:schemaRefs>
</ds:datastoreItem>
</file>

<file path=customXml/itemProps6.xml><?xml version="1.0" encoding="utf-8"?>
<ds:datastoreItem xmlns:ds="http://schemas.openxmlformats.org/officeDocument/2006/customXml" ds:itemID="{5A3ABA2F-F47E-4F6D-B1C9-CE17E453C2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ACCC Report structure and guide</Template>
  <TotalTime>3</TotalTime>
  <Pages>48</Pages>
  <Words>15934</Words>
  <Characters>90826</Characters>
  <Application>Microsoft Office Word</Application>
  <DocSecurity>8</DocSecurity>
  <Lines>2018</Lines>
  <Paragraphs>1160</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105600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Ip Hee Wai, Maureen</dc:creator>
  <cp:lastModifiedBy>Lisa Stewart</cp:lastModifiedBy>
  <cp:revision>4</cp:revision>
  <cp:lastPrinted>2023-07-13T02:30:00Z</cp:lastPrinted>
  <dcterms:created xsi:type="dcterms:W3CDTF">2024-07-24T01:13:00Z</dcterms:created>
  <dcterms:modified xsi:type="dcterms:W3CDTF">2024-07-24T01:15:00Z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0x010100813A3F34C6CF7D439C71A25B6DD8BD4B</vt:lpwstr>
  </property>
  <property fmtid="{D5CDD505-2E9C-101B-9397-08002B2CF9AE}" pid="3" name="MSIP_Label_d9d5a995-dfdf-4407-9a97-edbbc68c9f53_Enabled">
    <vt:lpwstr>true</vt:lpwstr>
  </property>
  <property fmtid="{D5CDD505-2E9C-101B-9397-08002B2CF9AE}" pid="4" name="MSIP_Label_d9d5a995-dfdf-4407-9a97-edbbc68c9f53_SetDate">
    <vt:lpwstr>2024-05-28T06:17:59Z</vt:lpwstr>
  </property>
  <property fmtid="{D5CDD505-2E9C-101B-9397-08002B2CF9AE}" pid="5" name="MSIP_Label_d9d5a995-dfdf-4407-9a97-edbbc68c9f53_Method">
    <vt:lpwstr>Privileged</vt:lpwstr>
  </property>
  <property fmtid="{D5CDD505-2E9C-101B-9397-08002B2CF9AE}" pid="6" name="MSIP_Label_d9d5a995-dfdf-4407-9a97-edbbc68c9f53_Name">
    <vt:lpwstr>OFFICIAL</vt:lpwstr>
  </property>
  <property fmtid="{D5CDD505-2E9C-101B-9397-08002B2CF9AE}" pid="7" name="MSIP_Label_d9d5a995-dfdf-4407-9a97-edbbc68c9f53_SiteId">
    <vt:lpwstr>b33e9e1a-e443-4edd-9789-24bed26d38d6</vt:lpwstr>
  </property>
  <property fmtid="{D5CDD505-2E9C-101B-9397-08002B2CF9AE}" pid="8" name="MSIP_Label_d9d5a995-dfdf-4407-9a97-edbbc68c9f53_ActionId">
    <vt:lpwstr>6e92b2b0-78f1-4230-bb7a-1b67dee2e883</vt:lpwstr>
  </property>
  <property fmtid="{D5CDD505-2E9C-101B-9397-08002B2CF9AE}" pid="9" name="MSIP_Label_d9d5a995-dfdf-4407-9a97-edbbc68c9f53_ContentBits">
    <vt:lpwstr>0</vt:lpwstr>
  </property>
</Properties>
</file>